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51D1" w:rsidRDefault="007C51D1">
      <w:pPr>
        <w:pStyle w:val="PartNumber"/>
      </w:pPr>
      <w:bookmarkStart w:id="0" w:name="_Overview"/>
      <w:bookmarkStart w:id="1" w:name="ChapterNumber"/>
      <w:bookmarkStart w:id="2" w:name="_GoBack"/>
      <w:bookmarkEnd w:id="0"/>
      <w:bookmarkEnd w:id="2"/>
    </w:p>
    <w:tbl>
      <w:tblPr>
        <w:tblW w:w="0" w:type="auto"/>
        <w:tblLayout w:type="fixed"/>
        <w:tblCellMar>
          <w:left w:w="0" w:type="dxa"/>
          <w:right w:w="0" w:type="dxa"/>
        </w:tblCellMar>
        <w:tblLook w:val="0000" w:firstRow="0" w:lastRow="0" w:firstColumn="0" w:lastColumn="0" w:noHBand="0" w:noVBand="0"/>
      </w:tblPr>
      <w:tblGrid>
        <w:gridCol w:w="6634"/>
        <w:gridCol w:w="2155"/>
      </w:tblGrid>
      <w:tr w:rsidR="007C51D1">
        <w:tc>
          <w:tcPr>
            <w:tcW w:w="6634" w:type="dxa"/>
            <w:tcBorders>
              <w:top w:val="single" w:sz="6" w:space="0" w:color="auto"/>
            </w:tcBorders>
          </w:tcPr>
          <w:p w:rsidR="007C51D1" w:rsidRDefault="007C51D1">
            <w:pPr>
              <w:pStyle w:val="PartDivider"/>
            </w:pPr>
          </w:p>
        </w:tc>
        <w:tc>
          <w:tcPr>
            <w:tcW w:w="2155" w:type="dxa"/>
            <w:tcBorders>
              <w:top w:val="single" w:sz="24" w:space="0" w:color="auto"/>
            </w:tcBorders>
          </w:tcPr>
          <w:p w:rsidR="007C51D1" w:rsidRDefault="007C51D1">
            <w:pPr>
              <w:pStyle w:val="PartDivider"/>
            </w:pPr>
          </w:p>
        </w:tc>
      </w:tr>
    </w:tbl>
    <w:p w:rsidR="007C51D1" w:rsidRDefault="007C51D1">
      <w:pPr>
        <w:pStyle w:val="PartDivider"/>
      </w:pPr>
    </w:p>
    <w:p w:rsidR="007C51D1" w:rsidRDefault="007C51D1">
      <w:pPr>
        <w:pStyle w:val="PartTitle"/>
      </w:pPr>
      <w:r>
        <w:t>Overview</w:t>
      </w:r>
    </w:p>
    <w:p w:rsidR="007C51D1" w:rsidRDefault="007C51D1">
      <w:pPr>
        <w:rPr>
          <w:sz w:val="52"/>
          <w:szCs w:val="20"/>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7C51D1" w:rsidTr="005939B8">
        <w:tc>
          <w:tcPr>
            <w:tcW w:w="8789" w:type="dxa"/>
            <w:tcBorders>
              <w:top w:val="single" w:sz="4" w:space="0" w:color="78A22F" w:themeColor="accent1"/>
              <w:left w:val="nil"/>
              <w:bottom w:val="nil"/>
              <w:right w:val="nil"/>
            </w:tcBorders>
            <w:shd w:val="clear" w:color="auto" w:fill="E5F1D0"/>
          </w:tcPr>
          <w:p w:rsidR="007C51D1" w:rsidRDefault="007C51D1">
            <w:pPr>
              <w:pStyle w:val="BoxTitle"/>
            </w:pPr>
            <w:r>
              <w:lastRenderedPageBreak/>
              <w:t>Key points</w:t>
            </w:r>
          </w:p>
        </w:tc>
      </w:tr>
      <w:tr w:rsidR="007C51D1" w:rsidTr="005939B8">
        <w:tc>
          <w:tcPr>
            <w:tcW w:w="8789" w:type="dxa"/>
            <w:tcBorders>
              <w:top w:val="nil"/>
              <w:left w:val="nil"/>
              <w:bottom w:val="nil"/>
              <w:right w:val="nil"/>
            </w:tcBorders>
            <w:shd w:val="clear" w:color="auto" w:fill="E5F1D0"/>
          </w:tcPr>
          <w:p w:rsidR="007C51D1" w:rsidRDefault="007C51D1" w:rsidP="005939B8">
            <w:pPr>
              <w:pStyle w:val="Box"/>
              <w:spacing w:before="80"/>
            </w:pPr>
            <w:r>
              <w:t>Australia’</w:t>
            </w:r>
            <w:r w:rsidRPr="00EC022D">
              <w:t xml:space="preserve">s </w:t>
            </w:r>
            <w:r>
              <w:t>ageing population will increase demands on the retirement income system. With this in mind, t</w:t>
            </w:r>
            <w:r w:rsidRPr="006838CC">
              <w:t>his report</w:t>
            </w:r>
            <w:r>
              <w:t xml:space="preserve"> seeks to improve understanding of </w:t>
            </w:r>
            <w:r w:rsidRPr="006838CC">
              <w:t xml:space="preserve">two elements </w:t>
            </w:r>
            <w:r>
              <w:t>of the retirement income puzzle</w:t>
            </w:r>
            <w:r w:rsidRPr="006838CC">
              <w:t xml:space="preserve"> —</w:t>
            </w:r>
            <w:r>
              <w:t xml:space="preserve"> </w:t>
            </w:r>
            <w:r w:rsidRPr="006838CC">
              <w:t>when</w:t>
            </w:r>
            <w:r>
              <w:t xml:space="preserve"> and how individuals access their superannuation.</w:t>
            </w:r>
          </w:p>
          <w:p w:rsidR="007C51D1" w:rsidRDefault="007C51D1" w:rsidP="005939B8">
            <w:pPr>
              <w:pStyle w:val="Box"/>
              <w:spacing w:before="80"/>
              <w:rPr>
                <w:lang w:eastAsia="en-US"/>
              </w:rPr>
            </w:pPr>
            <w:r>
              <w:rPr>
                <w:lang w:eastAsia="en-US"/>
              </w:rPr>
              <w:t>T</w:t>
            </w:r>
            <w:r w:rsidRPr="00FE288B">
              <w:rPr>
                <w:lang w:eastAsia="en-US"/>
              </w:rPr>
              <w:t>he preservation age — the age at which people can access their superannuation savings — is considered by some to be an important policy lever in managing the transition to an older Australia</w:t>
            </w:r>
            <w:r>
              <w:rPr>
                <w:lang w:eastAsia="en-US"/>
              </w:rPr>
              <w:t xml:space="preserve">. The Commission has found that, consistent with expectations, raising the preservation age encourages some people to work longer and accumulate more superannuation. </w:t>
            </w:r>
          </w:p>
          <w:p w:rsidR="007C51D1" w:rsidRDefault="007C51D1" w:rsidP="005939B8">
            <w:pPr>
              <w:pStyle w:val="Box"/>
              <w:spacing w:before="80"/>
            </w:pPr>
            <w:r>
              <w:rPr>
                <w:lang w:eastAsia="en-US"/>
              </w:rPr>
              <w:t xml:space="preserve">Modelling undertaken by the Commission in order to better understand the response of individuals to a gradual increase in the preservation age to 65 suggests that: </w:t>
            </w:r>
          </w:p>
          <w:p w:rsidR="007C51D1" w:rsidRDefault="007C51D1" w:rsidP="005939B8">
            <w:pPr>
              <w:pStyle w:val="BoxListBullet"/>
              <w:spacing w:before="80"/>
            </w:pPr>
            <w:r>
              <w:t xml:space="preserve">there will be a modest increase in the participation rate of older workers (of around 2 percentage points in 2055) — mainly among those with higher wealth at or near retirement </w:t>
            </w:r>
          </w:p>
          <w:p w:rsidR="007C51D1" w:rsidRDefault="007C51D1" w:rsidP="005939B8">
            <w:pPr>
              <w:pStyle w:val="BoxListBullet"/>
              <w:spacing w:before="80"/>
            </w:pPr>
            <w:r>
              <w:t>households that delay their retirement are likely to do so by around two years and will have superannuation balances around 10 per cent larger in real terms when they retire</w:t>
            </w:r>
          </w:p>
          <w:p w:rsidR="007C51D1" w:rsidRDefault="007C51D1" w:rsidP="005939B8">
            <w:pPr>
              <w:pStyle w:val="BoxListBullet"/>
              <w:spacing w:before="80"/>
            </w:pPr>
            <w:r>
              <w:t xml:space="preserve">there will be an indicative annual fiscal improvement of </w:t>
            </w:r>
            <w:r w:rsidRPr="00496CCB">
              <w:t>around $7 billion</w:t>
            </w:r>
            <w:r>
              <w:t xml:space="preserve"> (in 2015 prices) in 2055 — mainly due to tax revenue increases from wealthier households </w:t>
            </w:r>
          </w:p>
          <w:p w:rsidR="007C51D1" w:rsidRPr="001C110B" w:rsidRDefault="007C51D1" w:rsidP="005939B8">
            <w:pPr>
              <w:pStyle w:val="BoxListBullet"/>
              <w:spacing w:before="80"/>
            </w:pPr>
            <w:r>
              <w:t>changing the preservation age will have little, if any, impact on the workforce participation of individuals who retire involuntarily — almost one half of men and over one</w:t>
            </w:r>
            <w:r>
              <w:noBreakHyphen/>
              <w:t xml:space="preserve">third of women who retire between the ages of 60 and 64. </w:t>
            </w:r>
          </w:p>
          <w:p w:rsidR="007C51D1" w:rsidRPr="00E67328" w:rsidRDefault="007C51D1" w:rsidP="005939B8">
            <w:pPr>
              <w:pStyle w:val="Box"/>
              <w:spacing w:before="80"/>
              <w:rPr>
                <w:szCs w:val="24"/>
              </w:rPr>
            </w:pPr>
            <w:r>
              <w:t>Once they have access to their superannuation savings, individuals are afforded much flexibility in drawing them down.</w:t>
            </w:r>
            <w:r w:rsidRPr="00E67328">
              <w:t xml:space="preserve"> </w:t>
            </w:r>
            <w:r>
              <w:t xml:space="preserve">Some consider that this discretion is desirable given the </w:t>
            </w:r>
            <w:r w:rsidRPr="00E67328">
              <w:t>divers</w:t>
            </w:r>
            <w:r>
              <w:t>e</w:t>
            </w:r>
            <w:r w:rsidRPr="00E67328">
              <w:t xml:space="preserve"> </w:t>
            </w:r>
            <w:r>
              <w:t>circumstances of</w:t>
            </w:r>
            <w:r w:rsidRPr="00E67328">
              <w:t xml:space="preserve"> retirees</w:t>
            </w:r>
            <w:r>
              <w:t xml:space="preserve">. Others are concerned that it </w:t>
            </w:r>
            <w:r w:rsidRPr="00E67328">
              <w:t>encourag</w:t>
            </w:r>
            <w:r>
              <w:t>es</w:t>
            </w:r>
            <w:r w:rsidRPr="00E67328">
              <w:t xml:space="preserve"> </w:t>
            </w:r>
            <w:r>
              <w:t>individuals</w:t>
            </w:r>
            <w:r w:rsidRPr="00E67328">
              <w:t xml:space="preserve"> to exhaust their superannuation too quickly</w:t>
            </w:r>
            <w:r>
              <w:t xml:space="preserve"> by taking lump sums and leads to more reliance on the Age Pension</w:t>
            </w:r>
            <w:r w:rsidRPr="00E67328">
              <w:t>.</w:t>
            </w:r>
          </w:p>
          <w:p w:rsidR="007C51D1" w:rsidRDefault="007C51D1" w:rsidP="005939B8">
            <w:pPr>
              <w:pStyle w:val="Box"/>
              <w:spacing w:before="80"/>
              <w:rPr>
                <w:szCs w:val="24"/>
              </w:rPr>
            </w:pPr>
            <w:r>
              <w:t>The evidence suggests that most retirees are prudent in their drawdown behaviour. Less than 30 per cent of superannuation benefits are taken as lump sums</w:t>
            </w:r>
            <w:r w:rsidRPr="00E67328">
              <w:t xml:space="preserve">. When </w:t>
            </w:r>
            <w:r>
              <w:t>retirees do take</w:t>
            </w:r>
            <w:r w:rsidRPr="00E67328">
              <w:t xml:space="preserve"> lump sums, </w:t>
            </w:r>
            <w:r>
              <w:t xml:space="preserve">they </w:t>
            </w:r>
            <w:r w:rsidRPr="00E67328">
              <w:t>are most frequently used to</w:t>
            </w:r>
            <w:r>
              <w:t xml:space="preserve"> </w:t>
            </w:r>
            <w:r w:rsidRPr="00E67328">
              <w:t>pay down debt</w:t>
            </w:r>
            <w:r>
              <w:t>,</w:t>
            </w:r>
            <w:r w:rsidRPr="00E67328">
              <w:t xml:space="preserve"> invest in income stream products</w:t>
            </w:r>
            <w:r>
              <w:t>,</w:t>
            </w:r>
            <w:r w:rsidRPr="00E67328">
              <w:t xml:space="preserve"> and purchase durable goods</w:t>
            </w:r>
            <w:r>
              <w:t xml:space="preserve"> that are used throughout retirement</w:t>
            </w:r>
            <w:r w:rsidRPr="00E67328">
              <w:t>.</w:t>
            </w:r>
          </w:p>
          <w:p w:rsidR="007C51D1" w:rsidRPr="00E67328" w:rsidRDefault="007C51D1" w:rsidP="005939B8">
            <w:pPr>
              <w:pStyle w:val="Box"/>
              <w:spacing w:before="80"/>
              <w:rPr>
                <w:szCs w:val="24"/>
              </w:rPr>
            </w:pPr>
            <w:r w:rsidRPr="00E67328">
              <w:t>Lump sum use is not uniform, and is most prevalent among those with low superannuation balances</w:t>
            </w:r>
            <w:r>
              <w:t xml:space="preserve"> (less than $10 000). </w:t>
            </w:r>
            <w:r w:rsidRPr="00E67328">
              <w:t xml:space="preserve">These </w:t>
            </w:r>
            <w:r>
              <w:t xml:space="preserve">households </w:t>
            </w:r>
            <w:r w:rsidRPr="00E67328">
              <w:t>tend to take</w:t>
            </w:r>
            <w:r>
              <w:t xml:space="preserve"> </w:t>
            </w:r>
            <w:r w:rsidRPr="00E67328">
              <w:t>between half and all of their superannuation assets as a lump sum.</w:t>
            </w:r>
            <w:r>
              <w:t xml:space="preserve"> The evidence suggests that this behaviour has little impact on Age Pension reliance.</w:t>
            </w:r>
          </w:p>
          <w:p w:rsidR="007C51D1" w:rsidRDefault="007C51D1" w:rsidP="005939B8">
            <w:pPr>
              <w:pStyle w:val="Box"/>
              <w:rPr>
                <w:szCs w:val="24"/>
              </w:rPr>
            </w:pPr>
            <w:r>
              <w:t>In undertaking its analysis, the Commission has identified a</w:t>
            </w:r>
            <w:r w:rsidRPr="003156C1">
              <w:t xml:space="preserve"> range of </w:t>
            </w:r>
            <w:r>
              <w:t xml:space="preserve">policy </w:t>
            </w:r>
            <w:r w:rsidRPr="003156C1">
              <w:t xml:space="preserve">areas </w:t>
            </w:r>
            <w:r>
              <w:t>that warrant further and collective attention</w:t>
            </w:r>
            <w:r w:rsidRPr="003156C1">
              <w:t>. These include</w:t>
            </w:r>
            <w:r>
              <w:t>:</w:t>
            </w:r>
          </w:p>
          <w:p w:rsidR="007C51D1" w:rsidRDefault="007C51D1" w:rsidP="005939B8">
            <w:pPr>
              <w:pStyle w:val="BoxListBullet"/>
              <w:spacing w:before="80"/>
              <w:rPr>
                <w:szCs w:val="24"/>
              </w:rPr>
            </w:pPr>
            <w:r>
              <w:t xml:space="preserve">how </w:t>
            </w:r>
            <w:r w:rsidRPr="003156C1">
              <w:t>involuntary retirement</w:t>
            </w:r>
            <w:r>
              <w:t xml:space="preserve"> impacts policy outcomes</w:t>
            </w:r>
          </w:p>
          <w:p w:rsidR="007C51D1" w:rsidRDefault="007C51D1" w:rsidP="005939B8">
            <w:pPr>
              <w:pStyle w:val="BoxListBullet"/>
              <w:spacing w:before="80"/>
              <w:rPr>
                <w:szCs w:val="24"/>
              </w:rPr>
            </w:pPr>
            <w:r>
              <w:t xml:space="preserve">the way in which </w:t>
            </w:r>
            <w:r w:rsidRPr="003156C1">
              <w:t xml:space="preserve">incentives </w:t>
            </w:r>
            <w:r>
              <w:t>inherent in the retirement income system affect individuals’ savings and retirement decisions</w:t>
            </w:r>
          </w:p>
          <w:p w:rsidR="007C51D1" w:rsidRPr="00313A99" w:rsidRDefault="007C51D1" w:rsidP="005939B8">
            <w:pPr>
              <w:pStyle w:val="BoxListBullet"/>
              <w:rPr>
                <w:szCs w:val="24"/>
              </w:rPr>
            </w:pPr>
            <w:proofErr w:type="gramStart"/>
            <w:r w:rsidRPr="00313A99">
              <w:t>how</w:t>
            </w:r>
            <w:proofErr w:type="gramEnd"/>
            <w:r w:rsidRPr="00313A99">
              <w:t xml:space="preserve"> the retirement income system can better cater for the diverse circumstances </w:t>
            </w:r>
            <w:r>
              <w:t xml:space="preserve">and needs </w:t>
            </w:r>
            <w:r w:rsidRPr="00313A99">
              <w:t>of retirees</w:t>
            </w:r>
            <w:r>
              <w:t xml:space="preserve">, particularly </w:t>
            </w:r>
            <w:r w:rsidRPr="00313A99">
              <w:t>in the drawdown stage</w:t>
            </w:r>
            <w:r>
              <w:t xml:space="preserve"> where ‘one</w:t>
            </w:r>
            <w:r>
              <w:noBreakHyphen/>
              <w:t>size’ never fits all</w:t>
            </w:r>
            <w:r w:rsidRPr="00313A99">
              <w:t>.</w:t>
            </w:r>
          </w:p>
          <w:p w:rsidR="007C51D1" w:rsidRPr="00850AD0" w:rsidRDefault="007C51D1" w:rsidP="005939B8">
            <w:pPr>
              <w:pStyle w:val="BoxListBullet"/>
              <w:spacing w:before="80"/>
              <w:rPr>
                <w:szCs w:val="24"/>
              </w:rPr>
            </w:pPr>
            <w:proofErr w:type="gramStart"/>
            <w:r>
              <w:t>how</w:t>
            </w:r>
            <w:proofErr w:type="gramEnd"/>
            <w:r>
              <w:t xml:space="preserve"> to best manage </w:t>
            </w:r>
            <w:r w:rsidRPr="003156C1">
              <w:t xml:space="preserve">longevity risk </w:t>
            </w:r>
            <w:r>
              <w:t xml:space="preserve">given the demographic transition underway. </w:t>
            </w:r>
          </w:p>
          <w:p w:rsidR="007C51D1" w:rsidRDefault="007C51D1" w:rsidP="005939B8">
            <w:pPr>
              <w:pStyle w:val="Box"/>
              <w:spacing w:before="100"/>
              <w:rPr>
                <w:szCs w:val="24"/>
              </w:rPr>
            </w:pPr>
            <w:r w:rsidRPr="00AF2BFC">
              <w:t>The retirement income system has seen ongoing change to its components, albeit with less focus on the drawdown phase. But its overarching objectives remain poorly defined. Ideally, future changes to the system would be guided by a common set of objectives, informed by the principles of sustainability and efficacy, and considered as part of a holistic review</w:t>
            </w:r>
            <w:r>
              <w:t xml:space="preserve"> involving considered and extensive community consultation</w:t>
            </w:r>
            <w:r w:rsidRPr="00AF2BFC">
              <w:t>.</w:t>
            </w:r>
          </w:p>
        </w:tc>
      </w:tr>
      <w:tr w:rsidR="007C51D1" w:rsidTr="005939B8">
        <w:tc>
          <w:tcPr>
            <w:tcW w:w="8789" w:type="dxa"/>
            <w:tcBorders>
              <w:top w:val="nil"/>
              <w:left w:val="nil"/>
              <w:bottom w:val="single" w:sz="4" w:space="0" w:color="78A22F" w:themeColor="accent1"/>
              <w:right w:val="nil"/>
            </w:tcBorders>
            <w:shd w:val="clear" w:color="auto" w:fill="E5F1D0"/>
          </w:tcPr>
          <w:p w:rsidR="007C51D1" w:rsidRDefault="007C51D1">
            <w:pPr>
              <w:pStyle w:val="Box"/>
              <w:spacing w:before="0" w:line="120" w:lineRule="exact"/>
            </w:pPr>
          </w:p>
        </w:tc>
      </w:tr>
      <w:tr w:rsidR="007C51D1" w:rsidTr="005939B8">
        <w:tc>
          <w:tcPr>
            <w:tcW w:w="8789" w:type="dxa"/>
            <w:tcBorders>
              <w:top w:val="single" w:sz="4" w:space="0" w:color="78A22F" w:themeColor="accent1"/>
              <w:left w:val="nil"/>
              <w:bottom w:val="nil"/>
              <w:right w:val="nil"/>
            </w:tcBorders>
          </w:tcPr>
          <w:p w:rsidR="007C51D1" w:rsidRDefault="007C51D1">
            <w:pPr>
              <w:pStyle w:val="Box"/>
              <w:keepNext w:val="0"/>
              <w:spacing w:before="60" w:after="60" w:line="80" w:lineRule="exact"/>
            </w:pPr>
          </w:p>
        </w:tc>
      </w:tr>
    </w:tbl>
    <w:p w:rsidR="007C51D1" w:rsidRDefault="007C51D1" w:rsidP="005939B8">
      <w:pPr>
        <w:pStyle w:val="Heading1"/>
      </w:pPr>
      <w:bookmarkStart w:id="3" w:name="ChapterTitle"/>
      <w:bookmarkEnd w:id="1"/>
      <w:r>
        <w:lastRenderedPageBreak/>
        <w:t>Overview</w:t>
      </w:r>
      <w:bookmarkEnd w:id="3"/>
    </w:p>
    <w:p w:rsidR="007C51D1" w:rsidRDefault="007C51D1" w:rsidP="00EE5E83">
      <w:pPr>
        <w:pStyle w:val="Heading2nosectionno"/>
      </w:pPr>
      <w:bookmarkStart w:id="4" w:name="begin"/>
      <w:bookmarkEnd w:id="4"/>
      <w:r>
        <w:t>Ageing will increase demands on the retirement income system</w:t>
      </w:r>
    </w:p>
    <w:p w:rsidR="007C51D1" w:rsidRDefault="007C51D1" w:rsidP="005939B8">
      <w:pPr>
        <w:pStyle w:val="BodyText"/>
      </w:pPr>
      <w:r>
        <w:t>Australia’s population is changing — people are living longer and the share of the elderly is increasing. Coming decades will see this trend continue, with the proportion of the population aged 65 or over expected to increase from one in seven today to around one in four by 2055. By 2055, there will be less than three individuals of working age for each older Australian (figure 1(</w:t>
      </w:r>
      <w:proofErr w:type="spellStart"/>
      <w:r>
        <w:t>i</w:t>
      </w:r>
      <w:proofErr w:type="spellEnd"/>
      <w:r>
        <w:t>)).</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0104EF" w:rsidRDefault="007C51D1" w:rsidP="005939B8">
            <w:pPr>
              <w:pStyle w:val="ListNumber"/>
              <w:keepNext/>
              <w:keepLines/>
              <w:numPr>
                <w:ilvl w:val="0"/>
                <w:numId w:val="0"/>
              </w:numPr>
              <w:spacing w:after="80" w:line="280" w:lineRule="exact"/>
              <w:ind w:left="1474" w:hanging="1474"/>
              <w:jc w:val="left"/>
              <w:rPr>
                <w:b/>
              </w:rPr>
            </w:pPr>
            <w:r w:rsidRPr="000104EF">
              <w:rPr>
                <w:rFonts w:ascii="Arial" w:hAnsi="Arial"/>
                <w:szCs w:val="24"/>
              </w:rPr>
              <w:t>Figure</w:t>
            </w:r>
            <w:r>
              <w:rPr>
                <w:rFonts w:ascii="Arial" w:hAnsi="Arial"/>
                <w:szCs w:val="24"/>
              </w:rPr>
              <w:t> 1</w:t>
            </w:r>
            <w:r>
              <w:tab/>
            </w:r>
            <w:r>
              <w:rPr>
                <w:rFonts w:ascii="Arial" w:hAnsi="Arial"/>
                <w:b/>
                <w:szCs w:val="24"/>
              </w:rPr>
              <w:t xml:space="preserve">Demographic change will impact government </w:t>
            </w:r>
            <w:r w:rsidRPr="000104EF">
              <w:rPr>
                <w:rFonts w:ascii="Arial" w:hAnsi="Arial"/>
                <w:b/>
                <w:szCs w:val="24"/>
              </w:rPr>
              <w:t>expenditure</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3956"/>
              <w:gridCol w:w="4548"/>
            </w:tblGrid>
            <w:tr w:rsidR="007C51D1" w:rsidTr="005939B8">
              <w:trPr>
                <w:jc w:val="center"/>
              </w:trPr>
              <w:tc>
                <w:tcPr>
                  <w:tcW w:w="3956" w:type="dxa"/>
                  <w:tcBorders>
                    <w:top w:val="nil"/>
                    <w:bottom w:val="nil"/>
                  </w:tcBorders>
                </w:tcPr>
                <w:p w:rsidR="007C51D1" w:rsidRDefault="007C51D1" w:rsidP="002F3505">
                  <w:pPr>
                    <w:pStyle w:val="Figure"/>
                    <w:spacing w:before="60" w:after="60"/>
                    <w:ind w:left="129"/>
                    <w:jc w:val="left"/>
                    <w:rPr>
                      <w:szCs w:val="24"/>
                    </w:rPr>
                  </w:pPr>
                  <w:r w:rsidRPr="00E424BC">
                    <w:rPr>
                      <w:rFonts w:ascii="Arial" w:hAnsi="Arial" w:cs="Arial"/>
                      <w:b/>
                      <w:sz w:val="20"/>
                    </w:rPr>
                    <w:t>(</w:t>
                  </w:r>
                  <w:proofErr w:type="spellStart"/>
                  <w:r w:rsidRPr="00E424BC">
                    <w:rPr>
                      <w:rFonts w:ascii="Arial" w:hAnsi="Arial" w:cs="Arial"/>
                      <w:b/>
                      <w:sz w:val="20"/>
                    </w:rPr>
                    <w:t>i</w:t>
                  </w:r>
                  <w:proofErr w:type="spellEnd"/>
                  <w:r>
                    <w:rPr>
                      <w:rFonts w:ascii="Arial" w:hAnsi="Arial" w:cs="Arial"/>
                      <w:b/>
                      <w:sz w:val="20"/>
                    </w:rPr>
                    <w:t xml:space="preserve">) </w:t>
                  </w:r>
                  <w:r w:rsidRPr="000104EF">
                    <w:rPr>
                      <w:rFonts w:ascii="Arial" w:hAnsi="Arial" w:cs="Arial"/>
                      <w:b/>
                      <w:sz w:val="20"/>
                    </w:rPr>
                    <w:t>Number of people aged over 65 per hundred people aged 15</w:t>
                  </w:r>
                  <w:r>
                    <w:rPr>
                      <w:rFonts w:ascii="Arial" w:hAnsi="Arial" w:cs="Arial"/>
                      <w:b/>
                      <w:sz w:val="20"/>
                    </w:rPr>
                    <w:noBreakHyphen/>
                  </w:r>
                  <w:r w:rsidRPr="000104EF">
                    <w:rPr>
                      <w:rFonts w:ascii="Arial" w:hAnsi="Arial" w:cs="Arial"/>
                      <w:b/>
                      <w:sz w:val="20"/>
                    </w:rPr>
                    <w:t>64</w:t>
                  </w:r>
                  <w:r w:rsidR="002F3505">
                    <w:rPr>
                      <w:rFonts w:ascii="Arial" w:hAnsi="Arial" w:cs="Arial"/>
                      <w:b/>
                      <w:sz w:val="20"/>
                    </w:rPr>
                    <w:t xml:space="preserve"> </w:t>
                  </w:r>
                </w:p>
              </w:tc>
              <w:tc>
                <w:tcPr>
                  <w:tcW w:w="4548" w:type="dxa"/>
                  <w:tcBorders>
                    <w:top w:val="nil"/>
                    <w:bottom w:val="nil"/>
                  </w:tcBorders>
                </w:tcPr>
                <w:p w:rsidR="007C51D1" w:rsidRPr="00A540F6" w:rsidRDefault="007C51D1" w:rsidP="002F3505">
                  <w:pPr>
                    <w:pStyle w:val="Figure"/>
                    <w:spacing w:before="60" w:after="60"/>
                    <w:ind w:left="142"/>
                    <w:rPr>
                      <w:rFonts w:ascii="Arial" w:hAnsi="Arial" w:cs="Arial"/>
                      <w:b/>
                      <w:sz w:val="20"/>
                    </w:rPr>
                  </w:pPr>
                  <w:r>
                    <w:rPr>
                      <w:rFonts w:ascii="Arial" w:hAnsi="Arial" w:cs="Arial"/>
                      <w:b/>
                      <w:sz w:val="20"/>
                    </w:rPr>
                    <w:t xml:space="preserve">(ii) </w:t>
                  </w:r>
                  <w:r w:rsidRPr="000104EF">
                    <w:rPr>
                      <w:rFonts w:ascii="Arial" w:hAnsi="Arial" w:cs="Arial"/>
                      <w:b/>
                      <w:sz w:val="20"/>
                    </w:rPr>
                    <w:t>Age</w:t>
                  </w:r>
                  <w:r>
                    <w:rPr>
                      <w:rFonts w:ascii="Arial" w:hAnsi="Arial" w:cs="Arial"/>
                      <w:b/>
                      <w:sz w:val="20"/>
                    </w:rPr>
                    <w:noBreakHyphen/>
                  </w:r>
                  <w:r w:rsidRPr="000104EF">
                    <w:rPr>
                      <w:rFonts w:ascii="Arial" w:hAnsi="Arial" w:cs="Arial"/>
                      <w:b/>
                      <w:sz w:val="20"/>
                    </w:rPr>
                    <w:t>related government expenditure</w:t>
                  </w:r>
                </w:p>
              </w:tc>
            </w:tr>
            <w:tr w:rsidR="002F3505" w:rsidTr="005939B8">
              <w:trPr>
                <w:jc w:val="center"/>
              </w:trPr>
              <w:tc>
                <w:tcPr>
                  <w:tcW w:w="3956" w:type="dxa"/>
                  <w:tcBorders>
                    <w:top w:val="nil"/>
                    <w:bottom w:val="nil"/>
                  </w:tcBorders>
                </w:tcPr>
                <w:p w:rsidR="002F3505" w:rsidRPr="00E424BC" w:rsidRDefault="002F3505" w:rsidP="002F3505">
                  <w:pPr>
                    <w:pStyle w:val="Figure"/>
                    <w:spacing w:before="60" w:after="60"/>
                    <w:ind w:left="129"/>
                    <w:jc w:val="left"/>
                    <w:rPr>
                      <w:rFonts w:ascii="Arial" w:hAnsi="Arial" w:cs="Arial"/>
                      <w:b/>
                      <w:sz w:val="20"/>
                    </w:rPr>
                  </w:pPr>
                  <w:r>
                    <w:rPr>
                      <w:rFonts w:ascii="Arial" w:hAnsi="Arial" w:cs="Arial"/>
                      <w:b/>
                      <w:noProof/>
                      <w:sz w:val="20"/>
                    </w:rPr>
                    <w:drawing>
                      <wp:inline distT="0" distB="0" distL="0" distR="0">
                        <wp:extent cx="2347200" cy="2610000"/>
                        <wp:effectExtent l="0" t="0" r="0" b="0"/>
                        <wp:docPr id="186" name="Picture 186" descr="Figure 1 Demographic change will impact government expenditure.&#10;(i) Number of people aged over 65 per hundred people aged 15-64. This chart depicts the number of over 65 year olds per 100 15-64 year olds in ten year increments from 1995 to 2055. The number is steadily increasing, beginning at just under 20 in 1995 and around 40 in 205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47200" cy="2610000"/>
                                </a:xfrm>
                                <a:prstGeom prst="rect">
                                  <a:avLst/>
                                </a:prstGeom>
                                <a:noFill/>
                                <a:ln>
                                  <a:noFill/>
                                </a:ln>
                              </pic:spPr>
                            </pic:pic>
                          </a:graphicData>
                        </a:graphic>
                      </wp:inline>
                    </w:drawing>
                  </w:r>
                </w:p>
              </w:tc>
              <w:tc>
                <w:tcPr>
                  <w:tcW w:w="4548" w:type="dxa"/>
                  <w:tcBorders>
                    <w:top w:val="nil"/>
                    <w:bottom w:val="nil"/>
                  </w:tcBorders>
                </w:tcPr>
                <w:p w:rsidR="002F3505" w:rsidRDefault="004B5F35" w:rsidP="002F3505">
                  <w:pPr>
                    <w:pStyle w:val="Figure"/>
                    <w:spacing w:before="60" w:after="60"/>
                    <w:ind w:left="142"/>
                    <w:rPr>
                      <w:rFonts w:ascii="Arial" w:hAnsi="Arial" w:cs="Arial"/>
                      <w:b/>
                      <w:sz w:val="20"/>
                    </w:rPr>
                  </w:pPr>
                  <w:r>
                    <w:rPr>
                      <w:rFonts w:ascii="Arial" w:hAnsi="Arial" w:cs="Arial"/>
                      <w:b/>
                      <w:noProof/>
                      <w:sz w:val="20"/>
                    </w:rPr>
                    <w:drawing>
                      <wp:inline distT="0" distB="0" distL="0" distR="0">
                        <wp:extent cx="2366533" cy="2628000"/>
                        <wp:effectExtent l="0" t="0" r="0" b="1270"/>
                        <wp:docPr id="229" name="Picture 229" descr="(ii) Age-related government expenditure, 2011-12. This figure shows the expenditure per person across various government expenditures and for five year age groups up to 100 years and over. Spending is much higher for older people, increasing significantly between ages 60 and 95. Health, the Age Pension and aged care are make up most of the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66533" cy="2628000"/>
                                </a:xfrm>
                                <a:prstGeom prst="rect">
                                  <a:avLst/>
                                </a:prstGeom>
                                <a:noFill/>
                                <a:ln>
                                  <a:noFill/>
                                </a:ln>
                              </pic:spPr>
                            </pic:pic>
                          </a:graphicData>
                        </a:graphic>
                      </wp:inline>
                    </w:drawing>
                  </w:r>
                </w:p>
              </w:tc>
            </w:tr>
          </w:tbl>
          <w:p w:rsidR="007C51D1" w:rsidRDefault="007C51D1" w:rsidP="005939B8">
            <w:pPr>
              <w:pStyle w:val="Figure"/>
            </w:pP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The demographic transition underway will give rise to major social and economic change as more Australians make calls on the Age Pension and the health and aged care systems (figure 1(ii)). The fiscal implications of an ageing population have been explored extensively by the Commission and others. What has not been examined in detail is how well the retirement income system is placed to deal with these changes, and how its reform might ease these pressures while delivering sustainable retirement incomes for older Australians. </w:t>
      </w:r>
    </w:p>
    <w:p w:rsidR="007C51D1" w:rsidRDefault="007C51D1" w:rsidP="005939B8">
      <w:pPr>
        <w:pStyle w:val="BodyText"/>
      </w:pPr>
      <w:r>
        <w:lastRenderedPageBreak/>
        <w:t>The Commission has sought to advance understanding of these issues by addressing two questions.</w:t>
      </w:r>
    </w:p>
    <w:p w:rsidR="007C51D1" w:rsidRDefault="007C51D1" w:rsidP="005939B8">
      <w:pPr>
        <w:pStyle w:val="ListBullet"/>
      </w:pPr>
      <w:r>
        <w:t>What might happen if the age that individuals can access their superannuation (the ‘preservation age’) were raised?</w:t>
      </w:r>
    </w:p>
    <w:p w:rsidR="007C51D1" w:rsidRDefault="007C51D1" w:rsidP="005939B8">
      <w:pPr>
        <w:pStyle w:val="ListBullet"/>
      </w:pPr>
      <w:proofErr w:type="gramStart"/>
      <w:r>
        <w:t>Is the way people</w:t>
      </w:r>
      <w:proofErr w:type="gramEnd"/>
      <w:r>
        <w:t xml:space="preserve"> draw down their superannuation, and in particular, the use of lump sums, problematic?</w:t>
      </w:r>
    </w:p>
    <w:p w:rsidR="007C51D1" w:rsidRDefault="007C51D1" w:rsidP="005939B8">
      <w:pPr>
        <w:pStyle w:val="BodyText"/>
      </w:pPr>
      <w:r>
        <w:t>Notwithstanding this focused approach, the Commission has considered the broader retirement income landscape and the interplay between its parts.</w:t>
      </w:r>
    </w:p>
    <w:p w:rsidR="007C51D1" w:rsidRDefault="007C51D1" w:rsidP="005939B8">
      <w:pPr>
        <w:pStyle w:val="Heading3"/>
      </w:pPr>
      <w:r>
        <w:t>How well placed is the retirement income system?</w:t>
      </w:r>
    </w:p>
    <w:p w:rsidR="007C51D1" w:rsidRDefault="007C51D1" w:rsidP="005939B8">
      <w:pPr>
        <w:pStyle w:val="BodyText"/>
      </w:pPr>
      <w:r w:rsidRPr="00706618">
        <w:t>Australia’s retirement income system</w:t>
      </w:r>
      <w:r>
        <w:t xml:space="preserve"> comprises ‘three pillars’ —</w:t>
      </w:r>
      <w:r w:rsidRPr="00706618">
        <w:t xml:space="preserve"> </w:t>
      </w:r>
      <w:r>
        <w:t>the Age Pension, compulsory saving through the Superannuation Guarantee and voluntary savings</w:t>
      </w:r>
      <w:r w:rsidRPr="00706618">
        <w:t xml:space="preserve">. </w:t>
      </w:r>
    </w:p>
    <w:p w:rsidR="007C51D1" w:rsidRDefault="007C51D1" w:rsidP="005939B8">
      <w:pPr>
        <w:pStyle w:val="BodyText"/>
      </w:pPr>
      <w:r>
        <w:t>The Age Pension had its genesis at the turn of the last century and its provisions reflect those origins. At that time,</w:t>
      </w:r>
      <w:r w:rsidRPr="00A27197">
        <w:t xml:space="preserve"> </w:t>
      </w:r>
      <w:r>
        <w:t>a man aged 65 years could expect to live around 14 more</w:t>
      </w:r>
      <w:r w:rsidRPr="00CD6065">
        <w:t xml:space="preserve"> </w:t>
      </w:r>
      <w:r>
        <w:t xml:space="preserve">years, whereas a man born today who reaches the age of </w:t>
      </w:r>
      <w:proofErr w:type="gramStart"/>
      <w:r>
        <w:t>65,</w:t>
      </w:r>
      <w:proofErr w:type="gramEnd"/>
      <w:r>
        <w:t xml:space="preserve"> can expect to more than double this time in retirement. A number of policy changes over recent years have sought to better align the Age Pension with Australia’s demographic future. The Age Pension age for women has been gradually increased from 60 to 65 years. And the eligibility age for both men and women is scheduled to increase to 67 years between 2017 and 2023.</w:t>
      </w:r>
      <w:r w:rsidRPr="006A16BC">
        <w:rPr>
          <w:rStyle w:val="FootnoteReference"/>
        </w:rPr>
        <w:footnoteReference w:id="1"/>
      </w:r>
    </w:p>
    <w:p w:rsidR="007C51D1" w:rsidRDefault="007C51D1" w:rsidP="005939B8">
      <w:pPr>
        <w:pStyle w:val="BodyText"/>
      </w:pPr>
      <w:r>
        <w:t>Relative to the Age Pension, Australia’s compulsory superannuation contribution scheme is a policy newcomer. It was designed to increase individual lifetime savings and act as a supplement to improve post</w:t>
      </w:r>
      <w:r>
        <w:noBreakHyphen/>
        <w:t xml:space="preserve">retirement living standards above what can be afforded by the Age Pension. Since 1992, employers have been required to contribute a share of their employees’ ordinary time earnings into superannuation. That share is currently 9.5 per cent and is scheduled to increase to 12 per cent by 2026. The majority of people retiring today have only made compulsory superannuation contributions for part of their working lives, and only then at comparatively low rates. </w:t>
      </w:r>
    </w:p>
    <w:p w:rsidR="007C51D1" w:rsidRDefault="007C51D1" w:rsidP="005939B8">
      <w:pPr>
        <w:pStyle w:val="BodyText"/>
      </w:pPr>
      <w:r>
        <w:t>People have always been able to save privately for their own retirement and governments have long encouraged this behaviour, including by providing incentives such as superannuation co</w:t>
      </w:r>
      <w:r>
        <w:noBreakHyphen/>
        <w:t>contributions and tax concessions. While much focus is placed on voluntary superannuation savings, people also save for their retirement outside of the superannuation system, including through real estate,</w:t>
      </w:r>
      <w:r w:rsidRPr="001D1E66">
        <w:t xml:space="preserve"> </w:t>
      </w:r>
      <w:r>
        <w:t xml:space="preserve">shares and bonds. </w:t>
      </w:r>
    </w:p>
    <w:p w:rsidR="007C51D1" w:rsidRDefault="007C51D1" w:rsidP="005939B8">
      <w:pPr>
        <w:pStyle w:val="BodyText"/>
      </w:pPr>
      <w:r>
        <w:t>The three pillars have been subject to ongoing and piecemeal changes, many of which have focused on the accumulation of retirement savings. The disparate and slow</w:t>
      </w:r>
      <w:r>
        <w:noBreakHyphen/>
        <w:t xml:space="preserve">moving pace of </w:t>
      </w:r>
      <w:r>
        <w:lastRenderedPageBreak/>
        <w:t>these changes, combined with long lead times, has meant that policy settings have tended to lag improvements in life expectancy (figure 2).</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rPr>
                <w:rStyle w:val="NoteLabel"/>
                <w:b/>
              </w:rPr>
            </w:pPr>
            <w:r w:rsidRPr="00784A05">
              <w:rPr>
                <w:b w:val="0"/>
              </w:rPr>
              <w:t>Figure</w:t>
            </w:r>
            <w:r>
              <w:rPr>
                <w:b w:val="0"/>
              </w:rPr>
              <w:t xml:space="preserve"> 2</w:t>
            </w:r>
            <w:r>
              <w:tab/>
              <w:t>Ageing quickly, changing slowly — the relevant policy settings</w:t>
            </w:r>
          </w:p>
          <w:p w:rsidR="007C51D1" w:rsidRPr="00176D3F" w:rsidRDefault="007C51D1" w:rsidP="005939B8">
            <w:pPr>
              <w:pStyle w:val="Subtitle"/>
            </w:pPr>
            <w:r>
              <w:t>Life expectancies, the Age Pension age, and average time spent under compulsory superannuation</w:t>
            </w:r>
            <w:r w:rsidRPr="00BF78C3">
              <w:rPr>
                <w:rStyle w:val="NoteLabel"/>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Tr="005939B8">
              <w:trPr>
                <w:trHeight w:val="177"/>
                <w:jc w:val="center"/>
              </w:trPr>
              <w:tc>
                <w:tcPr>
                  <w:tcW w:w="4252" w:type="dxa"/>
                  <w:tcBorders>
                    <w:top w:val="nil"/>
                    <w:bottom w:val="nil"/>
                  </w:tcBorders>
                </w:tcPr>
                <w:p w:rsidR="007C51D1" w:rsidRPr="000104EF" w:rsidRDefault="007C51D1" w:rsidP="005939B8">
                  <w:pPr>
                    <w:pStyle w:val="Figure"/>
                    <w:spacing w:before="60" w:after="60"/>
                    <w:rPr>
                      <w:rFonts w:asciiTheme="minorHAnsi" w:hAnsiTheme="minorHAnsi" w:cstheme="minorHAnsi"/>
                      <w:b/>
                      <w:noProof/>
                      <w:sz w:val="20"/>
                    </w:rPr>
                  </w:pPr>
                  <w:r w:rsidRPr="000104EF">
                    <w:rPr>
                      <w:rFonts w:asciiTheme="minorHAnsi" w:hAnsiTheme="minorHAnsi" w:cstheme="minorHAnsi"/>
                      <w:b/>
                      <w:noProof/>
                      <w:sz w:val="20"/>
                    </w:rPr>
                    <w:t>Men</w:t>
                  </w:r>
                </w:p>
                <w:p w:rsidR="007C51D1" w:rsidRDefault="007C51D1" w:rsidP="005939B8">
                  <w:pPr>
                    <w:pStyle w:val="Figure"/>
                    <w:spacing w:before="60" w:after="60"/>
                  </w:pPr>
                  <w:r>
                    <w:rPr>
                      <w:noProof/>
                    </w:rPr>
                    <w:drawing>
                      <wp:inline distT="0" distB="0" distL="0" distR="0" wp14:anchorId="001C1E96" wp14:editId="51CE1E4F">
                        <wp:extent cx="2562225" cy="2466975"/>
                        <wp:effectExtent l="0" t="0" r="9525" b="9525"/>
                        <wp:docPr id="37" name="Picture 37" descr="Figure 2 Ageing quickly, changing slowly - the relevant policy settings. These figures show (for men (LHS) and women (RHS) separately) the life expectancy, the average number of years under compulsory superannuation, the age pension age and the average number of years under compulsory superannuation at age 65, between the years of 1925 and 2055. It shows that life expectancies have grown over the period to 2015 faster than the other ser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62225" cy="2466975"/>
                                </a:xfrm>
                                <a:prstGeom prst="rect">
                                  <a:avLst/>
                                </a:prstGeom>
                                <a:noFill/>
                                <a:ln>
                                  <a:noFill/>
                                </a:ln>
                              </pic:spPr>
                            </pic:pic>
                          </a:graphicData>
                        </a:graphic>
                      </wp:inline>
                    </w:drawing>
                  </w:r>
                </w:p>
              </w:tc>
              <w:tc>
                <w:tcPr>
                  <w:tcW w:w="4252" w:type="dxa"/>
                  <w:tcBorders>
                    <w:top w:val="nil"/>
                    <w:bottom w:val="nil"/>
                  </w:tcBorders>
                </w:tcPr>
                <w:p w:rsidR="007C51D1" w:rsidRPr="000104EF" w:rsidRDefault="007C51D1" w:rsidP="005939B8">
                  <w:pPr>
                    <w:pStyle w:val="Figure"/>
                    <w:spacing w:before="60" w:after="60"/>
                    <w:rPr>
                      <w:rFonts w:asciiTheme="minorHAnsi" w:hAnsiTheme="minorHAnsi" w:cstheme="minorHAnsi"/>
                      <w:b/>
                      <w:noProof/>
                      <w:sz w:val="20"/>
                    </w:rPr>
                  </w:pPr>
                  <w:r w:rsidRPr="000104EF">
                    <w:rPr>
                      <w:rFonts w:asciiTheme="minorHAnsi" w:hAnsiTheme="minorHAnsi" w:cstheme="minorHAnsi"/>
                      <w:b/>
                      <w:noProof/>
                      <w:sz w:val="20"/>
                    </w:rPr>
                    <w:t>Women</w:t>
                  </w:r>
                </w:p>
                <w:p w:rsidR="007C51D1" w:rsidRDefault="007C51D1" w:rsidP="005939B8">
                  <w:pPr>
                    <w:pStyle w:val="Figure"/>
                    <w:spacing w:before="60" w:after="60"/>
                  </w:pPr>
                  <w:r>
                    <w:rPr>
                      <w:noProof/>
                    </w:rPr>
                    <w:drawing>
                      <wp:inline distT="0" distB="0" distL="0" distR="0" wp14:anchorId="6B6D90EB" wp14:editId="655D75E3">
                        <wp:extent cx="2562225" cy="2457450"/>
                        <wp:effectExtent l="0" t="0" r="9525" b="0"/>
                        <wp:docPr id="38" name="Picture 38" descr="Read preced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62225" cy="2457450"/>
                                </a:xfrm>
                                <a:prstGeom prst="rect">
                                  <a:avLst/>
                                </a:prstGeom>
                                <a:noFill/>
                                <a:ln>
                                  <a:noFill/>
                                </a:ln>
                              </pic:spPr>
                            </pic:pic>
                          </a:graphicData>
                        </a:graphic>
                      </wp:inline>
                    </w:drawing>
                  </w:r>
                </w:p>
              </w:tc>
            </w:tr>
            <w:tr w:rsidR="007C51D1" w:rsidTr="005939B8">
              <w:trPr>
                <w:trHeight w:val="176"/>
                <w:jc w:val="center"/>
              </w:trPr>
              <w:tc>
                <w:tcPr>
                  <w:tcW w:w="8504" w:type="dxa"/>
                  <w:gridSpan w:val="2"/>
                  <w:tcBorders>
                    <w:top w:val="nil"/>
                    <w:bottom w:val="nil"/>
                  </w:tcBorders>
                </w:tcPr>
                <w:p w:rsidR="007C51D1" w:rsidRDefault="007C51D1" w:rsidP="005939B8">
                  <w:pPr>
                    <w:pStyle w:val="Figure"/>
                    <w:spacing w:before="60" w:after="60"/>
                  </w:pPr>
                  <w:r>
                    <w:rPr>
                      <w:noProof/>
                    </w:rPr>
                    <w:drawing>
                      <wp:inline distT="0" distB="0" distL="0" distR="0" wp14:anchorId="4D8082AB" wp14:editId="5621C7F7">
                        <wp:extent cx="5257800" cy="742950"/>
                        <wp:effectExtent l="0" t="0" r="0" b="0"/>
                        <wp:docPr id="18" name="Picture 18" descr="legend for previous two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57800" cy="74295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Period life expectancies (the life expectancy at 65) are presented. Projections from 2012 onwards.</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bookmarkStart w:id="5" w:name="OLE_LINK1"/>
      <w:r>
        <w:t>Retirees will continue to rely heavily on the Age Pension</w:t>
      </w:r>
      <w:bookmarkEnd w:id="5"/>
    </w:p>
    <w:p w:rsidR="007C51D1" w:rsidRDefault="007C51D1" w:rsidP="005939B8">
      <w:pPr>
        <w:pStyle w:val="BodyText"/>
      </w:pPr>
      <w:r>
        <w:t xml:space="preserve">With the compulsory superannuation system decades away from maturity, superannuation savings are still relatively modest, both in terms of how long individuals might spend in retirement and relative to their other wealth holdings. </w:t>
      </w:r>
    </w:p>
    <w:p w:rsidR="007C51D1" w:rsidRDefault="007C51D1" w:rsidP="005939B8">
      <w:pPr>
        <w:pStyle w:val="BodyText"/>
      </w:pPr>
      <w:r>
        <w:t>Median superannuation balances for those aged 55</w:t>
      </w:r>
      <w:r>
        <w:noBreakHyphen/>
        <w:t>64 years in 2011</w:t>
      </w:r>
      <w:r>
        <w:noBreakHyphen/>
        <w:t>12 were just over $100 000, making up less than 15 per cent of their total net wealth. In comparison, the family home accounted for around half of household wealth, though it is not typically used to fund retirement (figure 3(</w:t>
      </w:r>
      <w:proofErr w:type="spellStart"/>
      <w:r>
        <w:t>i</w:t>
      </w:r>
      <w:proofErr w:type="spellEnd"/>
      <w:r>
        <w:t>)).</w:t>
      </w:r>
    </w:p>
    <w:p w:rsidR="007C51D1" w:rsidRDefault="007C51D1" w:rsidP="005939B8">
      <w:pPr>
        <w:pStyle w:val="BodyText"/>
      </w:pPr>
      <w:r w:rsidRPr="00496CCB">
        <w:t xml:space="preserve">Other private savings comprise the residual of net wealth, including the equity in rental properties and unincorporated businesses; the value of shares, bonds and debentures; </w:t>
      </w:r>
      <w:r>
        <w:t xml:space="preserve">and </w:t>
      </w:r>
      <w:r w:rsidRPr="00496CCB">
        <w:lastRenderedPageBreak/>
        <w:t>amount</w:t>
      </w:r>
      <w:r>
        <w:t>s</w:t>
      </w:r>
      <w:r w:rsidRPr="00496CCB">
        <w:t xml:space="preserve"> held in financial accounts. These other savings generally comprise a minority share of total net wealth</w:t>
      </w:r>
      <w:r>
        <w:t>.</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RPr="00176D3F"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3</w:t>
            </w:r>
            <w:r>
              <w:tab/>
              <w:t>Superannuation and net wealth in context</w:t>
            </w:r>
            <w:r w:rsidRPr="009C17CA">
              <w:rPr>
                <w:rStyle w:val="NoteLabel"/>
                <w:b/>
              </w:rPr>
              <w:t>a</w:t>
            </w:r>
          </w:p>
          <w:p w:rsidR="007C51D1" w:rsidRPr="00176D3F" w:rsidRDefault="007C51D1" w:rsidP="005939B8">
            <w:pPr>
              <w:pStyle w:val="Subtitle"/>
            </w:pPr>
            <w:r>
              <w:t>2011</w:t>
            </w:r>
            <w:r>
              <w:noBreakHyphen/>
              <w:t>12</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Tr="005939B8">
              <w:trPr>
                <w:jc w:val="center"/>
              </w:trPr>
              <w:tc>
                <w:tcPr>
                  <w:tcW w:w="8504" w:type="dxa"/>
                  <w:gridSpan w:val="2"/>
                  <w:tcBorders>
                    <w:top w:val="nil"/>
                    <w:bottom w:val="nil"/>
                  </w:tcBorders>
                </w:tcPr>
                <w:p w:rsidR="007C51D1" w:rsidRPr="000104EF" w:rsidRDefault="007C51D1" w:rsidP="005939B8">
                  <w:pPr>
                    <w:pStyle w:val="Figure"/>
                    <w:spacing w:before="60" w:after="60"/>
                    <w:rPr>
                      <w:rFonts w:ascii="Arial" w:hAnsi="Arial" w:cs="Arial"/>
                      <w:b/>
                      <w:sz w:val="20"/>
                    </w:rPr>
                  </w:pPr>
                  <w:r>
                    <w:rPr>
                      <w:rFonts w:ascii="Arial" w:hAnsi="Arial" w:cs="Arial"/>
                      <w:b/>
                      <w:sz w:val="20"/>
                    </w:rPr>
                    <w:t>(</w:t>
                  </w:r>
                  <w:proofErr w:type="spellStart"/>
                  <w:r>
                    <w:rPr>
                      <w:rFonts w:ascii="Arial" w:hAnsi="Arial" w:cs="Arial"/>
                      <w:b/>
                      <w:sz w:val="20"/>
                    </w:rPr>
                    <w:t>i</w:t>
                  </w:r>
                  <w:proofErr w:type="spellEnd"/>
                  <w:r>
                    <w:rPr>
                      <w:rFonts w:ascii="Arial" w:hAnsi="Arial" w:cs="Arial"/>
                      <w:b/>
                      <w:sz w:val="20"/>
                    </w:rPr>
                    <w:t>) Household n</w:t>
                  </w:r>
                  <w:r w:rsidRPr="000104EF">
                    <w:rPr>
                      <w:rFonts w:ascii="Arial" w:hAnsi="Arial" w:cs="Arial"/>
                      <w:b/>
                      <w:sz w:val="20"/>
                    </w:rPr>
                    <w:t>et wealth by age</w:t>
                  </w:r>
                </w:p>
                <w:p w:rsidR="007C51D1" w:rsidRDefault="007C51D1" w:rsidP="005939B8">
                  <w:pPr>
                    <w:pStyle w:val="Figure"/>
                    <w:spacing w:before="60" w:after="60"/>
                    <w:rPr>
                      <w:rFonts w:asciiTheme="minorHAnsi" w:hAnsiTheme="minorHAnsi" w:cstheme="minorHAnsi"/>
                      <w:i/>
                      <w:sz w:val="20"/>
                    </w:rPr>
                  </w:pPr>
                  <w:r>
                    <w:rPr>
                      <w:rFonts w:asciiTheme="minorHAnsi" w:hAnsiTheme="minorHAnsi" w:cstheme="minorHAnsi"/>
                      <w:i/>
                      <w:noProof/>
                      <w:sz w:val="20"/>
                    </w:rPr>
                    <w:drawing>
                      <wp:inline distT="0" distB="0" distL="0" distR="0" wp14:anchorId="69013382" wp14:editId="6E21E7D4">
                        <wp:extent cx="5257800" cy="2800350"/>
                        <wp:effectExtent l="0" t="0" r="0" b="0"/>
                        <wp:docPr id="23" name="Picture 23" descr="Figure 3. Superannuation and net wealth in context.&#10;(i) This figure shows median and interquartile range of total household net wealth, superannuation, equity in the family home and other assets for different age groups in 2011-12. It shows that superannuation makes up a small proportion of net wealth at the median, and is diminished at the median by the age of 6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r w:rsidR="007C51D1" w:rsidTr="005939B8">
              <w:trPr>
                <w:jc w:val="center"/>
              </w:trPr>
              <w:tc>
                <w:tcPr>
                  <w:tcW w:w="4252" w:type="dxa"/>
                  <w:tcBorders>
                    <w:top w:val="nil"/>
                    <w:bottom w:val="nil"/>
                  </w:tcBorders>
                </w:tcPr>
                <w:p w:rsidR="007C51D1" w:rsidRPr="000104EF" w:rsidRDefault="007C51D1" w:rsidP="005939B8">
                  <w:pPr>
                    <w:pStyle w:val="Figure"/>
                    <w:spacing w:before="60" w:after="60"/>
                    <w:rPr>
                      <w:rFonts w:ascii="Arial" w:hAnsi="Arial" w:cs="Arial"/>
                      <w:b/>
                      <w:sz w:val="20"/>
                    </w:rPr>
                  </w:pPr>
                  <w:r>
                    <w:rPr>
                      <w:rFonts w:ascii="Arial" w:hAnsi="Arial" w:cs="Arial"/>
                      <w:b/>
                      <w:sz w:val="20"/>
                    </w:rPr>
                    <w:t>(ii) Super</w:t>
                  </w:r>
                  <w:r w:rsidRPr="000104EF">
                    <w:rPr>
                      <w:rFonts w:ascii="Arial" w:hAnsi="Arial" w:cs="Arial"/>
                      <w:b/>
                      <w:sz w:val="20"/>
                    </w:rPr>
                    <w:t xml:space="preserve"> balances of those aged 45</w:t>
                  </w:r>
                  <w:r>
                    <w:rPr>
                      <w:rFonts w:ascii="Arial" w:hAnsi="Arial" w:cs="Arial"/>
                      <w:b/>
                      <w:sz w:val="20"/>
                    </w:rPr>
                    <w:noBreakHyphen/>
                  </w:r>
                  <w:r w:rsidRPr="000104EF">
                    <w:rPr>
                      <w:rFonts w:ascii="Arial" w:hAnsi="Arial" w:cs="Arial"/>
                      <w:b/>
                      <w:sz w:val="20"/>
                    </w:rPr>
                    <w:t>54</w:t>
                  </w:r>
                </w:p>
                <w:p w:rsidR="007C51D1" w:rsidRPr="000104EF" w:rsidRDefault="00941AE0" w:rsidP="005939B8">
                  <w:pPr>
                    <w:pStyle w:val="Figure"/>
                    <w:spacing w:before="60" w:after="60"/>
                    <w:rPr>
                      <w:sz w:val="20"/>
                    </w:rPr>
                  </w:pPr>
                  <w:r>
                    <w:rPr>
                      <w:noProof/>
                      <w:sz w:val="20"/>
                    </w:rPr>
                    <w:drawing>
                      <wp:inline distT="0" distB="0" distL="0" distR="0">
                        <wp:extent cx="2562225" cy="2724150"/>
                        <wp:effectExtent l="0" t="0" r="9525" b="0"/>
                        <wp:docPr id="1" name="Picture 1" descr="Distribution of superannuation balances for those aged 45 54. This figure shows, for 2011-12, the cumulative distribution of superannuation among individuals. It shows that 15 per cent of individuals aged 44-54 had no superannuation, while 10 per cent had more than $230 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62225" cy="2724150"/>
                                </a:xfrm>
                                <a:prstGeom prst="rect">
                                  <a:avLst/>
                                </a:prstGeom>
                                <a:noFill/>
                                <a:ln>
                                  <a:noFill/>
                                </a:ln>
                              </pic:spPr>
                            </pic:pic>
                          </a:graphicData>
                        </a:graphic>
                      </wp:inline>
                    </w:drawing>
                  </w:r>
                </w:p>
              </w:tc>
              <w:tc>
                <w:tcPr>
                  <w:tcW w:w="4252" w:type="dxa"/>
                  <w:tcBorders>
                    <w:top w:val="nil"/>
                    <w:bottom w:val="nil"/>
                  </w:tcBorders>
                </w:tcPr>
                <w:p w:rsidR="007C51D1" w:rsidRPr="000104EF" w:rsidRDefault="007C51D1" w:rsidP="005939B8">
                  <w:pPr>
                    <w:pStyle w:val="Figure"/>
                    <w:keepLines/>
                    <w:framePr w:w="2155" w:hSpace="227" w:vSpace="181" w:wrap="around" w:vAnchor="text" w:hAnchor="page" w:xAlign="outside" w:y="1"/>
                    <w:spacing w:before="60" w:after="60"/>
                    <w:rPr>
                      <w:rFonts w:ascii="Arial" w:hAnsi="Arial" w:cs="Arial"/>
                      <w:b/>
                      <w:sz w:val="20"/>
                    </w:rPr>
                  </w:pPr>
                  <w:r>
                    <w:rPr>
                      <w:rFonts w:ascii="Arial" w:hAnsi="Arial" w:cs="Arial"/>
                      <w:b/>
                      <w:sz w:val="20"/>
                    </w:rPr>
                    <w:t xml:space="preserve">(iii) </w:t>
                  </w:r>
                  <w:r w:rsidRPr="000104EF">
                    <w:rPr>
                      <w:rFonts w:ascii="Arial" w:hAnsi="Arial" w:cs="Arial"/>
                      <w:b/>
                      <w:sz w:val="20"/>
                    </w:rPr>
                    <w:t>Share of people with super remaining</w:t>
                  </w:r>
                </w:p>
                <w:p w:rsidR="007C51D1" w:rsidRPr="000104EF" w:rsidRDefault="007B37E6" w:rsidP="005939B8">
                  <w:pPr>
                    <w:pStyle w:val="Figure"/>
                    <w:spacing w:before="60" w:after="60"/>
                    <w:rPr>
                      <w:sz w:val="20"/>
                    </w:rPr>
                  </w:pPr>
                  <w:r>
                    <w:rPr>
                      <w:noProof/>
                      <w:sz w:val="20"/>
                    </w:rPr>
                    <w:drawing>
                      <wp:inline distT="0" distB="0" distL="0" distR="0">
                        <wp:extent cx="2562225" cy="2732405"/>
                        <wp:effectExtent l="0" t="0" r="9525" b="0"/>
                        <wp:docPr id="178" name="Picture 178" descr="Proportion of those with superannuation by age. This figure shows, for 2011-12, the proportion of households and individuals that have any superannuation, by ages (55 to 64 by individual years, then 5 year age groups to 80, and an age group of 80+). It is described in the text immediately preceding the cha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62225" cy="273240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Total net wealth comprises </w:t>
            </w:r>
            <w:r w:rsidRPr="004A742F">
              <w:t>superannuation, equ</w:t>
            </w:r>
            <w:r>
              <w:t xml:space="preserve">ity in the family home, and </w:t>
            </w:r>
            <w:r w:rsidRPr="004A742F">
              <w:t xml:space="preserve">other gross assets less debt. </w:t>
            </w:r>
            <w:r>
              <w:t xml:space="preserve">Median values are </w:t>
            </w:r>
            <w:proofErr w:type="gramStart"/>
            <w:r>
              <w:t>presented,</w:t>
            </w:r>
            <w:proofErr w:type="gramEnd"/>
            <w:r>
              <w:t xml:space="preserve"> whiskers denote the interquartile range (the values of the first quartile and third quartile for each series).</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626D32"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C22869" w:rsidRDefault="00C22869" w:rsidP="005939B8">
      <w:pPr>
        <w:pStyle w:val="BodyText"/>
      </w:pPr>
    </w:p>
    <w:p w:rsidR="007C51D1" w:rsidRDefault="007C51D1" w:rsidP="005939B8">
      <w:pPr>
        <w:pStyle w:val="BodyText"/>
      </w:pPr>
      <w:r>
        <w:lastRenderedPageBreak/>
        <w:t>Headline figures mask the significant diversity in superannuation balances across individuals. For example, of those aged 45</w:t>
      </w:r>
      <w:r>
        <w:noBreakHyphen/>
        <w:t>54 in 2011</w:t>
      </w:r>
      <w:r>
        <w:noBreakHyphen/>
        <w:t xml:space="preserve">12, 15 per cent had no </w:t>
      </w:r>
      <w:proofErr w:type="gramStart"/>
      <w:r>
        <w:t>superannuation,</w:t>
      </w:r>
      <w:proofErr w:type="gramEnd"/>
      <w:r>
        <w:t xml:space="preserve"> while 10 per cent had more than $230 000 (figure 3(ii)).</w:t>
      </w:r>
      <w:r w:rsidRPr="00E800CF">
        <w:t xml:space="preserve"> </w:t>
      </w:r>
      <w:r w:rsidRPr="000745F7">
        <w:t>Those with self</w:t>
      </w:r>
      <w:r>
        <w:noBreakHyphen/>
      </w:r>
      <w:r w:rsidRPr="000745F7">
        <w:t>managed superannuation funds (SMSFs)</w:t>
      </w:r>
      <w:r>
        <w:t xml:space="preserve"> (around one</w:t>
      </w:r>
      <w:r w:rsidRPr="00942CED">
        <w:t> million Australians</w:t>
      </w:r>
      <w:r>
        <w:t xml:space="preserve">) </w:t>
      </w:r>
      <w:r w:rsidRPr="000745F7">
        <w:t>are more likely to have higher than average balances</w:t>
      </w:r>
      <w:r>
        <w:t xml:space="preserve"> and hold around 30 per cent of superannuation assets. Variations in balances across the broader population reflect a range of factors, including the linkage of compulsory contributions to an individual’s earnings; absences from the workforce; and disparities in voluntary superannuation contributions.</w:t>
      </w:r>
    </w:p>
    <w:p w:rsidR="007C51D1" w:rsidRDefault="007C51D1" w:rsidP="005939B8">
      <w:pPr>
        <w:pStyle w:val="BodyText"/>
      </w:pPr>
      <w:r>
        <w:t>The relatively modest superannuation savings of the current cohort of retirees do not last long in retirement (figure 3(iii)). Around 20 per cent of those who reached the preservation age in 2011</w:t>
      </w:r>
      <w:r>
        <w:noBreakHyphen/>
        <w:t xml:space="preserve">12 had no superannuation, and by the age of 64 — just prior to the current Age Pension age — this increased to around </w:t>
      </w:r>
      <w:r w:rsidRPr="007B3512">
        <w:t>40</w:t>
      </w:r>
      <w:r>
        <w:t> </w:t>
      </w:r>
      <w:r w:rsidRPr="007B3512">
        <w:t>per</w:t>
      </w:r>
      <w:r>
        <w:t> cent. The share of retirees who have exhausted their superannuation climbs steadily thereafter, with only 17 per cent of individuals aged 80 years or more having any superannuation savings remaining.</w:t>
      </w:r>
    </w:p>
    <w:p w:rsidR="007C51D1" w:rsidRPr="007F7D1F" w:rsidRDefault="007C51D1" w:rsidP="005939B8">
      <w:pPr>
        <w:pStyle w:val="BodyText"/>
      </w:pPr>
      <w:r w:rsidRPr="007F7D1F">
        <w:t>Reflecting this often early exhaustion of superannuation savings, for most Australians, the Age Pension remains an integral part of the</w:t>
      </w:r>
      <w:r>
        <w:t>ir retirement income</w:t>
      </w:r>
      <w:r w:rsidRPr="007F7D1F">
        <w:t xml:space="preserve">. </w:t>
      </w:r>
      <w:r>
        <w:t xml:space="preserve">Around 70 per cent </w:t>
      </w:r>
      <w:r w:rsidRPr="007F7D1F">
        <w:t xml:space="preserve">receive </w:t>
      </w:r>
      <w:r>
        <w:t xml:space="preserve">a </w:t>
      </w:r>
      <w:r w:rsidRPr="007F7D1F">
        <w:t>pension at some point after the age of 65</w:t>
      </w:r>
      <w:r>
        <w:t xml:space="preserve"> (that share is closer to 80 per cent if Service Pensions are taken into account)</w:t>
      </w:r>
      <w:r w:rsidRPr="007F7D1F">
        <w:t>.</w:t>
      </w:r>
      <w:r>
        <w:t xml:space="preserve"> </w:t>
      </w:r>
      <w:proofErr w:type="gramStart"/>
      <w:r w:rsidRPr="007F7D1F">
        <w:t>Many access pension support</w:t>
      </w:r>
      <w:proofErr w:type="gramEnd"/>
      <w:r w:rsidRPr="007F7D1F">
        <w:t xml:space="preserve"> quite earl</w:t>
      </w:r>
      <w:r>
        <w:t>y — in 2013</w:t>
      </w:r>
      <w:r>
        <w:noBreakHyphen/>
        <w:t>14, 60 </w:t>
      </w:r>
      <w:r w:rsidRPr="007F7D1F">
        <w:t>per</w:t>
      </w:r>
      <w:r>
        <w:t> </w:t>
      </w:r>
      <w:r w:rsidRPr="007F7D1F">
        <w:t>cent of new recipients started to receive benefits within a year of reaching eligibility age.</w:t>
      </w:r>
      <w:r>
        <w:t xml:space="preserve"> And e</w:t>
      </w:r>
      <w:r w:rsidRPr="007F7D1F">
        <w:t xml:space="preserve">ven </w:t>
      </w:r>
      <w:r>
        <w:t xml:space="preserve">though around 40 per cent of Age Pension recipients only receive a part pension, </w:t>
      </w:r>
      <w:r w:rsidRPr="007F7D1F">
        <w:t xml:space="preserve">for </w:t>
      </w:r>
      <w:r>
        <w:t>most</w:t>
      </w:r>
      <w:r w:rsidRPr="007F7D1F">
        <w:t xml:space="preserve"> of those</w:t>
      </w:r>
      <w:r>
        <w:t>,</w:t>
      </w:r>
      <w:r w:rsidRPr="007F7D1F">
        <w:t xml:space="preserve"> that pension is their primary source of income.</w:t>
      </w:r>
    </w:p>
    <w:p w:rsidR="007C51D1" w:rsidRDefault="007C51D1" w:rsidP="005939B8">
      <w:pPr>
        <w:pStyle w:val="BodyText"/>
      </w:pPr>
      <w:r w:rsidRPr="002C6285">
        <w:t>In coming decades</w:t>
      </w:r>
      <w:r>
        <w:t xml:space="preserve"> as the superannuation system matures</w:t>
      </w:r>
      <w:r w:rsidRPr="002C6285">
        <w:t xml:space="preserve">, Australians will almost certainly have greater savings, on average, to support themselves in retirement. </w:t>
      </w:r>
      <w:r>
        <w:t>T</w:t>
      </w:r>
      <w:r w:rsidRPr="002C6285">
        <w:t>hey</w:t>
      </w:r>
      <w:r>
        <w:t xml:space="preserve"> will have made</w:t>
      </w:r>
      <w:r w:rsidRPr="002C6285">
        <w:t xml:space="preserve"> compulsory superannuation contributions for </w:t>
      </w:r>
      <w:r>
        <w:t>most or all of their</w:t>
      </w:r>
      <w:r w:rsidRPr="002C6285">
        <w:t xml:space="preserve"> working lives. Contrast this with 65 year olds retiring today, who will have </w:t>
      </w:r>
      <w:r>
        <w:t>made</w:t>
      </w:r>
      <w:r w:rsidRPr="002C6285">
        <w:t xml:space="preserve"> compulsory contributions for only around half of their working lives and for much of that </w:t>
      </w:r>
      <w:r>
        <w:t>time</w:t>
      </w:r>
      <w:r w:rsidRPr="002C6285">
        <w:t xml:space="preserve"> at a lower </w:t>
      </w:r>
      <w:r>
        <w:t xml:space="preserve">contribution </w:t>
      </w:r>
      <w:r w:rsidRPr="002C6285">
        <w:t>rate than now applies.</w:t>
      </w:r>
    </w:p>
    <w:p w:rsidR="007C51D1" w:rsidRDefault="007C51D1" w:rsidP="005939B8">
      <w:pPr>
        <w:pStyle w:val="BodyText"/>
      </w:pPr>
      <w:r>
        <w:t xml:space="preserve">For </w:t>
      </w:r>
      <w:r w:rsidRPr="002C6285">
        <w:t xml:space="preserve">many, the growth in private retirement savings </w:t>
      </w:r>
      <w:r>
        <w:t xml:space="preserve">will delay the time at which they access the Age Pension and/or be used to supplement Age Pension payments. It is generally accepted that a greater proportion of Age Pension recipients will rely on a part (as opposed to full) pension, although the most recent </w:t>
      </w:r>
      <w:r w:rsidRPr="00CE71AE">
        <w:rPr>
          <w:i/>
        </w:rPr>
        <w:t>Intergenerational Report</w:t>
      </w:r>
      <w:r>
        <w:t xml:space="preserve"> did not indicate the magnitude of this shift. The report did, however, suggest that the proportion of Australians above retirement age receiving any pension will only decline by three percentage points — from 70 per cent in 2012</w:t>
      </w:r>
      <w:r>
        <w:noBreakHyphen/>
        <w:t>13 to around 67 per cent in 2055. Put simply, even under a ‘mature’ superannuation system, a fully self</w:t>
      </w:r>
      <w:r>
        <w:noBreakHyphen/>
        <w:t>funded retirement is likely to remain the province of those who were relatively well off during their working years.</w:t>
      </w:r>
    </w:p>
    <w:p w:rsidR="007C51D1" w:rsidRDefault="007C51D1" w:rsidP="00EE5E83">
      <w:pPr>
        <w:pStyle w:val="Heading2nosectionno"/>
      </w:pPr>
      <w:r>
        <w:lastRenderedPageBreak/>
        <w:t xml:space="preserve">What might happen if the preservation age were raised? </w:t>
      </w:r>
    </w:p>
    <w:p w:rsidR="007C51D1" w:rsidRDefault="007C51D1" w:rsidP="005939B8">
      <w:pPr>
        <w:pStyle w:val="BodyText"/>
      </w:pPr>
      <w:r w:rsidRPr="001B5DD8">
        <w:t xml:space="preserve">Along with the </w:t>
      </w:r>
      <w:r>
        <w:t>Age Pension age, the preservation a</w:t>
      </w:r>
      <w:r w:rsidRPr="001B5DD8">
        <w:t xml:space="preserve">ge is considered by some to be an important policy lever in managing the transition to an older Australia. </w:t>
      </w:r>
      <w:r>
        <w:t>The preservation age provides both a financial incentive and a signal to retire.</w:t>
      </w:r>
    </w:p>
    <w:p w:rsidR="007C51D1" w:rsidRDefault="007C51D1" w:rsidP="005939B8">
      <w:pPr>
        <w:pStyle w:val="BodyText"/>
      </w:pPr>
      <w:r>
        <w:t>The</w:t>
      </w:r>
      <w:r w:rsidRPr="00CF1EC0">
        <w:t xml:space="preserve"> preservation age is </w:t>
      </w:r>
      <w:r>
        <w:t>legislat</w:t>
      </w:r>
      <w:r w:rsidRPr="00CF1EC0">
        <w:t xml:space="preserve">ed to gradually increase from </w:t>
      </w:r>
      <w:r>
        <w:t>55 to 60 </w:t>
      </w:r>
      <w:r w:rsidRPr="00CF1EC0">
        <w:t xml:space="preserve">years in 2025 </w:t>
      </w:r>
      <w:r>
        <w:t>(figure 4(</w:t>
      </w:r>
      <w:proofErr w:type="spellStart"/>
      <w:r>
        <w:t>i</w:t>
      </w:r>
      <w:proofErr w:type="spellEnd"/>
      <w:r>
        <w:t>)</w:t>
      </w:r>
      <w:r w:rsidRPr="00CF1EC0">
        <w:t xml:space="preserve">). However, with policy measures in place to </w:t>
      </w:r>
      <w:r>
        <w:t>raise the Age Pension age to 67 </w:t>
      </w:r>
      <w:r w:rsidRPr="00CF1EC0">
        <w:t xml:space="preserve">years, and a stated policy goal to increase </w:t>
      </w:r>
      <w:r>
        <w:t>it further</w:t>
      </w:r>
      <w:r w:rsidRPr="00CF1EC0">
        <w:t xml:space="preserve"> to 70</w:t>
      </w:r>
      <w:r>
        <w:t xml:space="preserve"> (figure 4(ii))</w:t>
      </w:r>
      <w:r w:rsidRPr="00CF1EC0">
        <w:t xml:space="preserve">, debate has once again been prompted about where the preservation age should be set. All else being equal, the larger the gap between the </w:t>
      </w:r>
      <w:r>
        <w:t>preservation age and the Age Pension age,</w:t>
      </w:r>
      <w:r w:rsidRPr="00CF1EC0">
        <w:t xml:space="preserve"> the greater the </w:t>
      </w:r>
      <w:r>
        <w:t>opportunities</w:t>
      </w:r>
      <w:r w:rsidRPr="00CF1EC0">
        <w:t xml:space="preserve"> th</w:t>
      </w:r>
      <w:r>
        <w:t>at</w:t>
      </w:r>
      <w:r w:rsidRPr="00CF1EC0">
        <w:t xml:space="preserve"> individuals</w:t>
      </w:r>
      <w:r>
        <w:t xml:space="preserve"> have to</w:t>
      </w:r>
      <w:r w:rsidRPr="00CF1EC0">
        <w:t xml:space="preserve"> run down their superannuation before reaching Age Pension age.</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7C51D1" w:rsidTr="005939B8">
        <w:tc>
          <w:tcPr>
            <w:tcW w:w="8771" w:type="dxa"/>
            <w:tcBorders>
              <w:top w:val="single" w:sz="6" w:space="0" w:color="78A22F"/>
              <w:left w:val="nil"/>
              <w:bottom w:val="nil"/>
              <w:right w:val="nil"/>
            </w:tcBorders>
            <w:hideMark/>
          </w:tcPr>
          <w:p w:rsidR="007C51D1" w:rsidRDefault="007C51D1" w:rsidP="005939B8">
            <w:pPr>
              <w:pStyle w:val="FigureTitle"/>
              <w:rPr>
                <w:lang w:eastAsia="en-US"/>
              </w:rPr>
            </w:pPr>
            <w:r>
              <w:rPr>
                <w:b w:val="0"/>
                <w:lang w:eastAsia="en-US"/>
              </w:rPr>
              <w:t>Figure 4</w:t>
            </w:r>
            <w:r>
              <w:rPr>
                <w:lang w:eastAsia="en-US"/>
              </w:rPr>
              <w:tab/>
              <w:t>Minding the gap — the period between the preservation age and the Age Pension age</w:t>
            </w:r>
          </w:p>
        </w:tc>
      </w:tr>
      <w:tr w:rsidR="007C51D1" w:rsidTr="005939B8">
        <w:tc>
          <w:tcPr>
            <w:tcW w:w="8771" w:type="dxa"/>
            <w:tcBorders>
              <w:top w:val="nil"/>
              <w:left w:val="nil"/>
              <w:bottom w:val="nil"/>
              <w:right w:val="nil"/>
            </w:tcBorders>
            <w:tcMar>
              <w:top w:w="28" w:type="dxa"/>
              <w:left w:w="142" w:type="dxa"/>
              <w:bottom w:w="28" w:type="dxa"/>
              <w:right w:w="142" w:type="dxa"/>
            </w:tcMar>
            <w:hideMark/>
          </w:tcPr>
          <w:tbl>
            <w:tblPr>
              <w:tblW w:w="8505" w:type="dxa"/>
              <w:jc w:val="center"/>
              <w:tblLayout w:type="fixed"/>
              <w:tblCellMar>
                <w:top w:w="28" w:type="dxa"/>
              </w:tblCellMar>
              <w:tblLook w:val="04A0" w:firstRow="1" w:lastRow="0" w:firstColumn="1" w:lastColumn="0" w:noHBand="0" w:noVBand="1"/>
            </w:tblPr>
            <w:tblGrid>
              <w:gridCol w:w="4252"/>
              <w:gridCol w:w="4253"/>
            </w:tblGrid>
            <w:tr w:rsidR="007C51D1" w:rsidTr="005939B8">
              <w:trPr>
                <w:jc w:val="center"/>
              </w:trPr>
              <w:tc>
                <w:tcPr>
                  <w:tcW w:w="4252" w:type="dxa"/>
                  <w:hideMark/>
                </w:tcPr>
                <w:p w:rsidR="007C51D1" w:rsidRDefault="007C51D1" w:rsidP="005939B8">
                  <w:pPr>
                    <w:pStyle w:val="Figure"/>
                    <w:spacing w:before="60" w:after="60"/>
                    <w:rPr>
                      <w:rFonts w:ascii="Calibri" w:hAnsi="Calibri" w:cs="Calibri"/>
                      <w:i/>
                      <w:lang w:eastAsia="en-US"/>
                    </w:rPr>
                  </w:pPr>
                  <w:r w:rsidRPr="00971D11">
                    <w:rPr>
                      <w:rFonts w:ascii="Arial" w:hAnsi="Arial" w:cs="Arial"/>
                      <w:b/>
                      <w:spacing w:val="-8"/>
                      <w:sz w:val="20"/>
                      <w:lang w:eastAsia="en-US"/>
                    </w:rPr>
                    <w:t>(</w:t>
                  </w:r>
                  <w:proofErr w:type="spellStart"/>
                  <w:r w:rsidRPr="00971D11">
                    <w:rPr>
                      <w:rFonts w:ascii="Arial" w:hAnsi="Arial" w:cs="Arial"/>
                      <w:b/>
                      <w:spacing w:val="-8"/>
                      <w:sz w:val="20"/>
                      <w:lang w:eastAsia="en-US"/>
                    </w:rPr>
                    <w:t>i</w:t>
                  </w:r>
                  <w:proofErr w:type="spellEnd"/>
                  <w:r w:rsidRPr="00971D11">
                    <w:rPr>
                      <w:rFonts w:ascii="Arial" w:hAnsi="Arial" w:cs="Arial"/>
                      <w:b/>
                      <w:spacing w:val="-8"/>
                      <w:sz w:val="20"/>
                      <w:lang w:eastAsia="en-US"/>
                    </w:rPr>
                    <w:t>) The current situation</w:t>
                  </w:r>
                  <w:r w:rsidRPr="00971D11">
                    <w:rPr>
                      <w:rStyle w:val="NoteLabel"/>
                      <w:spacing w:val="-8"/>
                      <w:lang w:eastAsia="en-US"/>
                    </w:rPr>
                    <w:t>a</w:t>
                  </w:r>
                  <w:r>
                    <w:rPr>
                      <w:rStyle w:val="NoteLabel"/>
                      <w:lang w:eastAsia="en-US"/>
                    </w:rPr>
                    <w:br/>
                  </w:r>
                  <w:r w:rsidR="004B7CAA">
                    <w:rPr>
                      <w:rFonts w:ascii="Calibri" w:hAnsi="Calibri" w:cs="Calibri"/>
                      <w:i/>
                      <w:noProof/>
                    </w:rPr>
                    <w:drawing>
                      <wp:inline distT="0" distB="0" distL="0" distR="0">
                        <wp:extent cx="2560320" cy="2679700"/>
                        <wp:effectExtent l="0" t="0" r="0" b="6350"/>
                        <wp:docPr id="26" name="Picture 26" descr="Figure 4 Minding the gap — the period between the preservation age and the Age Pension age. Set of two line charts, the first showing legislated changes in the age pension age and the preservation age over the next 40 years, and the second showing the same two variables but assuming a phased increase in the age pension age to 70 immediate after the legislated increase to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0320" cy="2679700"/>
                                </a:xfrm>
                                <a:prstGeom prst="rect">
                                  <a:avLst/>
                                </a:prstGeom>
                                <a:noFill/>
                                <a:ln>
                                  <a:noFill/>
                                </a:ln>
                              </pic:spPr>
                            </pic:pic>
                          </a:graphicData>
                        </a:graphic>
                      </wp:inline>
                    </w:drawing>
                  </w:r>
                </w:p>
              </w:tc>
              <w:tc>
                <w:tcPr>
                  <w:tcW w:w="4253" w:type="dxa"/>
                  <w:hideMark/>
                </w:tcPr>
                <w:p w:rsidR="007C51D1" w:rsidRPr="0002314F" w:rsidRDefault="007C51D1" w:rsidP="005939B8">
                  <w:pPr>
                    <w:pStyle w:val="Figure"/>
                    <w:spacing w:before="60" w:after="60"/>
                    <w:rPr>
                      <w:rFonts w:ascii="Arial" w:hAnsi="Arial"/>
                      <w:b/>
                      <w:noProof/>
                      <w:spacing w:val="-8"/>
                      <w:position w:val="6"/>
                      <w:sz w:val="18"/>
                      <w:lang w:eastAsia="en-US"/>
                    </w:rPr>
                  </w:pPr>
                  <w:r w:rsidRPr="0002314F">
                    <w:rPr>
                      <w:rFonts w:ascii="Arial" w:hAnsi="Arial" w:cs="Arial"/>
                      <w:b/>
                      <w:spacing w:val="-8"/>
                      <w:sz w:val="20"/>
                      <w:lang w:eastAsia="en-US"/>
                    </w:rPr>
                    <w:t xml:space="preserve">(ii) </w:t>
                  </w:r>
                  <w:r w:rsidR="0002314F" w:rsidRPr="0002314F">
                    <w:rPr>
                      <w:rFonts w:ascii="Arial" w:hAnsi="Arial" w:cs="Arial"/>
                      <w:b/>
                      <w:spacing w:val="-8"/>
                      <w:sz w:val="20"/>
                      <w:lang w:eastAsia="en-US"/>
                    </w:rPr>
                    <w:t xml:space="preserve">An </w:t>
                  </w:r>
                  <w:r w:rsidRPr="0002314F">
                    <w:rPr>
                      <w:rFonts w:ascii="Arial" w:hAnsi="Arial" w:cs="Arial"/>
                      <w:b/>
                      <w:spacing w:val="-8"/>
                      <w:sz w:val="20"/>
                      <w:lang w:eastAsia="en-US"/>
                    </w:rPr>
                    <w:t>Increas</w:t>
                  </w:r>
                  <w:r w:rsidR="0002314F" w:rsidRPr="0002314F">
                    <w:rPr>
                      <w:rFonts w:ascii="Arial" w:hAnsi="Arial" w:cs="Arial"/>
                      <w:b/>
                      <w:spacing w:val="-8"/>
                      <w:sz w:val="20"/>
                      <w:lang w:eastAsia="en-US"/>
                    </w:rPr>
                    <w:t>e in</w:t>
                  </w:r>
                  <w:r w:rsidRPr="0002314F">
                    <w:rPr>
                      <w:rFonts w:ascii="Arial" w:hAnsi="Arial" w:cs="Arial"/>
                      <w:b/>
                      <w:spacing w:val="-8"/>
                      <w:sz w:val="20"/>
                      <w:lang w:eastAsia="en-US"/>
                    </w:rPr>
                    <w:t xml:space="preserve"> the Age Pension age to 70</w:t>
                  </w:r>
                  <w:r w:rsidRPr="0002314F">
                    <w:rPr>
                      <w:rStyle w:val="NoteLabel"/>
                      <w:spacing w:val="-8"/>
                    </w:rPr>
                    <w:t>b</w:t>
                  </w:r>
                </w:p>
                <w:p w:rsidR="007C51D1" w:rsidRDefault="004B7CAA" w:rsidP="005939B8">
                  <w:pPr>
                    <w:pStyle w:val="Figure"/>
                    <w:spacing w:before="60" w:after="60"/>
                    <w:rPr>
                      <w:rFonts w:ascii="Cambria" w:hAnsi="Cambria" w:cs="Cambria"/>
                      <w:i/>
                      <w:lang w:eastAsia="en-US"/>
                    </w:rPr>
                  </w:pPr>
                  <w:r>
                    <w:rPr>
                      <w:rFonts w:ascii="Cambria" w:hAnsi="Cambria" w:cs="Cambria"/>
                      <w:i/>
                      <w:noProof/>
                    </w:rPr>
                    <w:drawing>
                      <wp:inline distT="0" distB="0" distL="0" distR="0">
                        <wp:extent cx="2560320" cy="2679700"/>
                        <wp:effectExtent l="0" t="0" r="0" b="6350"/>
                        <wp:docPr id="27" name="Picture 27" descr="read previou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60320" cy="2679700"/>
                                </a:xfrm>
                                <a:prstGeom prst="rect">
                                  <a:avLst/>
                                </a:prstGeom>
                                <a:noFill/>
                                <a:ln>
                                  <a:noFill/>
                                </a:ln>
                              </pic:spPr>
                            </pic:pic>
                          </a:graphicData>
                        </a:graphic>
                      </wp:inline>
                    </w:drawing>
                  </w:r>
                </w:p>
              </w:tc>
            </w:tr>
          </w:tbl>
          <w:p w:rsidR="007C51D1" w:rsidRDefault="007C51D1" w:rsidP="005939B8">
            <w:pPr>
              <w:jc w:val="center"/>
              <w:rPr>
                <w:sz w:val="22"/>
                <w:szCs w:val="22"/>
                <w:lang w:eastAsia="en-US"/>
              </w:rPr>
            </w:pPr>
          </w:p>
        </w:tc>
      </w:tr>
      <w:tr w:rsidR="007C51D1" w:rsidRPr="00176D3F" w:rsidTr="005939B8">
        <w:tblPrEx>
          <w:tblLook w:val="0000" w:firstRow="0" w:lastRow="0" w:firstColumn="0" w:lastColumn="0" w:noHBand="0" w:noVBand="0"/>
        </w:tblPrEx>
        <w:tc>
          <w:tcPr>
            <w:tcW w:w="8771" w:type="dxa"/>
            <w:tcBorders>
              <w:top w:val="nil"/>
              <w:left w:val="nil"/>
              <w:bottom w:val="nil"/>
              <w:right w:val="nil"/>
            </w:tcBorders>
            <w:shd w:val="clear" w:color="auto" w:fill="auto"/>
          </w:tcPr>
          <w:p w:rsidR="007C51D1" w:rsidRPr="00176D3F" w:rsidRDefault="007C51D1" w:rsidP="005939B8">
            <w:pPr>
              <w:pStyle w:val="Source"/>
            </w:pPr>
            <w:proofErr w:type="spellStart"/>
            <w:r>
              <w:rPr>
                <w:rStyle w:val="NoteLabel"/>
                <w:lang w:eastAsia="en-US"/>
              </w:rPr>
              <w:t>a</w:t>
            </w:r>
            <w:proofErr w:type="spellEnd"/>
            <w:r>
              <w:rPr>
                <w:lang w:eastAsia="en-US"/>
              </w:rPr>
              <w:t xml:space="preserve"> </w:t>
            </w:r>
            <w:r>
              <w:t xml:space="preserve">The gap between the Age Pension age and the preservation age falls from 10 years to 7 years by 2024, and then remains constant. </w:t>
            </w:r>
            <w:proofErr w:type="gramStart"/>
            <w:r>
              <w:rPr>
                <w:rStyle w:val="NoteLabel"/>
                <w:lang w:eastAsia="en-US"/>
              </w:rPr>
              <w:t>b</w:t>
            </w:r>
            <w:proofErr w:type="gramEnd"/>
            <w:r>
              <w:rPr>
                <w:lang w:eastAsia="en-US"/>
              </w:rPr>
              <w:t xml:space="preserve"> An increase in the Age Pension to age 70 as announced in the 2014</w:t>
            </w:r>
            <w:r>
              <w:rPr>
                <w:lang w:eastAsia="en-US"/>
              </w:rPr>
              <w:noBreakHyphen/>
              <w:t>15 Budget, but not currently legislated, would see the preservation age gap widen.</w:t>
            </w:r>
          </w:p>
        </w:tc>
      </w:tr>
      <w:tr w:rsidR="007C51D1" w:rsidTr="005939B8">
        <w:tblPrEx>
          <w:tblLook w:val="0000" w:firstRow="0" w:lastRow="0" w:firstColumn="0" w:lastColumn="0" w:noHBand="0" w:noVBand="0"/>
        </w:tblPrEx>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blPrEx>
          <w:tblLook w:val="0000" w:firstRow="0" w:lastRow="0" w:firstColumn="0" w:lastColumn="0" w:noHBand="0" w:noVBand="0"/>
        </w:tblPrEx>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8065EC" w:rsidRDefault="007C51D1" w:rsidP="005939B8">
      <w:pPr>
        <w:pStyle w:val="BodyText"/>
      </w:pPr>
      <w:r w:rsidRPr="008065EC">
        <w:t xml:space="preserve">The Commission, in its report, </w:t>
      </w:r>
      <w:r w:rsidRPr="008065EC">
        <w:rPr>
          <w:i/>
        </w:rPr>
        <w:t>An Ageing Australia: Preparing for the Future</w:t>
      </w:r>
      <w:r w:rsidRPr="008065EC">
        <w:t xml:space="preserve"> pointed to the importance of revisiting the preservation age, noting that:</w:t>
      </w:r>
    </w:p>
    <w:p w:rsidR="007C51D1" w:rsidRPr="008065EC" w:rsidRDefault="007C51D1" w:rsidP="005939B8">
      <w:pPr>
        <w:pStyle w:val="Quote"/>
      </w:pPr>
      <w:r w:rsidRPr="008065EC">
        <w:t xml:space="preserve">In principle, the preservation age should consider life expectancy and the Age Pension eligibility age as relevant factors. A preservation age linked to life expectancy would provide a financial incentive to stay in work for longer, and as noted earlier for the Age Pension, provide a shift in expectations about the age to retire … In theory, changes to such age thresholds </w:t>
      </w:r>
      <w:r w:rsidRPr="008065EC">
        <w:lastRenderedPageBreak/>
        <w:t>would be likely to increase superannu</w:t>
      </w:r>
      <w:r>
        <w:t>ation account balances, reduce age p</w:t>
      </w:r>
      <w:r w:rsidRPr="008065EC">
        <w:t>ension outlays and stimulate labour supply.</w:t>
      </w:r>
      <w:r>
        <w:t xml:space="preserve"> </w:t>
      </w:r>
      <w:r w:rsidR="00F62614" w:rsidRPr="00F62614">
        <w:rPr>
          <w:szCs w:val="24"/>
        </w:rPr>
        <w:t>(PC 2013, p. 201)</w:t>
      </w:r>
    </w:p>
    <w:p w:rsidR="007C51D1" w:rsidRPr="008728C5" w:rsidRDefault="007C51D1" w:rsidP="005939B8">
      <w:pPr>
        <w:pStyle w:val="BodyText"/>
      </w:pPr>
      <w:r w:rsidRPr="008065EC">
        <w:t>There are a diverse range of stakeh</w:t>
      </w:r>
      <w:r>
        <w:t xml:space="preserve">olders that support </w:t>
      </w:r>
      <w:proofErr w:type="gramStart"/>
      <w:r>
        <w:t>raising</w:t>
      </w:r>
      <w:proofErr w:type="gramEnd"/>
      <w:r>
        <w:t xml:space="preserve"> the preservation a</w:t>
      </w:r>
      <w:r w:rsidRPr="008065EC">
        <w:t>ge</w:t>
      </w:r>
      <w:r>
        <w:t xml:space="preserve"> further</w:t>
      </w:r>
      <w:r w:rsidRPr="008065EC">
        <w:t xml:space="preserve">. The Henry Tax Review recommended that </w:t>
      </w:r>
      <w:r>
        <w:t>it</w:t>
      </w:r>
      <w:r w:rsidRPr="008065EC">
        <w:t xml:space="preserve"> be gradually increased until </w:t>
      </w:r>
      <w:r>
        <w:t xml:space="preserve">it </w:t>
      </w:r>
      <w:r w:rsidRPr="008728C5">
        <w:t xml:space="preserve">aligned with </w:t>
      </w:r>
      <w:r>
        <w:t xml:space="preserve">the </w:t>
      </w:r>
      <w:r w:rsidRPr="008728C5">
        <w:t xml:space="preserve">Age Pension age. An increase in the preservation age (albeit to different levels) has also been supported by the Actuaries Institute, </w:t>
      </w:r>
      <w:r>
        <w:t xml:space="preserve">the Australian Council of Social Service, the </w:t>
      </w:r>
      <w:r w:rsidRPr="008728C5">
        <w:t>Grattan Institute</w:t>
      </w:r>
      <w:r>
        <w:t>, the Centre of Excellence in Population Ageing Research</w:t>
      </w:r>
      <w:r w:rsidRPr="008728C5">
        <w:t xml:space="preserve"> and </w:t>
      </w:r>
      <w:r>
        <w:t xml:space="preserve">a number of </w:t>
      </w:r>
      <w:r w:rsidRPr="008728C5">
        <w:t>academics.</w:t>
      </w:r>
    </w:p>
    <w:p w:rsidR="007C51D1" w:rsidRDefault="007C51D1" w:rsidP="005939B8">
      <w:pPr>
        <w:pStyle w:val="BodyText"/>
      </w:pPr>
      <w:r>
        <w:t>On their face, the</w:t>
      </w:r>
      <w:r w:rsidRPr="008728C5">
        <w:t xml:space="preserve"> arguments in support of </w:t>
      </w:r>
      <w:proofErr w:type="gramStart"/>
      <w:r w:rsidRPr="008728C5">
        <w:t>raising</w:t>
      </w:r>
      <w:proofErr w:type="gramEnd"/>
      <w:r w:rsidRPr="008728C5">
        <w:t xml:space="preserve"> the preservation age are re</w:t>
      </w:r>
      <w:r>
        <w:t>latively straightforward</w:t>
      </w:r>
      <w:r w:rsidRPr="008728C5">
        <w:t>. The expectation is that individuals</w:t>
      </w:r>
      <w:r w:rsidRPr="008065EC">
        <w:t xml:space="preserve"> </w:t>
      </w:r>
      <w:r w:rsidRPr="008728C5">
        <w:t>will delay their retirement</w:t>
      </w:r>
      <w:r>
        <w:t xml:space="preserve"> if they are</w:t>
      </w:r>
      <w:r w:rsidRPr="008728C5">
        <w:t xml:space="preserve"> unable</w:t>
      </w:r>
      <w:r>
        <w:t xml:space="preserve"> to access their superannuation</w:t>
      </w:r>
      <w:r w:rsidRPr="008728C5">
        <w:t>. The longer individuals remain in the workforce</w:t>
      </w:r>
      <w:r>
        <w:t>,</w:t>
      </w:r>
      <w:r w:rsidRPr="008728C5">
        <w:t xml:space="preserve"> the larger their </w:t>
      </w:r>
      <w:r>
        <w:t>superannuation balances</w:t>
      </w:r>
      <w:r w:rsidRPr="008728C5">
        <w:t xml:space="preserve"> will be when they do retire</w:t>
      </w:r>
      <w:r>
        <w:t>, reducing</w:t>
      </w:r>
      <w:r w:rsidRPr="008728C5">
        <w:t xml:space="preserve"> c</w:t>
      </w:r>
      <w:r>
        <w:t>alls on the Age P</w:t>
      </w:r>
      <w:r w:rsidRPr="008728C5">
        <w:t xml:space="preserve">ension. </w:t>
      </w:r>
    </w:p>
    <w:p w:rsidR="007C51D1" w:rsidRPr="008728C5" w:rsidRDefault="007C51D1" w:rsidP="005939B8">
      <w:pPr>
        <w:pStyle w:val="BodyText"/>
      </w:pPr>
      <w:r>
        <w:t>But in practice,</w:t>
      </w:r>
      <w:r w:rsidRPr="008728C5">
        <w:t xml:space="preserve"> there are a number of reasons why these expectations may not be </w:t>
      </w:r>
      <w:r>
        <w:t xml:space="preserve">fully </w:t>
      </w:r>
      <w:r w:rsidRPr="008728C5">
        <w:t>realised</w:t>
      </w:r>
      <w:r>
        <w:t>. M</w:t>
      </w:r>
      <w:r w:rsidRPr="008728C5">
        <w:t xml:space="preserve">ore years of work also mean fewer years of retirement. </w:t>
      </w:r>
      <w:r>
        <w:t>Those with a strong preference for leisure are unlikely to delay their retirement if they have the financial means to retire when they choose.</w:t>
      </w:r>
    </w:p>
    <w:p w:rsidR="007C51D1" w:rsidRDefault="007C51D1" w:rsidP="005939B8">
      <w:pPr>
        <w:pStyle w:val="BodyText"/>
      </w:pPr>
      <w:r>
        <w:t>S</w:t>
      </w:r>
      <w:r w:rsidRPr="008728C5">
        <w:t xml:space="preserve">ome individuals who </w:t>
      </w:r>
      <w:r>
        <w:t>retire</w:t>
      </w:r>
      <w:r w:rsidRPr="008728C5">
        <w:t xml:space="preserve"> do </w:t>
      </w:r>
      <w:r>
        <w:t xml:space="preserve">not do so of their own choosing, but do so because of caring responsibilities or </w:t>
      </w:r>
      <w:r w:rsidRPr="008728C5">
        <w:t>poor health</w:t>
      </w:r>
      <w:r>
        <w:t xml:space="preserve"> (figure 5). Data suggest that around 28 per cent of men and 25 per cent of women aged 60</w:t>
      </w:r>
      <w:r>
        <w:noBreakHyphen/>
        <w:t>64 who retire do so for these reasons. O</w:t>
      </w:r>
      <w:r w:rsidRPr="008728C5">
        <w:t xml:space="preserve">thers </w:t>
      </w:r>
      <w:r>
        <w:t>have their employment</w:t>
      </w:r>
      <w:r w:rsidRPr="008728C5">
        <w:t xml:space="preserve"> terminated, </w:t>
      </w:r>
      <w:r>
        <w:t>and/or have difficulty finding</w:t>
      </w:r>
      <w:r w:rsidRPr="008728C5">
        <w:t xml:space="preserve"> new </w:t>
      </w:r>
      <w:r>
        <w:t>work (this represents a further 20 per cent of men and 11 per cent of women)</w:t>
      </w:r>
      <w:r w:rsidRPr="008728C5">
        <w:t xml:space="preserve">. </w:t>
      </w:r>
      <w:proofErr w:type="gramStart"/>
      <w:r w:rsidRPr="008728C5">
        <w:t>Raising</w:t>
      </w:r>
      <w:proofErr w:type="gramEnd"/>
      <w:r w:rsidRPr="008728C5">
        <w:t xml:space="preserve"> the preservation age is unlikely to fundamentally alter the retirement behaviour of these individuals</w:t>
      </w:r>
      <w:r>
        <w:t xml:space="preserve">.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5</w:t>
            </w:r>
            <w:r>
              <w:tab/>
              <w:t>Number of people retiring, by age group and reason for retirement, 2011</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4F0306" w:rsidP="005939B8">
                  <w:pPr>
                    <w:pStyle w:val="Figure"/>
                    <w:spacing w:before="60" w:after="60"/>
                  </w:pPr>
                  <w:r>
                    <w:rPr>
                      <w:noProof/>
                    </w:rPr>
                    <w:drawing>
                      <wp:inline distT="0" distB="0" distL="0" distR="0" wp14:anchorId="59E9FB68" wp14:editId="005EAD20">
                        <wp:extent cx="5262245" cy="2803525"/>
                        <wp:effectExtent l="0" t="0" r="0" b="0"/>
                        <wp:docPr id="216" name="Picture 216" descr="Figure 5 Number of persons retiring, by age and reason. &#10;Column chart showing the number of people who retired during the last five years, broken down by age cohort, and with the total number retired within each cohort further divided according to whether retirement was voluntary or involuntary, with three categories of involuntary retirement – job related, own ill-health, or ill health of spouse or family memb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7C51D1" w:rsidRDefault="007C51D1" w:rsidP="005939B8">
            <w:pPr>
              <w:pStyle w:val="Figure"/>
            </w:pP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Further, the p</w:t>
      </w:r>
      <w:r w:rsidRPr="00F367AD">
        <w:t xml:space="preserve">reservation age is only one of a range of factors that influence </w:t>
      </w:r>
      <w:r>
        <w:t xml:space="preserve">the timing of </w:t>
      </w:r>
      <w:r w:rsidRPr="00F367AD">
        <w:t>individuals’ retirement</w:t>
      </w:r>
      <w:r>
        <w:t xml:space="preserve">. Other factors, such as an increase in the </w:t>
      </w:r>
      <w:r w:rsidRPr="00F367AD">
        <w:t>Age Pension age</w:t>
      </w:r>
      <w:r>
        <w:t xml:space="preserve"> will also encourage people to retire later. The impacts of changing the preservation age, when considered against this backdrop, are likely to be more subdued. </w:t>
      </w:r>
    </w:p>
    <w:p w:rsidR="007C51D1" w:rsidRDefault="007C51D1" w:rsidP="005939B8">
      <w:pPr>
        <w:pStyle w:val="Heading3"/>
      </w:pPr>
      <w:r>
        <w:t>The Commission’s approach</w:t>
      </w:r>
    </w:p>
    <w:p w:rsidR="007C51D1" w:rsidRDefault="007C51D1" w:rsidP="005939B8">
      <w:pPr>
        <w:pStyle w:val="BodyText"/>
      </w:pPr>
      <w:r>
        <w:t xml:space="preserve">Assessing how a change in the preservation age works in concert with other factors that influence retirement decisions is a complicated task. </w:t>
      </w:r>
      <w:r w:rsidRPr="00C70F66">
        <w:t>In order to better understand how retirement behaviour might be affected by an increase in the preservation age</w:t>
      </w:r>
      <w:r>
        <w:t>,</w:t>
      </w:r>
      <w:r w:rsidRPr="00C70F66">
        <w:t xml:space="preserve"> the Commission </w:t>
      </w:r>
      <w:r>
        <w:t xml:space="preserve">developed a behavioural model, which provides a stylised representation of the retirement decision making process. </w:t>
      </w:r>
    </w:p>
    <w:p w:rsidR="007C51D1" w:rsidRDefault="007C51D1" w:rsidP="005939B8">
      <w:pPr>
        <w:pStyle w:val="BodyText"/>
      </w:pPr>
      <w:r w:rsidRPr="00232C66">
        <w:t>Like other retirement models</w:t>
      </w:r>
      <w:r>
        <w:t>,</w:t>
      </w:r>
      <w:r w:rsidRPr="00232C66">
        <w:t xml:space="preserve"> the Commission’s model is not designed to make </w:t>
      </w:r>
      <w:r>
        <w:t xml:space="preserve">precise </w:t>
      </w:r>
      <w:r w:rsidRPr="00232C66">
        <w:t xml:space="preserve">predictions about behavioural changes. Indeed it is not feasible to do so, given the difficulty in modelling household behaviour over a lifetime and the </w:t>
      </w:r>
      <w:r>
        <w:t xml:space="preserve">long </w:t>
      </w:r>
      <w:r w:rsidRPr="00232C66">
        <w:t>time horizon considered. Rather, the Commission’s modelling is intended to be indicative and highlight the avenues through which behavioural change occurs.</w:t>
      </w:r>
      <w:r>
        <w:t xml:space="preserve"> The Commission has also undertaken analyses to test the sensitivity of its modelling results to changes in the underlying assumptions. </w:t>
      </w:r>
      <w:r w:rsidRPr="00F028E0">
        <w:t xml:space="preserve">Varying </w:t>
      </w:r>
      <w:r>
        <w:t xml:space="preserve">some </w:t>
      </w:r>
      <w:r w:rsidRPr="00F028E0">
        <w:t xml:space="preserve">assumptions — </w:t>
      </w:r>
      <w:r>
        <w:t>such as around</w:t>
      </w:r>
      <w:r w:rsidRPr="00F028E0">
        <w:t xml:space="preserve"> investment returns and discount rates — </w:t>
      </w:r>
      <w:r>
        <w:t>has</w:t>
      </w:r>
      <w:r w:rsidRPr="00F028E0">
        <w:t xml:space="preserve"> a material impact on the modelling results. </w:t>
      </w:r>
    </w:p>
    <w:p w:rsidR="007C51D1" w:rsidRDefault="007C51D1" w:rsidP="005939B8">
      <w:pPr>
        <w:pStyle w:val="BodyText"/>
      </w:pPr>
      <w:r>
        <w:t xml:space="preserve">While there have been calls to increase the preservation age there is no common view on the extent to which it should be increased and the appropriate phasing period. Some have </w:t>
      </w:r>
      <w:r>
        <w:lastRenderedPageBreak/>
        <w:t xml:space="preserve">called for the gap between the preservation and Age Pension ages to be narrowed, while others have proposed closing it entirely. There have also been calls to link both the preservation age and Age Pension age to life expectancy. </w:t>
      </w:r>
    </w:p>
    <w:p w:rsidR="007C51D1" w:rsidRDefault="007C51D1" w:rsidP="005939B8">
      <w:pPr>
        <w:pStyle w:val="BodyText"/>
      </w:pPr>
      <w:r>
        <w:t xml:space="preserve">In order to illustrate the possible effect of </w:t>
      </w:r>
      <w:proofErr w:type="gramStart"/>
      <w:r>
        <w:t>raising</w:t>
      </w:r>
      <w:proofErr w:type="gramEnd"/>
      <w:r>
        <w:t xml:space="preserve"> the preservation age, the Commission has assessed the impacts of a gradual increase in the preservation age to 65 years (figure 6(ii)). Such an option represents a middle ground and is consistent with past approaches, which have provided affected individuals with sufficient lead times to adjust their behaviour given the lag between savings decisions during working years and eventual retirement incomes. </w:t>
      </w:r>
    </w:p>
    <w:p w:rsidR="007C51D1" w:rsidRDefault="007C51D1" w:rsidP="005939B8">
      <w:pPr>
        <w:pStyle w:val="BodyText"/>
      </w:pPr>
      <w:r>
        <w:t>The impacts associated with alternative transition pathways and sensitivity analyses are detailed in the body of this report.</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6</w:t>
            </w:r>
            <w:r>
              <w:tab/>
              <w:t>Narrowing the gap — modelling a closer preservation age and Age Pension age</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Tr="005939B8">
              <w:trPr>
                <w:jc w:val="center"/>
              </w:trPr>
              <w:tc>
                <w:tcPr>
                  <w:tcW w:w="4252" w:type="dxa"/>
                  <w:tcBorders>
                    <w:top w:val="nil"/>
                    <w:bottom w:val="nil"/>
                  </w:tcBorders>
                </w:tcPr>
                <w:p w:rsidR="007C51D1" w:rsidRDefault="007C51D1" w:rsidP="005939B8">
                  <w:pPr>
                    <w:pStyle w:val="Figure"/>
                    <w:spacing w:before="60" w:after="60"/>
                    <w:rPr>
                      <w:rStyle w:val="NoteLabel"/>
                    </w:rPr>
                  </w:pPr>
                  <w:r w:rsidRPr="000104EF">
                    <w:rPr>
                      <w:rFonts w:asciiTheme="minorHAnsi" w:hAnsiTheme="minorHAnsi" w:cstheme="minorHAnsi"/>
                      <w:b/>
                      <w:sz w:val="20"/>
                    </w:rPr>
                    <w:t>(</w:t>
                  </w:r>
                  <w:proofErr w:type="spellStart"/>
                  <w:r w:rsidRPr="000104EF">
                    <w:rPr>
                      <w:rFonts w:asciiTheme="minorHAnsi" w:hAnsiTheme="minorHAnsi" w:cstheme="minorHAnsi"/>
                      <w:b/>
                      <w:sz w:val="20"/>
                    </w:rPr>
                    <w:t>i</w:t>
                  </w:r>
                  <w:proofErr w:type="spellEnd"/>
                  <w:r w:rsidRPr="000104EF">
                    <w:rPr>
                      <w:rFonts w:asciiTheme="minorHAnsi" w:hAnsiTheme="minorHAnsi" w:cstheme="minorHAnsi"/>
                      <w:b/>
                      <w:sz w:val="20"/>
                    </w:rPr>
                    <w:t>) The current situation</w:t>
                  </w:r>
                  <w:r w:rsidRPr="00232C66">
                    <w:rPr>
                      <w:rStyle w:val="NoteLabel"/>
                    </w:rPr>
                    <w:t>a</w:t>
                  </w:r>
                </w:p>
                <w:p w:rsidR="007C51D1" w:rsidRPr="007E293B" w:rsidRDefault="007C51D1" w:rsidP="005939B8">
                  <w:pPr>
                    <w:pStyle w:val="Figure"/>
                    <w:spacing w:before="60" w:after="60"/>
                    <w:rPr>
                      <w:rFonts w:asciiTheme="minorHAnsi" w:hAnsiTheme="minorHAnsi" w:cstheme="minorHAnsi"/>
                      <w:i/>
                    </w:rPr>
                  </w:pPr>
                  <w:r>
                    <w:rPr>
                      <w:rFonts w:asciiTheme="minorHAnsi" w:hAnsiTheme="minorHAnsi" w:cstheme="minorHAnsi"/>
                      <w:i/>
                      <w:noProof/>
                    </w:rPr>
                    <w:drawing>
                      <wp:inline distT="0" distB="0" distL="0" distR="0" wp14:anchorId="38249777" wp14:editId="6ED37A68">
                        <wp:extent cx="2562225" cy="2733675"/>
                        <wp:effectExtent l="0" t="0" r="9525" b="9525"/>
                        <wp:docPr id="4" name="Picture 4" descr="Figure 6 Narrowing the gap — modelling a closer preservation age and Age Pension age. Set of two line charts, the first showing legislated changes in the age pension age and the preservation age over the next 40 years, and the second showing the same two variables but assuming a phased increase in the age pension age to 70 immediate after the legislated increase to 67, and a phased increase in the preservation age from 60 to 65 beginning in 203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62225" cy="2733675"/>
                                </a:xfrm>
                                <a:prstGeom prst="rect">
                                  <a:avLst/>
                                </a:prstGeom>
                                <a:noFill/>
                                <a:ln>
                                  <a:noFill/>
                                </a:ln>
                              </pic:spPr>
                            </pic:pic>
                          </a:graphicData>
                        </a:graphic>
                      </wp:inline>
                    </w:drawing>
                  </w:r>
                </w:p>
              </w:tc>
              <w:tc>
                <w:tcPr>
                  <w:tcW w:w="4252" w:type="dxa"/>
                  <w:tcBorders>
                    <w:top w:val="nil"/>
                    <w:bottom w:val="nil"/>
                  </w:tcBorders>
                </w:tcPr>
                <w:p w:rsidR="007C51D1" w:rsidRDefault="007C51D1" w:rsidP="005939B8">
                  <w:pPr>
                    <w:pStyle w:val="Figure"/>
                    <w:spacing w:before="60" w:after="60"/>
                    <w:rPr>
                      <w:noProof/>
                    </w:rPr>
                  </w:pPr>
                  <w:r w:rsidRPr="000104EF">
                    <w:rPr>
                      <w:rFonts w:ascii="Arial" w:hAnsi="Arial" w:cs="Arial"/>
                      <w:b/>
                      <w:sz w:val="20"/>
                    </w:rPr>
                    <w:t>(ii) The gap under modelled policy</w:t>
                  </w:r>
                  <w:r w:rsidRPr="00232C66">
                    <w:rPr>
                      <w:rStyle w:val="NoteLabel"/>
                      <w:rFonts w:cs="Arial"/>
                    </w:rPr>
                    <w:t>b</w:t>
                  </w:r>
                  <w:r>
                    <w:rPr>
                      <w:noProof/>
                    </w:rPr>
                    <w:t xml:space="preserve"> </w:t>
                  </w:r>
                </w:p>
                <w:p w:rsidR="007C51D1" w:rsidRPr="007E293B" w:rsidRDefault="00AB021B" w:rsidP="005939B8">
                  <w:pPr>
                    <w:pStyle w:val="Figure"/>
                    <w:spacing w:before="60" w:after="60"/>
                    <w:rPr>
                      <w:rFonts w:asciiTheme="majorHAnsi" w:hAnsiTheme="majorHAnsi" w:cstheme="majorHAnsi"/>
                      <w:i/>
                    </w:rPr>
                  </w:pPr>
                  <w:r>
                    <w:rPr>
                      <w:rFonts w:asciiTheme="majorHAnsi" w:hAnsiTheme="majorHAnsi" w:cstheme="majorHAnsi"/>
                      <w:i/>
                      <w:noProof/>
                    </w:rPr>
                    <w:drawing>
                      <wp:inline distT="0" distB="0" distL="0" distR="0">
                        <wp:extent cx="2562225" cy="2733675"/>
                        <wp:effectExtent l="0" t="0" r="9525" b="9525"/>
                        <wp:docPr id="217" name="Picture 217" descr="read previou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62225" cy="273367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r>
              <w:rPr>
                <w:rStyle w:val="NoteLabel"/>
              </w:rPr>
              <w:t>a</w:t>
            </w:r>
            <w:proofErr w:type="spellEnd"/>
            <w:r>
              <w:t xml:space="preserve"> The gap between the Age Pension age and the preservation age falls from 10 years to 7 years by 2024, and then remains constant. </w:t>
            </w:r>
            <w:r>
              <w:rPr>
                <w:rStyle w:val="NoteLabel"/>
              </w:rPr>
              <w:t>b</w:t>
            </w:r>
            <w:r>
              <w:t xml:space="preserve"> The policy modelled is the same as the current situation, until 2035, when the gap begins to narrow with an increasing preservation age — falling to a 2 year gap by 2043.</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Raising the preservation age encourages some people to work longer and save more</w:t>
      </w:r>
    </w:p>
    <w:p w:rsidR="007C51D1" w:rsidRDefault="007C51D1" w:rsidP="005939B8">
      <w:pPr>
        <w:pStyle w:val="BodyText"/>
      </w:pPr>
      <w:r>
        <w:t xml:space="preserve">Consistent with expectations, raising the preservation age encourages some individuals to retire later and accrue more superannuation savings. However, the Commission’s modelling results suggest that these impacts are likely to be concentrated among a small </w:t>
      </w:r>
      <w:r>
        <w:lastRenderedPageBreak/>
        <w:t>share of the population. I</w:t>
      </w:r>
      <w:r w:rsidRPr="001638A4">
        <w:t xml:space="preserve">ncreasing the </w:t>
      </w:r>
      <w:r>
        <w:t>p</w:t>
      </w:r>
      <w:r w:rsidRPr="001638A4">
        <w:t>reservation age to 65 is likely to increase the participation rate of older workers</w:t>
      </w:r>
      <w:r>
        <w:t xml:space="preserve"> (those aged 50</w:t>
      </w:r>
      <w:r>
        <w:noBreakHyphen/>
        <w:t xml:space="preserve">64 years) </w:t>
      </w:r>
      <w:r w:rsidRPr="001638A4">
        <w:t>by around 2</w:t>
      </w:r>
      <w:r>
        <w:t> </w:t>
      </w:r>
      <w:r w:rsidRPr="001638A4">
        <w:t>percentage</w:t>
      </w:r>
      <w:r>
        <w:t> </w:t>
      </w:r>
      <w:r w:rsidRPr="001638A4">
        <w:t xml:space="preserve">points in 2055. Households </w:t>
      </w:r>
      <w:r>
        <w:t>that</w:t>
      </w:r>
      <w:r w:rsidRPr="001638A4">
        <w:t xml:space="preserve"> delay their retirement do so by around two years and are likely to have superannuation balances that are </w:t>
      </w:r>
      <w:r>
        <w:t>around 10 </w:t>
      </w:r>
      <w:r w:rsidRPr="001638A4">
        <w:t xml:space="preserve">per cent larger </w:t>
      </w:r>
      <w:r>
        <w:t xml:space="preserve">on average </w:t>
      </w:r>
      <w:r w:rsidRPr="001638A4">
        <w:t>in real terms when they retire.</w:t>
      </w:r>
    </w:p>
    <w:p w:rsidR="007C51D1" w:rsidRDefault="007C51D1" w:rsidP="005939B8">
      <w:pPr>
        <w:pStyle w:val="BodyText"/>
      </w:pPr>
      <w:r>
        <w:t xml:space="preserve">The impacts of an increase in the preservation age vary across cohorts. Under the policy scenario explored by the Commission, the first </w:t>
      </w:r>
      <w:proofErr w:type="gramStart"/>
      <w:r>
        <w:t>cohort to be affected by a change in the preservation age are</w:t>
      </w:r>
      <w:proofErr w:type="gramEnd"/>
      <w:r>
        <w:t xml:space="preserve"> those who were 30</w:t>
      </w:r>
      <w:r>
        <w:noBreakHyphen/>
        <w:t xml:space="preserve">34 years old in 2012. Around 14 per cent of this group respond by delaying their retirement. </w:t>
      </w:r>
    </w:p>
    <w:p w:rsidR="007C51D1" w:rsidRDefault="007C51D1" w:rsidP="005939B8">
      <w:pPr>
        <w:pStyle w:val="BodyText"/>
      </w:pPr>
      <w:r>
        <w:t>Modelling results suggest that the impacts on successive cohorts are slightly more pronounced. For example, of the cohort of individuals who were 20</w:t>
      </w:r>
      <w:r>
        <w:noBreakHyphen/>
        <w:t>24 years old in 2012, around 17 per cent delay their retirement. This is because they are likely to have accrued more superannuation savings than previous cohorts (both due to real wage growth and having made contributions for longer and at a higher rate) such that a change in the preservation age is more likely to influence their behaviour.</w:t>
      </w:r>
    </w:p>
    <w:p w:rsidR="007C51D1" w:rsidRDefault="007C51D1" w:rsidP="005939B8">
      <w:pPr>
        <w:pStyle w:val="Heading3"/>
      </w:pPr>
      <w:r>
        <w:t xml:space="preserve">Flow on fiscal effects mainly increase tax receipts but also reduce Age Pension outlays </w:t>
      </w:r>
    </w:p>
    <w:p w:rsidR="007C51D1" w:rsidRDefault="007C51D1" w:rsidP="005939B8">
      <w:pPr>
        <w:pStyle w:val="BodyText"/>
      </w:pPr>
      <w:r>
        <w:t xml:space="preserve">Calls for an increase in the preservation age are mainly motivated by concerns about the impacts of an ageing population on Age Pension outlays and on the government’s fiscal position more broadly. </w:t>
      </w:r>
    </w:p>
    <w:p w:rsidR="007C51D1" w:rsidRDefault="007C51D1" w:rsidP="005939B8">
      <w:pPr>
        <w:pStyle w:val="BodyText"/>
      </w:pPr>
      <w:r>
        <w:t xml:space="preserve">The Commission’s modelling results suggest that </w:t>
      </w:r>
      <w:proofErr w:type="gramStart"/>
      <w:r>
        <w:t>raising</w:t>
      </w:r>
      <w:proofErr w:type="gramEnd"/>
      <w:r>
        <w:t xml:space="preserve"> the preservation age to 65 would likely result in an annual fiscal improvement of around $7 billion in 2055. Age Pension outlays would fall by around $3 billion in 2055 (figure 7). However, some people would retire involuntarily and (in the absence of changes to early access rules) </w:t>
      </w:r>
      <w:r w:rsidR="00DB74D6">
        <w:t>might</w:t>
      </w:r>
      <w:r>
        <w:t xml:space="preserve"> not be able to call on their superannuation savings to support them until they reach 65 years. The Commission has sought to explicitly account for the impacts on this group and where individuals meet the relevant means tests, has assumed that they receive some form of income support payment until they reach Age Pension age.</w:t>
      </w:r>
      <w:r w:rsidRPr="005D3021">
        <w:t xml:space="preserve"> </w:t>
      </w:r>
      <w:r>
        <w:t>In 2055, Age Pension savings would be offset, in part, by expenditure of around $750 million on these other welfare payments.</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7</w:t>
            </w:r>
            <w:r>
              <w:tab/>
              <w:t>Fiscal effects in 2055 of increasing the preservation age</w:t>
            </w:r>
            <w:r w:rsidRPr="00814486">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37B86372" wp14:editId="37CBDB2A">
                        <wp:extent cx="5257800" cy="2724150"/>
                        <wp:effectExtent l="0" t="0" r="0" b="0"/>
                        <wp:docPr id="34" name="Picture 34" descr="Figure 7  Fiscal effects in 2055 of increasing the preservation age. Horizontal bar chart showing predicted changes in government revenue and expenditure items (and the net fiscal effect) in 2055 associated with scenario 1A – an increase in the preservation age from 60 to 6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57800" cy="272415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0522A7" w:rsidRDefault="007C51D1" w:rsidP="005939B8">
            <w:pPr>
              <w:pStyle w:val="Source"/>
              <w:rPr>
                <w:i/>
              </w:rPr>
            </w:pPr>
            <w:proofErr w:type="spellStart"/>
            <w:r w:rsidRPr="00A32686">
              <w:rPr>
                <w:rStyle w:val="NoteLabel"/>
              </w:rPr>
              <w:t>a</w:t>
            </w:r>
            <w:proofErr w:type="spellEnd"/>
            <w:r>
              <w:rPr>
                <w:rStyle w:val="NoteLabel"/>
              </w:rPr>
              <w:t xml:space="preserve"> </w:t>
            </w:r>
            <w:r>
              <w:t>In the main, the base case that underpins these modelling results incorporates legislated changes in retirement income policy, but does not include changes that have been proposed and are</w:t>
            </w:r>
            <w:r w:rsidRPr="00694C4E">
              <w:t xml:space="preserve"> subject to the passage of legislation</w:t>
            </w:r>
            <w:r>
              <w:t xml:space="preserve">. The increase in the Age Pension age to 67 is incorporated in the base case, whereas a further increase in the Age Pension age to 70 and recently passed (22 June 2015) changes to the Age Pension assets test have not been incorporated. </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The majority of the fiscal </w:t>
      </w:r>
      <w:r w:rsidRPr="00442663">
        <w:t>improvement — around $</w:t>
      </w:r>
      <w:r w:rsidRPr="0018248D">
        <w:t>5</w:t>
      </w:r>
      <w:r w:rsidRPr="00442663">
        <w:t> billion</w:t>
      </w:r>
      <w:r>
        <w:t xml:space="preserve"> in 2055 — arises due to an increase in tax receipts. Households that delay their retirement pay personal income tax on the additional wage income that they earn and on the earnings of the additional superannuation contributions that they make. In deferring their retirement, households also postpone drawing down on their assets (both superannuation and other assets), and so returns on these assets would also be taxed for additional years. </w:t>
      </w:r>
    </w:p>
    <w:p w:rsidR="007C51D1" w:rsidRDefault="007C51D1" w:rsidP="005939B8">
      <w:pPr>
        <w:pStyle w:val="Heading3"/>
      </w:pPr>
      <w:r>
        <w:t>Impacts vary by household type</w:t>
      </w:r>
    </w:p>
    <w:p w:rsidR="007C51D1" w:rsidRDefault="007C51D1" w:rsidP="005939B8">
      <w:pPr>
        <w:pStyle w:val="BodyText"/>
      </w:pPr>
      <w:r>
        <w:t xml:space="preserve">One factor that has contributed to </w:t>
      </w:r>
      <w:proofErr w:type="spellStart"/>
      <w:r>
        <w:t>broad</w:t>
      </w:r>
      <w:r>
        <w:noBreakHyphen/>
        <w:t>based</w:t>
      </w:r>
      <w:proofErr w:type="spellEnd"/>
      <w:r>
        <w:t xml:space="preserve"> support for an increase in the preservation age is the belief that it will encourage wealthier individuals to remain in the workforce for longer. </w:t>
      </w:r>
    </w:p>
    <w:p w:rsidR="007C51D1" w:rsidRDefault="007C51D1" w:rsidP="005939B8">
      <w:pPr>
        <w:pStyle w:val="BodyText"/>
      </w:pPr>
      <w:r>
        <w:t>The Commission’s modelling results largely support this view. Wealthier individuals are, on average, more likely to delay their retirement. They also have higher superannuation savings (and so pay more tax on superannuation earnings)</w:t>
      </w:r>
      <w:r w:rsidRPr="00F36EB8">
        <w:t xml:space="preserve"> </w:t>
      </w:r>
      <w:r>
        <w:t>and receive fewer welfare payments in later years. These factors combined mean that the bulk of the fiscal gains associated with an increase in the preservation age can be attributed to wealthier households (figure 8).</w:t>
      </w:r>
    </w:p>
    <w:p w:rsidR="007C51D1" w:rsidRDefault="007C51D1" w:rsidP="005939B8">
      <w:pPr>
        <w:pStyle w:val="BodyText"/>
      </w:pPr>
      <w:r>
        <w:lastRenderedPageBreak/>
        <w:t>In contrast, poorer individuals tend not to delay their retirement in response to a change in the preservation age — their limited superannuation savings mean that the Age Pension age is far more important in determining when they might retire.</w:t>
      </w:r>
      <w:r w:rsidRPr="000C1B9D">
        <w:t xml:space="preserve"> </w:t>
      </w:r>
      <w:r>
        <w:t xml:space="preserve">Even so, poorer individuals will still be affected by an increase in the preservation age. They have a greater likelihood of becoming involuntarily retired and so </w:t>
      </w:r>
      <w:r w:rsidR="00145C96">
        <w:t>may need to</w:t>
      </w:r>
      <w:r>
        <w:t xml:space="preserve"> wait up to an additional five years before they can access their superannuation savings. The modest fiscal savings attributed to lower wealth households arise, in part, because their superannuation earnings are taxed during this time. Some stakeholders have proposed that any increase in the preservation age be accompanied by a relaxation of early access arrangements for the involuntarily retired. Doing so would have two (opposing) fiscal effects — reducing calls on government payments and reducing tax revenues on superannuation earnings relative to the counterfactual.</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8</w:t>
            </w:r>
            <w:r>
              <w:tab/>
              <w:t xml:space="preserve">Most of the fiscal gains associated with an increase in the preservation age come from </w:t>
            </w:r>
            <w:r w:rsidRPr="001267FF">
              <w:t>wealthier households</w:t>
            </w:r>
            <w:r w:rsidRPr="004E5A76">
              <w:rPr>
                <w:rStyle w:val="NoteLabel"/>
                <w:b/>
              </w:rPr>
              <w:t>a</w:t>
            </w:r>
          </w:p>
          <w:p w:rsidR="007C51D1" w:rsidRPr="00176D3F" w:rsidRDefault="007C51D1" w:rsidP="005939B8">
            <w:pPr>
              <w:pStyle w:val="Subtitle"/>
            </w:pPr>
            <w:r>
              <w:t>Fiscal impact in 2055 by household type</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22A3B06D" wp14:editId="7CB41B16">
                        <wp:extent cx="5257800" cy="2809875"/>
                        <wp:effectExtent l="0" t="0" r="0" b="9525"/>
                        <wp:docPr id="35" name="Picture 35" descr="Figure 8 Most of the fiscal gains associated with an increase in the preservation age can be attributed to wealthier households. Column chart showing the aggregate fiscal gains associated with increasing the preservation age by wealth quartile, and with the aggregate effect within each wealth quartile further broken down according to household type – single male, single female, and couple-headed household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w:t>
            </w:r>
            <w:r w:rsidRPr="00AE6CF3">
              <w:t>Note that in assessing the fiscal impacts by wealth, the ‘cut</w:t>
            </w:r>
            <w:r>
              <w:noBreakHyphen/>
            </w:r>
            <w:r w:rsidRPr="00AE6CF3">
              <w:t>offs’ for each quartile are determined separately for single male,</w:t>
            </w:r>
            <w:r>
              <w:t xml:space="preserve"> single </w:t>
            </w:r>
            <w:r w:rsidRPr="00AE6CF3">
              <w:t>female and couple households</w:t>
            </w:r>
            <w:r>
              <w:t xml:space="preserve"> and vary across age groups and time</w:t>
            </w:r>
            <w:r w:rsidRPr="00AE6CF3">
              <w:t>.</w:t>
            </w:r>
            <w:r>
              <w:t xml:space="preserve"> The impacts on those with SMSFs is not modelled explicitly, rather population</w:t>
            </w:r>
            <w:r>
              <w:noBreakHyphen/>
              <w:t>wide data on superannuation savings were used to inform the model.</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 xml:space="preserve">The implications for preservation age policy are not clear cut </w:t>
      </w:r>
    </w:p>
    <w:p w:rsidR="007C51D1" w:rsidRDefault="007C51D1" w:rsidP="005939B8">
      <w:pPr>
        <w:pStyle w:val="BodyText"/>
      </w:pPr>
      <w:proofErr w:type="gramStart"/>
      <w:r>
        <w:t>Raising</w:t>
      </w:r>
      <w:proofErr w:type="gramEnd"/>
      <w:r>
        <w:t xml:space="preserve"> the preservation age is likely to increase the superannuation savings of some, and improve the capacity of the government to manage the transition to an older Australia. While the analysis contained in this report gives a sense of the impact of changes to the </w:t>
      </w:r>
      <w:r>
        <w:lastRenderedPageBreak/>
        <w:t xml:space="preserve">preservation age on retirement decisions, superannuation balances and fiscal outlays, it cannot, on its own, determine if a change in the preservation age is warranted. </w:t>
      </w:r>
    </w:p>
    <w:p w:rsidR="007C51D1" w:rsidRDefault="007C51D1" w:rsidP="005939B8">
      <w:pPr>
        <w:pStyle w:val="BodyText"/>
      </w:pPr>
      <w:r>
        <w:t xml:space="preserve">As noted in the Commission’s report, </w:t>
      </w:r>
      <w:r w:rsidRPr="006F6BB0">
        <w:rPr>
          <w:i/>
        </w:rPr>
        <w:t>An Ageing Australia: Preparing for the Future</w:t>
      </w:r>
      <w:r>
        <w:t>, the government has a number of means at its disposal to manage the fiscal pressures associated with an ageing population. Ideally, policy makers would weigh up the merits of these options before deciding on any given response.</w:t>
      </w:r>
    </w:p>
    <w:p w:rsidR="007C51D1" w:rsidRDefault="007C51D1" w:rsidP="005939B8">
      <w:pPr>
        <w:pStyle w:val="BodyText"/>
      </w:pPr>
      <w:r>
        <w:t xml:space="preserve">More fundamentally, any assessment of the desirability of </w:t>
      </w:r>
      <w:proofErr w:type="gramStart"/>
      <w:r>
        <w:t>raising</w:t>
      </w:r>
      <w:proofErr w:type="gramEnd"/>
      <w:r>
        <w:t xml:space="preserve"> the preservation age should take into account the objectives of the superannuation system and the broader retirement income system of which it is a part. Such an exercise is hampered by the absence of clear and prioritised objectives. It is difficult to assess and design effective policy when there is no consensus on what the policy objectives should be.</w:t>
      </w:r>
    </w:p>
    <w:p w:rsidR="007C51D1" w:rsidRPr="00C61274" w:rsidRDefault="007C51D1" w:rsidP="005939B8">
      <w:pPr>
        <w:pStyle w:val="BodyText"/>
      </w:pPr>
      <w:r>
        <w:t xml:space="preserve">While this report has assessed the likely magnitude of the impacts from </w:t>
      </w:r>
      <w:proofErr w:type="gramStart"/>
      <w:r>
        <w:t>raising</w:t>
      </w:r>
      <w:proofErr w:type="gramEnd"/>
      <w:r>
        <w:t xml:space="preserve"> the preservation age, the Commission has not turned its attention to implementation issues. The capacity of individuals who become involuntarily retired to access their superannuation savings prior to reaching the preservation age is one obvious issue that would need to be considered. Currently, early access provisions only apply in a very limited set of circumstances, and in most cases, only provide for the release of comparatively small amounts. Consideration needs to be given to some form of safety net, which would need to be in place to protect the wellbeing of these individuals, who may spend a significant amount of time out of the workforce.</w:t>
      </w:r>
    </w:p>
    <w:p w:rsidR="007C51D1" w:rsidRDefault="007C51D1" w:rsidP="00EE5E83">
      <w:pPr>
        <w:pStyle w:val="Heading2nosectionno"/>
      </w:pPr>
      <w:r>
        <w:t xml:space="preserve">Is the way people draw down their superannuation a concern? </w:t>
      </w:r>
    </w:p>
    <w:p w:rsidR="007C51D1" w:rsidRDefault="007C51D1" w:rsidP="005939B8">
      <w:pPr>
        <w:pStyle w:val="BodyText"/>
      </w:pPr>
      <w:r>
        <w:t>The way that individuals can draw down their superannuation is subject to few limits o</w:t>
      </w:r>
      <w:r w:rsidRPr="006A77F6">
        <w:t xml:space="preserve">nce </w:t>
      </w:r>
      <w:r>
        <w:t>they</w:t>
      </w:r>
      <w:r w:rsidRPr="006A77F6">
        <w:t xml:space="preserve"> reach the preservation age</w:t>
      </w:r>
      <w:r>
        <w:t xml:space="preserve">. Individuals can take their superannuation as a lump sum, an income stream or a combination of the two. </w:t>
      </w:r>
    </w:p>
    <w:p w:rsidR="007C51D1" w:rsidRDefault="007C51D1" w:rsidP="005939B8">
      <w:pPr>
        <w:pStyle w:val="BodyText"/>
      </w:pPr>
      <w:r>
        <w:t>The degree of discretion that people have in drawing down their superannuation assets has advantages and limitations. Having the opportunity to take a lump sum can assist retirees in making significant purchases or meeting unexpected costs. A flexible system may also be appropriate given the diversity of needs and circumstances people face in retirement.</w:t>
      </w:r>
    </w:p>
    <w:p w:rsidR="007C51D1" w:rsidRDefault="007C51D1" w:rsidP="005939B8">
      <w:pPr>
        <w:pStyle w:val="BodyText"/>
      </w:pPr>
      <w:r>
        <w:t>However, this flexibility may add to the risk that people will outlive their savings, and potentially allow some to structure their affairs to maximise access to welfare and taxation benefits. The consequences of this flexibility have been the subject of much recent debate, with some stakeholders arguing that access to lump sums should be restricted.</w:t>
      </w:r>
    </w:p>
    <w:p w:rsidR="007C51D1" w:rsidRDefault="007C51D1" w:rsidP="005939B8">
      <w:pPr>
        <w:pStyle w:val="Heading3"/>
      </w:pPr>
      <w:r>
        <w:lastRenderedPageBreak/>
        <w:t>There is little evidence that lump sum behaviour is problematic for individuals …</w:t>
      </w:r>
    </w:p>
    <w:p w:rsidR="007C51D1" w:rsidRDefault="007C51D1" w:rsidP="005939B8">
      <w:pPr>
        <w:pStyle w:val="BodyText"/>
      </w:pPr>
      <w:r>
        <w:t>While concerns are focused on the prevalence and use of lump sums, the large bulk of superannuation assets are taken as income stream rollovers at the time of retirement (figure 9(</w:t>
      </w:r>
      <w:proofErr w:type="spellStart"/>
      <w:r>
        <w:t>i</w:t>
      </w:r>
      <w:proofErr w:type="spellEnd"/>
      <w:r>
        <w:t>)). Analysing longer term trends in drawdown behaviour is frustrated by a lack of consistent data. Even so, most measures suggest that both the absolute value and proportion of superannuation benefits taken as an income stream is increasing over time (figure 9(ii)).</w:t>
      </w:r>
    </w:p>
    <w:p w:rsidR="007C51D1" w:rsidRDefault="007C51D1" w:rsidP="005939B8">
      <w:pPr>
        <w:pStyle w:val="BodyText"/>
      </w:pPr>
      <w:r>
        <w:t>Further, many of those who use income stream rollovers withdraw the minimum amount required by legislation — drawing down on their superannuation savings as conservatively as the rules allow.</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9</w:t>
            </w:r>
            <w:r>
              <w:tab/>
              <w:t>Superannuation benefit withdrawals</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7C51D1" w:rsidTr="005939B8">
              <w:trPr>
                <w:trHeight w:val="177"/>
                <w:jc w:val="center"/>
              </w:trPr>
              <w:tc>
                <w:tcPr>
                  <w:tcW w:w="2500" w:type="pct"/>
                  <w:tcBorders>
                    <w:top w:val="nil"/>
                    <w:bottom w:val="nil"/>
                  </w:tcBorders>
                </w:tcPr>
                <w:p w:rsidR="007C51D1" w:rsidRPr="00F45D8B" w:rsidRDefault="007C51D1" w:rsidP="005939B8">
                  <w:pPr>
                    <w:pStyle w:val="Figure"/>
                    <w:spacing w:before="60" w:after="60"/>
                    <w:rPr>
                      <w:rFonts w:asciiTheme="minorHAnsi" w:hAnsiTheme="minorHAnsi" w:cstheme="minorHAnsi"/>
                      <w:b/>
                      <w:sz w:val="20"/>
                    </w:rPr>
                  </w:pPr>
                  <w:r w:rsidRPr="00F45D8B">
                    <w:rPr>
                      <w:rFonts w:asciiTheme="minorHAnsi" w:hAnsiTheme="minorHAnsi" w:cstheme="minorHAnsi"/>
                      <w:b/>
                      <w:sz w:val="20"/>
                    </w:rPr>
                    <w:t>(</w:t>
                  </w:r>
                  <w:proofErr w:type="spellStart"/>
                  <w:r w:rsidRPr="00F45D8B">
                    <w:rPr>
                      <w:rFonts w:asciiTheme="minorHAnsi" w:hAnsiTheme="minorHAnsi" w:cstheme="minorHAnsi"/>
                      <w:b/>
                      <w:sz w:val="20"/>
                    </w:rPr>
                    <w:t>i</w:t>
                  </w:r>
                  <w:proofErr w:type="spellEnd"/>
                  <w:r w:rsidRPr="00F45D8B">
                    <w:rPr>
                      <w:rFonts w:asciiTheme="minorHAnsi" w:hAnsiTheme="minorHAnsi" w:cstheme="minorHAnsi"/>
                      <w:b/>
                      <w:sz w:val="20"/>
                    </w:rPr>
                    <w:t>) Total superannuation benefits over time</w:t>
                  </w:r>
                </w:p>
              </w:tc>
              <w:tc>
                <w:tcPr>
                  <w:tcW w:w="2500" w:type="pct"/>
                  <w:tcBorders>
                    <w:top w:val="nil"/>
                    <w:bottom w:val="nil"/>
                  </w:tcBorders>
                </w:tcPr>
                <w:p w:rsidR="007C51D1" w:rsidRPr="00F45D8B" w:rsidRDefault="007C51D1" w:rsidP="005939B8">
                  <w:pPr>
                    <w:pStyle w:val="Figure"/>
                    <w:spacing w:before="60" w:after="60"/>
                    <w:rPr>
                      <w:rFonts w:ascii="Arial" w:hAnsi="Arial" w:cs="Arial"/>
                      <w:b/>
                      <w:sz w:val="20"/>
                    </w:rPr>
                  </w:pPr>
                  <w:r w:rsidRPr="00F45D8B">
                    <w:rPr>
                      <w:rFonts w:ascii="Arial" w:hAnsi="Arial" w:cs="Arial"/>
                      <w:b/>
                      <w:sz w:val="20"/>
                    </w:rPr>
                    <w:t xml:space="preserve">(ii) Benefits by size of </w:t>
                  </w:r>
                  <w:r>
                    <w:rPr>
                      <w:rFonts w:ascii="Arial" w:hAnsi="Arial" w:cs="Arial"/>
                      <w:b/>
                      <w:sz w:val="20"/>
                    </w:rPr>
                    <w:t xml:space="preserve">super </w:t>
                  </w:r>
                  <w:r w:rsidRPr="00F45D8B">
                    <w:rPr>
                      <w:rFonts w:ascii="Arial" w:hAnsi="Arial" w:cs="Arial"/>
                      <w:b/>
                      <w:sz w:val="20"/>
                    </w:rPr>
                    <w:t>balance</w:t>
                  </w:r>
                  <w:r>
                    <w:rPr>
                      <w:rFonts w:ascii="Arial" w:hAnsi="Arial" w:cs="Arial"/>
                      <w:b/>
                      <w:sz w:val="20"/>
                    </w:rPr>
                    <w:t xml:space="preserve"> ($000)</w:t>
                  </w:r>
                </w:p>
              </w:tc>
            </w:tr>
            <w:tr w:rsidR="007C51D1" w:rsidTr="005939B8">
              <w:tblPrEx>
                <w:tblCellMar>
                  <w:left w:w="108" w:type="dxa"/>
                  <w:right w:w="108" w:type="dxa"/>
                </w:tblCellMar>
              </w:tblPrEx>
              <w:trPr>
                <w:trHeight w:val="176"/>
                <w:jc w:val="center"/>
              </w:trPr>
              <w:tc>
                <w:tcPr>
                  <w:tcW w:w="2500" w:type="pct"/>
                  <w:tcBorders>
                    <w:top w:val="nil"/>
                    <w:bottom w:val="nil"/>
                  </w:tcBorders>
                </w:tcPr>
                <w:p w:rsidR="007C51D1" w:rsidRDefault="00C45B3A" w:rsidP="005939B8">
                  <w:pPr>
                    <w:pStyle w:val="Figure"/>
                    <w:spacing w:before="60" w:after="60"/>
                  </w:pPr>
                  <w:r>
                    <w:rPr>
                      <w:noProof/>
                    </w:rPr>
                    <w:drawing>
                      <wp:inline distT="0" distB="0" distL="0" distR="0">
                        <wp:extent cx="2561590" cy="2731135"/>
                        <wp:effectExtent l="0" t="0" r="0" b="0"/>
                        <wp:docPr id="190" name="Picture 190" descr="Figure 9 Superannuation benefit withdrawals&#10;(i)Total superannuation benefits overtime. This chart shows the value of superannuation assets taken as lump sums compared to those taken as income streams since 2001. In general, the value of lump sums has remained relatively flat since 2001. In 2013, lump sums were valued at around $8 billion. In comparison, the value of income streams has increased over the period from around $10 billion in 2001 to around $30 billion in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61590" cy="2731135"/>
                                </a:xfrm>
                                <a:prstGeom prst="rect">
                                  <a:avLst/>
                                </a:prstGeom>
                                <a:noFill/>
                                <a:ln>
                                  <a:noFill/>
                                </a:ln>
                              </pic:spPr>
                            </pic:pic>
                          </a:graphicData>
                        </a:graphic>
                      </wp:inline>
                    </w:drawing>
                  </w:r>
                </w:p>
              </w:tc>
              <w:tc>
                <w:tcPr>
                  <w:tcW w:w="2500" w:type="pct"/>
                  <w:tcBorders>
                    <w:top w:val="nil"/>
                    <w:bottom w:val="nil"/>
                  </w:tcBorders>
                </w:tcPr>
                <w:p w:rsidR="007C51D1" w:rsidRDefault="007C51D1" w:rsidP="005939B8">
                  <w:pPr>
                    <w:pStyle w:val="Figure"/>
                    <w:spacing w:before="60" w:after="60"/>
                  </w:pPr>
                  <w:r>
                    <w:rPr>
                      <w:noProof/>
                    </w:rPr>
                    <w:drawing>
                      <wp:inline distT="0" distB="0" distL="0" distR="0" wp14:anchorId="68472D06" wp14:editId="0D973DBD">
                        <wp:extent cx="2562225" cy="2733675"/>
                        <wp:effectExtent l="0" t="0" r="9525" b="9525"/>
                        <wp:docPr id="47" name="Picture 47" descr="(ii) Benefits by size of superannuation balance. This chart shows the shares of income streams and lump sums across a range of superannuation balances. Overall, larger superannuation balances take a greater share of benefits are taken as an income stream . For instance, superannuation accounts valued at up to $50 000 take around 55 per cent of benefits as income streams compared to accounts valued at over $300 000, which take more than 90 per cent of benefits as income stre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62225" cy="2733675"/>
                                </a:xfrm>
                                <a:prstGeom prst="rect">
                                  <a:avLst/>
                                </a:prstGeom>
                                <a:noFill/>
                                <a:ln>
                                  <a:noFill/>
                                </a:ln>
                              </pic:spPr>
                            </pic:pic>
                          </a:graphicData>
                        </a:graphic>
                      </wp:inline>
                    </w:drawing>
                  </w:r>
                </w:p>
              </w:tc>
            </w:tr>
          </w:tbl>
          <w:p w:rsidR="007C51D1" w:rsidRDefault="007C51D1" w:rsidP="005939B8">
            <w:pPr>
              <w:pStyle w:val="Figure"/>
            </w:pP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In contrast, only around 16 per cent of benefits are taken as lump sums (figure 9(ii)). The bulk of individuals who take lump sums are aged between 55 and 70 years — the median value they take is around $20 000. Lump sums are more likely to be taken by people with relatively small superannuation balances — more than 90 per cent of people with up to $10 000 in superannuation assets take their benefits as a lump sum at retirement compared to around 30 per cent of people with assets between $100 000 and $200 000. When individuals with low balances take a lump sum, they typically exhaust all of their superannuation savings. As the </w:t>
      </w:r>
      <w:r w:rsidRPr="00CE71AE">
        <w:rPr>
          <w:i/>
        </w:rPr>
        <w:t>Financial System Inquiry</w:t>
      </w:r>
      <w:r>
        <w:t xml:space="preserve"> noted in its interim report:</w:t>
      </w:r>
    </w:p>
    <w:p w:rsidR="007C51D1" w:rsidRDefault="007C51D1" w:rsidP="005939B8">
      <w:pPr>
        <w:pStyle w:val="Quote"/>
      </w:pPr>
      <w:r>
        <w:t xml:space="preserve">For people with small superannuation balances, taking the entirety of their benefits as a lump sum may be an optimal strategy because the income stream generated from a small balance is </w:t>
      </w:r>
      <w:r>
        <w:lastRenderedPageBreak/>
        <w:t xml:space="preserve">negligible and has relatively high costs and no tax advantages. </w:t>
      </w:r>
      <w:r w:rsidR="00F62614" w:rsidRPr="00F62614">
        <w:rPr>
          <w:szCs w:val="24"/>
        </w:rPr>
        <w:t>(Australian Government 2014c, p. 4</w:t>
      </w:r>
      <w:r w:rsidR="009E78D0">
        <w:rPr>
          <w:szCs w:val="24"/>
        </w:rPr>
        <w:noBreakHyphen/>
      </w:r>
      <w:r w:rsidR="00F62614" w:rsidRPr="00F62614">
        <w:rPr>
          <w:szCs w:val="24"/>
        </w:rPr>
        <w:t>12)</w:t>
      </w:r>
    </w:p>
    <w:p w:rsidR="007C51D1" w:rsidRDefault="007C51D1" w:rsidP="005939B8">
      <w:pPr>
        <w:pStyle w:val="BodyText"/>
      </w:pPr>
      <w:r>
        <w:t xml:space="preserve">Where lump sums are being taken, there is little evidence to suggest that they are being squandered. Individuals can set themselves up for retirement in many ways. In addition to retiring debt (particularly housing debt) many individuals use their lump sums to modify their primary residence and/or invest in consumer durables to see them through their retirement years (figure 10). </w:t>
      </w:r>
      <w:r w:rsidRPr="001664F8">
        <w:t>For</w:t>
      </w:r>
      <w:r>
        <w:t xml:space="preserve"> those who have had an interrupted work history or were relatively low</w:t>
      </w:r>
      <w:r>
        <w:noBreakHyphen/>
        <w:t>income earners, their lump sums (while relatively meagre) provide an opportunity to self</w:t>
      </w:r>
      <w:r>
        <w:noBreakHyphen/>
        <w:t xml:space="preserve">finance ‘lumpy’ consumption.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10</w:t>
            </w:r>
            <w:r>
              <w:tab/>
              <w:t>Main uses of superannuation lump sums</w:t>
            </w:r>
            <w:proofErr w:type="spellStart"/>
            <w:r w:rsidRPr="004E5A76">
              <w:rPr>
                <w:rStyle w:val="NoteLabel"/>
                <w:b/>
              </w:rPr>
              <w:t>a,b</w:t>
            </w:r>
            <w:proofErr w:type="spellEnd"/>
          </w:p>
          <w:p w:rsidR="007C51D1" w:rsidRPr="00176D3F" w:rsidRDefault="007C51D1" w:rsidP="005939B8">
            <w:pPr>
              <w:pStyle w:val="Subtitle"/>
            </w:pPr>
            <w:r>
              <w:t>2012</w:t>
            </w:r>
            <w:r>
              <w:noBreakHyphen/>
              <w:t>13</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7E28271D" wp14:editId="65719139">
                        <wp:extent cx="5257800" cy="4705350"/>
                        <wp:effectExtent l="0" t="0" r="0" b="0"/>
                        <wp:docPr id="36" name="Picture 36" descr="Figure 10  Main uses of superannuation lump sums, 2012-13. This chart shows the main uses of lump sums as a percentage of all lump sums taken. Around 25 per cent of lump sums were used to pay off a home/pay for home improvements/buy a new home. Another 18 per cent of lump sums were invested/deposited in the bank. A further 15 per cent were rolled over into superannuation income stream products. Less than 15 per cent of lump sums had been used in other ways or their use was still undecided. Just over 10 per cent of lump sums were used to pay off other debts. Under 10 per cent of lump sums were used to purchase a car. Nearly 10 per cent of lump sums were also used to pay for a holiday. Less than 5 per cent of lump sums were used to assist family members. About 2 per cent of lump sums were used to purchase an immediate annu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57800" cy="470535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Main uses have not changed significantly since 2004</w:t>
            </w:r>
            <w:r>
              <w:noBreakHyphen/>
              <w:t xml:space="preserve">05. </w:t>
            </w:r>
            <w:proofErr w:type="gramStart"/>
            <w:r>
              <w:rPr>
                <w:rStyle w:val="NoteLabel"/>
              </w:rPr>
              <w:t>b</w:t>
            </w:r>
            <w:proofErr w:type="gramEnd"/>
            <w:r>
              <w:rPr>
                <w:rStyle w:val="NoteLabel"/>
              </w:rPr>
              <w:t xml:space="preserve"> </w:t>
            </w:r>
            <w:r w:rsidRPr="00A0271E">
              <w:t>The category of</w:t>
            </w:r>
            <w:r>
              <w:rPr>
                <w:rStyle w:val="NoteLabel"/>
              </w:rPr>
              <w:t xml:space="preserve"> </w:t>
            </w:r>
            <w:r w:rsidRPr="00A0271E">
              <w:t xml:space="preserve">‘Other’ </w:t>
            </w:r>
            <w:r>
              <w:t xml:space="preserve">was added to ‘Undecided/don’t know’ because it appears in past releases of the </w:t>
            </w:r>
            <w:r>
              <w:rPr>
                <w:i/>
              </w:rPr>
              <w:t xml:space="preserve">Retirement and Retirement Intentions </w:t>
            </w:r>
            <w:r>
              <w:t>survey. ‘Other’ typically accounts for around 10 per cent of lump sums taken.</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lastRenderedPageBreak/>
        <w:t xml:space="preserve">… </w:t>
      </w:r>
      <w:proofErr w:type="gramStart"/>
      <w:r>
        <w:t>or</w:t>
      </w:r>
      <w:proofErr w:type="gramEnd"/>
      <w:r>
        <w:t xml:space="preserve"> for the community as a whole</w:t>
      </w:r>
    </w:p>
    <w:p w:rsidR="007C51D1" w:rsidRDefault="007C51D1" w:rsidP="005939B8">
      <w:pPr>
        <w:pStyle w:val="BodyText"/>
      </w:pPr>
      <w:r>
        <w:t>Taking lump sums may be in an individual’s interest, but doing so can also potentially have impacts on the broader community. To the extent that lump sums affect the receipt of the Age Pension, their use is of policy relevance to the community and potentially of concern for government.</w:t>
      </w:r>
    </w:p>
    <w:p w:rsidR="007C51D1" w:rsidRDefault="007C51D1" w:rsidP="005939B8">
      <w:pPr>
        <w:pStyle w:val="BodyText"/>
      </w:pPr>
      <w:r>
        <w:t xml:space="preserve">Concerns that lump sums allow individuals to restructure their wealth holdings to maximise access to the Age Pension are understandable, indeed financial advisors offer guidance on how best to do so. But not all individuals have scope to structure their affairs in order to increase their access to the Age Pension — those with very little savings are likely to receive the Age Pension anyway, while those with considerable asset holdings at retirement would be ineligible. Concerns are most relevant for those retirees with superannuation savings (and other assets) close to the Age Pension means test thresholds. </w:t>
      </w:r>
    </w:p>
    <w:p w:rsidR="007C51D1" w:rsidRDefault="007C51D1" w:rsidP="005939B8">
      <w:pPr>
        <w:pStyle w:val="BodyText"/>
      </w:pPr>
      <w:r>
        <w:t>The question of whether lump sums encourage Age Pension take up (either by design or default) has already been examined extensively by a number of researchers. The Association of Superannuation Funds of Australia examined the use of lump sums to determine how it might affect future Age Pension usage. They concluded:</w:t>
      </w:r>
    </w:p>
    <w:p w:rsidR="007C51D1" w:rsidRDefault="007C51D1" w:rsidP="005939B8">
      <w:pPr>
        <w:pStyle w:val="Quote"/>
      </w:pPr>
      <w:r>
        <w:t xml:space="preserve">A number of commentators have asserted that there is a ‘lump sum’ mentality in Australia and that many (or at least a significant number) of retirees take a lump sum superannuation benefit, spend it on consumption goods or a holiday, and then fall back on the Age Pension. Individuals taking lump sums generally take an amount that is not material to the amount of Age Pension they will receive. </w:t>
      </w:r>
      <w:r w:rsidR="00F62614" w:rsidRPr="00F62614">
        <w:rPr>
          <w:szCs w:val="24"/>
        </w:rPr>
        <w:t>(2014a, p. 24)</w:t>
      </w:r>
    </w:p>
    <w:p w:rsidR="007C51D1" w:rsidRDefault="007C51D1" w:rsidP="005939B8">
      <w:pPr>
        <w:pStyle w:val="BodyText"/>
      </w:pPr>
      <w:r>
        <w:t>Other researchers have also examined whether individuals alter their draw down well in advance of the Age Pension age in order to gain access to the payment. They too found little evidence that individuals were acting strategically, concluding that other factors, such as experiencing the onset of disability were more important in explaining early draw down and exhaustion of superannuation savings.</w:t>
      </w:r>
    </w:p>
    <w:p w:rsidR="007C51D1" w:rsidRDefault="007C51D1" w:rsidP="005939B8">
      <w:pPr>
        <w:pStyle w:val="BodyText"/>
      </w:pPr>
      <w:r>
        <w:t>Moreover, rather than finding evidence of widespread restructuring, researchers found evidence that individuals continue to accumulate assets as they approach retirement. These results are broadly consistent with the Commission’s own analysis of wealth accumulation patterns.</w:t>
      </w:r>
    </w:p>
    <w:p w:rsidR="007C51D1" w:rsidRDefault="007C51D1" w:rsidP="005939B8">
      <w:pPr>
        <w:pStyle w:val="BodyText"/>
      </w:pPr>
      <w:r>
        <w:t xml:space="preserve">The current body of research suggests that the practice of restructuring assets in order to gain access to the Age Pension is not widespread. To the extent that it occurs, such behaviour reflects incentives embodied in the means tests for the Age Pension itself, rather than the flexibility of draw down afforded by superannuation arrangements. These incentives are not specific to </w:t>
      </w:r>
      <w:proofErr w:type="gramStart"/>
      <w:r>
        <w:t>superannuation,</w:t>
      </w:r>
      <w:proofErr w:type="gramEnd"/>
      <w:r>
        <w:t xml:space="preserve"> rather, they apply equally to shares and other financial assets. To the extent that strategic exhaustion of assets is a problem, its solution does not lie solely in restricting </w:t>
      </w:r>
      <w:proofErr w:type="spellStart"/>
      <w:r>
        <w:t>draw downs</w:t>
      </w:r>
      <w:proofErr w:type="spellEnd"/>
      <w:r>
        <w:t xml:space="preserve"> from superannuation.</w:t>
      </w:r>
    </w:p>
    <w:p w:rsidR="007C51D1" w:rsidRDefault="007C51D1" w:rsidP="005939B8">
      <w:pPr>
        <w:pStyle w:val="Heading3"/>
      </w:pPr>
      <w:r>
        <w:lastRenderedPageBreak/>
        <w:t xml:space="preserve">Lump sums will become proportionally smaller over time </w:t>
      </w:r>
    </w:p>
    <w:p w:rsidR="007C51D1" w:rsidRDefault="007C51D1" w:rsidP="005939B8">
      <w:pPr>
        <w:pStyle w:val="BodyText"/>
      </w:pPr>
      <w:r w:rsidRPr="00BD45FF">
        <w:t>Drawdown behaviour will likely be affected by the maturing of the superannuation system. On average, superannuation balances are expected to grow and</w:t>
      </w:r>
      <w:r>
        <w:t>,</w:t>
      </w:r>
      <w:r w:rsidRPr="00BD45FF">
        <w:t xml:space="preserve"> in turn, income streams will become even more prevalent.</w:t>
      </w:r>
      <w:r>
        <w:t xml:space="preserve"> </w:t>
      </w:r>
    </w:p>
    <w:p w:rsidR="007C51D1" w:rsidRDefault="007C51D1" w:rsidP="005939B8">
      <w:pPr>
        <w:pStyle w:val="BodyText"/>
      </w:pPr>
      <w:r>
        <w:t>Even so, lump sums will still play a role in improving the welfare of retirees. For most people, lump sums will represent a small share of their superannuation under a mature system and, as is currently the case, are likely to be used to retire debt and otherwise prepare for retirement. Lump sums are likely to remain particularly important for those with relatively small balances at retirement. Even in a mature system, there will be people who have had an interrupted work history, worked part</w:t>
      </w:r>
      <w:r>
        <w:noBreakHyphen/>
        <w:t>time, or have experienced ill</w:t>
      </w:r>
      <w:r>
        <w:noBreakHyphen/>
        <w:t xml:space="preserve">health. </w:t>
      </w:r>
    </w:p>
    <w:p w:rsidR="007C51D1" w:rsidRDefault="007C51D1" w:rsidP="00EE5E83">
      <w:pPr>
        <w:pStyle w:val="Heading2nosectionno"/>
      </w:pPr>
      <w:r>
        <w:t>The super to</w:t>
      </w:r>
      <w:r>
        <w:noBreakHyphen/>
        <w:t xml:space="preserve">do list </w:t>
      </w:r>
    </w:p>
    <w:p w:rsidR="007C51D1" w:rsidRDefault="007C51D1" w:rsidP="005939B8">
      <w:pPr>
        <w:pStyle w:val="BodyText"/>
        <w:tabs>
          <w:tab w:val="left" w:pos="7088"/>
        </w:tabs>
      </w:pPr>
      <w:r w:rsidRPr="00A739B6">
        <w:t>While there has been substantial public debate about retirement income policy, in</w:t>
      </w:r>
      <w:r>
        <w:noBreakHyphen/>
      </w:r>
      <w:r w:rsidRPr="00A739B6">
        <w:t>depth analysis</w:t>
      </w:r>
      <w:r>
        <w:t>,</w:t>
      </w:r>
      <w:r w:rsidRPr="00A739B6">
        <w:t xml:space="preserve"> especially around the </w:t>
      </w:r>
      <w:r>
        <w:t>drawdown</w:t>
      </w:r>
      <w:r w:rsidRPr="00A739B6">
        <w:t xml:space="preserve"> phase</w:t>
      </w:r>
      <w:r>
        <w:t>,</w:t>
      </w:r>
      <w:r w:rsidRPr="00A739B6">
        <w:t xml:space="preserve"> has been </w:t>
      </w:r>
      <w:r>
        <w:t xml:space="preserve">more </w:t>
      </w:r>
      <w:r w:rsidRPr="00A739B6">
        <w:t>limited. This report has advanced understanding of two important elements</w:t>
      </w:r>
      <w:r>
        <w:t xml:space="preserve"> </w:t>
      </w:r>
      <w:r w:rsidRPr="00A739B6">
        <w:t xml:space="preserve">— the likely impacts of increasing the preservation age and the implications </w:t>
      </w:r>
      <w:r>
        <w:t>of flexible superannuation draw</w:t>
      </w:r>
      <w:r w:rsidRPr="00A739B6">
        <w:t xml:space="preserve">down rules. Notwithstanding this focused approach, the Commission has </w:t>
      </w:r>
      <w:r>
        <w:t xml:space="preserve">had </w:t>
      </w:r>
      <w:r w:rsidRPr="00A739B6">
        <w:t xml:space="preserve">regard to the broader retirement income landscape </w:t>
      </w:r>
      <w:r>
        <w:t xml:space="preserve">and, in </w:t>
      </w:r>
      <w:r w:rsidRPr="00A739B6">
        <w:t>doing so, has identified a number of features o</w:t>
      </w:r>
      <w:r>
        <w:t>f retirement income policy that</w:t>
      </w:r>
      <w:r w:rsidRPr="00A739B6">
        <w:t xml:space="preserve"> </w:t>
      </w:r>
      <w:r>
        <w:t>warrant</w:t>
      </w:r>
      <w:r w:rsidRPr="00A739B6">
        <w:t xml:space="preserve"> more detailed </w:t>
      </w:r>
      <w:r>
        <w:t xml:space="preserve">and collective </w:t>
      </w:r>
      <w:r w:rsidRPr="00A739B6">
        <w:t xml:space="preserve">analysis. </w:t>
      </w:r>
    </w:p>
    <w:p w:rsidR="007C51D1" w:rsidRDefault="007C51D1" w:rsidP="005939B8">
      <w:pPr>
        <w:pStyle w:val="Heading3"/>
      </w:pPr>
      <w:r>
        <w:t>Retirement decisions are not always voluntary</w:t>
      </w:r>
    </w:p>
    <w:p w:rsidR="007C51D1" w:rsidRDefault="007C51D1" w:rsidP="005939B8">
      <w:pPr>
        <w:pStyle w:val="BodyText"/>
      </w:pPr>
      <w:r>
        <w:t>Often, policy proposals that affect income in retirement are based on assumptions that people leave the workforce at a time of their choosing. In practice, the degree of involuntary retirement — for job, family and health</w:t>
      </w:r>
      <w:r>
        <w:noBreakHyphen/>
        <w:t xml:space="preserve">related reasons — is substantial and could be expected to increase as the Age Pension and preservation ages are raised over time. The Commission has sought to explicitly account for this by incorporating involuntary retirement into its assessment of the impacts of increasing the preservation age. Such an approach reveals that involuntary retirement limits potential policy impacts. </w:t>
      </w:r>
    </w:p>
    <w:p w:rsidR="007C51D1" w:rsidRDefault="007C51D1" w:rsidP="005939B8">
      <w:pPr>
        <w:pStyle w:val="BodyText"/>
      </w:pPr>
      <w:r>
        <w:t xml:space="preserve">Involuntary retirement needs to be better understood and taken into consideration when contemplating changes to retirement income policy. Policies designed to lessen the impacts of involuntary retirement — including income support, assistance finding new work, and early access to superannuation benefits — also need to be assessed to determine whether they are well targeted and working effectively. </w:t>
      </w:r>
    </w:p>
    <w:p w:rsidR="007C51D1" w:rsidRDefault="007C51D1" w:rsidP="005939B8">
      <w:pPr>
        <w:pStyle w:val="Heading3"/>
      </w:pPr>
      <w:r>
        <w:lastRenderedPageBreak/>
        <w:t>Incentives need to be fine</w:t>
      </w:r>
      <w:r>
        <w:noBreakHyphen/>
        <w:t>tuned</w:t>
      </w:r>
    </w:p>
    <w:p w:rsidR="007C51D1" w:rsidRDefault="007C51D1" w:rsidP="005939B8">
      <w:pPr>
        <w:pStyle w:val="BodyText"/>
      </w:pPr>
      <w:r>
        <w:t>As noted earlier, governments have long encouraged individuals to save for their retirement, including by providing incentives such as co</w:t>
      </w:r>
      <w:r>
        <w:noBreakHyphen/>
        <w:t>contributions and tax concessions. I</w:t>
      </w:r>
      <w:r w:rsidRPr="00C941FF">
        <w:t xml:space="preserve">t is unclear whether the </w:t>
      </w:r>
      <w:r>
        <w:t xml:space="preserve">current </w:t>
      </w:r>
      <w:r w:rsidRPr="00C941FF">
        <w:t xml:space="preserve">concessional tax rates applied to superannuation are designed and targeted as effectively as they could be, and whether they provide an incentive to make additional savings for retirement, or merely distort the way that people store their wealth. </w:t>
      </w:r>
    </w:p>
    <w:p w:rsidR="007C51D1" w:rsidRDefault="007C51D1" w:rsidP="005939B8">
      <w:pPr>
        <w:pStyle w:val="BodyText"/>
      </w:pPr>
      <w:r w:rsidRPr="00C941FF">
        <w:t xml:space="preserve">Likewise, the </w:t>
      </w:r>
      <w:r>
        <w:t xml:space="preserve">tax </w:t>
      </w:r>
      <w:r w:rsidRPr="00C941FF">
        <w:t>concessions embodied in transition to retirement pensions — designed to ease workers to part</w:t>
      </w:r>
      <w:r>
        <w:noBreakHyphen/>
      </w:r>
      <w:r w:rsidRPr="00C941FF">
        <w:t xml:space="preserve">time work prior to retirement — appear to be used almost exclusively </w:t>
      </w:r>
      <w:r>
        <w:t>by people working full</w:t>
      </w:r>
      <w:r>
        <w:noBreakHyphen/>
        <w:t xml:space="preserve">time and </w:t>
      </w:r>
      <w:r w:rsidRPr="00C941FF">
        <w:t>as a means to reduce tax liabilities among wealthier Australians.</w:t>
      </w:r>
      <w:r>
        <w:t xml:space="preserve"> A better understanding of how these incentives are being used and by whom could potentially improve the efficacy and sustainability of the retirement income system.</w:t>
      </w:r>
    </w:p>
    <w:p w:rsidR="007C51D1" w:rsidRDefault="007C51D1" w:rsidP="005939B8">
      <w:pPr>
        <w:pStyle w:val="BodyText"/>
      </w:pPr>
      <w:r>
        <w:t>The family home accounts</w:t>
      </w:r>
      <w:r w:rsidRPr="00277390">
        <w:t xml:space="preserve"> for around </w:t>
      </w:r>
      <w:r>
        <w:t xml:space="preserve">one </w:t>
      </w:r>
      <w:r w:rsidRPr="00277390">
        <w:t>half of household wealth</w:t>
      </w:r>
      <w:r>
        <w:t xml:space="preserve">. It </w:t>
      </w:r>
      <w:r w:rsidRPr="00277390">
        <w:t>was made exempt from the assets test</w:t>
      </w:r>
      <w:r>
        <w:t xml:space="preserve"> for the Age Pension</w:t>
      </w:r>
      <w:r w:rsidRPr="00277390">
        <w:t xml:space="preserve"> in 1912 and remains </w:t>
      </w:r>
      <w:r>
        <w:t xml:space="preserve">so </w:t>
      </w:r>
      <w:r w:rsidRPr="00277390">
        <w:t>t</w:t>
      </w:r>
      <w:r>
        <w:t xml:space="preserve">oday. Its role in supporting living standards in retirement is a complex one. The family home makes an important contribution to quality of life — with home ownership substantially reducing the need for income in retirement and providing security of tenure — but represents a largely untapped store of wealth. Increasingly, the family home is seen by retirees as a way to manage unexpected costs, such as those associated with aged care. The treatment of the family home in the Age Pension assets test has important ramifications for individuals’ savings decisions and so for the retirement income and aged care systems more broadly. </w:t>
      </w:r>
    </w:p>
    <w:p w:rsidR="007C51D1" w:rsidRDefault="007C51D1" w:rsidP="005939B8">
      <w:pPr>
        <w:pStyle w:val="Heading3"/>
      </w:pPr>
      <w:r>
        <w:t>The superannuation system needs to better account for diversity</w:t>
      </w:r>
    </w:p>
    <w:p w:rsidR="007C51D1" w:rsidRDefault="007C51D1" w:rsidP="005939B8">
      <w:pPr>
        <w:pStyle w:val="BodyText"/>
      </w:pPr>
      <w:r>
        <w:t xml:space="preserve">The circumstances of retirees are diverse. The way in which they hold their savings, the amount of retirement savings they have, and their expectations for retirement all differ. But often, in formulating superannuation policy, too much focus is placed on the ‘average’ retiree. This can lead to inequitable and unintended outcomes because one ‘policy size’ does not fit all. </w:t>
      </w:r>
    </w:p>
    <w:p w:rsidR="007C51D1" w:rsidRDefault="007C51D1" w:rsidP="005939B8">
      <w:pPr>
        <w:pStyle w:val="BodyText"/>
        <w:tabs>
          <w:tab w:val="left" w:pos="7088"/>
        </w:tabs>
      </w:pPr>
      <w:r>
        <w:t xml:space="preserve">Given this diversity, existing rules which require individuals to draw down specified amounts and recent suggestions that retirees should be encouraged to take their superannuation in particular forms warrant closer examination. </w:t>
      </w:r>
      <w:r w:rsidRPr="004D0C87">
        <w:t xml:space="preserve">Designing appropriate </w:t>
      </w:r>
      <w:r>
        <w:t>minimum draw downs and ‘</w:t>
      </w:r>
      <w:r w:rsidRPr="004D0C87">
        <w:t>defaults</w:t>
      </w:r>
      <w:r>
        <w:t>’</w:t>
      </w:r>
      <w:r w:rsidRPr="004D0C87">
        <w:t xml:space="preserve"> necessitates a thorough understanding of people’s superannuation balances, other assets, debts, as well as their personal needs in retirement</w:t>
      </w:r>
      <w:r>
        <w:t xml:space="preserve">, </w:t>
      </w:r>
      <w:r w:rsidRPr="004D0C87">
        <w:t xml:space="preserve">which may be affected by their health, marital status and </w:t>
      </w:r>
      <w:r>
        <w:t>expected lifespan</w:t>
      </w:r>
      <w:r w:rsidRPr="004D0C87">
        <w:t xml:space="preserve">. Absent careful design, </w:t>
      </w:r>
      <w:r>
        <w:t>such prescriptive approaches, even in the form of relatively flexible soft defaults,</w:t>
      </w:r>
      <w:r w:rsidRPr="004D0C87">
        <w:t xml:space="preserve"> might be ineffective or </w:t>
      </w:r>
      <w:r>
        <w:t xml:space="preserve">make some retirees worse off. Given the varied circumstances of retirees and their preference for flexibility, consideration of prescriptive options, including soft defaults, needs to be based on strong evidence that retirees are unable to make sound financial decisions. </w:t>
      </w:r>
    </w:p>
    <w:p w:rsidR="007C51D1" w:rsidRDefault="007C51D1" w:rsidP="005939B8">
      <w:pPr>
        <w:pStyle w:val="BodyText"/>
      </w:pPr>
      <w:r>
        <w:lastRenderedPageBreak/>
        <w:t>‘One</w:t>
      </w:r>
      <w:r>
        <w:noBreakHyphen/>
        <w:t>size’ policies necessarily do not take account of the individual circumstances of groups within the community. For example, some Aboriginal and Torres Strait Islander Australians have difficulty understanding and interacting with the complexities of the superannuation system, and may benefit less from broad policy settings aimed at preparing for an ageing Australia. More needs to be done to understand how the impacts of retirement income policies vary for different groups.</w:t>
      </w:r>
    </w:p>
    <w:p w:rsidR="007C51D1" w:rsidRPr="00C76F60" w:rsidRDefault="007C51D1" w:rsidP="005939B8">
      <w:pPr>
        <w:pStyle w:val="BodyText"/>
      </w:pPr>
      <w:r w:rsidRPr="00C76F60">
        <w:t xml:space="preserve">Just as stocks of wealth vary </w:t>
      </w:r>
      <w:r>
        <w:t>between</w:t>
      </w:r>
      <w:r w:rsidRPr="00C76F60">
        <w:t xml:space="preserve"> individual</w:t>
      </w:r>
      <w:r>
        <w:t>s</w:t>
      </w:r>
      <w:r w:rsidRPr="00C76F60">
        <w:t xml:space="preserve">, so do </w:t>
      </w:r>
      <w:r>
        <w:t>levels</w:t>
      </w:r>
      <w:r w:rsidRPr="00C76F60">
        <w:t xml:space="preserve"> of financial </w:t>
      </w:r>
      <w:r>
        <w:t>literacy</w:t>
      </w:r>
      <w:r w:rsidRPr="00C76F60">
        <w:t>. While survey evidence suggests that most Australians have a reasonable standard of financial literacy for simpler ma</w:t>
      </w:r>
      <w:r>
        <w:t>t</w:t>
      </w:r>
      <w:r w:rsidRPr="00C76F60">
        <w:t xml:space="preserve">ters, it also indicates that </w:t>
      </w:r>
      <w:r>
        <w:t>they find it hard to understand the complexities of the</w:t>
      </w:r>
      <w:r w:rsidRPr="00C76F60">
        <w:t xml:space="preserve"> retirement income system. This lack of financial literacy manifests itself in </w:t>
      </w:r>
      <w:r>
        <w:t xml:space="preserve">many </w:t>
      </w:r>
      <w:r w:rsidRPr="00C76F60">
        <w:t>ways</w:t>
      </w:r>
      <w:r>
        <w:t>,</w:t>
      </w:r>
      <w:r w:rsidRPr="00C76F60">
        <w:t xml:space="preserve"> including leaving decisions about retirement saving</w:t>
      </w:r>
      <w:r>
        <w:t>s</w:t>
      </w:r>
      <w:r w:rsidRPr="00C76F60">
        <w:t xml:space="preserve"> until it is too late; failing to recognise the risks associated with involuntary retirement; and underestimating </w:t>
      </w:r>
      <w:r>
        <w:t>the amount of</w:t>
      </w:r>
      <w:r w:rsidRPr="00C76F60">
        <w:t xml:space="preserve"> private savings needed in retirement. These outcomes in and of themselves are concerning, but are even more so in t</w:t>
      </w:r>
      <w:r>
        <w:t>he face of an ageing population.</w:t>
      </w:r>
    </w:p>
    <w:p w:rsidR="007C51D1" w:rsidRDefault="007C51D1" w:rsidP="005939B8">
      <w:pPr>
        <w:pStyle w:val="BodyText"/>
      </w:pPr>
      <w:r>
        <w:t>T</w:t>
      </w:r>
      <w:r w:rsidRPr="00C76F60">
        <w:t xml:space="preserve">here </w:t>
      </w:r>
      <w:r>
        <w:t>has been a proliferation of measures aimed at improving financial literacy. But</w:t>
      </w:r>
      <w:r w:rsidRPr="00C76F60">
        <w:t xml:space="preserve"> there has been little evaluation of whether such approaches </w:t>
      </w:r>
      <w:r>
        <w:t xml:space="preserve">work in isolation or in concert, and a lack of </w:t>
      </w:r>
      <w:r w:rsidRPr="00C76F60">
        <w:t xml:space="preserve">financial literacy </w:t>
      </w:r>
      <w:r>
        <w:t>continues to hinder</w:t>
      </w:r>
      <w:r w:rsidRPr="00C76F60">
        <w:t xml:space="preserve"> how effectively retirees build and make use of their retirement savings.</w:t>
      </w:r>
    </w:p>
    <w:p w:rsidR="007C51D1" w:rsidRDefault="007C51D1" w:rsidP="005939B8">
      <w:pPr>
        <w:pStyle w:val="Heading3"/>
      </w:pPr>
      <w:r>
        <w:t xml:space="preserve">Managing longevity risk will become more important </w:t>
      </w:r>
    </w:p>
    <w:p w:rsidR="007C51D1" w:rsidRDefault="007C51D1" w:rsidP="005939B8">
      <w:pPr>
        <w:pStyle w:val="BodyText"/>
        <w:tabs>
          <w:tab w:val="left" w:pos="7088"/>
        </w:tabs>
      </w:pPr>
      <w:r>
        <w:t xml:space="preserve">Life expectancies have increased steadily in the last 20 years. But perceptions of life expectancy have not kept pace. Surveys reveal that individuals tend to be pessimistic about their life expectancy — on average, females underestimate their life expectancy by around five years, and males by around three years. </w:t>
      </w:r>
    </w:p>
    <w:p w:rsidR="007C51D1" w:rsidRDefault="007C51D1" w:rsidP="005939B8">
      <w:pPr>
        <w:pStyle w:val="BodyText"/>
        <w:tabs>
          <w:tab w:val="left" w:pos="7088"/>
        </w:tabs>
      </w:pPr>
      <w:r>
        <w:t xml:space="preserve">As life expectancies continue to improve, longevity risk — the risk that retirees outlive their savings — will become increasingly relevant. Understanding who is best placed to bear this risk will be a key policy question. </w:t>
      </w:r>
    </w:p>
    <w:p w:rsidR="007C51D1" w:rsidRDefault="007C51D1" w:rsidP="005939B8">
      <w:pPr>
        <w:pStyle w:val="BodyText"/>
        <w:tabs>
          <w:tab w:val="left" w:pos="7088"/>
        </w:tabs>
      </w:pPr>
      <w:r>
        <w:t xml:space="preserve">Addressing the concern around longevity risk would also need to consider the role of the Age Pension. This includes determining whether the Age Pension should serve as a safety net, or a supplement to other retirement </w:t>
      </w:r>
      <w:proofErr w:type="gramStart"/>
      <w:r>
        <w:t>income,</w:t>
      </w:r>
      <w:proofErr w:type="gramEnd"/>
      <w:r>
        <w:t xml:space="preserve"> and whether the incentives created by the means tests are consistent with policy objectives relating to managing longevity risk. </w:t>
      </w:r>
    </w:p>
    <w:p w:rsidR="007C51D1" w:rsidRDefault="007C51D1" w:rsidP="005939B8">
      <w:pPr>
        <w:pStyle w:val="Heading3"/>
      </w:pPr>
      <w:r>
        <w:t>Investments need to be made in building the evidence base</w:t>
      </w:r>
    </w:p>
    <w:p w:rsidR="007C51D1" w:rsidRDefault="007C51D1" w:rsidP="005939B8">
      <w:pPr>
        <w:pStyle w:val="BodyText"/>
        <w:tabs>
          <w:tab w:val="left" w:pos="7088"/>
        </w:tabs>
      </w:pPr>
      <w:r>
        <w:t xml:space="preserve">Answering these policy questions will be challenging within the confines of existing data on the superannuation system and the circumstances of retirees. At present, different sources use inconsistent definitions, differing scopes and irregular collection periods. With the value of superannuation expected to increase to trillions of dollars by 2050, it is time to invest in a robust and enduring evidence base to better inform policy. The decisions that </w:t>
      </w:r>
      <w:r>
        <w:lastRenderedPageBreak/>
        <w:t>affect the living standards of retirees need to be based on strong evidence rather than weak anecdotes.</w:t>
      </w:r>
    </w:p>
    <w:p w:rsidR="007C51D1" w:rsidRDefault="007C51D1" w:rsidP="005939B8">
      <w:pPr>
        <w:pStyle w:val="Heading3"/>
      </w:pPr>
      <w:r>
        <w:t xml:space="preserve">Reforms are best considered within the context of a holistic review </w:t>
      </w:r>
    </w:p>
    <w:p w:rsidR="007C51D1" w:rsidRDefault="007C51D1" w:rsidP="005939B8">
      <w:pPr>
        <w:pStyle w:val="BodyText"/>
      </w:pPr>
      <w:r>
        <w:t>In practice, the retirement income system is a puzzle that policymakers have often sought to solve in a piecemeal fashion — tackling different policy pieces at different times. But the three pillars that make up the system are inextricably linked — changes in each can, and often do, affect the others. Indeed, some of the concerns raised by stakeholders about the retirement income system have arisen due to failures to account for the way that incentives inherent in each pillar combine — and conflict — with one another:</w:t>
      </w:r>
    </w:p>
    <w:p w:rsidR="007C51D1" w:rsidRDefault="007C51D1" w:rsidP="005939B8">
      <w:pPr>
        <w:pStyle w:val="Quote"/>
      </w:pPr>
      <w:r>
        <w:t xml:space="preserve">In practice, the ‘3 Pillars’ have each developed independently. Rather than being the basis for a consistent and integrated retirement incomes policy, they make for an incoherent and dysfunctional whole. </w:t>
      </w:r>
      <w:r w:rsidR="00F62614" w:rsidRPr="00F62614">
        <w:rPr>
          <w:szCs w:val="24"/>
        </w:rPr>
        <w:t>(</w:t>
      </w:r>
      <w:proofErr w:type="spellStart"/>
      <w:r w:rsidR="00F62614" w:rsidRPr="00F62614">
        <w:rPr>
          <w:szCs w:val="24"/>
        </w:rPr>
        <w:t>Dunsford</w:t>
      </w:r>
      <w:proofErr w:type="spellEnd"/>
      <w:r w:rsidR="00F62614" w:rsidRPr="00F62614">
        <w:rPr>
          <w:szCs w:val="24"/>
        </w:rPr>
        <w:t xml:space="preserve"> and Wickham 2009, p. 13)</w:t>
      </w:r>
    </w:p>
    <w:p w:rsidR="007C51D1" w:rsidRPr="00A13476" w:rsidRDefault="007C51D1" w:rsidP="005939B8">
      <w:pPr>
        <w:pStyle w:val="BodyText"/>
      </w:pPr>
      <w:r>
        <w:t>While it is possible to consider each piece of the system separately, there is merit in a holistic review that examines reform of retirement income policies collectively. Not only would such a review be able to address some of the policy questions from the ‘to</w:t>
      </w:r>
      <w:r>
        <w:noBreakHyphen/>
        <w:t>do’ list above in the detail they deserve, it could also serve to explore other broader issues, such as the adequacy of retirement incomes and the sustainability of the system under demographic change. Ultimately, such a review could determine what the future role of the retirement income system should be — a question that is best informed by considered and extensive community consultation.</w:t>
      </w:r>
    </w:p>
    <w:p w:rsidR="007C51D1" w:rsidRPr="00A13476" w:rsidRDefault="007C51D1" w:rsidP="005939B8">
      <w:pPr>
        <w:pStyle w:val="BodyText"/>
      </w:pPr>
    </w:p>
    <w:p w:rsidR="007C51D1" w:rsidRDefault="007C51D1" w:rsidP="007C51D1">
      <w:pPr>
        <w:sectPr w:rsidR="007C51D1" w:rsidSect="007C51D1">
          <w:headerReference w:type="even" r:id="rId27"/>
          <w:headerReference w:type="default" r:id="rId28"/>
          <w:footerReference w:type="even" r:id="rId29"/>
          <w:footerReference w:type="default" r:id="rId30"/>
          <w:pgSz w:w="11907" w:h="16840" w:code="9"/>
          <w:pgMar w:top="1985" w:right="1304" w:bottom="1247" w:left="1814" w:header="1701" w:footer="397" w:gutter="0"/>
          <w:pgNumType w:chapSep="period"/>
          <w:cols w:space="720"/>
          <w:titlePg/>
          <w:docGrid w:linePitch="326"/>
        </w:sectPr>
      </w:pPr>
    </w:p>
    <w:p w:rsidR="007C51D1" w:rsidRDefault="007C51D1" w:rsidP="003920CF">
      <w:pPr>
        <w:pStyle w:val="Heading1"/>
        <w:spacing w:before="0"/>
      </w:pPr>
      <w:r>
        <w:lastRenderedPageBreak/>
        <w:t>1</w:t>
      </w:r>
      <w:r>
        <w:tab/>
        <w:t>Setting the scene</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t>Key points</w:t>
            </w:r>
          </w:p>
        </w:tc>
      </w:tr>
      <w:tr w:rsidR="007C51D1" w:rsidTr="005939B8">
        <w:trPr>
          <w:cantSplit/>
        </w:trPr>
        <w:tc>
          <w:tcPr>
            <w:tcW w:w="8771" w:type="dxa"/>
            <w:tcBorders>
              <w:top w:val="nil"/>
              <w:left w:val="nil"/>
              <w:bottom w:val="nil"/>
              <w:right w:val="nil"/>
            </w:tcBorders>
            <w:shd w:val="clear" w:color="auto" w:fill="F2F2F2"/>
          </w:tcPr>
          <w:p w:rsidR="007C51D1" w:rsidRPr="006C79C2" w:rsidRDefault="007C51D1" w:rsidP="005939B8">
            <w:pPr>
              <w:pStyle w:val="Box"/>
            </w:pPr>
            <w:r w:rsidRPr="006C79C2">
              <w:t xml:space="preserve">Australia’s retirement income system comprises three pillars: the Age Pension, compulsory </w:t>
            </w:r>
            <w:proofErr w:type="gramStart"/>
            <w:r w:rsidRPr="006C79C2">
              <w:t>superannuation saving</w:t>
            </w:r>
            <w:proofErr w:type="gramEnd"/>
            <w:r w:rsidRPr="006C79C2">
              <w:t xml:space="preserve"> and voluntary saving (through superannuation or otherwise). </w:t>
            </w:r>
            <w:r w:rsidRPr="007734DC">
              <w:t>Despite the important interplays between the three pillars, reviews and reforms have occurred at different times and moved at different paces.</w:t>
            </w:r>
          </w:p>
          <w:p w:rsidR="007C51D1" w:rsidRPr="006C79C2" w:rsidRDefault="007C51D1" w:rsidP="005939B8">
            <w:pPr>
              <w:pStyle w:val="Box"/>
            </w:pPr>
            <w:r w:rsidRPr="006C79C2">
              <w:t>As Australia’s population ages, the proportion of people retired relative to those of working age will increase</w:t>
            </w:r>
            <w:r>
              <w:t>,</w:t>
            </w:r>
            <w:r w:rsidRPr="006C79C2">
              <w:t xml:space="preserve"> and greater demands will be placed on the retirement income system. Accordingly, any shortcomings in the superannuation system will take on greater prominence.</w:t>
            </w:r>
          </w:p>
          <w:p w:rsidR="007C51D1" w:rsidRPr="006C79C2" w:rsidRDefault="007C51D1" w:rsidP="005939B8">
            <w:pPr>
              <w:pStyle w:val="Box"/>
            </w:pPr>
            <w:r w:rsidRPr="006C79C2">
              <w:t xml:space="preserve">While the superannuation system has seen many changes, limited analysis and policy attention has been devoted to the post-retirement (or ‘drawdown’) phase. </w:t>
            </w:r>
          </w:p>
          <w:p w:rsidR="007C51D1" w:rsidRPr="006C79C2" w:rsidRDefault="007C51D1" w:rsidP="005939B8">
            <w:pPr>
              <w:pStyle w:val="Box"/>
            </w:pPr>
            <w:r w:rsidRPr="006C79C2">
              <w:t xml:space="preserve">The overarching policy architecture and the incentives inherent in the retirement income system have not been reviewed to assess how well the system is placed to deal with demographic change, and how its reform might ease demographic pressures while delivering sustainable retirement incomes for older Australians. </w:t>
            </w:r>
          </w:p>
          <w:p w:rsidR="007C51D1" w:rsidRPr="006C79C2" w:rsidRDefault="007C51D1" w:rsidP="005939B8">
            <w:pPr>
              <w:pStyle w:val="Box"/>
            </w:pPr>
            <w:r w:rsidRPr="006C79C2">
              <w:t>This report seeks to begin addressing these gaps through detailed analysis of two aspects of superannuation policy affecting the drawdown phase:</w:t>
            </w:r>
          </w:p>
          <w:p w:rsidR="007C51D1" w:rsidRPr="006C79C2" w:rsidRDefault="007C51D1" w:rsidP="005939B8">
            <w:pPr>
              <w:pStyle w:val="BoxListBullet"/>
            </w:pPr>
            <w:r w:rsidRPr="006C79C2">
              <w:t>What might happen if the age that individuals can access their superannuation (the ‘preservation age’) were raised?</w:t>
            </w:r>
          </w:p>
          <w:p w:rsidR="007C51D1" w:rsidRDefault="007C51D1" w:rsidP="005939B8">
            <w:pPr>
              <w:pStyle w:val="BoxListBullet"/>
            </w:pPr>
            <w:proofErr w:type="gramStart"/>
            <w:r w:rsidRPr="006C79C2">
              <w:t>Is the way people</w:t>
            </w:r>
            <w:proofErr w:type="gramEnd"/>
            <w:r w:rsidRPr="006C79C2">
              <w:t xml:space="preserve"> draw down their superannuation, and in particular, the use of lump sums, problematic?</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FB101A" w:rsidRDefault="007C51D1" w:rsidP="005939B8">
      <w:pPr>
        <w:pStyle w:val="Heading2"/>
      </w:pPr>
      <w:r>
        <w:t>1.</w:t>
      </w:r>
      <w:r>
        <w:rPr>
          <w:noProof/>
        </w:rPr>
        <w:t>1</w:t>
      </w:r>
      <w:r>
        <w:tab/>
        <w:t>The role of superannuation in Australia’s retirement income system</w:t>
      </w:r>
    </w:p>
    <w:p w:rsidR="007C51D1" w:rsidRDefault="007C51D1" w:rsidP="005939B8">
      <w:pPr>
        <w:pStyle w:val="BodyText"/>
      </w:pPr>
      <w:r>
        <w:t xml:space="preserve">Australia’s retirement income system comprises ‘three pillars’ — the Age Pension, compulsory saving via the Superannuation Guarantee, and voluntary saving (box 1.1). Together, they form a system in which both governments and individuals play a role in promoting standards of living in retirement. </w:t>
      </w:r>
      <w:r w:rsidRPr="00E57F03">
        <w:t>Government</w:t>
      </w:r>
      <w:r>
        <w:t>s</w:t>
      </w:r>
      <w:r w:rsidRPr="00E57F03">
        <w:t xml:space="preserve"> set</w:t>
      </w:r>
      <w:r>
        <w:t xml:space="preserve"> the rules, such as compulsory saving rates (the S</w:t>
      </w:r>
      <w:r w:rsidRPr="00E57F03">
        <w:t>uper</w:t>
      </w:r>
      <w:r>
        <w:t xml:space="preserve">annuation Guarantee rate) and superannuation </w:t>
      </w:r>
      <w:r w:rsidRPr="00E57F03">
        <w:t>taxat</w:t>
      </w:r>
      <w:r>
        <w:t>ion rates, as well as funding</w:t>
      </w:r>
      <w:r w:rsidRPr="00E57F03">
        <w:t xml:space="preserve"> </w:t>
      </w:r>
      <w:r>
        <w:t>the Age Pension and other age–related expenditure, including aged care and health care</w:t>
      </w:r>
      <w:r w:rsidRPr="00E57F03">
        <w:t xml:space="preserve">. </w:t>
      </w:r>
      <w:r>
        <w:t>Individuals save for their own retirement (both in and out of superannuation) and also bear some of the cost of the broader system as t</w:t>
      </w:r>
      <w:r w:rsidRPr="00E57F03">
        <w:t>axpayers.</w:t>
      </w:r>
      <w:r>
        <w:t xml:space="preserve"> Overall, the retirement income system seeks to strike a balance across two dimensions:</w:t>
      </w:r>
    </w:p>
    <w:p w:rsidR="007C51D1" w:rsidRDefault="007C51D1" w:rsidP="005939B8">
      <w:pPr>
        <w:pStyle w:val="ListBullet"/>
      </w:pPr>
      <w:r>
        <w:t xml:space="preserve">for individuals — between pre-retirement and post-retirement incomes </w:t>
      </w:r>
    </w:p>
    <w:p w:rsidR="007C51D1" w:rsidRDefault="007C51D1" w:rsidP="005939B8">
      <w:pPr>
        <w:pStyle w:val="ListBullet"/>
        <w:keepNext/>
        <w:keepLines/>
      </w:pPr>
      <w:proofErr w:type="gramStart"/>
      <w:r>
        <w:lastRenderedPageBreak/>
        <w:t>for</w:t>
      </w:r>
      <w:proofErr w:type="gramEnd"/>
      <w:r>
        <w:t xml:space="preserve"> the economy — between post-retirement standards of living and fiscal sustainability (reflecting intergenerational equity).</w:t>
      </w:r>
    </w:p>
    <w:p w:rsidR="007C51D1" w:rsidRDefault="007C51D1" w:rsidP="005939B8">
      <w:pPr>
        <w:pStyle w:val="BoxSpaceAbove"/>
        <w:keepLines/>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1.</w:t>
            </w:r>
            <w:r>
              <w:rPr>
                <w:b w:val="0"/>
                <w:noProof/>
              </w:rPr>
              <w:t>1</w:t>
            </w:r>
            <w:r>
              <w:tab/>
              <w:t>The three pillars of Australia’s retirement income system</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Heading1"/>
            </w:pPr>
            <w:r>
              <w:t>Pillar 1: the Age Pension</w:t>
            </w:r>
          </w:p>
          <w:p w:rsidR="007C51D1" w:rsidRDefault="007C51D1" w:rsidP="005939B8">
            <w:pPr>
              <w:pStyle w:val="Box"/>
            </w:pPr>
            <w:r>
              <w:t xml:space="preserve">The Age Pension is a means-tested government payment for older Australians, which dates back to 1909. It serves three key purposes as: </w:t>
            </w:r>
          </w:p>
          <w:p w:rsidR="007C51D1" w:rsidRDefault="007C51D1" w:rsidP="005939B8">
            <w:pPr>
              <w:pStyle w:val="BoxListBullet"/>
            </w:pPr>
            <w:r>
              <w:t>a safety net that ensures a minimum standard of living for the aged</w:t>
            </w:r>
          </w:p>
          <w:p w:rsidR="007C51D1" w:rsidRDefault="007C51D1" w:rsidP="005939B8">
            <w:pPr>
              <w:pStyle w:val="BoxListBullet"/>
            </w:pPr>
            <w:r>
              <w:t xml:space="preserve">a form of social insurance against risk (including market, longevity and myopia risks) </w:t>
            </w:r>
          </w:p>
          <w:p w:rsidR="007C51D1" w:rsidRDefault="007C51D1" w:rsidP="005939B8">
            <w:pPr>
              <w:pStyle w:val="BoxListBullet"/>
            </w:pPr>
            <w:proofErr w:type="gramStart"/>
            <w:r>
              <w:t>an</w:t>
            </w:r>
            <w:proofErr w:type="gramEnd"/>
            <w:r>
              <w:t xml:space="preserve"> ‘intergenerational compact’ whereby each generation of workers contributes to funding the retirement of the preceding generation </w:t>
            </w:r>
            <w:r w:rsidR="00F62614" w:rsidRPr="00F62614">
              <w:rPr>
                <w:rFonts w:cs="Arial"/>
                <w:szCs w:val="24"/>
              </w:rPr>
              <w:t>(PC 2013)</w:t>
            </w:r>
            <w:r>
              <w:t>.</w:t>
            </w:r>
          </w:p>
          <w:p w:rsidR="007C51D1" w:rsidRDefault="007C51D1" w:rsidP="005939B8">
            <w:pPr>
              <w:pStyle w:val="Box"/>
            </w:pPr>
            <w:r>
              <w:t xml:space="preserve">While it is generally described as a safety net, the majority of people aged over 65 receive at least a part Age Pension at some point (chapter 2). </w:t>
            </w:r>
          </w:p>
          <w:p w:rsidR="007C51D1" w:rsidRDefault="007C51D1" w:rsidP="005939B8">
            <w:pPr>
              <w:pStyle w:val="BoxHeading1"/>
            </w:pPr>
            <w:r>
              <w:t>Pillar 2: compulsory saving via the Superannuation Guarantee</w:t>
            </w:r>
          </w:p>
          <w:p w:rsidR="007C51D1" w:rsidRDefault="007C51D1" w:rsidP="005939B8">
            <w:pPr>
              <w:pStyle w:val="Box"/>
            </w:pPr>
            <w:r>
              <w:t xml:space="preserve">Introduced in 1992, the Superannuation Guarantee is a compulsory employer contribution to an employee’s superannuation account. Currently the contribution rate is set at 9.5 per cent of employee (ordinary time) earnings, and will gradually increase to 12 per cent by 2025. While the legal incidence falls on the employer who makes the contribution, the economic incidence likely falls on employees through lower real wages </w:t>
            </w:r>
            <w:r w:rsidR="00F62614" w:rsidRPr="00F62614">
              <w:rPr>
                <w:rFonts w:cs="Arial"/>
                <w:szCs w:val="24"/>
              </w:rPr>
              <w:t>(Treasury 2009c)</w:t>
            </w:r>
            <w:r>
              <w:t>.</w:t>
            </w:r>
          </w:p>
          <w:p w:rsidR="007C51D1" w:rsidRDefault="007C51D1" w:rsidP="005939B8">
            <w:pPr>
              <w:pStyle w:val="Box"/>
            </w:pPr>
            <w:r>
              <w:t xml:space="preserve">The Superannuation Guarantee was designed to increase individual lifetime savings so that each generation would make a greater contribution to its own retirement income; and to provide a supplement that would improve post-retirement living standards above what can be afforded by the Age Pension </w:t>
            </w:r>
            <w:r w:rsidR="00F62614" w:rsidRPr="00F62614">
              <w:rPr>
                <w:rFonts w:cs="Arial"/>
                <w:szCs w:val="24"/>
              </w:rPr>
              <w:t>(FaHCSIA 2009)</w:t>
            </w:r>
            <w:r>
              <w:t xml:space="preserve">. The </w:t>
            </w:r>
            <w:r w:rsidRPr="00394FBB">
              <w:rPr>
                <w:i/>
              </w:rPr>
              <w:t>FitzGerald Report on National Saving</w:t>
            </w:r>
            <w:r>
              <w:t xml:space="preserve"> envisaged a more ambitious role for the Superannuation Guarantee in the future:</w:t>
            </w:r>
          </w:p>
          <w:p w:rsidR="007C51D1" w:rsidRDefault="007C51D1" w:rsidP="005939B8">
            <w:pPr>
              <w:pStyle w:val="BoxQuote"/>
            </w:pPr>
            <w:r>
              <w:t xml:space="preserve">In the long term it will change the </w:t>
            </w:r>
            <w:proofErr w:type="gramStart"/>
            <w:r>
              <w:t>role,</w:t>
            </w:r>
            <w:proofErr w:type="gramEnd"/>
            <w:r>
              <w:t xml:space="preserve"> and community perceptions of the role, of the age pension — away from being the major source of retirement income to an even more targeted 'safety net' or poverty alleviation role than now. But for many years to come, the age pension and the Superannuation Guarantee will operate </w:t>
            </w:r>
            <w:r w:rsidRPr="00124535">
              <w:rPr>
                <w:i/>
              </w:rPr>
              <w:t>in conjunction</w:t>
            </w:r>
            <w:r>
              <w:t xml:space="preserve"> to provide the retirement incomes of most people in the community. </w:t>
            </w:r>
            <w:r w:rsidR="00F62614" w:rsidRPr="00F62614">
              <w:rPr>
                <w:rFonts w:cs="Arial"/>
                <w:szCs w:val="24"/>
              </w:rPr>
              <w:t>(1993, p. 51)</w:t>
            </w:r>
          </w:p>
          <w:p w:rsidR="007C51D1" w:rsidRDefault="007C51D1" w:rsidP="005939B8">
            <w:pPr>
              <w:pStyle w:val="Box"/>
            </w:pPr>
            <w:r>
              <w:t>C</w:t>
            </w:r>
            <w:r w:rsidRPr="000159E0">
              <w:t>urrent</w:t>
            </w:r>
            <w:r>
              <w:t>ly,</w:t>
            </w:r>
            <w:r w:rsidRPr="000159E0">
              <w:t xml:space="preserve"> retirees have only contributed compulsorily to their own retirement for part of their working lives. </w:t>
            </w:r>
            <w:r>
              <w:t>As the</w:t>
            </w:r>
            <w:r w:rsidRPr="000159E0">
              <w:t xml:space="preserve"> superannuation system ‘mature</w:t>
            </w:r>
            <w:r>
              <w:t>s</w:t>
            </w:r>
            <w:r w:rsidRPr="000159E0">
              <w:t xml:space="preserve">’ </w:t>
            </w:r>
            <w:r>
              <w:t xml:space="preserve">over coming decades, </w:t>
            </w:r>
            <w:r w:rsidRPr="000159E0">
              <w:t xml:space="preserve">people will retire after having contributed </w:t>
            </w:r>
            <w:r>
              <w:t>superannuation</w:t>
            </w:r>
            <w:r w:rsidRPr="000159E0">
              <w:t xml:space="preserve"> for </w:t>
            </w:r>
            <w:r>
              <w:t>longer</w:t>
            </w:r>
            <w:r w:rsidRPr="000159E0">
              <w:t xml:space="preserve">. </w:t>
            </w:r>
          </w:p>
          <w:p w:rsidR="007C51D1" w:rsidRPr="000159E0" w:rsidRDefault="007C51D1" w:rsidP="005939B8">
            <w:pPr>
              <w:pStyle w:val="BoxHeading1"/>
            </w:pPr>
            <w:r>
              <w:t>Pillar 3: other voluntary saving</w:t>
            </w:r>
          </w:p>
          <w:p w:rsidR="007C51D1" w:rsidRDefault="007C51D1" w:rsidP="005939B8">
            <w:pPr>
              <w:pStyle w:val="Box"/>
            </w:pPr>
            <w:r>
              <w:t>People have always been able to save privately for their own retirement and governments have long encouraged this behaviour, including by providing incentives such as co</w:t>
            </w:r>
            <w:r>
              <w:noBreakHyphen/>
              <w:t>contributions and tax concessions for additional superannuation savings.</w:t>
            </w:r>
          </w:p>
          <w:p w:rsidR="007C51D1" w:rsidRDefault="007C51D1" w:rsidP="005939B8">
            <w:pPr>
              <w:pStyle w:val="Box"/>
            </w:pPr>
            <w:r w:rsidRPr="000159E0">
              <w:t>While much focus is placed on superannuation, the third pillar includes all forms of retirement savings by individuals. For example, financial accounts, shares, bonds and rent</w:t>
            </w:r>
            <w:r>
              <w:t>al properties are also drawn o</w:t>
            </w:r>
            <w:r w:rsidRPr="000159E0">
              <w:t xml:space="preserve">n to fund retirement (chapter 2). </w:t>
            </w:r>
            <w:r>
              <w:t xml:space="preserve">Home equity is another form of saving that is so significant that some researchers have suggested it be considered a ‘fourth pillar’ of the system </w:t>
            </w:r>
            <w:r w:rsidR="00F62614" w:rsidRPr="00F62614">
              <w:rPr>
                <w:rFonts w:cs="Arial"/>
                <w:szCs w:val="24"/>
              </w:rPr>
              <w:t>(Brownfield 2014)</w:t>
            </w:r>
            <w:r>
              <w:t xml:space="preserve">. </w:t>
            </w:r>
            <w:r w:rsidRPr="000159E0">
              <w:t>And more broadly still, investment in education and health can</w:t>
            </w:r>
            <w:r>
              <w:t xml:space="preserve"> also be important forms of ‘life cycle provisioning’ which</w:t>
            </w:r>
            <w:r w:rsidRPr="000159E0">
              <w:t xml:space="preserve"> lead to better living standards in retirement.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lastRenderedPageBreak/>
        <w:t xml:space="preserve">One system, three moving parts </w:t>
      </w:r>
    </w:p>
    <w:p w:rsidR="007C51D1" w:rsidRDefault="007C51D1" w:rsidP="005939B8">
      <w:pPr>
        <w:pStyle w:val="BodyText"/>
      </w:pPr>
      <w:r>
        <w:t>The three pillars that make up the retirement income system are inextricably linked — changes in each can, and often do, affect the others. Ideally incentives embedded in the system would align with stated policy objectives. But this is not always the case — the roles of the pillars are not always clear and incentives are not always compatible or well understood. A point noted by several commentators:</w:t>
      </w:r>
    </w:p>
    <w:p w:rsidR="007C51D1" w:rsidRDefault="007C51D1" w:rsidP="005939B8">
      <w:pPr>
        <w:pStyle w:val="Quote"/>
      </w:pPr>
      <w:r>
        <w:t>In practice, the ‘3 Pillars’</w:t>
      </w:r>
      <w:r w:rsidRPr="00113596">
        <w:t xml:space="preserve"> have each developed independently. Rather than being the basis for a consistent and integrated retirement incomes policy, they make for an incoherent and dysfunctional w</w:t>
      </w:r>
      <w:r>
        <w:t>hole.</w:t>
      </w:r>
      <w:r w:rsidRPr="00283B3F">
        <w:t xml:space="preserve"> </w:t>
      </w:r>
      <w:r w:rsidR="00F62614" w:rsidRPr="00F62614">
        <w:rPr>
          <w:szCs w:val="24"/>
        </w:rPr>
        <w:t>(</w:t>
      </w:r>
      <w:proofErr w:type="spellStart"/>
      <w:r w:rsidR="00F62614" w:rsidRPr="00F62614">
        <w:rPr>
          <w:szCs w:val="24"/>
        </w:rPr>
        <w:t>Dunsford</w:t>
      </w:r>
      <w:proofErr w:type="spellEnd"/>
      <w:r w:rsidR="00F62614" w:rsidRPr="00F62614">
        <w:rPr>
          <w:szCs w:val="24"/>
        </w:rPr>
        <w:t xml:space="preserve"> and Wickham 2009, p. 13)</w:t>
      </w:r>
    </w:p>
    <w:p w:rsidR="007C51D1" w:rsidRPr="0047060B" w:rsidRDefault="007C51D1" w:rsidP="005939B8">
      <w:pPr>
        <w:pStyle w:val="Quote"/>
      </w:pPr>
      <w:r>
        <w:t>… Australia’s successful basic retirement provision paradigm is bedevilled by design flaws that have been ignored or made worse by successive governments.</w:t>
      </w:r>
      <w:r w:rsidRPr="001157C7">
        <w:t xml:space="preserve"> </w:t>
      </w:r>
      <w:r w:rsidR="00F62614" w:rsidRPr="00F62614">
        <w:rPr>
          <w:szCs w:val="24"/>
        </w:rPr>
        <w:t>(</w:t>
      </w:r>
      <w:proofErr w:type="spellStart"/>
      <w:r w:rsidR="00F62614" w:rsidRPr="00F62614">
        <w:rPr>
          <w:szCs w:val="24"/>
        </w:rPr>
        <w:t>Chomik</w:t>
      </w:r>
      <w:proofErr w:type="spellEnd"/>
      <w:r w:rsidR="00F62614" w:rsidRPr="00F62614">
        <w:rPr>
          <w:szCs w:val="24"/>
        </w:rPr>
        <w:t xml:space="preserve"> and Piggott 2012b, p. 351)</w:t>
      </w:r>
    </w:p>
    <w:p w:rsidR="007C51D1" w:rsidRDefault="007C51D1" w:rsidP="005939B8">
      <w:pPr>
        <w:pStyle w:val="BodyText"/>
      </w:pPr>
      <w:r>
        <w:t>Reform to each of the pillars has occurred at different times and moved at different paces.</w:t>
      </w:r>
    </w:p>
    <w:p w:rsidR="007C51D1" w:rsidRDefault="007C51D1" w:rsidP="005939B8">
      <w:pPr>
        <w:pStyle w:val="BodyText"/>
      </w:pPr>
      <w:r>
        <w:t>Age Pension arrangements have remained relatively static since they were established in the early 1900s. The eligibility age for men has remained at 65 years for over a century</w:t>
      </w:r>
      <w:r w:rsidRPr="00D44A36">
        <w:rPr>
          <w:rStyle w:val="FootnoteReference"/>
        </w:rPr>
        <w:footnoteReference w:id="2"/>
      </w:r>
      <w:r>
        <w:t>, though it is legislated to gradually increase to 67 years between 2017 and 2023.</w:t>
      </w:r>
      <w:r w:rsidRPr="00312881">
        <w:t xml:space="preserve"> </w:t>
      </w:r>
      <w:r>
        <w:t>Similarly, the family home was made exempt from the assets test in 1912 and remains exempt today.</w:t>
      </w:r>
    </w:p>
    <w:p w:rsidR="007C51D1" w:rsidRDefault="007C51D1" w:rsidP="005939B8">
      <w:pPr>
        <w:pStyle w:val="BodyText"/>
      </w:pPr>
      <w:r>
        <w:t xml:space="preserve">By contrast, the relatively new superannuation system has been subject to ongoing amendment, with a recent chronology of superannuation system changes compiled by the Parliamentary Library stretching to more than 30 pages </w:t>
      </w:r>
      <w:r w:rsidR="00F62614" w:rsidRPr="00F62614">
        <w:rPr>
          <w:szCs w:val="24"/>
        </w:rPr>
        <w:t>(</w:t>
      </w:r>
      <w:proofErr w:type="spellStart"/>
      <w:r w:rsidR="00F62614" w:rsidRPr="00F62614">
        <w:rPr>
          <w:szCs w:val="24"/>
        </w:rPr>
        <w:t>Swoboda</w:t>
      </w:r>
      <w:proofErr w:type="spellEnd"/>
      <w:r w:rsidR="00F62614" w:rsidRPr="00F62614">
        <w:rPr>
          <w:szCs w:val="24"/>
        </w:rPr>
        <w:t> 2014)</w:t>
      </w:r>
      <w:r>
        <w:t xml:space="preserve">. Changes have included incremental increases to the Superannuation Guarantee rate, increases in the maximum contribution age, changes to the tax treatment of superannuation assets and the </w:t>
      </w:r>
      <w:proofErr w:type="spellStart"/>
      <w:r>
        <w:t>MySuper</w:t>
      </w:r>
      <w:proofErr w:type="spellEnd"/>
      <w:r>
        <w:t xml:space="preserve"> reforms (figure 1.1). Viewed collectively, these changes suggest that the post</w:t>
      </w:r>
      <w:r>
        <w:noBreakHyphen/>
        <w:t>retirement phase of superannuation has been relatively neglected from a policy perspective. Superannuation arrangements are outlined in more detail in supplementary paper 1.</w:t>
      </w:r>
    </w:p>
    <w:p w:rsidR="007C51D1" w:rsidRDefault="007C51D1" w:rsidP="005939B8">
      <w:pPr>
        <w:pStyle w:val="BodyText"/>
      </w:pPr>
      <w:r>
        <w:t xml:space="preserve">The many changes made to the superannuation system have often been driven by the tensions between the </w:t>
      </w:r>
      <w:proofErr w:type="gramStart"/>
      <w:r>
        <w:t>pillars,</w:t>
      </w:r>
      <w:proofErr w:type="gramEnd"/>
      <w:r>
        <w:t xml:space="preserve"> and considerations of whether superannuation is intended as a complement or substitute to other private savings and the Age Pension. While there has been a general consensus that superannuation is intended to improve standards of living in retirement, its precise role — such as how superannuation should be drawn down — is more contentious. As noted by the </w:t>
      </w:r>
      <w:r w:rsidRPr="00A66D36">
        <w:rPr>
          <w:i/>
        </w:rPr>
        <w:t>Financial System Inquiry</w:t>
      </w:r>
      <w:r>
        <w:rPr>
          <w:i/>
        </w:rPr>
        <w:t>,</w:t>
      </w:r>
      <w:r>
        <w:t xml:space="preserve"> a lack of common objectives can have wide ranging effects:</w:t>
      </w:r>
    </w:p>
    <w:p w:rsidR="007C51D1" w:rsidRDefault="007C51D1" w:rsidP="005939B8">
      <w:pPr>
        <w:pStyle w:val="Quote"/>
      </w:pPr>
      <w:r w:rsidRPr="00FA59E0">
        <w:t>The absence of agreed objectives contributes to short-term ad hoc policy making. It adds complexity, imposes unnecessary costs on superannuation funds and their members, and undermines long-term confidence in the system.</w:t>
      </w:r>
      <w:r>
        <w:t xml:space="preserve"> </w:t>
      </w:r>
      <w:r w:rsidR="00F62614" w:rsidRPr="00F62614">
        <w:rPr>
          <w:szCs w:val="24"/>
        </w:rPr>
        <w:t>(Australian Government 2014b, pp. 96–97)</w:t>
      </w:r>
      <w:r>
        <w:br w:type="page"/>
      </w:r>
    </w:p>
    <w:p w:rsidR="007C51D1" w:rsidRDefault="007C51D1">
      <w:pPr>
        <w:pStyle w:val="BodyText"/>
        <w:sectPr w:rsidR="007C51D1" w:rsidSect="007C51D1">
          <w:headerReference w:type="even" r:id="rId31"/>
          <w:headerReference w:type="default" r:id="rId32"/>
          <w:footerReference w:type="even" r:id="rId33"/>
          <w:footerReference w:type="default" r:id="rId34"/>
          <w:type w:val="oddPage"/>
          <w:pgSz w:w="11907" w:h="16840" w:code="9"/>
          <w:pgMar w:top="1985" w:right="1304" w:bottom="1247" w:left="1814" w:header="1701" w:footer="397" w:gutter="0"/>
          <w:pgNumType w:chapSep="period"/>
          <w:cols w:space="720"/>
          <w:docGrid w:linePitch="326"/>
        </w:sectPr>
      </w:pPr>
    </w:p>
    <w:p w:rsidR="007C51D1" w:rsidRDefault="007C51D1" w:rsidP="005939B8">
      <w:pPr>
        <w:pStyle w:val="BoxSpaceAbove"/>
      </w:pPr>
    </w:p>
    <w:tbl>
      <w:tblPr>
        <w:tblW w:w="13728"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728"/>
      </w:tblGrid>
      <w:tr w:rsidR="007C51D1" w:rsidTr="005939B8">
        <w:tc>
          <w:tcPr>
            <w:tcW w:w="13728"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1.</w:t>
            </w:r>
            <w:r>
              <w:rPr>
                <w:b w:val="0"/>
                <w:noProof/>
              </w:rPr>
              <w:t>1</w:t>
            </w:r>
            <w:r>
              <w:tab/>
              <w:t>Some key changes to the superannuation system</w:t>
            </w:r>
          </w:p>
        </w:tc>
      </w:tr>
      <w:tr w:rsidR="007C51D1" w:rsidTr="005939B8">
        <w:tc>
          <w:tcPr>
            <w:tcW w:w="13728" w:type="dxa"/>
            <w:tcBorders>
              <w:top w:val="nil"/>
              <w:left w:val="nil"/>
              <w:bottom w:val="nil"/>
              <w:right w:val="nil"/>
            </w:tcBorders>
            <w:shd w:val="clear" w:color="auto" w:fill="auto"/>
            <w:tcMar>
              <w:top w:w="28" w:type="dxa"/>
              <w:bottom w:w="28" w:type="dxa"/>
            </w:tcMar>
          </w:tcPr>
          <w:tbl>
            <w:tblPr>
              <w:tblW w:w="13300"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3300"/>
            </w:tblGrid>
            <w:tr w:rsidR="007C51D1" w:rsidTr="005939B8">
              <w:trPr>
                <w:trHeight w:val="3245"/>
                <w:jc w:val="center"/>
              </w:trPr>
              <w:tc>
                <w:tcPr>
                  <w:tcW w:w="5000" w:type="pct"/>
                  <w:tcBorders>
                    <w:top w:val="nil"/>
                    <w:bottom w:val="nil"/>
                  </w:tcBorders>
                </w:tcPr>
                <w:p w:rsidR="007C51D1" w:rsidRDefault="007C51D1" w:rsidP="005939B8">
                  <w:pPr>
                    <w:pStyle w:val="Figure"/>
                    <w:spacing w:before="60" w:after="60"/>
                  </w:pPr>
                  <w:r>
                    <w:rPr>
                      <w:noProof/>
                    </w:rPr>
                    <w:drawing>
                      <wp:inline distT="0" distB="0" distL="0" distR="0" wp14:anchorId="50DD2421" wp14:editId="4EBFD975">
                        <wp:extent cx="8286750" cy="4371975"/>
                        <wp:effectExtent l="0" t="0" r="0" b="9525"/>
                        <wp:docPr id="3" name="Picture 3" descr="Figure 1.1 Some key changes to the superannuation system. This is a stylised depiction of some key policy changes to the superannuation system over time, with changes split between the pre- and post- retirement phases, and most changes occurring in the pre-retirement phase. The superannuation guarantee was introduced in 1992 at 3 per cent, is currently 9.5 per cent and will rise to 12 per cent by 2025. Low income government co-contribution was introduced in 1995, the superannuation surcharge was introduced in 1996, the maximum superannuation guarantee contribution age was increased in 1997 from 65 to 70, and again to 75 in 2002. An increase in the preservation age from 55 to 60 was announced in 1999. Transition to retirement pensions were made available in 2004, the simpler super reforms were announced in 2007 and the MySuper reforms were introduced in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DavWWWRoot\srp\superannuationscoping\Reporting\Graphs and Charts\Chapter 1\fig 1.1.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286750" cy="437197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13728" w:type="dxa"/>
            <w:tcBorders>
              <w:top w:val="nil"/>
              <w:left w:val="nil"/>
              <w:bottom w:val="nil"/>
              <w:right w:val="nil"/>
            </w:tcBorders>
            <w:shd w:val="clear" w:color="auto" w:fill="auto"/>
          </w:tcPr>
          <w:p w:rsidR="007C51D1" w:rsidRPr="00176D3F" w:rsidRDefault="007C51D1" w:rsidP="005939B8">
            <w:pPr>
              <w:pStyle w:val="Source"/>
            </w:pPr>
            <w:r>
              <w:rPr>
                <w:i/>
              </w:rPr>
              <w:t>S</w:t>
            </w:r>
            <w:r w:rsidRPr="00784A05">
              <w:rPr>
                <w:i/>
              </w:rPr>
              <w:t>ource</w:t>
            </w:r>
            <w:r w:rsidRPr="00176D3F">
              <w:t xml:space="preserve">: </w:t>
            </w:r>
            <w:r>
              <w:t xml:space="preserve">Adapted from </w:t>
            </w:r>
            <w:proofErr w:type="spellStart"/>
            <w:r>
              <w:t>Swoboda</w:t>
            </w:r>
            <w:proofErr w:type="spellEnd"/>
            <w:r>
              <w:t xml:space="preserve"> </w:t>
            </w:r>
            <w:r w:rsidR="00F62614" w:rsidRPr="00F62614">
              <w:rPr>
                <w:rFonts w:cs="Arial"/>
              </w:rPr>
              <w:t>(2014)</w:t>
            </w:r>
            <w:r>
              <w:t>.</w:t>
            </w:r>
          </w:p>
        </w:tc>
      </w:tr>
      <w:tr w:rsidR="007C51D1" w:rsidTr="005939B8">
        <w:tc>
          <w:tcPr>
            <w:tcW w:w="13728"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13728"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pPr>
        <w:pStyle w:val="BodyText"/>
        <w:sectPr w:rsidR="007C51D1" w:rsidSect="007C51D1">
          <w:headerReference w:type="even" r:id="rId36"/>
          <w:headerReference w:type="default" r:id="rId37"/>
          <w:footerReference w:type="even" r:id="rId38"/>
          <w:footerReference w:type="default" r:id="rId39"/>
          <w:pgSz w:w="16840" w:h="11907" w:orient="landscape" w:code="9"/>
          <w:pgMar w:top="1814" w:right="1985" w:bottom="1304" w:left="1418" w:header="1701" w:footer="567" w:gutter="0"/>
          <w:pgNumType w:chapSep="period"/>
          <w:cols w:space="720"/>
          <w:docGrid w:linePitch="326"/>
        </w:sectPr>
      </w:pPr>
    </w:p>
    <w:p w:rsidR="007C51D1" w:rsidRDefault="007C51D1" w:rsidP="005939B8">
      <w:pPr>
        <w:pStyle w:val="Heading2"/>
        <w:spacing w:before="0"/>
      </w:pPr>
      <w:r>
        <w:lastRenderedPageBreak/>
        <w:t>1.</w:t>
      </w:r>
      <w:r>
        <w:rPr>
          <w:noProof/>
        </w:rPr>
        <w:t>2</w:t>
      </w:r>
      <w:r>
        <w:tab/>
        <w:t>The growing importance of a well-functioning superannuation system</w:t>
      </w:r>
    </w:p>
    <w:p w:rsidR="007C51D1" w:rsidRDefault="007C51D1" w:rsidP="005939B8">
      <w:pPr>
        <w:pStyle w:val="BodyText"/>
      </w:pPr>
      <w:r>
        <w:t>Any shortcomings of the superannuation system take on greater prominence as the system matures and the Australian population ages. As the system matures, people will have been making superannuation contributions for an increasing portion of their working lives and, as a result, some will have larger superannuation balances at retirement, making their drawdown decisions more important. While people will tend to retire with more superannuation savings, pressure on the system as a whole will increase as a greater proportion of people enter the post–retirement phase (box 1.2).</w:t>
      </w:r>
    </w:p>
    <w:p w:rsidR="007C51D1" w:rsidRDefault="007C51D1" w:rsidP="005939B8">
      <w:pPr>
        <w:pStyle w:val="BodyText"/>
      </w:pPr>
      <w:r>
        <w:t>Australia’s ageing population also underscores the importance of a well-functioning superannuation system. T</w:t>
      </w:r>
      <w:r w:rsidRPr="00AE0DD8">
        <w:t>he proportion of the</w:t>
      </w:r>
      <w:r>
        <w:t xml:space="preserve"> Australian</w:t>
      </w:r>
      <w:r w:rsidRPr="00AE0DD8">
        <w:t xml:space="preserve"> population aged 65 years or more will increase from around one in seven </w:t>
      </w:r>
      <w:r>
        <w:t>today</w:t>
      </w:r>
      <w:r w:rsidRPr="00AE0DD8">
        <w:t xml:space="preserve"> to</w:t>
      </w:r>
      <w:r>
        <w:t xml:space="preserve"> around</w:t>
      </w:r>
      <w:r w:rsidRPr="00AE0DD8">
        <w:t xml:space="preserve"> one in four by 20</w:t>
      </w:r>
      <w:r>
        <w:t xml:space="preserve">55 (figure 1.2). </w:t>
      </w:r>
    </w:p>
    <w:p w:rsidR="007C51D1" w:rsidRPr="00F73416" w:rsidRDefault="007C51D1" w:rsidP="00F7341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1.</w:t>
            </w:r>
            <w:r>
              <w:rPr>
                <w:b w:val="0"/>
                <w:noProof/>
              </w:rPr>
              <w:t>2</w:t>
            </w:r>
            <w:r>
              <w:tab/>
              <w:t>Growth in the aged far outstrips that of younger people</w:t>
            </w:r>
          </w:p>
          <w:p w:rsidR="007C51D1" w:rsidRPr="00176D3F" w:rsidRDefault="007C51D1" w:rsidP="005939B8">
            <w:pPr>
              <w:pStyle w:val="Subtitle"/>
            </w:pPr>
            <w:r>
              <w:t>2015 to 2055</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Tr="005939B8">
              <w:trPr>
                <w:jc w:val="center"/>
              </w:trPr>
              <w:tc>
                <w:tcPr>
                  <w:tcW w:w="4252" w:type="dxa"/>
                  <w:tcBorders>
                    <w:top w:val="nil"/>
                    <w:bottom w:val="nil"/>
                  </w:tcBorders>
                </w:tcPr>
                <w:p w:rsidR="007C51D1" w:rsidRPr="00B56E9C" w:rsidRDefault="007C51D1" w:rsidP="005939B8">
                  <w:pPr>
                    <w:pStyle w:val="Figure"/>
                    <w:spacing w:before="60" w:after="60"/>
                    <w:jc w:val="left"/>
                    <w:rPr>
                      <w:rFonts w:ascii="Arial" w:hAnsi="Arial" w:cs="Arial"/>
                      <w:b/>
                      <w:noProof/>
                      <w:sz w:val="20"/>
                    </w:rPr>
                  </w:pPr>
                  <w:r>
                    <w:rPr>
                      <w:rFonts w:ascii="Arial" w:hAnsi="Arial" w:cs="Arial"/>
                      <w:b/>
                      <w:noProof/>
                      <w:sz w:val="20"/>
                    </w:rPr>
                    <w:t xml:space="preserve">(i) </w:t>
                  </w:r>
                  <w:r w:rsidRPr="00B56E9C">
                    <w:rPr>
                      <w:rFonts w:ascii="Arial" w:hAnsi="Arial" w:cs="Arial"/>
                      <w:b/>
                      <w:noProof/>
                      <w:sz w:val="20"/>
                    </w:rPr>
                    <w:t>The percentage increase in population numbers by age group</w:t>
                  </w:r>
                </w:p>
                <w:p w:rsidR="007C51D1" w:rsidRDefault="007C51D1" w:rsidP="005939B8">
                  <w:pPr>
                    <w:pStyle w:val="Figure"/>
                    <w:spacing w:before="60" w:after="60"/>
                  </w:pPr>
                  <w:r>
                    <w:rPr>
                      <w:noProof/>
                    </w:rPr>
                    <w:drawing>
                      <wp:inline distT="0" distB="0" distL="0" distR="0" wp14:anchorId="310644AE" wp14:editId="5885A59F">
                        <wp:extent cx="2558415" cy="2390140"/>
                        <wp:effectExtent l="0" t="0" r="0" b="0"/>
                        <wp:docPr id="8" name="Picture 8" descr="Figure 1.2 Growth in the aged far outstrips that of younger people. &#10;(i) The percentage increase in population numbers by age group. This graph shows the projected percentage increase in different age groups between 2015 and 2055. The percentage increase rises with age. It is less than 50 per cent for 0-14 year olds and 15-49 year olds, and rises to over 300 per cent for 85+ year olds.&#10;(ii) The change in population numbers by age group. This graph shows the projected increase in the number of people in different age groups between 2015 and 2055. The largest increase is for 15-49 year olds, at around four million. Each of the 50-64, 65-74 and 75-84 year old groups is projected to increase by just under 2 million. And the remaining groups, 0-14 and 85+ are each projected to increase by slightly les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58415" cy="2390140"/>
                                </a:xfrm>
                                <a:prstGeom prst="rect">
                                  <a:avLst/>
                                </a:prstGeom>
                                <a:noFill/>
                                <a:ln>
                                  <a:noFill/>
                                </a:ln>
                              </pic:spPr>
                            </pic:pic>
                          </a:graphicData>
                        </a:graphic>
                      </wp:inline>
                    </w:drawing>
                  </w:r>
                </w:p>
              </w:tc>
              <w:tc>
                <w:tcPr>
                  <w:tcW w:w="4252" w:type="dxa"/>
                  <w:tcBorders>
                    <w:top w:val="nil"/>
                    <w:bottom w:val="nil"/>
                  </w:tcBorders>
                </w:tcPr>
                <w:p w:rsidR="007C51D1" w:rsidRPr="00B56E9C" w:rsidRDefault="007C51D1" w:rsidP="005939B8">
                  <w:pPr>
                    <w:pStyle w:val="Figure"/>
                    <w:spacing w:before="60" w:after="60"/>
                    <w:jc w:val="left"/>
                    <w:rPr>
                      <w:rFonts w:ascii="Arial" w:hAnsi="Arial" w:cs="Arial"/>
                      <w:b/>
                      <w:noProof/>
                      <w:sz w:val="20"/>
                    </w:rPr>
                  </w:pPr>
                  <w:r>
                    <w:rPr>
                      <w:rFonts w:ascii="Arial" w:hAnsi="Arial" w:cs="Arial"/>
                      <w:b/>
                      <w:noProof/>
                      <w:sz w:val="20"/>
                    </w:rPr>
                    <w:t xml:space="preserve">(ii) </w:t>
                  </w:r>
                  <w:r w:rsidRPr="00B56E9C">
                    <w:rPr>
                      <w:rFonts w:ascii="Arial" w:hAnsi="Arial" w:cs="Arial"/>
                      <w:b/>
                      <w:noProof/>
                      <w:sz w:val="20"/>
                    </w:rPr>
                    <w:t>The change in population numbers by age group</w:t>
                  </w:r>
                  <w:r>
                    <w:rPr>
                      <w:rFonts w:ascii="Arial" w:hAnsi="Arial" w:cs="Arial"/>
                      <w:b/>
                      <w:noProof/>
                      <w:sz w:val="20"/>
                    </w:rPr>
                    <w:t xml:space="preserve"> </w:t>
                  </w:r>
                </w:p>
                <w:p w:rsidR="007C51D1" w:rsidRPr="00227B7C" w:rsidRDefault="007C51D1" w:rsidP="005939B8">
                  <w:pPr>
                    <w:pStyle w:val="Figure"/>
                    <w:spacing w:before="60" w:after="60"/>
                  </w:pPr>
                  <w:r>
                    <w:rPr>
                      <w:noProof/>
                    </w:rPr>
                    <w:drawing>
                      <wp:inline distT="0" distB="0" distL="0" distR="0" wp14:anchorId="1A2F9982" wp14:editId="2F20D46A">
                        <wp:extent cx="2558415" cy="2446655"/>
                        <wp:effectExtent l="0" t="0" r="0" b="0"/>
                        <wp:docPr id="7" name="Picture 7" descr="read previou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558415" cy="244665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rsidR="00F73416">
              <w:t>Commission estimates outlined in PC </w:t>
            </w:r>
            <w:r w:rsidR="00F73416" w:rsidRPr="00F62614">
              <w:rPr>
                <w:rFonts w:cs="Arial"/>
              </w:rPr>
              <w:t>(2013)</w:t>
            </w:r>
            <w:r w:rsidR="00F73416">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This demographic transition will give rise to major social and economic change as a higher proportion of the population makes calls on the Age Pension, health care and aged care (figure 1.3) while at the same time, relatively fewer people are working and contributing to government revenue through taxes.</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1.2</w:t>
            </w:r>
            <w:r>
              <w:tab/>
              <w:t>Superannuation funds under management at a glance</w:t>
            </w:r>
          </w:p>
        </w:tc>
      </w:tr>
      <w:tr w:rsidR="007C51D1" w:rsidTr="005939B8">
        <w:tblPrEx>
          <w:tblCellMar>
            <w:left w:w="108" w:type="dxa"/>
            <w:right w:w="108" w:type="dxa"/>
          </w:tblCellMar>
        </w:tblPrEx>
        <w:trPr>
          <w:cantSplit/>
        </w:trPr>
        <w:tc>
          <w:tcPr>
            <w:tcW w:w="8771" w:type="dxa"/>
            <w:tcBorders>
              <w:top w:val="nil"/>
              <w:left w:val="nil"/>
              <w:bottom w:val="nil"/>
              <w:right w:val="nil"/>
            </w:tcBorders>
            <w:shd w:val="clear" w:color="auto" w:fill="F2F2F2"/>
          </w:tcPr>
          <w:p w:rsidR="007C51D1" w:rsidRDefault="007C51D1" w:rsidP="005939B8">
            <w:pPr>
              <w:pStyle w:val="Box"/>
            </w:pPr>
            <w:r>
              <w:t xml:space="preserve">Superannuation funds hold a large amount of assets on behalf of their members. These assets are commonly referred to as ‘funds under management’ (FUM) and have been growing steadily in real terms, rising to around $1.6 trillion in 2012-13. </w:t>
            </w:r>
            <w:r w:rsidRPr="00664795">
              <w:t xml:space="preserve">Accordingly, FUM </w:t>
            </w:r>
            <w:r>
              <w:t>have</w:t>
            </w:r>
            <w:r w:rsidRPr="00664795">
              <w:t xml:space="preserve"> grown as a share of GDP, from around 57 per cent in 1996-97 to around 106 per cent in 2012-13. </w:t>
            </w:r>
            <w:r>
              <w:t xml:space="preserve">This </w:t>
            </w:r>
            <w:r w:rsidRPr="00664795">
              <w:t>growth expressed as a share of net national wealth — Australia’s total assets less liabilities — has risen from around 12 to 18 per cent over the same period.</w:t>
            </w:r>
          </w:p>
          <w:p w:rsidR="007C51D1" w:rsidRDefault="007C51D1" w:rsidP="005939B8">
            <w:pPr>
              <w:pStyle w:val="Box"/>
              <w:jc w:val="center"/>
            </w:pPr>
            <w:r>
              <w:rPr>
                <w:noProof/>
              </w:rPr>
              <w:drawing>
                <wp:inline distT="0" distB="0" distL="0" distR="0" wp14:anchorId="1981A53A" wp14:editId="1DAC56D2">
                  <wp:extent cx="2659380" cy="2156460"/>
                  <wp:effectExtent l="0" t="0" r="0" b="0"/>
                  <wp:docPr id="5" name="Picture 5" descr="This figure compares value of funds under management expressed as a share of GDP and National Net Wealth, over the period 1996-97 to 2012-13. These data are discussed in the text immediately preceding the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659380" cy="2156460"/>
                          </a:xfrm>
                          <a:prstGeom prst="rect">
                            <a:avLst/>
                          </a:prstGeom>
                          <a:noFill/>
                          <a:ln>
                            <a:noFill/>
                          </a:ln>
                        </pic:spPr>
                      </pic:pic>
                    </a:graphicData>
                  </a:graphic>
                </wp:inline>
              </w:drawing>
            </w:r>
            <w:r>
              <w:rPr>
                <w:noProof/>
              </w:rPr>
              <w:drawing>
                <wp:inline distT="0" distB="0" distL="0" distR="0" wp14:anchorId="778B8B54" wp14:editId="3F6D1BF0">
                  <wp:extent cx="2659380" cy="2156460"/>
                  <wp:effectExtent l="0" t="0" r="0" b="0"/>
                  <wp:docPr id="29" name="Picture 29" descr="This figure compares the value of funds under management (in billions of dollars at 2013-14 prices on the left-hand axis) and funds under management per member account (in hundreds of thousands of dollars at 2013-14 prices on the right-hand axis), over the period 1996-97 to 2012-13. Funds under management has grown over this period from around $500 billion to $1600 billion (in 2013-14 prices). Funds under management per member account has grown over the same period from about $30 000 to $55 000 (in 2013-14 pric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659380" cy="2156460"/>
                          </a:xfrm>
                          <a:prstGeom prst="rect">
                            <a:avLst/>
                          </a:prstGeom>
                          <a:noFill/>
                          <a:ln>
                            <a:noFill/>
                          </a:ln>
                        </pic:spPr>
                      </pic:pic>
                    </a:graphicData>
                  </a:graphic>
                </wp:inline>
              </w:drawing>
            </w:r>
          </w:p>
          <w:p w:rsidR="007C51D1" w:rsidRDefault="007C51D1" w:rsidP="005939B8">
            <w:pPr>
              <w:pStyle w:val="Box"/>
            </w:pPr>
            <w:r>
              <w:t xml:space="preserve">FUM can be a useful denominator or base to use when considering the amount of money that is flowing into the superannuation system as contributions, and out as benefits. It helps to provide a sense of how material these flows are, as opposed to simple, large dollar figures. Fluctuations in FUM also reflect equity market shifts and policy changes. For example, in 2006-07 FUM rose due to a temporary increase in the tax-free contribution cap as part of transitional arrangements for the </w:t>
            </w:r>
            <w:r w:rsidRPr="00664795">
              <w:rPr>
                <w:i/>
              </w:rPr>
              <w:t>Simpler Super</w:t>
            </w:r>
            <w:r>
              <w:t xml:space="preserve"> reforms. At present, contributions as a share of FUM are larger than the benefits paid, and, generally speaking, the contributions from employers (as part of the Superannuation Guarantee) are greater than member contributions. How much money is flowing out of the system in benefits, and in what form, are areas of contention (chapter 4), but broadly speaking, total benefit payments as a share of FUM have been flat. This is expected to change in the future as an ageing population increasingly draws upon its superannuation savings.</w:t>
            </w:r>
          </w:p>
          <w:p w:rsidR="007C51D1" w:rsidRDefault="007C51D1" w:rsidP="005939B8">
            <w:pPr>
              <w:pStyle w:val="Box"/>
              <w:jc w:val="center"/>
            </w:pPr>
            <w:r>
              <w:rPr>
                <w:noProof/>
              </w:rPr>
              <w:drawing>
                <wp:inline distT="0" distB="0" distL="0" distR="0" wp14:anchorId="57D59AC8" wp14:editId="389FC745">
                  <wp:extent cx="2659380" cy="2156460"/>
                  <wp:effectExtent l="0" t="0" r="0" b="0"/>
                  <wp:docPr id="6" name="Picture 6" descr="This figure shows member and employer superannuation contributions as a share of funds under management over the period 1996-97 to 2012-13. Employer contributions average around 6 per cent of FUM for each year. Member contributions average around 3.5 per cent of FUM each year, though there is a spike in member contributions of around 8 per cent in 200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659380" cy="2156460"/>
                          </a:xfrm>
                          <a:prstGeom prst="rect">
                            <a:avLst/>
                          </a:prstGeom>
                          <a:noFill/>
                          <a:ln>
                            <a:noFill/>
                          </a:ln>
                        </pic:spPr>
                      </pic:pic>
                    </a:graphicData>
                  </a:graphic>
                </wp:inline>
              </w:drawing>
            </w:r>
            <w:r>
              <w:rPr>
                <w:noProof/>
              </w:rPr>
              <w:drawing>
                <wp:inline distT="0" distB="0" distL="0" distR="0" wp14:anchorId="64AC6906" wp14:editId="4545E58B">
                  <wp:extent cx="2659380" cy="2156460"/>
                  <wp:effectExtent l="0" t="0" r="0" b="0"/>
                  <wp:docPr id="28" name="Picture 28" descr="This figure shows lump sum and pension superannuation benefits as a share of funds under management over the period 1996-97 to 2012-13. Total benefits are around 6 per cent of FUM, on average, for each year. But the composition of these benefits has changed, with a greater share coming from pension benefits by the end of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659380" cy="2156460"/>
                          </a:xfrm>
                          <a:prstGeom prst="rect">
                            <a:avLst/>
                          </a:prstGeom>
                          <a:noFill/>
                          <a:ln>
                            <a:noFill/>
                          </a:ln>
                        </pic:spPr>
                      </pic:pic>
                    </a:graphicData>
                  </a:graphic>
                </wp:inline>
              </w:drawing>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Source"/>
            </w:pPr>
            <w:r>
              <w:rPr>
                <w:i/>
              </w:rPr>
              <w:t>Sources</w:t>
            </w:r>
            <w:r w:rsidRPr="00167F06">
              <w:t xml:space="preserve">: </w:t>
            </w:r>
            <w:r>
              <w:t xml:space="preserve">Commission estimates based on APRA </w:t>
            </w:r>
            <w:r w:rsidR="00F62614" w:rsidRPr="00F62614">
              <w:rPr>
                <w:rFonts w:cs="Arial"/>
              </w:rPr>
              <w:t>(2014a)</w:t>
            </w:r>
            <w:r>
              <w:t>; ABS (</w:t>
            </w:r>
            <w:r>
              <w:rPr>
                <w:i/>
              </w:rPr>
              <w:t>Consumer Price Index Australia, Ma</w:t>
            </w:r>
            <w:r w:rsidRPr="00CD6FA5">
              <w:t>r</w:t>
            </w:r>
            <w:r>
              <w:t> </w:t>
            </w:r>
            <w:r>
              <w:rPr>
                <w:i/>
              </w:rPr>
              <w:t>2015,</w:t>
            </w:r>
            <w:r>
              <w:t xml:space="preserve"> Cat. no. 6401.0; </w:t>
            </w:r>
            <w:r>
              <w:rPr>
                <w:i/>
              </w:rPr>
              <w:t>Australian System of National Accounts, 2013-14</w:t>
            </w:r>
            <w:r>
              <w:t xml:space="preserve">, Cat. no. 5204.0); Deloitte </w:t>
            </w:r>
            <w:r w:rsidR="00F62614" w:rsidRPr="00F62614">
              <w:rPr>
                <w:rFonts w:cs="Arial"/>
              </w:rPr>
              <w:t>(2013)</w:t>
            </w:r>
            <w:r>
              <w:t xml:space="preserve">; Australian Government </w:t>
            </w:r>
            <w:r w:rsidR="00F62614" w:rsidRPr="00F62614">
              <w:rPr>
                <w:rFonts w:cs="Arial"/>
              </w:rPr>
              <w:t>(2006b)</w:t>
            </w:r>
            <w:r>
              <w: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lastRenderedPageBreak/>
        <w:t>T</w:t>
      </w:r>
      <w:r w:rsidRPr="00EE366D">
        <w:t xml:space="preserve">otal government spending </w:t>
      </w:r>
      <w:r>
        <w:t>is projected to increase from around 27 to 32 per cent of GDP</w:t>
      </w:r>
      <w:r w:rsidRPr="00EE366D">
        <w:t xml:space="preserve"> b</w:t>
      </w:r>
      <w:r>
        <w:t xml:space="preserve">etween 2011-12 and 2054-55 (Commission estimates based on PC </w:t>
      </w:r>
      <w:r w:rsidR="00F62614" w:rsidRPr="00F62614">
        <w:t>(2013)</w:t>
      </w:r>
      <w:r>
        <w:t>). Health care and age-related expenditure are projected to rise, while education and other expenditures are projected to decline as shares of GDP. Health care expenditure — which is spread across all ages, but concentrated among older groups — is expected to comprise the largest share of the increase in expenditure, followed by expenditure on aged care and then the Age Pension.</w:t>
      </w:r>
    </w:p>
    <w:p w:rsidR="007C51D1" w:rsidRDefault="007C51D1" w:rsidP="005939B8">
      <w:pPr>
        <w:pStyle w:val="BodyText"/>
      </w:pPr>
      <w:r>
        <w:t>Australia appears better placed than many to manage the demographic changes that are unfolding. Age-related pension expenditure by the Australian Government is low</w:t>
      </w:r>
      <w:r w:rsidRPr="002B357C">
        <w:t xml:space="preserve"> </w:t>
      </w:r>
      <w:r>
        <w:t xml:space="preserve">relative to other OECD countries. In 2009, Age Pension expenditure as a share of GDP was 3.5 per cent, less than half the OECD average of 7.8 per cent </w:t>
      </w:r>
      <w:r w:rsidR="00F62614" w:rsidRPr="00F62614">
        <w:rPr>
          <w:szCs w:val="24"/>
        </w:rPr>
        <w:t>(OECD 2013)</w:t>
      </w:r>
      <w:r>
        <w:t>. Moreover, from 1990 to 2009 Australia’s expenditure grew modestly, by less than 15 per cent compared to an OECD average 27 per cent. Though, to some extent this reflects that Australia’s old-age dependency ratio</w:t>
      </w:r>
      <w:r w:rsidRPr="00D44A36">
        <w:rPr>
          <w:rStyle w:val="FootnoteReference"/>
        </w:rPr>
        <w:footnoteReference w:id="3"/>
      </w:r>
      <w:r>
        <w:t xml:space="preserve"> was below the OECD average.</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1.</w:t>
            </w:r>
            <w:r>
              <w:rPr>
                <w:b w:val="0"/>
                <w:noProof/>
              </w:rPr>
              <w:t>3</w:t>
            </w:r>
            <w:r>
              <w:tab/>
              <w:t xml:space="preserve">Demographic change will impact government </w:t>
            </w:r>
            <w:r w:rsidRPr="000C6B85">
              <w:t>expenditure</w:t>
            </w:r>
            <w:r w:rsidDel="00692BB2">
              <w:t xml:space="preserve"> </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Tr="005939B8">
              <w:trPr>
                <w:jc w:val="center"/>
              </w:trPr>
              <w:tc>
                <w:tcPr>
                  <w:tcW w:w="4252" w:type="dxa"/>
                  <w:tcBorders>
                    <w:top w:val="nil"/>
                    <w:bottom w:val="nil"/>
                  </w:tcBorders>
                </w:tcPr>
                <w:p w:rsidR="007C51D1" w:rsidRDefault="007C51D1" w:rsidP="005939B8">
                  <w:pPr>
                    <w:pStyle w:val="Figure"/>
                    <w:spacing w:before="60" w:after="60"/>
                    <w:jc w:val="left"/>
                    <w:rPr>
                      <w:rStyle w:val="NoteLabel"/>
                    </w:rPr>
                  </w:pPr>
                  <w:r w:rsidRPr="00E424BC">
                    <w:rPr>
                      <w:rFonts w:ascii="Arial" w:hAnsi="Arial" w:cs="Arial"/>
                      <w:b/>
                      <w:sz w:val="20"/>
                    </w:rPr>
                    <w:t>(</w:t>
                  </w:r>
                  <w:proofErr w:type="spellStart"/>
                  <w:r w:rsidRPr="00E424BC">
                    <w:rPr>
                      <w:rFonts w:ascii="Arial" w:hAnsi="Arial" w:cs="Arial"/>
                      <w:b/>
                      <w:sz w:val="20"/>
                    </w:rPr>
                    <w:t>i</w:t>
                  </w:r>
                  <w:proofErr w:type="spellEnd"/>
                  <w:r>
                    <w:rPr>
                      <w:rFonts w:ascii="Arial" w:hAnsi="Arial" w:cs="Arial"/>
                      <w:b/>
                      <w:sz w:val="20"/>
                    </w:rPr>
                    <w:t xml:space="preserve">) </w:t>
                  </w:r>
                  <w:r w:rsidRPr="000C6B85">
                    <w:rPr>
                      <w:rFonts w:ascii="Arial" w:hAnsi="Arial" w:cs="Arial"/>
                      <w:b/>
                      <w:sz w:val="20"/>
                    </w:rPr>
                    <w:t>Number of people aged over 65 per hundred people aged 15-64</w:t>
                  </w:r>
                  <w:r>
                    <w:rPr>
                      <w:rStyle w:val="NoteLabel"/>
                    </w:rPr>
                    <w:t>a</w:t>
                  </w:r>
                </w:p>
                <w:p w:rsidR="007C51D1" w:rsidRDefault="007C51D1" w:rsidP="005939B8">
                  <w:pPr>
                    <w:pStyle w:val="Figure"/>
                    <w:spacing w:before="60" w:after="60"/>
                    <w:ind w:left="21"/>
                    <w:jc w:val="left"/>
                  </w:pPr>
                  <w:r>
                    <w:rPr>
                      <w:noProof/>
                    </w:rPr>
                    <w:drawing>
                      <wp:inline distT="0" distB="0" distL="0" distR="0" wp14:anchorId="2583E196" wp14:editId="4F71F409">
                        <wp:extent cx="2558415" cy="2734945"/>
                        <wp:effectExtent l="0" t="0" r="0" b="8255"/>
                        <wp:docPr id="9" name="Picture 9" descr="Figure 1.3 Demographic change will impact government expenditure.&#10;(i) Number of people aged over 65 per hundred people aged 15-64. This chart depicts the number of over 65 year olds per 100 15-64 year olds in ten year increments from 1995 to 2055. The number is steadily increasing, beginning at just under 20 in 1995 and around 40 in 205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558415" cy="2734945"/>
                                </a:xfrm>
                                <a:prstGeom prst="rect">
                                  <a:avLst/>
                                </a:prstGeom>
                                <a:noFill/>
                                <a:ln>
                                  <a:noFill/>
                                </a:ln>
                              </pic:spPr>
                            </pic:pic>
                          </a:graphicData>
                        </a:graphic>
                      </wp:inline>
                    </w:drawing>
                  </w:r>
                </w:p>
              </w:tc>
              <w:tc>
                <w:tcPr>
                  <w:tcW w:w="4252" w:type="dxa"/>
                  <w:tcBorders>
                    <w:top w:val="nil"/>
                    <w:bottom w:val="nil"/>
                  </w:tcBorders>
                </w:tcPr>
                <w:p w:rsidR="007C51D1" w:rsidRPr="000C6B85" w:rsidRDefault="007C51D1" w:rsidP="005939B8">
                  <w:pPr>
                    <w:pStyle w:val="Figure"/>
                    <w:spacing w:before="60" w:after="60"/>
                    <w:jc w:val="left"/>
                    <w:rPr>
                      <w:rFonts w:ascii="Arial" w:hAnsi="Arial" w:cs="Arial"/>
                      <w:b/>
                      <w:sz w:val="20"/>
                    </w:rPr>
                  </w:pPr>
                  <w:r>
                    <w:rPr>
                      <w:rFonts w:ascii="Arial" w:hAnsi="Arial" w:cs="Arial"/>
                      <w:b/>
                      <w:sz w:val="20"/>
                    </w:rPr>
                    <w:t xml:space="preserve">(ii) Age-related government </w:t>
                  </w:r>
                  <w:r w:rsidRPr="000C6B85">
                    <w:rPr>
                      <w:rFonts w:ascii="Arial" w:hAnsi="Arial" w:cs="Arial"/>
                      <w:b/>
                      <w:sz w:val="20"/>
                    </w:rPr>
                    <w:t>expenditure</w:t>
                  </w:r>
                  <w:r>
                    <w:rPr>
                      <w:rFonts w:ascii="Arial" w:hAnsi="Arial" w:cs="Arial"/>
                      <w:b/>
                      <w:sz w:val="20"/>
                    </w:rPr>
                    <w:t>,</w:t>
                  </w:r>
                </w:p>
                <w:p w:rsidR="007C51D1" w:rsidRDefault="007C51D1" w:rsidP="005939B8">
                  <w:pPr>
                    <w:pStyle w:val="Subtitle"/>
                    <w:ind w:left="596" w:hanging="283"/>
                  </w:pPr>
                  <w:r w:rsidRPr="00451ADA">
                    <w:rPr>
                      <w:b/>
                    </w:rPr>
                    <w:t>2011-12</w:t>
                  </w:r>
                  <w:proofErr w:type="spellStart"/>
                  <w:r>
                    <w:rPr>
                      <w:rStyle w:val="NoteLabel"/>
                    </w:rPr>
                    <w:t>b</w:t>
                  </w:r>
                  <w:proofErr w:type="gramStart"/>
                  <w:r>
                    <w:rPr>
                      <w:rStyle w:val="NoteLabel"/>
                    </w:rPr>
                    <w:t>,c</w:t>
                  </w:r>
                  <w:proofErr w:type="spellEnd"/>
                  <w:proofErr w:type="gramEnd"/>
                </w:p>
                <w:p w:rsidR="007C51D1" w:rsidRDefault="00A50AC0" w:rsidP="005939B8">
                  <w:pPr>
                    <w:pStyle w:val="Figure"/>
                    <w:spacing w:before="60" w:after="60"/>
                  </w:pPr>
                  <w:r>
                    <w:rPr>
                      <w:noProof/>
                    </w:rPr>
                    <w:drawing>
                      <wp:inline distT="0" distB="0" distL="0" distR="0">
                        <wp:extent cx="2525509" cy="2808000"/>
                        <wp:effectExtent l="0" t="0" r="8255" b="0"/>
                        <wp:docPr id="230" name="Picture 230" descr="(ii) Age-related government expenditure, 2011-12.  This figure shows the expenditure per person across various government expenditures and for five year age groups up to 100 years and over. Spending is much higher for older people, increasing significantly between ages 60 and 95. Health, the Age Pension and aged care are make up most of the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525509" cy="280800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rPr>
                <w:rStyle w:val="NoteLabel"/>
              </w:rPr>
              <w:t xml:space="preserve"> </w:t>
            </w:r>
            <w:r>
              <w:t>Based on ABS (</w:t>
            </w:r>
            <w:r w:rsidRPr="00E85F13">
              <w:rPr>
                <w:i/>
              </w:rPr>
              <w:t>Australian Historical Population Statistics</w:t>
            </w:r>
            <w:r>
              <w:t xml:space="preserve">, Cat. no. 3105.0) and PC </w:t>
            </w:r>
            <w:r w:rsidR="00F62614" w:rsidRPr="00F62614">
              <w:rPr>
                <w:rFonts w:cs="Arial"/>
              </w:rPr>
              <w:t>(2013)</w:t>
            </w:r>
            <w:r>
              <w:t xml:space="preserve"> for forward projections.</w:t>
            </w:r>
            <w:r>
              <w:rPr>
                <w:rStyle w:val="NoteLabel"/>
              </w:rPr>
              <w:t xml:space="preserve"> </w:t>
            </w:r>
            <w:proofErr w:type="gramStart"/>
            <w:r>
              <w:rPr>
                <w:rStyle w:val="NoteLabel"/>
              </w:rPr>
              <w:t>b</w:t>
            </w:r>
            <w:proofErr w:type="gramEnd"/>
            <w:r>
              <w:t xml:space="preserve"> Estimates based on the age profiles of expenditure used in PC </w:t>
            </w:r>
            <w:r w:rsidR="00F62614" w:rsidRPr="00F62614">
              <w:rPr>
                <w:rFonts w:cs="Arial"/>
              </w:rPr>
              <w:t>(2013)</w:t>
            </w:r>
            <w:r>
              <w:t xml:space="preserve"> projections. Where costs were not available by age, they were equally apportioned to all age groups. Health and education include Australian Government and state and territory government expenditures. </w:t>
            </w:r>
            <w:r>
              <w:rPr>
                <w:rStyle w:val="NoteLabel"/>
              </w:rPr>
              <w:t>c</w:t>
            </w:r>
            <w:r>
              <w:t xml:space="preserve"> The ‘Other’ category includes the Disability Support Pension, Parenting Payment, Family Tax Benefit, Disability Support Services (both Australian Government and state and territory), other social security and welfare payments, Defence and other expenditures (including state and territory) not classified elsewhere.</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 outlined in PC </w:t>
            </w:r>
            <w:r w:rsidR="00F62614" w:rsidRPr="00F62614">
              <w:rPr>
                <w:rFonts w:cs="Arial"/>
              </w:rPr>
              <w:t>(2013)</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lastRenderedPageBreak/>
        <w:t xml:space="preserve">Nevertheless, these demographic changes have sparked policy discussion about the durability of the superannuation system — including its ability to meet the needs of retirees, and its potential to alleviate fiscal pressures caused by a lower share of working aged people. While the </w:t>
      </w:r>
      <w:r w:rsidRPr="00307BF9">
        <w:t>maturing</w:t>
      </w:r>
      <w:r>
        <w:t xml:space="preserve"> </w:t>
      </w:r>
      <w:r w:rsidRPr="00307BF9">
        <w:t>superannuation system</w:t>
      </w:r>
      <w:r>
        <w:t xml:space="preserve"> is expected to lead to a smaller share of Age Pension recipients calling on the full (as opposed to part) rate pension, </w:t>
      </w:r>
      <w:r w:rsidRPr="00307BF9">
        <w:t xml:space="preserve">the </w:t>
      </w:r>
      <w:r>
        <w:t xml:space="preserve">overall </w:t>
      </w:r>
      <w:r w:rsidRPr="00307BF9">
        <w:t>share of older Australians receiving an</w:t>
      </w:r>
      <w:r>
        <w:t>y</w:t>
      </w:r>
      <w:r w:rsidRPr="00307BF9">
        <w:t xml:space="preserve"> Age Pension</w:t>
      </w:r>
      <w:r>
        <w:t xml:space="preserve"> is expected to remain relatively stable</w:t>
      </w:r>
      <w:r w:rsidRPr="00307BF9">
        <w:t xml:space="preserve"> (chapter 2). </w:t>
      </w:r>
    </w:p>
    <w:p w:rsidR="007C51D1" w:rsidRDefault="007C51D1" w:rsidP="005939B8">
      <w:pPr>
        <w:pStyle w:val="BodyText"/>
      </w:pPr>
      <w:r>
        <w:t xml:space="preserve">This elevates the imperative for the Government to re-examine the efficacy of policies that can be used to collectively ease pressure on the broader retirement system. In particular, analysis is required to understand the degree to which different policy levers within the superannuation system can be feasibly changed, and the magnitude of the impacts of such changes. Some potential policy levers are depicted in figure 1.4.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1.4</w:t>
            </w:r>
            <w:r>
              <w:tab/>
              <w:t>Policy levers in the retirement income system</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Default="007C51D1" w:rsidP="005939B8">
                  <w:pPr>
                    <w:pStyle w:val="Figure"/>
                    <w:spacing w:before="60" w:after="60"/>
                  </w:pPr>
                  <w:r>
                    <w:rPr>
                      <w:noProof/>
                    </w:rPr>
                    <w:drawing>
                      <wp:inline distT="0" distB="0" distL="0" distR="0" wp14:anchorId="3C727AFB" wp14:editId="0EE4B6D2">
                        <wp:extent cx="5438140" cy="2101215"/>
                        <wp:effectExtent l="0" t="0" r="0" b="0"/>
                        <wp:docPr id="11" name="Picture 11" descr="Figure 1.4 Policy levers in the retirement income system. This diagram depicts some of the policy levers for each of the pillars of the retirement income system. The first pillar is the age pension, its policy levers are eligibility age, entitlement (means tests) and payment level and taper rate. The second pillar is compulsory superannuation, its policy levers are the preservation age, Superannuation Guarantee rate, tax treatment and drawdown rules. The third pillar is voluntary superannuation, its policy levers are the preservation age, age limits, tax treatment and drawdown rules. These pillars are also underpinned by access to aged care services and levels of financial liter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DavWWWRoot\srp\superannuationscoping\Reporting\Graphs and Charts\Chapter 1\fig 1.4.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438140" cy="2101215"/>
                                </a:xfrm>
                                <a:prstGeom prst="rect">
                                  <a:avLst/>
                                </a:prstGeom>
                                <a:noFill/>
                                <a:ln>
                                  <a:noFill/>
                                </a:ln>
                              </pic:spPr>
                            </pic:pic>
                          </a:graphicData>
                        </a:graphic>
                      </wp:inline>
                    </w:drawing>
                  </w:r>
                </w:p>
              </w:tc>
            </w:tr>
          </w:tbl>
          <w:p w:rsidR="007C51D1" w:rsidRDefault="007C51D1" w:rsidP="005939B8">
            <w:pPr>
              <w:pStyle w:val="Figure"/>
            </w:pP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BA7878" w:rsidRDefault="007C51D1" w:rsidP="005939B8">
      <w:pPr>
        <w:pStyle w:val="Heading2"/>
      </w:pPr>
      <w:r>
        <w:t>1.</w:t>
      </w:r>
      <w:r>
        <w:rPr>
          <w:noProof/>
        </w:rPr>
        <w:t>3</w:t>
      </w:r>
      <w:r>
        <w:tab/>
        <w:t xml:space="preserve">The focus of this report </w:t>
      </w:r>
    </w:p>
    <w:p w:rsidR="007C51D1" w:rsidRDefault="007C51D1" w:rsidP="005939B8">
      <w:pPr>
        <w:pStyle w:val="BodyText"/>
      </w:pPr>
      <w:r>
        <w:t xml:space="preserve">While the retirement income system has recently been afforded some policy attention, including in the </w:t>
      </w:r>
      <w:r w:rsidRPr="00A66D36">
        <w:rPr>
          <w:i/>
        </w:rPr>
        <w:t>Financial System Inquiry</w:t>
      </w:r>
      <w:r>
        <w:t xml:space="preserve">, the overarching policy architecture and the incentives inherent in the system have not been fully examined — particularly in relation to the post-retirement phase. More needs to be done to better understand how older Australians will use their superannuation </w:t>
      </w:r>
      <w:r w:rsidRPr="001664F8">
        <w:t xml:space="preserve">and other savings in retirement; whether there are any structural shortcomings </w:t>
      </w:r>
      <w:r>
        <w:t>within</w:t>
      </w:r>
      <w:r w:rsidRPr="001664F8">
        <w:t xml:space="preserve"> the system; and how policies such as changes to the rules that govern individuals’</w:t>
      </w:r>
      <w:r>
        <w:t xml:space="preserve"> access to superannuation could affect retirement behaviour.</w:t>
      </w:r>
    </w:p>
    <w:p w:rsidR="007C51D1" w:rsidRDefault="007C51D1" w:rsidP="005939B8">
      <w:pPr>
        <w:pStyle w:val="BodyText"/>
      </w:pPr>
      <w:r>
        <w:t>This report seeks to begin addressing these gaps through detailed analysis of two aspects of superannuation policy affecting the post-retirement phase:</w:t>
      </w:r>
    </w:p>
    <w:p w:rsidR="007C51D1" w:rsidRDefault="007C51D1" w:rsidP="005939B8">
      <w:pPr>
        <w:pStyle w:val="ListBullet"/>
      </w:pPr>
      <w:r>
        <w:lastRenderedPageBreak/>
        <w:t>What might happen if the age that individuals can access their superannuation (the ‘preservation age’) were raised?</w:t>
      </w:r>
    </w:p>
    <w:p w:rsidR="007C51D1" w:rsidRDefault="007C51D1" w:rsidP="005939B8">
      <w:pPr>
        <w:pStyle w:val="ListBullet"/>
      </w:pPr>
      <w:proofErr w:type="gramStart"/>
      <w:r>
        <w:t>Is the way people</w:t>
      </w:r>
      <w:proofErr w:type="gramEnd"/>
      <w:r>
        <w:t xml:space="preserve"> draw down their superannuation, and in particular, the use of lump sums, problematic?</w:t>
      </w:r>
    </w:p>
    <w:p w:rsidR="007C51D1" w:rsidRDefault="007C51D1" w:rsidP="005939B8">
      <w:pPr>
        <w:pStyle w:val="BodyText"/>
      </w:pPr>
      <w:r w:rsidRPr="000B5183">
        <w:t xml:space="preserve">In examining these issues, the Commission has had regard to </w:t>
      </w:r>
      <w:r>
        <w:t xml:space="preserve">the broader retirement income system and </w:t>
      </w:r>
      <w:r w:rsidRPr="000B5183">
        <w:t>the wellbeing of the community as a whole. To</w:t>
      </w:r>
      <w:r>
        <w:t xml:space="preserve"> that end:</w:t>
      </w:r>
    </w:p>
    <w:p w:rsidR="007C51D1" w:rsidRDefault="007C51D1" w:rsidP="005939B8">
      <w:pPr>
        <w:pStyle w:val="ListBullet"/>
      </w:pPr>
      <w:r>
        <w:t>chapter 2 examines the current (and likely future) balance between private and public retirement funding</w:t>
      </w:r>
    </w:p>
    <w:p w:rsidR="007C51D1" w:rsidRDefault="007C51D1" w:rsidP="005939B8">
      <w:pPr>
        <w:pStyle w:val="ListBullet"/>
      </w:pPr>
      <w:r>
        <w:t>chapter 3 presents information on retirement behaviour and assesses the likely impacts of changes to the preservation age on retirement decisions, and in turn, on retirees’ superannuation balances, Age Pension outlays and the government’s fiscal position more broadly</w:t>
      </w:r>
    </w:p>
    <w:p w:rsidR="007C51D1" w:rsidRDefault="007C51D1" w:rsidP="005939B8">
      <w:pPr>
        <w:pStyle w:val="ListBullet"/>
      </w:pPr>
      <w:proofErr w:type="gramStart"/>
      <w:r>
        <w:t>chapter</w:t>
      </w:r>
      <w:proofErr w:type="gramEnd"/>
      <w:r>
        <w:t> 4 examines the way in which individuals draw down their superannuation savings in retirement and assesses what, if any, problems arise from the use of lump sums.</w:t>
      </w:r>
    </w:p>
    <w:p w:rsidR="007C51D1" w:rsidRDefault="007C51D1" w:rsidP="005939B8">
      <w:pPr>
        <w:pStyle w:val="BodyText"/>
      </w:pPr>
      <w:r>
        <w:t>Supporting detail is provided in a number of supplementary papers (figure 1.5).</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1.5</w:t>
            </w:r>
            <w:r>
              <w:tab/>
              <w:t>The structure of the report</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Default="007C51D1" w:rsidP="005939B8">
                  <w:pPr>
                    <w:pStyle w:val="Figure"/>
                    <w:spacing w:before="60" w:after="60"/>
                  </w:pPr>
                  <w:r>
                    <w:rPr>
                      <w:noProof/>
                    </w:rPr>
                    <w:drawing>
                      <wp:inline distT="0" distB="0" distL="0" distR="0" wp14:anchorId="77463C46" wp14:editId="5C834D27">
                        <wp:extent cx="5398169" cy="2826334"/>
                        <wp:effectExtent l="0" t="0" r="0" b="0"/>
                        <wp:docPr id="12" name="Picture 12" descr="Figure 1.5 The structure of the report. This diagram depicts the relationship between chapters and supplementary papers in the report. Chapter 2 on the public-private balance of retirement funding is underpinned by supplementary papers 1-4, chapter 3 on retirement decisions and the preservation age is underpinned by supplementary papers 5-6 and chapter 4 is drawdown behaviour a concern is underpinned by supplementary paper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c\DavWWWRoot\srp\superannuationscoping\Reporting\Graphs and Charts\Chapter 1\fig 1.5.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398561" cy="2826539"/>
                                </a:xfrm>
                                <a:prstGeom prst="rect">
                                  <a:avLst/>
                                </a:prstGeom>
                                <a:noFill/>
                                <a:ln>
                                  <a:noFill/>
                                </a:ln>
                              </pic:spPr>
                            </pic:pic>
                          </a:graphicData>
                        </a:graphic>
                      </wp:inline>
                    </w:drawing>
                  </w:r>
                </w:p>
              </w:tc>
            </w:tr>
          </w:tbl>
          <w:p w:rsidR="007C51D1" w:rsidRDefault="007C51D1" w:rsidP="005939B8">
            <w:pPr>
              <w:pStyle w:val="Figure"/>
            </w:pP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p>
    <w:p w:rsidR="007C51D1" w:rsidRDefault="007C51D1" w:rsidP="007C51D1">
      <w:pPr>
        <w:sectPr w:rsidR="007C51D1" w:rsidSect="007C51D1">
          <w:headerReference w:type="even" r:id="rId50"/>
          <w:headerReference w:type="default" r:id="rId51"/>
          <w:footerReference w:type="even" r:id="rId52"/>
          <w:footerReference w:type="default" r:id="rId53"/>
          <w:type w:val="oddPage"/>
          <w:pgSz w:w="11907" w:h="16840" w:code="9"/>
          <w:pgMar w:top="1985" w:right="1304" w:bottom="1247" w:left="1814" w:header="1701" w:footer="397" w:gutter="0"/>
          <w:pgNumType w:chapSep="period"/>
          <w:cols w:space="720"/>
          <w:docGrid w:linePitch="326"/>
        </w:sectPr>
      </w:pPr>
    </w:p>
    <w:p w:rsidR="007C51D1" w:rsidRDefault="007C51D1" w:rsidP="005939B8">
      <w:pPr>
        <w:pStyle w:val="Heading1"/>
        <w:spacing w:before="0" w:after="840"/>
      </w:pPr>
      <w:r>
        <w:lastRenderedPageBreak/>
        <w:t>2</w:t>
      </w:r>
      <w:r>
        <w:tab/>
        <w:t>The public-private balance of retirement funding</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t>Key points</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Australians save for retirement in two main ways — through compulsory superannuation contributions made on their behalf by employers, and through private voluntary savings inside and outside of superannuation.</w:t>
            </w:r>
          </w:p>
          <w:p w:rsidR="007C51D1" w:rsidRDefault="007C51D1" w:rsidP="005939B8">
            <w:pPr>
              <w:pStyle w:val="Box"/>
            </w:pPr>
            <w:r>
              <w:t>Superannuation balances vary widely across individuals and will continue to do so even in a ‘mature’ superannuation system. Of those aged 45</w:t>
            </w:r>
            <w:r>
              <w:noBreakHyphen/>
              <w:t>54 in 2012, 15 per cent had no superannuation at all, whereas 10 per cent had more than $230 000.</w:t>
            </w:r>
            <w:r w:rsidRPr="00CB3280" w:rsidDel="00CB3280">
              <w:rPr>
                <w:i/>
              </w:rPr>
              <w:t xml:space="preserve"> </w:t>
            </w:r>
          </w:p>
          <w:p w:rsidR="007C51D1" w:rsidRDefault="007C51D1" w:rsidP="005939B8">
            <w:pPr>
              <w:pStyle w:val="BoxListBullet"/>
            </w:pPr>
            <w:r>
              <w:t>Such variations reflect a range of factors, including the linkage of compulsory contributions to an individual’s wage/salary; absences from the workforce; differences in voluntary superannuation contributions; and differences in the way that balances are invested.</w:t>
            </w:r>
          </w:p>
          <w:p w:rsidR="007C51D1" w:rsidRDefault="007C51D1" w:rsidP="005939B8">
            <w:pPr>
              <w:pStyle w:val="Box"/>
            </w:pPr>
            <w:r>
              <w:t>Voluntary contributions — whether via salary sacrifice arrangements or from post</w:t>
            </w:r>
            <w:r>
              <w:noBreakHyphen/>
              <w:t>tax income — are tax preferred. The incentives to make voluntary contributions are larger for high income individuals; reinforcing their generally greater capacity to make such contributions. Voluntary contribution rates are also higher for those approaching retirement age.</w:t>
            </w:r>
          </w:p>
          <w:p w:rsidR="007C51D1" w:rsidRPr="00455922" w:rsidRDefault="007C51D1" w:rsidP="005939B8">
            <w:pPr>
              <w:pStyle w:val="Box"/>
              <w:rPr>
                <w:szCs w:val="24"/>
              </w:rPr>
            </w:pPr>
            <w:r w:rsidRPr="0050268F">
              <w:t>For many, superannuation and other retirement savings are quickly exhausted. In 2011</w:t>
            </w:r>
            <w:r>
              <w:noBreakHyphen/>
            </w:r>
            <w:r w:rsidRPr="0050268F">
              <w:t>12, 40</w:t>
            </w:r>
            <w:r>
              <w:t> </w:t>
            </w:r>
            <w:r w:rsidRPr="0050268F">
              <w:t xml:space="preserve">per cent of retirees who had reached the Age Pension age had </w:t>
            </w:r>
            <w:r>
              <w:t>no</w:t>
            </w:r>
            <w:r w:rsidRPr="0050268F">
              <w:t xml:space="preserve"> superannuation. </w:t>
            </w:r>
            <w:r>
              <w:t xml:space="preserve">However, </w:t>
            </w:r>
            <w:r w:rsidRPr="0050268F">
              <w:t xml:space="preserve">16 per cent of retirees aged 80 in that year had </w:t>
            </w:r>
            <w:r>
              <w:t>some</w:t>
            </w:r>
            <w:r w:rsidRPr="0050268F">
              <w:t xml:space="preserve"> superannuation savings left. </w:t>
            </w:r>
          </w:p>
          <w:p w:rsidR="007C51D1" w:rsidRPr="0050268F" w:rsidRDefault="007C51D1" w:rsidP="005939B8">
            <w:pPr>
              <w:pStyle w:val="Box"/>
              <w:rPr>
                <w:szCs w:val="24"/>
              </w:rPr>
            </w:pPr>
            <w:r>
              <w:t>T</w:t>
            </w:r>
            <w:r w:rsidRPr="0050268F">
              <w:t>he Age Pension remain</w:t>
            </w:r>
            <w:r>
              <w:t>s</w:t>
            </w:r>
            <w:r w:rsidRPr="0050268F">
              <w:t xml:space="preserve"> an integral part of the retirement income landscape.</w:t>
            </w:r>
          </w:p>
          <w:p w:rsidR="007C51D1" w:rsidRDefault="007C51D1" w:rsidP="005939B8">
            <w:pPr>
              <w:pStyle w:val="BoxListBullet"/>
              <w:rPr>
                <w:szCs w:val="24"/>
              </w:rPr>
            </w:pPr>
            <w:r>
              <w:t xml:space="preserve">Currently, the majority (around 70 per cent) of Australians above Age Pension age receive at least a part Age Pension. Moreover, in 2013-14 around 60 per cent of recipients started to receive the Age Pension within a year of reaching the eligibility age. </w:t>
            </w:r>
          </w:p>
          <w:p w:rsidR="007C51D1" w:rsidRDefault="007C51D1" w:rsidP="005939B8">
            <w:pPr>
              <w:pStyle w:val="BoxListBullet"/>
              <w:rPr>
                <w:szCs w:val="24"/>
              </w:rPr>
            </w:pPr>
            <w:r>
              <w:t>Survey data suggest that, in 2011</w:t>
            </w:r>
            <w:r>
              <w:noBreakHyphen/>
              <w:t>12, the Age Pension comprised over 85 per cent of total income for half of those who received it. Nevertheless, the overall reliance of retirees on income from the Age Pension has been slowly declining.</w:t>
            </w:r>
          </w:p>
          <w:p w:rsidR="007C51D1" w:rsidRDefault="007C51D1" w:rsidP="005939B8">
            <w:pPr>
              <w:pStyle w:val="BoxListBullet"/>
              <w:rPr>
                <w:szCs w:val="24"/>
              </w:rPr>
            </w:pPr>
            <w:r>
              <w:t>The Age Pension still serves as a form of taxpayer-funded ‘longevity risk insurance’ for those with larger superannuation balances to draw on in retirement.</w:t>
            </w:r>
          </w:p>
          <w:p w:rsidR="007C51D1" w:rsidRDefault="007C51D1" w:rsidP="005939B8">
            <w:pPr>
              <w:pStyle w:val="BoxListBullet"/>
              <w:rPr>
                <w:szCs w:val="24"/>
              </w:rPr>
            </w:pPr>
            <w:r>
              <w:t>I</w:t>
            </w:r>
            <w:r w:rsidRPr="003E1DF3">
              <w:t>n 201</w:t>
            </w:r>
            <w:r>
              <w:t>3</w:t>
            </w:r>
            <w:r>
              <w:noBreakHyphen/>
              <w:t>14</w:t>
            </w:r>
            <w:r w:rsidRPr="003E1DF3">
              <w:t xml:space="preserve"> almost 90 per cent </w:t>
            </w:r>
            <w:r w:rsidRPr="003C56A7">
              <w:t xml:space="preserve">of those who took up the Age Pension at </w:t>
            </w:r>
            <w:r w:rsidRPr="006517C3">
              <w:t xml:space="preserve">age </w:t>
            </w:r>
            <w:r w:rsidRPr="003C56A7">
              <w:t>65 transitioned</w:t>
            </w:r>
            <w:r w:rsidRPr="003E1DF3">
              <w:t xml:space="preserve"> from another </w:t>
            </w:r>
            <w:r>
              <w:t xml:space="preserve">government </w:t>
            </w:r>
            <w:r w:rsidRPr="003E1DF3">
              <w:t>payment</w:t>
            </w:r>
            <w:r>
              <w:t>.</w:t>
            </w:r>
          </w:p>
          <w:p w:rsidR="007C51D1" w:rsidRDefault="007C51D1" w:rsidP="005939B8">
            <w:pPr>
              <w:pStyle w:val="Box"/>
              <w:rPr>
                <w:szCs w:val="24"/>
              </w:rPr>
            </w:pPr>
            <w:r>
              <w:t>As the superannuation system matures, reliance on the Age Pension will continue to decrease as larger superannuation balances mean individuals can self</w:t>
            </w:r>
            <w:r>
              <w:noBreakHyphen/>
              <w:t>fund retirement for longer. However, a fully self</w:t>
            </w:r>
            <w:r>
              <w:noBreakHyphen/>
              <w:t>funded retirement is likely to remain the province of those who are relatively well off during their working years.</w:t>
            </w:r>
          </w:p>
          <w:p w:rsidR="007C51D1" w:rsidRDefault="007C51D1" w:rsidP="005939B8">
            <w:pPr>
              <w:pStyle w:val="Box"/>
              <w:rPr>
                <w:szCs w:val="24"/>
              </w:rPr>
            </w:pPr>
            <w:r>
              <w:t>Most of those above Age Pension age are likely to continue to access the pension at some point in the future — over the 40 years to 2054</w:t>
            </w:r>
            <w:r>
              <w:noBreakHyphen/>
              <w:t>55 coverage of the combined full and part pension is expected to fall from 70 to 67 per cent (but with a greater share of recipients receiving a part pension than now).</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120072">
      <w:pPr>
        <w:pStyle w:val="BodyText"/>
      </w:pPr>
      <w:r>
        <w:lastRenderedPageBreak/>
        <w:t>In looking at superannuation policy issues, it is important to understand the context in which those policies operate. To that end, this chapter looks at elements of the landscape that are central to assessing the two policy questions analysed in this report — namely, the likely impacts of changes to the preservation age on people’s retirement decisions; and the implications of allowing individuals to quickly draw down their superannuation savings. Specifically:</w:t>
      </w:r>
    </w:p>
    <w:p w:rsidR="007C51D1" w:rsidRDefault="007C51D1" w:rsidP="005939B8">
      <w:pPr>
        <w:pStyle w:val="ListBullet"/>
      </w:pPr>
      <w:r>
        <w:t>section 2.1 examines how individuals save for their retirement, including how much they have saved in superannuation and how this compares to other sources of wealth such as the family home</w:t>
      </w:r>
    </w:p>
    <w:p w:rsidR="007C51D1" w:rsidRDefault="007C51D1" w:rsidP="005939B8">
      <w:pPr>
        <w:pStyle w:val="ListBullet"/>
      </w:pPr>
      <w:r>
        <w:t>section 2.2 looks at the role the Age Pension plays in supporting retirement incomes</w:t>
      </w:r>
    </w:p>
    <w:p w:rsidR="007C51D1" w:rsidRDefault="007C51D1" w:rsidP="005939B8">
      <w:pPr>
        <w:pStyle w:val="ListBullet"/>
      </w:pPr>
      <w:proofErr w:type="gramStart"/>
      <w:r>
        <w:t>section</w:t>
      </w:r>
      <w:proofErr w:type="gramEnd"/>
      <w:r>
        <w:t> 2.3 considers how t</w:t>
      </w:r>
      <w:r w:rsidRPr="00FB7DD2">
        <w:t>he balance between private and public</w:t>
      </w:r>
      <w:r>
        <w:t>ly</w:t>
      </w:r>
      <w:r>
        <w:noBreakHyphen/>
        <w:t>funded income sources in retirement might evolve over time as the superannuation system matures.</w:t>
      </w:r>
    </w:p>
    <w:p w:rsidR="007C51D1" w:rsidRDefault="007C51D1" w:rsidP="005939B8">
      <w:pPr>
        <w:pStyle w:val="Heading2"/>
      </w:pPr>
      <w:r>
        <w:t>2.</w:t>
      </w:r>
      <w:r>
        <w:rPr>
          <w:noProof/>
        </w:rPr>
        <w:t>1</w:t>
      </w:r>
      <w:r>
        <w:tab/>
        <w:t>How do individuals save for retirement?</w:t>
      </w:r>
    </w:p>
    <w:p w:rsidR="007C51D1" w:rsidRDefault="007C51D1" w:rsidP="005939B8">
      <w:pPr>
        <w:pStyle w:val="BodyText"/>
      </w:pPr>
      <w:r>
        <w:t>Australians save for retirement in two main ways — through compulsory superannuation contributions made on their behalf by employers (the so</w:t>
      </w:r>
      <w:r>
        <w:noBreakHyphen/>
        <w:t>called ‘second pillar’ of retirement incomes), and through additional private savings (the ‘third pillar’). The latter encompasses both personal contributions into superannuation accounts and a variety of investments outside the superannuation system including shares, other financial products and real estate. More detail on how Australians save for retirement is presented in supplementary paper 2.</w:t>
      </w:r>
    </w:p>
    <w:p w:rsidR="007C51D1" w:rsidRDefault="007C51D1" w:rsidP="005939B8">
      <w:pPr>
        <w:pStyle w:val="BodyText"/>
      </w:pPr>
      <w:r>
        <w:t xml:space="preserve">Generally speaking, the savings and wealth of </w:t>
      </w:r>
      <w:proofErr w:type="gramStart"/>
      <w:r>
        <w:t>households</w:t>
      </w:r>
      <w:proofErr w:type="gramEnd"/>
      <w:r>
        <w:t xml:space="preserve"> increases during their working years, before beginning to decline as savings are drawn upon in retirement (figure 2.1). This pattern is particularly evident for superannuation savings, </w:t>
      </w:r>
      <w:r w:rsidRPr="009C4130">
        <w:t>where</w:t>
      </w:r>
      <w:r>
        <w:t>:</w:t>
      </w:r>
    </w:p>
    <w:p w:rsidR="007C51D1" w:rsidRDefault="007C51D1" w:rsidP="005939B8">
      <w:pPr>
        <w:pStyle w:val="ListBullet"/>
      </w:pPr>
      <w:r>
        <w:t xml:space="preserve">individuals can generally only access their superannuation once they reach </w:t>
      </w:r>
      <w:r w:rsidRPr="009C4130">
        <w:t xml:space="preserve">the preservation age </w:t>
      </w:r>
      <w:r>
        <w:t>(</w:t>
      </w:r>
      <w:r w:rsidRPr="009C4130">
        <w:t>55</w:t>
      </w:r>
      <w:r>
        <w:t xml:space="preserve"> for those born before July 1960, ranging up to 60 for those born after June 1964) </w:t>
      </w:r>
    </w:p>
    <w:p w:rsidR="007C51D1" w:rsidRDefault="007C51D1" w:rsidP="005939B8">
      <w:pPr>
        <w:pStyle w:val="ListBullet"/>
      </w:pPr>
      <w:proofErr w:type="gramStart"/>
      <w:r>
        <w:t>there</w:t>
      </w:r>
      <w:proofErr w:type="gramEnd"/>
      <w:r>
        <w:t xml:space="preserve"> are </w:t>
      </w:r>
      <w:r w:rsidRPr="009C4130">
        <w:t xml:space="preserve">rules </w:t>
      </w:r>
      <w:r>
        <w:t>providing for</w:t>
      </w:r>
      <w:r w:rsidRPr="009C4130">
        <w:t xml:space="preserve"> </w:t>
      </w:r>
      <w:r>
        <w:t xml:space="preserve">a greater rate of </w:t>
      </w:r>
      <w:r w:rsidRPr="009C4130">
        <w:t>draw</w:t>
      </w:r>
      <w:r>
        <w:t xml:space="preserve"> </w:t>
      </w:r>
      <w:r w:rsidRPr="009C4130">
        <w:t xml:space="preserve">down from superannuation balances </w:t>
      </w:r>
      <w:r>
        <w:t>as a superannuant becomes older</w:t>
      </w:r>
      <w:r w:rsidRPr="009C4130">
        <w:t>.</w:t>
      </w:r>
      <w:r>
        <w:t xml:space="preserve"> </w:t>
      </w:r>
    </w:p>
    <w:p w:rsidR="007C51D1" w:rsidRDefault="007C51D1" w:rsidP="005939B8">
      <w:pPr>
        <w:pStyle w:val="BodyText"/>
      </w:pPr>
      <w:r>
        <w:t>In contrast to superannuation savings, the equity in the family home is not typically drawn upon in retirement. Nonetheless the family home provides an important non</w:t>
      </w:r>
      <w:r>
        <w:noBreakHyphen/>
        <w:t>monetary stream of benefits to homeowners, including by providing security of tenure in retirement.</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2.</w:t>
            </w:r>
            <w:r>
              <w:rPr>
                <w:b w:val="0"/>
                <w:noProof/>
              </w:rPr>
              <w:t>1</w:t>
            </w:r>
            <w:r>
              <w:tab/>
              <w:t>Median values for superannuation balances and net household wealth</w:t>
            </w:r>
            <w:r w:rsidRPr="00933E4D">
              <w:rPr>
                <w:rStyle w:val="NoteLabel"/>
                <w:b/>
              </w:rPr>
              <w:t>a</w:t>
            </w:r>
          </w:p>
          <w:p w:rsidR="007C51D1" w:rsidRPr="00176D3F" w:rsidRDefault="007C51D1" w:rsidP="005939B8">
            <w:pPr>
              <w:pStyle w:val="Subtitle"/>
            </w:pPr>
            <w:r>
              <w:t>2011</w:t>
            </w:r>
            <w:r>
              <w:noBreakHyphen/>
              <w:t>12</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Default="007C51D1" w:rsidP="005939B8">
                  <w:pPr>
                    <w:pStyle w:val="Figure"/>
                    <w:spacing w:before="60" w:after="60"/>
                  </w:pPr>
                  <w:r>
                    <w:rPr>
                      <w:noProof/>
                    </w:rPr>
                    <w:drawing>
                      <wp:inline distT="0" distB="0" distL="0" distR="0" wp14:anchorId="3433B772" wp14:editId="3F1167EE">
                        <wp:extent cx="5394960" cy="2880360"/>
                        <wp:effectExtent l="0" t="0" r="0" b="0"/>
                        <wp:docPr id="13" name="Picture 13" descr="Figure 2.1 Median values for superannuation balances and net household wealth by age. This figure shows the median and interquartile range for household values of net wealth, superannuation and housing equity by different age ranges (in five year increments from 25-29 to 75-79, and for 80+), for 2011-12. It shows that median net wealth peaks at age 60-64 before declining slowly. Median superannuation is zero by age 7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394960" cy="288036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w:t>
            </w:r>
            <w:r w:rsidRPr="006E4D2C">
              <w:t>Total net wealth c</w:t>
            </w:r>
            <w:r w:rsidRPr="00BC4284">
              <w:t>omprises of superannuation, equity in the family home, and the remaining gross assets less debt.</w:t>
            </w:r>
            <w:r>
              <w:t xml:space="preserve"> Whiskers denote the interquartile range (the values of the first quartile and third quartile for each series). Quartiles divide the population into four groups based on some characteristic such as household wealth. The population is divided into the lowest wealth group (quartile 1), second-lowest wealth group (quartile 2), second-highest wealth group (quartile 3) and highest wealth group (quartile 4).</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 based on ABS (</w:t>
            </w:r>
            <w:r>
              <w:rPr>
                <w:i/>
              </w:rPr>
              <w:t>Survey of Income and Housing, 2011</w:t>
            </w:r>
            <w:r w:rsidRPr="00F03C71">
              <w:rPr>
                <w:i/>
              </w:rPr>
              <w:noBreakHyphen/>
            </w:r>
            <w:r w:rsidRPr="00703603">
              <w:rPr>
                <w:i/>
              </w:rPr>
              <w:t>12</w:t>
            </w:r>
            <w:r>
              <w:t>, Cat. no. 6553.0,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There is much diversity in superannuation savings</w:t>
      </w:r>
    </w:p>
    <w:p w:rsidR="007C51D1" w:rsidRPr="003771F1" w:rsidRDefault="007C51D1" w:rsidP="005939B8">
      <w:pPr>
        <w:pStyle w:val="BodyText"/>
      </w:pPr>
      <w:r>
        <w:t>The median balance data in figure 2.1 mask considerable diversity in individuals’ superannuation savings</w:t>
      </w:r>
      <w:r w:rsidRPr="00731B7D">
        <w:t>.</w:t>
      </w:r>
      <w:r>
        <w:t xml:space="preserve"> Of those aged 45</w:t>
      </w:r>
      <w:r>
        <w:noBreakHyphen/>
        <w:t xml:space="preserve">54 in 2012, around 15 per cent had no </w:t>
      </w:r>
      <w:proofErr w:type="gramStart"/>
      <w:r>
        <w:t>superannuation,</w:t>
      </w:r>
      <w:proofErr w:type="gramEnd"/>
      <w:r>
        <w:t xml:space="preserve"> while 10 per cent had more than $230 000 (figure 2.2). Those with self</w:t>
      </w:r>
      <w:r>
        <w:noBreakHyphen/>
        <w:t xml:space="preserve">managed superannuation funds (SMSFs) are more likely to have higher than average balances (box 2.1).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2.</w:t>
            </w:r>
            <w:r>
              <w:rPr>
                <w:b w:val="0"/>
                <w:noProof/>
              </w:rPr>
              <w:t>2</w:t>
            </w:r>
            <w:r>
              <w:tab/>
              <w:t>Cumulative distribution of superannuation balances for those aged 45</w:t>
            </w:r>
            <w:r>
              <w:noBreakHyphen/>
              <w:t>54</w:t>
            </w:r>
          </w:p>
          <w:p w:rsidR="007C51D1" w:rsidRPr="00176D3F" w:rsidRDefault="007C51D1" w:rsidP="005939B8">
            <w:pPr>
              <w:pStyle w:val="Subtitle"/>
            </w:pPr>
            <w:r>
              <w:t>2011</w:t>
            </w:r>
            <w:r>
              <w:noBreakHyphen/>
              <w:t>12</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Default="007C51D1" w:rsidP="005939B8">
                  <w:pPr>
                    <w:pStyle w:val="Figure"/>
                    <w:spacing w:before="60" w:after="60"/>
                  </w:pPr>
                  <w:r>
                    <w:rPr>
                      <w:noProof/>
                    </w:rPr>
                    <w:drawing>
                      <wp:inline distT="0" distB="0" distL="0" distR="0" wp14:anchorId="19CCF54C" wp14:editId="66EB244C">
                        <wp:extent cx="5394960" cy="2880360"/>
                        <wp:effectExtent l="0" t="0" r="0" b="0"/>
                        <wp:docPr id="14" name="Picture 14" descr="Figure 2.2 Cumulative distribution of superannuation balances for those aged 45 54. This figure shows, for 2011-12, the proportion of households and individuals that have any superannuation.. by ages (55 to 64 by individual years, then 5 year age groups to 80, and an age group of 80+). It is described in the text immediately preceding the cha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394960" cy="288036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 based on ABS (</w:t>
            </w:r>
            <w:r>
              <w:rPr>
                <w:i/>
              </w:rPr>
              <w:t>Survey of Income and Housing, 2011</w:t>
            </w:r>
            <w:r w:rsidRPr="00F03C71">
              <w:rPr>
                <w:i/>
              </w:rPr>
              <w:noBreakHyphen/>
            </w:r>
            <w:r w:rsidRPr="00703603">
              <w:rPr>
                <w:i/>
              </w:rPr>
              <w:t>12</w:t>
            </w:r>
            <w:r>
              <w:t>, Cat. no. 6553.0,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There are several reasons why superannuation balances vary across individuals. For most Australians, the bulk of superannuation savings comes from the compulsory contributions made by employers (on behalf of the employee) as part of the Superannuation Guarantee. The dollar amount of these contributions is linked to an individual’s wage or salary — those who earn more receive more. The level of accumulated contributions is also affected by time spent out of the workforce. Workforce absences due to weak workforce attachment or caring responsibilities can have a significantly detrimental effect on accumulated balances. This is partly reflected in the differences in superannuation balances between men and women, with women having around 10 to 50 per cent less superannuation savings relative to men across different age ranges.</w:t>
      </w:r>
      <w:r w:rsidDel="001F4133">
        <w:t xml:space="preserve"> </w:t>
      </w:r>
    </w:p>
    <w:p w:rsidR="007C51D1" w:rsidRDefault="007C51D1" w:rsidP="005939B8">
      <w:pPr>
        <w:pStyle w:val="BodyText"/>
      </w:pPr>
      <w:r>
        <w:t xml:space="preserve">And for both compulsory employer contributions and voluntary contributions, balances are affected by the way they are invested and the investment fees and administrative charges collected by superannuation funds (or involved in managing SMSFs). Indeed, the impact of large differences in administrative charges across funds has been subject to considerable scrutiny of late </w:t>
      </w:r>
      <w:r w:rsidR="00F62614" w:rsidRPr="00F62614">
        <w:rPr>
          <w:szCs w:val="24"/>
        </w:rPr>
        <w:t>(most recently in Australian Government 2014b)</w:t>
      </w:r>
      <w:r>
        <w:t xml:space="preserve">. </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pPr>
              <w:pStyle w:val="BoxTitle"/>
            </w:pPr>
            <w:r>
              <w:rPr>
                <w:b w:val="0"/>
              </w:rPr>
              <w:t>Box 2.</w:t>
            </w:r>
            <w:r>
              <w:rPr>
                <w:b w:val="0"/>
                <w:noProof/>
              </w:rPr>
              <w:t>1</w:t>
            </w:r>
            <w:r>
              <w:tab/>
              <w:t>Those with SMSFs typically have high superannuation balances</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rsidRPr="00732151">
              <w:t>Population</w:t>
            </w:r>
            <w:r>
              <w:noBreakHyphen/>
            </w:r>
            <w:r w:rsidRPr="00732151">
              <w:t xml:space="preserve">based data like the </w:t>
            </w:r>
            <w:r>
              <w:rPr>
                <w:i/>
              </w:rPr>
              <w:t xml:space="preserve">Survey of Income and Housing </w:t>
            </w:r>
            <w:r w:rsidRPr="008021A4">
              <w:t>(SIH)</w:t>
            </w:r>
            <w:r>
              <w:rPr>
                <w:i/>
              </w:rPr>
              <w:t xml:space="preserve"> </w:t>
            </w:r>
            <w:r w:rsidRPr="00732151">
              <w:t xml:space="preserve">provide a good overview of the superannuation balances of Australians, but are not </w:t>
            </w:r>
            <w:r>
              <w:t>designed to specifically examine those</w:t>
            </w:r>
            <w:r w:rsidRPr="00732151">
              <w:t xml:space="preserve"> with comparatively large balances</w:t>
            </w:r>
            <w:r>
              <w:t>. This is important when examining the use of self</w:t>
            </w:r>
            <w:r>
              <w:noBreakHyphen/>
              <w:t>managed super funds (SMSFs), which typically have larger balances compared to the general population. Around</w:t>
            </w:r>
            <w:r w:rsidRPr="00732151">
              <w:t xml:space="preserve"> 60</w:t>
            </w:r>
            <w:r>
              <w:t> </w:t>
            </w:r>
            <w:r w:rsidRPr="00732151">
              <w:t>per</w:t>
            </w:r>
            <w:r>
              <w:t> </w:t>
            </w:r>
            <w:r w:rsidRPr="00732151">
              <w:t>cent of SMSF users had balances greater than $200</w:t>
            </w:r>
            <w:r>
              <w:t> </w:t>
            </w:r>
            <w:r w:rsidRPr="00732151">
              <w:t>000 in 2011</w:t>
            </w:r>
            <w:r>
              <w:noBreakHyphen/>
            </w:r>
            <w:r w:rsidRPr="00732151">
              <w:t>12</w:t>
            </w:r>
            <w:r>
              <w:t xml:space="preserve">, and SMSF balances today account for nearly a third of all superannuation balances </w:t>
            </w:r>
            <w:r w:rsidR="00F62614" w:rsidRPr="00F62614">
              <w:rPr>
                <w:rFonts w:cs="Arial"/>
                <w:szCs w:val="24"/>
              </w:rPr>
              <w:t xml:space="preserve">(APRA 2014a; </w:t>
            </w:r>
            <w:proofErr w:type="spellStart"/>
            <w:r w:rsidR="00F62614" w:rsidRPr="00F62614">
              <w:rPr>
                <w:rFonts w:cs="Arial"/>
                <w:szCs w:val="24"/>
              </w:rPr>
              <w:t>Bambrick</w:t>
            </w:r>
            <w:proofErr w:type="spellEnd"/>
            <w:r w:rsidR="00F62614" w:rsidRPr="00F62614">
              <w:rPr>
                <w:rFonts w:cs="Arial"/>
                <w:szCs w:val="24"/>
              </w:rPr>
              <w:t> 2015)</w:t>
            </w:r>
            <w:r>
              <w:t>.</w:t>
            </w:r>
          </w:p>
          <w:p w:rsidR="007C51D1" w:rsidRDefault="007C51D1" w:rsidP="005939B8">
            <w:pPr>
              <w:pStyle w:val="Box"/>
            </w:pPr>
            <w:r>
              <w:t xml:space="preserve">More detailed data published by the Australian Taxation Office (ATO) shows the distribution of superannuation balances of those with SMSFs. Drawing on this data, the figure below indicates that the most common balance for SMSFs is between $200 000 and $500 000; an amount several times larger than the median balance across the population as a whole. In a similar vein, research undertaken by the </w:t>
            </w:r>
            <w:r w:rsidRPr="00FD670C">
              <w:t>Association of Superannuation Funds of Australia</w:t>
            </w:r>
            <w:r>
              <w:t xml:space="preserve"> found that of the 210 000 Australians with more than $1 million in superannuation savings, around two</w:t>
            </w:r>
            <w:r>
              <w:noBreakHyphen/>
              <w:t>thirds had self</w:t>
            </w:r>
            <w:r>
              <w:noBreakHyphen/>
              <w:t xml:space="preserve">managed funds </w:t>
            </w:r>
            <w:r w:rsidR="00F62614" w:rsidRPr="00F62614">
              <w:rPr>
                <w:rFonts w:cs="Arial"/>
                <w:szCs w:val="24"/>
              </w:rPr>
              <w:t>(ASFA 2015b)</w:t>
            </w:r>
            <w:r>
              <w:t xml:space="preserve">. </w:t>
            </w:r>
          </w:p>
          <w:p w:rsidR="007C51D1" w:rsidRDefault="007C51D1" w:rsidP="005939B8">
            <w:pPr>
              <w:pStyle w:val="Box"/>
            </w:pPr>
            <w:r>
              <w:t>The fact that the average superannuation balance of those with SMSFs is considerably higher than the population average reflects that, amongst other things, it may be difficult to justify the set up and compliance costs inherent in an SMSF arrangement unless the user expects to have a significant balance.</w:t>
            </w:r>
          </w:p>
          <w:p w:rsidR="007C51D1" w:rsidRPr="00F23741" w:rsidRDefault="007C51D1" w:rsidP="005939B8">
            <w:pPr>
              <w:pStyle w:val="BoxHeading1"/>
            </w:pPr>
            <w:r w:rsidRPr="00F23741">
              <w:t>Distribution of balances in SMSF compared to the total population, 2011</w:t>
            </w:r>
            <w:r w:rsidRPr="00F23741">
              <w:noBreakHyphen/>
              <w:t>12</w:t>
            </w:r>
            <w:r w:rsidRPr="00F23741">
              <w:rPr>
                <w:rStyle w:val="NoteLabel"/>
                <w:b/>
                <w:spacing w:val="-4"/>
              </w:rPr>
              <w:t>a</w:t>
            </w:r>
          </w:p>
          <w:p w:rsidR="007C51D1" w:rsidRDefault="007C51D1" w:rsidP="005939B8">
            <w:pPr>
              <w:pStyle w:val="Box"/>
            </w:pPr>
            <w:r>
              <w:rPr>
                <w:noProof/>
              </w:rPr>
              <w:drawing>
                <wp:inline distT="0" distB="0" distL="0" distR="0" wp14:anchorId="65DC6095" wp14:editId="52722053">
                  <wp:extent cx="5387340" cy="2903220"/>
                  <wp:effectExtent l="0" t="0" r="0" b="0"/>
                  <wp:docPr id="15" name="Picture 15" descr="Distribution of balances in SMSF compared to the total population. This figure shows the distribution of superannuation balances for SMSF members compared to the general population. It shows that SMSF holders are more likely to have a higher bal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387340" cy="2903220"/>
                          </a:xfrm>
                          <a:prstGeom prst="rect">
                            <a:avLst/>
                          </a:prstGeom>
                          <a:noFill/>
                          <a:ln>
                            <a:noFill/>
                          </a:ln>
                        </pic:spPr>
                      </pic:pic>
                    </a:graphicData>
                  </a:graphic>
                </wp:inline>
              </w:drawing>
            </w:r>
            <w:proofErr w:type="spellStart"/>
            <w:proofErr w:type="gramStart"/>
            <w:r>
              <w:rPr>
                <w:rStyle w:val="NoteLabel"/>
              </w:rPr>
              <w:t>a</w:t>
            </w:r>
            <w:proofErr w:type="spellEnd"/>
            <w:proofErr w:type="gramEnd"/>
            <w:r>
              <w:t xml:space="preserve"> </w:t>
            </w:r>
            <w:r w:rsidRPr="00A92B45">
              <w:rPr>
                <w:sz w:val="18"/>
              </w:rPr>
              <w:t>Compared to those with any positive superannuation balance aged 15 years or older</w:t>
            </w:r>
            <w:r>
              <w:rPr>
                <w:sz w:val="18"/>
              </w:rPr>
              <w:t>.</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Source"/>
            </w:pPr>
            <w:r>
              <w:rPr>
                <w:i/>
              </w:rPr>
              <w:t>Sources</w:t>
            </w:r>
            <w:r w:rsidRPr="0056131F">
              <w:t>:</w:t>
            </w:r>
            <w:r>
              <w:rPr>
                <w:i/>
              </w:rPr>
              <w:t xml:space="preserve"> </w:t>
            </w:r>
            <w:r w:rsidRPr="00C02353">
              <w:t xml:space="preserve">Commission estimates based on ATO </w:t>
            </w:r>
            <w:r w:rsidR="00F62614" w:rsidRPr="00F62614">
              <w:rPr>
                <w:rFonts w:cs="Arial"/>
              </w:rPr>
              <w:t>(2014d)</w:t>
            </w:r>
            <w:r w:rsidRPr="00C02353">
              <w:t xml:space="preserve"> and </w:t>
            </w:r>
            <w:r>
              <w:t>ABS (</w:t>
            </w:r>
            <w:r>
              <w:rPr>
                <w:i/>
              </w:rPr>
              <w:t>Survey of Income and Housing, 2011</w:t>
            </w:r>
            <w:r w:rsidRPr="007C6644">
              <w:rPr>
                <w:i/>
              </w:rPr>
              <w:noBreakHyphen/>
            </w:r>
            <w:r w:rsidRPr="00457BFA">
              <w:rPr>
                <w:i/>
              </w:rPr>
              <w:t>12</w:t>
            </w:r>
            <w:r>
              <w:t>, Cat. no. 6553.0, basic CURF).</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E46D8E" w:rsidRDefault="007C51D1" w:rsidP="005939B8">
      <w:pPr>
        <w:pStyle w:val="Heading4"/>
      </w:pPr>
      <w:r w:rsidRPr="00E46D8E">
        <w:lastRenderedPageBreak/>
        <w:t xml:space="preserve">How </w:t>
      </w:r>
      <w:r>
        <w:t>extensive</w:t>
      </w:r>
      <w:r w:rsidRPr="00E46D8E">
        <w:t xml:space="preserve"> are voluntary contributions?</w:t>
      </w:r>
    </w:p>
    <w:p w:rsidR="007C51D1" w:rsidRDefault="007C51D1" w:rsidP="005939B8">
      <w:pPr>
        <w:pStyle w:val="BodyText"/>
      </w:pPr>
      <w:r>
        <w:t>Voluntary superannuation contributions made by individuals are another significant contributor to the wide diversity in superannuation balances.</w:t>
      </w:r>
      <w:r w:rsidRPr="00F7145E">
        <w:t xml:space="preserve"> </w:t>
      </w:r>
      <w:r>
        <w:t>Such contributions can take two forms — ‘salary sacrifice’ contributions and contributions made from after tax income. Both forms of contribution are tax</w:t>
      </w:r>
      <w:r>
        <w:noBreakHyphen/>
        <w:t>preferred (supplementary paper 1) and most of those who are salary sacrificing are relatively wealthy. More specifically, the available data (discussed in more detail in supplementary paper 2) indicate that:</w:t>
      </w:r>
    </w:p>
    <w:p w:rsidR="007C51D1" w:rsidRDefault="007C51D1" w:rsidP="005939B8">
      <w:pPr>
        <w:pStyle w:val="ListBullet"/>
      </w:pPr>
      <w:r>
        <w:t>around 17 per cent of individuals with superannuation were making voluntary contributions via salary sacrifice in 2011</w:t>
      </w:r>
      <w:r>
        <w:noBreakHyphen/>
        <w:t>12</w:t>
      </w:r>
    </w:p>
    <w:p w:rsidR="007C51D1" w:rsidRDefault="007C51D1" w:rsidP="005939B8">
      <w:pPr>
        <w:pStyle w:val="ListBullet"/>
      </w:pPr>
      <w:r>
        <w:t>the wealthiest 50 per cent of couples, which account for around a quarter of the population, made around three-quarters of the total amount that was salary sacrificed into superannuation during 2011</w:t>
      </w:r>
      <w:r>
        <w:noBreakHyphen/>
        <w:t>12. (</w:t>
      </w:r>
      <w:proofErr w:type="gramStart"/>
      <w:r>
        <w:t>figure</w:t>
      </w:r>
      <w:proofErr w:type="gramEnd"/>
      <w:r>
        <w:t xml:space="preserve"> 2.3).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2.</w:t>
            </w:r>
            <w:r>
              <w:rPr>
                <w:b w:val="0"/>
                <w:noProof/>
              </w:rPr>
              <w:t>3</w:t>
            </w:r>
            <w:r>
              <w:tab/>
              <w:t>Share of total salary sacrifice contributions by wealth quartile</w:t>
            </w:r>
            <w:r w:rsidRPr="00E93E1F">
              <w:rPr>
                <w:rStyle w:val="NoteLabel"/>
                <w:b/>
              </w:rPr>
              <w:t>a</w:t>
            </w:r>
          </w:p>
          <w:p w:rsidR="007C51D1" w:rsidRPr="00176D3F" w:rsidRDefault="007C51D1" w:rsidP="005939B8">
            <w:pPr>
              <w:pStyle w:val="Subtitle"/>
            </w:pPr>
            <w:r>
              <w:t>2011</w:t>
            </w:r>
            <w:r>
              <w:noBreakHyphen/>
              <w:t>12</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7F4EF514" wp14:editId="131CF3CF">
                        <wp:extent cx="5264785" cy="2810510"/>
                        <wp:effectExtent l="0" t="0" r="0" b="8890"/>
                        <wp:docPr id="25" name="Picture 25" descr="Figure 2.3 Share of total salary sacrifice contributions by wealth quartile. This figure shows the composition of the total amount of money salary sacrificed to superannuation in 2011-12 by different household types (singles, couples) and wealth quartiles. Most of the contributions came from couple households in net wealth quartiles 3 an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264785" cy="281051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Shares of singles is calculated by combining the proportions for the same quartile across single males and single females. The range of the wealth quartiles also differ depending on gender and couple status (for example, the wealthiest couples have more net wealth than the wealthiest singles. </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4737B2">
              <w:rPr>
                <w:i/>
              </w:rPr>
              <w:t>Data source</w:t>
            </w:r>
            <w:r w:rsidRPr="004737B2">
              <w:t xml:space="preserve">: Commission estimates based on </w:t>
            </w:r>
            <w:r>
              <w:t>ABS (</w:t>
            </w:r>
            <w:r>
              <w:rPr>
                <w:i/>
              </w:rPr>
              <w:t>Survey of Income and Housing, 2011</w:t>
            </w:r>
            <w:r w:rsidRPr="007C6644">
              <w:rPr>
                <w:i/>
              </w:rPr>
              <w:noBreakHyphen/>
            </w:r>
            <w:r w:rsidRPr="009A6F69">
              <w:rPr>
                <w:i/>
              </w:rPr>
              <w:t>12</w:t>
            </w:r>
            <w:r>
              <w:t>, Cat. no. 6553.0,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That data also reveal some difference in the incidence of salary sacrificing by gender (19 per cent of men and 13 per cent of women). More significantly, the incidence of salary sacrificing increases sharply as people approach retirement — over 40 per cent of working Australians aged 60 and above made such contributions in 2011</w:t>
      </w:r>
      <w:r>
        <w:noBreakHyphen/>
        <w:t xml:space="preserve">12. </w:t>
      </w:r>
    </w:p>
    <w:p w:rsidR="007C51D1" w:rsidRDefault="007C51D1" w:rsidP="005939B8">
      <w:pPr>
        <w:pStyle w:val="BodyText"/>
      </w:pPr>
      <w:r>
        <w:lastRenderedPageBreak/>
        <w:t>In addition to salary sacrificing, some Australians also make voluntary contributions to superannuation from after</w:t>
      </w:r>
      <w:r>
        <w:noBreakHyphen/>
        <w:t>tax income. The number of people making voluntary post</w:t>
      </w:r>
      <w:r>
        <w:noBreakHyphen/>
        <w:t>tax contributions is considerably smaller than those salary sacrificing. Estimates of how many make post–tax contributions to superannuation vary (supplementary paper 2), with some data suggesting that around 7 per cent of those with superannuation accounts made such contributions in 2011. Again the incidence of contributions was higher among wealthier households and those approaching retirement.</w:t>
      </w:r>
    </w:p>
    <w:p w:rsidR="007C51D1" w:rsidRDefault="007C51D1" w:rsidP="005939B8">
      <w:pPr>
        <w:pStyle w:val="Heading4"/>
      </w:pPr>
      <w:r>
        <w:t>Transition to retirement pension arrangements</w:t>
      </w:r>
    </w:p>
    <w:p w:rsidR="007C51D1" w:rsidRDefault="007C51D1" w:rsidP="005939B8">
      <w:pPr>
        <w:pStyle w:val="BodyText"/>
      </w:pPr>
      <w:r>
        <w:t xml:space="preserve">Assessment of the extent of superannuation savings available to help fund retirement savings is further complicated by the ability of those aged 55 to 65 to access some of their superannuation savings while still in the workforce. As discussed in </w:t>
      </w:r>
      <w:r w:rsidRPr="00D62A5A">
        <w:t>supplementary paper 2</w:t>
      </w:r>
      <w:r>
        <w:t>, though intended to encourage a gradual shift from full-time work to full-time retirement, the transition to retirement arrangements can be used to reduce a worker’s tax liability. In essence, wage income is salary sacrificed into a superannuation account to not only reduce the tax paid on that income, but also to allow the earnings on those contributions to be taxed in the concessional superannuation environment, even though the account can be accessed immediately.</w:t>
      </w:r>
      <w:r w:rsidRPr="00E76E45">
        <w:rPr>
          <w:rStyle w:val="FootnoteReference"/>
        </w:rPr>
        <w:footnoteReference w:id="4"/>
      </w:r>
      <w:r>
        <w:t xml:space="preserve"> </w:t>
      </w:r>
    </w:p>
    <w:p w:rsidR="007C51D1" w:rsidRPr="00DA4766" w:rsidRDefault="007C51D1" w:rsidP="005939B8">
      <w:pPr>
        <w:pStyle w:val="BodyText"/>
      </w:pPr>
      <w:r>
        <w:t>At present, it is difficult to ascertain precisely the purpose for which individuals are using the transition to retirement provision — and, in particular, the extent to which it is encouraging people to retain some connection with the workforce, as distinct from simply operating as a device to minimise tax. That said, of the estimated 5 per cent of eligible Australians (workers between the ages of 55 to 65) who received transition to retirement pensions in 2011</w:t>
      </w:r>
      <w:r>
        <w:noBreakHyphen/>
        <w:t>12, the majority were working full</w:t>
      </w:r>
      <w:r>
        <w:noBreakHyphen/>
        <w:t>time and were relatively wealthy. This is borne out, too, in SMSF data, which show that around half of eligible SMSF users were using transition to retirement pensions at some point in 2013. This suggests that incentives relating to taxation may have been a more relevant consideration than reducing working hours in the lead</w:t>
      </w:r>
      <w:r>
        <w:noBreakHyphen/>
        <w:t>up to retirement.</w:t>
      </w:r>
    </w:p>
    <w:p w:rsidR="007C51D1" w:rsidRDefault="007C51D1" w:rsidP="005939B8">
      <w:pPr>
        <w:pStyle w:val="Heading4"/>
      </w:pPr>
      <w:r>
        <w:t>What discourages voluntary contributions?</w:t>
      </w:r>
    </w:p>
    <w:p w:rsidR="007C51D1" w:rsidRDefault="007C51D1" w:rsidP="005939B8">
      <w:pPr>
        <w:pStyle w:val="BodyText"/>
      </w:pPr>
      <w:r>
        <w:t xml:space="preserve">The ABS has surveyed individuals to determine why many do </w:t>
      </w:r>
      <w:r>
        <w:rPr>
          <w:i/>
        </w:rPr>
        <w:t xml:space="preserve">not </w:t>
      </w:r>
      <w:r>
        <w:t>make additional personal contributions to their superannuation. The most common reasons nominated by non</w:t>
      </w:r>
      <w:r>
        <w:noBreakHyphen/>
        <w:t xml:space="preserve">contributors were not being able to afford additional contributions, not being eligible to make additional contributions, and a lack of awareness or interest. Women were more likely to nominate cost as a barrier </w:t>
      </w:r>
      <w:r w:rsidR="00F62614" w:rsidRPr="00F62614">
        <w:rPr>
          <w:szCs w:val="24"/>
        </w:rPr>
        <w:t>(ABS 2009b)</w:t>
      </w:r>
      <w:r>
        <w:t xml:space="preserve">. Analysis by Feng </w:t>
      </w:r>
      <w:r w:rsidR="00F62614" w:rsidRPr="00F62614">
        <w:t>(2014)</w:t>
      </w:r>
      <w:r>
        <w:t xml:space="preserve"> used a variety of data sources and came to similar conclusions, also finding that housing debt was a strong predictor of non</w:t>
      </w:r>
      <w:r>
        <w:noBreakHyphen/>
        <w:t>participation in voluntary superannuation contributions.</w:t>
      </w:r>
    </w:p>
    <w:p w:rsidR="007C51D1" w:rsidRDefault="007C51D1" w:rsidP="005939B8">
      <w:pPr>
        <w:pStyle w:val="BodyText"/>
      </w:pPr>
      <w:r>
        <w:lastRenderedPageBreak/>
        <w:t>Overall, such responses are to be expected. As indicated above, current tax preferences for voluntary contributions favour higher income earners. Also, for younger people, the opportunity cost of contributions that cannot be accessed for many years may be very high. Alternatives such as paying down a mortgage, or investing in non</w:t>
      </w:r>
      <w:r>
        <w:noBreakHyphen/>
        <w:t xml:space="preserve">superannuation vehicles, may be perceived as delivering a better return on any spare funds available for investment. Viewed in this light, voluntary contributions will almost inevitably be concentrated within a wealthy, older, population cohort. </w:t>
      </w:r>
    </w:p>
    <w:p w:rsidR="007C51D1" w:rsidRDefault="007C51D1" w:rsidP="005939B8">
      <w:pPr>
        <w:pStyle w:val="Heading3"/>
      </w:pPr>
      <w:r>
        <w:t>When are savings exhausted?</w:t>
      </w:r>
    </w:p>
    <w:p w:rsidR="007C51D1" w:rsidRPr="00713DD0" w:rsidRDefault="007C51D1" w:rsidP="005939B8">
      <w:pPr>
        <w:pStyle w:val="BodyText"/>
      </w:pPr>
      <w:r>
        <w:t>Around 80 per cent of Australians who reached their preservation age of 55 in 2011</w:t>
      </w:r>
      <w:r>
        <w:noBreakHyphen/>
        <w:t>12 had some amount of superannuation savings. By the age of 64 — just prior to the current Age Pension age — the proportion of those with superannuation savings decreased to around 60 per cent. Thereafter, the rate of exhaustion of superannuation savings continues to increase with age — only 16 per cent of those individuals aged 80 years or more had any superannuation savings remaining in 2011</w:t>
      </w:r>
      <w:r>
        <w:noBreakHyphen/>
        <w:t>12. This pattern is similar when superannuation savings are considered at a household level (figure 2.4).</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2.</w:t>
            </w:r>
            <w:r>
              <w:rPr>
                <w:b w:val="0"/>
                <w:noProof/>
              </w:rPr>
              <w:t>4</w:t>
            </w:r>
            <w:r>
              <w:tab/>
              <w:t>Proportion of those with superannuation by age</w:t>
            </w:r>
            <w:r w:rsidRPr="00BC08DF">
              <w:rPr>
                <w:rStyle w:val="NoteLabel"/>
                <w:b/>
              </w:rPr>
              <w:t>a</w:t>
            </w:r>
          </w:p>
          <w:p w:rsidR="007C51D1" w:rsidRPr="00176D3F" w:rsidRDefault="007C51D1" w:rsidP="005939B8">
            <w:pPr>
              <w:pStyle w:val="Subtitle"/>
            </w:pPr>
            <w:r>
              <w:t>2011</w:t>
            </w:r>
            <w:r>
              <w:noBreakHyphen/>
              <w:t>12</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58C2031F" wp14:editId="25FE9B93">
                        <wp:extent cx="5257800" cy="2628900"/>
                        <wp:effectExtent l="0" t="0" r="0" b="0"/>
                        <wp:docPr id="16" name="Picture 16" descr="Figure 2.4 Proportion of those with superannuation by age. This figure shows, for 2011-12, the proportion of households and individuals that have any superannuation.. by ages (55 to 64 by individual years, then 5 year age groups to 80, and an age group of 80+). It is described in the text immediately preceding the cha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257800" cy="262890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proofErr w:type="gramStart"/>
            <w:r>
              <w:rPr>
                <w:rStyle w:val="NoteLabel"/>
              </w:rPr>
              <w:t>a</w:t>
            </w:r>
            <w:proofErr w:type="spellEnd"/>
            <w:proofErr w:type="gramEnd"/>
            <w:r>
              <w:t xml:space="preserve"> The data are only available in aggregated age categories from the age of 65 onwards.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 based on ABS (</w:t>
            </w:r>
            <w:r>
              <w:rPr>
                <w:i/>
              </w:rPr>
              <w:t>Survey of Income and Housing, 2011</w:t>
            </w:r>
            <w:r>
              <w:rPr>
                <w:i/>
              </w:rPr>
              <w:noBreakHyphen/>
            </w:r>
            <w:r w:rsidRPr="005A3E66">
              <w:rPr>
                <w:i/>
              </w:rPr>
              <w:t>12</w:t>
            </w:r>
            <w:r>
              <w:t>, Cat. no. 6553.0,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pPr>
        <w:rPr>
          <w:szCs w:val="20"/>
        </w:rPr>
      </w:pPr>
      <w:r>
        <w:br w:type="page"/>
      </w:r>
    </w:p>
    <w:p w:rsidR="007C51D1" w:rsidRDefault="007C51D1" w:rsidP="005939B8">
      <w:pPr>
        <w:pStyle w:val="BodyText"/>
      </w:pPr>
      <w:r>
        <w:lastRenderedPageBreak/>
        <w:t>A</w:t>
      </w:r>
      <w:r w:rsidRPr="009C4130">
        <w:t xml:space="preserve"> recent examination of how households accumulated and drew down their</w:t>
      </w:r>
      <w:r>
        <w:t xml:space="preserve"> financial</w:t>
      </w:r>
      <w:r w:rsidRPr="009C4130">
        <w:t xml:space="preserve"> wealth </w:t>
      </w:r>
      <w:r>
        <w:t>(including any superannuation) suggests that</w:t>
      </w:r>
      <w:r w:rsidRPr="009C4130">
        <w:t xml:space="preserve"> </w:t>
      </w:r>
      <w:r>
        <w:t xml:space="preserve">some </w:t>
      </w:r>
      <w:r w:rsidRPr="009C4130">
        <w:t>ha</w:t>
      </w:r>
      <w:r>
        <w:t>ve</w:t>
      </w:r>
      <w:r w:rsidRPr="009C4130">
        <w:t xml:space="preserve"> very </w:t>
      </w:r>
      <w:r>
        <w:t>few</w:t>
      </w:r>
      <w:r w:rsidRPr="009C4130">
        <w:t xml:space="preserve"> savings to sustain themselves through retirement</w:t>
      </w:r>
      <w:r>
        <w:t xml:space="preserve">. By comparing the amount of savings they hold relative to a ‘modest budget standard’ determined by the </w:t>
      </w:r>
      <w:r w:rsidRPr="00FD670C">
        <w:t>Association of Superannuation Funds of Australia</w:t>
      </w:r>
      <w:r>
        <w:t xml:space="preserve"> — which for homeowners is around $23 000 a year for a single and $42 000 for a couple </w:t>
      </w:r>
      <w:r w:rsidR="00F62614" w:rsidRPr="00F62614">
        <w:rPr>
          <w:szCs w:val="24"/>
        </w:rPr>
        <w:t>(ASFA 2015a)</w:t>
      </w:r>
      <w:r>
        <w:t xml:space="preserve"> — analysis of Australian data by Thorp </w:t>
      </w:r>
      <w:r w:rsidR="00F62614" w:rsidRPr="00F62614">
        <w:t>(2013)</w:t>
      </w:r>
      <w:r>
        <w:t xml:space="preserve"> found that</w:t>
      </w:r>
      <w:r w:rsidRPr="009C4130">
        <w:t>:</w:t>
      </w:r>
    </w:p>
    <w:p w:rsidR="007C51D1" w:rsidRPr="00A60807" w:rsidRDefault="007C51D1" w:rsidP="005939B8">
      <w:pPr>
        <w:pStyle w:val="ListBullet"/>
      </w:pPr>
      <w:r w:rsidRPr="00A60807">
        <w:t>Around 7</w:t>
      </w:r>
      <w:r>
        <w:t xml:space="preserve"> per cent [of retired households]</w:t>
      </w:r>
      <w:r w:rsidRPr="00A60807">
        <w:t xml:space="preserve"> have </w:t>
      </w:r>
      <w:r>
        <w:t xml:space="preserve">savings to provide </w:t>
      </w:r>
      <w:r w:rsidRPr="00A60807">
        <w:t xml:space="preserve">less than 3 weeks </w:t>
      </w:r>
      <w:r>
        <w:t xml:space="preserve">of </w:t>
      </w:r>
      <w:r w:rsidRPr="00A60807">
        <w:t>ASFA</w:t>
      </w:r>
      <w:r>
        <w:t>’s</w:t>
      </w:r>
      <w:r w:rsidRPr="00A60807">
        <w:t xml:space="preserve"> modest budget</w:t>
      </w:r>
    </w:p>
    <w:p w:rsidR="007C51D1" w:rsidRPr="00A60807" w:rsidRDefault="007C51D1" w:rsidP="005939B8">
      <w:pPr>
        <w:pStyle w:val="ListBullet"/>
      </w:pPr>
      <w:r w:rsidRPr="00A60807">
        <w:t>Around 10</w:t>
      </w:r>
      <w:r>
        <w:t xml:space="preserve"> per cent</w:t>
      </w:r>
      <w:r w:rsidRPr="00A60807">
        <w:t xml:space="preserve"> have less than 12 weeks</w:t>
      </w:r>
    </w:p>
    <w:p w:rsidR="007C51D1" w:rsidRPr="00A60807" w:rsidRDefault="007C51D1" w:rsidP="005939B8">
      <w:pPr>
        <w:pStyle w:val="ListBullet"/>
      </w:pPr>
      <w:r w:rsidRPr="00A60807">
        <w:t>Around 18</w:t>
      </w:r>
      <w:r>
        <w:t xml:space="preserve"> per cent</w:t>
      </w:r>
      <w:r w:rsidRPr="00A60807">
        <w:t xml:space="preserve"> have less than 24 weeks</w:t>
      </w:r>
    </w:p>
    <w:p w:rsidR="007C51D1" w:rsidRDefault="007C51D1" w:rsidP="005939B8">
      <w:pPr>
        <w:pStyle w:val="ListBullet"/>
      </w:pPr>
      <w:r w:rsidRPr="00A60807">
        <w:t>Around 28</w:t>
      </w:r>
      <w:r>
        <w:t xml:space="preserve"> per cent</w:t>
      </w:r>
      <w:r w:rsidRPr="00A60807">
        <w:t xml:space="preserve"> have less than 48 weeks</w:t>
      </w:r>
    </w:p>
    <w:p w:rsidR="007C51D1" w:rsidRPr="00B81972" w:rsidRDefault="007C51D1" w:rsidP="005939B8">
      <w:pPr>
        <w:pStyle w:val="BodyText"/>
        <w:rPr>
          <w:spacing w:val="-2"/>
          <w:shd w:val="clear" w:color="auto" w:fill="FFFFFF"/>
        </w:rPr>
      </w:pPr>
      <w:r w:rsidRPr="00B81972">
        <w:rPr>
          <w:spacing w:val="-2"/>
        </w:rPr>
        <w:t xml:space="preserve">Interestingly, in this area, there is a significant </w:t>
      </w:r>
      <w:r>
        <w:rPr>
          <w:spacing w:val="-2"/>
        </w:rPr>
        <w:t>disjunct</w:t>
      </w:r>
      <w:r w:rsidRPr="00B81972">
        <w:rPr>
          <w:spacing w:val="-2"/>
        </w:rPr>
        <w:t xml:space="preserve"> between reality and people</w:t>
      </w:r>
      <w:r>
        <w:rPr>
          <w:spacing w:val="-2"/>
        </w:rPr>
        <w:t>’</w:t>
      </w:r>
      <w:r w:rsidRPr="00B81972">
        <w:rPr>
          <w:spacing w:val="-2"/>
        </w:rPr>
        <w:t>s perceptions, with many recent retirees wrongly believing that they would principally self</w:t>
      </w:r>
      <w:r>
        <w:rPr>
          <w:spacing w:val="-2"/>
        </w:rPr>
        <w:noBreakHyphen/>
      </w:r>
      <w:r w:rsidRPr="00B81972">
        <w:rPr>
          <w:spacing w:val="-2"/>
        </w:rPr>
        <w:t>fund their retirement (figure</w:t>
      </w:r>
      <w:r>
        <w:rPr>
          <w:spacing w:val="-2"/>
        </w:rPr>
        <w:t> </w:t>
      </w:r>
      <w:r w:rsidRPr="00B81972">
        <w:rPr>
          <w:spacing w:val="-2"/>
        </w:rPr>
        <w:t xml:space="preserve">2.5). Such </w:t>
      </w:r>
      <w:proofErr w:type="gramStart"/>
      <w:r w:rsidRPr="00B81972">
        <w:rPr>
          <w:spacing w:val="-2"/>
        </w:rPr>
        <w:t xml:space="preserve">a </w:t>
      </w:r>
      <w:r>
        <w:rPr>
          <w:spacing w:val="-2"/>
        </w:rPr>
        <w:t>disconnect</w:t>
      </w:r>
      <w:proofErr w:type="gramEnd"/>
      <w:r w:rsidRPr="00B81972">
        <w:rPr>
          <w:spacing w:val="-2"/>
        </w:rPr>
        <w:t xml:space="preserve"> in turn serves to focus attention on the more general issue of ‘longevity risk’ (box</w:t>
      </w:r>
      <w:r>
        <w:rPr>
          <w:spacing w:val="-2"/>
        </w:rPr>
        <w:t> </w:t>
      </w:r>
      <w:r w:rsidRPr="00B81972">
        <w:rPr>
          <w:spacing w:val="-2"/>
        </w:rPr>
        <w:t>2.</w:t>
      </w:r>
      <w:r>
        <w:rPr>
          <w:spacing w:val="-2"/>
        </w:rPr>
        <w:t>2</w:t>
      </w:r>
      <w:r w:rsidRPr="00B81972">
        <w:rPr>
          <w:spacing w:val="-2"/>
        </w:rPr>
        <w:t xml:space="preserve">) — the risk that </w:t>
      </w:r>
      <w:r>
        <w:rPr>
          <w:spacing w:val="-2"/>
        </w:rPr>
        <w:t>someone’s</w:t>
      </w:r>
      <w:r w:rsidRPr="00B81972">
        <w:rPr>
          <w:spacing w:val="-2"/>
        </w:rPr>
        <w:t xml:space="preserve"> personal savings are exhausted before retirement — and how it should be approached from a policy perspective.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2.</w:t>
            </w:r>
            <w:r>
              <w:rPr>
                <w:b w:val="0"/>
                <w:noProof/>
              </w:rPr>
              <w:t>5</w:t>
            </w:r>
            <w:r>
              <w:tab/>
              <w:t>The perception gap – expected vs actual self</w:t>
            </w:r>
            <w:r>
              <w:noBreakHyphen/>
              <w:t>funding in retirement</w:t>
            </w:r>
            <w:proofErr w:type="spellStart"/>
            <w:r w:rsidRPr="00164E3A">
              <w:rPr>
                <w:rStyle w:val="NoteLabel"/>
                <w:b/>
              </w:rPr>
              <w:t>a</w:t>
            </w:r>
            <w:r>
              <w:rPr>
                <w:rStyle w:val="NoteLabel"/>
                <w:b/>
              </w:rPr>
              <w:t>,b</w:t>
            </w:r>
            <w:proofErr w:type="spellEnd"/>
          </w:p>
          <w:p w:rsidR="007C51D1" w:rsidRPr="00176D3F" w:rsidRDefault="007C51D1" w:rsidP="005939B8">
            <w:pPr>
              <w:pStyle w:val="Subtitle"/>
            </w:pPr>
            <w:r>
              <w:t>Share of individuals expecting to be self-funded, prior and following retirement</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33A30BAD" wp14:editId="1103CB4F">
                        <wp:extent cx="5257800" cy="2419350"/>
                        <wp:effectExtent l="0" t="0" r="0" b="0"/>
                        <wp:docPr id="17" name="Picture 17" descr="Figure 2.5 The perception gap - expected vs actual self-funding in retirement. This chart shows the proportion of cohorts that expect to be self-funded in retirement and what their actual statis is at retirement, for different ages. It indicates that the majority youngest cohort (aged 55-59) expected to be self-funded in retirement, but this expectation was not realised of those currently in retirement. It indicates, with increasing age, the expectation of self-funding fa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257800" cy="241935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proofErr w:type="gramStart"/>
            <w:r>
              <w:rPr>
                <w:rStyle w:val="NoteLabel"/>
              </w:rPr>
              <w:t>a</w:t>
            </w:r>
            <w:proofErr w:type="spellEnd"/>
            <w:proofErr w:type="gramEnd"/>
            <w:r>
              <w:t xml:space="preserve"> The period covered by these surveys includes the GFC, where there was a considerable erosion of savings among some prospective retirees. This may have played a role in altering expectations in the lead</w:t>
            </w:r>
            <w:r>
              <w:noBreakHyphen/>
              <w:t xml:space="preserve">up to retirement. </w:t>
            </w:r>
            <w:r>
              <w:rPr>
                <w:rStyle w:val="NoteLabel"/>
              </w:rPr>
              <w:t>b</w:t>
            </w:r>
            <w:r>
              <w:t xml:space="preserve"> Expectation and actual refer to being mainly self</w:t>
            </w:r>
            <w:r>
              <w:noBreakHyphen/>
              <w:t>funded in retirement, which is defined as having a main source of income being superannuation, annuity, dividends, interest, rental property income or own unincorporated business income. See data source for more details.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ABS (</w:t>
            </w:r>
            <w:r>
              <w:rPr>
                <w:i/>
              </w:rPr>
              <w:t>Retirement</w:t>
            </w:r>
            <w:r w:rsidRPr="00B718EC">
              <w:rPr>
                <w:i/>
              </w:rPr>
              <w:t xml:space="preserve"> and Retirement Intentions, Australia, July 2012 to June 2013</w:t>
            </w:r>
            <w:r>
              <w:t>, Cat. no. 6238.0).</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2.</w:t>
            </w:r>
            <w:r>
              <w:rPr>
                <w:b w:val="0"/>
                <w:noProof/>
              </w:rPr>
              <w:t>2</w:t>
            </w:r>
            <w:r>
              <w:tab/>
              <w:t>Who pays for longevity risk?</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The life expectancy of Australians has increased materially over the last few decades, with a child born today expected to live around an additional 10 years, on average, compared to a child born 40 years ago. To date, however, these increases in longevity have not been accompanied by commensurate increases in typical retiring ages; or by increases in retirement savings sufficient to support a longer retirement. Accordingly, the risk of outliving savings in retirement — often referred to as ‘longevity risk’ — has been growing.</w:t>
            </w:r>
          </w:p>
          <w:p w:rsidR="007C51D1" w:rsidRDefault="007C51D1" w:rsidP="005939B8">
            <w:pPr>
              <w:pStyle w:val="Box"/>
            </w:pPr>
            <w:r>
              <w:t>How longevity risk is managed can be analysed in the context of the three pillars of the retirement income system. The risk attached to the second and third pillars — compulsory superannuation contributions and voluntary savings, respectively — are primarily borne by the individuals concerned. That is, individuals decide how quickly to draw down their superannuation and other savings. Indeed, more Australians will have to bear a greater proportion of longevity risk in the future due to the transition in recent decades from defined benefit to defined contribution superannuation schemes:</w:t>
            </w:r>
          </w:p>
          <w:p w:rsidR="007C51D1" w:rsidRDefault="007C51D1" w:rsidP="005939B8">
            <w:pPr>
              <w:pStyle w:val="BoxQuote"/>
            </w:pPr>
            <w:r>
              <w:t>While the evolution towards</w:t>
            </w:r>
            <w:r w:rsidRPr="00550EF4">
              <w:rPr>
                <w:rStyle w:val="QuoteChar"/>
              </w:rPr>
              <w:t xml:space="preserve"> </w:t>
            </w:r>
            <w:r>
              <w:t xml:space="preserve">[defined contribution] pension plans can be beneficial for both employees and employers, it nevertheless reallocates risk within the financial system. In [defined benefit] pension plans, responsibility for funding and investment management rests with the firm sponsoring the plan. In a [defined contribution] plan these tasks and the associated risks are typically assumed by the employee. This shift of responsibilities and risks from the corporate sector to the household sector has potential implications for financial stability. </w:t>
            </w:r>
            <w:r w:rsidR="00F62614" w:rsidRPr="00F62614">
              <w:rPr>
                <w:rFonts w:cs="Arial"/>
                <w:szCs w:val="24"/>
              </w:rPr>
              <w:t>(Broadbent, Palumbo and Woodman 2006, p. 2)</w:t>
            </w:r>
          </w:p>
          <w:p w:rsidR="007C51D1" w:rsidRDefault="007C51D1" w:rsidP="005939B8">
            <w:pPr>
              <w:pStyle w:val="Box"/>
            </w:pPr>
            <w:r>
              <w:t xml:space="preserve">The first pillar, the Age Pension, is also affected by longevity risk. In the first instance, the Age Pension works as both a supplement to improve the standard of living of some </w:t>
            </w:r>
            <w:proofErr w:type="gramStart"/>
            <w:r>
              <w:t>retirees,</w:t>
            </w:r>
            <w:proofErr w:type="gramEnd"/>
            <w:r>
              <w:t xml:space="preserve"> and as a safety net for those who do not have other savings or means. But in performing both of these functions it is serving as a form of government</w:t>
            </w:r>
            <w:r>
              <w:noBreakHyphen/>
              <w:t>funded insurance for longevity risk. That is, where individuals exhaust or significantly run</w:t>
            </w:r>
            <w:r>
              <w:noBreakHyphen/>
              <w:t>down their private savings in retirement — including circumstances where they manage their longevity risk poorly by design or accident — they can ‘fall back’ on the Age Pension. This may diminish the incentives for some retirees to effectively manage longevity risk in relation to their own savings.</w:t>
            </w:r>
          </w:p>
          <w:p w:rsidR="007C51D1" w:rsidRDefault="007C51D1" w:rsidP="005939B8">
            <w:pPr>
              <w:pStyle w:val="Box"/>
            </w:pPr>
            <w:r>
              <w:t xml:space="preserve">Although there is little evidence that these incentives affect most retirees’ behaviour at present, various reviews have pointed to a need to improve the way that retirees manage their longevity risk, including through restrictions on the way that superannuation benefits can be taken. Such an approach has pros and cons (chapter 4). </w:t>
            </w:r>
          </w:p>
          <w:p w:rsidR="007C51D1" w:rsidRDefault="007C51D1" w:rsidP="005939B8">
            <w:pPr>
              <w:pStyle w:val="Box"/>
            </w:pPr>
            <w:r>
              <w:t>More generally, achieving an appropriate overall balance in policies that aim to allocate longevity risk most efficiently, while taking into account the varied circumstances of retirees and the other important risks that they may face, raises a multitude of complex issues. It is contingent upon having a well</w:t>
            </w:r>
            <w:r>
              <w:noBreakHyphen/>
              <w:t>defined role for the superannuation system and is thus a matter best analysed in the context of a broader review of retirement incomes.</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Source"/>
            </w:pPr>
            <w:r>
              <w:rPr>
                <w:i/>
              </w:rPr>
              <w:t>Source</w:t>
            </w:r>
            <w:r w:rsidRPr="00167F06">
              <w:t xml:space="preserve">: </w:t>
            </w:r>
            <w:r>
              <w:t>Commission estimates based on ABS (</w:t>
            </w:r>
            <w:r w:rsidRPr="004737B2">
              <w:rPr>
                <w:i/>
              </w:rPr>
              <w:t>Australian Historical Population Statistics, 2014</w:t>
            </w:r>
            <w:r>
              <w:t>, Cat. no. </w:t>
            </w:r>
            <w:r w:rsidRPr="00DA6E0A">
              <w:t>3105.0.65.001</w:t>
            </w:r>
            <w:r>
              <w: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Equity in the family home is generally retained</w:t>
      </w:r>
    </w:p>
    <w:p w:rsidR="007C51D1" w:rsidRPr="00636073" w:rsidRDefault="007C51D1" w:rsidP="005939B8">
      <w:pPr>
        <w:pStyle w:val="BodyText"/>
      </w:pPr>
      <w:r>
        <w:t>While superannuation and other retirement savings are exhausted relatively quickly</w:t>
      </w:r>
      <w:r w:rsidRPr="005B375A">
        <w:t xml:space="preserve"> </w:t>
      </w:r>
      <w:r>
        <w:t xml:space="preserve">for many, the family home often remains a largely untapped asset that is not typically drawn down in retirement — such as through reverse mortgages or ‘downsizing’. This occurs for </w:t>
      </w:r>
      <w:r>
        <w:lastRenderedPageBreak/>
        <w:t xml:space="preserve">a number of reasons. For example, concerns about securing an aged care bond contribute to the reluctance of some to unlock equity in the family home as they age </w:t>
      </w:r>
      <w:r w:rsidR="00F62614" w:rsidRPr="00F62614">
        <w:rPr>
          <w:szCs w:val="24"/>
        </w:rPr>
        <w:t>(PC 2011)</w:t>
      </w:r>
      <w:r>
        <w:t xml:space="preserve">. There is also a range of policy settings that may also discourage or otherwise reduce the need for such draw down — including the treatment of the family home in the assets test for the Age Pension (supplementary paper 3), and often </w:t>
      </w:r>
      <w:proofErr w:type="spellStart"/>
      <w:r>
        <w:t>sizeable</w:t>
      </w:r>
      <w:proofErr w:type="spellEnd"/>
      <w:r>
        <w:t xml:space="preserve"> stamp duties on property transactions.</w:t>
      </w:r>
    </w:p>
    <w:p w:rsidR="007C51D1" w:rsidRDefault="007C51D1" w:rsidP="005939B8">
      <w:pPr>
        <w:pStyle w:val="Heading2"/>
      </w:pPr>
      <w:r>
        <w:t>2.</w:t>
      </w:r>
      <w:r>
        <w:rPr>
          <w:noProof/>
        </w:rPr>
        <w:t>2</w:t>
      </w:r>
      <w:r>
        <w:tab/>
        <w:t>How does the Age Pension support</w:t>
      </w:r>
      <w:r w:rsidRPr="00FC142F">
        <w:t xml:space="preserve"> retirement </w:t>
      </w:r>
      <w:r w:rsidRPr="0088587B">
        <w:t>incomes</w:t>
      </w:r>
      <w:r>
        <w:t>?</w:t>
      </w:r>
    </w:p>
    <w:p w:rsidR="007C51D1" w:rsidRPr="00A41E99" w:rsidRDefault="007C51D1" w:rsidP="005939B8">
      <w:pPr>
        <w:pStyle w:val="BodyText"/>
      </w:pPr>
      <w:r>
        <w:t>The Age Pension is a government support payment for older Australians, targeted through age, residency and means tests (supplementary paper 3).</w:t>
      </w:r>
    </w:p>
    <w:p w:rsidR="007C51D1" w:rsidRDefault="007C51D1" w:rsidP="005939B8">
      <w:pPr>
        <w:pStyle w:val="Heading3"/>
      </w:pPr>
      <w:r>
        <w:t>Who transitions to the Age Pension and when do they do so?</w:t>
      </w:r>
    </w:p>
    <w:p w:rsidR="007C51D1" w:rsidRDefault="007C51D1" w:rsidP="005939B8">
      <w:pPr>
        <w:pStyle w:val="BodyText"/>
      </w:pPr>
      <w:r>
        <w:t xml:space="preserve">While the Age Pension is considered a ‘safety net’ and superannuation coverage and assets have been increasing, the majority of older Australians (around 70 per cent) receive at least a part pension at some point after the eligibility age of 65 (figure 2.6).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2.</w:t>
            </w:r>
            <w:r>
              <w:rPr>
                <w:b w:val="0"/>
                <w:noProof/>
              </w:rPr>
              <w:t>6</w:t>
            </w:r>
            <w:r>
              <w:tab/>
              <w:t>Age Pension coverage by full or part rate</w:t>
            </w:r>
          </w:p>
          <w:p w:rsidR="007C51D1" w:rsidRPr="00176D3F" w:rsidRDefault="007C51D1" w:rsidP="005939B8">
            <w:pPr>
              <w:pStyle w:val="Subtitle"/>
            </w:pPr>
            <w:r>
              <w:t>Share of population, September 2014</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599B58E9" wp14:editId="37AEB9DD">
                        <wp:extent cx="5257800" cy="2667000"/>
                        <wp:effectExtent l="0" t="0" r="0" b="0"/>
                        <wp:docPr id="19" name="Picture 19" descr="Figure 2.6 Age Pension coverage by full or part rate. This graph shows age pension coverage rates by age group and split by part and full rate. Coverage is just under 60 per cent for 65-69 year olds, peaks at around 80 per cent for 75-79 year olds, declines to around 55 per cent for 90-94 year olds and then rises slightly for 95+ year olds. Most of the fluctuation is caused by change in those on the full 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257800" cy="266700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Pr>
                <w:i/>
              </w:rPr>
              <w:t>s</w:t>
            </w:r>
            <w:r w:rsidRPr="00176D3F">
              <w:t xml:space="preserve">: </w:t>
            </w:r>
            <w:r>
              <w:t>Department of Social Services Payment Demographic data and population modelling from PC </w:t>
            </w:r>
            <w:r w:rsidR="00F62614" w:rsidRPr="00F62614">
              <w:rPr>
                <w:rFonts w:cs="Arial"/>
              </w:rPr>
              <w:t>(2013)</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p>
    <w:p w:rsidR="007C51D1" w:rsidRDefault="007C51D1" w:rsidP="005939B8">
      <w:pPr>
        <w:pStyle w:val="BodyText"/>
      </w:pPr>
      <w:r>
        <w:lastRenderedPageBreak/>
        <w:t>Access typically occurs sooner rather than later — in 2013</w:t>
      </w:r>
      <w:r>
        <w:noBreakHyphen/>
        <w:t>14 around 60 per cent of Age Pension recipients started receiving payments within one year of reaching the eligibility age (with an average of 64 per cent over the previous 10 years). And, while accumulated superannuation and other savings explains why some individuals do not get immediate access to the pension, for others it is because they are still working and supporting themselves.</w:t>
      </w:r>
    </w:p>
    <w:p w:rsidR="007C51D1" w:rsidRDefault="007C51D1" w:rsidP="005939B8">
      <w:pPr>
        <w:pStyle w:val="BodyText"/>
      </w:pPr>
      <w:r w:rsidRPr="00420C6F">
        <w:t xml:space="preserve">Many </w:t>
      </w:r>
      <w:r>
        <w:t>of those who transition to the Age Pension at the earliest possible opportunity</w:t>
      </w:r>
      <w:r w:rsidRPr="00420C6F">
        <w:t xml:space="preserve"> also transition from another government payment. In 2013</w:t>
      </w:r>
      <w:r>
        <w:noBreakHyphen/>
      </w:r>
      <w:r w:rsidRPr="00420C6F">
        <w:t>14, almost 90 per cent of those who took up the Age Pension at the qualifying age transitioned from another payment such as the Disability Support Payment, Mature Age Allowance and Widow Pensions. Of these, around three quarters went on to the full rate and the remainder onto the part rate.</w:t>
      </w:r>
      <w:r w:rsidRPr="00E76E45">
        <w:rPr>
          <w:rStyle w:val="FootnoteReference"/>
        </w:rPr>
        <w:footnoteReference w:id="5"/>
      </w:r>
      <w:r w:rsidRPr="00420C6F">
        <w:t xml:space="preserve"> </w:t>
      </w:r>
    </w:p>
    <w:p w:rsidR="007C51D1" w:rsidRPr="00420C6F" w:rsidRDefault="007C51D1" w:rsidP="005939B8">
      <w:pPr>
        <w:pStyle w:val="BodyText"/>
      </w:pPr>
      <w:r>
        <w:t>Once on the pension, recipients tend to stay on it for long periods, with around half of current recipients having received the Age Pension for more than 10 years.</w:t>
      </w:r>
    </w:p>
    <w:p w:rsidR="007C51D1" w:rsidRDefault="007C51D1" w:rsidP="005939B8">
      <w:pPr>
        <w:pStyle w:val="Heading3"/>
      </w:pPr>
      <w:r>
        <w:t>How important is the Age Pension to retirement incomes?</w:t>
      </w:r>
    </w:p>
    <w:p w:rsidR="007C51D1" w:rsidRDefault="007C51D1" w:rsidP="005939B8">
      <w:pPr>
        <w:pStyle w:val="BodyText"/>
      </w:pPr>
      <w:r>
        <w:t>For Age Pension recipients, the income and assets tests mean that pension payments will comprise the bulk of their incomes by design. Based on the 2011</w:t>
      </w:r>
      <w:r>
        <w:noBreakHyphen/>
        <w:t xml:space="preserve">12 </w:t>
      </w:r>
      <w:r w:rsidRPr="00457BFA">
        <w:rPr>
          <w:i/>
        </w:rPr>
        <w:t>Survey of Income and Housing</w:t>
      </w:r>
      <w:r>
        <w:t xml:space="preserve">, the pension comprised around 70 per cent of total income on average for recipients (figure 2.7). Moreover, pensions comprised over 85 per cent of total income for more than half of recipients. For Age Pensioners, superannuation and other income streams form the most important secondary source of income, while for those not receiving the Age Pension, investment and employment income are more important on average. </w:t>
      </w:r>
    </w:p>
    <w:p w:rsidR="007C51D1" w:rsidRDefault="007C51D1" w:rsidP="005939B8">
      <w:pPr>
        <w:pStyle w:val="BodyText"/>
      </w:pPr>
      <w:r>
        <w:t xml:space="preserve">However, due in part to the evolution of the superannuation system, the overall reliance of retirees on income from the Age Pension has been slowly declining. For instance, ASFA </w:t>
      </w:r>
      <w:r w:rsidR="00F62614" w:rsidRPr="00F62614">
        <w:t>(2014b)</w:t>
      </w:r>
      <w:r>
        <w:t xml:space="preserve"> found that in 2013 a</w:t>
      </w:r>
      <w:r w:rsidRPr="002C19E2">
        <w:t>round 32 per cent of 65 year old</w:t>
      </w:r>
      <w:r>
        <w:t xml:space="preserve"> retirees were</w:t>
      </w:r>
      <w:r w:rsidRPr="002C19E2">
        <w:t xml:space="preserve"> self</w:t>
      </w:r>
      <w:r w:rsidRPr="002C19E2">
        <w:noBreakHyphen/>
        <w:t>funded</w:t>
      </w:r>
      <w:r>
        <w:t>,</w:t>
      </w:r>
      <w:r w:rsidRPr="002C19E2">
        <w:t xml:space="preserve"> compared to 22 per cent in 2000</w:t>
      </w:r>
      <w:r>
        <w:t>. Similarly, based on analysis of several HILDA waves, pension income as a share of recipients’ total income has trended steadily down — with the proportion of recipients relying on the pension for at least half or the vast majority (over 90 per cent) of their income both dropping by around 10 percentage points between 2001 and 2011 (figure 2.8).</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2.</w:t>
            </w:r>
            <w:r>
              <w:rPr>
                <w:b w:val="0"/>
                <w:noProof/>
              </w:rPr>
              <w:t>7</w:t>
            </w:r>
            <w:r>
              <w:tab/>
              <w:t>Average share of income of older Australians from different sources</w:t>
            </w:r>
            <w:r w:rsidRPr="002A37F1">
              <w:rPr>
                <w:rStyle w:val="NoteLabel"/>
                <w:b/>
              </w:rPr>
              <w:t>a</w:t>
            </w:r>
          </w:p>
          <w:p w:rsidR="007C51D1" w:rsidRPr="00176D3F" w:rsidRDefault="007C51D1" w:rsidP="005939B8">
            <w:pPr>
              <w:pStyle w:val="Subtitle"/>
            </w:pPr>
            <w:r>
              <w:t>2011</w:t>
            </w:r>
            <w:r>
              <w:noBreakHyphen/>
              <w:t>12</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Pr="0053191C" w:rsidRDefault="00F20F79" w:rsidP="005939B8">
                  <w:pPr>
                    <w:pStyle w:val="Figure"/>
                    <w:spacing w:before="60" w:after="60"/>
                    <w:rPr>
                      <w:rFonts w:asciiTheme="minorHAnsi" w:hAnsiTheme="minorHAnsi" w:cstheme="minorHAnsi"/>
                      <w:sz w:val="20"/>
                    </w:rPr>
                  </w:pPr>
                  <w:r>
                    <w:rPr>
                      <w:rFonts w:asciiTheme="minorHAnsi" w:hAnsiTheme="minorHAnsi" w:cstheme="minorHAnsi"/>
                      <w:noProof/>
                      <w:sz w:val="20"/>
                    </w:rPr>
                    <w:drawing>
                      <wp:inline distT="0" distB="0" distL="0" distR="0">
                        <wp:extent cx="5260975" cy="2802890"/>
                        <wp:effectExtent l="0" t="0" r="0" b="0"/>
                        <wp:docPr id="194" name="Picture 194" descr="Figure 2.7 Average share of income from different sources. This graph compares the age share of income from different sources for pensioners and non-pensioners. pensioners receive an average of 70 per cent of their income from the pension, 12 per cent from super, 9 per cent from investments, 8 per cent from employment. Non-pensioners receive an average 26 per cent from super, 35 per cent from investments, 31 per cent from employment and 7 per cent from business. The remainder comprises other inc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260975" cy="280289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proofErr w:type="gramStart"/>
            <w:r>
              <w:rPr>
                <w:rStyle w:val="NoteLabel"/>
              </w:rPr>
              <w:t>a</w:t>
            </w:r>
            <w:proofErr w:type="spellEnd"/>
            <w:proofErr w:type="gramEnd"/>
            <w:r>
              <w:t xml:space="preserve"> Includes all singles and couples over 65, ‘Age Pension’ refers to any government pension, including both Age and Service Pensions.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 based on ABS (</w:t>
            </w:r>
            <w:r>
              <w:rPr>
                <w:i/>
              </w:rPr>
              <w:t>Survey of Income and Housing, 2011</w:t>
            </w:r>
            <w:r>
              <w:rPr>
                <w:i/>
              </w:rPr>
              <w:noBreakHyphen/>
            </w:r>
            <w:r w:rsidRPr="005A3E66">
              <w:rPr>
                <w:i/>
              </w:rPr>
              <w:t>12</w:t>
            </w:r>
            <w:r>
              <w:t>, Cat. no. 6553.0,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2.</w:t>
            </w:r>
            <w:r>
              <w:rPr>
                <w:b w:val="0"/>
                <w:noProof/>
              </w:rPr>
              <w:t>8</w:t>
            </w:r>
            <w:r>
              <w:tab/>
              <w:t>Pension share of total income for Age Pensioners</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F20F79" w:rsidP="005939B8">
                  <w:pPr>
                    <w:pStyle w:val="Figure"/>
                    <w:spacing w:before="60" w:after="60"/>
                  </w:pPr>
                  <w:r>
                    <w:rPr>
                      <w:noProof/>
                    </w:rPr>
                    <w:drawing>
                      <wp:inline distT="0" distB="0" distL="0" distR="0">
                        <wp:extent cx="5260975" cy="2802890"/>
                        <wp:effectExtent l="0" t="0" r="0" b="0"/>
                        <wp:docPr id="193" name="Picture 193" descr="Figure 2.8 Age Pension share of total income. This graph depicts the per cent of pensioners receiving over 50 per cent of their income or over 90 per cent of their income from the pension between 2001 and 2011. In 2001 around 70 per cent received over 50 per cent of their income from the Age Pension, this declined steadily to around 60 per cent in 2011. Similarly in 2001 slightly less than 50 per cent relied on the age pension for over 90 per cent of their income, and this declined to around 40 per cent in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260975" cy="280289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rsidR="00F62B18">
              <w:t xml:space="preserve">Table 5.5 in Wilkins </w:t>
            </w:r>
            <w:r w:rsidR="00F62B18" w:rsidRPr="00F62614">
              <w:rPr>
                <w:rFonts w:cs="Arial"/>
              </w:rPr>
              <w:t>(2014b)</w:t>
            </w:r>
            <w:r w:rsidR="00F62B18">
              <w:t>, based on various waves of HILDA Survey data.</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963998" w:rsidRDefault="00963998" w:rsidP="00963998">
      <w:pPr>
        <w:pStyle w:val="BodyText"/>
      </w:pPr>
      <w:r>
        <w:lastRenderedPageBreak/>
        <w:t>Also notable is the fact that older Australians are less reliant on government transfers compared to their counterparts in other countries, many of which have directed less policy attention towards encouraging self</w:t>
      </w:r>
      <w:r>
        <w:noBreakHyphen/>
        <w:t xml:space="preserve">funded retirement. The OECD </w:t>
      </w:r>
      <w:r w:rsidRPr="00F62614">
        <w:t>(2013)</w:t>
      </w:r>
      <w:r>
        <w:t xml:space="preserve"> reported that government transfers accounted for 40 per cent of gross household income of over 65 year olds in Australia, compared with an OECD average of 59 per cent. </w:t>
      </w:r>
    </w:p>
    <w:p w:rsidR="007C51D1" w:rsidRDefault="007C51D1" w:rsidP="005939B8">
      <w:pPr>
        <w:pStyle w:val="Heading2"/>
      </w:pPr>
      <w:r>
        <w:t>2.</w:t>
      </w:r>
      <w:r>
        <w:rPr>
          <w:noProof/>
        </w:rPr>
        <w:t>3</w:t>
      </w:r>
      <w:r>
        <w:tab/>
        <w:t>The balance between private and public funding in a mature system</w:t>
      </w:r>
    </w:p>
    <w:p w:rsidR="007C51D1" w:rsidRDefault="007C51D1" w:rsidP="005939B8">
      <w:pPr>
        <w:pStyle w:val="BodyText"/>
      </w:pPr>
      <w:r>
        <w:t xml:space="preserve">In coming decades, Australians will almost certainly have greater savings, on average, to support themselves in retirement. Among other things, they are likely to have worked for longer and will have had the opportunity to receive more superannuation contributions for large parts of those working lives. Contrast this with 65 year olds retiring today, </w:t>
      </w:r>
      <w:proofErr w:type="gramStart"/>
      <w:r>
        <w:t>who</w:t>
      </w:r>
      <w:proofErr w:type="gramEnd"/>
      <w:r>
        <w:t xml:space="preserve"> will have been subject to compulsory contributions for only around half of their working lives and for much of that period at a lower rate than now applies.</w:t>
      </w:r>
    </w:p>
    <w:p w:rsidR="007C51D1" w:rsidRDefault="007C51D1" w:rsidP="005939B8">
      <w:pPr>
        <w:pStyle w:val="Heading3"/>
      </w:pPr>
      <w:r>
        <w:t>How have private savings changed in the recent past?</w:t>
      </w:r>
    </w:p>
    <w:p w:rsidR="007C51D1" w:rsidRDefault="007C51D1" w:rsidP="005939B8">
      <w:pPr>
        <w:pStyle w:val="BodyText"/>
      </w:pPr>
      <w:r>
        <w:t xml:space="preserve">One way to examine how important superannuation might be in the future is to see how its importance, relative to other savings, has changed in the recent past. A comparison of wealth and debt from the </w:t>
      </w:r>
      <w:r w:rsidRPr="005E62BC">
        <w:rPr>
          <w:i/>
        </w:rPr>
        <w:t>Survey of Income and Housing</w:t>
      </w:r>
      <w:r>
        <w:t xml:space="preserve"> in 2003</w:t>
      </w:r>
      <w:r>
        <w:noBreakHyphen/>
        <w:t>04 and 2011</w:t>
      </w:r>
      <w:r>
        <w:noBreakHyphen/>
        <w:t xml:space="preserve">12 for different age ranges can illustrate how superannuation has evolved in concert with other savings (and are discussed in greater detail </w:t>
      </w:r>
      <w:r w:rsidRPr="00E06402">
        <w:t xml:space="preserve">in </w:t>
      </w:r>
      <w:r w:rsidRPr="003E447F">
        <w:t>supplementary paper 2</w:t>
      </w:r>
      <w:r>
        <w:t>). Generally speaking, amongst those aged 45</w:t>
      </w:r>
      <w:r>
        <w:noBreakHyphen/>
        <w:t>64:</w:t>
      </w:r>
    </w:p>
    <w:p w:rsidR="007C51D1" w:rsidRDefault="007C51D1" w:rsidP="005939B8">
      <w:pPr>
        <w:pStyle w:val="ListBullet"/>
      </w:pPr>
      <w:r>
        <w:t>gross assets have increased substantially over the 8 year period, with about one third of the growth coming from superannuation, one third from the family home and the rest from other assets including rental properties</w:t>
      </w:r>
    </w:p>
    <w:p w:rsidR="007C51D1" w:rsidRDefault="007C51D1" w:rsidP="005939B8">
      <w:pPr>
        <w:pStyle w:val="ListBullet"/>
      </w:pPr>
      <w:proofErr w:type="gramStart"/>
      <w:r>
        <w:t>gross</w:t>
      </w:r>
      <w:proofErr w:type="gramEnd"/>
      <w:r>
        <w:t xml:space="preserve"> debt has increased too, but at a much slower pace than asset growth — much of the growth in debt is associated with housing (both the family home and rental properties).</w:t>
      </w:r>
    </w:p>
    <w:p w:rsidR="007C51D1" w:rsidRDefault="007C51D1" w:rsidP="005939B8">
      <w:pPr>
        <w:pStyle w:val="BodyText"/>
      </w:pPr>
      <w:r>
        <w:t>This increase in housing debt among older households has been of concern among some policymakers and stakeholders. Indeed, the proportion of homeowners that still have a mortgage at ages 60</w:t>
      </w:r>
      <w:r>
        <w:noBreakHyphen/>
        <w:t>64 has increased from about 15 to 28 per cent between 2003</w:t>
      </w:r>
      <w:r>
        <w:noBreakHyphen/>
        <w:t>04 and 2011</w:t>
      </w:r>
      <w:r>
        <w:noBreakHyphen/>
        <w:t>12. However, this group has not experienced a markedly significant change in the debt</w:t>
      </w:r>
      <w:r>
        <w:noBreakHyphen/>
        <w:t>to</w:t>
      </w:r>
      <w:r>
        <w:noBreakHyphen/>
        <w:t>value being incurred. Put another way, it does not appear that older households are incurring levels of debt where they will need to use their superannuation savings to ‘bail themselves out’.</w:t>
      </w:r>
      <w:r w:rsidRPr="00E76E45">
        <w:rPr>
          <w:rStyle w:val="FootnoteReference"/>
        </w:rPr>
        <w:footnoteReference w:id="6"/>
      </w:r>
      <w:r>
        <w:t xml:space="preserve"> However, what is less clear is whether retirees will be more willing in the future to draw down on their housing equity in order to finance their retirement.</w:t>
      </w:r>
    </w:p>
    <w:p w:rsidR="007C51D1" w:rsidRDefault="007C51D1" w:rsidP="005939B8">
      <w:pPr>
        <w:pStyle w:val="Heading3"/>
      </w:pPr>
      <w:r>
        <w:lastRenderedPageBreak/>
        <w:t>What will superannuation balances look like in future?</w:t>
      </w:r>
    </w:p>
    <w:p w:rsidR="007C51D1" w:rsidRDefault="007C51D1" w:rsidP="005939B8">
      <w:pPr>
        <w:pStyle w:val="BodyText"/>
      </w:pPr>
      <w:r>
        <w:t>As input to the 2012</w:t>
      </w:r>
      <w:r>
        <w:noBreakHyphen/>
        <w:t>13 Budget, Treasury provided forecasts of the total amount of superannuation assets out to 2040, as well as estimating what an individual’s superannuation balance would be if they earned the full</w:t>
      </w:r>
      <w:r>
        <w:noBreakHyphen/>
        <w:t>time median wage over their working life (figure 2.9). In broad terms, these forecasts indicated that both superannuation assets in total and the ‘representative’ worker’s superannuation balance would more than quadruple by 2040 (from less than $2 trillion to $8 trillion dollars, and from around $100 000 to around $440 000, respectively). While all such estimates are sensitive to assumptions about both future policy settings and changes to general economic conditions — and especially investment returns</w:t>
      </w:r>
      <w:r w:rsidRPr="00E76E45">
        <w:rPr>
          <w:rStyle w:val="FootnoteReference"/>
        </w:rPr>
        <w:footnoteReference w:id="7"/>
      </w:r>
      <w:r>
        <w:t xml:space="preserve"> — they still provide an ‘order of magnitude’ as to what might be expected, on average, in the future.</w:t>
      </w:r>
      <w:r w:rsidRPr="00E76E45">
        <w:rPr>
          <w:rStyle w:val="FootnoteReference"/>
        </w:rPr>
        <w:footnoteReference w:id="8"/>
      </w:r>
    </w:p>
    <w:p w:rsidR="007C51D1" w:rsidRDefault="007C51D1" w:rsidP="005939B8">
      <w:pPr>
        <w:pStyle w:val="BodyText"/>
      </w:pPr>
      <w:r>
        <w:t xml:space="preserve">However, averages or outcomes for ‘representative’ individuals can hide considerable variation in outcomes across individuals. As discussed in more detail in </w:t>
      </w:r>
      <w:r w:rsidRPr="003E447F">
        <w:t>supplementary paper 2</w:t>
      </w:r>
      <w:r>
        <w:t xml:space="preserve">, it seems unlikely that greater system maturity will of itself reduce the current significant disparities in superannuation balances across the population. Indeed, there is evidence that, over the last decade, the disparity in balances has increased because of differential wages growth that has widened divergence in superannuation contributions </w:t>
      </w:r>
      <w:r w:rsidR="00F62614" w:rsidRPr="00F62614">
        <w:rPr>
          <w:szCs w:val="24"/>
        </w:rPr>
        <w:t xml:space="preserve">(ACOSS 2015; Greenville, </w:t>
      </w:r>
      <w:proofErr w:type="spellStart"/>
      <w:r w:rsidR="00F62614" w:rsidRPr="00F62614">
        <w:rPr>
          <w:szCs w:val="24"/>
        </w:rPr>
        <w:t>Pobke</w:t>
      </w:r>
      <w:proofErr w:type="spellEnd"/>
      <w:r w:rsidR="00F62614" w:rsidRPr="00F62614">
        <w:rPr>
          <w:szCs w:val="24"/>
        </w:rPr>
        <w:t xml:space="preserve"> and Rogers 2013)</w:t>
      </w:r>
      <w:r>
        <w:t>. And projections by NATSEM of superannuation balances of those who will be aged 64</w:t>
      </w:r>
      <w:r>
        <w:noBreakHyphen/>
        <w:t xml:space="preserve">66 in 2051 suggest that factors such as differences in attachment to the labour force will contribute to a continuing and large variation in balances across individuals (figure 2.9).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2.</w:t>
            </w:r>
            <w:r>
              <w:rPr>
                <w:b w:val="0"/>
                <w:noProof/>
              </w:rPr>
              <w:t>9</w:t>
            </w:r>
            <w:r>
              <w:tab/>
              <w:t>NATSEM analysis of the distribution of superannuation under a more mature system</w:t>
            </w:r>
            <w:r w:rsidRPr="001E7951">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RPr="00754B4B" w:rsidTr="005939B8">
                    <w:trPr>
                      <w:jc w:val="center"/>
                    </w:trPr>
                    <w:tc>
                      <w:tcPr>
                        <w:tcW w:w="5000" w:type="pct"/>
                        <w:tcBorders>
                          <w:top w:val="nil"/>
                          <w:bottom w:val="nil"/>
                        </w:tcBorders>
                      </w:tcPr>
                      <w:p w:rsidR="007C51D1" w:rsidRPr="0067369D" w:rsidRDefault="007C51D1" w:rsidP="005939B8">
                        <w:pPr>
                          <w:pStyle w:val="Figure"/>
                          <w:spacing w:before="60" w:after="60"/>
                          <w:rPr>
                            <w:rFonts w:ascii="Arial" w:hAnsi="Arial" w:cs="Arial"/>
                            <w:b/>
                            <w:sz w:val="20"/>
                          </w:rPr>
                        </w:pPr>
                        <w:r w:rsidRPr="0067369D">
                          <w:rPr>
                            <w:rFonts w:ascii="Arial" w:hAnsi="Arial" w:cs="Arial"/>
                            <w:b/>
                            <w:sz w:val="20"/>
                          </w:rPr>
                          <w:t>Estimated distribution of superannuation at age 64</w:t>
                        </w:r>
                        <w:r>
                          <w:rPr>
                            <w:rFonts w:ascii="Arial" w:hAnsi="Arial" w:cs="Arial"/>
                            <w:b/>
                            <w:sz w:val="20"/>
                          </w:rPr>
                          <w:noBreakHyphen/>
                        </w:r>
                        <w:r w:rsidRPr="0067369D">
                          <w:rPr>
                            <w:rFonts w:ascii="Arial" w:hAnsi="Arial" w:cs="Arial"/>
                            <w:b/>
                            <w:sz w:val="20"/>
                          </w:rPr>
                          <w:t>66 by gender in 2051</w:t>
                        </w:r>
                        <w:r w:rsidRPr="0067369D">
                          <w:rPr>
                            <w:rStyle w:val="NoteLabel"/>
                          </w:rPr>
                          <w:t>a</w:t>
                        </w:r>
                      </w:p>
                    </w:tc>
                  </w:tr>
                  <w:tr w:rsidR="007C51D1" w:rsidRPr="00754B4B" w:rsidTr="005939B8">
                    <w:tblPrEx>
                      <w:tblCellMar>
                        <w:left w:w="108" w:type="dxa"/>
                        <w:right w:w="108" w:type="dxa"/>
                      </w:tblCellMar>
                    </w:tblPrEx>
                    <w:trPr>
                      <w:jc w:val="center"/>
                    </w:trPr>
                    <w:tc>
                      <w:tcPr>
                        <w:tcW w:w="5000" w:type="pct"/>
                        <w:tcBorders>
                          <w:top w:val="nil"/>
                          <w:bottom w:val="nil"/>
                        </w:tcBorders>
                      </w:tcPr>
                      <w:p w:rsidR="007C51D1" w:rsidRPr="00754B4B" w:rsidRDefault="007C51D1" w:rsidP="005939B8">
                        <w:pPr>
                          <w:pStyle w:val="Figure"/>
                          <w:spacing w:before="60" w:after="60"/>
                          <w:rPr>
                            <w:rFonts w:ascii="Arial" w:hAnsi="Arial" w:cs="Arial"/>
                            <w:i/>
                            <w:sz w:val="20"/>
                          </w:rPr>
                        </w:pPr>
                        <w:r>
                          <w:rPr>
                            <w:rFonts w:ascii="Arial" w:hAnsi="Arial" w:cs="Arial"/>
                            <w:i/>
                            <w:noProof/>
                            <w:sz w:val="20"/>
                          </w:rPr>
                          <w:drawing>
                            <wp:inline distT="0" distB="0" distL="0" distR="0" wp14:anchorId="6ED85E13" wp14:editId="7D9DEAF2">
                              <wp:extent cx="5257800" cy="2857500"/>
                              <wp:effectExtent l="0" t="0" r="0" b="0"/>
                              <wp:docPr id="118" name="Picture 118" descr="Figure 2.9  NATSEM analysis of the distribution of superannuation under a mature system. This figure is comprised of two graphs. The top graph shows the estimated distribution of superannuation at age 64-66 by gender in 2051, and shows the value for each decile of superannuation balan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257800" cy="2857500"/>
                                      </a:xfrm>
                                      <a:prstGeom prst="rect">
                                        <a:avLst/>
                                      </a:prstGeom>
                                      <a:noFill/>
                                      <a:ln>
                                        <a:noFill/>
                                      </a:ln>
                                    </pic:spPr>
                                  </pic:pic>
                                </a:graphicData>
                              </a:graphic>
                            </wp:inline>
                          </w:drawing>
                        </w:r>
                      </w:p>
                    </w:tc>
                  </w:tr>
                  <w:tr w:rsidR="007C51D1" w:rsidRPr="00754B4B" w:rsidTr="005939B8">
                    <w:trPr>
                      <w:jc w:val="center"/>
                    </w:trPr>
                    <w:tc>
                      <w:tcPr>
                        <w:tcW w:w="5000" w:type="pct"/>
                        <w:tcBorders>
                          <w:top w:val="nil"/>
                          <w:bottom w:val="nil"/>
                        </w:tcBorders>
                      </w:tcPr>
                      <w:p w:rsidR="007C51D1" w:rsidRPr="0067369D" w:rsidRDefault="007C51D1" w:rsidP="005939B8">
                        <w:pPr>
                          <w:pStyle w:val="Figure"/>
                          <w:spacing w:before="60" w:after="60"/>
                          <w:rPr>
                            <w:rFonts w:ascii="Arial" w:hAnsi="Arial" w:cs="Arial"/>
                            <w:b/>
                            <w:sz w:val="20"/>
                          </w:rPr>
                        </w:pPr>
                        <w:r w:rsidRPr="0067369D">
                          <w:rPr>
                            <w:rFonts w:ascii="Arial" w:hAnsi="Arial" w:cs="Arial"/>
                            <w:b/>
                            <w:sz w:val="20"/>
                          </w:rPr>
                          <w:t>Estimated mean superannuation at age 64</w:t>
                        </w:r>
                        <w:r>
                          <w:rPr>
                            <w:rFonts w:ascii="Arial" w:hAnsi="Arial" w:cs="Arial"/>
                            <w:b/>
                            <w:sz w:val="20"/>
                          </w:rPr>
                          <w:noBreakHyphen/>
                        </w:r>
                        <w:r w:rsidRPr="0067369D">
                          <w:rPr>
                            <w:rFonts w:ascii="Arial" w:hAnsi="Arial" w:cs="Arial"/>
                            <w:b/>
                            <w:sz w:val="20"/>
                          </w:rPr>
                          <w:t>66 as a percentage of baseline in 2051</w:t>
                        </w:r>
                      </w:p>
                    </w:tc>
                  </w:tr>
                  <w:tr w:rsidR="007C51D1" w:rsidRPr="00754B4B" w:rsidTr="005939B8">
                    <w:trPr>
                      <w:jc w:val="center"/>
                    </w:trPr>
                    <w:tc>
                      <w:tcPr>
                        <w:tcW w:w="5000" w:type="pct"/>
                        <w:tcBorders>
                          <w:top w:val="nil"/>
                          <w:bottom w:val="nil"/>
                        </w:tcBorders>
                      </w:tcPr>
                      <w:p w:rsidR="007C51D1" w:rsidRPr="00754B4B" w:rsidRDefault="007C51D1" w:rsidP="005939B8">
                        <w:pPr>
                          <w:pStyle w:val="Figure"/>
                          <w:spacing w:before="60" w:after="60"/>
                        </w:pPr>
                        <w:r>
                          <w:rPr>
                            <w:noProof/>
                          </w:rPr>
                          <w:drawing>
                            <wp:inline distT="0" distB="0" distL="0" distR="0" wp14:anchorId="2E4B4345" wp14:editId="18608390">
                              <wp:extent cx="5425440" cy="2948940"/>
                              <wp:effectExtent l="0" t="0" r="3810" b="3810"/>
                              <wp:docPr id="31" name="Picture 31" descr="The bottom chart shows the estimated mean superannuation as a percentage of the baseline. Both charts are discussed in text on the previou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425440" cy="2948940"/>
                                      </a:xfrm>
                                      <a:prstGeom prst="rect">
                                        <a:avLst/>
                                      </a:prstGeom>
                                      <a:noFill/>
                                      <a:ln>
                                        <a:noFill/>
                                      </a:ln>
                                    </pic:spPr>
                                  </pic:pic>
                                </a:graphicData>
                              </a:graphic>
                            </wp:inline>
                          </w:drawing>
                        </w:r>
                      </w:p>
                    </w:tc>
                  </w:tr>
                </w:tbl>
                <w:p w:rsidR="007C51D1" w:rsidRPr="00296F63" w:rsidRDefault="007C51D1" w:rsidP="005939B8">
                  <w:pPr>
                    <w:pStyle w:val="Figure"/>
                    <w:spacing w:before="60" w:after="60"/>
                  </w:pP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proofErr w:type="gramStart"/>
            <w:r>
              <w:rPr>
                <w:rStyle w:val="NoteLabel"/>
              </w:rPr>
              <w:t>a</w:t>
            </w:r>
            <w:proofErr w:type="spellEnd"/>
            <w:proofErr w:type="gramEnd"/>
            <w:r>
              <w:t xml:space="preserve"> In 2006 dollars.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407C70">
              <w:rPr>
                <w:i/>
              </w:rPr>
              <w:t>Data source</w:t>
            </w:r>
            <w:r w:rsidRPr="00407C70">
              <w:t xml:space="preserve">: Keegan, Harding and Kelly </w:t>
            </w:r>
            <w:r w:rsidR="00F62614" w:rsidRPr="00F62614">
              <w:rPr>
                <w:rFonts w:cs="Arial"/>
              </w:rPr>
              <w:t>(2010)</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FD1873" w:rsidRDefault="00FD1873" w:rsidP="005939B8">
      <w:pPr>
        <w:pStyle w:val="BodyText"/>
      </w:pPr>
    </w:p>
    <w:p w:rsidR="00FD1873" w:rsidRDefault="00FD1873" w:rsidP="005939B8">
      <w:pPr>
        <w:pStyle w:val="BodyText"/>
      </w:pPr>
    </w:p>
    <w:p w:rsidR="007C51D1" w:rsidRDefault="007C51D1" w:rsidP="005939B8">
      <w:pPr>
        <w:pStyle w:val="BodyText"/>
      </w:pPr>
      <w:r>
        <w:lastRenderedPageBreak/>
        <w:t>For example, women who care for children, those with moderate disabilities and those with poor educational attainment are all projected to have less than half the superannuation of someone who has been in full</w:t>
      </w:r>
      <w:r>
        <w:noBreakHyphen/>
        <w:t>time employment for 40 years or more. The greater capacity of (and tax</w:t>
      </w:r>
      <w:r>
        <w:noBreakHyphen/>
        <w:t>related incentives for) higher income earners to make voluntary contributions may add further to these disparities.</w:t>
      </w:r>
    </w:p>
    <w:p w:rsidR="007C51D1" w:rsidRDefault="007C51D1" w:rsidP="005939B8">
      <w:pPr>
        <w:pStyle w:val="Heading3"/>
      </w:pPr>
      <w:r>
        <w:t>How important will the Age Pension be in supporting retirement incomes in the future?</w:t>
      </w:r>
    </w:p>
    <w:p w:rsidR="007C51D1" w:rsidRDefault="007C51D1" w:rsidP="005939B8">
      <w:pPr>
        <w:pStyle w:val="BodyText"/>
      </w:pPr>
      <w:r>
        <w:t xml:space="preserve">Even as the </w:t>
      </w:r>
      <w:r w:rsidRPr="002C19E2">
        <w:t>super</w:t>
      </w:r>
      <w:r>
        <w:t>annuation</w:t>
      </w:r>
      <w:r w:rsidRPr="002C19E2">
        <w:t xml:space="preserve"> system </w:t>
      </w:r>
      <w:r>
        <w:t>continues to mature,</w:t>
      </w:r>
      <w:r w:rsidRPr="002C19E2">
        <w:t xml:space="preserve"> </w:t>
      </w:r>
      <w:r>
        <w:t>a fully self</w:t>
      </w:r>
      <w:r>
        <w:noBreakHyphen/>
        <w:t>funded retirement is likely to remain the province of those who were relatively well off during their working years. As is the case today, for those with an interrupted work history, any retirement savings they manage to accrue are likely to be exhausted quickly and the Age Pension will remain their primary source of retirement income.</w:t>
      </w:r>
    </w:p>
    <w:p w:rsidR="007C51D1" w:rsidRDefault="007C51D1" w:rsidP="005939B8">
      <w:pPr>
        <w:pStyle w:val="BodyText"/>
      </w:pPr>
      <w:r>
        <w:t>While the maturing of the superannuation system may not fundamentally affect those at either end of the wealth spectrum, it is likely to affect those in the middle. This group will, on average, have more in superannuation and will have the means to self</w:t>
      </w:r>
      <w:r>
        <w:noBreakHyphen/>
      </w:r>
      <w:r w:rsidRPr="002C19E2">
        <w:t xml:space="preserve">fund for </w:t>
      </w:r>
      <w:r>
        <w:t>longer</w:t>
      </w:r>
      <w:r w:rsidRPr="002C19E2">
        <w:t xml:space="preserve"> before qualifying</w:t>
      </w:r>
      <w:r>
        <w:t xml:space="preserve"> for and transitioning to a part (as opposed to full) Age Pension. </w:t>
      </w:r>
    </w:p>
    <w:p w:rsidR="007C51D1" w:rsidRDefault="007C51D1" w:rsidP="005939B8">
      <w:pPr>
        <w:pStyle w:val="BodyText"/>
      </w:pPr>
      <w:r>
        <w:t xml:space="preserve">This effect will filter through to older cohorts gradually — ASFA </w:t>
      </w:r>
      <w:r w:rsidR="00F62614" w:rsidRPr="00F62614">
        <w:t>(2014b)</w:t>
      </w:r>
      <w:r>
        <w:t xml:space="preserve"> revealed that, although the proportion of self</w:t>
      </w:r>
      <w:r>
        <w:noBreakHyphen/>
        <w:t xml:space="preserve">funded retirees increased for 65 year olds, it remained stable (at around 15 per cent) for 75 year olds </w:t>
      </w:r>
      <w:r w:rsidRPr="002C19E2">
        <w:t>over the period</w:t>
      </w:r>
      <w:r>
        <w:t xml:space="preserve"> 2001–11. This means the impact of the gradual maturing of the superannuation system will be slow in increasing the capacity for self</w:t>
      </w:r>
      <w:r>
        <w:noBreakHyphen/>
        <w:t xml:space="preserve">funded retirement in older age cohorts. Nonetheless, ASFA has projected that, on average, the share of income people derive from the Age Pension will decrease over time (figure 2.10). </w:t>
      </w:r>
    </w:p>
    <w:p w:rsidR="007C51D1" w:rsidRDefault="007C51D1" w:rsidP="005939B8">
      <w:pPr>
        <w:pStyle w:val="BodyText"/>
      </w:pPr>
      <w:r>
        <w:t xml:space="preserve">While Age Pension coverage rates are expected to remain relatively stable over time — with the 2015 </w:t>
      </w:r>
      <w:r w:rsidRPr="0079493F">
        <w:rPr>
          <w:i/>
        </w:rPr>
        <w:t>Intergenerational Report</w:t>
      </w:r>
      <w:r>
        <w:t xml:space="preserve"> projecting that coverage would fall from 70 per cent to 67 per cent over the 40 years to 2054</w:t>
      </w:r>
      <w:r>
        <w:noBreakHyphen/>
        <w:t xml:space="preserve">55 — the share of recipients being paid the part rate is expected to rise, though the exact magnitude of this shift was not estimated </w:t>
      </w:r>
      <w:r w:rsidR="00F62614" w:rsidRPr="00F62614">
        <w:rPr>
          <w:szCs w:val="24"/>
        </w:rPr>
        <w:t>(Australian Government 2015a)</w:t>
      </w:r>
      <w:r>
        <w:t>. It is not clear how this trend — in combination with an ageing population and other changes such as those to the means tests — might impact on pension outlays in the long run. These issues are discussed in supplementary paper 3.</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2.</w:t>
            </w:r>
            <w:r>
              <w:rPr>
                <w:b w:val="0"/>
                <w:noProof/>
              </w:rPr>
              <w:t>10</w:t>
            </w:r>
            <w:r>
              <w:tab/>
            </w:r>
            <w:r w:rsidRPr="002C19E2">
              <w:t>Average retirement income at Age Pension qualifying age</w:t>
            </w:r>
            <w:proofErr w:type="spellStart"/>
            <w:r w:rsidRPr="005E6F5E">
              <w:rPr>
                <w:rStyle w:val="NoteLabel"/>
                <w:b/>
              </w:rPr>
              <w:t>a</w:t>
            </w:r>
            <w:r>
              <w:rPr>
                <w:rStyle w:val="NoteLabel"/>
                <w:b/>
              </w:rPr>
              <w:t>,b</w:t>
            </w:r>
            <w:proofErr w:type="spellEnd"/>
          </w:p>
          <w:p w:rsidR="007C51D1" w:rsidRPr="00176D3F" w:rsidRDefault="007C51D1" w:rsidP="005939B8">
            <w:pPr>
              <w:pStyle w:val="Subtitle"/>
            </w:pPr>
            <w:r w:rsidRPr="002C19E2">
              <w:t>In 2014 dollars</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49A3E874" wp14:editId="30198C5F">
                        <wp:extent cx="5257800" cy="2676525"/>
                        <wp:effectExtent l="0" t="0" r="0" b="9525"/>
                        <wp:docPr id="33" name="Picture 33" descr="Figure 2.10 Average retirement income at Age Pension qualifying age. This graph shows a Age Pension and superannuation income over time. Overall income increases steadily from around $25 000 in 1992 to $45 000 in 2029. And, superannuation represents an increasing share of that income over 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257800" cy="26765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proofErr w:type="gramStart"/>
            <w:r>
              <w:rPr>
                <w:rStyle w:val="NoteLabel"/>
              </w:rPr>
              <w:t>a</w:t>
            </w:r>
            <w:proofErr w:type="spellEnd"/>
            <w:proofErr w:type="gramEnd"/>
            <w:r>
              <w:t xml:space="preserve"> Average balance for all single individuals above Age Pension age. </w:t>
            </w:r>
            <w:proofErr w:type="gramStart"/>
            <w:r>
              <w:rPr>
                <w:rStyle w:val="NoteLabel"/>
              </w:rPr>
              <w:t>b</w:t>
            </w:r>
            <w:proofErr w:type="gramEnd"/>
            <w:r>
              <w:t xml:space="preserve"> Age Pension entitlement calculation is based on superannuation assets only, it does not include any other assets.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2C19E2">
              <w:rPr>
                <w:i/>
              </w:rPr>
              <w:t>Data source</w:t>
            </w:r>
            <w:r w:rsidRPr="002C19E2">
              <w:t xml:space="preserve">: </w:t>
            </w:r>
            <w:r>
              <w:t xml:space="preserve">ASFA pers. comm., 20 May 2015 (updated values from ASFA </w:t>
            </w:r>
            <w:r w:rsidR="00F62614" w:rsidRPr="00F62614">
              <w:rPr>
                <w:rFonts w:cs="Arial"/>
              </w:rPr>
              <w:t>(2014b)</w:t>
            </w:r>
            <w:r>
              <w:t>)</w:t>
            </w:r>
            <w:r w:rsidRPr="002C19E2">
              <w:t xml:space="preserve">. </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p>
    <w:p w:rsidR="007C51D1" w:rsidRDefault="007C51D1" w:rsidP="007C51D1">
      <w:pPr>
        <w:sectPr w:rsidR="007C51D1" w:rsidSect="007C51D1">
          <w:headerReference w:type="even" r:id="rId66"/>
          <w:headerReference w:type="default" r:id="rId67"/>
          <w:footerReference w:type="even" r:id="rId68"/>
          <w:footerReference w:type="default" r:id="rId69"/>
          <w:type w:val="oddPage"/>
          <w:pgSz w:w="11907" w:h="16840" w:code="9"/>
          <w:pgMar w:top="1985" w:right="1304" w:bottom="1247" w:left="1814" w:header="1701" w:footer="397" w:gutter="0"/>
          <w:pgNumType w:chapSep="period"/>
          <w:cols w:space="720"/>
          <w:docGrid w:linePitch="326"/>
        </w:sectPr>
      </w:pPr>
    </w:p>
    <w:p w:rsidR="007C51D1" w:rsidRDefault="007C51D1" w:rsidP="005939B8">
      <w:pPr>
        <w:pStyle w:val="Heading1"/>
        <w:spacing w:before="0"/>
      </w:pPr>
      <w:r>
        <w:lastRenderedPageBreak/>
        <w:t>3</w:t>
      </w:r>
      <w:r>
        <w:tab/>
        <w:t>Preservation age and retirement decisions</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t xml:space="preserve">Key points </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 xml:space="preserve">Spikes in retirement occur at the three ‘milestone ages’ </w:t>
            </w:r>
            <w:r>
              <w:rPr>
                <w:iCs/>
              </w:rPr>
              <w:t xml:space="preserve">— the </w:t>
            </w:r>
            <w:r>
              <w:t>preservation age, the tax</w:t>
            </w:r>
            <w:r>
              <w:noBreakHyphen/>
              <w:t xml:space="preserve">free superannuation age and the Age Pension eligibility age. Of the three ages, the </w:t>
            </w:r>
            <w:r>
              <w:rPr>
                <w:iCs/>
              </w:rPr>
              <w:t xml:space="preserve">Age Pension age provides the strongest financial and social signal to retire. </w:t>
            </w:r>
          </w:p>
          <w:p w:rsidR="007C51D1" w:rsidRDefault="007C51D1" w:rsidP="005939B8">
            <w:pPr>
              <w:pStyle w:val="Box"/>
              <w:rPr>
                <w:szCs w:val="24"/>
              </w:rPr>
            </w:pPr>
            <w:r>
              <w:t xml:space="preserve">Mature age labour force participation is likely to continue to increase over the next two decades. Even so, </w:t>
            </w:r>
            <w:r w:rsidRPr="00FE5F98">
              <w:t xml:space="preserve">current and impending </w:t>
            </w:r>
            <w:r w:rsidRPr="001B15D9">
              <w:t xml:space="preserve">retirees are </w:t>
            </w:r>
            <w:r>
              <w:t xml:space="preserve">living longer and so are </w:t>
            </w:r>
            <w:r w:rsidRPr="001B15D9">
              <w:t xml:space="preserve">likely to spend </w:t>
            </w:r>
            <w:r>
              <w:t>more time</w:t>
            </w:r>
            <w:r w:rsidRPr="001B15D9">
              <w:t xml:space="preserve"> in retirement</w:t>
            </w:r>
            <w:r>
              <w:t xml:space="preserve"> </w:t>
            </w:r>
            <w:r w:rsidRPr="00FE5F98">
              <w:t xml:space="preserve">— perhaps 5 to 7 years </w:t>
            </w:r>
            <w:r>
              <w:t>more</w:t>
            </w:r>
            <w:r w:rsidRPr="00FE5F98">
              <w:t xml:space="preserve"> — than their parents</w:t>
            </w:r>
            <w:r>
              <w:t>’</w:t>
            </w:r>
            <w:r w:rsidRPr="00FE5F98">
              <w:t xml:space="preserve"> or grandparents</w:t>
            </w:r>
            <w:r>
              <w:t>’</w:t>
            </w:r>
            <w:r w:rsidRPr="00FE5F98">
              <w:t xml:space="preserve"> generation. </w:t>
            </w:r>
          </w:p>
          <w:p w:rsidR="007C51D1" w:rsidRPr="001B15D9" w:rsidRDefault="007C51D1" w:rsidP="005939B8">
            <w:pPr>
              <w:pStyle w:val="Box"/>
              <w:rPr>
                <w:szCs w:val="24"/>
              </w:rPr>
            </w:pPr>
            <w:r>
              <w:t>With people spending longer in retirement and older Australians representing a growing share of the population, there have been calls to revisit superannuation policy settings, including the preservation age.</w:t>
            </w:r>
          </w:p>
          <w:p w:rsidR="007C51D1" w:rsidRPr="00206B53" w:rsidRDefault="007C51D1" w:rsidP="005939B8">
            <w:pPr>
              <w:pStyle w:val="Box"/>
              <w:rPr>
                <w:szCs w:val="24"/>
              </w:rPr>
            </w:pPr>
            <w:r>
              <w:t>The preservation age is already scheduled to gradually increase from 55 to 60 years by 2025. Modelling undertaken by the Commission in order to better understand the response of individuals to a further increase in the preservation age to 65 by 2043 suggests that:</w:t>
            </w:r>
          </w:p>
          <w:p w:rsidR="007C51D1" w:rsidRPr="00206B53" w:rsidRDefault="007C51D1" w:rsidP="005939B8">
            <w:pPr>
              <w:pStyle w:val="BoxListBullet"/>
              <w:rPr>
                <w:szCs w:val="24"/>
              </w:rPr>
            </w:pPr>
            <w:proofErr w:type="gramStart"/>
            <w:r>
              <w:t>there</w:t>
            </w:r>
            <w:proofErr w:type="gramEnd"/>
            <w:r>
              <w:t xml:space="preserve"> will be a modest increase in the participation rate of older workers of around 2 percentage points in 2055.</w:t>
            </w:r>
          </w:p>
          <w:p w:rsidR="007C51D1" w:rsidRPr="00206B53" w:rsidRDefault="007C51D1" w:rsidP="005939B8">
            <w:pPr>
              <w:pStyle w:val="BoxListBullet"/>
              <w:rPr>
                <w:szCs w:val="24"/>
              </w:rPr>
            </w:pPr>
            <w:proofErr w:type="gramStart"/>
            <w:r>
              <w:t>households</w:t>
            </w:r>
            <w:proofErr w:type="gramEnd"/>
            <w:r>
              <w:t xml:space="preserve"> that delay their retirement are likely to do so by around 2 years and will have superannuation balances around 10 per cent larger in real terms when they retire.</w:t>
            </w:r>
          </w:p>
          <w:p w:rsidR="007C51D1" w:rsidRDefault="007C51D1" w:rsidP="005939B8">
            <w:pPr>
              <w:pStyle w:val="BoxListBullet"/>
              <w:rPr>
                <w:szCs w:val="24"/>
              </w:rPr>
            </w:pPr>
            <w:proofErr w:type="gramStart"/>
            <w:r>
              <w:rPr>
                <w:szCs w:val="24"/>
              </w:rPr>
              <w:t>there</w:t>
            </w:r>
            <w:proofErr w:type="gramEnd"/>
            <w:r>
              <w:rPr>
                <w:szCs w:val="24"/>
              </w:rPr>
              <w:t xml:space="preserve"> will be an indicative annual fiscal improvement of around $7 billion (in 2015 prices) in 2055. </w:t>
            </w:r>
            <w:r>
              <w:t>Around $5 billion of this fiscal improvement is attributable to higher tax receipts. A net reduction in welfare payments is projected to contribute a further $2 billion.</w:t>
            </w:r>
          </w:p>
          <w:p w:rsidR="007C51D1" w:rsidRDefault="007C51D1" w:rsidP="005939B8">
            <w:pPr>
              <w:pStyle w:val="BoxListBullet"/>
              <w:rPr>
                <w:szCs w:val="24"/>
              </w:rPr>
            </w:pPr>
            <w:proofErr w:type="gramStart"/>
            <w:r w:rsidRPr="00846B9D">
              <w:t>the</w:t>
            </w:r>
            <w:proofErr w:type="gramEnd"/>
            <w:r w:rsidRPr="00846B9D">
              <w:t xml:space="preserve"> bulk of the fiscal gains associated with an increase in the preservation age can be attributed to wealthier households.</w:t>
            </w:r>
            <w:r>
              <w:t xml:space="preserve"> These households</w:t>
            </w:r>
            <w:r w:rsidRPr="00846B9D">
              <w:t xml:space="preserve"> </w:t>
            </w:r>
            <w:r>
              <w:t xml:space="preserve">are </w:t>
            </w:r>
            <w:r w:rsidRPr="00846B9D">
              <w:t>on average</w:t>
            </w:r>
            <w:r>
              <w:t>,</w:t>
            </w:r>
            <w:r w:rsidRPr="00846B9D">
              <w:t xml:space="preserve"> more likely to delay their retirement. They also have higher superannuation savings (and so pay more tax on superannuation earnings) and receive </w:t>
            </w:r>
            <w:r>
              <w:t>lower</w:t>
            </w:r>
            <w:r w:rsidRPr="00846B9D">
              <w:t xml:space="preserve"> welfare payments in later years. </w:t>
            </w:r>
          </w:p>
          <w:p w:rsidR="007C51D1" w:rsidRPr="008C1548" w:rsidRDefault="007C51D1" w:rsidP="005939B8">
            <w:pPr>
              <w:pStyle w:val="BoxListBullet"/>
              <w:rPr>
                <w:szCs w:val="24"/>
              </w:rPr>
            </w:pPr>
            <w:r>
              <w:rPr>
                <w:szCs w:val="24"/>
              </w:rPr>
              <w:t>changing the preservation age will have little, if any, impact on the workforce participation of individuals who retire involuntarily — almost one half of men and over one third of women who currently retire between the ages of 60 and 64. Th</w:t>
            </w:r>
            <w:r>
              <w:t xml:space="preserve">ere is however, still a fiscal impact on this group. </w:t>
            </w:r>
          </w:p>
          <w:p w:rsidR="007C51D1" w:rsidRDefault="007C51D1" w:rsidP="003C36CE">
            <w:pPr>
              <w:pStyle w:val="BoxListBullet2"/>
              <w:rPr>
                <w:szCs w:val="24"/>
              </w:rPr>
            </w:pPr>
            <w:r>
              <w:t xml:space="preserve">As </w:t>
            </w:r>
            <w:r>
              <w:rPr>
                <w:szCs w:val="24"/>
              </w:rPr>
              <w:t>people who retire involuntarily</w:t>
            </w:r>
            <w:r>
              <w:t xml:space="preserve"> </w:t>
            </w:r>
            <w:r w:rsidR="003C36CE">
              <w:t>may not be able to</w:t>
            </w:r>
            <w:r>
              <w:t xml:space="preserve"> access their superannuation benefits for longer, they continue to pay tax on their superannuation earnings. This additional tax revenue is offset, in part, by additional government outlays, as some individuals with little in the way of non</w:t>
            </w:r>
            <w:r>
              <w:noBreakHyphen/>
              <w:t>superannuation savings may need to rely on income support payments.</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lastRenderedPageBreak/>
        <w:t xml:space="preserve">The ageing of Australia’s population has prompted calls to reform the retirement income system. The principle role of this chapter is to examine whether and how a change in the preservation age — the age at which individuals can access their superannuation — might ease pressure on the retirement income system, while at the same time, deliver sustainable retirement incomes for older Australians. </w:t>
      </w:r>
    </w:p>
    <w:p w:rsidR="007C51D1" w:rsidRPr="00E97400" w:rsidRDefault="007C51D1" w:rsidP="005939B8">
      <w:pPr>
        <w:pStyle w:val="BodyText"/>
      </w:pPr>
      <w:r>
        <w:t>T</w:t>
      </w:r>
      <w:r w:rsidRPr="00D16D3B">
        <w:t>he chapter begins by detailing the factors that influence the retirement decisions of mature age workers</w:t>
      </w:r>
      <w:r>
        <w:t xml:space="preserve">, before exploring </w:t>
      </w:r>
      <w:r w:rsidRPr="00D16D3B">
        <w:t>how retirement behaviour has changed over time and how it might change in the future</w:t>
      </w:r>
      <w:r>
        <w:t xml:space="preserve"> (sections 3.1 and 3.2)</w:t>
      </w:r>
      <w:r w:rsidRPr="00D16D3B">
        <w:t xml:space="preserve">. </w:t>
      </w:r>
      <w:r>
        <w:t>The chapter then examines how</w:t>
      </w:r>
      <w:r w:rsidRPr="00D16D3B">
        <w:t xml:space="preserve"> </w:t>
      </w:r>
      <w:r>
        <w:t>retirement behaviour might respond to an</w:t>
      </w:r>
      <w:r w:rsidRPr="00D16D3B">
        <w:t xml:space="preserve"> i</w:t>
      </w:r>
      <w:r>
        <w:t>ncrease in the preservation age (section 3.3)</w:t>
      </w:r>
      <w:r w:rsidRPr="00D16D3B">
        <w:t xml:space="preserve">. This </w:t>
      </w:r>
      <w:r>
        <w:t xml:space="preserve">section </w:t>
      </w:r>
      <w:r w:rsidRPr="00D16D3B">
        <w:t xml:space="preserve">includes an assessment of the impacts of changing the preservation age on </w:t>
      </w:r>
      <w:r>
        <w:t xml:space="preserve">workforce participation, </w:t>
      </w:r>
      <w:r w:rsidRPr="00D16D3B">
        <w:t xml:space="preserve">superannuation balances, Age Pension outlays, and the government’s fiscal position more broadly. </w:t>
      </w:r>
    </w:p>
    <w:p w:rsidR="007C51D1" w:rsidRDefault="007C51D1" w:rsidP="005939B8">
      <w:pPr>
        <w:pStyle w:val="Heading2"/>
      </w:pPr>
      <w:r>
        <w:t>3.</w:t>
      </w:r>
      <w:r>
        <w:rPr>
          <w:noProof/>
        </w:rPr>
        <w:t>1</w:t>
      </w:r>
      <w:r>
        <w:tab/>
        <w:t>What influences the retirement decisions of mature age workers?</w:t>
      </w:r>
    </w:p>
    <w:p w:rsidR="007C51D1" w:rsidRDefault="007C51D1" w:rsidP="005939B8">
      <w:pPr>
        <w:pStyle w:val="BodyText"/>
      </w:pPr>
      <w:r>
        <w:t xml:space="preserve">At an individual level, the </w:t>
      </w:r>
      <w:r w:rsidRPr="00444323">
        <w:t xml:space="preserve">decision to retire is </w:t>
      </w:r>
      <w:r>
        <w:t>often</w:t>
      </w:r>
      <w:r w:rsidRPr="00444323">
        <w:t xml:space="preserve"> a complex one that reflects the evalua</w:t>
      </w:r>
      <w:r>
        <w:t xml:space="preserve">tion of a range of factors. The relative weight ascribed to these factors can </w:t>
      </w:r>
      <w:r w:rsidRPr="00444323">
        <w:t xml:space="preserve">differ from individual </w:t>
      </w:r>
      <w:r>
        <w:t xml:space="preserve">to </w:t>
      </w:r>
      <w:proofErr w:type="gramStart"/>
      <w:r>
        <w:t>individual,</w:t>
      </w:r>
      <w:proofErr w:type="gramEnd"/>
      <w:r>
        <w:t xml:space="preserve"> and from </w:t>
      </w:r>
      <w:r w:rsidRPr="00444323">
        <w:t>couple</w:t>
      </w:r>
      <w:r>
        <w:t xml:space="preserve"> to couple</w:t>
      </w:r>
      <w:r w:rsidRPr="00444323">
        <w:t>.</w:t>
      </w:r>
      <w:r>
        <w:t xml:space="preserve"> Nevertheless, some factors are more important than others, and can help to explain broader trends observed in retirement behaviour across the community as a whole.</w:t>
      </w:r>
    </w:p>
    <w:p w:rsidR="007C51D1" w:rsidRDefault="007C51D1" w:rsidP="005939B8">
      <w:pPr>
        <w:pStyle w:val="BodyText"/>
      </w:pPr>
      <w:r>
        <w:t xml:space="preserve">The factors that drive the retirement decisions of individuals can be characterised in a number of ways (supplementary paper 5). In assessing whether individuals are likely to change the timing of their retirement in response to a given policy — in this case, a change in the preservation age — it is helpful to distinguish between those who retire involuntarily and those who retire </w:t>
      </w:r>
      <w:r w:rsidRPr="004940AC">
        <w:t>voluntarily.</w:t>
      </w:r>
      <w:r>
        <w:t xml:space="preserve"> </w:t>
      </w:r>
    </w:p>
    <w:p w:rsidR="007C51D1" w:rsidRDefault="007C51D1" w:rsidP="005939B8">
      <w:pPr>
        <w:pStyle w:val="BodyText"/>
      </w:pPr>
      <w:r>
        <w:t xml:space="preserve">Involuntary retirement occurs where individuals do not get to exercise choice about whether or not to continue to participate in the workforce (this might be due to factors such as ill health or redundancy). In contrast, individuals who retire voluntarily elect to do so (and it is assumed that they time their retirement to maximise their own utility). Distinguishing between the two is important — those who retire involuntarily may have little or no scope to alter the timing of their retirement and empirical evidence suggests that </w:t>
      </w:r>
      <w:r w:rsidRPr="0074063C">
        <w:t>they may be substantial in number.</w:t>
      </w:r>
    </w:p>
    <w:p w:rsidR="007C51D1" w:rsidRDefault="007C51D1" w:rsidP="005939B8">
      <w:pPr>
        <w:pStyle w:val="Heading3"/>
      </w:pPr>
      <w:r>
        <w:t>Voluntary retirement</w:t>
      </w:r>
    </w:p>
    <w:p w:rsidR="007C51D1" w:rsidRDefault="007C51D1" w:rsidP="005939B8">
      <w:pPr>
        <w:pStyle w:val="BodyText"/>
      </w:pPr>
      <w:r>
        <w:t xml:space="preserve">Central to any discussion of the drivers of voluntary retirement are the incentives established by the three pillars of the retirement system and their associated milestone ages. An examination of year on year changes in the proportion of individuals who are retired at each age highlights the importance of the key policy ‘ages’ in explaining </w:t>
      </w:r>
      <w:r>
        <w:lastRenderedPageBreak/>
        <w:t>retirement behaviour. Spikes in retirement rates occur at the preservation age, the tax</w:t>
      </w:r>
      <w:r>
        <w:noBreakHyphen/>
        <w:t>free superannuation age and most noticeably at the Age Pension eligibility age (figure 3.1</w:t>
      </w:r>
      <w:r w:rsidRPr="002A40E9">
        <w:t>)</w:t>
      </w:r>
      <w:r>
        <w:t>.</w:t>
      </w:r>
    </w:p>
    <w:p w:rsidR="007C51D1" w:rsidRDefault="007C51D1" w:rsidP="005939B8">
      <w:pPr>
        <w:pStyle w:val="BodyText"/>
        <w:rPr>
          <w:iCs/>
        </w:rPr>
      </w:pPr>
      <w:r>
        <w:t xml:space="preserve">These patterns are consistent with empirical research into retirement drivers, which find that the financial incentives embedded in the </w:t>
      </w:r>
      <w:r w:rsidRPr="00611197">
        <w:rPr>
          <w:iCs/>
        </w:rPr>
        <w:t>retirement</w:t>
      </w:r>
      <w:r>
        <w:rPr>
          <w:iCs/>
        </w:rPr>
        <w:t xml:space="preserve"> </w:t>
      </w:r>
      <w:r w:rsidRPr="00611197">
        <w:rPr>
          <w:iCs/>
        </w:rPr>
        <w:t xml:space="preserve">system </w:t>
      </w:r>
      <w:r>
        <w:rPr>
          <w:iCs/>
        </w:rPr>
        <w:t xml:space="preserve">influence retirement behaviour, particularly for men </w:t>
      </w:r>
      <w:r w:rsidR="00F62614" w:rsidRPr="00F62614">
        <w:rPr>
          <w:szCs w:val="24"/>
        </w:rPr>
        <w:t>(</w:t>
      </w:r>
      <w:proofErr w:type="spellStart"/>
      <w:r w:rsidR="00F62614" w:rsidRPr="00F62614">
        <w:rPr>
          <w:szCs w:val="24"/>
        </w:rPr>
        <w:t>Chomik</w:t>
      </w:r>
      <w:proofErr w:type="spellEnd"/>
      <w:r w:rsidR="00F62614" w:rsidRPr="00F62614">
        <w:rPr>
          <w:szCs w:val="24"/>
        </w:rPr>
        <w:t xml:space="preserve"> and Piggott 2012a; </w:t>
      </w:r>
      <w:proofErr w:type="spellStart"/>
      <w:r w:rsidR="00F62614" w:rsidRPr="00F62614">
        <w:rPr>
          <w:szCs w:val="24"/>
        </w:rPr>
        <w:t>Headey</w:t>
      </w:r>
      <w:proofErr w:type="spellEnd"/>
      <w:r w:rsidR="00F62614" w:rsidRPr="00F62614">
        <w:rPr>
          <w:szCs w:val="24"/>
        </w:rPr>
        <w:t xml:space="preserve">, </w:t>
      </w:r>
      <w:proofErr w:type="spellStart"/>
      <w:r w:rsidR="00F62614" w:rsidRPr="00F62614">
        <w:rPr>
          <w:szCs w:val="24"/>
        </w:rPr>
        <w:t>Freebairn</w:t>
      </w:r>
      <w:proofErr w:type="spellEnd"/>
      <w:r w:rsidR="00F62614" w:rsidRPr="00F62614">
        <w:rPr>
          <w:szCs w:val="24"/>
        </w:rPr>
        <w:t xml:space="preserve"> and Warren 2010; Warren and </w:t>
      </w:r>
      <w:proofErr w:type="spellStart"/>
      <w:r w:rsidR="00F62614" w:rsidRPr="00F62614">
        <w:rPr>
          <w:szCs w:val="24"/>
        </w:rPr>
        <w:t>Oguzoglu</w:t>
      </w:r>
      <w:proofErr w:type="spellEnd"/>
      <w:r w:rsidR="00F62614" w:rsidRPr="00F62614">
        <w:rPr>
          <w:szCs w:val="24"/>
        </w:rPr>
        <w:t> 2010)</w:t>
      </w:r>
      <w:r w:rsidRPr="00611197">
        <w:rPr>
          <w:iCs/>
        </w:rPr>
        <w:t>.</w:t>
      </w:r>
      <w:r>
        <w:rPr>
          <w:iCs/>
        </w:rPr>
        <w:t xml:space="preserve"> Of the three ages, the Age Pension eligibility age is found to have the largest impact on retirement behaviour. </w:t>
      </w:r>
    </w:p>
    <w:p w:rsidR="007C51D1" w:rsidRDefault="007C51D1" w:rsidP="005939B8">
      <w:pPr>
        <w:pStyle w:val="BodyText"/>
      </w:pPr>
      <w:r>
        <w:t xml:space="preserve">Apart from their financial dimension, the policy ages also play a role in establishing community norms or expectations regarding the acceptable or appropriate age at which to retire </w:t>
      </w:r>
      <w:r w:rsidR="00F62614" w:rsidRPr="00F62614">
        <w:rPr>
          <w:szCs w:val="24"/>
        </w:rPr>
        <w:t>(</w:t>
      </w:r>
      <w:proofErr w:type="spellStart"/>
      <w:r w:rsidR="00F62614" w:rsidRPr="00F62614">
        <w:rPr>
          <w:szCs w:val="24"/>
        </w:rPr>
        <w:t>Headey</w:t>
      </w:r>
      <w:proofErr w:type="spellEnd"/>
      <w:r w:rsidR="00F62614" w:rsidRPr="00F62614">
        <w:rPr>
          <w:szCs w:val="24"/>
        </w:rPr>
        <w:t xml:space="preserve">, </w:t>
      </w:r>
      <w:proofErr w:type="spellStart"/>
      <w:r w:rsidR="00F62614" w:rsidRPr="00F62614">
        <w:rPr>
          <w:szCs w:val="24"/>
        </w:rPr>
        <w:t>Freebairn</w:t>
      </w:r>
      <w:proofErr w:type="spellEnd"/>
      <w:r w:rsidR="00F62614" w:rsidRPr="00F62614">
        <w:rPr>
          <w:szCs w:val="24"/>
        </w:rPr>
        <w:t xml:space="preserve"> and Warren 2010; Ingles 2000; PC 2013)</w:t>
      </w:r>
      <w:r>
        <w:t xml:space="preserve">. The conditioning or signalling role of the ages may be a more important influence on retirement behaviour than the financial role, particularly given the complex financial incentives characterising the current system </w:t>
      </w:r>
      <w:r w:rsidR="00F62614" w:rsidRPr="00F62614">
        <w:rPr>
          <w:szCs w:val="24"/>
        </w:rPr>
        <w:t>(</w:t>
      </w:r>
      <w:proofErr w:type="spellStart"/>
      <w:r w:rsidR="00F62614" w:rsidRPr="00F62614">
        <w:rPr>
          <w:szCs w:val="24"/>
        </w:rPr>
        <w:t>Headey</w:t>
      </w:r>
      <w:proofErr w:type="spellEnd"/>
      <w:r w:rsidR="00F62614" w:rsidRPr="00F62614">
        <w:rPr>
          <w:szCs w:val="24"/>
        </w:rPr>
        <w:t xml:space="preserve">, </w:t>
      </w:r>
      <w:proofErr w:type="spellStart"/>
      <w:r w:rsidR="00F62614" w:rsidRPr="00F62614">
        <w:rPr>
          <w:szCs w:val="24"/>
        </w:rPr>
        <w:t>Freebairn</w:t>
      </w:r>
      <w:proofErr w:type="spellEnd"/>
      <w:r w:rsidR="00F62614" w:rsidRPr="00F62614">
        <w:rPr>
          <w:szCs w:val="24"/>
        </w:rPr>
        <w:t xml:space="preserve"> and Warren 2010; Warren and </w:t>
      </w:r>
      <w:proofErr w:type="spellStart"/>
      <w:r w:rsidR="00F62614" w:rsidRPr="00F62614">
        <w:rPr>
          <w:szCs w:val="24"/>
        </w:rPr>
        <w:t>Oguzoglu</w:t>
      </w:r>
      <w:proofErr w:type="spellEnd"/>
      <w:r w:rsidR="00F62614" w:rsidRPr="00F62614">
        <w:rPr>
          <w:szCs w:val="24"/>
        </w:rPr>
        <w:t> 2010)</w:t>
      </w:r>
      <w:r>
        <w:t xml:space="preserve">.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1</w:t>
            </w:r>
            <w:r>
              <w:tab/>
              <w:t>Change in annual retirement rate at each year of age in 2011</w:t>
            </w:r>
            <w:r w:rsidRPr="0074063C">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13062C" w:rsidP="005939B8">
                  <w:pPr>
                    <w:pStyle w:val="Figure"/>
                    <w:spacing w:before="60" w:after="60"/>
                  </w:pPr>
                  <w:r>
                    <w:rPr>
                      <w:noProof/>
                    </w:rPr>
                    <w:drawing>
                      <wp:inline distT="0" distB="0" distL="0" distR="0">
                        <wp:extent cx="5260975" cy="2802890"/>
                        <wp:effectExtent l="0" t="0" r="0" b="0"/>
                        <wp:docPr id="195" name="Picture 195" descr="Figure 3.1 Change in annual retirement rate at each year of age in 2011. Line graph showing the year on year change in the retirement rates of males, females and persons, from ages 51 through 7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260975" cy="280289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r>
              <w:rPr>
                <w:rStyle w:val="NoteLabel"/>
              </w:rPr>
              <w:t>a</w:t>
            </w:r>
            <w:proofErr w:type="spellEnd"/>
            <w:r w:rsidRPr="00784A05">
              <w:rPr>
                <w:i/>
              </w:rPr>
              <w:t xml:space="preserve"> </w:t>
            </w:r>
            <w:r w:rsidRPr="00D16D3B">
              <w:t>In 2011, the preservation age was 55 years, the tax free superannuation age was 60 years</w:t>
            </w:r>
            <w:r>
              <w:t>,</w:t>
            </w:r>
            <w:r w:rsidRPr="00D16D3B">
              <w:t xml:space="preserve"> and the Age Pension age was 64 years for women and 65 years for men.</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ABS (</w:t>
            </w:r>
            <w:r w:rsidRPr="0015017F">
              <w:rPr>
                <w:i/>
              </w:rPr>
              <w:t>Census of Population and Housing</w:t>
            </w:r>
            <w:r>
              <w:rPr>
                <w:i/>
              </w:rPr>
              <w:t>, 2011</w:t>
            </w:r>
            <w:r w:rsidRPr="0015017F">
              <w:t>)</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The financial incentives associated with the three milestone ages form part of a broader set of financial factors that individuals weigh up in making retirement decisions. Other influences include home ownership status (people who own their home outright tend to retire earlier than those that do not), and the number of dependent children living at home (the greater the number, the longer the wait until retirement). </w:t>
      </w:r>
    </w:p>
    <w:p w:rsidR="007C51D1" w:rsidRDefault="007C51D1" w:rsidP="005939B8">
      <w:pPr>
        <w:pStyle w:val="BodyText"/>
      </w:pPr>
      <w:r>
        <w:lastRenderedPageBreak/>
        <w:t xml:space="preserve">Not all factors that shape voluntary retirement decisions are financial in nature. For example, the retirement decisions of women are strongly influenced by their partner’s employment status. Although men tend to be more responsive to financial factors, other issues, such as the length of time spent in the workforce, also appear to impact on their retirement decisions </w:t>
      </w:r>
      <w:r w:rsidR="00F62614" w:rsidRPr="00F62614">
        <w:rPr>
          <w:szCs w:val="24"/>
        </w:rPr>
        <w:t xml:space="preserve">(Warren and </w:t>
      </w:r>
      <w:proofErr w:type="spellStart"/>
      <w:r w:rsidR="00F62614" w:rsidRPr="00F62614">
        <w:rPr>
          <w:szCs w:val="24"/>
        </w:rPr>
        <w:t>Oguzoglu</w:t>
      </w:r>
      <w:proofErr w:type="spellEnd"/>
      <w:r w:rsidR="00F62614" w:rsidRPr="00F62614">
        <w:rPr>
          <w:szCs w:val="24"/>
        </w:rPr>
        <w:t> 2010)</w:t>
      </w:r>
      <w:r>
        <w:t>.</w:t>
      </w:r>
      <w:r w:rsidRPr="00216A16">
        <w:rPr>
          <w:rStyle w:val="FootnoteReference"/>
        </w:rPr>
        <w:footnoteReference w:id="9"/>
      </w:r>
      <w:r>
        <w:t xml:space="preserve"> </w:t>
      </w:r>
    </w:p>
    <w:p w:rsidR="007C51D1" w:rsidRDefault="007C51D1" w:rsidP="005939B8">
      <w:pPr>
        <w:pStyle w:val="Heading3"/>
      </w:pPr>
      <w:r>
        <w:t>Involuntary retirement</w:t>
      </w:r>
    </w:p>
    <w:p w:rsidR="007C51D1" w:rsidRDefault="007C51D1" w:rsidP="005939B8">
      <w:pPr>
        <w:pStyle w:val="BodyText"/>
      </w:pPr>
      <w:r>
        <w:t>The various financial and non</w:t>
      </w:r>
      <w:r>
        <w:noBreakHyphen/>
        <w:t>financial factors above go a long way to explain retirement behaviour. However, many people appear to have much less choice over the timing of their exit from the labour force. Data from the Household, Income and Labour Dynamics in Australia (HILDA) survey and other sources show that a large proportion of mature age Australians retire involuntarily, mostly for health reasons, but also due to an inability to maintain or find a job (figure 3.2</w:t>
      </w:r>
      <w:r w:rsidRPr="00BC6083">
        <w:t>).</w:t>
      </w:r>
      <w:r>
        <w:t xml:space="preserve">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D43BA6">
              <w:rPr>
                <w:b w:val="0"/>
              </w:rPr>
              <w:t xml:space="preserve">Figure </w:t>
            </w:r>
            <w:r>
              <w:rPr>
                <w:b w:val="0"/>
              </w:rPr>
              <w:t>3.</w:t>
            </w:r>
            <w:r>
              <w:rPr>
                <w:b w:val="0"/>
                <w:noProof/>
              </w:rPr>
              <w:t>2</w:t>
            </w:r>
            <w:r>
              <w:tab/>
            </w:r>
            <w:r w:rsidRPr="0074063C">
              <w:t>Number of persons retiring, by age and reason</w:t>
            </w:r>
            <w:r w:rsidRPr="0074063C">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D51E8B" w:rsidP="005939B8">
                  <w:pPr>
                    <w:pStyle w:val="Figure"/>
                    <w:spacing w:before="60" w:after="60"/>
                  </w:pPr>
                  <w:bookmarkStart w:id="6" w:name="_1493799135"/>
                  <w:bookmarkEnd w:id="6"/>
                  <w:r>
                    <w:rPr>
                      <w:noProof/>
                    </w:rPr>
                    <w:drawing>
                      <wp:inline distT="0" distB="0" distL="0" distR="0">
                        <wp:extent cx="5262245" cy="2803525"/>
                        <wp:effectExtent l="0" t="0" r="0" b="0"/>
                        <wp:docPr id="196" name="Picture 196" descr="Figure 3.2 Number of persons retiring, by age and reason. &#10;Column chart showing the number of people who retired during the last five years, broken down by age cohort, and with the total number retired within each cohort further divided according to whether retirement was voluntary or involuntary, with three categories of involuntary retirement – job related, own ill-health, or ill health of spouse or family memb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Number of people aged over 40 who retired in the last five years, taken from 2011 census data. Reasons for retirement within each age group were derived from HILDA data.</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Pr>
                <w:i/>
              </w:rPr>
              <w:t>s</w:t>
            </w:r>
            <w:r w:rsidRPr="00176D3F">
              <w:t xml:space="preserve">: </w:t>
            </w:r>
            <w:r>
              <w:t>Commission estimates based on</w:t>
            </w:r>
            <w:r w:rsidRPr="001045F5">
              <w:t xml:space="preserve"> </w:t>
            </w:r>
            <w:r>
              <w:t>HILDA</w:t>
            </w:r>
            <w:r w:rsidRPr="001045F5">
              <w:t xml:space="preserve"> </w:t>
            </w:r>
            <w:r>
              <w:t>(2013, release 13, wave 11) and ABS (</w:t>
            </w:r>
            <w:r w:rsidRPr="0015017F">
              <w:rPr>
                <w:i/>
              </w:rPr>
              <w:t>Census of Population and Housing</w:t>
            </w:r>
            <w:r>
              <w:rPr>
                <w:i/>
              </w:rPr>
              <w:t>, 2011</w:t>
            </w:r>
            <w:r w:rsidRPr="0015017F">
              <w:t>)</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While rates of involuntary retirement decrease with age (and eventually become less important than voluntary retirement among people who retire at older ages), involuntary retirement remains a dominant reason for early exit from the workforce. Although difficult </w:t>
      </w:r>
      <w:r>
        <w:lastRenderedPageBreak/>
        <w:t xml:space="preserve">to measure definitively, it is possible that around one half of all Australians who retire between the ages of 45 and 70 do so involuntarily. </w:t>
      </w:r>
    </w:p>
    <w:p w:rsidR="007C51D1" w:rsidRDefault="007C51D1" w:rsidP="005939B8">
      <w:pPr>
        <w:pStyle w:val="BodyText"/>
      </w:pPr>
      <w:r>
        <w:t xml:space="preserve">For individuals retiring involuntarily between the ages of 45 and 55, the key driver is ill health — either their own ill health or that of a spouse or family member (figure 3.2). Amongst this age cohort, women are more likely than men to retire involuntarily because of the need to undertake caring responsibilities, whereas men primarily retire because of their own ill health </w:t>
      </w:r>
      <w:r w:rsidR="00F62614" w:rsidRPr="00F62614">
        <w:rPr>
          <w:szCs w:val="24"/>
        </w:rPr>
        <w:t>(Borland 2005; Warren 2006)</w:t>
      </w:r>
      <w:r>
        <w:t>.</w:t>
      </w:r>
    </w:p>
    <w:p w:rsidR="007C51D1" w:rsidRPr="005E7473" w:rsidRDefault="007C51D1" w:rsidP="005939B8">
      <w:pPr>
        <w:pStyle w:val="BodyText"/>
      </w:pPr>
      <w:r>
        <w:t>Involuntary retirement for job</w:t>
      </w:r>
      <w:r>
        <w:noBreakHyphen/>
        <w:t xml:space="preserve">related reasons is more important among 60 to 70 year olds (for example, around 40 per cent of people retiring involuntarily at this age do so because they were unable to find or keep a job). This may be evidence of a broader lack of job opportunities for older workers or workplace bias </w:t>
      </w:r>
      <w:r w:rsidR="00F62614" w:rsidRPr="00F62614">
        <w:rPr>
          <w:szCs w:val="24"/>
        </w:rPr>
        <w:t>(Borland 2005)</w:t>
      </w:r>
      <w:r>
        <w:t xml:space="preserve">. </w:t>
      </w:r>
      <w:proofErr w:type="spellStart"/>
      <w:r w:rsidRPr="005E7473">
        <w:t>Headey</w:t>
      </w:r>
      <w:proofErr w:type="spellEnd"/>
      <w:r w:rsidRPr="005E7473">
        <w:t xml:space="preserve"> et al</w:t>
      </w:r>
      <w:r>
        <w:t>.</w:t>
      </w:r>
      <w:r w:rsidRPr="005E7473">
        <w:t xml:space="preserve"> </w:t>
      </w:r>
      <w:r w:rsidR="00F62614" w:rsidRPr="00F62614">
        <w:t>(2007)</w:t>
      </w:r>
      <w:r w:rsidRPr="005E7473">
        <w:t xml:space="preserve"> find evidence that ‘employers generally perceive older people as worth retaining in their current jobs, but not worth hiring as new employees’</w:t>
      </w:r>
      <w:r>
        <w:t xml:space="preserve"> (p. 13)</w:t>
      </w:r>
      <w:r w:rsidRPr="005E7473">
        <w:t xml:space="preserve">. </w:t>
      </w:r>
    </w:p>
    <w:p w:rsidR="007C51D1" w:rsidRDefault="007C51D1" w:rsidP="005939B8">
      <w:pPr>
        <w:pStyle w:val="BodyText"/>
      </w:pPr>
      <w:r w:rsidRPr="005E7473">
        <w:t xml:space="preserve">More recently, the Australian Human Rights Commission </w:t>
      </w:r>
      <w:r w:rsidR="00F62614" w:rsidRPr="00F62614">
        <w:t>(2015)</w:t>
      </w:r>
      <w:r w:rsidRPr="005E7473">
        <w:t xml:space="preserve"> found that many Australians over the age of 50 </w:t>
      </w:r>
      <w:proofErr w:type="gramStart"/>
      <w:r w:rsidRPr="005E7473">
        <w:t>experience</w:t>
      </w:r>
      <w:proofErr w:type="gramEnd"/>
      <w:r w:rsidRPr="005E7473">
        <w:t xml:space="preserve"> some form of age discrimination in the workplace, with the highest rates of discrimination observed in the population aged between 55 and 64.</w:t>
      </w:r>
    </w:p>
    <w:p w:rsidR="007C51D1" w:rsidRDefault="007C51D1" w:rsidP="005939B8">
      <w:pPr>
        <w:pStyle w:val="BodyText"/>
      </w:pPr>
      <w:r>
        <w:t xml:space="preserve">On balance, the empirical evidence indicates that many Australians </w:t>
      </w:r>
      <w:r w:rsidRPr="00304C15">
        <w:rPr>
          <w:i/>
        </w:rPr>
        <w:t>become</w:t>
      </w:r>
      <w:r>
        <w:t xml:space="preserve"> retired, rather than enter this state freely at a time of their own choosing. These individuals have less scope to change their behaviour in response to policy changes such as increases in the preservation age or the Age Pension age. The involuntarily retired also have lower levels of accumulated assets than voluntary retirees, raising equity issues. Apart from the importance of this result for the immediate task of modelling the impacts of changes to the key policy ages, a better understanding of the nature and scope of involuntary retirement could help to identify other pathways to encourage higher labour participation among mature age Australians.</w:t>
      </w:r>
      <w:r w:rsidRPr="00216A16">
        <w:rPr>
          <w:rStyle w:val="FootnoteReference"/>
        </w:rPr>
        <w:footnoteReference w:id="10"/>
      </w:r>
      <w:r>
        <w:t xml:space="preserve"> </w:t>
      </w:r>
    </w:p>
    <w:p w:rsidR="007C51D1" w:rsidRDefault="007C51D1" w:rsidP="005939B8">
      <w:pPr>
        <w:pStyle w:val="Heading2"/>
      </w:pPr>
      <w:r>
        <w:t>3.</w:t>
      </w:r>
      <w:r>
        <w:rPr>
          <w:noProof/>
        </w:rPr>
        <w:t>2</w:t>
      </w:r>
      <w:r>
        <w:tab/>
        <w:t>How is retirement behaviour changing?</w:t>
      </w:r>
    </w:p>
    <w:p w:rsidR="007C51D1" w:rsidRDefault="007C51D1" w:rsidP="005939B8">
      <w:pPr>
        <w:pStyle w:val="BodyText"/>
      </w:pPr>
      <w:r>
        <w:t>The propensity to retire begins to increase from around the age of 50, with the greatest rates of exit from the workforce typically occurring between the ages of 55 and 70. As discussed above, the single most common age of retirement is the Age Pension age with (lesser pronounced) spikes in retirement occurring around the preservation age, and the tax free superannuation age.</w:t>
      </w:r>
      <w:r w:rsidRPr="00FB47D8">
        <w:t xml:space="preserve"> </w:t>
      </w:r>
    </w:p>
    <w:p w:rsidR="007C51D1" w:rsidRDefault="007C51D1" w:rsidP="005939B8">
      <w:pPr>
        <w:pStyle w:val="BodyText"/>
      </w:pPr>
      <w:r>
        <w:lastRenderedPageBreak/>
        <w:t xml:space="preserve">By the age of 75, most people who intend to retire have </w:t>
      </w:r>
      <w:r w:rsidRPr="001441E6">
        <w:t xml:space="preserve">retired. </w:t>
      </w:r>
      <w:r>
        <w:t>J</w:t>
      </w:r>
      <w:r w:rsidRPr="001441E6">
        <w:t>ust over 2 per cent of those aged over 45 years — mostly farmers and the self</w:t>
      </w:r>
      <w:r>
        <w:noBreakHyphen/>
      </w:r>
      <w:r w:rsidRPr="001441E6">
        <w:t xml:space="preserve">employed — never retire from the labour force, at least according to their responses to </w:t>
      </w:r>
      <w:r>
        <w:t>surveys of retirement intentions</w:t>
      </w:r>
      <w:r w:rsidRPr="001441E6">
        <w:t xml:space="preserve">. </w:t>
      </w:r>
    </w:p>
    <w:p w:rsidR="007C51D1" w:rsidRDefault="007C51D1" w:rsidP="005939B8">
      <w:pPr>
        <w:pStyle w:val="BodyText"/>
      </w:pPr>
      <w:r>
        <w:t xml:space="preserve">While these trends are broadly representative of the current cohort of retirees, the average age at which people retire is not fixed — rather it changes over time in response to a wide range of conditions and influences. For example, in the 1970s and 1980s there was a trend towards earlier retirement in Australia (figure 3.3). This trend was attributed to a number of factors, including more people having the means to retire early, which itself is a function of the increased incidence of second income earners in families, and the rising spread of occupational superannuation </w:t>
      </w:r>
      <w:r w:rsidR="00F62614" w:rsidRPr="00F62614">
        <w:rPr>
          <w:szCs w:val="24"/>
        </w:rPr>
        <w:t>(Ingles 2000)</w:t>
      </w:r>
      <w:r w:rsidRPr="00FE5F98">
        <w:t>.</w:t>
      </w:r>
      <w:r w:rsidRPr="00216A16">
        <w:rPr>
          <w:rStyle w:val="FootnoteReference"/>
        </w:rPr>
        <w:footnoteReference w:id="11"/>
      </w:r>
    </w:p>
    <w:p w:rsidR="007C51D1" w:rsidRDefault="007C51D1" w:rsidP="005939B8">
      <w:pPr>
        <w:pStyle w:val="BodyText"/>
      </w:pPr>
      <w:r>
        <w:t xml:space="preserve">The increase in early retirement was also attributed to adverse labour market developments, including </w:t>
      </w:r>
      <w:r w:rsidRPr="00451E90">
        <w:t>discrimination against older workers (due to perceived skill and training deficiencies)</w:t>
      </w:r>
      <w:r>
        <w:t>, and a decline in blue</w:t>
      </w:r>
      <w:r>
        <w:noBreakHyphen/>
        <w:t xml:space="preserve">collar jobs brought on by mechanisation and other structural changes in the economy </w:t>
      </w:r>
      <w:r w:rsidR="00F62614" w:rsidRPr="00F62614">
        <w:rPr>
          <w:szCs w:val="24"/>
        </w:rPr>
        <w:t>(Ingles 2000; PC 1998)</w:t>
      </w:r>
      <w:r>
        <w:t>.</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bookmarkStart w:id="7" w:name="OLE_LINK2"/>
            <w:r>
              <w:rPr>
                <w:b w:val="0"/>
              </w:rPr>
              <w:t>3.</w:t>
            </w:r>
            <w:r>
              <w:rPr>
                <w:b w:val="0"/>
                <w:noProof/>
              </w:rPr>
              <w:t>3</w:t>
            </w:r>
            <w:bookmarkEnd w:id="7"/>
            <w:r>
              <w:tab/>
              <w:t>Average effective retirement age for those working</w:t>
            </w:r>
            <w:r w:rsidRPr="00B91265">
              <w:rPr>
                <w:rStyle w:val="NoteLabel"/>
                <w:b/>
              </w:rPr>
              <w:t>a</w:t>
            </w:r>
          </w:p>
          <w:p w:rsidR="007C51D1" w:rsidRPr="00176D3F" w:rsidRDefault="007C51D1" w:rsidP="005939B8">
            <w:pPr>
              <w:pStyle w:val="Subtitle"/>
            </w:pPr>
            <w:r>
              <w:t>1970 to 2012</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Default="007C51D1" w:rsidP="005939B8">
                  <w:pPr>
                    <w:pStyle w:val="Figure"/>
                    <w:spacing w:before="60" w:after="60"/>
                  </w:pPr>
                  <w:bookmarkStart w:id="8" w:name="_1493799136"/>
                  <w:bookmarkEnd w:id="8"/>
                  <w:r>
                    <w:rPr>
                      <w:noProof/>
                    </w:rPr>
                    <w:drawing>
                      <wp:inline distT="0" distB="0" distL="0" distR="0" wp14:anchorId="3E3EBDE6" wp14:editId="0807ED0F">
                        <wp:extent cx="5400040" cy="2872740"/>
                        <wp:effectExtent l="0" t="0" r="0" b="3810"/>
                        <wp:docPr id="41" name="Picture 41" descr="Figure 3.3 Average effective retirement age for those working, 1970 to 2012. Line chart showing the average effective retirement ages of men and women from 1970 to 2012. In both case the age of retirement generally declines from 1970 through to the 1980s/early 1990s, before increasing up to the present tim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proofErr w:type="gramStart"/>
            <w:r>
              <w:rPr>
                <w:rStyle w:val="NoteLabel"/>
              </w:rPr>
              <w:t>a</w:t>
            </w:r>
            <w:proofErr w:type="spellEnd"/>
            <w:proofErr w:type="gramEnd"/>
            <w:r>
              <w:t xml:space="preserve"> </w:t>
            </w:r>
            <w:r w:rsidRPr="0066201B">
              <w:t xml:space="preserve">The average </w:t>
            </w:r>
            <w:r w:rsidRPr="00EE55AD">
              <w:rPr>
                <w:i/>
              </w:rPr>
              <w:t>effective</w:t>
            </w:r>
            <w:r w:rsidRPr="0066201B">
              <w:t xml:space="preserve"> </w:t>
            </w:r>
            <w:r w:rsidRPr="00FF6D95">
              <w:rPr>
                <w:i/>
              </w:rPr>
              <w:t>age of retirement</w:t>
            </w:r>
            <w:r w:rsidRPr="0066201B">
              <w:t xml:space="preserve"> </w:t>
            </w:r>
            <w:r>
              <w:t>is an</w:t>
            </w:r>
            <w:r w:rsidRPr="00B15DDA">
              <w:t xml:space="preserve"> indirect measure </w:t>
            </w:r>
            <w:r>
              <w:t xml:space="preserve">of the actual retirement age. It is </w:t>
            </w:r>
            <w:r w:rsidRPr="0066201B">
              <w:t>calculated as a weighted average of (net) withdrawals from the labour market at different ages over a 5</w:t>
            </w:r>
            <w:r>
              <w:noBreakHyphen/>
            </w:r>
            <w:r w:rsidRPr="0066201B">
              <w:t>year period for workers initially aged 40 and over.</w:t>
            </w:r>
            <w:r>
              <w:t xml:space="preserve"> </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 xml:space="preserve">OECD </w:t>
            </w:r>
            <w:r w:rsidR="00F62614" w:rsidRPr="00F62614">
              <w:rPr>
                <w:rFonts w:cs="Arial"/>
              </w:rPr>
              <w:t>(2015)</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keepNext/>
        <w:keepLines/>
        <w:rPr>
          <w:rFonts w:ascii="Arial" w:hAnsi="Arial"/>
          <w:b/>
          <w:sz w:val="26"/>
        </w:rPr>
      </w:pPr>
      <w:r>
        <w:rPr>
          <w:rFonts w:ascii="Arial" w:hAnsi="Arial"/>
          <w:b/>
          <w:sz w:val="26"/>
        </w:rPr>
        <w:lastRenderedPageBreak/>
        <w:t>There has been a gradual shift towards later retirement</w:t>
      </w:r>
    </w:p>
    <w:p w:rsidR="007C51D1" w:rsidRDefault="007C51D1" w:rsidP="005939B8">
      <w:pPr>
        <w:pStyle w:val="BodyText"/>
        <w:keepNext/>
        <w:keepLines/>
      </w:pPr>
      <w:r>
        <w:t>In contrast to the retirement patterns observed in the 1970s and the early 1980s, over the past 10 to 15 years</w:t>
      </w:r>
      <w:r w:rsidRPr="009E58A1">
        <w:t xml:space="preserve"> </w:t>
      </w:r>
      <w:r>
        <w:t xml:space="preserve">the average age at which both </w:t>
      </w:r>
      <w:r w:rsidRPr="009E58A1">
        <w:t xml:space="preserve">males and females have been retiring </w:t>
      </w:r>
      <w:r>
        <w:t>has been increasing</w:t>
      </w:r>
      <w:r w:rsidRPr="009E58A1" w:rsidDel="00775B28">
        <w:t xml:space="preserve"> </w:t>
      </w:r>
      <w:r>
        <w:t>(figures 3.3 and 3.4).</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4</w:t>
            </w:r>
            <w:r>
              <w:tab/>
              <w:t>Proportion of individuals who are retired, by gender and age cohort</w:t>
            </w:r>
            <w:r>
              <w:rPr>
                <w:rStyle w:val="NoteLabel"/>
              </w:rPr>
              <w:t xml:space="preserve"> </w:t>
            </w:r>
            <w:r w:rsidRPr="00612C79">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Tr="005939B8">
              <w:trPr>
                <w:jc w:val="center"/>
              </w:trPr>
              <w:tc>
                <w:tcPr>
                  <w:tcW w:w="4252" w:type="dxa"/>
                  <w:tcBorders>
                    <w:top w:val="nil"/>
                    <w:bottom w:val="nil"/>
                  </w:tcBorders>
                </w:tcPr>
                <w:p w:rsidR="007C51D1" w:rsidRDefault="007C51D1" w:rsidP="005939B8">
                  <w:pPr>
                    <w:pStyle w:val="Figure"/>
                    <w:spacing w:before="60" w:after="60"/>
                    <w:rPr>
                      <w:rFonts w:asciiTheme="minorHAnsi" w:hAnsiTheme="minorHAnsi" w:cstheme="minorHAnsi"/>
                      <w:b/>
                      <w:sz w:val="20"/>
                    </w:rPr>
                  </w:pPr>
                  <w:r w:rsidRPr="00805E5B">
                    <w:rPr>
                      <w:rFonts w:asciiTheme="minorHAnsi" w:hAnsiTheme="minorHAnsi" w:cstheme="minorHAnsi"/>
                      <w:b/>
                      <w:sz w:val="20"/>
                    </w:rPr>
                    <w:t>(</w:t>
                  </w:r>
                  <w:proofErr w:type="spellStart"/>
                  <w:r w:rsidRPr="00805E5B">
                    <w:rPr>
                      <w:rFonts w:asciiTheme="minorHAnsi" w:hAnsiTheme="minorHAnsi" w:cstheme="minorHAnsi"/>
                      <w:b/>
                      <w:sz w:val="20"/>
                    </w:rPr>
                    <w:t>i</w:t>
                  </w:r>
                  <w:proofErr w:type="spellEnd"/>
                  <w:r w:rsidRPr="00805E5B">
                    <w:rPr>
                      <w:rFonts w:asciiTheme="minorHAnsi" w:hAnsiTheme="minorHAnsi" w:cstheme="minorHAnsi"/>
                      <w:b/>
                      <w:sz w:val="20"/>
                    </w:rPr>
                    <w:t>) Male</w:t>
                  </w:r>
                </w:p>
                <w:p w:rsidR="007C51D1" w:rsidRPr="00805E5B" w:rsidRDefault="007C51D1" w:rsidP="005939B8">
                  <w:pPr>
                    <w:pStyle w:val="Figure"/>
                    <w:spacing w:before="60" w:after="60"/>
                    <w:rPr>
                      <w:rFonts w:asciiTheme="minorHAnsi" w:hAnsiTheme="minorHAnsi" w:cstheme="minorHAnsi"/>
                      <w:b/>
                      <w:sz w:val="20"/>
                    </w:rPr>
                  </w:pPr>
                  <w:r>
                    <w:rPr>
                      <w:rFonts w:asciiTheme="minorHAnsi" w:hAnsiTheme="minorHAnsi" w:cstheme="minorHAnsi"/>
                      <w:b/>
                      <w:noProof/>
                      <w:sz w:val="20"/>
                    </w:rPr>
                    <w:drawing>
                      <wp:inline distT="0" distB="0" distL="0" distR="0" wp14:anchorId="331E1D62" wp14:editId="255A16A3">
                        <wp:extent cx="2562045" cy="2881223"/>
                        <wp:effectExtent l="0" t="0" r="0" b="0"/>
                        <wp:docPr id="42" name="Picture 42" descr="Figure 3.4 Proportion of individuals who are retired, by gender and age cohort. Two line charts side by side, one for males and one for females, depicting changes since 1986 in the proportion of individuals (by age cohort) who are retired. Both charts show a trend to increased workforce participation since 1986, with bigger increases for women than me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562225" cy="2881425"/>
                                </a:xfrm>
                                <a:prstGeom prst="rect">
                                  <a:avLst/>
                                </a:prstGeom>
                                <a:noFill/>
                                <a:ln>
                                  <a:noFill/>
                                </a:ln>
                              </pic:spPr>
                            </pic:pic>
                          </a:graphicData>
                        </a:graphic>
                      </wp:inline>
                    </w:drawing>
                  </w:r>
                </w:p>
              </w:tc>
              <w:tc>
                <w:tcPr>
                  <w:tcW w:w="4252" w:type="dxa"/>
                  <w:tcBorders>
                    <w:top w:val="nil"/>
                    <w:bottom w:val="nil"/>
                  </w:tcBorders>
                </w:tcPr>
                <w:p w:rsidR="007C51D1" w:rsidRDefault="007C51D1" w:rsidP="005939B8">
                  <w:pPr>
                    <w:pStyle w:val="Figure"/>
                    <w:spacing w:before="60" w:after="60"/>
                    <w:rPr>
                      <w:rFonts w:asciiTheme="minorHAnsi" w:hAnsiTheme="minorHAnsi" w:cstheme="minorHAnsi"/>
                      <w:b/>
                      <w:sz w:val="20"/>
                    </w:rPr>
                  </w:pPr>
                  <w:r w:rsidRPr="00805E5B">
                    <w:rPr>
                      <w:rFonts w:asciiTheme="minorHAnsi" w:hAnsiTheme="minorHAnsi" w:cstheme="minorHAnsi"/>
                      <w:b/>
                      <w:sz w:val="20"/>
                    </w:rPr>
                    <w:t>(ii) Female</w:t>
                  </w:r>
                </w:p>
                <w:p w:rsidR="007C51D1" w:rsidRPr="00805E5B" w:rsidRDefault="007C51D1" w:rsidP="005939B8">
                  <w:pPr>
                    <w:pStyle w:val="Figure"/>
                    <w:spacing w:before="60" w:after="60"/>
                    <w:rPr>
                      <w:rFonts w:asciiTheme="minorHAnsi" w:hAnsiTheme="minorHAnsi" w:cstheme="minorHAnsi"/>
                      <w:b/>
                      <w:sz w:val="20"/>
                    </w:rPr>
                  </w:pPr>
                  <w:r>
                    <w:rPr>
                      <w:rFonts w:asciiTheme="minorHAnsi" w:hAnsiTheme="minorHAnsi" w:cstheme="minorHAnsi"/>
                      <w:b/>
                      <w:noProof/>
                      <w:sz w:val="20"/>
                    </w:rPr>
                    <w:drawing>
                      <wp:inline distT="0" distB="0" distL="0" distR="0" wp14:anchorId="0C23437C" wp14:editId="3FE09E79">
                        <wp:extent cx="2562046" cy="2881223"/>
                        <wp:effectExtent l="0" t="0" r="0" b="0"/>
                        <wp:docPr id="43" name="Picture 43" descr="read previou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562225" cy="2881424"/>
                                </a:xfrm>
                                <a:prstGeom prst="rect">
                                  <a:avLst/>
                                </a:prstGeom>
                                <a:noFill/>
                                <a:ln>
                                  <a:noFill/>
                                </a:ln>
                              </pic:spPr>
                            </pic:pic>
                          </a:graphicData>
                        </a:graphic>
                      </wp:inline>
                    </w:drawing>
                  </w:r>
                </w:p>
              </w:tc>
            </w:tr>
            <w:tr w:rsidR="007C51D1" w:rsidTr="005939B8">
              <w:trPr>
                <w:jc w:val="center"/>
              </w:trPr>
              <w:tc>
                <w:tcPr>
                  <w:tcW w:w="8504" w:type="dxa"/>
                  <w:gridSpan w:val="2"/>
                  <w:tcBorders>
                    <w:top w:val="nil"/>
                    <w:bottom w:val="nil"/>
                  </w:tcBorders>
                </w:tcPr>
                <w:p w:rsidR="007C51D1" w:rsidRDefault="007C51D1" w:rsidP="005939B8">
                  <w:pPr>
                    <w:pStyle w:val="Figure"/>
                    <w:spacing w:before="60" w:after="60"/>
                  </w:pPr>
                  <w:r>
                    <w:rPr>
                      <w:noProof/>
                    </w:rPr>
                    <w:drawing>
                      <wp:inline distT="0" distB="0" distL="0" distR="0" wp14:anchorId="272C6B2A" wp14:editId="6E17F09D">
                        <wp:extent cx="5262245" cy="534670"/>
                        <wp:effectExtent l="0" t="0" r="0" b="0"/>
                        <wp:docPr id="44" name="Picture 44" descr="legend for preevious two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262245" cy="53467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Proportion of individuals in each age cohort classified as being ‘Not in the workforce’.</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ABS (</w:t>
            </w:r>
            <w:r>
              <w:rPr>
                <w:i/>
              </w:rPr>
              <w:t xml:space="preserve">Labour Force, Australia, Detailed – Electronic Delivery, Jan 2015, </w:t>
            </w:r>
            <w:r>
              <w:t>Cat. no. 6291.0.55.001).</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For females, </w:t>
      </w:r>
      <w:r w:rsidRPr="009E58A1">
        <w:t>the change is due to increased labour force parti</w:t>
      </w:r>
      <w:r>
        <w:t>cipation across all age groups, and reflects a longer</w:t>
      </w:r>
      <w:r>
        <w:noBreakHyphen/>
        <w:t xml:space="preserve">term development that dates back to the </w:t>
      </w:r>
      <w:r w:rsidRPr="009E58A1">
        <w:t>1980s.</w:t>
      </w:r>
      <w:r>
        <w:t xml:space="preserve"> T</w:t>
      </w:r>
      <w:r w:rsidRPr="00725FF5">
        <w:t xml:space="preserve">he increase in female participation rates </w:t>
      </w:r>
      <w:r>
        <w:t xml:space="preserve">over this period </w:t>
      </w:r>
      <w:r w:rsidRPr="00725FF5">
        <w:t>resulted from increased levels of education, changing social attitudes towards gender roles, declining fertility rates, better access to childcare services and more flexible working arrangements</w:t>
      </w:r>
      <w:r>
        <w:t xml:space="preserve"> </w:t>
      </w:r>
      <w:r w:rsidR="00F62614" w:rsidRPr="00F62614">
        <w:rPr>
          <w:szCs w:val="24"/>
        </w:rPr>
        <w:t>(Australian Government 2015a)</w:t>
      </w:r>
      <w:r w:rsidRPr="00725FF5">
        <w:t>.</w:t>
      </w:r>
      <w:r w:rsidRPr="00FB47D8">
        <w:t xml:space="preserve"> </w:t>
      </w:r>
      <w:r w:rsidRPr="009E58A1">
        <w:t xml:space="preserve">For males, the move to later retirement is mostly due to an increase in </w:t>
      </w:r>
      <w:r>
        <w:t xml:space="preserve">the </w:t>
      </w:r>
      <w:r w:rsidRPr="009E58A1">
        <w:t xml:space="preserve">labour force participation </w:t>
      </w:r>
      <w:r>
        <w:t>of</w:t>
      </w:r>
      <w:r w:rsidRPr="009E58A1">
        <w:t xml:space="preserve"> older </w:t>
      </w:r>
      <w:r>
        <w:t>cohorts (particularly those aged between 60 and 70)</w:t>
      </w:r>
      <w:r w:rsidRPr="009E58A1">
        <w:t>,</w:t>
      </w:r>
      <w:r>
        <w:t xml:space="preserve"> and has largely</w:t>
      </w:r>
      <w:r w:rsidRPr="009E58A1">
        <w:t xml:space="preserve"> </w:t>
      </w:r>
      <w:r>
        <w:t xml:space="preserve">occurred </w:t>
      </w:r>
      <w:r w:rsidRPr="009E58A1">
        <w:t>in the period since 2001</w:t>
      </w:r>
      <w:r>
        <w:t>.</w:t>
      </w:r>
    </w:p>
    <w:p w:rsidR="007C51D1" w:rsidRDefault="007C51D1" w:rsidP="005939B8">
      <w:pPr>
        <w:pStyle w:val="BodyText"/>
      </w:pPr>
      <w:r>
        <w:t xml:space="preserve">Notwithstanding the move towards later retirement, rates of workforce participation among </w:t>
      </w:r>
      <w:r w:rsidRPr="00FE5F98">
        <w:t xml:space="preserve">older Australians </w:t>
      </w:r>
      <w:r>
        <w:t>are</w:t>
      </w:r>
      <w:r w:rsidRPr="00FE5F98">
        <w:t xml:space="preserve"> lower than in some other countries (box</w:t>
      </w:r>
      <w:r>
        <w:t> </w:t>
      </w:r>
      <w:r w:rsidRPr="00FE5F98">
        <w:t>3.1). This and other factors</w:t>
      </w:r>
      <w:r>
        <w:t>,</w:t>
      </w:r>
      <w:r w:rsidRPr="00FE5F98">
        <w:t xml:space="preserve"> </w:t>
      </w:r>
      <w:r w:rsidRPr="00FE5F98">
        <w:lastRenderedPageBreak/>
        <w:t>such as latent demand among mature age workers for greater employment opportunities</w:t>
      </w:r>
      <w:r>
        <w:t>,</w:t>
      </w:r>
      <w:r w:rsidRPr="00FE5F98">
        <w:t xml:space="preserve"> have</w:t>
      </w:r>
      <w:r>
        <w:t xml:space="preserve"> led some to conclude that </w:t>
      </w:r>
      <w:r w:rsidRPr="00E239F9">
        <w:t xml:space="preserve">there </w:t>
      </w:r>
      <w:r>
        <w:t>is</w:t>
      </w:r>
      <w:r w:rsidRPr="00E239F9">
        <w:t xml:space="preserve"> scope to increase average rates of labour </w:t>
      </w:r>
      <w:r>
        <w:t xml:space="preserve">force </w:t>
      </w:r>
      <w:r w:rsidRPr="00E239F9">
        <w:t>participation among mature age Australians abov</w:t>
      </w:r>
      <w:r>
        <w:t>e current levels —</w:t>
      </w:r>
      <w:r w:rsidRPr="00E239F9">
        <w:t xml:space="preserve"> assuming that the right incentives and signals are in place.</w:t>
      </w:r>
      <w:r w:rsidRPr="00216A16">
        <w:rPr>
          <w:rStyle w:val="FootnoteReference"/>
        </w:rPr>
        <w:footnoteReference w:id="12"/>
      </w:r>
    </w:p>
    <w:p w:rsidR="007C51D1" w:rsidRDefault="007C51D1">
      <w:pPr>
        <w:pStyle w:val="BoxSpaceAbove"/>
      </w:pPr>
      <w:bookmarkStart w:id="9" w:name="_1493799423"/>
      <w:bookmarkStart w:id="10" w:name="_1493799140"/>
      <w:bookmarkEnd w:id="9"/>
      <w:bookmarkEnd w:id="10"/>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3.</w:t>
            </w:r>
            <w:r>
              <w:rPr>
                <w:b w:val="0"/>
                <w:noProof/>
              </w:rPr>
              <w:t>1</w:t>
            </w:r>
            <w:r>
              <w:tab/>
              <w:t>How does Australia compare internationally?</w:t>
            </w:r>
          </w:p>
        </w:tc>
      </w:tr>
      <w:tr w:rsidR="007C51D1" w:rsidTr="005939B8">
        <w:trPr>
          <w:cantSplit/>
        </w:trPr>
        <w:tc>
          <w:tcPr>
            <w:tcW w:w="8771" w:type="dxa"/>
            <w:tcBorders>
              <w:top w:val="nil"/>
              <w:left w:val="nil"/>
              <w:bottom w:val="nil"/>
              <w:right w:val="nil"/>
            </w:tcBorders>
            <w:shd w:val="clear" w:color="auto" w:fill="F2F2F2"/>
          </w:tcPr>
          <w:p w:rsidR="007C51D1" w:rsidRPr="00DD03BB" w:rsidRDefault="007C51D1" w:rsidP="005939B8">
            <w:pPr>
              <w:pStyle w:val="Box"/>
            </w:pPr>
            <w:r w:rsidRPr="00DD03BB">
              <w:t xml:space="preserve">Mature age </w:t>
            </w:r>
            <w:r>
              <w:t xml:space="preserve">labour force </w:t>
            </w:r>
            <w:r w:rsidRPr="00DD03BB">
              <w:t>participation rates in Australia are just above the OECD average for most age groups. Participation is higher in Australia compared with the U</w:t>
            </w:r>
            <w:r>
              <w:t xml:space="preserve">nited </w:t>
            </w:r>
            <w:r w:rsidRPr="00DD03BB">
              <w:t>S</w:t>
            </w:r>
            <w:r>
              <w:t>tates</w:t>
            </w:r>
            <w:r w:rsidRPr="00DD03BB">
              <w:t xml:space="preserve"> for people aged between 50 and 60, but lower for people aged over 60. Australia</w:t>
            </w:r>
            <w:r>
              <w:t>’s</w:t>
            </w:r>
            <w:r w:rsidRPr="00DD03BB">
              <w:t xml:space="preserve"> participation is lower than New Zealand’s at all ages, and significantly so in most cases. This may be due t</w:t>
            </w:r>
            <w:r>
              <w:t>o the latter having a non</w:t>
            </w:r>
            <w:r>
              <w:noBreakHyphen/>
              <w:t>means</w:t>
            </w:r>
            <w:r>
              <w:noBreakHyphen/>
            </w:r>
            <w:r w:rsidRPr="00DD03BB">
              <w:t xml:space="preserve">tested </w:t>
            </w:r>
            <w:r>
              <w:t>Age Pension</w:t>
            </w:r>
            <w:r w:rsidRPr="00DD03BB">
              <w:t xml:space="preserve"> scheme, which arguably encourages greater mature age participation. It may also reflect the less generous </w:t>
            </w:r>
            <w:r>
              <w:t>Age Pension</w:t>
            </w:r>
            <w:r w:rsidRPr="00DD03BB">
              <w:t xml:space="preserve"> in New Zealand </w:t>
            </w:r>
            <w:r w:rsidR="00F62614" w:rsidRPr="00F62614">
              <w:rPr>
                <w:rFonts w:cs="Arial"/>
                <w:szCs w:val="24"/>
              </w:rPr>
              <w:t>(Guest 2013)</w:t>
            </w:r>
            <w:r w:rsidRPr="00DD03BB">
              <w:t xml:space="preserve">. </w:t>
            </w:r>
          </w:p>
          <w:p w:rsidR="007C51D1" w:rsidRDefault="002441CF" w:rsidP="002441CF">
            <w:pPr>
              <w:pStyle w:val="BoxHeading1"/>
            </w:pPr>
            <w:r>
              <w:t>Mature age labour force participation rates (all persons)</w:t>
            </w:r>
          </w:p>
          <w:p w:rsidR="007C51D1" w:rsidRDefault="00E02427" w:rsidP="00760527">
            <w:pPr>
              <w:pStyle w:val="Box"/>
              <w:jc w:val="center"/>
            </w:pPr>
            <w:r>
              <w:rPr>
                <w:noProof/>
              </w:rPr>
              <w:drawing>
                <wp:inline distT="0" distB="0" distL="0" distR="0" wp14:anchorId="016CE8C0" wp14:editId="4A29B71C">
                  <wp:extent cx="5401310" cy="2881630"/>
                  <wp:effectExtent l="0" t="0" r="0" b="0"/>
                  <wp:docPr id="173" name="Picture 173" descr="Box 3.1 Mature age labour force participation rates (all persons). Column chart showing average labour force participation rates within four age cohorts — 50 to 54, 55 to 59, 60 to 64, and 65 to 69 year olds — in six countries or groups: Australia, New Zealand, United States, United Kingdom, Canada, and OECD countries on average. Text in the box explains key observations about the graph.&#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r w:rsidR="00760527" w:rsidTr="00F344D0">
        <w:trPr>
          <w:cantSplit/>
        </w:trPr>
        <w:tc>
          <w:tcPr>
            <w:tcW w:w="8771" w:type="dxa"/>
            <w:tcBorders>
              <w:top w:val="nil"/>
              <w:left w:val="nil"/>
              <w:bottom w:val="nil"/>
              <w:right w:val="nil"/>
            </w:tcBorders>
            <w:shd w:val="clear" w:color="auto" w:fill="F2F2F2"/>
          </w:tcPr>
          <w:p w:rsidR="00760527" w:rsidRDefault="00760527" w:rsidP="00760527">
            <w:pPr>
              <w:pStyle w:val="BoxSource"/>
            </w:pPr>
            <w:r>
              <w:rPr>
                <w:i/>
              </w:rPr>
              <w:t>Source:</w:t>
            </w:r>
            <w:r>
              <w:t xml:space="preserve"> OECD </w:t>
            </w:r>
            <w:r w:rsidRPr="00F62614">
              <w:rPr>
                <w:rFonts w:cs="Arial"/>
              </w:rPr>
              <w:t>(2015)</w:t>
            </w:r>
            <w:r>
              <w: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Individuals are spending longer in retirement</w:t>
      </w:r>
    </w:p>
    <w:p w:rsidR="007C51D1" w:rsidRPr="00FE5F98" w:rsidRDefault="007C51D1" w:rsidP="005939B8">
      <w:pPr>
        <w:pStyle w:val="BodyText"/>
      </w:pPr>
      <w:r w:rsidRPr="00FE5F98">
        <w:t xml:space="preserve">While there has been a gradual shift towards later retirement, life expectancy has also increased substantially over the last </w:t>
      </w:r>
      <w:r>
        <w:t>40</w:t>
      </w:r>
      <w:r w:rsidRPr="00FE5F98">
        <w:t xml:space="preserve"> years (figure</w:t>
      </w:r>
      <w:r>
        <w:t> </w:t>
      </w:r>
      <w:r w:rsidRPr="00FE5F98">
        <w:t>3.5). For example, a 65 year old woman in 2015 is expected to live for another 31 years (on average), which is around 5 years longer than a 65 year old wom</w:t>
      </w:r>
      <w:r>
        <w:t>a</w:t>
      </w:r>
      <w:r w:rsidRPr="00FE5F98">
        <w:t xml:space="preserve">n in 1965 could have expected to live </w:t>
      </w:r>
      <w:r w:rsidR="00F62614" w:rsidRPr="00F62614">
        <w:rPr>
          <w:szCs w:val="24"/>
        </w:rPr>
        <w:t>(PC 2013)</w:t>
      </w:r>
      <w:r w:rsidRPr="00FE5F98">
        <w:t xml:space="preserve">. </w:t>
      </w:r>
      <w:r w:rsidRPr="00FE5F98">
        <w:lastRenderedPageBreak/>
        <w:t>As such, most current and impending retirees can expect to spend longer in retirement — perhaps 5 to 7 years longer — than their parents</w:t>
      </w:r>
      <w:r>
        <w:t>’</w:t>
      </w:r>
      <w:r w:rsidRPr="00FE5F98">
        <w:t xml:space="preserve"> or grandparents</w:t>
      </w:r>
      <w:r>
        <w:t>’</w:t>
      </w:r>
      <w:r w:rsidRPr="00FE5F98">
        <w:t xml:space="preserve"> generation. </w:t>
      </w:r>
    </w:p>
    <w:p w:rsidR="007C51D1" w:rsidRDefault="007C51D1" w:rsidP="005939B8">
      <w:pPr>
        <w:pStyle w:val="BodyText"/>
      </w:pPr>
      <w:r w:rsidRPr="00FE5F98">
        <w:t xml:space="preserve">At a time when the population is ageing, the prospect that many people may spend longer in retirement raises a sustainability imperative for government budgets. It is also important for individuals trying to determine the quantum of savings they need to accumulate during their working lives in order to fund a particular standard of living in retirement.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5</w:t>
            </w:r>
            <w:r>
              <w:tab/>
              <w:t>Life expectancy at age 65 years</w:t>
            </w:r>
            <w:r w:rsidRPr="005924DD">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8B70FF" w:rsidP="005939B8">
                  <w:pPr>
                    <w:pStyle w:val="Figure"/>
                    <w:spacing w:before="60" w:after="60"/>
                  </w:pPr>
                  <w:bookmarkStart w:id="11" w:name="_1493799143"/>
                  <w:bookmarkEnd w:id="11"/>
                  <w:r>
                    <w:rPr>
                      <w:noProof/>
                    </w:rPr>
                    <w:drawing>
                      <wp:inline distT="0" distB="0" distL="0" distR="0">
                        <wp:extent cx="5262245" cy="2803525"/>
                        <wp:effectExtent l="0" t="0" r="0" b="0"/>
                        <wp:docPr id="197" name="Picture 197" descr="Figure 3.5. Life expectancy at age 65 years. Line graph shown life expectancy at age 65 for both males  and females, and covering the period from 1965 to 201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w:t>
            </w:r>
            <w:r w:rsidRPr="0006426B">
              <w:t xml:space="preserve">Cohort life expectancy at a given age takes into account known or projected changes in mortality over the remainder of </w:t>
            </w:r>
            <w:r>
              <w:t>the average</w:t>
            </w:r>
            <w:r w:rsidRPr="0006426B">
              <w:t xml:space="preserve"> person’s lifetime.</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 xml:space="preserve">PC </w:t>
            </w:r>
            <w:r w:rsidR="00F62614" w:rsidRPr="00F62614">
              <w:rPr>
                <w:rFonts w:cs="Arial"/>
              </w:rPr>
              <w:t>(2013)</w:t>
            </w:r>
            <w:r>
              <w:t xml:space="preserve">. </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Pathways to retirement are also changing</w:t>
      </w:r>
    </w:p>
    <w:p w:rsidR="007C51D1" w:rsidRDefault="007C51D1" w:rsidP="005939B8">
      <w:pPr>
        <w:pStyle w:val="BodyText"/>
      </w:pPr>
      <w:r>
        <w:t>Behavioural changes have not been confined to the age at which people retire — the process by which individuals are transitioning to retirement is also evolving. Retirement has traditionally been thought of as an abrupt change from full</w:t>
      </w:r>
      <w:r>
        <w:noBreakHyphen/>
        <w:t xml:space="preserve">time work to not working at all. However, the contemporary view of retirement is more nuanced, with many people believing or expecting that they will transition to retirement through bridging jobs, or by gradually reducing the hours of paid work they do until they are ready to permanently retire. </w:t>
      </w:r>
    </w:p>
    <w:p w:rsidR="007C51D1" w:rsidRDefault="007C51D1" w:rsidP="005939B8">
      <w:pPr>
        <w:pStyle w:val="BodyText"/>
      </w:pPr>
      <w:r>
        <w:t xml:space="preserve">According to Warren </w:t>
      </w:r>
      <w:r w:rsidR="00F62614" w:rsidRPr="00F62614">
        <w:t>(2015)</w:t>
      </w:r>
      <w:r>
        <w:t xml:space="preserve">, many Australians claim that they are in transition to retirement, or intend to make a gradual transition in the future. However, the behavioural evidence indicates that gradual transitions to retirement are still comparatively uncommon. Using HILDA data, Warren </w:t>
      </w:r>
      <w:r w:rsidR="00F62614" w:rsidRPr="00F62614">
        <w:t>(2015)</w:t>
      </w:r>
      <w:r>
        <w:t xml:space="preserve"> finds that only 5 per cent of individuals transition to </w:t>
      </w:r>
      <w:r>
        <w:lastRenderedPageBreak/>
        <w:t>retirement by first moving from full</w:t>
      </w:r>
      <w:r>
        <w:noBreakHyphen/>
        <w:t>time to part</w:t>
      </w:r>
      <w:r>
        <w:noBreakHyphen/>
        <w:t xml:space="preserve">time work. Where transitions to retirement do occur, they are typically observed among individuals with higher household wealth, longer work experience, and partners who work. </w:t>
      </w:r>
    </w:p>
    <w:p w:rsidR="007C51D1" w:rsidRDefault="007C51D1" w:rsidP="005939B8">
      <w:pPr>
        <w:pStyle w:val="Heading3"/>
      </w:pPr>
      <w:r>
        <w:t>What might the future hold?</w:t>
      </w:r>
    </w:p>
    <w:p w:rsidR="007C51D1" w:rsidRDefault="007C51D1" w:rsidP="005939B8">
      <w:pPr>
        <w:pStyle w:val="BodyText"/>
      </w:pPr>
      <w:r>
        <w:t>Many of the factors that have prompted individuals to retire later — increasing levels of education, changing attitudes, and more flexible working arrangements — will continue to impact retirement decisions in the future.</w:t>
      </w:r>
      <w:r w:rsidRPr="00627A4D">
        <w:t xml:space="preserve"> </w:t>
      </w:r>
      <w:r>
        <w:t xml:space="preserve">Among women in particular, the strong cohort effect of higher participation at earlier ages that began in the 1980s is expected to underpin further increases in average mature age participation rates over the next two decades. </w:t>
      </w:r>
    </w:p>
    <w:p w:rsidR="007C51D1" w:rsidRDefault="007C51D1" w:rsidP="005939B8">
      <w:pPr>
        <w:pStyle w:val="BodyText"/>
      </w:pPr>
      <w:r>
        <w:t>Some policy changes that are already in train</w:t>
      </w:r>
      <w:r w:rsidRPr="003B3728">
        <w:t xml:space="preserve"> </w:t>
      </w:r>
      <w:r>
        <w:t>are also likely to encourage individuals to retire later. For example, the already scheduled increase in the preservation age from 55 to 60 </w:t>
      </w:r>
      <w:proofErr w:type="gramStart"/>
      <w:r>
        <w:t>years,</w:t>
      </w:r>
      <w:proofErr w:type="gramEnd"/>
      <w:r>
        <w:t xml:space="preserve"> is expected to induce higher levels of workforce participation in the 55</w:t>
      </w:r>
      <w:r>
        <w:noBreakHyphen/>
        <w:t xml:space="preserve">60 year old cohort. However, the magnitude of the effect is not expected to be particularly large </w:t>
      </w:r>
      <w:r w:rsidR="00F62614" w:rsidRPr="00F62614">
        <w:rPr>
          <w:szCs w:val="24"/>
        </w:rPr>
        <w:t>(</w:t>
      </w:r>
      <w:proofErr w:type="spellStart"/>
      <w:r w:rsidR="00F62614" w:rsidRPr="00F62614">
        <w:rPr>
          <w:szCs w:val="24"/>
        </w:rPr>
        <w:t>Headey</w:t>
      </w:r>
      <w:proofErr w:type="spellEnd"/>
      <w:r w:rsidR="00F62614" w:rsidRPr="00F62614">
        <w:rPr>
          <w:szCs w:val="24"/>
        </w:rPr>
        <w:t xml:space="preserve">, </w:t>
      </w:r>
      <w:proofErr w:type="spellStart"/>
      <w:r w:rsidR="00F62614" w:rsidRPr="00F62614">
        <w:rPr>
          <w:szCs w:val="24"/>
        </w:rPr>
        <w:t>Freebairn</w:t>
      </w:r>
      <w:proofErr w:type="spellEnd"/>
      <w:r w:rsidR="00F62614" w:rsidRPr="00F62614">
        <w:rPr>
          <w:szCs w:val="24"/>
        </w:rPr>
        <w:t xml:space="preserve"> and Warren 2010)</w:t>
      </w:r>
      <w:r>
        <w:t xml:space="preserve">. One reason is that not many individuals retire </w:t>
      </w:r>
      <w:r w:rsidRPr="008D4128">
        <w:rPr>
          <w:i/>
        </w:rPr>
        <w:t>voluntarily</w:t>
      </w:r>
      <w:r>
        <w:t xml:space="preserve"> between the ages of 55 and 60 (or before reaching 55), and hence there is little scope to change the aggregate retirement behaviour of this cohort. </w:t>
      </w:r>
    </w:p>
    <w:p w:rsidR="007C51D1" w:rsidRDefault="007C51D1" w:rsidP="005939B8">
      <w:pPr>
        <w:pStyle w:val="BodyText"/>
      </w:pPr>
      <w:r>
        <w:t>The gradual increase in the Age Pension age from 67 to 70 years (if legislated) is expected to have a more pronounced effect on future retirement behaviour. As noted earlier, o</w:t>
      </w:r>
      <w:r>
        <w:rPr>
          <w:iCs/>
        </w:rPr>
        <w:t xml:space="preserve">f the three ages, the Age Pension age motivates the largest increase in retirement, partly because there is a strong financial incentive to retire after reaching this age, but also because of its power as a social signal to retire </w:t>
      </w:r>
      <w:r w:rsidR="00F62614" w:rsidRPr="00F62614">
        <w:rPr>
          <w:szCs w:val="24"/>
        </w:rPr>
        <w:t>(</w:t>
      </w:r>
      <w:proofErr w:type="spellStart"/>
      <w:r w:rsidR="00F62614" w:rsidRPr="00F62614">
        <w:rPr>
          <w:szCs w:val="24"/>
        </w:rPr>
        <w:t>Headey</w:t>
      </w:r>
      <w:proofErr w:type="spellEnd"/>
      <w:r w:rsidR="00F62614" w:rsidRPr="00F62614">
        <w:rPr>
          <w:szCs w:val="24"/>
        </w:rPr>
        <w:t xml:space="preserve">, </w:t>
      </w:r>
      <w:proofErr w:type="spellStart"/>
      <w:r w:rsidR="00F62614" w:rsidRPr="00F62614">
        <w:rPr>
          <w:szCs w:val="24"/>
        </w:rPr>
        <w:t>Freebairn</w:t>
      </w:r>
      <w:proofErr w:type="spellEnd"/>
      <w:r w:rsidR="00F62614" w:rsidRPr="00F62614">
        <w:rPr>
          <w:szCs w:val="24"/>
        </w:rPr>
        <w:t xml:space="preserve"> and Warren 2010; Warren and </w:t>
      </w:r>
      <w:proofErr w:type="spellStart"/>
      <w:r w:rsidR="00F62614" w:rsidRPr="00F62614">
        <w:rPr>
          <w:szCs w:val="24"/>
        </w:rPr>
        <w:t>Oguzoglu</w:t>
      </w:r>
      <w:proofErr w:type="spellEnd"/>
      <w:r w:rsidR="00F62614" w:rsidRPr="00F62614">
        <w:rPr>
          <w:szCs w:val="24"/>
        </w:rPr>
        <w:t> 2010)</w:t>
      </w:r>
      <w:r>
        <w:rPr>
          <w:iCs/>
        </w:rPr>
        <w:t>.</w:t>
      </w:r>
    </w:p>
    <w:p w:rsidR="007C51D1" w:rsidRDefault="007C51D1" w:rsidP="005939B8">
      <w:pPr>
        <w:pStyle w:val="BodyText"/>
      </w:pPr>
      <w:r>
        <w:t xml:space="preserve">Future rates of mature age participation may also be influenced by changing attitudes and expectations regarding the quality of life in retirement. Some researchers argue that the ‘baby boomer’ generation — those born between 1946 and 1964, and many of whom are now approaching retirement — differs from previous generations in that they anticipate or desire a higher standard of living in retirement </w:t>
      </w:r>
      <w:r w:rsidR="00F62614" w:rsidRPr="00F62614">
        <w:rPr>
          <w:szCs w:val="24"/>
        </w:rPr>
        <w:t>(McDonald 2011; National Seniors Productive Ageing Centre 2012)</w:t>
      </w:r>
      <w:r>
        <w:t>. As noted by Warren:</w:t>
      </w:r>
    </w:p>
    <w:p w:rsidR="007C51D1" w:rsidRDefault="007C51D1" w:rsidP="005939B8">
      <w:pPr>
        <w:pStyle w:val="Quote"/>
      </w:pPr>
      <w:r w:rsidRPr="00631DFB">
        <w:t>Studies from the United States and Australia have concluded that</w:t>
      </w:r>
      <w:r>
        <w:t xml:space="preserve"> </w:t>
      </w:r>
      <w:r w:rsidRPr="00631DFB">
        <w:t>relatively few baby boomers will retire early and a large minority will continue</w:t>
      </w:r>
      <w:r>
        <w:t xml:space="preserve"> </w:t>
      </w:r>
      <w:r w:rsidRPr="00631DFB">
        <w:t>working past traditional retirement age, mainly due to the fact that</w:t>
      </w:r>
      <w:r>
        <w:t xml:space="preserve"> </w:t>
      </w:r>
      <w:r w:rsidRPr="00631DFB">
        <w:t>they will not have saved enough to retire completely and still maintain</w:t>
      </w:r>
      <w:r>
        <w:t xml:space="preserve"> </w:t>
      </w:r>
      <w:r w:rsidRPr="00631DFB">
        <w:t>their preretirement lifestyle.</w:t>
      </w:r>
      <w:r w:rsidRPr="005924DD">
        <w:t xml:space="preserve"> </w:t>
      </w:r>
      <w:r w:rsidR="00F62614" w:rsidRPr="00F62614">
        <w:rPr>
          <w:szCs w:val="24"/>
        </w:rPr>
        <w:t>(2015, p. 146)</w:t>
      </w:r>
    </w:p>
    <w:p w:rsidR="007C51D1" w:rsidRPr="00891609" w:rsidRDefault="007C51D1" w:rsidP="005939B8">
      <w:pPr>
        <w:pStyle w:val="BodyText"/>
      </w:pPr>
      <w:r>
        <w:t xml:space="preserve">Gauging the cumulative impacts of these factors on future rates of mature age workforce participation is challenging. The most recent </w:t>
      </w:r>
      <w:r w:rsidRPr="00FF6D95">
        <w:rPr>
          <w:i/>
        </w:rPr>
        <w:t>Intergenerational Report</w:t>
      </w:r>
      <w:r>
        <w:t xml:space="preserve"> </w:t>
      </w:r>
      <w:r w:rsidR="00F62614" w:rsidRPr="00F62614">
        <w:rPr>
          <w:szCs w:val="24"/>
        </w:rPr>
        <w:t>(Australian Government 2015a)</w:t>
      </w:r>
      <w:r>
        <w:t xml:space="preserve"> projects an increase of around 4 percentage points in the average labour participation of people aged over 65 years during the next 40 years (figure 3.6). The increase is attributed to improvements in educational attainment, the cohort effect of greater female participation, and proposed changes in the Age Pension age. Most of the </w:t>
      </w:r>
      <w:r>
        <w:lastRenderedPageBreak/>
        <w:t xml:space="preserve">growth is anticipated over the next decade, with the participation rate expected to stabilise at around 17 per cent after that.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6</w:t>
            </w:r>
            <w:r>
              <w:tab/>
            </w:r>
            <w:r w:rsidRPr="00823779">
              <w:rPr>
                <w:bCs/>
              </w:rPr>
              <w:t>Participation rates of people aged 65 years and over</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bookmarkStart w:id="12" w:name="_1493799145"/>
                  <w:bookmarkEnd w:id="12"/>
                  <w:r>
                    <w:rPr>
                      <w:noProof/>
                    </w:rPr>
                    <w:drawing>
                      <wp:inline distT="0" distB="0" distL="0" distR="0" wp14:anchorId="06BC288E" wp14:editId="7B6C7665">
                        <wp:extent cx="5262245" cy="2803525"/>
                        <wp:effectExtent l="0" t="0" r="0" b="0"/>
                        <wp:docPr id="49" name="Picture 49" descr="Figure 3.6 Participation rates of people aged 65 years and over. Line graph showing the average labour force participation rate in Australia of people aged 65 years and over. The graph indicates that participation fell from the mid-1970s to the mid-1990s, but has increased in the period since then. Furthermore, it is projected to continue to rise over the next decade or so before levelling out at around 17 per cen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 xml:space="preserve">Australian Government </w:t>
            </w:r>
            <w:r w:rsidR="00F62614" w:rsidRPr="00F62614">
              <w:rPr>
                <w:rFonts w:cs="Arial"/>
              </w:rPr>
              <w:t>(2015a)</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bookmarkStart w:id="13" w:name="_1493799146"/>
      <w:bookmarkEnd w:id="13"/>
      <w:r>
        <w:t>These projections are broadly similar to those reported by the Commission in its most recent evaluation of the longer</w:t>
      </w:r>
      <w:r>
        <w:noBreakHyphen/>
        <w:t xml:space="preserve">term consequences of population ageing. The Commission’s study identified the main driver of the increase in aggregate mature age participation as increased participation by women (across all age groups), although the participation rates of older men were also forecast to increase over the next decade or two (figure 3.7). These increases were attributed to growing educational attainment levels, greater lifetime attachment of women to the workforce, and a general pattern of deferred retirement </w:t>
      </w:r>
      <w:r w:rsidR="00F62614" w:rsidRPr="00F62614">
        <w:rPr>
          <w:szCs w:val="24"/>
        </w:rPr>
        <w:t>(PC 2013)</w:t>
      </w:r>
      <w:r>
        <w:t xml:space="preserve">.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3.</w:t>
            </w:r>
            <w:r>
              <w:rPr>
                <w:b w:val="0"/>
                <w:noProof/>
              </w:rPr>
              <w:t>7</w:t>
            </w:r>
            <w:r>
              <w:tab/>
              <w:t xml:space="preserve">Historical and projected labour force participation rates </w:t>
            </w:r>
          </w:p>
          <w:p w:rsidR="007C51D1" w:rsidRPr="00176D3F" w:rsidRDefault="007C51D1" w:rsidP="005939B8">
            <w:pPr>
              <w:pStyle w:val="Subtitle"/>
            </w:pPr>
            <w:r>
              <w:t>Percentage rates, average of the year ending June 1979 to June 2060</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C51D1" w:rsidTr="005939B8">
              <w:trPr>
                <w:jc w:val="center"/>
              </w:trPr>
              <w:tc>
                <w:tcPr>
                  <w:tcW w:w="4252" w:type="dxa"/>
                  <w:tcBorders>
                    <w:top w:val="nil"/>
                    <w:bottom w:val="nil"/>
                  </w:tcBorders>
                </w:tcPr>
                <w:p w:rsidR="007C51D1" w:rsidRDefault="00EA313F" w:rsidP="005939B8">
                  <w:pPr>
                    <w:pStyle w:val="Figure"/>
                    <w:spacing w:before="60" w:after="60"/>
                  </w:pPr>
                  <w:r>
                    <w:rPr>
                      <w:noProof/>
                    </w:rPr>
                    <w:drawing>
                      <wp:inline distT="0" distB="0" distL="0" distR="0">
                        <wp:extent cx="2562225" cy="2562225"/>
                        <wp:effectExtent l="0" t="0" r="9525" b="9525"/>
                        <wp:docPr id="204" name="Picture 204" descr="Figure 3.7 Historical and projected labour force participation rates. Set of four line graphs showing labour force participation rates for men and women in different age cohorts - 50 to 54, 55 to 59, 60 to 64, and 65 to 69 year olds. Figures cover the period from 1979 to 2015, with projections to 2054. In all cases, average participation rates are projected to increase over the next decade, before levelling ou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562225" cy="2562225"/>
                                </a:xfrm>
                                <a:prstGeom prst="rect">
                                  <a:avLst/>
                                </a:prstGeom>
                                <a:noFill/>
                                <a:ln>
                                  <a:noFill/>
                                </a:ln>
                              </pic:spPr>
                            </pic:pic>
                          </a:graphicData>
                        </a:graphic>
                      </wp:inline>
                    </w:drawing>
                  </w:r>
                </w:p>
              </w:tc>
              <w:tc>
                <w:tcPr>
                  <w:tcW w:w="4252" w:type="dxa"/>
                  <w:tcBorders>
                    <w:top w:val="nil"/>
                    <w:bottom w:val="nil"/>
                  </w:tcBorders>
                </w:tcPr>
                <w:p w:rsidR="007C51D1" w:rsidRDefault="00EA313F" w:rsidP="005939B8">
                  <w:pPr>
                    <w:pStyle w:val="Figure"/>
                    <w:spacing w:before="60" w:after="60"/>
                  </w:pPr>
                  <w:r>
                    <w:rPr>
                      <w:noProof/>
                    </w:rPr>
                    <w:drawing>
                      <wp:inline distT="0" distB="0" distL="0" distR="0">
                        <wp:extent cx="2562225" cy="2562225"/>
                        <wp:effectExtent l="0" t="0" r="9525" b="9525"/>
                        <wp:docPr id="205" name="Picture 205" descr="Read previou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562225" cy="2562225"/>
                                </a:xfrm>
                                <a:prstGeom prst="rect">
                                  <a:avLst/>
                                </a:prstGeom>
                                <a:noFill/>
                                <a:ln>
                                  <a:noFill/>
                                </a:ln>
                              </pic:spPr>
                            </pic:pic>
                          </a:graphicData>
                        </a:graphic>
                      </wp:inline>
                    </w:drawing>
                  </w:r>
                </w:p>
              </w:tc>
            </w:tr>
            <w:tr w:rsidR="007C51D1" w:rsidTr="005939B8">
              <w:tblPrEx>
                <w:tblCellMar>
                  <w:left w:w="0" w:type="dxa"/>
                  <w:right w:w="0" w:type="dxa"/>
                </w:tblCellMar>
              </w:tblPrEx>
              <w:trPr>
                <w:jc w:val="center"/>
              </w:trPr>
              <w:tc>
                <w:tcPr>
                  <w:tcW w:w="4252" w:type="dxa"/>
                  <w:tcBorders>
                    <w:top w:val="nil"/>
                    <w:bottom w:val="nil"/>
                  </w:tcBorders>
                </w:tcPr>
                <w:p w:rsidR="007C51D1" w:rsidRDefault="00EA313F" w:rsidP="005939B8">
                  <w:pPr>
                    <w:pStyle w:val="Figure"/>
                    <w:spacing w:before="60" w:after="60"/>
                  </w:pPr>
                  <w:r>
                    <w:rPr>
                      <w:noProof/>
                    </w:rPr>
                    <w:drawing>
                      <wp:inline distT="0" distB="0" distL="0" distR="0">
                        <wp:extent cx="2587625" cy="2587625"/>
                        <wp:effectExtent l="0" t="0" r="3175" b="3175"/>
                        <wp:docPr id="206" name="Picture 206" descr="read image two previo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587625" cy="2587625"/>
                                </a:xfrm>
                                <a:prstGeom prst="rect">
                                  <a:avLst/>
                                </a:prstGeom>
                                <a:noFill/>
                                <a:ln>
                                  <a:noFill/>
                                </a:ln>
                              </pic:spPr>
                            </pic:pic>
                          </a:graphicData>
                        </a:graphic>
                      </wp:inline>
                    </w:drawing>
                  </w:r>
                </w:p>
              </w:tc>
              <w:tc>
                <w:tcPr>
                  <w:tcW w:w="4252" w:type="dxa"/>
                  <w:tcBorders>
                    <w:top w:val="nil"/>
                    <w:bottom w:val="nil"/>
                  </w:tcBorders>
                </w:tcPr>
                <w:p w:rsidR="007C51D1" w:rsidRDefault="00EA313F" w:rsidP="005939B8">
                  <w:pPr>
                    <w:pStyle w:val="Figure"/>
                    <w:spacing w:before="60" w:after="60"/>
                  </w:pPr>
                  <w:r>
                    <w:rPr>
                      <w:noProof/>
                    </w:rPr>
                    <w:drawing>
                      <wp:inline distT="0" distB="0" distL="0" distR="0">
                        <wp:extent cx="2587625" cy="2587625"/>
                        <wp:effectExtent l="0" t="0" r="3175" b="3175"/>
                        <wp:docPr id="207" name="Picture 207" descr="read image three previo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2587625" cy="25876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w:t>
            </w:r>
            <w:r>
              <w:t xml:space="preserve"> PC</w:t>
            </w:r>
            <w:r w:rsidRPr="00176D3F">
              <w:t xml:space="preserve"> </w:t>
            </w:r>
            <w:r w:rsidR="00F62614" w:rsidRPr="00F62614">
              <w:rPr>
                <w:rFonts w:cs="Arial"/>
              </w:rPr>
              <w:t>(2013)</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2"/>
      </w:pPr>
      <w:r>
        <w:t>3.</w:t>
      </w:r>
      <w:r>
        <w:rPr>
          <w:noProof/>
        </w:rPr>
        <w:t>3</w:t>
      </w:r>
      <w:r>
        <w:tab/>
        <w:t>Will further increasing the preservation age impact retirement decisions?</w:t>
      </w:r>
    </w:p>
    <w:p w:rsidR="007C51D1" w:rsidRPr="008065EC" w:rsidRDefault="007C51D1" w:rsidP="005939B8">
      <w:pPr>
        <w:pStyle w:val="BodyText"/>
      </w:pPr>
      <w:r>
        <w:t>The preservation age is scheduled to gradually increase from 55 years today to 60 years in 2025 (figure 3.8(</w:t>
      </w:r>
      <w:proofErr w:type="spellStart"/>
      <w:r>
        <w:t>i</w:t>
      </w:r>
      <w:proofErr w:type="spellEnd"/>
      <w:r>
        <w:t>)). However, with policy measures in place to raise the Age P</w:t>
      </w:r>
      <w:r w:rsidRPr="008065EC">
        <w:t xml:space="preserve">ension age to 67 years, </w:t>
      </w:r>
      <w:r>
        <w:t xml:space="preserve">and a stated policy goal to increase </w:t>
      </w:r>
      <w:r w:rsidRPr="008065EC">
        <w:t xml:space="preserve">it </w:t>
      </w:r>
      <w:r>
        <w:t>to 70, debate has once again been</w:t>
      </w:r>
      <w:r w:rsidRPr="008065EC">
        <w:t xml:space="preserve"> prompted about where the preservation age should be set. </w:t>
      </w:r>
      <w:proofErr w:type="gramStart"/>
      <w:r>
        <w:t>T</w:t>
      </w:r>
      <w:r w:rsidRPr="008728C5">
        <w:t xml:space="preserve">he larger the gap </w:t>
      </w:r>
      <w:r>
        <w:t xml:space="preserve">between the two, </w:t>
      </w:r>
      <w:r w:rsidRPr="008728C5">
        <w:t xml:space="preserve">the greater the </w:t>
      </w:r>
      <w:r>
        <w:t xml:space="preserve">opportunity available to </w:t>
      </w:r>
      <w:r w:rsidRPr="008728C5">
        <w:t xml:space="preserve">individuals </w:t>
      </w:r>
      <w:r>
        <w:t>to</w:t>
      </w:r>
      <w:r w:rsidRPr="008728C5">
        <w:t xml:space="preserve"> run down </w:t>
      </w:r>
      <w:r w:rsidRPr="008065EC">
        <w:t xml:space="preserve">their </w:t>
      </w:r>
      <w:r>
        <w:t>superannuation before reaching Age Pension age (figure 3.8(ii)).</w:t>
      </w:r>
      <w:proofErr w:type="gramEnd"/>
      <w:r>
        <w:t xml:space="preserve"> </w:t>
      </w:r>
      <w:r w:rsidRPr="008065EC">
        <w:t xml:space="preserve">The Commission, in its report </w:t>
      </w:r>
      <w:r w:rsidRPr="008065EC">
        <w:rPr>
          <w:i/>
        </w:rPr>
        <w:t xml:space="preserve">An Ageing </w:t>
      </w:r>
      <w:r w:rsidRPr="008065EC">
        <w:rPr>
          <w:i/>
        </w:rPr>
        <w:lastRenderedPageBreak/>
        <w:t>Australia: Preparing for the Future</w:t>
      </w:r>
      <w:r>
        <w:rPr>
          <w:i/>
        </w:rPr>
        <w:t>,</w:t>
      </w:r>
      <w:r w:rsidRPr="008065EC">
        <w:t xml:space="preserve"> pointed to the importance of revisiting the preservation age:</w:t>
      </w:r>
    </w:p>
    <w:p w:rsidR="007C51D1" w:rsidRDefault="007C51D1" w:rsidP="005939B8">
      <w:pPr>
        <w:pStyle w:val="Quote"/>
      </w:pPr>
      <w:r w:rsidRPr="008065EC">
        <w:t>In principle, the preservation age should consider life expectancy and the Age Pension eligibility age as relevant factors. A preservation age linked to life expectancy would provide a financial incentive to stay in work for longer, and as noted earlier for the Age Pension, provide a shift in expectations about the age to retire … In theory, changes to such age thresholds would be likely to increase superannu</w:t>
      </w:r>
      <w:r>
        <w:t>ation account balances, reduce Age P</w:t>
      </w:r>
      <w:r w:rsidRPr="008065EC">
        <w:t>ension outlays and stimulate labour supply.</w:t>
      </w:r>
      <w:r>
        <w:t xml:space="preserve"> </w:t>
      </w:r>
      <w:r w:rsidR="00F62614" w:rsidRPr="00F62614">
        <w:rPr>
          <w:szCs w:val="24"/>
        </w:rPr>
        <w:t>(2013, p. 201)</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8</w:t>
            </w:r>
            <w:r>
              <w:tab/>
            </w:r>
            <w:r>
              <w:rPr>
                <w:lang w:eastAsia="en-US"/>
              </w:rPr>
              <w:t>Minding the gap — the period between the preservation age and the Age Pension age</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7C51D1" w:rsidTr="005939B8">
              <w:trPr>
                <w:jc w:val="center"/>
              </w:trPr>
              <w:tc>
                <w:tcPr>
                  <w:tcW w:w="2500" w:type="pct"/>
                  <w:tcBorders>
                    <w:top w:val="nil"/>
                    <w:bottom w:val="nil"/>
                  </w:tcBorders>
                </w:tcPr>
                <w:p w:rsidR="007C51D1" w:rsidRPr="00485B8D" w:rsidRDefault="00AF0204" w:rsidP="005939B8">
                  <w:pPr>
                    <w:pStyle w:val="Figure"/>
                    <w:spacing w:before="60" w:after="60"/>
                    <w:rPr>
                      <w:rFonts w:ascii="Arial" w:hAnsi="Arial"/>
                      <w:b/>
                      <w:position w:val="6"/>
                      <w:sz w:val="18"/>
                      <w:lang w:eastAsia="en-US"/>
                    </w:rPr>
                  </w:pPr>
                  <w:r>
                    <w:rPr>
                      <w:rFonts w:ascii="Arial" w:hAnsi="Arial" w:cs="Arial"/>
                      <w:b/>
                      <w:spacing w:val="-8"/>
                      <w:sz w:val="20"/>
                      <w:lang w:eastAsia="en-US"/>
                    </w:rPr>
                    <w:t>(</w:t>
                  </w:r>
                  <w:proofErr w:type="spellStart"/>
                  <w:r w:rsidRPr="00971D11">
                    <w:rPr>
                      <w:rFonts w:ascii="Arial" w:hAnsi="Arial" w:cs="Arial"/>
                      <w:b/>
                      <w:spacing w:val="-8"/>
                      <w:sz w:val="20"/>
                      <w:lang w:eastAsia="en-US"/>
                    </w:rPr>
                    <w:t>i</w:t>
                  </w:r>
                  <w:proofErr w:type="spellEnd"/>
                  <w:r w:rsidRPr="00971D11">
                    <w:rPr>
                      <w:rFonts w:ascii="Arial" w:hAnsi="Arial" w:cs="Arial"/>
                      <w:b/>
                      <w:spacing w:val="-8"/>
                      <w:sz w:val="20"/>
                      <w:lang w:eastAsia="en-US"/>
                    </w:rPr>
                    <w:t>) The current situation</w:t>
                  </w:r>
                  <w:r w:rsidRPr="00971D11">
                    <w:rPr>
                      <w:rStyle w:val="NoteLabel"/>
                      <w:spacing w:val="-8"/>
                      <w:lang w:eastAsia="en-US"/>
                    </w:rPr>
                    <w:t>a</w:t>
                  </w:r>
                  <w:r w:rsidR="007C51D1">
                    <w:rPr>
                      <w:rStyle w:val="NoteLabel"/>
                      <w:lang w:eastAsia="en-US"/>
                    </w:rPr>
                    <w:br/>
                  </w:r>
                  <w:r w:rsidR="004B7CAA">
                    <w:rPr>
                      <w:rFonts w:ascii="Arial" w:hAnsi="Arial"/>
                      <w:b/>
                      <w:noProof/>
                      <w:position w:val="6"/>
                      <w:sz w:val="18"/>
                    </w:rPr>
                    <w:drawing>
                      <wp:inline distT="0" distB="0" distL="0" distR="0">
                        <wp:extent cx="2695575" cy="2822575"/>
                        <wp:effectExtent l="0" t="0" r="9525" b="0"/>
                        <wp:docPr id="227" name="Picture 227" descr="Figure 3.8 Minding the gap — the period between the preservation age and the Age Pension age. Set of two line charts, the first showing legislated changes in the age pension age and the preservation age over the next 40 years, and the second showing the same two variables but assuming a phased increase in the age pension age to 70 immediate after the legislated increase to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695575" cy="2822575"/>
                                </a:xfrm>
                                <a:prstGeom prst="rect">
                                  <a:avLst/>
                                </a:prstGeom>
                                <a:noFill/>
                                <a:ln>
                                  <a:noFill/>
                                </a:ln>
                              </pic:spPr>
                            </pic:pic>
                          </a:graphicData>
                        </a:graphic>
                      </wp:inline>
                    </w:drawing>
                  </w:r>
                </w:p>
              </w:tc>
              <w:tc>
                <w:tcPr>
                  <w:tcW w:w="2500" w:type="pct"/>
                  <w:tcBorders>
                    <w:top w:val="nil"/>
                    <w:bottom w:val="nil"/>
                  </w:tcBorders>
                </w:tcPr>
                <w:p w:rsidR="00AF0204" w:rsidRPr="0002314F" w:rsidRDefault="00AF0204" w:rsidP="00AF0204">
                  <w:pPr>
                    <w:pStyle w:val="Figure"/>
                    <w:spacing w:before="60" w:after="60"/>
                    <w:rPr>
                      <w:rFonts w:ascii="Arial" w:hAnsi="Arial"/>
                      <w:b/>
                      <w:noProof/>
                      <w:spacing w:val="-8"/>
                      <w:position w:val="6"/>
                      <w:sz w:val="18"/>
                      <w:lang w:eastAsia="en-US"/>
                    </w:rPr>
                  </w:pPr>
                  <w:r w:rsidRPr="0002314F">
                    <w:rPr>
                      <w:rFonts w:ascii="Arial" w:hAnsi="Arial" w:cs="Arial"/>
                      <w:b/>
                      <w:spacing w:val="-8"/>
                      <w:sz w:val="20"/>
                      <w:lang w:eastAsia="en-US"/>
                    </w:rPr>
                    <w:t>(ii) An Increase in the Age Pension age to 70</w:t>
                  </w:r>
                  <w:r w:rsidRPr="0002314F">
                    <w:rPr>
                      <w:rStyle w:val="NoteLabel"/>
                      <w:spacing w:val="-8"/>
                    </w:rPr>
                    <w:t>b</w:t>
                  </w:r>
                </w:p>
                <w:p w:rsidR="007C51D1" w:rsidRDefault="004B7CAA" w:rsidP="005939B8">
                  <w:pPr>
                    <w:pStyle w:val="Figure"/>
                    <w:spacing w:before="60" w:after="60"/>
                  </w:pPr>
                  <w:r>
                    <w:rPr>
                      <w:noProof/>
                    </w:rPr>
                    <w:drawing>
                      <wp:inline distT="0" distB="0" distL="0" distR="0">
                        <wp:extent cx="2695575" cy="2822575"/>
                        <wp:effectExtent l="0" t="0" r="9525" b="0"/>
                        <wp:docPr id="228" name="Picture 228" descr="read previou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695575" cy="282257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r>
              <w:rPr>
                <w:rStyle w:val="NoteLabel"/>
                <w:lang w:eastAsia="en-US"/>
              </w:rPr>
              <w:t>a</w:t>
            </w:r>
            <w:proofErr w:type="spellEnd"/>
            <w:r>
              <w:rPr>
                <w:lang w:eastAsia="en-US"/>
              </w:rPr>
              <w:t xml:space="preserve"> </w:t>
            </w:r>
            <w:r>
              <w:t xml:space="preserve">The gap between the Age Pension age and the preservation age falls from 10 years to 7 years by 2024, and then remains constant. </w:t>
            </w:r>
            <w:proofErr w:type="gramStart"/>
            <w:r>
              <w:rPr>
                <w:rStyle w:val="NoteLabel"/>
                <w:lang w:eastAsia="en-US"/>
              </w:rPr>
              <w:t>b</w:t>
            </w:r>
            <w:proofErr w:type="gramEnd"/>
            <w:r>
              <w:rPr>
                <w:lang w:eastAsia="en-US"/>
              </w:rPr>
              <w:t xml:space="preserve"> An increase in the Age Pension to age 70 as announced in the 2014</w:t>
            </w:r>
            <w:r>
              <w:rPr>
                <w:lang w:eastAsia="en-US"/>
              </w:rPr>
              <w:noBreakHyphen/>
              <w:t>15 Budget, but not currently legislated, would see the preservation age gap widen.</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8728C5" w:rsidRDefault="007C51D1" w:rsidP="005939B8">
      <w:pPr>
        <w:pStyle w:val="BodyText"/>
      </w:pPr>
      <w:r>
        <w:t>A</w:t>
      </w:r>
      <w:r w:rsidRPr="008065EC">
        <w:t xml:space="preserve"> diverse range of </w:t>
      </w:r>
      <w:proofErr w:type="gramStart"/>
      <w:r w:rsidRPr="008065EC">
        <w:t>stakeholders</w:t>
      </w:r>
      <w:proofErr w:type="gramEnd"/>
      <w:r w:rsidRPr="008065EC">
        <w:t xml:space="preserve"> support </w:t>
      </w:r>
      <w:r>
        <w:t xml:space="preserve">(further) </w:t>
      </w:r>
      <w:r w:rsidRPr="008065EC">
        <w:t xml:space="preserve">raising the preservation age. The Henry Tax Review recommended that the preservation age be gradually increased until it </w:t>
      </w:r>
      <w:r w:rsidRPr="008728C5">
        <w:t xml:space="preserve">aligned with </w:t>
      </w:r>
      <w:r>
        <w:t xml:space="preserve">the </w:t>
      </w:r>
      <w:r w:rsidRPr="008728C5">
        <w:t>Age Pension age. An increase in the preservation age (albeit to different levels) has also been supported by the Actuaries Institute</w:t>
      </w:r>
      <w:r>
        <w:t xml:space="preserve"> </w:t>
      </w:r>
      <w:r w:rsidR="00F62614" w:rsidRPr="00F62614">
        <w:t>(2014)</w:t>
      </w:r>
      <w:r w:rsidRPr="008728C5">
        <w:t>, A</w:t>
      </w:r>
      <w:r>
        <w:t xml:space="preserve">ustralian Council of Social Service </w:t>
      </w:r>
      <w:r w:rsidR="00F62614" w:rsidRPr="00F62614">
        <w:t>(2009)</w:t>
      </w:r>
      <w:r w:rsidRPr="008728C5">
        <w:t xml:space="preserve">, </w:t>
      </w:r>
      <w:r>
        <w:t xml:space="preserve">the </w:t>
      </w:r>
      <w:r w:rsidRPr="008728C5">
        <w:t>Grattan Institute</w:t>
      </w:r>
      <w:r>
        <w:t xml:space="preserve"> </w:t>
      </w:r>
      <w:r w:rsidR="00F62614" w:rsidRPr="00F62614">
        <w:t>(2013)</w:t>
      </w:r>
      <w:r>
        <w:t>,</w:t>
      </w:r>
      <w:r w:rsidRPr="008728C5">
        <w:t xml:space="preserve"> and academics </w:t>
      </w:r>
      <w:r w:rsidR="00F62614" w:rsidRPr="00F62614">
        <w:rPr>
          <w:szCs w:val="24"/>
        </w:rPr>
        <w:t>(</w:t>
      </w:r>
      <w:proofErr w:type="spellStart"/>
      <w:r w:rsidR="00F62614" w:rsidRPr="00F62614">
        <w:rPr>
          <w:szCs w:val="24"/>
        </w:rPr>
        <w:t>Chomik</w:t>
      </w:r>
      <w:proofErr w:type="spellEnd"/>
      <w:r w:rsidR="00F62614" w:rsidRPr="00F62614">
        <w:rPr>
          <w:szCs w:val="24"/>
        </w:rPr>
        <w:t xml:space="preserve"> and Piggott 2012a; </w:t>
      </w:r>
      <w:proofErr w:type="spellStart"/>
      <w:r w:rsidR="00F62614" w:rsidRPr="00F62614">
        <w:rPr>
          <w:szCs w:val="24"/>
        </w:rPr>
        <w:t>Headey</w:t>
      </w:r>
      <w:proofErr w:type="spellEnd"/>
      <w:r w:rsidR="00F62614" w:rsidRPr="00F62614">
        <w:rPr>
          <w:szCs w:val="24"/>
        </w:rPr>
        <w:t xml:space="preserve"> et al. 2007)</w:t>
      </w:r>
      <w:r w:rsidRPr="008728C5">
        <w:t>.</w:t>
      </w:r>
    </w:p>
    <w:p w:rsidR="007C51D1" w:rsidRPr="008728C5" w:rsidRDefault="007C51D1" w:rsidP="005939B8">
      <w:pPr>
        <w:pStyle w:val="BodyText"/>
      </w:pPr>
      <w:r>
        <w:t>The arguments</w:t>
      </w:r>
      <w:r w:rsidRPr="008728C5">
        <w:t xml:space="preserve"> </w:t>
      </w:r>
      <w:r>
        <w:t xml:space="preserve">made by those in favour of </w:t>
      </w:r>
      <w:proofErr w:type="gramStart"/>
      <w:r>
        <w:t>raising</w:t>
      </w:r>
      <w:proofErr w:type="gramEnd"/>
      <w:r w:rsidRPr="008728C5">
        <w:t xml:space="preserve"> the preservation age are re</w:t>
      </w:r>
      <w:r>
        <w:t>latively straight</w:t>
      </w:r>
      <w:r>
        <w:noBreakHyphen/>
      </w:r>
      <w:r w:rsidRPr="008728C5">
        <w:t>forward. The expectation is that individuals</w:t>
      </w:r>
      <w:r w:rsidRPr="008065EC">
        <w:t xml:space="preserve"> </w:t>
      </w:r>
      <w:r w:rsidRPr="008728C5">
        <w:t>will delay their retirement</w:t>
      </w:r>
      <w:r>
        <w:t xml:space="preserve"> if they are</w:t>
      </w:r>
      <w:r w:rsidRPr="008728C5">
        <w:t xml:space="preserve"> unable</w:t>
      </w:r>
      <w:r>
        <w:t xml:space="preserve"> to access their superannuation</w:t>
      </w:r>
      <w:r w:rsidRPr="008728C5">
        <w:t>. The longer individuals remain in the workforce</w:t>
      </w:r>
      <w:r>
        <w:t>,</w:t>
      </w:r>
      <w:r w:rsidRPr="008728C5">
        <w:t xml:space="preserve"> the larger their </w:t>
      </w:r>
      <w:r>
        <w:t>superannuation balances</w:t>
      </w:r>
      <w:r w:rsidRPr="008728C5">
        <w:t xml:space="preserve"> will be when they do retire</w:t>
      </w:r>
      <w:r>
        <w:t>, reducing</w:t>
      </w:r>
      <w:r w:rsidRPr="008728C5">
        <w:t xml:space="preserve"> c</w:t>
      </w:r>
      <w:r>
        <w:t>alls on the Age P</w:t>
      </w:r>
      <w:r w:rsidRPr="008728C5">
        <w:t xml:space="preserve">ension. </w:t>
      </w:r>
    </w:p>
    <w:p w:rsidR="007C51D1" w:rsidRPr="008728C5" w:rsidRDefault="007C51D1" w:rsidP="005939B8">
      <w:pPr>
        <w:pStyle w:val="BodyText"/>
      </w:pPr>
      <w:r w:rsidRPr="008728C5">
        <w:lastRenderedPageBreak/>
        <w:t xml:space="preserve">But there are a number of reasons why these expectations may not be </w:t>
      </w:r>
      <w:r>
        <w:t xml:space="preserve">fully </w:t>
      </w:r>
      <w:r w:rsidRPr="008728C5">
        <w:t>realised</w:t>
      </w:r>
      <w:r>
        <w:t xml:space="preserve">. </w:t>
      </w:r>
      <w:proofErr w:type="gramStart"/>
      <w:r>
        <w:t>First, m</w:t>
      </w:r>
      <w:r w:rsidRPr="008728C5">
        <w:t>ore years of work also mean fewer years of retirement.</w:t>
      </w:r>
      <w:proofErr w:type="gramEnd"/>
      <w:r w:rsidRPr="008728C5">
        <w:t xml:space="preserve"> </w:t>
      </w:r>
      <w:r>
        <w:t>If</w:t>
      </w:r>
      <w:r w:rsidRPr="008728C5">
        <w:t xml:space="preserve"> the increase in (utility derived from additional) retirement income due to the postponement of retirement is not large enough to offset the shorter period of leisure, those who have the ability to draw on other (non</w:t>
      </w:r>
      <w:r>
        <w:noBreakHyphen/>
      </w:r>
      <w:r w:rsidRPr="008728C5">
        <w:t xml:space="preserve">superannuation) savings </w:t>
      </w:r>
      <w:r>
        <w:t xml:space="preserve">or to take out a loan to finance an earlier retirement, </w:t>
      </w:r>
      <w:r w:rsidRPr="008728C5">
        <w:t xml:space="preserve">will exit the labour force. </w:t>
      </w:r>
    </w:p>
    <w:p w:rsidR="007C51D1" w:rsidRDefault="007C51D1" w:rsidP="005939B8">
      <w:pPr>
        <w:pStyle w:val="BodyText"/>
      </w:pPr>
      <w:r>
        <w:t xml:space="preserve">Second, </w:t>
      </w:r>
      <w:proofErr w:type="gramStart"/>
      <w:r>
        <w:t>r</w:t>
      </w:r>
      <w:r w:rsidRPr="008728C5">
        <w:t>aising</w:t>
      </w:r>
      <w:proofErr w:type="gramEnd"/>
      <w:r w:rsidRPr="008728C5">
        <w:t xml:space="preserve"> the preservation age is unlikely to fundamentally alter the retirement behaviour of </w:t>
      </w:r>
      <w:r>
        <w:t xml:space="preserve">those who retire involuntarily. If these individuals are unable to access their superannuation, and do not have other savings on which to draw, they may </w:t>
      </w:r>
      <w:r w:rsidRPr="008728C5">
        <w:t>transition onto income support payments</w:t>
      </w:r>
      <w:r>
        <w:t>, such as the Disability S</w:t>
      </w:r>
      <w:r w:rsidRPr="008728C5">
        <w:t xml:space="preserve">upport </w:t>
      </w:r>
      <w:r>
        <w:t xml:space="preserve">Pension, Carer Payment or </w:t>
      </w:r>
      <w:proofErr w:type="spellStart"/>
      <w:r>
        <w:t>Newstart</w:t>
      </w:r>
      <w:proofErr w:type="spellEnd"/>
      <w:r>
        <w:t xml:space="preserve"> A</w:t>
      </w:r>
      <w:r w:rsidRPr="008728C5">
        <w:t>llowance</w:t>
      </w:r>
      <w:r>
        <w:t xml:space="preserve">. </w:t>
      </w:r>
    </w:p>
    <w:p w:rsidR="007C51D1" w:rsidRDefault="007C51D1" w:rsidP="005939B8">
      <w:pPr>
        <w:pStyle w:val="BodyText"/>
      </w:pPr>
      <w:r>
        <w:t>A number of stakeholders pointed to these two effects as being reasons why raising the preservation age might only have modest impacts, with the latter raising equity issues for the less wealthy, who tend to face a higher rate of involuntarily retirement.</w:t>
      </w:r>
    </w:p>
    <w:p w:rsidR="007C51D1" w:rsidRDefault="007C51D1" w:rsidP="005939B8">
      <w:pPr>
        <w:pStyle w:val="Heading3"/>
        <w:tabs>
          <w:tab w:val="left" w:pos="7245"/>
        </w:tabs>
      </w:pPr>
      <w:r>
        <w:t>Using modelling to better understand the likely impacts</w:t>
      </w:r>
      <w:r>
        <w:tab/>
      </w:r>
    </w:p>
    <w:p w:rsidR="007C51D1" w:rsidRDefault="007C51D1" w:rsidP="005939B8">
      <w:pPr>
        <w:pStyle w:val="BodyText"/>
      </w:pPr>
      <w:r>
        <w:t xml:space="preserve">Assessing how a change in the preservation age works in concert with other factors that influence retirement decisions is a complicated task. </w:t>
      </w:r>
      <w:r w:rsidRPr="00C70F66">
        <w:t>In order to better understand how retirement behaviour might be affected by an increase in the preservation age</w:t>
      </w:r>
      <w:r>
        <w:t>,</w:t>
      </w:r>
      <w:r w:rsidRPr="00C70F66">
        <w:t xml:space="preserve"> the Commission </w:t>
      </w:r>
      <w:r>
        <w:t>has developed a behavioural model, which provides a stylised representation of the retirement decision making process (box 3.2,</w:t>
      </w:r>
      <w:r w:rsidRPr="00EF0EB0">
        <w:t xml:space="preserve"> </w:t>
      </w:r>
      <w:r>
        <w:t xml:space="preserve">figure 3.9). </w:t>
      </w:r>
    </w:p>
    <w:p w:rsidR="007C51D1" w:rsidRDefault="007C51D1" w:rsidP="005939B8">
      <w:pPr>
        <w:pStyle w:val="BodyText"/>
      </w:pPr>
      <w:r w:rsidRPr="00232C66">
        <w:t>Like other retirement models</w:t>
      </w:r>
      <w:r>
        <w:t>,</w:t>
      </w:r>
      <w:r w:rsidRPr="00232C66">
        <w:t xml:space="preserve"> the Commission’s model is not designed to make </w:t>
      </w:r>
      <w:r>
        <w:t>precise projections of future</w:t>
      </w:r>
      <w:r w:rsidRPr="00232C66">
        <w:t xml:space="preserve"> behavioural changes. Indeed</w:t>
      </w:r>
      <w:r>
        <w:t>,</w:t>
      </w:r>
      <w:r w:rsidRPr="00232C66">
        <w:t xml:space="preserve"> it is not feasible to do so, given the difficulty in modelling household behaviour over a lifetime and</w:t>
      </w:r>
      <w:r>
        <w:t>, in the case of superannuation policies,</w:t>
      </w:r>
      <w:r w:rsidRPr="00232C66">
        <w:t xml:space="preserve"> the </w:t>
      </w:r>
      <w:proofErr w:type="spellStart"/>
      <w:r>
        <w:t xml:space="preserve">long </w:t>
      </w:r>
      <w:r w:rsidRPr="00232C66">
        <w:t>time</w:t>
      </w:r>
      <w:proofErr w:type="spellEnd"/>
      <w:r w:rsidRPr="00232C66">
        <w:t xml:space="preserve"> horizon</w:t>
      </w:r>
      <w:r>
        <w:t>s</w:t>
      </w:r>
      <w:r w:rsidRPr="00232C66">
        <w:t xml:space="preserve"> considered. Rather, the Commission’s modelling is intended to be indicative and highlight the avenues through which behavioural change </w:t>
      </w:r>
      <w:r>
        <w:t xml:space="preserve">is likely to </w:t>
      </w:r>
      <w:r w:rsidRPr="00232C66">
        <w:t>occur.</w:t>
      </w:r>
      <w:r>
        <w:t xml:space="preserve">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 xml:space="preserve">Box </w:t>
            </w:r>
            <w:bookmarkStart w:id="14" w:name="OLE_LINK42"/>
            <w:r>
              <w:rPr>
                <w:b w:val="0"/>
              </w:rPr>
              <w:t>3.</w:t>
            </w:r>
            <w:r>
              <w:rPr>
                <w:b w:val="0"/>
                <w:noProof/>
              </w:rPr>
              <w:t>2</w:t>
            </w:r>
            <w:bookmarkEnd w:id="14"/>
            <w:r>
              <w:tab/>
              <w:t>Unpacking the Productivity Commission Retirement Model</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rPr>
                <w:b/>
              </w:rPr>
              <w:t xml:space="preserve">The decision makers — </w:t>
            </w:r>
            <w:r>
              <w:t>A change in the preservation age will not affect all households in the same way. To account for differences in the retirement decisions of households, t</w:t>
            </w:r>
            <w:r w:rsidRPr="008728C5">
              <w:t xml:space="preserve">he </w:t>
            </w:r>
            <w:r w:rsidRPr="005924DD">
              <w:t xml:space="preserve">Productivity Commission Retirement Model </w:t>
            </w:r>
            <w:r>
              <w:t xml:space="preserve">(PCRM) </w:t>
            </w:r>
            <w:r w:rsidRPr="008728C5">
              <w:t xml:space="preserve">groups households </w:t>
            </w:r>
            <w:r>
              <w:t xml:space="preserve">of a given age cohort </w:t>
            </w:r>
            <w:r w:rsidRPr="008728C5">
              <w:t>into 12 different household types according</w:t>
            </w:r>
            <w:r>
              <w:t xml:space="preserve"> to their</w:t>
            </w:r>
            <w:r w:rsidRPr="008728C5">
              <w:t xml:space="preserve"> </w:t>
            </w:r>
            <w:r>
              <w:t>couple</w:t>
            </w:r>
            <w:r w:rsidRPr="00F974EF">
              <w:t xml:space="preserve"> status </w:t>
            </w:r>
            <w:r w:rsidRPr="00A8337B">
              <w:t>(single</w:t>
            </w:r>
            <w:r>
              <w:t xml:space="preserve"> or couple), their gender (for single households), and their wealth relative to other households of the same type</w:t>
            </w:r>
            <w:r w:rsidRPr="008728C5">
              <w:t xml:space="preserve">. </w:t>
            </w:r>
            <w:r w:rsidRPr="00D46FE6">
              <w:t xml:space="preserve">Each of the 12 household types </w:t>
            </w:r>
            <w:proofErr w:type="gramStart"/>
            <w:r w:rsidRPr="00D46FE6">
              <w:t>are</w:t>
            </w:r>
            <w:proofErr w:type="gramEnd"/>
            <w:r w:rsidRPr="00D46FE6">
              <w:t xml:space="preserve"> further differentiated by </w:t>
            </w:r>
            <w:r>
              <w:t>10</w:t>
            </w:r>
            <w:r w:rsidRPr="00D46FE6">
              <w:t xml:space="preserve"> different preferences for </w:t>
            </w:r>
            <w:r>
              <w:t>non</w:t>
            </w:r>
            <w:r>
              <w:noBreakHyphen/>
              <w:t xml:space="preserve">paid work </w:t>
            </w:r>
            <w:r w:rsidRPr="00D46FE6">
              <w:t>activities.</w:t>
            </w:r>
            <w:r>
              <w:t xml:space="preserve"> </w:t>
            </w:r>
          </w:p>
          <w:p w:rsidR="007C51D1" w:rsidRDefault="007C51D1" w:rsidP="005939B8">
            <w:pPr>
              <w:pStyle w:val="Box"/>
            </w:pPr>
            <w:r>
              <w:rPr>
                <w:b/>
              </w:rPr>
              <w:t xml:space="preserve">The nature of the decision — </w:t>
            </w:r>
            <w:r>
              <w:t xml:space="preserve">Given the fundamental differences between voluntary and involuntary retirement, the PCRM varies the nature of the retirement decision </w:t>
            </w:r>
            <w:proofErr w:type="gramStart"/>
            <w:r>
              <w:t>individuals</w:t>
            </w:r>
            <w:proofErr w:type="gramEnd"/>
            <w:r>
              <w:t xml:space="preserve"> face. Individuals that make </w:t>
            </w:r>
            <w:r w:rsidRPr="006705CC">
              <w:t>voluntary</w:t>
            </w:r>
            <w:r>
              <w:t xml:space="preserve"> retirement decisions are assumed to choose the retirement age that maximises their wellbeing across all the future years of their lives. These individuals are assumed to derive utility from three sources.</w:t>
            </w:r>
          </w:p>
          <w:p w:rsidR="007C51D1" w:rsidRDefault="007C51D1" w:rsidP="005939B8">
            <w:pPr>
              <w:pStyle w:val="BoxListBullet"/>
            </w:pPr>
            <w:r>
              <w:t>Non</w:t>
            </w:r>
            <w:r>
              <w:noBreakHyphen/>
              <w:t xml:space="preserve">paid work activities. Setting aside the fact that working provides individuals with an income, individuals are assumed to prefer not working to working. </w:t>
            </w:r>
          </w:p>
          <w:p w:rsidR="007C51D1" w:rsidRPr="00092CBD" w:rsidRDefault="007C51D1" w:rsidP="005939B8">
            <w:pPr>
              <w:pStyle w:val="BoxListBullet"/>
            </w:pPr>
            <w:r>
              <w:t xml:space="preserve">Consumption, which is equal to wage income earned less savings for those who are still working; and asset </w:t>
            </w:r>
            <w:proofErr w:type="spellStart"/>
            <w:r>
              <w:t>draw downs</w:t>
            </w:r>
            <w:proofErr w:type="spellEnd"/>
            <w:r>
              <w:t xml:space="preserve"> plus any Age Pension payments for those who have retired. </w:t>
            </w:r>
          </w:p>
          <w:p w:rsidR="007C51D1" w:rsidRDefault="007C51D1" w:rsidP="005939B8">
            <w:pPr>
              <w:pStyle w:val="BoxListBullet"/>
            </w:pPr>
            <w:r>
              <w:t xml:space="preserve">Bequests, which </w:t>
            </w:r>
            <w:r w:rsidRPr="007D24C5">
              <w:t>prox</w:t>
            </w:r>
            <w:r>
              <w:t>y</w:t>
            </w:r>
            <w:r w:rsidRPr="007D24C5">
              <w:t xml:space="preserve"> a range of factors that lead to </w:t>
            </w:r>
            <w:r>
              <w:t xml:space="preserve">(mainly) </w:t>
            </w:r>
            <w:r w:rsidRPr="007D24C5">
              <w:t>wealthier households accumulating more savings, and after they retire, drawing down on their savings more slowly than would be expected if they intended to consume all of their savings before they die</w:t>
            </w:r>
            <w:r>
              <w:t xml:space="preserve">. </w:t>
            </w:r>
          </w:p>
          <w:p w:rsidR="007C51D1" w:rsidRDefault="007C51D1" w:rsidP="005939B8">
            <w:pPr>
              <w:pStyle w:val="Box"/>
            </w:pPr>
            <w:r>
              <w:t>Some aspects of the retirement decision have been simplified. For example, it is assumed that: r</w:t>
            </w:r>
            <w:r w:rsidRPr="002F0791">
              <w:t>etirement is permanent</w:t>
            </w:r>
            <w:r>
              <w:t>; t</w:t>
            </w:r>
            <w:r w:rsidRPr="002F0791">
              <w:t>here is no explicit ‘phasing to retirement’</w:t>
            </w:r>
            <w:r>
              <w:t>;</w:t>
            </w:r>
            <w:r w:rsidRPr="00372021">
              <w:t xml:space="preserve"> </w:t>
            </w:r>
            <w:r>
              <w:t xml:space="preserve">and </w:t>
            </w:r>
            <w:r w:rsidRPr="002F0791">
              <w:t>couple households retire at the same time and are of the same age</w:t>
            </w:r>
            <w:r>
              <w:t xml:space="preserve">. Not all of the factors that influence voluntary retirement — such as education levels and homeownership — have been explicitly included. That said, some factors have been indirectly included because they are highly correlated with factors that have been explicitly included (for example, the effect of education levels on retirement are likely to be </w:t>
            </w:r>
            <w:proofErr w:type="spellStart"/>
            <w:r>
              <w:t>proxied</w:t>
            </w:r>
            <w:proofErr w:type="spellEnd"/>
            <w:r>
              <w:t xml:space="preserve"> by wage earnings and wealth, which are included in the model). Other factors are implicitly included because the parameters in the utility model are calibrated such that the model reproduces current retirement behaviour. </w:t>
            </w:r>
          </w:p>
          <w:p w:rsidR="007C51D1" w:rsidRDefault="007C51D1" w:rsidP="005939B8">
            <w:pPr>
              <w:pStyle w:val="Box"/>
            </w:pPr>
            <w:r>
              <w:t xml:space="preserve">While all households intend to retire voluntarily in the model, some </w:t>
            </w:r>
            <w:r w:rsidRPr="00205B6B">
              <w:rPr>
                <w:b/>
              </w:rPr>
              <w:t>involuntarily retire</w:t>
            </w:r>
            <w:r>
              <w:t xml:space="preserve"> before they reach their desired retirement age.</w:t>
            </w:r>
            <w:r w:rsidRPr="000E2A7E">
              <w:t xml:space="preserve"> </w:t>
            </w:r>
            <w:r>
              <w:t>Data on involuntary retirement are used to determine how many households retire involuntarily. The likelihood of retiring involuntarily increases with age and is higher for low</w:t>
            </w:r>
            <w:r>
              <w:noBreakHyphen/>
              <w:t xml:space="preserve">wealth households. </w:t>
            </w:r>
          </w:p>
          <w:p w:rsidR="007C51D1" w:rsidRDefault="007C51D1" w:rsidP="005939B8">
            <w:pPr>
              <w:pStyle w:val="Box"/>
            </w:pPr>
            <w:r>
              <w:t xml:space="preserve">The nature of the retirement decision embodied in PCRM relates only to the </w:t>
            </w:r>
            <w:r w:rsidRPr="00205B6B">
              <w:rPr>
                <w:b/>
              </w:rPr>
              <w:t>timing of retirement</w:t>
            </w:r>
            <w:r>
              <w:t>. However, in reality, households make more choices that affect their retirement than just choosing their retirement age. For example, individuals choose their level of voluntary contributions to superannuation and non</w:t>
            </w:r>
            <w:r>
              <w:noBreakHyphen/>
              <w:t xml:space="preserve">superannuation savings and the rate at which they draw down their assets in retirement. In the PCRM, individuals do not get to explicitly make these </w:t>
            </w:r>
            <w:proofErr w:type="gramStart"/>
            <w:r>
              <w:t>decisions,</w:t>
            </w:r>
            <w:proofErr w:type="gramEnd"/>
            <w:r>
              <w:t xml:space="preserve"> rather their behaviour is based on financial and other data. This means that within the model, individuals cannot divert superannuation contributions towards non</w:t>
            </w:r>
            <w:r>
              <w:noBreakHyphen/>
              <w:t>superannuation assets if investing in superannuation becomes less desirable. That said</w:t>
            </w:r>
            <w:proofErr w:type="gramStart"/>
            <w:r>
              <w:t>,</w:t>
            </w:r>
            <w:proofErr w:type="gramEnd"/>
            <w:r>
              <w:t xml:space="preserve"> the policy changes considered here are unlikely to significantly affect the desirability of superannuation as a savings device when the preferential tax treatment of superannuation is considered.</w:t>
            </w:r>
          </w:p>
          <w:p w:rsidR="007C51D1" w:rsidRDefault="007C51D1" w:rsidP="005939B8">
            <w:pPr>
              <w:pStyle w:val="Box"/>
            </w:pPr>
            <w:r>
              <w:t>A detailed description of the PCRM is contained in supplementary paper 6.</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917A1B" w:rsidRDefault="00917A1B"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9</w:t>
            </w:r>
            <w:r>
              <w:tab/>
              <w:t>The Productivity Commission Retirement Model</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Default="007C51D1" w:rsidP="005939B8">
                  <w:pPr>
                    <w:pStyle w:val="Figure"/>
                    <w:spacing w:before="60" w:after="60"/>
                  </w:pPr>
                  <w:r>
                    <w:rPr>
                      <w:noProof/>
                    </w:rPr>
                    <w:drawing>
                      <wp:inline distT="0" distB="0" distL="0" distR="0" wp14:anchorId="3E21F82D" wp14:editId="383AA8D8">
                        <wp:extent cx="5400040" cy="3112770"/>
                        <wp:effectExtent l="0" t="0" r="0" b="0"/>
                        <wp:docPr id="56" name="Picture 56" descr="Figure 3.9  The Productivity Commission Retirement Model.&#10;A flow chart depicts the inputs and decision making process required for the Productivity Commission Retirement Model. Inputs include various incomes, rules governing access to superannuation, Age Pension and taxes. These inputs are further combined with population, household formation and involuntary retirement projections. After combing the various inputs they are weighted before flowing through to provide an output for the Productivity Commission Retirement Model. A more detailed description can be found in either box 3.2 or supplement paper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ylised supermodel.jpg"/>
                                <pic:cNvPicPr/>
                              </pic:nvPicPr>
                              <pic:blipFill>
                                <a:blip r:embed="rId84" cstate="print">
                                  <a:extLst>
                                    <a:ext uri="{28A0092B-C50C-407E-A947-70E740481C1C}">
                                      <a14:useLocalDpi xmlns:a14="http://schemas.microsoft.com/office/drawing/2010/main" val="0"/>
                                    </a:ext>
                                  </a:extLst>
                                </a:blip>
                                <a:stretch>
                                  <a:fillRect/>
                                </a:stretch>
                              </pic:blipFill>
                              <pic:spPr>
                                <a:xfrm>
                                  <a:off x="0" y="0"/>
                                  <a:ext cx="5400040" cy="3112770"/>
                                </a:xfrm>
                                <a:prstGeom prst="rect">
                                  <a:avLst/>
                                </a:prstGeom>
                              </pic:spPr>
                            </pic:pic>
                          </a:graphicData>
                        </a:graphic>
                      </wp:inline>
                    </w:drawing>
                  </w:r>
                </w:p>
              </w:tc>
            </w:tr>
          </w:tbl>
          <w:p w:rsidR="007C51D1" w:rsidRDefault="007C51D1" w:rsidP="005939B8">
            <w:pPr>
              <w:pStyle w:val="Figure"/>
            </w:pP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What does the model tell us about how retirement age might change over time?</w:t>
      </w:r>
    </w:p>
    <w:p w:rsidR="007C51D1" w:rsidRDefault="007C51D1" w:rsidP="005939B8">
      <w:pPr>
        <w:pStyle w:val="BodyText"/>
      </w:pPr>
      <w:r>
        <w:t xml:space="preserve">Given that any change in the preservation age is unlikely to apply immediately, it is retirement behaviour in the </w:t>
      </w:r>
      <w:r w:rsidRPr="00B90477">
        <w:rPr>
          <w:i/>
        </w:rPr>
        <w:t>future</w:t>
      </w:r>
      <w:r>
        <w:t xml:space="preserve"> that will determine the effects of policy changes. The model’s </w:t>
      </w:r>
      <w:r w:rsidRPr="00E333F3">
        <w:rPr>
          <w:i/>
        </w:rPr>
        <w:t>base case</w:t>
      </w:r>
      <w:r>
        <w:t xml:space="preserve"> projects one view of how retirement behaviour might change going forward. It incorporates a number of factors that are likely to change the distribution of retirement ages over time, including:</w:t>
      </w:r>
    </w:p>
    <w:p w:rsidR="007C51D1" w:rsidRDefault="007C51D1" w:rsidP="005939B8">
      <w:pPr>
        <w:pStyle w:val="ListBullet"/>
      </w:pPr>
      <w:proofErr w:type="gramStart"/>
      <w:r w:rsidRPr="00A37306">
        <w:rPr>
          <w:i/>
        </w:rPr>
        <w:t>the</w:t>
      </w:r>
      <w:proofErr w:type="gramEnd"/>
      <w:r w:rsidRPr="00A37306">
        <w:rPr>
          <w:i/>
        </w:rPr>
        <w:t xml:space="preserve"> maturing of the superannuation system</w:t>
      </w:r>
      <w:r>
        <w:t>. With larger superannuation balances, more households will have the option of retiring earlier. At the same time, some households with greater wealth may decide to work for longer (due to the bequest motive).</w:t>
      </w:r>
      <w:r w:rsidRPr="00216A16">
        <w:rPr>
          <w:rStyle w:val="FootnoteReference"/>
        </w:rPr>
        <w:footnoteReference w:id="13"/>
      </w:r>
      <w:r>
        <w:t xml:space="preserve"> </w:t>
      </w:r>
    </w:p>
    <w:p w:rsidR="007C51D1" w:rsidRDefault="007C51D1" w:rsidP="005939B8">
      <w:pPr>
        <w:pStyle w:val="ListBullet"/>
      </w:pPr>
      <w:proofErr w:type="gramStart"/>
      <w:r w:rsidRPr="00A37306">
        <w:rPr>
          <w:i/>
        </w:rPr>
        <w:t>increases</w:t>
      </w:r>
      <w:proofErr w:type="gramEnd"/>
      <w:r w:rsidRPr="00A37306">
        <w:rPr>
          <w:i/>
        </w:rPr>
        <w:t xml:space="preserve"> in real wages</w:t>
      </w:r>
      <w:r>
        <w:t>. On the one hand, this will decrease the incentive to retire for individuals as they will have to forgo a higher income. On the other hand, if individuals have higher incomes over their working lives, they will also have larger savings balances, which could encourage them to retire earlier.</w:t>
      </w:r>
    </w:p>
    <w:p w:rsidR="007C51D1" w:rsidRDefault="007C51D1" w:rsidP="005939B8">
      <w:pPr>
        <w:pStyle w:val="ListBullet"/>
      </w:pPr>
      <w:proofErr w:type="gramStart"/>
      <w:r w:rsidRPr="00A37306">
        <w:rPr>
          <w:i/>
        </w:rPr>
        <w:t>legislated</w:t>
      </w:r>
      <w:proofErr w:type="gramEnd"/>
      <w:r w:rsidRPr="00A37306">
        <w:rPr>
          <w:i/>
        </w:rPr>
        <w:t xml:space="preserve"> changes in government policy</w:t>
      </w:r>
      <w:r>
        <w:t xml:space="preserve">, such as the gradual increase in the Superannuation Guarantee to 12 per cent, the increase in the preservation age from 55 to 60 years by 2025 and the increase in the Age Pension age from 65 to 67 years </w:t>
      </w:r>
      <w:r>
        <w:lastRenderedPageBreak/>
        <w:t>by</w:t>
      </w:r>
      <w:r w:rsidR="002C0199">
        <w:t> </w:t>
      </w:r>
      <w:r w:rsidRPr="00C67BBE">
        <w:t xml:space="preserve">2023. </w:t>
      </w:r>
      <w:r>
        <w:t>As already discussed, these latter two changes are likely to delay the retirement of individuals.</w:t>
      </w:r>
    </w:p>
    <w:p w:rsidR="007C51D1" w:rsidRDefault="007C51D1" w:rsidP="005939B8">
      <w:pPr>
        <w:pStyle w:val="BodyText"/>
      </w:pPr>
      <w:r>
        <w:t>The retirement age distribution under the base case for the period 2012 through 2055 is depicted in figure 3.10. There are three noticeable features:</w:t>
      </w:r>
    </w:p>
    <w:p w:rsidR="007C51D1" w:rsidRDefault="007C51D1" w:rsidP="005939B8">
      <w:pPr>
        <w:pStyle w:val="ListBullet"/>
      </w:pPr>
      <w:r>
        <w:t xml:space="preserve">A delay in retirement for individuals who retire before age 60. This is due to an increase in the preservation age from 55 to 60. </w:t>
      </w:r>
    </w:p>
    <w:p w:rsidR="007C51D1" w:rsidRDefault="007C51D1" w:rsidP="005939B8">
      <w:pPr>
        <w:pStyle w:val="ListBullet"/>
      </w:pPr>
      <w:r>
        <w:t xml:space="preserve">A shift in the spike in retirement at age 65 to age 67. This is due to the increase in the Age Pension age from 65 to 67. </w:t>
      </w:r>
    </w:p>
    <w:p w:rsidR="007C51D1" w:rsidRDefault="007C51D1" w:rsidP="005939B8">
      <w:pPr>
        <w:pStyle w:val="ListBullet"/>
      </w:pPr>
      <w:r>
        <w:t xml:space="preserve">A modest increase in the proportion of individuals who retire at the ages of 62 and 63. This is because the incentive to retire earlier (due to the fact that households have larger savings balances) is stronger than the factors that delay retirement (such as an increase in real wages and hence foregone income). </w:t>
      </w:r>
    </w:p>
    <w:p w:rsidR="007C51D1" w:rsidRDefault="007C51D1" w:rsidP="005939B8">
      <w:pPr>
        <w:pStyle w:val="BodyText"/>
      </w:pPr>
      <w:r>
        <w:t>It is against this base case that the impacts of increasing the preservation age are assessed.</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10</w:t>
            </w:r>
            <w:r>
              <w:tab/>
              <w:t>Model retirement behaviour (today and projected)</w:t>
            </w:r>
            <w:r w:rsidRPr="0097693B">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6A3BD5" w:rsidP="005939B8">
                  <w:pPr>
                    <w:pStyle w:val="Figure"/>
                    <w:spacing w:before="60" w:after="60"/>
                  </w:pPr>
                  <w:r>
                    <w:rPr>
                      <w:noProof/>
                    </w:rPr>
                    <w:drawing>
                      <wp:inline distT="0" distB="0" distL="0" distR="0">
                        <wp:extent cx="5257800" cy="2800350"/>
                        <wp:effectExtent l="0" t="0" r="0" b="0"/>
                        <wp:docPr id="213" name="Picture 213" descr="Figure. 3.10 Model retirement behaviour (today and projected)&#10;Line graph comparing the proportion of the population retired at each age from 50 to 75 (as produced by the PCRM) in two cases: first, assuming that there are no policy changes over the next forty years; and second, assuming legislated policy changes are implemente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Current retirement behaviour is calibrated to behaviour of 50 year olds in 2012 assuming no policy changes (whether legislated or not). Base case retirement behaviour is for 30</w:t>
            </w:r>
            <w:r>
              <w:noBreakHyphen/>
              <w:t>34 year olds in 2012 assuming legislated policy changes.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Commission estimates.</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 xml:space="preserve">What are the impacts of </w:t>
      </w:r>
      <w:proofErr w:type="gramStart"/>
      <w:r>
        <w:t>raising</w:t>
      </w:r>
      <w:proofErr w:type="gramEnd"/>
      <w:r>
        <w:t xml:space="preserve"> the preservation age to 65?</w:t>
      </w:r>
    </w:p>
    <w:p w:rsidR="007C51D1" w:rsidRDefault="007C51D1" w:rsidP="005939B8">
      <w:pPr>
        <w:pStyle w:val="BodyText"/>
      </w:pPr>
      <w:r>
        <w:t>The Commission has assessed the impacts of a gradual increase in the preservation age to 65 years (figure 3.11). Such an option represents a middle</w:t>
      </w:r>
      <w:r>
        <w:noBreakHyphen/>
        <w:t xml:space="preserve">ground and is consistent with </w:t>
      </w:r>
      <w:r>
        <w:lastRenderedPageBreak/>
        <w:t>past approaches, which have provided affected individuals with sufficient lead times to adjust their behaviour given the lag between savings decisions during working years and eventual retirement incomes. The impacts associated with alternative transition pathways and sensitivity analyses are detailed later in this paper and in supplementary paper 6.</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11</w:t>
            </w:r>
            <w:r>
              <w:tab/>
            </w:r>
            <w:r w:rsidR="00F92305">
              <w:t xml:space="preserve">Narrowing the gap </w:t>
            </w:r>
            <w:r>
              <w:t>— modelling a closer preservation age and Age Pension age</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40"/>
              <w:gridCol w:w="4264"/>
            </w:tblGrid>
            <w:tr w:rsidR="007C51D1" w:rsidTr="002E7CE2">
              <w:trPr>
                <w:jc w:val="center"/>
              </w:trPr>
              <w:tc>
                <w:tcPr>
                  <w:tcW w:w="4240" w:type="dxa"/>
                  <w:tcBorders>
                    <w:top w:val="nil"/>
                    <w:bottom w:val="nil"/>
                  </w:tcBorders>
                </w:tcPr>
                <w:p w:rsidR="007C51D1" w:rsidRDefault="007C51D1" w:rsidP="005939B8">
                  <w:pPr>
                    <w:pStyle w:val="Figure"/>
                    <w:spacing w:before="60" w:after="60"/>
                    <w:rPr>
                      <w:rStyle w:val="NoteLabel"/>
                    </w:rPr>
                  </w:pPr>
                  <w:r w:rsidRPr="000104EF">
                    <w:rPr>
                      <w:rFonts w:asciiTheme="minorHAnsi" w:hAnsiTheme="minorHAnsi" w:cstheme="minorHAnsi"/>
                      <w:b/>
                      <w:sz w:val="20"/>
                    </w:rPr>
                    <w:t>(</w:t>
                  </w:r>
                  <w:proofErr w:type="spellStart"/>
                  <w:r w:rsidRPr="000104EF">
                    <w:rPr>
                      <w:rFonts w:asciiTheme="minorHAnsi" w:hAnsiTheme="minorHAnsi" w:cstheme="minorHAnsi"/>
                      <w:b/>
                      <w:sz w:val="20"/>
                    </w:rPr>
                    <w:t>i</w:t>
                  </w:r>
                  <w:proofErr w:type="spellEnd"/>
                  <w:r w:rsidRPr="000104EF">
                    <w:rPr>
                      <w:rFonts w:asciiTheme="minorHAnsi" w:hAnsiTheme="minorHAnsi" w:cstheme="minorHAnsi"/>
                      <w:b/>
                      <w:sz w:val="20"/>
                    </w:rPr>
                    <w:t>) The current situation</w:t>
                  </w:r>
                  <w:r w:rsidRPr="00232C66">
                    <w:rPr>
                      <w:rStyle w:val="NoteLabel"/>
                    </w:rPr>
                    <w:t>a</w:t>
                  </w:r>
                </w:p>
                <w:p w:rsidR="007C51D1" w:rsidRPr="007E293B" w:rsidRDefault="002E7CE2" w:rsidP="005939B8">
                  <w:pPr>
                    <w:pStyle w:val="Figure"/>
                    <w:spacing w:before="60" w:after="60"/>
                    <w:rPr>
                      <w:rFonts w:asciiTheme="minorHAnsi" w:hAnsiTheme="minorHAnsi" w:cstheme="minorHAnsi"/>
                      <w:i/>
                    </w:rPr>
                  </w:pPr>
                  <w:r>
                    <w:rPr>
                      <w:rFonts w:asciiTheme="minorHAnsi" w:hAnsiTheme="minorHAnsi" w:cstheme="minorHAnsi"/>
                      <w:i/>
                      <w:noProof/>
                    </w:rPr>
                    <w:drawing>
                      <wp:inline distT="0" distB="0" distL="0" distR="0">
                        <wp:extent cx="2552700" cy="2724150"/>
                        <wp:effectExtent l="0" t="0" r="0" b="0"/>
                        <wp:docPr id="214" name="Picture 214" descr="Figure 3.11 Closing the gap — modelling a closer preservation age and Age Pension age. Set of two line charts, the first showing legislated changes in the age pension age and the preservation age over the next 40 years, and the second showing the same two variables but assuming a phased increase in the age pension age to 70 immediate after the legislated increase to 67, and a phased increase in the preservation age from 60 to 65 beginning in 203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552700" cy="2724150"/>
                                </a:xfrm>
                                <a:prstGeom prst="rect">
                                  <a:avLst/>
                                </a:prstGeom>
                                <a:noFill/>
                                <a:ln>
                                  <a:noFill/>
                                </a:ln>
                              </pic:spPr>
                            </pic:pic>
                          </a:graphicData>
                        </a:graphic>
                      </wp:inline>
                    </w:drawing>
                  </w:r>
                </w:p>
              </w:tc>
              <w:tc>
                <w:tcPr>
                  <w:tcW w:w="4264" w:type="dxa"/>
                  <w:tcBorders>
                    <w:top w:val="nil"/>
                    <w:bottom w:val="nil"/>
                  </w:tcBorders>
                </w:tcPr>
                <w:p w:rsidR="007C51D1" w:rsidRDefault="007C51D1" w:rsidP="005939B8">
                  <w:pPr>
                    <w:pStyle w:val="Figure"/>
                    <w:spacing w:before="60" w:after="60"/>
                    <w:rPr>
                      <w:noProof/>
                    </w:rPr>
                  </w:pPr>
                  <w:r w:rsidRPr="000104EF">
                    <w:rPr>
                      <w:rFonts w:ascii="Arial" w:hAnsi="Arial" w:cs="Arial"/>
                      <w:b/>
                      <w:sz w:val="20"/>
                    </w:rPr>
                    <w:t>(ii) The gap under modelled policy</w:t>
                  </w:r>
                  <w:r w:rsidRPr="00232C66">
                    <w:rPr>
                      <w:rStyle w:val="NoteLabel"/>
                      <w:rFonts w:cs="Arial"/>
                    </w:rPr>
                    <w:t>b</w:t>
                  </w:r>
                  <w:r>
                    <w:rPr>
                      <w:noProof/>
                    </w:rPr>
                    <w:t xml:space="preserve"> </w:t>
                  </w:r>
                </w:p>
                <w:p w:rsidR="007C51D1" w:rsidRPr="007E293B" w:rsidRDefault="002E7CE2" w:rsidP="005939B8">
                  <w:pPr>
                    <w:pStyle w:val="Figure"/>
                    <w:spacing w:before="60" w:after="60"/>
                    <w:rPr>
                      <w:rFonts w:asciiTheme="majorHAnsi" w:hAnsiTheme="majorHAnsi" w:cstheme="majorHAnsi"/>
                      <w:i/>
                    </w:rPr>
                  </w:pPr>
                  <w:r>
                    <w:rPr>
                      <w:rFonts w:asciiTheme="majorHAnsi" w:hAnsiTheme="majorHAnsi" w:cstheme="majorHAnsi"/>
                      <w:i/>
                      <w:noProof/>
                    </w:rPr>
                    <w:drawing>
                      <wp:inline distT="0" distB="0" distL="0" distR="0">
                        <wp:extent cx="2571750" cy="2743200"/>
                        <wp:effectExtent l="0" t="0" r="0" b="0"/>
                        <wp:docPr id="215" name="Picture 215" descr="read previou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571750" cy="274320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r>
              <w:rPr>
                <w:rStyle w:val="NoteLabel"/>
              </w:rPr>
              <w:t>a</w:t>
            </w:r>
            <w:proofErr w:type="spellEnd"/>
            <w:r>
              <w:t xml:space="preserve"> The gap between the Age Pension age and the preservation age falls from 10 years to 7 years by 2024, and then remains constant. </w:t>
            </w:r>
            <w:r>
              <w:rPr>
                <w:rStyle w:val="NoteLabel"/>
              </w:rPr>
              <w:t>b</w:t>
            </w:r>
            <w:r>
              <w:t xml:space="preserve"> The policy modelled is the same as the current situation, until 2035, when the gap begins to narrow with an increasing preservation age — falling to a 2 year gap by 2043.</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Consistent with expectations, raising the preservation age encourages some individuals to retire later and accrue more superannuation savings. However, the Commission’s modelling results suggest that these impacts are likely to be concentrated among a relatively small share of the population. I</w:t>
      </w:r>
      <w:r w:rsidRPr="001638A4">
        <w:t xml:space="preserve">ncreasing the </w:t>
      </w:r>
      <w:r>
        <w:t>p</w:t>
      </w:r>
      <w:r w:rsidRPr="001638A4">
        <w:t>reservation age to 65 is likely to increase the participation rate of older workers</w:t>
      </w:r>
      <w:r>
        <w:t>, such that by 2055, the average participation rate among 50 to 64 year olds is around 2 percentage points higher.</w:t>
      </w:r>
      <w:r w:rsidRPr="001638A4">
        <w:t xml:space="preserve"> Households </w:t>
      </w:r>
      <w:r>
        <w:t>that</w:t>
      </w:r>
      <w:r w:rsidRPr="001638A4">
        <w:t xml:space="preserve"> delay their retirement do so by around two years</w:t>
      </w:r>
      <w:r>
        <w:t>,</w:t>
      </w:r>
      <w:r w:rsidRPr="001638A4">
        <w:t xml:space="preserve"> and are likely to have superannuation balances that are </w:t>
      </w:r>
      <w:r>
        <w:t>around 10 </w:t>
      </w:r>
      <w:r w:rsidRPr="001638A4">
        <w:t>per cent larger in real terms when they retire.</w:t>
      </w:r>
    </w:p>
    <w:p w:rsidR="007C51D1" w:rsidRDefault="007C51D1" w:rsidP="005939B8">
      <w:pPr>
        <w:pStyle w:val="BodyText"/>
      </w:pPr>
      <w:r>
        <w:t xml:space="preserve">The impacts of an increase in preservation age vary across cohorts. Under the policy scenario explored by the Commission, the first </w:t>
      </w:r>
      <w:proofErr w:type="gramStart"/>
      <w:r>
        <w:t>cohort to be affected by a change in the preservation age are</w:t>
      </w:r>
      <w:proofErr w:type="gramEnd"/>
      <w:r>
        <w:t xml:space="preserve"> those who were 30</w:t>
      </w:r>
      <w:r>
        <w:noBreakHyphen/>
        <w:t>34 years old in 2012.</w:t>
      </w:r>
      <w:r w:rsidRPr="00216A16">
        <w:rPr>
          <w:rStyle w:val="FootnoteReference"/>
        </w:rPr>
        <w:footnoteReference w:id="14"/>
      </w:r>
      <w:r>
        <w:t xml:space="preserve"> Around 14 per cent of this group are projected to delay their retirement under this scenario, and will accumulate superannuation balances that are around 9 per cent larger in real terms when they retire. </w:t>
      </w:r>
    </w:p>
    <w:p w:rsidR="007C51D1" w:rsidRDefault="007C51D1" w:rsidP="005939B8">
      <w:pPr>
        <w:pStyle w:val="BodyText"/>
      </w:pPr>
      <w:r>
        <w:lastRenderedPageBreak/>
        <w:t>The modelling results also suggest that the impacts on successive cohorts are slightly more pronounced. For example, of the cohort of individuals who were 20</w:t>
      </w:r>
      <w:r>
        <w:noBreakHyphen/>
        <w:t>24 in 2012, around 17 per cent delay their retirement. This is because they are likely to have accrued more superannuation savings than previous cohorts (both due to real wage growth and having made contributions for longer and at a higher rate) such that a change in the preservation age is more likely to influence their behaviour.</w:t>
      </w:r>
    </w:p>
    <w:p w:rsidR="007C51D1" w:rsidRDefault="007C51D1" w:rsidP="005939B8">
      <w:pPr>
        <w:pStyle w:val="Heading4"/>
      </w:pPr>
      <w:r>
        <w:t xml:space="preserve">What about government (and taxpayers)? </w:t>
      </w:r>
    </w:p>
    <w:p w:rsidR="007C51D1" w:rsidRDefault="007C51D1" w:rsidP="005939B8">
      <w:pPr>
        <w:pStyle w:val="BodyText"/>
      </w:pPr>
      <w:r>
        <w:t>A change in the preservation age would also have implications for government expenses and tax receipts. This occurs through a number of different mechanisms,</w:t>
      </w:r>
      <w:r w:rsidRPr="009F141F">
        <w:t xml:space="preserve"> </w:t>
      </w:r>
      <w:r>
        <w:t xml:space="preserve">almost all of which contribute to an improvement in the government’s fiscal position. </w:t>
      </w:r>
    </w:p>
    <w:p w:rsidR="007C51D1" w:rsidRDefault="007C51D1" w:rsidP="005939B8">
      <w:pPr>
        <w:pStyle w:val="ListBullet"/>
      </w:pPr>
      <w:r>
        <w:t>Households that delay their retirement would pay personal income tax on the additional wage income that they earn. They would also make additional superannuation contributions (both compulsory and voluntary), which would also be taxed.</w:t>
      </w:r>
    </w:p>
    <w:p w:rsidR="007C51D1" w:rsidRDefault="007C51D1" w:rsidP="005939B8">
      <w:pPr>
        <w:pStyle w:val="ListBullet"/>
      </w:pPr>
      <w:r>
        <w:t xml:space="preserve">The superannuation returns of those who delay their retirement would be taxed for additional years (superannuation returns are not taxed when they are in the ‘pension phase’). Extra taxes would also be collected on the superannuation returns of those who have involuntarily retired because these individuals </w:t>
      </w:r>
      <w:r w:rsidR="0051588D">
        <w:t>may have to</w:t>
      </w:r>
      <w:r>
        <w:t xml:space="preserve"> wait additional years to access their superannuation savings. </w:t>
      </w:r>
    </w:p>
    <w:p w:rsidR="007C51D1" w:rsidRDefault="007C51D1" w:rsidP="005939B8">
      <w:pPr>
        <w:pStyle w:val="ListBullet"/>
      </w:pPr>
      <w:r>
        <w:t>Taxes on returns to non</w:t>
      </w:r>
      <w:r>
        <w:noBreakHyphen/>
        <w:t>superannuation assets would be paid for additional years. This is because non</w:t>
      </w:r>
      <w:r>
        <w:noBreakHyphen/>
        <w:t>superannuation assets are only assumed to be consumed in retirement.</w:t>
      </w:r>
    </w:p>
    <w:p w:rsidR="007C51D1" w:rsidRDefault="007C51D1" w:rsidP="005939B8">
      <w:pPr>
        <w:pStyle w:val="ListBullet"/>
      </w:pPr>
      <w:r>
        <w:t xml:space="preserve">Some households that delay their retirement would access the Age Pension at a later age because they would have larger superannuation balances at retirement. </w:t>
      </w:r>
    </w:p>
    <w:p w:rsidR="007C51D1" w:rsidRDefault="007C51D1" w:rsidP="005939B8">
      <w:pPr>
        <w:pStyle w:val="ListBullet"/>
      </w:pPr>
      <w:r>
        <w:t xml:space="preserve">Some households that involuntarily retired under the base case </w:t>
      </w:r>
      <w:r w:rsidR="00AA22CB">
        <w:t>may</w:t>
      </w:r>
      <w:r>
        <w:t xml:space="preserve"> need to rely on welfare payments for up to five additional years before they can access their superannuation savings. However, these additional payments might be offset by reduced Age Pension payments in later years.</w:t>
      </w:r>
      <w:r w:rsidRPr="004E6330">
        <w:t xml:space="preserve"> </w:t>
      </w:r>
    </w:p>
    <w:p w:rsidR="007C51D1" w:rsidRDefault="007C51D1" w:rsidP="005939B8">
      <w:pPr>
        <w:pStyle w:val="ListBullet"/>
      </w:pPr>
      <w:r>
        <w:t xml:space="preserve">Some households that previously retired </w:t>
      </w:r>
      <w:proofErr w:type="gramStart"/>
      <w:r>
        <w:t>voluntarily,</w:t>
      </w:r>
      <w:proofErr w:type="gramEnd"/>
      <w:r>
        <w:t xml:space="preserve"> might retire involuntarily if they cannot delay their retirement. These households might be eligible for some kind of welfare payment (for example, Disability Support Pension, </w:t>
      </w:r>
      <w:proofErr w:type="spellStart"/>
      <w:r>
        <w:t>Newstart</w:t>
      </w:r>
      <w:proofErr w:type="spellEnd"/>
      <w:r>
        <w:t xml:space="preserve"> Allowance or Carer Payment). </w:t>
      </w:r>
    </w:p>
    <w:p w:rsidR="007C51D1" w:rsidRDefault="007C51D1" w:rsidP="005939B8">
      <w:pPr>
        <w:pStyle w:val="BodyText"/>
      </w:pPr>
      <w:r>
        <w:t xml:space="preserve">Results from the PCRM indicate that the annual cumulative fiscal impact could be in the order of $7 billion (in 2015 prices) by 2055, with </w:t>
      </w:r>
      <w:r w:rsidRPr="00442663">
        <w:t>around $</w:t>
      </w:r>
      <w:r w:rsidRPr="0018248D">
        <w:t>5</w:t>
      </w:r>
      <w:r w:rsidRPr="00442663">
        <w:t> billion</w:t>
      </w:r>
      <w:r>
        <w:t xml:space="preserve"> arising due to an increase in tax receipts (especially taxes on superannuation returns). A net reduction in outlays contributes around a further $2 billion (figure 3.12).</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3.</w:t>
            </w:r>
            <w:r>
              <w:rPr>
                <w:b w:val="0"/>
                <w:noProof/>
              </w:rPr>
              <w:t>12</w:t>
            </w:r>
            <w:r>
              <w:tab/>
              <w:t>Fiscal effects in 2055 of increasing the preservation age</w:t>
            </w:r>
            <w:r w:rsidRPr="00814486">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0D65A8C6" wp14:editId="10086AA1">
                        <wp:extent cx="5262245" cy="2726055"/>
                        <wp:effectExtent l="0" t="0" r="0" b="0"/>
                        <wp:docPr id="60" name="Picture 60" descr="Figure 3.12 Fiscal effects in 2055 of increasing the preservation age. Horizontal bar chart showing predicted changes in government revenue and expenditure items (and the net fiscal effect) in 2055 associated with scenario 1A – an increase in the preservation age from 60 to 6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262245" cy="272605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0522A7" w:rsidRDefault="007C51D1" w:rsidP="005939B8">
            <w:pPr>
              <w:pStyle w:val="Source"/>
              <w:rPr>
                <w:i/>
              </w:rPr>
            </w:pPr>
            <w:proofErr w:type="spellStart"/>
            <w:r w:rsidRPr="00A32686">
              <w:rPr>
                <w:rStyle w:val="NoteLabel"/>
              </w:rPr>
              <w:t>a</w:t>
            </w:r>
            <w:proofErr w:type="spellEnd"/>
            <w:r>
              <w:rPr>
                <w:rStyle w:val="NoteLabel"/>
              </w:rPr>
              <w:t xml:space="preserve"> </w:t>
            </w:r>
            <w:r>
              <w:t>In the main, the base case that underpins these modelling results incorporates legislated changes in retirement income policy, but does not include changes that have been proposed and are</w:t>
            </w:r>
            <w:r w:rsidRPr="00694C4E">
              <w:t xml:space="preserve"> subject to the passage of legislation</w:t>
            </w:r>
            <w:r>
              <w:t>. The increase in the Age Pension age to 67 is incorporated in the base case, whereas a further increase in the Age Pension age to 70 and recently passed (22 June 2015) changes to the Age Pension assets test have not been incorporated.</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4"/>
      </w:pPr>
      <w:r>
        <w:t>How do the impacts vary by household?</w:t>
      </w:r>
    </w:p>
    <w:p w:rsidR="007C51D1" w:rsidRDefault="007C51D1" w:rsidP="005939B8">
      <w:pPr>
        <w:pStyle w:val="BodyText"/>
      </w:pPr>
      <w:r>
        <w:t xml:space="preserve">One factor that has contributed to </w:t>
      </w:r>
      <w:proofErr w:type="spellStart"/>
      <w:r>
        <w:t>broad</w:t>
      </w:r>
      <w:r>
        <w:noBreakHyphen/>
        <w:t>based</w:t>
      </w:r>
      <w:proofErr w:type="spellEnd"/>
      <w:r>
        <w:t xml:space="preserve"> support for an increase in the preservation age is the belief that it will encourage wealthier individuals to remain in the workforce longer. </w:t>
      </w:r>
    </w:p>
    <w:p w:rsidR="007C51D1" w:rsidRDefault="007C51D1" w:rsidP="005939B8">
      <w:pPr>
        <w:pStyle w:val="BodyText"/>
      </w:pPr>
      <w:r>
        <w:t>The Commission’s modelling results largely support this view. Wealthier individuals are, on average more likely to delay their retirement. They also have higher superannuation savings (and so pay more tax on superannuation earnings)</w:t>
      </w:r>
      <w:r w:rsidRPr="00F36EB8">
        <w:t xml:space="preserve"> </w:t>
      </w:r>
      <w:r>
        <w:t>and receive fewer welfare payments in later years. These factors combined mean that the bulk of the fiscal gains associated with an increase in the preservation age can be attributed to wealthier households (figure 3.13).</w:t>
      </w:r>
    </w:p>
    <w:p w:rsidR="007C51D1" w:rsidRDefault="007C51D1" w:rsidP="005939B8">
      <w:pPr>
        <w:pStyle w:val="BodyText"/>
      </w:pPr>
      <w:r>
        <w:t>In contrast, poorer individuals tend not to delay their retirement in response to a change in the preservation age — their limited superannuation savings mean that the Age Pension age is far more important in determining when they might retire.</w:t>
      </w:r>
      <w:r w:rsidRPr="000C1B9D">
        <w:t xml:space="preserve"> </w:t>
      </w:r>
      <w:r>
        <w:t xml:space="preserve">Even so, poorer individuals will still be affected by an increase in the preservation age. They have a greater likelihood of becoming involuntarily retired and so </w:t>
      </w:r>
      <w:r w:rsidR="00C91D43">
        <w:t>may have to</w:t>
      </w:r>
      <w:r>
        <w:t xml:space="preserve"> wait up to an additional five years before they can access their superannuation savings. The modest fiscal savings attributed to lower wealth households arise, in part, because their superannuation earnings are taxed during this time. Some stakeholders have proposed that any increase in the preservation age be accompanied by a relaxation of early access arrangements for the </w:t>
      </w:r>
      <w:r>
        <w:lastRenderedPageBreak/>
        <w:t>involuntarily retired. Doing so would have two (opposing) fiscal effects — reducing calls on government payments and reducing tax revenues on superannuation earnings relative to the counterfactual.</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3.</w:t>
            </w:r>
            <w:r>
              <w:rPr>
                <w:b w:val="0"/>
                <w:noProof/>
              </w:rPr>
              <w:t>13</w:t>
            </w:r>
            <w:r>
              <w:tab/>
              <w:t xml:space="preserve">Most of the fiscal gains associated with an increase in the preservation age can be attributed to </w:t>
            </w:r>
            <w:r w:rsidRPr="001267FF">
              <w:t>wealthier households</w:t>
            </w:r>
            <w:r w:rsidRPr="0063620F">
              <w:rPr>
                <w:rStyle w:val="NoteLabel"/>
                <w:b/>
              </w:rPr>
              <w:t>a</w:t>
            </w:r>
          </w:p>
          <w:p w:rsidR="007C51D1" w:rsidRPr="00176D3F" w:rsidRDefault="007C51D1" w:rsidP="005939B8">
            <w:pPr>
              <w:pStyle w:val="Subtitle"/>
            </w:pPr>
            <w:r>
              <w:t>Fiscal impact in 2055 by household type</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2DEF6CE5" wp14:editId="55314ED4">
                        <wp:extent cx="5262245" cy="2803525"/>
                        <wp:effectExtent l="0" t="0" r="0" b="0"/>
                        <wp:docPr id="61" name="Picture 61" descr="Figure 3.13 Most of the fiscal gains associated with an increase in the preservation age can be attributed to wealthier households. Column chart showing the aggregate fiscal gains associated with increasing the preservation age by wealth quartile, and with the aggregate effect within each wealth quartile further broken down according to household type – single male, single female, and couple-headed household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r>
              <w:rPr>
                <w:rStyle w:val="NoteLabel"/>
              </w:rPr>
              <w:t>a</w:t>
            </w:r>
            <w:r>
              <w:t xml:space="preserve"> </w:t>
            </w:r>
            <w:r w:rsidRPr="00AE6CF3">
              <w:t>Note that in assessing the fiscal impacts by wealth, the ‘cut</w:t>
            </w:r>
            <w:r>
              <w:noBreakHyphen/>
            </w:r>
            <w:r w:rsidRPr="00AE6CF3">
              <w:t>offs’ for each quartile are determined separately for single male,</w:t>
            </w:r>
            <w:r>
              <w:t xml:space="preserve"> single </w:t>
            </w:r>
            <w:r w:rsidRPr="00AE6CF3">
              <w:t>female and couple households</w:t>
            </w:r>
            <w:r>
              <w:t xml:space="preserve"> and vary across age groups and time</w:t>
            </w:r>
            <w:r w:rsidRPr="00AE6CF3">
              <w:t>.</w:t>
            </w:r>
            <w:r>
              <w:t xml:space="preserve"> The impacts on those with SMSFs is not modelled explicitly, rather population</w:t>
            </w:r>
            <w:r>
              <w:noBreakHyphen/>
              <w:t>wide data on superannuation savings were used to inform the model.</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What about alternative policy options?</w:t>
      </w:r>
    </w:p>
    <w:p w:rsidR="007C51D1" w:rsidRDefault="007C51D1" w:rsidP="005939B8">
      <w:pPr>
        <w:pStyle w:val="Heading4"/>
      </w:pPr>
      <w:r>
        <w:t>What happens if the Age Pension age increases to 70 (as announced)?</w:t>
      </w:r>
    </w:p>
    <w:p w:rsidR="007C51D1" w:rsidRPr="00593B24" w:rsidRDefault="007C51D1" w:rsidP="005939B8">
      <w:pPr>
        <w:pStyle w:val="BodyText"/>
      </w:pPr>
      <w:r>
        <w:t>The modelling presented thus far has assumed that announced (but yet to be legislated) increases in the Age Pension age from 67 to 70 do not occur. If these changes do occur then the impact of increasing the preservation age will be more muted. This is because an increase in the Age Pension age will delay the retirement age of some households that were originally intending to retire before 65. The Commission’s modelling results suggest that the improvement in the government’s fiscal position from raising the preservation age from 60 to 65 would be about $2.5 billion (in 2015 prices) lower — $4.7 billion instead of $7.2</w:t>
      </w:r>
      <w:r w:rsidR="0094765E">
        <w:t> </w:t>
      </w:r>
      <w:r>
        <w:t>billion in 2055 — if the Age Pension age were increased to 70.</w:t>
      </w:r>
    </w:p>
    <w:p w:rsidR="007C51D1" w:rsidRDefault="007C51D1" w:rsidP="005939B8">
      <w:pPr>
        <w:pStyle w:val="Heading4"/>
      </w:pPr>
      <w:r>
        <w:lastRenderedPageBreak/>
        <w:t>What happens if the preservation age increase was not delayed?</w:t>
      </w:r>
    </w:p>
    <w:p w:rsidR="007C51D1" w:rsidRDefault="007C51D1" w:rsidP="005939B8">
      <w:pPr>
        <w:pStyle w:val="BodyText"/>
      </w:pPr>
      <w:r>
        <w:t xml:space="preserve">As mentioned previously, the Commission has initially assumed that any increase in the preservation age would be delayed in its implementation (occurring gradually over the period 2026 to 2032). If the increase in the preservation age were not delayed and occurred immediately after the current increase (i.e. in 2026), the fiscal gains associated with the policy would occur at an earlier point in time. However, according to the Commission’s modelling, by 2055 the preservation age change would be fully phased in under either scenario, and so the annual gain </w:t>
      </w:r>
      <w:r w:rsidRPr="003D6D60">
        <w:rPr>
          <w:i/>
        </w:rPr>
        <w:t>in that year</w:t>
      </w:r>
      <w:r>
        <w:t xml:space="preserve"> from an immediate preservation age increase would be fairly similar to the delayed increase scenario </w:t>
      </w:r>
      <w:r w:rsidRPr="008A537F">
        <w:t>($7.9 billion compared to $7.2 billion).</w:t>
      </w:r>
    </w:p>
    <w:p w:rsidR="007C51D1" w:rsidRDefault="007C51D1" w:rsidP="005939B8">
      <w:pPr>
        <w:pStyle w:val="Heading3"/>
      </w:pPr>
      <w:r>
        <w:t>Results are sensitive to key assumptions</w:t>
      </w:r>
    </w:p>
    <w:p w:rsidR="007C51D1" w:rsidRDefault="007C51D1" w:rsidP="005939B8">
      <w:pPr>
        <w:pStyle w:val="BodyText"/>
      </w:pPr>
      <w:r>
        <w:t xml:space="preserve">The results are heavily dependent on the assumptions that underpin the Commission’s model (especially the assumed rate of time preference and investment returns). Box 3.2 highlights some of the key modelling assumptions, and the assumptions are outlined in full in supplementary paper 6. Sensitivity analyses that vary some (but not all) key assumptions suggest that the change in labour force </w:t>
      </w:r>
      <w:r w:rsidRPr="008A537F">
        <w:t>participation of 50</w:t>
      </w:r>
      <w:r>
        <w:noBreakHyphen/>
      </w:r>
      <w:r w:rsidRPr="008A537F">
        <w:t>64</w:t>
      </w:r>
      <w:r>
        <w:t xml:space="preserve"> year olds from increasing the p</w:t>
      </w:r>
      <w:r w:rsidRPr="008A537F">
        <w:t>reservation age could vary from 0.8 to 3.</w:t>
      </w:r>
      <w:r>
        <w:t>8</w:t>
      </w:r>
      <w:r w:rsidRPr="008A537F">
        <w:t> percentage points. Similarly, the annual fiscal impacts could range from $</w:t>
      </w:r>
      <w:r>
        <w:t>2.9 billion</w:t>
      </w:r>
      <w:r w:rsidRPr="008A537F">
        <w:t xml:space="preserve"> </w:t>
      </w:r>
      <w:r>
        <w:t>to</w:t>
      </w:r>
      <w:r w:rsidRPr="008A537F">
        <w:t xml:space="preserve"> $</w:t>
      </w:r>
      <w:r>
        <w:t>11.6 </w:t>
      </w:r>
      <w:r w:rsidRPr="008A537F">
        <w:t>billion in 2055.</w:t>
      </w:r>
      <w:r>
        <w:t xml:space="preserve"> </w:t>
      </w:r>
    </w:p>
    <w:p w:rsidR="007C51D1" w:rsidRDefault="007C51D1" w:rsidP="005939B8">
      <w:pPr>
        <w:pStyle w:val="Heading2"/>
      </w:pPr>
      <w:r>
        <w:t>3.</w:t>
      </w:r>
      <w:r>
        <w:rPr>
          <w:noProof/>
        </w:rPr>
        <w:t>4</w:t>
      </w:r>
      <w:r>
        <w:tab/>
      </w:r>
      <w:r w:rsidRPr="00AE4761">
        <w:t>Where to from here?</w:t>
      </w:r>
    </w:p>
    <w:p w:rsidR="007C51D1" w:rsidRDefault="007C51D1" w:rsidP="005939B8">
      <w:pPr>
        <w:pStyle w:val="BodyText"/>
      </w:pPr>
      <w:r>
        <w:t xml:space="preserve">The modelling results suggest that </w:t>
      </w:r>
      <w:proofErr w:type="gramStart"/>
      <w:r>
        <w:t>r</w:t>
      </w:r>
      <w:r w:rsidRPr="003E27C6">
        <w:t>aising</w:t>
      </w:r>
      <w:proofErr w:type="gramEnd"/>
      <w:r w:rsidRPr="003E27C6">
        <w:t xml:space="preserve"> the preservation age </w:t>
      </w:r>
      <w:r>
        <w:t xml:space="preserve">would </w:t>
      </w:r>
      <w:r w:rsidRPr="003E27C6">
        <w:t>increase</w:t>
      </w:r>
      <w:r>
        <w:t xml:space="preserve"> mature age participation rates, and generate higher superannuation savings for those workers delaying their retirement. </w:t>
      </w:r>
      <w:proofErr w:type="gramStart"/>
      <w:r>
        <w:t>Raising</w:t>
      </w:r>
      <w:proofErr w:type="gramEnd"/>
      <w:r>
        <w:t xml:space="preserve"> the preservation age would also ease pressure on the government’s budget by around $7 billion in 2055 and in so doing improve its </w:t>
      </w:r>
      <w:r w:rsidRPr="003E27C6">
        <w:t xml:space="preserve">capacity to manage the transition to an older Australia. </w:t>
      </w:r>
    </w:p>
    <w:p w:rsidR="007C51D1" w:rsidRPr="003E27C6" w:rsidRDefault="007C51D1" w:rsidP="005939B8">
      <w:pPr>
        <w:pStyle w:val="BodyText"/>
      </w:pPr>
      <w:r>
        <w:t>While</w:t>
      </w:r>
      <w:r w:rsidRPr="003E27C6">
        <w:t xml:space="preserve"> the analysis contained in this report gives a sense of the impact of changes to the preservation age on retirement decisions, superannuation balances and fiscal outlays, it cannot, on its own, determine if a change in the preservation age is warranted. As noted in the Commission’s report, </w:t>
      </w:r>
      <w:r w:rsidRPr="003E27C6">
        <w:rPr>
          <w:i/>
        </w:rPr>
        <w:t>An Ageing Australia: Preparing for the Future</w:t>
      </w:r>
      <w:r w:rsidRPr="003E27C6">
        <w:t>, the government has a number of means at its disposal to manage the fiscal pressures associated with an ageing population. Ideally, policy makers would weigh up the merits of these options before deciding on any given response.</w:t>
      </w:r>
    </w:p>
    <w:p w:rsidR="007C51D1" w:rsidRPr="003E27C6" w:rsidRDefault="007C51D1" w:rsidP="005939B8">
      <w:pPr>
        <w:pStyle w:val="BodyText"/>
      </w:pPr>
      <w:r w:rsidRPr="003E27C6">
        <w:t xml:space="preserve">More fundamentally, any assessment of the </w:t>
      </w:r>
      <w:r>
        <w:t xml:space="preserve">relative merit </w:t>
      </w:r>
      <w:r w:rsidRPr="003E27C6">
        <w:t xml:space="preserve">of </w:t>
      </w:r>
      <w:proofErr w:type="gramStart"/>
      <w:r w:rsidRPr="003E27C6">
        <w:t>raising</w:t>
      </w:r>
      <w:proofErr w:type="gramEnd"/>
      <w:r w:rsidRPr="003E27C6">
        <w:t xml:space="preserve"> the preservation age should take into account the objectives of the superannuation system and the broader retirement income system in which it resides. Such an </w:t>
      </w:r>
      <w:r>
        <w:t>assessment</w:t>
      </w:r>
      <w:r w:rsidRPr="003E27C6">
        <w:t xml:space="preserve"> is hampered by the absence of clear and prioritised objectives. It is difficult to design effective policy when there is no consensus on what the policy objectives should be.</w:t>
      </w:r>
      <w:r>
        <w:t xml:space="preserve"> Ideally, consideration of any </w:t>
      </w:r>
      <w:r>
        <w:lastRenderedPageBreak/>
        <w:t xml:space="preserve">changes to the preservation age would be considered within the context of a holistic review, informed by broad and extensive community consultation. </w:t>
      </w:r>
    </w:p>
    <w:p w:rsidR="007C51D1" w:rsidRDefault="007C51D1" w:rsidP="005939B8">
      <w:pPr>
        <w:pStyle w:val="Heading3"/>
      </w:pPr>
      <w:r>
        <w:t>Implementation issues will be important</w:t>
      </w:r>
    </w:p>
    <w:p w:rsidR="007C51D1" w:rsidRDefault="007C51D1" w:rsidP="005939B8">
      <w:pPr>
        <w:pStyle w:val="BodyText"/>
      </w:pPr>
      <w:r w:rsidRPr="003E27C6">
        <w:t xml:space="preserve">While this report has assessed the likely </w:t>
      </w:r>
      <w:r>
        <w:t xml:space="preserve">form and </w:t>
      </w:r>
      <w:r w:rsidRPr="003E27C6">
        <w:t xml:space="preserve">magnitude of the impacts </w:t>
      </w:r>
      <w:r>
        <w:t xml:space="preserve">of </w:t>
      </w:r>
      <w:proofErr w:type="gramStart"/>
      <w:r w:rsidRPr="003E27C6">
        <w:t>raising</w:t>
      </w:r>
      <w:proofErr w:type="gramEnd"/>
      <w:r w:rsidRPr="003E27C6">
        <w:t xml:space="preserve"> the preservation age, the Commission has not turned its attention to implementation issues.</w:t>
      </w:r>
      <w:r>
        <w:t xml:space="preserve"> The </w:t>
      </w:r>
      <w:r w:rsidRPr="003E27C6">
        <w:t xml:space="preserve">capacity of individuals who become involuntarily retired to access their superannuation savings prior to reaching the preservation age is one obvious </w:t>
      </w:r>
      <w:r>
        <w:t xml:space="preserve">implementation </w:t>
      </w:r>
      <w:r w:rsidRPr="003E27C6">
        <w:t>issue that would need to be considered.</w:t>
      </w:r>
      <w:r>
        <w:t xml:space="preserve"> </w:t>
      </w:r>
    </w:p>
    <w:p w:rsidR="007C51D1" w:rsidRDefault="007C51D1" w:rsidP="005939B8">
      <w:pPr>
        <w:pStyle w:val="BodyText"/>
      </w:pPr>
      <w:r w:rsidRPr="003E27C6">
        <w:t xml:space="preserve">Currently, early access provisions only apply in a very limited set of circumstances, and in most cases, only provide for the release of comparatively small amounts. </w:t>
      </w:r>
      <w:r>
        <w:t>Individuals have two avenues for gaining early access to their superannuation benefits —</w:t>
      </w:r>
      <w:r w:rsidRPr="00303E6C">
        <w:t xml:space="preserve"> </w:t>
      </w:r>
      <w:r>
        <w:t>they can apply to the Department of Human Services on</w:t>
      </w:r>
      <w:r w:rsidRPr="00FE03D8">
        <w:t xml:space="preserve"> </w:t>
      </w:r>
      <w:r>
        <w:t xml:space="preserve">compassionate grounds, or they can apply to their superannuation fund on a number of grounds including severe financial hardship, terminal illness and disability (supplementary paper 1). In practice, early release on compassionate grounds is relatively uncommon. </w:t>
      </w:r>
    </w:p>
    <w:p w:rsidR="007C51D1" w:rsidRDefault="007C51D1" w:rsidP="005939B8">
      <w:pPr>
        <w:pStyle w:val="BodyText"/>
      </w:pPr>
      <w:r>
        <w:t>Early access to superannuation is particularly important to some groups within the community. Aboriginal and Torres Strait Islander Australians, for example, face shorter life expectancies</w:t>
      </w:r>
      <w:r w:rsidRPr="003E27C6">
        <w:t xml:space="preserve"> and higher incidences of c</w:t>
      </w:r>
      <w:r>
        <w:t>hronic illness and poverty relative to the rest of the community. While this group may be more inclined to need to withdraw their superannuation early, the administrative requirements — such as having letters from both a medical practitioner and a specialist where funds are being used to pay for medical treatment — appear to impact disproportionately on this group. This is only one of a range of challenges Aboriginal and Torres Strait Islander Australians face when attempting to engage with the complexities of the superannuation system (box 3.3).</w:t>
      </w:r>
    </w:p>
    <w:p w:rsidR="007C51D1" w:rsidRDefault="007C51D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3.</w:t>
            </w:r>
            <w:r>
              <w:rPr>
                <w:b w:val="0"/>
                <w:noProof/>
              </w:rPr>
              <w:t>3</w:t>
            </w:r>
            <w:r>
              <w:tab/>
            </w:r>
            <w:r w:rsidRPr="006E5F3D">
              <w:t xml:space="preserve">Aboriginal and Torres Strait Islander </w:t>
            </w:r>
            <w:r>
              <w:t>Australians and the superannuation system</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 xml:space="preserve">On average, Aboriginal and Torres Strait Islander Australians have lower superannuation coverage and lower balances than the general population. These disparities arise in large part due to differences in paid labour force participation. </w:t>
            </w:r>
          </w:p>
          <w:p w:rsidR="007C51D1" w:rsidRDefault="007C51D1" w:rsidP="005939B8">
            <w:pPr>
              <w:pStyle w:val="Box"/>
            </w:pPr>
            <w:r>
              <w:t xml:space="preserve">In 2010, superannuation coverage for Aboriginal and Torres Strait Islander men was around 70 per cent and coverage for women was around 60 per cent. By comparison, coverage rates for the population more broadly were 85 per cent for men and 80 per cent for women </w:t>
            </w:r>
            <w:r w:rsidR="00F62614" w:rsidRPr="00F62614">
              <w:rPr>
                <w:rFonts w:cs="Arial"/>
                <w:szCs w:val="24"/>
              </w:rPr>
              <w:t>(ASFA 2012)</w:t>
            </w:r>
            <w:r>
              <w:t xml:space="preserve">. Aboriginal and Torres Strait Islander men had on average just over $55 000 in superannuation savings, relative to $110 000 for men in the broader population. For women the respective figures are just under $40 000 and $63 000. Median balances for both Aboriginal and Torres Strait Islander men and women are much lower at $14 000 and $15 000 </w:t>
            </w:r>
            <w:r w:rsidR="00F62614" w:rsidRPr="00F62614">
              <w:rPr>
                <w:rFonts w:cs="Arial"/>
                <w:szCs w:val="24"/>
              </w:rPr>
              <w:t>(ASFA 2012)</w:t>
            </w:r>
            <w:r>
              <w:t>.</w:t>
            </w:r>
          </w:p>
          <w:p w:rsidR="007C51D1" w:rsidRDefault="007C51D1" w:rsidP="005939B8">
            <w:pPr>
              <w:pStyle w:val="Box"/>
            </w:pPr>
            <w:r>
              <w:t>With comparatively less in superannuation, the erosion of superannuation balances through fees has been raised as an issue. For example, a participant in a pilot study into financial literacy and superannuation awareness amongst Aboriginal and Torres Strait Islander Australians, noted:</w:t>
            </w:r>
          </w:p>
          <w:p w:rsidR="007C51D1" w:rsidRPr="003D5F4A" w:rsidRDefault="007C51D1" w:rsidP="005939B8">
            <w:pPr>
              <w:pStyle w:val="BoxQuote"/>
            </w:pPr>
            <w:r>
              <w:t xml:space="preserve">I don’t support the superannuation because of things that happen to me and my husband in the past. We had jobs that paid good wages and they took our money out for super and taxes and did not pay it to their company (fund?). Another problem was my husband was in one Super for a long time – 10 years? – </w:t>
            </w:r>
            <w:proofErr w:type="gramStart"/>
            <w:r>
              <w:t>and</w:t>
            </w:r>
            <w:proofErr w:type="gramEnd"/>
            <w:r>
              <w:t xml:space="preserve"> the company told him that he has no Super with them because it all went in accounting fees. I don’t have a lot of faith in Super any more. I find I would be better off if I put money into a bank account and saved it that way, where I can keep an eye on my Super and get interest at the same time. </w:t>
            </w:r>
            <w:r w:rsidR="00F62614" w:rsidRPr="00F62614">
              <w:rPr>
                <w:rFonts w:cs="Arial"/>
                <w:szCs w:val="24"/>
              </w:rPr>
              <w:t>(</w:t>
            </w:r>
            <w:proofErr w:type="spellStart"/>
            <w:r w:rsidR="00F62614" w:rsidRPr="00F62614">
              <w:rPr>
                <w:rFonts w:cs="Arial"/>
                <w:szCs w:val="24"/>
              </w:rPr>
              <w:t>Gerrans</w:t>
            </w:r>
            <w:proofErr w:type="spellEnd"/>
            <w:r w:rsidR="00F62614" w:rsidRPr="00F62614">
              <w:rPr>
                <w:rFonts w:cs="Arial"/>
                <w:szCs w:val="24"/>
              </w:rPr>
              <w:t>, Clark-Murphy and Truscott 2009, p. 435)</w:t>
            </w:r>
          </w:p>
          <w:p w:rsidR="007C51D1" w:rsidRDefault="007C51D1" w:rsidP="005939B8">
            <w:pPr>
              <w:pStyle w:val="Box"/>
            </w:pPr>
            <w:r>
              <w:t>Not only do Aboriginal and Torres Strait Islander Australians have comparatively less in superannuation, t</w:t>
            </w:r>
            <w:r w:rsidRPr="0055266C">
              <w:t xml:space="preserve">he complexity of the superannuation system </w:t>
            </w:r>
            <w:r>
              <w:t xml:space="preserve">can make it hard for them to </w:t>
            </w:r>
            <w:r w:rsidRPr="0055266C">
              <w:t>access th</w:t>
            </w:r>
            <w:r>
              <w:t xml:space="preserve">eir savings. For example, </w:t>
            </w:r>
            <w:r w:rsidRPr="0055266C">
              <w:t xml:space="preserve">naming </w:t>
            </w:r>
            <w:proofErr w:type="gramStart"/>
            <w:r w:rsidRPr="0055266C">
              <w:t>conventions</w:t>
            </w:r>
            <w:r>
              <w:t>,</w:t>
            </w:r>
            <w:proofErr w:type="gramEnd"/>
            <w:r w:rsidRPr="0055266C">
              <w:t xml:space="preserve"> </w:t>
            </w:r>
            <w:r>
              <w:t>combined with lower levels of financial literacy (supplementary paper 4) mean that t</w:t>
            </w:r>
            <w:r w:rsidRPr="0055266C">
              <w:t xml:space="preserve">he incidence of lost superannuation amongst </w:t>
            </w:r>
            <w:r>
              <w:t>this group</w:t>
            </w:r>
            <w:r w:rsidRPr="0055266C">
              <w:t xml:space="preserve"> is high </w:t>
            </w:r>
            <w:r>
              <w:t xml:space="preserve">and it </w:t>
            </w:r>
            <w:r w:rsidRPr="0055266C">
              <w:t xml:space="preserve">can </w:t>
            </w:r>
            <w:r>
              <w:t>be</w:t>
            </w:r>
            <w:r w:rsidRPr="0055266C">
              <w:t xml:space="preserve"> difficult for </w:t>
            </w:r>
            <w:r>
              <w:t>them</w:t>
            </w:r>
            <w:r w:rsidRPr="0055266C">
              <w:t xml:space="preserve"> to prove that lost superannuation is theirs</w:t>
            </w:r>
            <w:r>
              <w:t>.</w:t>
            </w:r>
          </w:p>
          <w:p w:rsidR="007C51D1" w:rsidRDefault="007C51D1" w:rsidP="005939B8">
            <w:pPr>
              <w:pStyle w:val="Box"/>
            </w:pPr>
            <w:r>
              <w:t xml:space="preserve">The </w:t>
            </w:r>
            <w:proofErr w:type="gramStart"/>
            <w:r>
              <w:t>role that the superannuation system is perceived to play may also have</w:t>
            </w:r>
            <w:proofErr w:type="gramEnd"/>
            <w:r>
              <w:t xml:space="preserve"> an influence on how Aboriginal and Torres Strait Islander Australians engage in understanding the system. If it is perceived as savings to be left as a bequest, rather than for retirement income, then this can reduce the motivation to understand the system better. For example, as Anthony McCarthy — a manager of Catholic Super — noted about a conference held by the National Aboriginal and Torres Strait Islander Catholic Council in 2012:</w:t>
            </w:r>
          </w:p>
          <w:p w:rsidR="007C51D1" w:rsidRDefault="007C51D1" w:rsidP="005939B8">
            <w:pPr>
              <w:pStyle w:val="BoxQuote"/>
            </w:pPr>
            <w:r w:rsidRPr="004260C4">
              <w:t xml:space="preserve">Most of the questions were about funeral benefits and (provisions) for the beneficiaries. … Almost none of the questions were </w:t>
            </w:r>
            <w:r w:rsidR="00DC6DFE">
              <w:t xml:space="preserve">actually </w:t>
            </w:r>
            <w:r w:rsidRPr="004260C4">
              <w:t xml:space="preserve">about retirement or how to access money at an earlier </w:t>
            </w:r>
            <w:r w:rsidRPr="00101B85">
              <w:t>stage during the life span. It was a little bit shocking. They didn’t seem to see it as something they could access through their lifetime. (McCarthy in James 2012)</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Pr="00227923" w:rsidRDefault="007C51D1" w:rsidP="005939B8">
      <w:pPr>
        <w:pStyle w:val="BodyText"/>
      </w:pPr>
      <w:r>
        <w:t xml:space="preserve">Finally, even if early access provisions were altered, this alone would not necessarily provide an adequate safety net. As noted earlier, less wealthy households are more likely to become involuntarily retired. These same households are also less likely to have significant superannuation savings and may therefore need to rely on income support payments. </w:t>
      </w:r>
      <w:r w:rsidRPr="00DF6505">
        <w:t>Some form of safety net would need to be in place to protect the wellbeing of these individuals, who may spend a considerable amount of time out of the workforce.</w:t>
      </w:r>
    </w:p>
    <w:p w:rsidR="007C51D1" w:rsidRDefault="007C51D1" w:rsidP="007C51D1">
      <w:pPr>
        <w:sectPr w:rsidR="007C51D1" w:rsidSect="007C51D1">
          <w:headerReference w:type="default" r:id="rId90"/>
          <w:footerReference w:type="default" r:id="rId91"/>
          <w:type w:val="oddPage"/>
          <w:pgSz w:w="11907" w:h="16840" w:code="9"/>
          <w:pgMar w:top="1985" w:right="1304" w:bottom="1247" w:left="1814" w:header="1701" w:footer="397" w:gutter="0"/>
          <w:pgNumType w:chapSep="period"/>
          <w:cols w:space="720"/>
          <w:docGrid w:linePitch="326"/>
        </w:sectPr>
      </w:pPr>
    </w:p>
    <w:p w:rsidR="007C51D1" w:rsidRDefault="007C51D1" w:rsidP="00284B95">
      <w:pPr>
        <w:pStyle w:val="Heading1"/>
      </w:pPr>
      <w:r>
        <w:lastRenderedPageBreak/>
        <w:t>4</w:t>
      </w:r>
      <w:r>
        <w:tab/>
        <w:t>Is drawdown behaviour a concern?</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t xml:space="preserve">Key points </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t>Individuals are afforded much flexibility in how they draw down their superannuation. Many stakeholders are concerned that people draw down their superannuation assets too quickly by taking large lump sums once they reach retirement. However, less than 30 per cent of superannuation assets are taken as lump sums and when lump sums are taken, they have a median value of around $20 000.</w:t>
            </w:r>
          </w:p>
          <w:p w:rsidR="007C51D1" w:rsidRDefault="007C51D1" w:rsidP="005939B8">
            <w:pPr>
              <w:pStyle w:val="Box"/>
            </w:pPr>
            <w:r>
              <w:t>Lump sums are more prevalent among those who have low superannuation balances (below $10 000) including women (especially single women), low wealth households, and renters — these sections of the population take between half and all of their superannuation assets as lump sums. Those with comparatively more superannuation savings tend to take lump sums that comprise a relatively small proportion of their superannuation assets.</w:t>
            </w:r>
          </w:p>
          <w:p w:rsidR="007C51D1" w:rsidRDefault="007C51D1" w:rsidP="005939B8">
            <w:pPr>
              <w:pStyle w:val="Box"/>
            </w:pPr>
            <w:r>
              <w:t>Evidence indicates that people are generally prudent in their drawdown behaviour. Where lump sums are taken, they are used to retire debt or purchase goods and services that can be used throughout retirement, such as making home improvements and purchasing consumer durables.</w:t>
            </w:r>
          </w:p>
          <w:p w:rsidR="007C51D1" w:rsidRDefault="007C51D1" w:rsidP="005939B8">
            <w:pPr>
              <w:pStyle w:val="Box"/>
            </w:pPr>
            <w:r>
              <w:t>Lump sums are likely to decline in importance as the superannuation system matures. But even once maturity is reached, it will still make good financial sense for some retirees to take a lump sum, particularly those with low superannuation balances and those entering retirement with debt.</w:t>
            </w:r>
          </w:p>
          <w:p w:rsidR="007C51D1" w:rsidRDefault="007C51D1" w:rsidP="005939B8">
            <w:pPr>
              <w:pStyle w:val="Box"/>
            </w:pPr>
            <w:r>
              <w:t>Income streams are used more frequently by those with comparatively large balances. Account</w:t>
            </w:r>
            <w:r>
              <w:noBreakHyphen/>
              <w:t>based pensions provide greater flexibility and are more commonly used to draw an income stream from superannuation than annuities, which prioritise certainty. Some stakeholders have recently raised concerns that retirees draw down their account</w:t>
            </w:r>
            <w:r>
              <w:noBreakHyphen/>
              <w:t xml:space="preserve">based pensions too slowly. </w:t>
            </w:r>
          </w:p>
          <w:p w:rsidR="007C51D1" w:rsidRDefault="007C51D1" w:rsidP="005939B8">
            <w:pPr>
              <w:pStyle w:val="Box"/>
            </w:pPr>
            <w:r>
              <w:t>A range of factors has likely contributed to the low demand for annuities, including: the preference for flexibility; the difficulty retirees’ face in understanding the risk of outliving their savings and the role of the Age Pension in managing this risk; and the removal of concessional treatment of annuities. Providers have recently offered more tailored products and demand for annuities has started to increase, albeit from a low base.</w:t>
            </w:r>
          </w:p>
          <w:p w:rsidR="007C51D1" w:rsidRDefault="007C51D1" w:rsidP="005939B8">
            <w:pPr>
              <w:pStyle w:val="Box"/>
            </w:pPr>
            <w:r>
              <w:t>Proposals to encourage retirees to purchase particular income stream products should have regard to the diverse circumstances of retirees including their superannuation balances, other assets, debts and needs. Such proposals should also have regard to the broader workings of the retirement income system and be subject to communitywide consultation.</w:t>
            </w:r>
          </w:p>
          <w:p w:rsidR="007C51D1" w:rsidRDefault="007C51D1" w:rsidP="005939B8">
            <w:pPr>
              <w:pStyle w:val="Box"/>
            </w:pPr>
            <w:r>
              <w:t>The task of analysing drawdown patterns is frustrated by the lack of consistent data. There are large differences in the definition, measurement and collection of data on lump sums and superannuation income streams. This makes it difficult to track lump sums and income streams across time.</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lastRenderedPageBreak/>
        <w:t xml:space="preserve">When it comes to examining the superannuation system, </w:t>
      </w:r>
      <w:r w:rsidRPr="002D5833">
        <w:rPr>
          <w:i/>
        </w:rPr>
        <w:t>how</w:t>
      </w:r>
      <w:r>
        <w:t xml:space="preserve"> people access their superannuation is as important as </w:t>
      </w:r>
      <w:r w:rsidRPr="002D5833">
        <w:rPr>
          <w:i/>
        </w:rPr>
        <w:t>when</w:t>
      </w:r>
      <w:r>
        <w:t xml:space="preserve"> they access it. People have a number of choices in how they draw down their superannuation — once they have met certain criteria.</w:t>
      </w:r>
      <w:r w:rsidRPr="00265ED2">
        <w:rPr>
          <w:rStyle w:val="FootnoteReference"/>
        </w:rPr>
        <w:footnoteReference w:id="15"/>
      </w:r>
      <w:r>
        <w:t xml:space="preserve"> People can take a lump sum (an irregular withdrawal from their superannuation balance)</w:t>
      </w:r>
      <w:proofErr w:type="gramStart"/>
      <w:r>
        <w:t>,</w:t>
      </w:r>
      <w:proofErr w:type="gramEnd"/>
      <w:r>
        <w:t xml:space="preserve"> they can draw down their superannuation assets as a regular income stream (box 4.1) or take some combination of the two. </w:t>
      </w:r>
    </w:p>
    <w:p w:rsidR="007C51D1" w:rsidRDefault="007C51D1" w:rsidP="005939B8">
      <w:pPr>
        <w:pStyle w:val="BodyText"/>
      </w:pPr>
      <w:r>
        <w:t>The distinction between lump sums and income streams is not always straightforward. For example, people can use their lump sums to purchase income stream products for retirement. They can also take lump sums from their account</w:t>
      </w:r>
      <w:r>
        <w:noBreakHyphen/>
        <w:t xml:space="preserve">based pensions — currently the most common method used to draw a superannuation income stream.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F2F2F2"/>
          </w:tcPr>
          <w:p w:rsidR="007C51D1" w:rsidRDefault="007C51D1" w:rsidP="005939B8">
            <w:pPr>
              <w:pStyle w:val="BoxTitle"/>
            </w:pPr>
            <w:r>
              <w:rPr>
                <w:b w:val="0"/>
              </w:rPr>
              <w:t>Box 4.</w:t>
            </w:r>
            <w:r>
              <w:rPr>
                <w:b w:val="0"/>
                <w:noProof/>
              </w:rPr>
              <w:t>1</w:t>
            </w:r>
            <w:r>
              <w:tab/>
              <w:t>Types of superannuation income streams</w:t>
            </w:r>
          </w:p>
        </w:tc>
      </w:tr>
      <w:tr w:rsidR="007C51D1" w:rsidTr="005939B8">
        <w:trPr>
          <w:cantSplit/>
        </w:trPr>
        <w:tc>
          <w:tcPr>
            <w:tcW w:w="8771" w:type="dxa"/>
            <w:tcBorders>
              <w:top w:val="nil"/>
              <w:left w:val="nil"/>
              <w:bottom w:val="nil"/>
              <w:right w:val="nil"/>
            </w:tcBorders>
            <w:shd w:val="clear" w:color="auto" w:fill="F2F2F2"/>
          </w:tcPr>
          <w:p w:rsidR="007C51D1" w:rsidRDefault="007C51D1" w:rsidP="005939B8">
            <w:pPr>
              <w:pStyle w:val="Box"/>
            </w:pPr>
            <w:r w:rsidRPr="009C2D17">
              <w:t xml:space="preserve">There are various </w:t>
            </w:r>
            <w:r w:rsidRPr="009C2D17">
              <w:rPr>
                <w:b/>
              </w:rPr>
              <w:t>income stream products</w:t>
            </w:r>
            <w:r w:rsidRPr="009C2D17">
              <w:t xml:space="preserve"> that people can use</w:t>
            </w:r>
            <w:r>
              <w:t xml:space="preserve">. </w:t>
            </w:r>
            <w:r w:rsidRPr="009C2D17">
              <w:t>Most commonly, pe</w:t>
            </w:r>
            <w:r>
              <w:t xml:space="preserve">ople derive income from </w:t>
            </w:r>
            <w:r w:rsidRPr="00A55DB0">
              <w:rPr>
                <w:b/>
              </w:rPr>
              <w:t>account</w:t>
            </w:r>
            <w:r w:rsidRPr="00A55DB0">
              <w:rPr>
                <w:b/>
              </w:rPr>
              <w:noBreakHyphen/>
              <w:t>based pensions</w:t>
            </w:r>
            <w:r w:rsidRPr="009C2D17">
              <w:t xml:space="preserve">, which are subject to minimum drawdown rates based on age (supplementary paper </w:t>
            </w:r>
            <w:r>
              <w:t>1</w:t>
            </w:r>
            <w:r w:rsidRPr="009C2D17">
              <w:t>)</w:t>
            </w:r>
            <w:r>
              <w:t>.</w:t>
            </w:r>
            <w:r w:rsidRPr="009C2D17">
              <w:t xml:space="preserve"> </w:t>
            </w:r>
          </w:p>
          <w:p w:rsidR="007C51D1" w:rsidRDefault="007C51D1" w:rsidP="005939B8">
            <w:pPr>
              <w:pStyle w:val="Box"/>
            </w:pPr>
            <w:r w:rsidRPr="00A55DB0">
              <w:t>Account</w:t>
            </w:r>
            <w:r w:rsidRPr="00A55DB0">
              <w:noBreakHyphen/>
              <w:t>based pensions</w:t>
            </w:r>
            <w:r w:rsidRPr="009C2D17">
              <w:t xml:space="preserve"> allow people to </w:t>
            </w:r>
            <w:r>
              <w:t>withdraw</w:t>
            </w:r>
            <w:r w:rsidRPr="009C2D17">
              <w:t xml:space="preserve"> lump sums, but do not enable people </w:t>
            </w:r>
            <w:r>
              <w:t xml:space="preserve">to </w:t>
            </w:r>
            <w:r w:rsidRPr="009C2D17">
              <w:t>make contributions once they have started drawing an income</w:t>
            </w:r>
            <w:r>
              <w:t>,</w:t>
            </w:r>
            <w:r w:rsidRPr="009C2D17">
              <w:t xml:space="preserve"> and do not provide certainty in terms of the period over which the income stream will last. </w:t>
            </w:r>
            <w:r>
              <w:t>While</w:t>
            </w:r>
            <w:r w:rsidRPr="00D353FB">
              <w:t xml:space="preserve"> they can be designed to produce fixed, regular </w:t>
            </w:r>
            <w:r>
              <w:t xml:space="preserve">income </w:t>
            </w:r>
            <w:r w:rsidRPr="00D353FB">
              <w:t xml:space="preserve">amounts like an </w:t>
            </w:r>
            <w:r w:rsidRPr="003512DC">
              <w:rPr>
                <w:b/>
              </w:rPr>
              <w:t>annuity</w:t>
            </w:r>
            <w:r w:rsidRPr="00D353FB">
              <w:t>, the ability of an account</w:t>
            </w:r>
            <w:r>
              <w:noBreakHyphen/>
            </w:r>
            <w:r w:rsidRPr="00D353FB">
              <w:t>based pension to continue to pay these amounts will depend on the performance of the underlying investments.</w:t>
            </w:r>
          </w:p>
          <w:p w:rsidR="007C51D1" w:rsidRDefault="007C51D1" w:rsidP="005939B8">
            <w:pPr>
              <w:pStyle w:val="Box"/>
            </w:pPr>
            <w:r w:rsidRPr="009C2D17">
              <w:t xml:space="preserve">Other forms of income </w:t>
            </w:r>
            <w:r>
              <w:t xml:space="preserve">streams </w:t>
            </w:r>
            <w:r w:rsidRPr="009C2D17">
              <w:t xml:space="preserve">include </w:t>
            </w:r>
            <w:r w:rsidRPr="003512DC">
              <w:t>annuities</w:t>
            </w:r>
            <w:r w:rsidRPr="009C2D17">
              <w:t xml:space="preserve">, which generally do not allow lump sums </w:t>
            </w:r>
            <w:r>
              <w:t xml:space="preserve">to be withdrawn </w:t>
            </w:r>
            <w:r w:rsidRPr="009C2D17">
              <w:t xml:space="preserve">without a </w:t>
            </w:r>
            <w:r>
              <w:t xml:space="preserve">substantial </w:t>
            </w:r>
            <w:r w:rsidRPr="009C2D17">
              <w:t xml:space="preserve">financial penalty, but </w:t>
            </w:r>
            <w:r>
              <w:t xml:space="preserve">generate </w:t>
            </w:r>
            <w:r w:rsidRPr="009C2D17">
              <w:t xml:space="preserve">a regular income stream for a determined period. </w:t>
            </w:r>
          </w:p>
          <w:p w:rsidR="007C51D1" w:rsidRPr="00806E08" w:rsidRDefault="007C51D1" w:rsidP="005939B8">
            <w:pPr>
              <w:pStyle w:val="Box"/>
              <w:rPr>
                <w:b/>
              </w:rPr>
            </w:pPr>
            <w:r>
              <w:t xml:space="preserve">Some forms of annuities, such as </w:t>
            </w:r>
            <w:r>
              <w:rPr>
                <w:b/>
              </w:rPr>
              <w:t xml:space="preserve">lifetime annuities, </w:t>
            </w:r>
            <w:r>
              <w:t>also manage longevity risk (the risk of outliving superannuation savings) by sustaining an income stream for the life of the recipient.</w:t>
            </w:r>
          </w:p>
        </w:tc>
      </w:tr>
      <w:tr w:rsidR="007C51D1" w:rsidTr="005939B8">
        <w:trPr>
          <w:cantSplit/>
        </w:trPr>
        <w:tc>
          <w:tcPr>
            <w:tcW w:w="8771" w:type="dxa"/>
            <w:tcBorders>
              <w:top w:val="nil"/>
              <w:left w:val="nil"/>
              <w:bottom w:val="single" w:sz="6" w:space="0" w:color="78A22F"/>
              <w:right w:val="nil"/>
            </w:tcBorders>
            <w:shd w:val="clear" w:color="auto" w:fill="F2F2F2"/>
          </w:tcPr>
          <w:p w:rsidR="007C51D1" w:rsidRDefault="007C51D1" w:rsidP="005939B8">
            <w:pPr>
              <w:pStyle w:val="Box"/>
              <w:spacing w:before="0" w:line="120" w:lineRule="exact"/>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The degree of flexibility that people have in drawing down their superannuation assets has advantages and limitations. A flexible system may be appropriate given the wide variety of needs and circumstances people face in retirement. For example, having the opportunity to take a lump sum can assist retirees in making significant purchases and meeting unexpected costs. </w:t>
      </w:r>
    </w:p>
    <w:p w:rsidR="007C51D1" w:rsidRDefault="007C51D1" w:rsidP="005939B8">
      <w:pPr>
        <w:pStyle w:val="BodyText"/>
      </w:pPr>
      <w:r>
        <w:t>However, this flexibility may increase the risk that people outlive their superannuation savings (longevity risk), and potentially allow for some to structure their affairs to maximise access to welfare and taxation benefits. The flexibility afforded by the superannuation system has been the subject of much recent debate, with some stakeholders proposing that there should be restrictions on the use of superannuation savings and the form in which benefits can be taken.</w:t>
      </w:r>
    </w:p>
    <w:p w:rsidR="007C51D1" w:rsidRDefault="007C51D1" w:rsidP="005939B8">
      <w:pPr>
        <w:pStyle w:val="BodyText"/>
      </w:pPr>
      <w:r>
        <w:lastRenderedPageBreak/>
        <w:t>This chapter examines whether stakeholder concerns about drawdown behaviour, and particularly the use of lump sums, are valid. The chapter begins by outlining the nature of these concerns (section 4.1). Next, the chapter reveals how households draw down their superannuation, which households take lump sums and the nature of spending that occurs when lump sums are taken (sections 4.2 and 4.3). The chapter then considers the financial position of households at retirement, and against this backdrop, examines whether there may be sound reasons for individuals to take a lump sum and whether there is widespread restructuring of drawdown patterns to maximise access to the Age Pension (section 4.4). How drawdown behaviour might change in the future as the superannuation system matures is then considered (section 4.5). The chapter concludes by exploring some of the reasons why particular income stream products have not been frequently used and whether there is a case for policy change (section 4.6).</w:t>
      </w:r>
    </w:p>
    <w:p w:rsidR="007C51D1" w:rsidRDefault="007C51D1" w:rsidP="005939B8">
      <w:pPr>
        <w:pStyle w:val="Heading2"/>
      </w:pPr>
      <w:r>
        <w:t>4.</w:t>
      </w:r>
      <w:r>
        <w:rPr>
          <w:noProof/>
        </w:rPr>
        <w:t>1</w:t>
      </w:r>
      <w:r>
        <w:tab/>
        <w:t>What do people say about lump sums?</w:t>
      </w:r>
    </w:p>
    <w:p w:rsidR="007C51D1" w:rsidRDefault="007C51D1" w:rsidP="005939B8">
      <w:pPr>
        <w:pStyle w:val="BodyText"/>
      </w:pPr>
      <w:r>
        <w:t xml:space="preserve">Many stakeholders consider that Australians prefer lump sums to a guaranteed retirement income stream even though they risk outliving their superannuation savings — sometimes referred to as a ‘lump sum mentality’, ‘culture’ or ‘bias’ </w:t>
      </w:r>
      <w:r w:rsidR="00F62614" w:rsidRPr="00F62614">
        <w:t>(Association of Superannuation Funds of Australia (ASFA) 2014a)</w:t>
      </w:r>
      <w:r>
        <w:t>. It has been suggested that this bias makes individuals worse off in three ways.</w:t>
      </w:r>
    </w:p>
    <w:p w:rsidR="007C51D1" w:rsidRPr="002C329E" w:rsidRDefault="007C51D1" w:rsidP="005939B8">
      <w:pPr>
        <w:pStyle w:val="BodyText"/>
      </w:pPr>
      <w:r>
        <w:t xml:space="preserve">First, it is argued that lump sums should be restricted because they reduce the superannuation income that could have otherwise been generated. These arguments assume the role of the superannuation system is to provide an income stream in retirement. </w:t>
      </w:r>
    </w:p>
    <w:p w:rsidR="007C51D1" w:rsidRPr="004E5EA7" w:rsidRDefault="007C51D1" w:rsidP="005939B8">
      <w:pPr>
        <w:pStyle w:val="Quote"/>
      </w:pPr>
      <w:r w:rsidRPr="004E5EA7">
        <w:t xml:space="preserve">Reflecting a likely objective of providing adequate and sustainable income throughout retirement, the policy framework should include mechanisms that promote benefits being primarily taken as income streams rather than lump sums. A focus on retirement income adequacy and sustainability, rather than wealth accumulation at retirement date, is needed. </w:t>
      </w:r>
      <w:r w:rsidR="00F62614" w:rsidRPr="00F62614">
        <w:rPr>
          <w:szCs w:val="24"/>
        </w:rPr>
        <w:t>(APRA 2014b, p. 75)</w:t>
      </w:r>
    </w:p>
    <w:p w:rsidR="007C51D1" w:rsidRDefault="007C51D1" w:rsidP="005939B8">
      <w:pPr>
        <w:pStyle w:val="Quote"/>
      </w:pPr>
      <w:r>
        <w:t xml:space="preserve">It is our view that the purpose of the Australian Superannuation system is to provide retirement incomes for Australians. In this sense we support mechanisms that encourage, but not mandate, retirees to take out income stream products, rather than to take lump sums. </w:t>
      </w:r>
      <w:r w:rsidR="00F62614" w:rsidRPr="00F62614">
        <w:rPr>
          <w:szCs w:val="24"/>
        </w:rPr>
        <w:t>(AFA 2014, p. 11)</w:t>
      </w:r>
    </w:p>
    <w:p w:rsidR="007C51D1" w:rsidRDefault="007C51D1" w:rsidP="005939B8">
      <w:pPr>
        <w:pStyle w:val="BodyText"/>
      </w:pPr>
      <w:r>
        <w:t xml:space="preserve">Second, some argue that a preference for lump sums reduces retirees’ living standards by encouraging them to prematurely exhaust their superannuation savings — by allowing excessive consumption at retirement or taking on too much debt during their working years. </w:t>
      </w:r>
    </w:p>
    <w:p w:rsidR="007C51D1" w:rsidRPr="00ED688C" w:rsidRDefault="007C51D1" w:rsidP="005939B8">
      <w:pPr>
        <w:pStyle w:val="Quote"/>
      </w:pPr>
      <w:r w:rsidRPr="00ED688C">
        <w:t xml:space="preserve">Lump sum superannuation benefits are being treated as a windfall and being used to pay for the lifestyle that’s being lived now instead of being put aside to provide income in retirement. … Serious consideration must be given to limiting the amount of superannuation that can be taken as a lump sum and encouraging income streams in retirement. </w:t>
      </w:r>
      <w:r w:rsidR="00F62614" w:rsidRPr="00F62614">
        <w:rPr>
          <w:szCs w:val="24"/>
        </w:rPr>
        <w:t>(CPA Australia 2012, p. 2)</w:t>
      </w:r>
    </w:p>
    <w:p w:rsidR="007C51D1" w:rsidRDefault="007C51D1" w:rsidP="005939B8">
      <w:pPr>
        <w:pStyle w:val="Quote"/>
      </w:pPr>
      <w:r w:rsidRPr="00ED688C">
        <w:t xml:space="preserve">In a society facing population ageing it is important that individuals have access to appropriate retirement income products and make well informed choices. The alternative may be lower </w:t>
      </w:r>
      <w:r w:rsidRPr="00ED688C">
        <w:lastRenderedPageBreak/>
        <w:t>standards of living (e.g., greater reliance on the Age Pension), a misallocation of resources (where lump sums are spent primarily on immediate consumption or housing, which is tax</w:t>
      </w:r>
      <w:r>
        <w:noBreakHyphen/>
      </w:r>
      <w:r w:rsidRPr="00ED688C">
        <w:t xml:space="preserve"> and means</w:t>
      </w:r>
      <w:r>
        <w:noBreakHyphen/>
      </w:r>
      <w:r w:rsidRPr="00ED688C">
        <w:t>test</w:t>
      </w:r>
      <w:r>
        <w:noBreakHyphen/>
      </w:r>
      <w:r w:rsidRPr="00ED688C">
        <w:t xml:space="preserve">advantaged), and future fiscal costs (via Age Pension, health and aged care). </w:t>
      </w:r>
      <w:r w:rsidR="00F62614" w:rsidRPr="00F62614">
        <w:rPr>
          <w:szCs w:val="24"/>
        </w:rPr>
        <w:t>(CEPAR 2014, p. 8)</w:t>
      </w:r>
    </w:p>
    <w:p w:rsidR="007C51D1" w:rsidRDefault="007C51D1" w:rsidP="005939B8">
      <w:pPr>
        <w:pStyle w:val="BodyText"/>
      </w:pPr>
      <w:r>
        <w:t xml:space="preserve">Third, it is also argued that lump sums, by encouraging superannuation balances to be drawn down too quickly, increase Age Pension outlays as people structure their drawdown patterns to maximise government benefits or inadvertently exhaust their superannuation and end up on the Age Pension prematurely. </w:t>
      </w:r>
    </w:p>
    <w:p w:rsidR="007C51D1" w:rsidRDefault="007C51D1" w:rsidP="005939B8">
      <w:pPr>
        <w:pStyle w:val="Quote"/>
      </w:pPr>
      <w:r>
        <w:t xml:space="preserve">For fiscal purposes government should favour a risk management solution that encourages the retiree to take an income stream over a lump sum … </w:t>
      </w:r>
      <w:r w:rsidR="00F62614" w:rsidRPr="00F62614">
        <w:rPr>
          <w:szCs w:val="24"/>
        </w:rPr>
        <w:t>(Actuaries Institute 2015, p. 3)</w:t>
      </w:r>
    </w:p>
    <w:p w:rsidR="007C51D1" w:rsidRDefault="007C51D1" w:rsidP="005939B8">
      <w:pPr>
        <w:pStyle w:val="BodyText"/>
      </w:pPr>
      <w:r>
        <w:t xml:space="preserve">But views on the shortcomings of lump sums are far from universal, with some stakeholders suggesting that the ‘lump sum mentality’ is exaggerated </w:t>
      </w:r>
      <w:r w:rsidR="00F62614" w:rsidRPr="00F62614">
        <w:rPr>
          <w:szCs w:val="24"/>
        </w:rPr>
        <w:t>(Rice Warner 2015)</w:t>
      </w:r>
      <w:r>
        <w:t xml:space="preserve">, and other research finding that retirement behaviour is not properly understood. </w:t>
      </w:r>
    </w:p>
    <w:p w:rsidR="007C51D1" w:rsidRPr="00E9193F" w:rsidRDefault="007C51D1" w:rsidP="005939B8">
      <w:pPr>
        <w:pStyle w:val="Quote"/>
      </w:pPr>
      <w:r>
        <w:t xml:space="preserve">… when you read in the press and when you hear people talking about Australian retirees you get this caricature of people — that Australians generally withdraw a lump sum from their superannuation, they spend it quickly on a 4WD and a caravan and they take a long holiday (become grey nomads for a couple of years) then suddenly realise that they’ve run out of money and spend the remainder of their life on the Age Pension. So we get this cartoon analysis of what people are like in retirement. </w:t>
      </w:r>
      <w:r w:rsidR="00F62614" w:rsidRPr="00F62614">
        <w:rPr>
          <w:szCs w:val="24"/>
        </w:rPr>
        <w:t>(Thorp 2013)</w:t>
      </w:r>
      <w:r>
        <w:t xml:space="preserve"> </w:t>
      </w:r>
    </w:p>
    <w:p w:rsidR="007C51D1" w:rsidRDefault="007C51D1" w:rsidP="005939B8">
      <w:pPr>
        <w:pStyle w:val="BodyText"/>
      </w:pPr>
      <w:r>
        <w:t>And others consider that lump sums may improve retirees’ living standards as the goals of maximising income and enhancing wellbeing may not always align.</w:t>
      </w:r>
    </w:p>
    <w:p w:rsidR="007C51D1" w:rsidRDefault="007C51D1" w:rsidP="005939B8">
      <w:pPr>
        <w:pStyle w:val="Quote"/>
      </w:pPr>
      <w:r>
        <w:t xml:space="preserve">A reasonable interpretation of the data is that persons retiring mostly do not spend the money [lump sums] frivolously but on items which will raise their standard of living in retirement. But a part of the longer term benefit is indirect (home improvements, new car) rather than direct investments generating retirement income. </w:t>
      </w:r>
      <w:r w:rsidR="00F62614" w:rsidRPr="00F62614">
        <w:rPr>
          <w:szCs w:val="24"/>
        </w:rPr>
        <w:t>(Rothman and Wang 2013, p. 11)</w:t>
      </w:r>
    </w:p>
    <w:p w:rsidR="007C51D1" w:rsidRPr="006C5DCA" w:rsidRDefault="007C51D1" w:rsidP="005939B8">
      <w:pPr>
        <w:pStyle w:val="BodyText"/>
      </w:pPr>
      <w:r>
        <w:t xml:space="preserve">It is clear that the desirability of lump sums is perceived </w:t>
      </w:r>
      <w:r w:rsidRPr="00AC2FA1">
        <w:rPr>
          <w:bCs/>
        </w:rPr>
        <w:t>differently</w:t>
      </w:r>
      <w:r>
        <w:t xml:space="preserve"> by the superannuation industry, its regulators and its researchers. This is not surprising given that the broader question about what role superannuation should play in retirement is contested (chapter 1), and is in practice likely to vary across individuals with </w:t>
      </w:r>
      <w:r w:rsidRPr="00AC2FA1">
        <w:rPr>
          <w:bCs/>
        </w:rPr>
        <w:t>different</w:t>
      </w:r>
      <w:r w:rsidRPr="008A3FA3">
        <w:t xml:space="preserve"> </w:t>
      </w:r>
      <w:r>
        <w:t>means, preferences and aspirations. Only a closer examination of how superannuation is drawn down can answer questions about whether lump sums can play a useful role in improving welfare in retirement; whether lump sums are spent on ‘frivolous’ consumption or goods and services that supplement the living standards of retirees; and whether the costs to the community in providing the Age Pension are increased by the use of lump sums.</w:t>
      </w:r>
    </w:p>
    <w:p w:rsidR="007C51D1" w:rsidRPr="000B73A9" w:rsidRDefault="007C51D1" w:rsidP="005939B8">
      <w:pPr>
        <w:pStyle w:val="Heading2"/>
      </w:pPr>
      <w:r>
        <w:t>4.</w:t>
      </w:r>
      <w:r>
        <w:rPr>
          <w:noProof/>
        </w:rPr>
        <w:t>2</w:t>
      </w:r>
      <w:r>
        <w:tab/>
      </w:r>
      <w:r w:rsidRPr="000B73A9">
        <w:t>How</w:t>
      </w:r>
      <w:r>
        <w:t xml:space="preserve"> is superannuation being drawn down</w:t>
      </w:r>
      <w:r w:rsidRPr="000B73A9">
        <w:t>?</w:t>
      </w:r>
    </w:p>
    <w:p w:rsidR="007C51D1" w:rsidRDefault="007C51D1" w:rsidP="005939B8">
      <w:pPr>
        <w:pStyle w:val="BodyText"/>
      </w:pPr>
      <w:r>
        <w:t xml:space="preserve">Assessing the existence of a bias towards taking superannuation as a lump sum requires an understanding of current drawdown patterns and their likely evolution as superannuation balances grow. Examining trends in the drawdown patterns of the population, and the share </w:t>
      </w:r>
      <w:r>
        <w:lastRenderedPageBreak/>
        <w:t>of superannuation benefits that are taken as lump sums can assist in assessing the extent of lump sum behaviour in the future.</w:t>
      </w:r>
    </w:p>
    <w:p w:rsidR="007C51D1" w:rsidRDefault="007C51D1">
      <w:pPr>
        <w:pStyle w:val="BodyText"/>
      </w:pPr>
      <w:r>
        <w:t xml:space="preserve">Analysis of drawdown patterns and the prevalence of the ‘lump sum mentality’ </w:t>
      </w:r>
      <w:proofErr w:type="gramStart"/>
      <w:r>
        <w:t>depends</w:t>
      </w:r>
      <w:proofErr w:type="gramEnd"/>
      <w:r>
        <w:t xml:space="preserve"> on the availability of high</w:t>
      </w:r>
      <w:r>
        <w:noBreakHyphen/>
        <w:t>quality data and evidence. There are many sources of information on drawdown behaviour that could be used to build the evidence base, but little consistency in how data are defined, measured and collected (table 4.1). This frustrates the task of accurately and consistently measuring the incidence and size of lump sums over time and helps explain why stakeholders have formed conflicting views on the propensity of retirees to take lump sums. In drawing together its analysis, the Commission has considered the advantages and limitations of the various data sources and employed the source that it recognised as being most ‘fit for purpose’. The distinctions between, and limitations of, the various data sources are discussed in detail in supplementary paper 7.</w:t>
      </w:r>
    </w:p>
    <w:p w:rsidR="007C51D1" w:rsidRDefault="007C51D1" w:rsidP="005939B8">
      <w:pPr>
        <w:pStyle w:val="Heading3"/>
      </w:pPr>
      <w:r>
        <w:t xml:space="preserve">More assets are taken as income stream rollovers than lump sums </w:t>
      </w:r>
    </w:p>
    <w:p w:rsidR="007C51D1" w:rsidRDefault="007C51D1" w:rsidP="005939B8">
      <w:pPr>
        <w:pStyle w:val="BodyText"/>
      </w:pPr>
      <w:r>
        <w:t xml:space="preserve">It is a commonly held view that lump sums are strongly preferred to income streams from superannuation. However, most retirees </w:t>
      </w:r>
      <w:r w:rsidRPr="002D5833">
        <w:t>who have superannuation assets</w:t>
      </w:r>
      <w:r>
        <w:t xml:space="preserve"> receive some form of income stream — usually in the form of an account</w:t>
      </w:r>
      <w:r>
        <w:noBreakHyphen/>
        <w:t>based pension. Income streams are most common among those with relatively higher superannuation balances (those in quartiles 3 and 4, figure 4.1).</w:t>
      </w:r>
      <w:r w:rsidRPr="00265ED2">
        <w:rPr>
          <w:rStyle w:val="FootnoteReference"/>
        </w:rPr>
        <w:footnoteReference w:id="16"/>
      </w:r>
      <w:r>
        <w:t xml:space="preserve"> </w:t>
      </w:r>
    </w:p>
    <w:p w:rsidR="007C51D1" w:rsidRDefault="007C51D1">
      <w:pPr>
        <w:pStyle w:val="BodyText"/>
      </w:pPr>
    </w:p>
    <w:p w:rsidR="007C51D1" w:rsidRDefault="007C51D1">
      <w:pPr>
        <w:pStyle w:val="BodyText"/>
        <w:sectPr w:rsidR="007C51D1" w:rsidSect="007C51D1">
          <w:headerReference w:type="even" r:id="rId92"/>
          <w:headerReference w:type="default" r:id="rId93"/>
          <w:footerReference w:type="even" r:id="rId94"/>
          <w:footerReference w:type="default" r:id="rId95"/>
          <w:type w:val="oddPage"/>
          <w:pgSz w:w="11907" w:h="16840" w:code="9"/>
          <w:pgMar w:top="1985" w:right="1304" w:bottom="1247" w:left="1814" w:header="1701" w:footer="397" w:gutter="0"/>
          <w:pgNumType w:chapSep="period"/>
          <w:cols w:space="720"/>
          <w:docGrid w:linePitch="326"/>
        </w:sectPr>
      </w:pPr>
    </w:p>
    <w:p w:rsidR="007C51D1" w:rsidRDefault="007C51D1" w:rsidP="005939B8">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7C51D1" w:rsidTr="005939B8">
        <w:tc>
          <w:tcPr>
            <w:tcW w:w="5000" w:type="pct"/>
            <w:tcBorders>
              <w:top w:val="single" w:sz="6" w:space="0" w:color="78A22F"/>
              <w:left w:val="nil"/>
              <w:bottom w:val="nil"/>
              <w:right w:val="nil"/>
            </w:tcBorders>
            <w:shd w:val="clear" w:color="auto" w:fill="auto"/>
          </w:tcPr>
          <w:p w:rsidR="007C51D1" w:rsidRPr="00784A05" w:rsidRDefault="007C51D1" w:rsidP="005939B8">
            <w:pPr>
              <w:pStyle w:val="TableTitle"/>
            </w:pPr>
            <w:r>
              <w:rPr>
                <w:b w:val="0"/>
              </w:rPr>
              <w:t>Table 4.</w:t>
            </w:r>
            <w:r>
              <w:rPr>
                <w:b w:val="0"/>
                <w:noProof/>
              </w:rPr>
              <w:t>1</w:t>
            </w:r>
            <w:r>
              <w:tab/>
              <w:t>Comparison of drawdown data sources</w:t>
            </w:r>
          </w:p>
        </w:tc>
      </w:tr>
      <w:tr w:rsidR="007C51D1" w:rsidTr="005939B8">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6"/>
              <w:gridCol w:w="1134"/>
              <w:gridCol w:w="1274"/>
              <w:gridCol w:w="8903"/>
            </w:tblGrid>
            <w:tr w:rsidR="007C51D1" w:rsidTr="005939B8">
              <w:tc>
                <w:tcPr>
                  <w:tcW w:w="791" w:type="pct"/>
                  <w:tcBorders>
                    <w:top w:val="single" w:sz="6" w:space="0" w:color="BFBFBF"/>
                    <w:bottom w:val="single" w:sz="6" w:space="0" w:color="BFBFBF"/>
                  </w:tcBorders>
                  <w:shd w:val="clear" w:color="auto" w:fill="auto"/>
                  <w:tcMar>
                    <w:top w:w="28" w:type="dxa"/>
                  </w:tcMar>
                </w:tcPr>
                <w:p w:rsidR="007C51D1" w:rsidRPr="00806E08" w:rsidRDefault="007C51D1" w:rsidP="005939B8">
                  <w:pPr>
                    <w:pStyle w:val="TableColumnHeading"/>
                    <w:jc w:val="left"/>
                    <w:rPr>
                      <w:sz w:val="16"/>
                      <w:szCs w:val="16"/>
                    </w:rPr>
                  </w:pPr>
                  <w:r w:rsidRPr="00806E08">
                    <w:rPr>
                      <w:sz w:val="16"/>
                      <w:szCs w:val="16"/>
                    </w:rPr>
                    <w:t>Collection agency</w:t>
                  </w:r>
                </w:p>
              </w:tc>
              <w:tc>
                <w:tcPr>
                  <w:tcW w:w="422" w:type="pct"/>
                  <w:tcBorders>
                    <w:top w:val="single" w:sz="6" w:space="0" w:color="BFBFBF"/>
                    <w:bottom w:val="single" w:sz="6" w:space="0" w:color="BFBFBF"/>
                  </w:tcBorders>
                </w:tcPr>
                <w:p w:rsidR="007C51D1" w:rsidRPr="00806E08" w:rsidRDefault="007C51D1" w:rsidP="005939B8">
                  <w:pPr>
                    <w:pStyle w:val="TableColumnHeading"/>
                    <w:ind w:right="28"/>
                    <w:jc w:val="left"/>
                    <w:rPr>
                      <w:sz w:val="16"/>
                      <w:szCs w:val="16"/>
                    </w:rPr>
                  </w:pPr>
                  <w:r>
                    <w:rPr>
                      <w:sz w:val="16"/>
                      <w:szCs w:val="16"/>
                    </w:rPr>
                    <w:t>Value of lump sums ($b</w:t>
                  </w:r>
                  <w:r w:rsidRPr="00806E08">
                    <w:rPr>
                      <w:sz w:val="16"/>
                      <w:szCs w:val="16"/>
                    </w:rPr>
                    <w:t>)</w:t>
                  </w:r>
                </w:p>
              </w:tc>
              <w:tc>
                <w:tcPr>
                  <w:tcW w:w="474" w:type="pct"/>
                  <w:tcBorders>
                    <w:top w:val="single" w:sz="6" w:space="0" w:color="BFBFBF"/>
                    <w:bottom w:val="single" w:sz="6" w:space="0" w:color="BFBFBF"/>
                  </w:tcBorders>
                </w:tcPr>
                <w:p w:rsidR="007C51D1" w:rsidRPr="00806E08" w:rsidRDefault="007C51D1" w:rsidP="005939B8">
                  <w:pPr>
                    <w:pStyle w:val="TableColumnHeading"/>
                    <w:ind w:right="28"/>
                    <w:jc w:val="left"/>
                    <w:rPr>
                      <w:sz w:val="16"/>
                      <w:szCs w:val="16"/>
                    </w:rPr>
                  </w:pPr>
                  <w:r>
                    <w:rPr>
                      <w:sz w:val="16"/>
                      <w:szCs w:val="16"/>
                    </w:rPr>
                    <w:t xml:space="preserve">Lump sum share of total </w:t>
                  </w:r>
                  <w:r w:rsidRPr="00806E08">
                    <w:rPr>
                      <w:sz w:val="16"/>
                      <w:szCs w:val="16"/>
                    </w:rPr>
                    <w:t>benefit</w:t>
                  </w:r>
                  <w:r>
                    <w:rPr>
                      <w:sz w:val="16"/>
                      <w:szCs w:val="16"/>
                    </w:rPr>
                    <w:t>s</w:t>
                  </w:r>
                  <w:r w:rsidRPr="00806E08">
                    <w:rPr>
                      <w:rStyle w:val="NoteLabel"/>
                      <w:sz w:val="16"/>
                      <w:szCs w:val="16"/>
                    </w:rPr>
                    <w:t xml:space="preserve"> </w:t>
                  </w:r>
                  <w:r w:rsidRPr="003512DC">
                    <w:rPr>
                      <w:rStyle w:val="NoteLabel"/>
                      <w:i w:val="0"/>
                      <w:sz w:val="16"/>
                      <w:szCs w:val="16"/>
                    </w:rPr>
                    <w:t>a</w:t>
                  </w:r>
                </w:p>
              </w:tc>
              <w:tc>
                <w:tcPr>
                  <w:tcW w:w="3312" w:type="pct"/>
                  <w:tcBorders>
                    <w:top w:val="single" w:sz="6" w:space="0" w:color="BFBFBF"/>
                    <w:bottom w:val="single" w:sz="6" w:space="0" w:color="BFBFBF"/>
                  </w:tcBorders>
                </w:tcPr>
                <w:p w:rsidR="007C51D1" w:rsidRPr="00806E08" w:rsidRDefault="007C51D1" w:rsidP="005939B8">
                  <w:pPr>
                    <w:pStyle w:val="TableColumnHeading"/>
                    <w:ind w:right="28"/>
                    <w:jc w:val="left"/>
                    <w:rPr>
                      <w:sz w:val="16"/>
                      <w:szCs w:val="16"/>
                    </w:rPr>
                  </w:pPr>
                  <w:r w:rsidRPr="00806E08">
                    <w:rPr>
                      <w:sz w:val="16"/>
                      <w:szCs w:val="16"/>
                    </w:rPr>
                    <w:t>Definitions, measurement and collection</w:t>
                  </w:r>
                </w:p>
              </w:tc>
            </w:tr>
            <w:tr w:rsidR="007C51D1" w:rsidTr="005939B8">
              <w:tc>
                <w:tcPr>
                  <w:tcW w:w="791" w:type="pct"/>
                  <w:tcBorders>
                    <w:top w:val="single" w:sz="6" w:space="0" w:color="BFBFBF"/>
                  </w:tcBorders>
                  <w:shd w:val="clear" w:color="auto" w:fill="F2F2F2" w:themeFill="background1" w:themeFillShade="F2"/>
                </w:tcPr>
                <w:p w:rsidR="007C51D1" w:rsidRPr="00997830" w:rsidRDefault="007C51D1" w:rsidP="005939B8">
                  <w:pPr>
                    <w:pStyle w:val="TableUnitsRow"/>
                    <w:jc w:val="left"/>
                    <w:rPr>
                      <w:szCs w:val="18"/>
                    </w:rPr>
                  </w:pPr>
                  <w:r w:rsidRPr="00997830">
                    <w:rPr>
                      <w:szCs w:val="18"/>
                    </w:rPr>
                    <w:t xml:space="preserve">APRA </w:t>
                  </w:r>
                  <w:r w:rsidR="00F62614" w:rsidRPr="00F62614">
                    <w:rPr>
                      <w:rFonts w:cs="Arial"/>
                    </w:rPr>
                    <w:t>(2014a)</w:t>
                  </w:r>
                </w:p>
              </w:tc>
              <w:tc>
                <w:tcPr>
                  <w:tcW w:w="422" w:type="pct"/>
                  <w:tcBorders>
                    <w:top w:val="single" w:sz="6" w:space="0" w:color="BFBFBF"/>
                  </w:tcBorders>
                  <w:shd w:val="clear" w:color="auto" w:fill="F2F2F2" w:themeFill="background1" w:themeFillShade="F2"/>
                </w:tcPr>
                <w:p w:rsidR="007C51D1" w:rsidRPr="00997830" w:rsidRDefault="007C51D1" w:rsidP="005939B8">
                  <w:pPr>
                    <w:pStyle w:val="TableUnitsRow"/>
                    <w:framePr w:w="2155" w:hSpace="227" w:vSpace="181" w:wrap="around" w:vAnchor="text" w:hAnchor="page" w:xAlign="outside" w:y="1"/>
                    <w:ind w:right="28"/>
                    <w:jc w:val="left"/>
                    <w:rPr>
                      <w:szCs w:val="18"/>
                    </w:rPr>
                  </w:pPr>
                  <w:r w:rsidRPr="00997830">
                    <w:rPr>
                      <w:szCs w:val="18"/>
                    </w:rPr>
                    <w:t>36.5</w:t>
                  </w:r>
                </w:p>
              </w:tc>
              <w:tc>
                <w:tcPr>
                  <w:tcW w:w="474" w:type="pct"/>
                  <w:tcBorders>
                    <w:top w:val="single" w:sz="6" w:space="0" w:color="BFBFBF"/>
                  </w:tcBorders>
                  <w:shd w:val="clear" w:color="auto" w:fill="F2F2F2" w:themeFill="background1" w:themeFillShade="F2"/>
                </w:tcPr>
                <w:p w:rsidR="007C51D1" w:rsidRPr="00997830" w:rsidRDefault="007C51D1" w:rsidP="005939B8">
                  <w:pPr>
                    <w:pStyle w:val="TableUnitsRow"/>
                    <w:framePr w:w="2155" w:hSpace="227" w:vSpace="181" w:wrap="around" w:vAnchor="text" w:hAnchor="page" w:xAlign="outside" w:y="1"/>
                    <w:ind w:right="28"/>
                    <w:jc w:val="left"/>
                    <w:rPr>
                      <w:szCs w:val="18"/>
                    </w:rPr>
                  </w:pPr>
                  <w:r w:rsidRPr="00997830">
                    <w:rPr>
                      <w:szCs w:val="18"/>
                    </w:rPr>
                    <w:t>49%</w:t>
                  </w:r>
                </w:p>
              </w:tc>
              <w:tc>
                <w:tcPr>
                  <w:tcW w:w="3312" w:type="pct"/>
                  <w:tcBorders>
                    <w:top w:val="single" w:sz="6" w:space="0" w:color="BFBFBF"/>
                  </w:tcBorders>
                  <w:shd w:val="clear" w:color="auto" w:fill="F2F2F2" w:themeFill="background1" w:themeFillShade="F2"/>
                </w:tcPr>
                <w:p w:rsidR="007C51D1" w:rsidRPr="00997830" w:rsidRDefault="007C51D1" w:rsidP="005939B8">
                  <w:pPr>
                    <w:pStyle w:val="TableBullet"/>
                    <w:framePr w:w="2155" w:hSpace="227" w:vSpace="181" w:wrap="around" w:vAnchor="text" w:hAnchor="page" w:xAlign="outside" w:y="1"/>
                    <w:rPr>
                      <w:szCs w:val="18"/>
                    </w:rPr>
                  </w:pPr>
                  <w:r w:rsidRPr="00997830">
                    <w:rPr>
                      <w:szCs w:val="18"/>
                    </w:rPr>
                    <w:t>Funds report benefits, which are validated against previous reporting and the Australian Taxation Office (ATO) supplies Self</w:t>
                  </w:r>
                  <w:r w:rsidRPr="00997830">
                    <w:rPr>
                      <w:szCs w:val="18"/>
                    </w:rPr>
                    <w:noBreakHyphen/>
                    <w:t>managed superannuation fund (SMSF) data on total benefits.</w:t>
                  </w:r>
                </w:p>
                <w:p w:rsidR="007C51D1" w:rsidRPr="00997830" w:rsidRDefault="007C51D1" w:rsidP="005939B8">
                  <w:pPr>
                    <w:pStyle w:val="TableBullet"/>
                    <w:rPr>
                      <w:szCs w:val="18"/>
                    </w:rPr>
                  </w:pPr>
                  <w:r w:rsidRPr="00997830">
                    <w:rPr>
                      <w:szCs w:val="18"/>
                    </w:rPr>
                    <w:t>Lump sums include those taken for reasons other than retirement, including death benefits and re</w:t>
                  </w:r>
                  <w:r w:rsidRPr="00997830">
                    <w:rPr>
                      <w:szCs w:val="18"/>
                    </w:rPr>
                    <w:noBreakHyphen/>
                    <w:t>contribution strategies.</w:t>
                  </w:r>
                </w:p>
                <w:p w:rsidR="007C51D1" w:rsidRPr="00997830" w:rsidRDefault="007C51D1" w:rsidP="005939B8">
                  <w:pPr>
                    <w:pStyle w:val="TableBullet"/>
                    <w:rPr>
                      <w:szCs w:val="18"/>
                    </w:rPr>
                  </w:pPr>
                  <w:r w:rsidRPr="00997830">
                    <w:rPr>
                      <w:szCs w:val="18"/>
                    </w:rPr>
                    <w:t>Lump sums of any value are recorded.</w:t>
                  </w:r>
                </w:p>
              </w:tc>
            </w:tr>
            <w:tr w:rsidR="007C51D1" w:rsidTr="005939B8">
              <w:tc>
                <w:tcPr>
                  <w:tcW w:w="791" w:type="pct"/>
                </w:tcPr>
                <w:p w:rsidR="007C51D1" w:rsidRPr="00997830" w:rsidRDefault="007C51D1" w:rsidP="005939B8">
                  <w:pPr>
                    <w:pStyle w:val="TableBodyText"/>
                    <w:jc w:val="left"/>
                    <w:rPr>
                      <w:szCs w:val="18"/>
                    </w:rPr>
                  </w:pPr>
                  <w:r w:rsidRPr="00997830">
                    <w:rPr>
                      <w:szCs w:val="18"/>
                    </w:rPr>
                    <w:t xml:space="preserve">ABS </w:t>
                  </w:r>
                  <w:r w:rsidR="00F62614" w:rsidRPr="00F62614">
                    <w:rPr>
                      <w:rFonts w:cs="Arial"/>
                    </w:rPr>
                    <w:t>(2013)</w:t>
                  </w:r>
                </w:p>
              </w:tc>
              <w:tc>
                <w:tcPr>
                  <w:tcW w:w="422" w:type="pct"/>
                </w:tcPr>
                <w:p w:rsidR="007C51D1" w:rsidRPr="00997830" w:rsidRDefault="007C51D1" w:rsidP="005939B8">
                  <w:pPr>
                    <w:pStyle w:val="TableBodyText"/>
                    <w:framePr w:w="2155" w:hSpace="227" w:vSpace="181" w:wrap="around" w:vAnchor="text" w:hAnchor="page" w:xAlign="outside" w:y="1"/>
                    <w:ind w:right="28"/>
                    <w:jc w:val="left"/>
                    <w:rPr>
                      <w:szCs w:val="18"/>
                    </w:rPr>
                  </w:pPr>
                  <w:r w:rsidRPr="00997830">
                    <w:rPr>
                      <w:szCs w:val="18"/>
                    </w:rPr>
                    <w:t>11.1</w:t>
                  </w:r>
                </w:p>
              </w:tc>
              <w:tc>
                <w:tcPr>
                  <w:tcW w:w="474" w:type="pct"/>
                </w:tcPr>
                <w:p w:rsidR="007C51D1" w:rsidRPr="00997830" w:rsidRDefault="007C51D1" w:rsidP="005939B8">
                  <w:pPr>
                    <w:pStyle w:val="TableBodyText"/>
                    <w:framePr w:w="2155" w:hSpace="227" w:vSpace="181" w:wrap="around" w:vAnchor="text" w:hAnchor="page" w:xAlign="outside" w:y="1"/>
                    <w:ind w:right="28"/>
                    <w:jc w:val="left"/>
                    <w:rPr>
                      <w:szCs w:val="18"/>
                    </w:rPr>
                  </w:pPr>
                  <w:r w:rsidRPr="00997830">
                    <w:rPr>
                      <w:szCs w:val="18"/>
                    </w:rPr>
                    <w:t>30%</w:t>
                  </w:r>
                </w:p>
              </w:tc>
              <w:tc>
                <w:tcPr>
                  <w:tcW w:w="3312" w:type="pct"/>
                </w:tcPr>
                <w:p w:rsidR="007C51D1" w:rsidRPr="00997830" w:rsidRDefault="007C51D1" w:rsidP="005939B8">
                  <w:pPr>
                    <w:pStyle w:val="TableBullet"/>
                    <w:framePr w:w="2155" w:hSpace="227" w:vSpace="181" w:wrap="around" w:vAnchor="text" w:hAnchor="page" w:xAlign="outside" w:y="1"/>
                    <w:rPr>
                      <w:szCs w:val="18"/>
                    </w:rPr>
                  </w:pPr>
                  <w:r w:rsidRPr="00997830">
                    <w:rPr>
                      <w:szCs w:val="18"/>
                    </w:rPr>
                    <w:t>Data are self</w:t>
                  </w:r>
                  <w:r w:rsidRPr="00997830">
                    <w:rPr>
                      <w:szCs w:val="18"/>
                    </w:rPr>
                    <w:noBreakHyphen/>
                    <w:t>reported by individuals.</w:t>
                  </w:r>
                </w:p>
                <w:p w:rsidR="007C51D1" w:rsidRPr="00997830" w:rsidRDefault="007C51D1" w:rsidP="005939B8">
                  <w:pPr>
                    <w:pStyle w:val="TableBullet"/>
                    <w:rPr>
                      <w:szCs w:val="18"/>
                    </w:rPr>
                  </w:pPr>
                  <w:r w:rsidRPr="00997830">
                    <w:rPr>
                      <w:szCs w:val="18"/>
                    </w:rPr>
                    <w:t>Lump sums are recorded as ‘irregular payments from superannuation over the last two years’.</w:t>
                  </w:r>
                </w:p>
                <w:p w:rsidR="007C51D1" w:rsidRPr="00997830" w:rsidRDefault="007C51D1" w:rsidP="005939B8">
                  <w:pPr>
                    <w:pStyle w:val="TableBullet"/>
                    <w:rPr>
                      <w:szCs w:val="18"/>
                    </w:rPr>
                  </w:pPr>
                  <w:r w:rsidRPr="00997830">
                    <w:rPr>
                      <w:szCs w:val="18"/>
                    </w:rPr>
                    <w:t>Income streams are recorded as ‘weekly income from superannuation and annuities’.</w:t>
                  </w:r>
                </w:p>
                <w:p w:rsidR="007C51D1" w:rsidRPr="00997830" w:rsidRDefault="007C51D1" w:rsidP="005939B8">
                  <w:pPr>
                    <w:pStyle w:val="TableBullet"/>
                    <w:rPr>
                      <w:szCs w:val="18"/>
                    </w:rPr>
                  </w:pPr>
                  <w:r w:rsidRPr="00997830">
                    <w:rPr>
                      <w:szCs w:val="18"/>
                    </w:rPr>
                    <w:t>Total benefits are the sum of lump sums taken over the last two years and annual income from superannuation.</w:t>
                  </w:r>
                </w:p>
                <w:p w:rsidR="007C51D1" w:rsidRPr="00997830" w:rsidRDefault="007C51D1" w:rsidP="005939B8">
                  <w:pPr>
                    <w:pStyle w:val="TableBullet"/>
                    <w:rPr>
                      <w:szCs w:val="18"/>
                    </w:rPr>
                  </w:pPr>
                  <w:r w:rsidRPr="00997830">
                    <w:rPr>
                      <w:szCs w:val="18"/>
                    </w:rPr>
                    <w:t>Excludes lump sums under $500.</w:t>
                  </w:r>
                </w:p>
              </w:tc>
            </w:tr>
            <w:tr w:rsidR="007C51D1" w:rsidTr="005939B8">
              <w:tc>
                <w:tcPr>
                  <w:tcW w:w="791" w:type="pct"/>
                  <w:shd w:val="clear" w:color="auto" w:fill="F2F2F2" w:themeFill="background1" w:themeFillShade="F2"/>
                </w:tcPr>
                <w:p w:rsidR="007C51D1" w:rsidRPr="00997830" w:rsidRDefault="007C51D1" w:rsidP="005939B8">
                  <w:pPr>
                    <w:pStyle w:val="TableBodyText"/>
                    <w:jc w:val="left"/>
                    <w:rPr>
                      <w:szCs w:val="18"/>
                    </w:rPr>
                  </w:pPr>
                  <w:r w:rsidRPr="00997830">
                    <w:rPr>
                      <w:szCs w:val="18"/>
                    </w:rPr>
                    <w:t xml:space="preserve">ATO </w:t>
                  </w:r>
                  <w:r w:rsidR="00F62614" w:rsidRPr="00F62614">
                    <w:rPr>
                      <w:rFonts w:cs="Arial"/>
                    </w:rPr>
                    <w:t>(2015f)</w:t>
                  </w:r>
                </w:p>
              </w:tc>
              <w:tc>
                <w:tcPr>
                  <w:tcW w:w="422" w:type="pct"/>
                  <w:shd w:val="clear" w:color="auto" w:fill="F2F2F2" w:themeFill="background1" w:themeFillShade="F2"/>
                </w:tcPr>
                <w:p w:rsidR="007C51D1" w:rsidRPr="00997830" w:rsidRDefault="007C51D1" w:rsidP="005939B8">
                  <w:pPr>
                    <w:pStyle w:val="TableBodyText"/>
                    <w:framePr w:w="2155" w:hSpace="227" w:vSpace="181" w:wrap="around" w:vAnchor="text" w:hAnchor="page" w:xAlign="outside" w:y="1"/>
                    <w:ind w:right="28"/>
                    <w:jc w:val="left"/>
                    <w:rPr>
                      <w:szCs w:val="18"/>
                    </w:rPr>
                  </w:pPr>
                  <w:r w:rsidRPr="00997830">
                    <w:rPr>
                      <w:szCs w:val="18"/>
                    </w:rPr>
                    <w:t>2.9</w:t>
                  </w:r>
                </w:p>
              </w:tc>
              <w:tc>
                <w:tcPr>
                  <w:tcW w:w="474" w:type="pct"/>
                  <w:shd w:val="clear" w:color="auto" w:fill="F2F2F2" w:themeFill="background1" w:themeFillShade="F2"/>
                </w:tcPr>
                <w:p w:rsidR="007C51D1" w:rsidRPr="00997830" w:rsidRDefault="007C51D1" w:rsidP="005939B8">
                  <w:pPr>
                    <w:pStyle w:val="TableBodyText"/>
                    <w:framePr w:w="2155" w:hSpace="227" w:vSpace="181" w:wrap="around" w:vAnchor="text" w:hAnchor="page" w:xAlign="outside" w:y="1"/>
                    <w:ind w:right="28"/>
                    <w:jc w:val="left"/>
                    <w:rPr>
                      <w:szCs w:val="18"/>
                    </w:rPr>
                  </w:pPr>
                  <w:r w:rsidRPr="00997830">
                    <w:rPr>
                      <w:szCs w:val="18"/>
                    </w:rPr>
                    <w:t>28%</w:t>
                  </w:r>
                </w:p>
              </w:tc>
              <w:tc>
                <w:tcPr>
                  <w:tcW w:w="3312" w:type="pct"/>
                  <w:shd w:val="clear" w:color="auto" w:fill="F2F2F2" w:themeFill="background1" w:themeFillShade="F2"/>
                </w:tcPr>
                <w:p w:rsidR="007C51D1" w:rsidRPr="00997830" w:rsidRDefault="007C51D1" w:rsidP="005939B8">
                  <w:pPr>
                    <w:pStyle w:val="TableBullet"/>
                    <w:rPr>
                      <w:szCs w:val="18"/>
                    </w:rPr>
                  </w:pPr>
                  <w:r w:rsidRPr="00997830">
                    <w:rPr>
                      <w:szCs w:val="18"/>
                    </w:rPr>
                    <w:t>Data are self</w:t>
                  </w:r>
                  <w:r w:rsidRPr="00997830">
                    <w:rPr>
                      <w:szCs w:val="18"/>
                    </w:rPr>
                    <w:noBreakHyphen/>
                    <w:t>reported by individuals or tax agents.</w:t>
                  </w:r>
                </w:p>
                <w:p w:rsidR="007C51D1" w:rsidRPr="00997830" w:rsidRDefault="007C51D1" w:rsidP="005939B8">
                  <w:pPr>
                    <w:pStyle w:val="TableBullet"/>
                    <w:rPr>
                      <w:szCs w:val="18"/>
                    </w:rPr>
                  </w:pPr>
                  <w:r w:rsidRPr="00997830">
                    <w:rPr>
                      <w:szCs w:val="18"/>
                    </w:rPr>
                    <w:t xml:space="preserve">Lump sums include those taken for reasons other than retirement, including disability. </w:t>
                  </w:r>
                </w:p>
                <w:p w:rsidR="007C51D1" w:rsidRPr="00997830" w:rsidRDefault="007C51D1" w:rsidP="005939B8">
                  <w:pPr>
                    <w:pStyle w:val="TableBullet"/>
                    <w:framePr w:w="2155" w:hSpace="227" w:vSpace="181" w:wrap="around" w:vAnchor="text" w:hAnchor="page" w:xAlign="outside" w:y="1"/>
                    <w:rPr>
                      <w:szCs w:val="18"/>
                    </w:rPr>
                  </w:pPr>
                  <w:r w:rsidRPr="00997830">
                    <w:rPr>
                      <w:szCs w:val="18"/>
                    </w:rPr>
                    <w:t>Population covers taxable benefits only. Excludes many over the age of 60 years because in most cases they are not required to report their superannuation benefits.</w:t>
                  </w:r>
                  <w:r w:rsidRPr="00997830">
                    <w:rPr>
                      <w:rStyle w:val="NoteLabel"/>
                      <w:szCs w:val="18"/>
                    </w:rPr>
                    <w:t>b</w:t>
                  </w:r>
                  <w:r w:rsidRPr="00997830">
                    <w:rPr>
                      <w:szCs w:val="18"/>
                    </w:rPr>
                    <w:t xml:space="preserve"> </w:t>
                  </w:r>
                </w:p>
                <w:p w:rsidR="007C51D1" w:rsidRPr="00997830" w:rsidRDefault="007C51D1" w:rsidP="005939B8">
                  <w:pPr>
                    <w:pStyle w:val="TableBullet"/>
                    <w:rPr>
                      <w:szCs w:val="18"/>
                    </w:rPr>
                  </w:pPr>
                  <w:r w:rsidRPr="00997830">
                    <w:rPr>
                      <w:szCs w:val="18"/>
                    </w:rPr>
                    <w:t>Lump sums under $200 are not reported. These are mainly due to the closure of low value accounts.</w:t>
                  </w:r>
                </w:p>
              </w:tc>
            </w:tr>
            <w:tr w:rsidR="007C51D1" w:rsidTr="005939B8">
              <w:tc>
                <w:tcPr>
                  <w:tcW w:w="791" w:type="pct"/>
                  <w:shd w:val="clear" w:color="auto" w:fill="auto"/>
                </w:tcPr>
                <w:p w:rsidR="007C51D1" w:rsidRPr="00997830" w:rsidRDefault="007C51D1" w:rsidP="005939B8">
                  <w:pPr>
                    <w:pStyle w:val="TableBodyText"/>
                    <w:jc w:val="left"/>
                    <w:rPr>
                      <w:szCs w:val="18"/>
                    </w:rPr>
                  </w:pPr>
                  <w:r w:rsidRPr="00997830">
                    <w:rPr>
                      <w:szCs w:val="18"/>
                    </w:rPr>
                    <w:t xml:space="preserve">Melbourne Institute of Applied Economic and Social Research </w:t>
                  </w:r>
                  <w:r w:rsidR="00F62614" w:rsidRPr="00F62614">
                    <w:rPr>
                      <w:rFonts w:cs="Arial"/>
                    </w:rPr>
                    <w:t>(2015)</w:t>
                  </w:r>
                </w:p>
              </w:tc>
              <w:tc>
                <w:tcPr>
                  <w:tcW w:w="422" w:type="pct"/>
                </w:tcPr>
                <w:p w:rsidR="007C51D1" w:rsidRPr="00997830" w:rsidRDefault="007C51D1" w:rsidP="005939B8">
                  <w:pPr>
                    <w:pStyle w:val="TableBodyText"/>
                    <w:framePr w:w="2155" w:hSpace="227" w:vSpace="181" w:wrap="around" w:vAnchor="text" w:hAnchor="page" w:xAlign="outside" w:y="1"/>
                    <w:ind w:right="28"/>
                    <w:jc w:val="left"/>
                    <w:rPr>
                      <w:szCs w:val="18"/>
                    </w:rPr>
                  </w:pPr>
                  <w:r w:rsidRPr="00997830">
                    <w:rPr>
                      <w:szCs w:val="18"/>
                    </w:rPr>
                    <w:t>7.4</w:t>
                  </w:r>
                </w:p>
              </w:tc>
              <w:tc>
                <w:tcPr>
                  <w:tcW w:w="474" w:type="pct"/>
                </w:tcPr>
                <w:p w:rsidR="007C51D1" w:rsidRPr="00997830" w:rsidRDefault="007C51D1" w:rsidP="005939B8">
                  <w:pPr>
                    <w:pStyle w:val="TableBodyText"/>
                    <w:framePr w:w="2155" w:hSpace="227" w:vSpace="181" w:wrap="around" w:vAnchor="text" w:hAnchor="page" w:xAlign="outside" w:y="1"/>
                    <w:ind w:right="28"/>
                    <w:jc w:val="left"/>
                    <w:rPr>
                      <w:szCs w:val="18"/>
                    </w:rPr>
                  </w:pPr>
                  <w:r w:rsidRPr="00997830">
                    <w:rPr>
                      <w:szCs w:val="18"/>
                    </w:rPr>
                    <w:t>21%</w:t>
                  </w:r>
                </w:p>
              </w:tc>
              <w:tc>
                <w:tcPr>
                  <w:tcW w:w="3312" w:type="pct"/>
                </w:tcPr>
                <w:p w:rsidR="007C51D1" w:rsidRPr="00997830" w:rsidRDefault="007C51D1" w:rsidP="005939B8">
                  <w:pPr>
                    <w:pStyle w:val="TableBullet"/>
                    <w:framePr w:w="2155" w:hSpace="227" w:vSpace="181" w:wrap="around" w:vAnchor="text" w:hAnchor="page" w:xAlign="outside" w:y="1"/>
                    <w:rPr>
                      <w:szCs w:val="18"/>
                    </w:rPr>
                  </w:pPr>
                  <w:r w:rsidRPr="00997830">
                    <w:rPr>
                      <w:szCs w:val="18"/>
                    </w:rPr>
                    <w:t>Data are self</w:t>
                  </w:r>
                  <w:r w:rsidRPr="00997830">
                    <w:rPr>
                      <w:szCs w:val="18"/>
                    </w:rPr>
                    <w:noBreakHyphen/>
                    <w:t>reported by individuals.</w:t>
                  </w:r>
                </w:p>
                <w:p w:rsidR="007C51D1" w:rsidRPr="00997830" w:rsidRDefault="007C51D1" w:rsidP="005939B8">
                  <w:pPr>
                    <w:pStyle w:val="TableBullet"/>
                    <w:rPr>
                      <w:szCs w:val="18"/>
                    </w:rPr>
                  </w:pPr>
                  <w:r w:rsidRPr="00997830">
                    <w:rPr>
                      <w:szCs w:val="18"/>
                    </w:rPr>
                    <w:t>Superannuation benefits are the sum of the total value of lump sums taken in the period of a year and income from superannuation and annuities over the year.</w:t>
                  </w:r>
                </w:p>
              </w:tc>
            </w:tr>
            <w:tr w:rsidR="007C51D1" w:rsidTr="005939B8">
              <w:tc>
                <w:tcPr>
                  <w:tcW w:w="791" w:type="pct"/>
                  <w:shd w:val="clear" w:color="auto" w:fill="F2F2F2" w:themeFill="background1" w:themeFillShade="F2"/>
                </w:tcPr>
                <w:p w:rsidR="007C51D1" w:rsidRPr="00997830" w:rsidRDefault="007C51D1" w:rsidP="005939B8">
                  <w:pPr>
                    <w:pStyle w:val="TableBodyText"/>
                    <w:jc w:val="left"/>
                    <w:rPr>
                      <w:szCs w:val="18"/>
                    </w:rPr>
                  </w:pPr>
                  <w:r w:rsidRPr="00997830">
                    <w:rPr>
                      <w:szCs w:val="18"/>
                    </w:rPr>
                    <w:t xml:space="preserve">Rice Warner </w:t>
                  </w:r>
                  <w:r w:rsidR="00F62614" w:rsidRPr="00F62614">
                    <w:rPr>
                      <w:rFonts w:cs="Arial"/>
                    </w:rPr>
                    <w:t>(2015)</w:t>
                  </w:r>
                </w:p>
              </w:tc>
              <w:tc>
                <w:tcPr>
                  <w:tcW w:w="422" w:type="pct"/>
                  <w:shd w:val="clear" w:color="auto" w:fill="F2F2F2" w:themeFill="background1" w:themeFillShade="F2"/>
                </w:tcPr>
                <w:p w:rsidR="007C51D1" w:rsidRPr="00997830" w:rsidRDefault="007C51D1" w:rsidP="005939B8">
                  <w:pPr>
                    <w:pStyle w:val="TableBodyText"/>
                    <w:framePr w:w="2155" w:hSpace="227" w:vSpace="181" w:wrap="around" w:vAnchor="text" w:hAnchor="page" w:xAlign="outside" w:y="1"/>
                    <w:ind w:right="28"/>
                    <w:jc w:val="left"/>
                    <w:rPr>
                      <w:szCs w:val="18"/>
                    </w:rPr>
                  </w:pPr>
                  <w:r w:rsidRPr="00997830">
                    <w:rPr>
                      <w:szCs w:val="18"/>
                    </w:rPr>
                    <w:t>9.2</w:t>
                  </w:r>
                </w:p>
              </w:tc>
              <w:tc>
                <w:tcPr>
                  <w:tcW w:w="474" w:type="pct"/>
                  <w:shd w:val="clear" w:color="auto" w:fill="F2F2F2" w:themeFill="background1" w:themeFillShade="F2"/>
                </w:tcPr>
                <w:p w:rsidR="007C51D1" w:rsidRPr="00997830" w:rsidRDefault="007C51D1" w:rsidP="005939B8">
                  <w:pPr>
                    <w:pStyle w:val="TableBodyText"/>
                    <w:framePr w:w="2155" w:hSpace="227" w:vSpace="181" w:wrap="around" w:vAnchor="text" w:hAnchor="page" w:xAlign="outside" w:y="1"/>
                    <w:ind w:right="28"/>
                    <w:jc w:val="left"/>
                    <w:rPr>
                      <w:szCs w:val="18"/>
                    </w:rPr>
                  </w:pPr>
                  <w:r w:rsidRPr="00997830">
                    <w:rPr>
                      <w:szCs w:val="18"/>
                    </w:rPr>
                    <w:t>17%</w:t>
                  </w:r>
                </w:p>
              </w:tc>
              <w:tc>
                <w:tcPr>
                  <w:tcW w:w="3312" w:type="pct"/>
                  <w:shd w:val="clear" w:color="auto" w:fill="F2F2F2" w:themeFill="background1" w:themeFillShade="F2"/>
                </w:tcPr>
                <w:p w:rsidR="007C51D1" w:rsidRPr="00997830" w:rsidRDefault="007C51D1" w:rsidP="005939B8">
                  <w:pPr>
                    <w:pStyle w:val="TableBullet"/>
                    <w:rPr>
                      <w:szCs w:val="18"/>
                    </w:rPr>
                  </w:pPr>
                  <w:r w:rsidRPr="00997830">
                    <w:rPr>
                      <w:szCs w:val="18"/>
                    </w:rPr>
                    <w:t>Fund</w:t>
                  </w:r>
                  <w:r w:rsidRPr="00997830">
                    <w:rPr>
                      <w:szCs w:val="18"/>
                    </w:rPr>
                    <w:noBreakHyphen/>
                    <w:t xml:space="preserve">level data are used. </w:t>
                  </w:r>
                </w:p>
              </w:tc>
            </w:tr>
            <w:tr w:rsidR="007C51D1" w:rsidTr="005939B8">
              <w:tc>
                <w:tcPr>
                  <w:tcW w:w="791" w:type="pct"/>
                  <w:tcBorders>
                    <w:bottom w:val="single" w:sz="6" w:space="0" w:color="BFBFBF"/>
                  </w:tcBorders>
                  <w:shd w:val="clear" w:color="auto" w:fill="auto"/>
                </w:tcPr>
                <w:p w:rsidR="007C51D1" w:rsidRPr="00997830" w:rsidRDefault="007C51D1" w:rsidP="005939B8">
                  <w:pPr>
                    <w:pStyle w:val="TableBodyText"/>
                    <w:jc w:val="left"/>
                    <w:rPr>
                      <w:szCs w:val="18"/>
                    </w:rPr>
                  </w:pPr>
                  <w:r w:rsidRPr="00997830">
                    <w:rPr>
                      <w:szCs w:val="18"/>
                    </w:rPr>
                    <w:t xml:space="preserve">ATO </w:t>
                  </w:r>
                  <w:r w:rsidR="00F62614" w:rsidRPr="00F62614">
                    <w:rPr>
                      <w:rFonts w:cs="Arial"/>
                    </w:rPr>
                    <w:t>(2014d)</w:t>
                  </w:r>
                </w:p>
              </w:tc>
              <w:tc>
                <w:tcPr>
                  <w:tcW w:w="422" w:type="pct"/>
                  <w:tcBorders>
                    <w:bottom w:val="single" w:sz="6" w:space="0" w:color="BFBFBF"/>
                  </w:tcBorders>
                </w:tcPr>
                <w:p w:rsidR="007C51D1" w:rsidRPr="00997830" w:rsidRDefault="007C51D1" w:rsidP="005939B8">
                  <w:pPr>
                    <w:pStyle w:val="TableBodyText"/>
                    <w:framePr w:w="2155" w:hSpace="227" w:vSpace="181" w:wrap="around" w:vAnchor="text" w:hAnchor="page" w:xAlign="outside" w:y="1"/>
                    <w:ind w:right="28"/>
                    <w:jc w:val="left"/>
                    <w:rPr>
                      <w:szCs w:val="18"/>
                    </w:rPr>
                  </w:pPr>
                  <w:r w:rsidRPr="00997830">
                    <w:rPr>
                      <w:szCs w:val="18"/>
                    </w:rPr>
                    <w:t>1.8</w:t>
                  </w:r>
                </w:p>
              </w:tc>
              <w:tc>
                <w:tcPr>
                  <w:tcW w:w="474" w:type="pct"/>
                  <w:tcBorders>
                    <w:bottom w:val="single" w:sz="6" w:space="0" w:color="BFBFBF"/>
                  </w:tcBorders>
                </w:tcPr>
                <w:p w:rsidR="007C51D1" w:rsidRPr="00997830" w:rsidRDefault="007C51D1" w:rsidP="005939B8">
                  <w:pPr>
                    <w:pStyle w:val="TableBodyText"/>
                    <w:framePr w:w="2155" w:hSpace="227" w:vSpace="181" w:wrap="around" w:vAnchor="text" w:hAnchor="page" w:xAlign="outside" w:y="1"/>
                    <w:ind w:right="28"/>
                    <w:jc w:val="left"/>
                    <w:rPr>
                      <w:szCs w:val="18"/>
                    </w:rPr>
                  </w:pPr>
                  <w:r w:rsidRPr="00997830">
                    <w:rPr>
                      <w:szCs w:val="18"/>
                    </w:rPr>
                    <w:t xml:space="preserve">7% </w:t>
                  </w:r>
                </w:p>
              </w:tc>
              <w:tc>
                <w:tcPr>
                  <w:tcW w:w="3312" w:type="pct"/>
                  <w:tcBorders>
                    <w:bottom w:val="single" w:sz="6" w:space="0" w:color="BFBFBF"/>
                  </w:tcBorders>
                </w:tcPr>
                <w:p w:rsidR="007C51D1" w:rsidRPr="00997830" w:rsidRDefault="007C51D1" w:rsidP="005939B8">
                  <w:pPr>
                    <w:pStyle w:val="TableBullet"/>
                    <w:framePr w:w="2155" w:hSpace="227" w:vSpace="181" w:wrap="around" w:vAnchor="text" w:hAnchor="page" w:xAlign="outside" w:y="1"/>
                    <w:rPr>
                      <w:szCs w:val="18"/>
                    </w:rPr>
                  </w:pPr>
                  <w:r w:rsidRPr="00997830">
                    <w:rPr>
                      <w:szCs w:val="18"/>
                    </w:rPr>
                    <w:t>Population only covers SMSF accounts. SMSF account</w:t>
                  </w:r>
                  <w:r w:rsidRPr="00997830">
                    <w:rPr>
                      <w:szCs w:val="18"/>
                    </w:rPr>
                    <w:noBreakHyphen/>
                    <w:t xml:space="preserve">holders are not representative of the general population as they have much larger superannuation balances than other account members. For example, 67 per cent of people with superannuation assets over $1 million are SMSFs </w:t>
                  </w:r>
                  <w:r w:rsidR="00F62614" w:rsidRPr="00F62614">
                    <w:rPr>
                      <w:rFonts w:cs="Arial"/>
                      <w:szCs w:val="24"/>
                    </w:rPr>
                    <w:t>(ASFA 2015b)</w:t>
                  </w:r>
                  <w:r w:rsidRPr="00997830">
                    <w:rPr>
                      <w:szCs w:val="18"/>
                    </w:rPr>
                    <w:t>.</w:t>
                  </w:r>
                </w:p>
                <w:p w:rsidR="007C51D1" w:rsidRPr="00997830" w:rsidRDefault="007C51D1" w:rsidP="005939B8">
                  <w:pPr>
                    <w:pStyle w:val="TableBullet"/>
                    <w:framePr w:w="2155" w:hSpace="227" w:vSpace="181" w:wrap="around" w:vAnchor="text" w:hAnchor="page" w:xAlign="outside" w:y="1"/>
                    <w:rPr>
                      <w:szCs w:val="18"/>
                    </w:rPr>
                  </w:pPr>
                  <w:proofErr w:type="gramStart"/>
                  <w:r w:rsidRPr="00997830">
                    <w:rPr>
                      <w:szCs w:val="18"/>
                    </w:rPr>
                    <w:t>Total benefits includes</w:t>
                  </w:r>
                  <w:proofErr w:type="gramEnd"/>
                  <w:r w:rsidRPr="00997830">
                    <w:rPr>
                      <w:szCs w:val="18"/>
                    </w:rPr>
                    <w:t xml:space="preserve"> lump sums, income streams and transition to retirement pensions. In previous years combined lump sums and income stream were also reported. </w:t>
                  </w:r>
                </w:p>
              </w:tc>
            </w:tr>
          </w:tbl>
          <w:p w:rsidR="007C51D1" w:rsidRDefault="007C51D1" w:rsidP="005939B8">
            <w:pPr>
              <w:pStyle w:val="Box"/>
            </w:pPr>
          </w:p>
        </w:tc>
      </w:tr>
      <w:tr w:rsidR="007C51D1" w:rsidTr="005939B8">
        <w:trPr>
          <w:cantSplit/>
        </w:trPr>
        <w:tc>
          <w:tcPr>
            <w:tcW w:w="5000" w:type="pct"/>
            <w:tcBorders>
              <w:top w:val="nil"/>
              <w:left w:val="nil"/>
              <w:bottom w:val="nil"/>
              <w:right w:val="nil"/>
            </w:tcBorders>
            <w:shd w:val="clear" w:color="auto" w:fill="auto"/>
          </w:tcPr>
          <w:p w:rsidR="007C51D1" w:rsidRPr="007E164F" w:rsidRDefault="007C51D1" w:rsidP="005939B8">
            <w:pPr>
              <w:pStyle w:val="Note"/>
              <w:rPr>
                <w:rStyle w:val="NoteLabel"/>
                <w:b w:val="0"/>
                <w:position w:val="0"/>
              </w:rPr>
            </w:pPr>
            <w:proofErr w:type="gramStart"/>
            <w:r w:rsidRPr="008E77FE">
              <w:rPr>
                <w:rStyle w:val="NoteLabel"/>
              </w:rPr>
              <w:t>a</w:t>
            </w:r>
            <w:proofErr w:type="gramEnd"/>
            <w:r>
              <w:t xml:space="preserve"> Measurement of ‘total benefits’ differs across datasets.</w:t>
            </w:r>
            <w:r>
              <w:rPr>
                <w:rStyle w:val="NoteLabel"/>
              </w:rPr>
              <w:t xml:space="preserve"> </w:t>
            </w:r>
            <w:proofErr w:type="gramStart"/>
            <w:r>
              <w:rPr>
                <w:rStyle w:val="NoteLabel"/>
              </w:rPr>
              <w:t>b</w:t>
            </w:r>
            <w:proofErr w:type="gramEnd"/>
            <w:r>
              <w:rPr>
                <w:rStyle w:val="NoteLabel"/>
              </w:rPr>
              <w:t xml:space="preserve"> </w:t>
            </w:r>
            <w:r w:rsidRPr="007E164F">
              <w:t>Prior to 2007</w:t>
            </w:r>
            <w:r w:rsidRPr="007E164F">
              <w:noBreakHyphen/>
              <w:t>08 data on the superannuation benefits of those aged 60 years and over were more complete. Reporting requirements have since changed.</w:t>
            </w:r>
          </w:p>
        </w:tc>
      </w:tr>
      <w:tr w:rsidR="007C51D1" w:rsidTr="005939B8">
        <w:trPr>
          <w:cantSplit/>
        </w:trPr>
        <w:tc>
          <w:tcPr>
            <w:tcW w:w="5000" w:type="pct"/>
            <w:tcBorders>
              <w:top w:val="nil"/>
              <w:left w:val="nil"/>
              <w:bottom w:val="single" w:sz="6" w:space="0" w:color="78A22F"/>
              <w:right w:val="nil"/>
            </w:tcBorders>
            <w:shd w:val="clear" w:color="auto" w:fill="auto"/>
          </w:tcPr>
          <w:p w:rsidR="007C51D1" w:rsidRDefault="007C51D1" w:rsidP="005939B8">
            <w:pPr>
              <w:pStyle w:val="Box"/>
              <w:spacing w:before="0" w:line="120" w:lineRule="exact"/>
            </w:pPr>
          </w:p>
        </w:tc>
      </w:tr>
      <w:tr w:rsidR="007C51D1" w:rsidRPr="000863A5" w:rsidTr="005939B8">
        <w:tc>
          <w:tcPr>
            <w:tcW w:w="5000" w:type="pct"/>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pPr>
        <w:pStyle w:val="BodyText"/>
        <w:sectPr w:rsidR="007C51D1" w:rsidSect="007C51D1">
          <w:headerReference w:type="even" r:id="rId96"/>
          <w:headerReference w:type="default" r:id="rId97"/>
          <w:footerReference w:type="even" r:id="rId98"/>
          <w:footerReference w:type="default" r:id="rId99"/>
          <w:pgSz w:w="16840" w:h="11907" w:orient="landscape" w:code="9"/>
          <w:pgMar w:top="1814" w:right="1985" w:bottom="1304" w:left="1418" w:header="1701" w:footer="567" w:gutter="0"/>
          <w:pgNumType w:chapSep="period"/>
          <w:cols w:space="720"/>
          <w:docGrid w:linePitch="326"/>
        </w:sectPr>
      </w:pPr>
    </w:p>
    <w:p w:rsidR="007C51D1" w:rsidRDefault="007C51D1" w:rsidP="00D634A3">
      <w:pPr>
        <w:pStyle w:val="BoxSpaceAbove"/>
        <w:spacing w:before="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4.</w:t>
            </w:r>
            <w:r>
              <w:rPr>
                <w:b w:val="0"/>
                <w:noProof/>
              </w:rPr>
              <w:t>1</w:t>
            </w:r>
            <w:r>
              <w:tab/>
              <w:t>Retirees currently with superannuation assets receiving a superannuation income stream</w:t>
            </w:r>
            <w:r w:rsidRPr="0065012B">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5FA9F959" wp14:editId="16CFBF79">
                        <wp:extent cx="5262245" cy="2803525"/>
                        <wp:effectExtent l="0" t="0" r="0" b="0"/>
                        <wp:docPr id="62" name="Picture 62" descr="Figure 4.1 Retirees currently with superannuation assets receiving a superannuation income stream. This chart shows the proportion of retirees with superannuation savings who receive an income from their superannuation over time. In general, retirees with larger superannuation are more likely to take an income stream. For example, in 2003-04, nearly 50 per cent of  retirees with the lowest amount of superannuation (in quartile 1) had a superannuation income stream compared to just over 70 per cent of retirees with a large amount of superannuation savings (in quartile 4). Except for those in quartile 1, the proportion of retirees taking an income stream has increased over time. In 2003-04 around 70 per cent of retirees with the most superannuation assets (quartile 4) had an income stream compared to around 80 per cent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94432" w:rsidRDefault="007C51D1" w:rsidP="005939B8">
            <w:pPr>
              <w:pStyle w:val="Note"/>
            </w:pPr>
            <w:r>
              <w:rPr>
                <w:rStyle w:val="NoteLabel"/>
              </w:rPr>
              <w:t>a</w:t>
            </w:r>
            <w:r>
              <w:t xml:space="preserve"> Superannuation quartiles are based on the superannuation assets of those people who are aged 55 years and over, are no longer in the workforce and have a positive level of superannuation assets.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57"/>
              <w:gridCol w:w="1777"/>
              <w:gridCol w:w="1920"/>
              <w:gridCol w:w="1920"/>
              <w:gridCol w:w="1913"/>
            </w:tblGrid>
            <w:tr w:rsidR="007C51D1" w:rsidTr="005939B8">
              <w:tc>
                <w:tcPr>
                  <w:tcW w:w="564" w:type="pct"/>
                  <w:tcBorders>
                    <w:top w:val="single" w:sz="4" w:space="0" w:color="B5B5B5" w:themeColor="accent4" w:themeShade="BF"/>
                    <w:bottom w:val="single" w:sz="6" w:space="0" w:color="B5B5B5" w:themeColor="accent4" w:themeShade="BF"/>
                  </w:tcBorders>
                </w:tcPr>
                <w:p w:rsidR="007C51D1" w:rsidRPr="006F1F0D" w:rsidRDefault="007C51D1" w:rsidP="005939B8">
                  <w:pPr>
                    <w:pStyle w:val="Note"/>
                    <w:keepNext/>
                    <w:rPr>
                      <w:i/>
                    </w:rPr>
                  </w:pPr>
                  <w:r w:rsidRPr="00AC2FA1">
                    <w:rPr>
                      <w:i/>
                    </w:rPr>
                    <w:t>Period</w:t>
                  </w:r>
                </w:p>
              </w:tc>
              <w:tc>
                <w:tcPr>
                  <w:tcW w:w="1047" w:type="pct"/>
                  <w:tcBorders>
                    <w:top w:val="single" w:sz="4" w:space="0" w:color="B5B5B5" w:themeColor="accent4" w:themeShade="BF"/>
                    <w:bottom w:val="single" w:sz="6" w:space="0" w:color="B5B5B5" w:themeColor="accent4" w:themeShade="BF"/>
                  </w:tcBorders>
                </w:tcPr>
                <w:p w:rsidR="007C51D1" w:rsidRPr="00AC2FA1" w:rsidRDefault="007C51D1" w:rsidP="005939B8">
                  <w:pPr>
                    <w:pStyle w:val="Note"/>
                    <w:rPr>
                      <w:i/>
                    </w:rPr>
                  </w:pPr>
                  <w:r w:rsidRPr="00AC2FA1">
                    <w:rPr>
                      <w:i/>
                    </w:rPr>
                    <w:t>Quartile 1 range</w:t>
                  </w:r>
                </w:p>
              </w:tc>
              <w:tc>
                <w:tcPr>
                  <w:tcW w:w="1131" w:type="pct"/>
                  <w:tcBorders>
                    <w:top w:val="single" w:sz="4" w:space="0" w:color="B5B5B5" w:themeColor="accent4" w:themeShade="BF"/>
                    <w:bottom w:val="single" w:sz="6" w:space="0" w:color="B5B5B5" w:themeColor="accent4" w:themeShade="BF"/>
                  </w:tcBorders>
                </w:tcPr>
                <w:p w:rsidR="007C51D1" w:rsidRPr="00AC2FA1" w:rsidRDefault="007C51D1" w:rsidP="005939B8">
                  <w:pPr>
                    <w:pStyle w:val="Note"/>
                    <w:rPr>
                      <w:i/>
                    </w:rPr>
                  </w:pPr>
                  <w:r w:rsidRPr="00AC2FA1">
                    <w:rPr>
                      <w:i/>
                    </w:rPr>
                    <w:t>Quartile 2 range</w:t>
                  </w:r>
                </w:p>
              </w:tc>
              <w:tc>
                <w:tcPr>
                  <w:tcW w:w="1131" w:type="pct"/>
                  <w:tcBorders>
                    <w:top w:val="single" w:sz="4" w:space="0" w:color="B5B5B5" w:themeColor="accent4" w:themeShade="BF"/>
                    <w:bottom w:val="single" w:sz="6" w:space="0" w:color="B5B5B5" w:themeColor="accent4" w:themeShade="BF"/>
                  </w:tcBorders>
                </w:tcPr>
                <w:p w:rsidR="007C51D1" w:rsidRPr="00AC2FA1" w:rsidRDefault="007C51D1" w:rsidP="005939B8">
                  <w:pPr>
                    <w:pStyle w:val="Note"/>
                    <w:rPr>
                      <w:i/>
                    </w:rPr>
                  </w:pPr>
                  <w:r w:rsidRPr="00AC2FA1">
                    <w:rPr>
                      <w:i/>
                    </w:rPr>
                    <w:t>Quartile 3 range</w:t>
                  </w:r>
                </w:p>
              </w:tc>
              <w:tc>
                <w:tcPr>
                  <w:tcW w:w="1127" w:type="pct"/>
                  <w:tcBorders>
                    <w:top w:val="single" w:sz="4" w:space="0" w:color="B5B5B5" w:themeColor="accent4" w:themeShade="BF"/>
                    <w:bottom w:val="single" w:sz="6" w:space="0" w:color="B5B5B5" w:themeColor="accent4" w:themeShade="BF"/>
                  </w:tcBorders>
                </w:tcPr>
                <w:p w:rsidR="007C51D1" w:rsidRPr="00AC2FA1" w:rsidRDefault="007C51D1" w:rsidP="005939B8">
                  <w:pPr>
                    <w:pStyle w:val="Note"/>
                    <w:rPr>
                      <w:i/>
                    </w:rPr>
                  </w:pPr>
                  <w:r w:rsidRPr="00AC2FA1">
                    <w:rPr>
                      <w:i/>
                    </w:rPr>
                    <w:t>Quartile 4 range</w:t>
                  </w:r>
                </w:p>
              </w:tc>
            </w:tr>
            <w:tr w:rsidR="007C51D1" w:rsidTr="005939B8">
              <w:tc>
                <w:tcPr>
                  <w:tcW w:w="564" w:type="pct"/>
                  <w:tcBorders>
                    <w:top w:val="single" w:sz="6" w:space="0" w:color="B5B5B5" w:themeColor="accent4" w:themeShade="BF"/>
                  </w:tcBorders>
                </w:tcPr>
                <w:p w:rsidR="007C51D1" w:rsidRDefault="007C51D1" w:rsidP="005939B8">
                  <w:pPr>
                    <w:pStyle w:val="Note"/>
                  </w:pPr>
                  <w:r>
                    <w:t>2003</w:t>
                  </w:r>
                  <w:r>
                    <w:noBreakHyphen/>
                    <w:t>04</w:t>
                  </w:r>
                </w:p>
              </w:tc>
              <w:tc>
                <w:tcPr>
                  <w:tcW w:w="1047" w:type="pct"/>
                  <w:tcBorders>
                    <w:top w:val="single" w:sz="6" w:space="0" w:color="B5B5B5" w:themeColor="accent4" w:themeShade="BF"/>
                  </w:tcBorders>
                </w:tcPr>
                <w:p w:rsidR="007C51D1" w:rsidRDefault="007C51D1" w:rsidP="005939B8">
                  <w:pPr>
                    <w:pStyle w:val="Note"/>
                  </w:pPr>
                  <w:r>
                    <w:t xml:space="preserve">$1 </w:t>
                  </w:r>
                  <w:r>
                    <w:noBreakHyphen/>
                    <w:t xml:space="preserve"> $22 000</w:t>
                  </w:r>
                </w:p>
              </w:tc>
              <w:tc>
                <w:tcPr>
                  <w:tcW w:w="1131" w:type="pct"/>
                  <w:tcBorders>
                    <w:top w:val="single" w:sz="6" w:space="0" w:color="B5B5B5" w:themeColor="accent4" w:themeShade="BF"/>
                  </w:tcBorders>
                </w:tcPr>
                <w:p w:rsidR="007C51D1" w:rsidRDefault="007C51D1" w:rsidP="005939B8">
                  <w:pPr>
                    <w:pStyle w:val="Note"/>
                  </w:pPr>
                  <w:r>
                    <w:t xml:space="preserve">$22 062 </w:t>
                  </w:r>
                  <w:r>
                    <w:noBreakHyphen/>
                    <w:t xml:space="preserve"> $66 000</w:t>
                  </w:r>
                </w:p>
              </w:tc>
              <w:tc>
                <w:tcPr>
                  <w:tcW w:w="1131" w:type="pct"/>
                  <w:tcBorders>
                    <w:top w:val="single" w:sz="6" w:space="0" w:color="B5B5B5" w:themeColor="accent4" w:themeShade="BF"/>
                  </w:tcBorders>
                </w:tcPr>
                <w:p w:rsidR="007C51D1" w:rsidRDefault="007C51D1" w:rsidP="005939B8">
                  <w:pPr>
                    <w:pStyle w:val="Note"/>
                  </w:pPr>
                  <w:r>
                    <w:t xml:space="preserve">$66 190 </w:t>
                  </w:r>
                  <w:r>
                    <w:noBreakHyphen/>
                    <w:t xml:space="preserve"> $164 977</w:t>
                  </w:r>
                </w:p>
              </w:tc>
              <w:tc>
                <w:tcPr>
                  <w:tcW w:w="1127" w:type="pct"/>
                  <w:tcBorders>
                    <w:top w:val="single" w:sz="6" w:space="0" w:color="B5B5B5" w:themeColor="accent4" w:themeShade="BF"/>
                  </w:tcBorders>
                </w:tcPr>
                <w:p w:rsidR="007C51D1" w:rsidRDefault="007C51D1" w:rsidP="005939B8">
                  <w:pPr>
                    <w:pStyle w:val="Note"/>
                  </w:pPr>
                  <w:r>
                    <w:t>$165 000 and above</w:t>
                  </w:r>
                </w:p>
              </w:tc>
            </w:tr>
            <w:tr w:rsidR="007C51D1" w:rsidTr="005939B8">
              <w:tc>
                <w:tcPr>
                  <w:tcW w:w="564" w:type="pct"/>
                </w:tcPr>
                <w:p w:rsidR="007C51D1" w:rsidRDefault="007C51D1" w:rsidP="005939B8">
                  <w:pPr>
                    <w:pStyle w:val="Note"/>
                  </w:pPr>
                  <w:r>
                    <w:t>2009</w:t>
                  </w:r>
                  <w:r>
                    <w:noBreakHyphen/>
                    <w:t>10</w:t>
                  </w:r>
                </w:p>
              </w:tc>
              <w:tc>
                <w:tcPr>
                  <w:tcW w:w="1047" w:type="pct"/>
                </w:tcPr>
                <w:p w:rsidR="007C51D1" w:rsidRDefault="007C51D1" w:rsidP="005939B8">
                  <w:pPr>
                    <w:pStyle w:val="Note"/>
                  </w:pPr>
                  <w:r>
                    <w:t xml:space="preserve">$4 </w:t>
                  </w:r>
                  <w:r>
                    <w:noBreakHyphen/>
                    <w:t xml:space="preserve"> $31 000</w:t>
                  </w:r>
                </w:p>
              </w:tc>
              <w:tc>
                <w:tcPr>
                  <w:tcW w:w="1131" w:type="pct"/>
                </w:tcPr>
                <w:p w:rsidR="007C51D1" w:rsidRDefault="007C51D1" w:rsidP="005939B8">
                  <w:pPr>
                    <w:pStyle w:val="Note"/>
                  </w:pPr>
                  <w:r>
                    <w:t xml:space="preserve">$31 500 </w:t>
                  </w:r>
                  <w:r>
                    <w:noBreakHyphen/>
                    <w:t xml:space="preserve"> $88 243</w:t>
                  </w:r>
                </w:p>
              </w:tc>
              <w:tc>
                <w:tcPr>
                  <w:tcW w:w="1131" w:type="pct"/>
                </w:tcPr>
                <w:p w:rsidR="007C51D1" w:rsidRDefault="007C51D1" w:rsidP="005939B8">
                  <w:pPr>
                    <w:pStyle w:val="Note"/>
                  </w:pPr>
                  <w:r>
                    <w:t xml:space="preserve">$88 435 </w:t>
                  </w:r>
                  <w:r>
                    <w:noBreakHyphen/>
                    <w:t xml:space="preserve"> $228 400</w:t>
                  </w:r>
                </w:p>
              </w:tc>
              <w:tc>
                <w:tcPr>
                  <w:tcW w:w="1127" w:type="pct"/>
                </w:tcPr>
                <w:p w:rsidR="007C51D1" w:rsidRDefault="007C51D1" w:rsidP="005939B8">
                  <w:pPr>
                    <w:pStyle w:val="Note"/>
                  </w:pPr>
                  <w:r>
                    <w:t>$229 033 and above</w:t>
                  </w:r>
                </w:p>
              </w:tc>
            </w:tr>
            <w:tr w:rsidR="007C51D1" w:rsidTr="005939B8">
              <w:tc>
                <w:tcPr>
                  <w:tcW w:w="564" w:type="pct"/>
                  <w:tcBorders>
                    <w:bottom w:val="single" w:sz="6" w:space="0" w:color="B5B5B5" w:themeColor="accent4" w:themeShade="BF"/>
                  </w:tcBorders>
                </w:tcPr>
                <w:p w:rsidR="007C51D1" w:rsidRDefault="007C51D1" w:rsidP="005939B8">
                  <w:pPr>
                    <w:pStyle w:val="Note"/>
                  </w:pPr>
                  <w:r>
                    <w:t>2011</w:t>
                  </w:r>
                  <w:r>
                    <w:noBreakHyphen/>
                    <w:t>12</w:t>
                  </w:r>
                </w:p>
              </w:tc>
              <w:tc>
                <w:tcPr>
                  <w:tcW w:w="1047" w:type="pct"/>
                  <w:tcBorders>
                    <w:bottom w:val="single" w:sz="6" w:space="0" w:color="B5B5B5" w:themeColor="accent4" w:themeShade="BF"/>
                  </w:tcBorders>
                </w:tcPr>
                <w:p w:rsidR="007C51D1" w:rsidRDefault="007C51D1" w:rsidP="005939B8">
                  <w:pPr>
                    <w:pStyle w:val="Note"/>
                  </w:pPr>
                  <w:r>
                    <w:t>$1 </w:t>
                  </w:r>
                  <w:r>
                    <w:noBreakHyphen/>
                    <w:t xml:space="preserve"> $38 000</w:t>
                  </w:r>
                </w:p>
              </w:tc>
              <w:tc>
                <w:tcPr>
                  <w:tcW w:w="1131" w:type="pct"/>
                  <w:tcBorders>
                    <w:bottom w:val="single" w:sz="6" w:space="0" w:color="B5B5B5" w:themeColor="accent4" w:themeShade="BF"/>
                  </w:tcBorders>
                </w:tcPr>
                <w:p w:rsidR="007C51D1" w:rsidRDefault="007C51D1" w:rsidP="005939B8">
                  <w:pPr>
                    <w:pStyle w:val="Note"/>
                  </w:pPr>
                  <w:r>
                    <w:t xml:space="preserve">$38 124 </w:t>
                  </w:r>
                  <w:r>
                    <w:noBreakHyphen/>
                    <w:t xml:space="preserve"> $100 000</w:t>
                  </w:r>
                </w:p>
              </w:tc>
              <w:tc>
                <w:tcPr>
                  <w:tcW w:w="1131" w:type="pct"/>
                  <w:tcBorders>
                    <w:bottom w:val="single" w:sz="6" w:space="0" w:color="B5B5B5" w:themeColor="accent4" w:themeShade="BF"/>
                  </w:tcBorders>
                </w:tcPr>
                <w:p w:rsidR="007C51D1" w:rsidRDefault="007C51D1" w:rsidP="005939B8">
                  <w:pPr>
                    <w:pStyle w:val="Note"/>
                  </w:pPr>
                  <w:r>
                    <w:t xml:space="preserve">$100 011 </w:t>
                  </w:r>
                  <w:r>
                    <w:noBreakHyphen/>
                    <w:t xml:space="preserve"> $258 776</w:t>
                  </w:r>
                </w:p>
              </w:tc>
              <w:tc>
                <w:tcPr>
                  <w:tcW w:w="1127" w:type="pct"/>
                  <w:tcBorders>
                    <w:bottom w:val="single" w:sz="6" w:space="0" w:color="B5B5B5" w:themeColor="accent4" w:themeShade="BF"/>
                  </w:tcBorders>
                </w:tcPr>
                <w:p w:rsidR="007C51D1" w:rsidRDefault="007C51D1" w:rsidP="005939B8">
                  <w:pPr>
                    <w:pStyle w:val="Note"/>
                  </w:pPr>
                  <w:r>
                    <w:t>$259 260 and above</w:t>
                  </w:r>
                </w:p>
              </w:tc>
            </w:tr>
          </w:tbl>
          <w:p w:rsidR="007C51D1" w:rsidRPr="00176D3F" w:rsidRDefault="007C51D1" w:rsidP="005939B8">
            <w:pPr>
              <w:pStyle w:val="Not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Pr>
                <w:i/>
              </w:rPr>
              <w:t>s</w:t>
            </w:r>
            <w:r w:rsidRPr="00176D3F">
              <w:t xml:space="preserve">: </w:t>
            </w:r>
            <w:r w:rsidRPr="003512DC">
              <w:t>Commission estimates based on ABS (</w:t>
            </w:r>
            <w:r w:rsidRPr="003512DC">
              <w:rPr>
                <w:i/>
              </w:rPr>
              <w:t>Survey of Income and Housing, 2011</w:t>
            </w:r>
            <w:r>
              <w:rPr>
                <w:i/>
              </w:rPr>
              <w:noBreakHyphen/>
            </w:r>
            <w:r w:rsidRPr="003512DC">
              <w:rPr>
                <w:i/>
              </w:rPr>
              <w:t>12,</w:t>
            </w:r>
            <w:r>
              <w:t xml:space="preserve"> Cat. no. </w:t>
            </w:r>
            <w:r w:rsidRPr="003512DC">
              <w:t>6553.0, basic CURF</w:t>
            </w:r>
            <w:r>
              <w:t xml:space="preserve">; </w:t>
            </w:r>
            <w:r w:rsidRPr="003512DC">
              <w:rPr>
                <w:i/>
              </w:rPr>
              <w:t>Survey of Income and Housing, 2009</w:t>
            </w:r>
            <w:r w:rsidRPr="003512DC">
              <w:rPr>
                <w:i/>
              </w:rPr>
              <w:noBreakHyphen/>
              <w:t>10</w:t>
            </w:r>
            <w:r>
              <w:t xml:space="preserve">, Cat. no. 6503.0, basic CURF; </w:t>
            </w:r>
            <w:r w:rsidRPr="003512DC">
              <w:rPr>
                <w:i/>
              </w:rPr>
              <w:t>Household Expenditure Survey, 2003</w:t>
            </w:r>
            <w:r w:rsidRPr="003512DC">
              <w:rPr>
                <w:i/>
              </w:rPr>
              <w:noBreakHyphen/>
              <w:t>04</w:t>
            </w:r>
            <w:r>
              <w:t>, Cat. no. 6503.0,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The large bulk of </w:t>
      </w:r>
      <w:r w:rsidRPr="00377B2B">
        <w:t>superannuation assets are taken as income stream rollovers at the time of retirement</w:t>
      </w:r>
      <w:r>
        <w:t xml:space="preserve"> </w:t>
      </w:r>
      <w:r w:rsidR="00F62614" w:rsidRPr="00F62614">
        <w:rPr>
          <w:szCs w:val="24"/>
        </w:rPr>
        <w:t>(Rice Warner 2015)</w:t>
      </w:r>
      <w:r>
        <w:t xml:space="preserve">. The Commission </w:t>
      </w:r>
      <w:proofErr w:type="gramStart"/>
      <w:r>
        <w:t>estimates,</w:t>
      </w:r>
      <w:proofErr w:type="gramEnd"/>
      <w:r>
        <w:t xml:space="preserve"> based on Australian Bureau of Statistics (ABS) data, that around 70 per cent of superannuation assets were taken as an income stream in 2011</w:t>
      </w:r>
      <w:r>
        <w:noBreakHyphen/>
        <w:t>12. More recent research by Rice Warner for Colonial First State finds that around 83 per cent of benefits are taken as an income stream. This finding is broadly consistent with information from other datasets that show that income streams represent a growing share of superannuation benefits (figure 4.2).</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921B22" w:rsidRDefault="007C51D1" w:rsidP="005939B8">
            <w:pPr>
              <w:pStyle w:val="ListNumber"/>
              <w:keepNext/>
              <w:keepLines/>
              <w:numPr>
                <w:ilvl w:val="0"/>
                <w:numId w:val="0"/>
              </w:numPr>
              <w:spacing w:after="80" w:line="280" w:lineRule="exact"/>
              <w:ind w:left="1474" w:hanging="1474"/>
              <w:jc w:val="left"/>
              <w:rPr>
                <w:rFonts w:ascii="Arial" w:hAnsi="Arial"/>
                <w:b/>
                <w:szCs w:val="24"/>
              </w:rPr>
            </w:pPr>
            <w:r w:rsidRPr="00921B22">
              <w:rPr>
                <w:rFonts w:ascii="Arial" w:hAnsi="Arial"/>
                <w:szCs w:val="24"/>
              </w:rPr>
              <w:t>Figure</w:t>
            </w:r>
            <w:r>
              <w:rPr>
                <w:rFonts w:ascii="Arial" w:hAnsi="Arial"/>
                <w:szCs w:val="24"/>
              </w:rPr>
              <w:t> 4.</w:t>
            </w:r>
            <w:r>
              <w:rPr>
                <w:rFonts w:ascii="Arial" w:hAnsi="Arial"/>
                <w:noProof/>
                <w:szCs w:val="24"/>
              </w:rPr>
              <w:t>2</w:t>
            </w:r>
            <w:r>
              <w:tab/>
            </w:r>
            <w:r w:rsidRPr="00921B22">
              <w:rPr>
                <w:rFonts w:ascii="Arial" w:hAnsi="Arial"/>
                <w:b/>
                <w:szCs w:val="24"/>
              </w:rPr>
              <w:t>Total superannuation benefits over time</w:t>
            </w:r>
            <w:r>
              <w:t xml:space="preserve"> </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3AF14D43" wp14:editId="562DE80B">
                        <wp:extent cx="5262245" cy="2803525"/>
                        <wp:effectExtent l="0" t="0" r="0" b="0"/>
                        <wp:docPr id="63" name="Picture 63" descr="Figure 4.2 Total superannuation benefits overtime. This chart shows the value of superannuation assets taken as lump sums compared to those taken as income streams since 2001. In general, the value of lump sums has remained relatively flat since 2001. In 2013, lump sums were valued at around $8 billion. In comparison, the value of income streams has increased over the period from around $10 billion in 2001 to around $30 billion in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Data so</w:t>
            </w:r>
            <w:r w:rsidRPr="00784A05">
              <w:rPr>
                <w:i/>
              </w:rPr>
              <w:t>urce</w:t>
            </w:r>
            <w:r w:rsidRPr="00176D3F">
              <w:t>:</w:t>
            </w:r>
            <w:r>
              <w:t xml:space="preserve"> Commission estimates based on HILDA (2013, release 13, waves 1</w:t>
            </w:r>
            <w:r>
              <w:noBreakHyphen/>
              <w:t>13).</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t>Many people take a small proportion of their assets as a lump sum …</w:t>
      </w:r>
    </w:p>
    <w:p w:rsidR="007C51D1" w:rsidRDefault="007C51D1" w:rsidP="005939B8">
      <w:pPr>
        <w:pStyle w:val="BodyText"/>
      </w:pPr>
      <w:r>
        <w:t>One reason some stakeholders are concerned about lump sums is that they fear that retirees who take lump sums exhaust their superannuation savings prematurely, which can then lead to a greater reliance on the Age Pension. Examining the size of lump sums, and the share they comprise of individual superannuation balances, is key to assessing whether these concerns are valid.</w:t>
      </w:r>
    </w:p>
    <w:p w:rsidR="007C51D1" w:rsidRDefault="007C51D1" w:rsidP="005939B8">
      <w:pPr>
        <w:pStyle w:val="BodyText"/>
      </w:pPr>
      <w:r>
        <w:t>The median value of lump sums taken by those aged between 55 and 70 years — the bulk of individuals who take lump sums — is around $20 000 and while some take more than one lump sum during their retirement, in practice most only take a single lump sum.</w:t>
      </w:r>
      <w:r>
        <w:rPr>
          <w:rStyle w:val="FootnoteReference"/>
        </w:rPr>
        <w:footnoteReference w:id="17"/>
      </w:r>
      <w:r>
        <w:t xml:space="preserve"> </w:t>
      </w:r>
    </w:p>
    <w:p w:rsidR="007C51D1" w:rsidRDefault="007C51D1" w:rsidP="005939B8">
      <w:pPr>
        <w:pStyle w:val="BodyText"/>
      </w:pPr>
      <w:r>
        <w:t>However, given the wide spectrum of superannuation balances, average aggregate measures can conceal important behavioural differences. Analysis of drawdown behaviour of different groups in the population provides a more detailed picture of current behaviour.</w:t>
      </w:r>
    </w:p>
    <w:p w:rsidR="007C51D1" w:rsidRDefault="007C51D1" w:rsidP="005939B8">
      <w:pPr>
        <w:pStyle w:val="BodyText"/>
      </w:pPr>
      <w:r>
        <w:t xml:space="preserve">The tendency to take lump sums varies markedly by the size of superannuation savings. In general, lump sums are more likely to be taken by people with relatively small superannuation balances. An analysis of fund data reveals that more than 90 per cent of people with up to $10 000 in superannuation assets take a lump sum at retirement compared to around 30 per cent of people with assets between $100 000 and $200 000 </w:t>
      </w:r>
      <w:r w:rsidR="00F62614" w:rsidRPr="00F62614">
        <w:rPr>
          <w:szCs w:val="24"/>
        </w:rPr>
        <w:lastRenderedPageBreak/>
        <w:t>(ASFA 2013)</w:t>
      </w:r>
      <w:r>
        <w:t>. An update of research previously undertaken for ASFA shows a similar pattern (figure 4.3).</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4.</w:t>
            </w:r>
            <w:r>
              <w:rPr>
                <w:b w:val="0"/>
                <w:noProof/>
              </w:rPr>
              <w:t>3</w:t>
            </w:r>
            <w:r>
              <w:tab/>
              <w:t>Benefits by size of superannuation balance ($000), 2013</w:t>
            </w:r>
            <w:r>
              <w:noBreakHyphen/>
              <w:t>14</w:t>
            </w:r>
            <w:r w:rsidRPr="00353AB8">
              <w:rPr>
                <w:rStyle w:val="NoteLabel"/>
                <w:b/>
              </w:rPr>
              <w:t>a</w:t>
            </w:r>
            <w:r w:rsidRPr="00353AB8">
              <w:rPr>
                <w:b w:val="0"/>
              </w:rPr>
              <w:t xml:space="preserve"> </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3A2BCCA2" wp14:editId="3D562623">
                        <wp:extent cx="5262245" cy="2803525"/>
                        <wp:effectExtent l="0" t="0" r="0" b="0"/>
                        <wp:docPr id="96" name="Picture 96" descr="Figure 4.3 Benefits by size of superannuation balance. This chart shows the shares of income streams and lump sums across a range of superannuation balances. Overall, larger superannuation balances take a greater share of benefits are taken as an income stream . For instance, superannuation accounts valued at up to $50 000 take around 55 per cent of benefits as income streams compared to accounts valued at over $300 000, which take more than 90 per cent of benefits as income stre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r>
              <w:rPr>
                <w:rStyle w:val="NoteLabel"/>
              </w:rPr>
              <w:t>a</w:t>
            </w:r>
            <w:proofErr w:type="spellEnd"/>
            <w:r>
              <w:t xml:space="preserve"> Includes SMSFs. </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784A05">
              <w:rPr>
                <w:i/>
              </w:rPr>
              <w:t>Data source</w:t>
            </w:r>
            <w:r w:rsidRPr="00176D3F">
              <w:t xml:space="preserve">: </w:t>
            </w:r>
            <w:r>
              <w:t xml:space="preserve">Rice Warner </w:t>
            </w:r>
            <w:r w:rsidR="00F62614" w:rsidRPr="00F62614">
              <w:rPr>
                <w:rFonts w:cs="Arial"/>
              </w:rPr>
              <w:t>(2015)</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When individuals with low balances take a lump sum, they typically exhaust all of their superannuation savings (figure 4.4). In contrast to those with low balances, individuals with larger superannuation balances withdraw lump sums that are relatively small and in some cases less than 10 per cent of their balance (figure 4.5).</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4.</w:t>
            </w:r>
            <w:r>
              <w:rPr>
                <w:b w:val="0"/>
                <w:noProof/>
              </w:rPr>
              <w:t>4</w:t>
            </w:r>
            <w:r>
              <w:tab/>
              <w:t>Share of superannuation taken as a lump sum</w:t>
            </w:r>
            <w:r w:rsidRPr="00F02DEE">
              <w:rPr>
                <w:b w:val="0"/>
                <w:vertAlign w:val="superscript"/>
              </w:rPr>
              <w:t xml:space="preserve"> </w:t>
            </w:r>
            <w:proofErr w:type="spellStart"/>
            <w:r w:rsidRPr="007E164F">
              <w:rPr>
                <w:rStyle w:val="NoteLabel"/>
                <w:b/>
              </w:rPr>
              <w:t>a,b</w:t>
            </w:r>
            <w:r>
              <w:rPr>
                <w:rStyle w:val="NoteLabel"/>
                <w:b/>
              </w:rPr>
              <w:t>,c</w:t>
            </w:r>
            <w:proofErr w:type="spellEnd"/>
          </w:p>
          <w:p w:rsidR="007C51D1" w:rsidRPr="00176D3F" w:rsidRDefault="007C51D1" w:rsidP="005939B8">
            <w:pPr>
              <w:pStyle w:val="Subtitle"/>
            </w:pPr>
            <w:proofErr w:type="gramStart"/>
            <w:r>
              <w:t>by</w:t>
            </w:r>
            <w:proofErr w:type="gramEnd"/>
            <w:r>
              <w:t xml:space="preserve"> the median individual who has taken a lump sum aged 55 and over</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2D01EAE7" wp14:editId="3D9D5FC2">
                        <wp:extent cx="5262245" cy="2449830"/>
                        <wp:effectExtent l="0" t="0" r="0" b="7620"/>
                        <wp:docPr id="97" name="Picture 97" descr="Figure 4.4 Share of superannuation taken as a lump sum. This chart shows the percentage of superannuation assets taken as a lump sum. In general, the proportion of lump sums taken decreases as superannuation balances grow. The ‘middle person’ takes around 40 per cent of their superannuation as a lump sum. But there are differences in the amount of superannuation taken as a lump sum across a range of superannuation balances (separating the population into 5 groups based on the size of their superannuation assets). Around 20 per cent of people aged 55 and over have no superannuation. The next 20 per cent have up to $5000. The middle person in this group takes all of their superannuation as a lump sum. The middle 20 per cent have between $5000 and $28 000 in superannuation. A person in this group takes up to all of their superannuation as a lump sum. The next 20 per cent have between $28 000 and $81 000 in superannuation assets. The middle person in this group takes around 80 per cent of their superannuation as a lump sum. The top 20 per cent have more than $81000 in superannuation. Only around 10 per cent of superannuation is taken as a lump sum by the middle person in this grou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5262245" cy="244983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Quintiles of superannuation balances are calculated before the lump sum was taken. People who have not taken a lump sum are not included.</w:t>
            </w:r>
            <w:r>
              <w:rPr>
                <w:rStyle w:val="NoteLabel"/>
              </w:rPr>
              <w:t xml:space="preserve"> </w:t>
            </w:r>
            <w:proofErr w:type="gramStart"/>
            <w:r>
              <w:rPr>
                <w:rStyle w:val="NoteLabel"/>
              </w:rPr>
              <w:t>b</w:t>
            </w:r>
            <w:proofErr w:type="gramEnd"/>
            <w:r>
              <w:t xml:space="preserve"> Whiskers denote the interquartile range. </w:t>
            </w:r>
            <w:r>
              <w:rPr>
                <w:rStyle w:val="NoteLabel"/>
              </w:rPr>
              <w:t xml:space="preserve">c </w:t>
            </w:r>
            <w:r w:rsidRPr="00530176">
              <w:t>Quintiles were used to highlight that one</w:t>
            </w:r>
            <w:r>
              <w:noBreakHyphen/>
              <w:t>fifth of the population aged 55 years and over do not have superannuation balances and have not taken lump sums within the last two years.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Data s</w:t>
            </w:r>
            <w:r w:rsidRPr="00784A05">
              <w:rPr>
                <w:i/>
              </w:rPr>
              <w:t>ource</w:t>
            </w:r>
            <w:r w:rsidRPr="00176D3F">
              <w:t>:</w:t>
            </w:r>
            <w:r>
              <w:t xml:space="preserve"> </w:t>
            </w:r>
            <w:r w:rsidRPr="00F356B5">
              <w:t>Commission estimates based on ABS (</w:t>
            </w:r>
            <w:r w:rsidRPr="00F356B5">
              <w:rPr>
                <w:i/>
              </w:rPr>
              <w:t>Survey of Income and Housing, 2011</w:t>
            </w:r>
            <w:r>
              <w:rPr>
                <w:i/>
              </w:rPr>
              <w:noBreakHyphen/>
            </w:r>
            <w:r w:rsidRPr="00F356B5">
              <w:rPr>
                <w:i/>
              </w:rPr>
              <w:t>12</w:t>
            </w:r>
            <w:r>
              <w:t>, Cat. no. </w:t>
            </w:r>
            <w:r w:rsidRPr="00F356B5">
              <w:t>6553.0, basic CURF)</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4.</w:t>
            </w:r>
            <w:r>
              <w:rPr>
                <w:b w:val="0"/>
                <w:noProof/>
              </w:rPr>
              <w:t>5</w:t>
            </w:r>
            <w:r>
              <w:tab/>
              <w:t>Lump sums as a share of superannuation assets, 2011</w:t>
            </w:r>
            <w:r>
              <w:noBreakHyphen/>
              <w:t>12</w:t>
            </w:r>
            <w:r w:rsidRPr="007E164F">
              <w:rPr>
                <w:rStyle w:val="NoteLabel"/>
                <w:b/>
              </w:rPr>
              <w:t>a</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596F6606" wp14:editId="21A9D823">
                        <wp:extent cx="5260975" cy="2452370"/>
                        <wp:effectExtent l="0" t="0" r="0" b="5080"/>
                        <wp:docPr id="98" name="Picture 98" descr="Figure 4.5 Lump sums as a share of superannuation assets. This chart shows that people tend to take most of their superannuation or a small proportion of their superannuation as a lump sum. For example, just over 2 per cent of people aged 55 and above took up to 10 per cent of their superannuation assets as a lump sum, compared to around 3 per cent took between 90 and 100 per cent of their superannuation as a lump sum. Usually those taking the majority of their superannuation as a lump sum had smaller superannuation balan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260975" cy="245237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t xml:space="preserve"> Share of superannuation balance taken as a lump sum is calculated by dividing an individual’s lump sums by their superannuation balance before the lump sums were taken.</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Data s</w:t>
            </w:r>
            <w:r w:rsidRPr="00784A05">
              <w:rPr>
                <w:i/>
              </w:rPr>
              <w:t>ource</w:t>
            </w:r>
            <w:r w:rsidRPr="00176D3F">
              <w:t>:</w:t>
            </w:r>
            <w:r>
              <w:t xml:space="preserve"> </w:t>
            </w:r>
            <w:r w:rsidRPr="00F356B5">
              <w:t>Commission estimates based on ABS (</w:t>
            </w:r>
            <w:r w:rsidRPr="00F356B5">
              <w:rPr>
                <w:i/>
              </w:rPr>
              <w:t>Survey of Income and Housing, 2011</w:t>
            </w:r>
            <w:r>
              <w:rPr>
                <w:i/>
              </w:rPr>
              <w:noBreakHyphen/>
            </w:r>
            <w:r w:rsidRPr="00F356B5">
              <w:rPr>
                <w:i/>
              </w:rPr>
              <w:t>12</w:t>
            </w:r>
            <w:r>
              <w:t>, Cat. no. </w:t>
            </w:r>
            <w:r w:rsidRPr="00F356B5">
              <w:t>6553.0, basic CURF)</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3"/>
      </w:pPr>
      <w:r>
        <w:lastRenderedPageBreak/>
        <w:t xml:space="preserve">… </w:t>
      </w:r>
      <w:proofErr w:type="gramStart"/>
      <w:r>
        <w:t>but</w:t>
      </w:r>
      <w:proofErr w:type="gramEnd"/>
      <w:r>
        <w:t xml:space="preserve"> some take almost all of their superannuation as a lump sum</w:t>
      </w:r>
    </w:p>
    <w:p w:rsidR="007C51D1" w:rsidRDefault="007C51D1" w:rsidP="005939B8">
      <w:pPr>
        <w:pStyle w:val="BodyText"/>
      </w:pPr>
      <w:r>
        <w:t xml:space="preserve">Many different types of people take lump sums, but there are some groups of people who are more likely to withdraw a large proportion or the entirety of their superannuation as a lump sum. Those that take the bulk of their superannuation as a lump sum are often those who are: </w:t>
      </w:r>
    </w:p>
    <w:p w:rsidR="007C51D1" w:rsidRDefault="007C51D1" w:rsidP="005939B8">
      <w:pPr>
        <w:pStyle w:val="ListBullet"/>
      </w:pPr>
      <w:r>
        <w:t xml:space="preserve">women, particularly if they are single (figure 4.6) </w:t>
      </w:r>
    </w:p>
    <w:p w:rsidR="007C51D1" w:rsidRDefault="007C51D1" w:rsidP="005939B8">
      <w:pPr>
        <w:pStyle w:val="ListBullet"/>
      </w:pPr>
      <w:r>
        <w:t xml:space="preserve">members of low net wealth households (figure 4.7) </w:t>
      </w:r>
    </w:p>
    <w:p w:rsidR="007C51D1" w:rsidRDefault="007C51D1" w:rsidP="005939B8">
      <w:pPr>
        <w:pStyle w:val="ListBullet"/>
      </w:pPr>
      <w:proofErr w:type="gramStart"/>
      <w:r>
        <w:t>non</w:t>
      </w:r>
      <w:r>
        <w:noBreakHyphen/>
        <w:t>home</w:t>
      </w:r>
      <w:proofErr w:type="gramEnd"/>
      <w:r>
        <w:t xml:space="preserve"> owners (figure 4.8).</w:t>
      </w:r>
      <w:r>
        <w:rPr>
          <w:rStyle w:val="FootnoteReference"/>
        </w:rPr>
        <w:footnoteReference w:id="18"/>
      </w:r>
    </w:p>
    <w:p w:rsidR="007C51D1" w:rsidRDefault="007C51D1">
      <w:pPr>
        <w:pStyle w:val="BodyText"/>
      </w:pPr>
      <w:r>
        <w:t>However, as discussed in more detail in supplementary paper 2, these sections of the population had little superannuation to begin with.</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4.</w:t>
            </w:r>
            <w:r>
              <w:rPr>
                <w:b w:val="0"/>
                <w:noProof/>
              </w:rPr>
              <w:t>6</w:t>
            </w:r>
            <w:r>
              <w:tab/>
              <w:t>Share of superannuation balance taken as a lump sum, by age and gender, 2011</w:t>
            </w:r>
            <w:r>
              <w:noBreakHyphen/>
              <w:t>12</w:t>
            </w:r>
            <w:r w:rsidRPr="007E164F">
              <w:rPr>
                <w:rStyle w:val="NoteLabel"/>
                <w:b/>
              </w:rPr>
              <w:t>a</w:t>
            </w:r>
          </w:p>
          <w:p w:rsidR="007C51D1" w:rsidRPr="00176D3F" w:rsidRDefault="007C51D1" w:rsidP="005939B8">
            <w:pPr>
              <w:pStyle w:val="Subtitle"/>
            </w:pPr>
            <w:proofErr w:type="gramStart"/>
            <w:r>
              <w:t>by</w:t>
            </w:r>
            <w:proofErr w:type="gramEnd"/>
            <w:r>
              <w:t xml:space="preserve"> the median individual in a given household</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17008"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jc w:val="right"/>
                  </w:pPr>
                  <w:r>
                    <w:rPr>
                      <w:noProof/>
                    </w:rPr>
                    <w:drawing>
                      <wp:inline distT="0" distB="0" distL="0" distR="0" wp14:anchorId="0BD57608" wp14:editId="171DD70B">
                        <wp:extent cx="2695575" cy="2878455"/>
                        <wp:effectExtent l="0" t="0" r="9525" b="0"/>
                        <wp:docPr id="99" name="Picture 99" descr="Figure 4.6 Share of superannuation balance taken as a lump sum, by age and gender. This chart has two panels. On the left hand side, the chart shows the share of benefits taken as a lump sum across a range of ages by men and women. In general, women take more of their superannuation as a lump sum, regardless of their age. For men and women accessing their superannuation before the preservation age take most of their superannuation as a lump sum. Lump sums are also prevalent for those aged 55 59 years and those aged 65 69 years. The right hand side of the panel shows the share of benefits taken as a lump sum by those in a couple, single women and single men. Couples take the least amount of their assets as a lump sum (less than 20 per cent), while single women have the largest share (around 50 per 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695575" cy="2878455"/>
                                </a:xfrm>
                                <a:prstGeom prst="rect">
                                  <a:avLst/>
                                </a:prstGeom>
                                <a:noFill/>
                                <a:ln>
                                  <a:noFill/>
                                </a:ln>
                              </pic:spPr>
                            </pic:pic>
                          </a:graphicData>
                        </a:graphic>
                      </wp:inline>
                    </w:drawing>
                  </w:r>
                </w:p>
              </w:tc>
              <w:tc>
                <w:tcPr>
                  <w:tcW w:w="8504" w:type="dxa"/>
                  <w:tcBorders>
                    <w:top w:val="nil"/>
                    <w:bottom w:val="nil"/>
                  </w:tcBorders>
                </w:tcPr>
                <w:p w:rsidR="007C51D1" w:rsidRPr="00B37E4B" w:rsidDel="00846D9B" w:rsidRDefault="007C51D1" w:rsidP="005939B8">
                  <w:pPr>
                    <w:pStyle w:val="Figure"/>
                    <w:spacing w:before="60" w:after="60"/>
                    <w:jc w:val="left"/>
                    <w:rPr>
                      <w:noProof/>
                    </w:rPr>
                  </w:pPr>
                  <w:r>
                    <w:rPr>
                      <w:noProof/>
                    </w:rPr>
                    <w:drawing>
                      <wp:inline distT="0" distB="0" distL="0" distR="0" wp14:anchorId="6ECF7512" wp14:editId="27CB1699">
                        <wp:extent cx="2695575" cy="2878455"/>
                        <wp:effectExtent l="0" t="0" r="9525" b="0"/>
                        <wp:docPr id="100" name="Picture 100" descr="read previou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695575" cy="2878455"/>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gramStart"/>
            <w:r>
              <w:rPr>
                <w:rStyle w:val="NoteLabel"/>
              </w:rPr>
              <w:t>a</w:t>
            </w:r>
            <w:proofErr w:type="gramEnd"/>
            <w:r>
              <w:rPr>
                <w:rStyle w:val="NoteLabel"/>
              </w:rPr>
              <w:t xml:space="preserve"> </w:t>
            </w:r>
            <w:r>
              <w:t>Relative lump sums were calculated by dividing an individual’s lump sums by their superannuation balance before the lump sums were taken.</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Data s</w:t>
            </w:r>
            <w:r w:rsidRPr="00784A05">
              <w:rPr>
                <w:i/>
              </w:rPr>
              <w:t>ource</w:t>
            </w:r>
            <w:r w:rsidRPr="00176D3F">
              <w:t>:</w:t>
            </w:r>
            <w:r>
              <w:t xml:space="preserve"> </w:t>
            </w:r>
            <w:r w:rsidRPr="00F356B5">
              <w:t>Commission estimates based on ABS (</w:t>
            </w:r>
            <w:r w:rsidRPr="00F356B5">
              <w:rPr>
                <w:i/>
              </w:rPr>
              <w:t>Survey of Income and Housing, 2011</w:t>
            </w:r>
            <w:r>
              <w:rPr>
                <w:i/>
              </w:rPr>
              <w:noBreakHyphen/>
            </w:r>
            <w:r w:rsidRPr="00F356B5">
              <w:rPr>
                <w:i/>
              </w:rPr>
              <w:t>12</w:t>
            </w:r>
            <w:r>
              <w:t>, Cat. no. </w:t>
            </w:r>
            <w:r w:rsidRPr="00F356B5">
              <w:t>6553.0, basic CURF</w:t>
            </w:r>
            <w:r>
              <w:t>).</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pPr>
            <w:r w:rsidRPr="00784A05">
              <w:rPr>
                <w:b w:val="0"/>
              </w:rPr>
              <w:t xml:space="preserve">Figure </w:t>
            </w:r>
            <w:r>
              <w:rPr>
                <w:b w:val="0"/>
              </w:rPr>
              <w:t>4.</w:t>
            </w:r>
            <w:r>
              <w:rPr>
                <w:b w:val="0"/>
                <w:noProof/>
              </w:rPr>
              <w:t>7</w:t>
            </w:r>
            <w:r>
              <w:tab/>
              <w:t xml:space="preserve">Share of superannuation balance taken as a lump sum, by wealth </w:t>
            </w:r>
            <w:proofErr w:type="spellStart"/>
            <w:r>
              <w:t>groups</w:t>
            </w:r>
            <w:r w:rsidRPr="007E164F">
              <w:rPr>
                <w:vertAlign w:val="superscript"/>
              </w:rPr>
              <w:t>a,b</w:t>
            </w:r>
            <w:proofErr w:type="spellEnd"/>
          </w:p>
          <w:p w:rsidR="007C51D1" w:rsidRPr="00176D3F" w:rsidRDefault="007C51D1" w:rsidP="005939B8">
            <w:pPr>
              <w:pStyle w:val="Subtitle"/>
            </w:pPr>
            <w:proofErr w:type="gramStart"/>
            <w:r>
              <w:t>by</w:t>
            </w:r>
            <w:proofErr w:type="gramEnd"/>
            <w:r>
              <w:t xml:space="preserve"> the median household in a given wealth quartile </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352EA401" wp14:editId="59568B96">
                        <wp:extent cx="5263515" cy="2806700"/>
                        <wp:effectExtent l="0" t="0" r="0" b="0"/>
                        <wp:docPr id="101" name="Picture 101" descr="Figure 4.7 Share of superannuation balance taken as a lump sum, by wealth groups. This chart shows the percentage of benefits that are taken as a lump sum by different wealth groups. Low net wealth households take more of their benefits as a lump sum than wealthier households. In general, the share of assets taken as a lump sum has decreased over tim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5263515" cy="280670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Default="007C51D1" w:rsidP="005939B8">
            <w:pPr>
              <w:pStyle w:val="Note"/>
            </w:pPr>
            <w:proofErr w:type="gramStart"/>
            <w:r>
              <w:rPr>
                <w:rStyle w:val="NoteLabel"/>
              </w:rPr>
              <w:t>a</w:t>
            </w:r>
            <w:proofErr w:type="gramEnd"/>
            <w:r>
              <w:rPr>
                <w:rStyle w:val="NoteLabel"/>
              </w:rPr>
              <w:t xml:space="preserve"> </w:t>
            </w:r>
            <w:r>
              <w:t xml:space="preserve">Relative lump sums were calculated by dividing a household’s lump sums by its superannuation balance before the lump sums were taken. </w:t>
            </w:r>
            <w:r w:rsidRPr="00E65E6A">
              <w:rPr>
                <w:rStyle w:val="NoteLabel"/>
              </w:rPr>
              <w:t>b</w:t>
            </w:r>
            <w:r>
              <w:t xml:space="preserve"> Net wealth quartiles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54"/>
              <w:gridCol w:w="1463"/>
              <w:gridCol w:w="1884"/>
              <w:gridCol w:w="2095"/>
              <w:gridCol w:w="2091"/>
            </w:tblGrid>
            <w:tr w:rsidR="007C51D1" w:rsidTr="005939B8">
              <w:tc>
                <w:tcPr>
                  <w:tcW w:w="562" w:type="pct"/>
                  <w:tcBorders>
                    <w:top w:val="single" w:sz="4" w:space="0" w:color="B5B5B5" w:themeColor="accent4" w:themeShade="BF"/>
                    <w:bottom w:val="single" w:sz="4" w:space="0" w:color="B5B5B5" w:themeColor="accent4" w:themeShade="BF"/>
                  </w:tcBorders>
                </w:tcPr>
                <w:p w:rsidR="007C51D1" w:rsidRPr="00806E08" w:rsidRDefault="007C51D1" w:rsidP="005939B8">
                  <w:pPr>
                    <w:pStyle w:val="Note"/>
                    <w:rPr>
                      <w:i/>
                    </w:rPr>
                  </w:pPr>
                  <w:r>
                    <w:rPr>
                      <w:i/>
                    </w:rPr>
                    <w:t>Period</w:t>
                  </w:r>
                </w:p>
              </w:tc>
              <w:tc>
                <w:tcPr>
                  <w:tcW w:w="862" w:type="pct"/>
                  <w:tcBorders>
                    <w:top w:val="single" w:sz="4" w:space="0" w:color="B5B5B5" w:themeColor="accent4" w:themeShade="BF"/>
                    <w:bottom w:val="single" w:sz="4" w:space="0" w:color="B5B5B5" w:themeColor="accent4" w:themeShade="BF"/>
                  </w:tcBorders>
                </w:tcPr>
                <w:p w:rsidR="007C51D1" w:rsidRPr="00806E08" w:rsidRDefault="007C51D1" w:rsidP="005939B8">
                  <w:pPr>
                    <w:pStyle w:val="Note"/>
                    <w:rPr>
                      <w:i/>
                    </w:rPr>
                  </w:pPr>
                  <w:r>
                    <w:rPr>
                      <w:i/>
                    </w:rPr>
                    <w:t>Quartile 1</w:t>
                  </w:r>
                </w:p>
              </w:tc>
              <w:tc>
                <w:tcPr>
                  <w:tcW w:w="1110" w:type="pct"/>
                  <w:tcBorders>
                    <w:top w:val="single" w:sz="4" w:space="0" w:color="B5B5B5" w:themeColor="accent4" w:themeShade="BF"/>
                    <w:bottom w:val="single" w:sz="4" w:space="0" w:color="B5B5B5" w:themeColor="accent4" w:themeShade="BF"/>
                  </w:tcBorders>
                </w:tcPr>
                <w:p w:rsidR="007C51D1" w:rsidRPr="00806E08" w:rsidRDefault="007C51D1" w:rsidP="005939B8">
                  <w:pPr>
                    <w:pStyle w:val="Note"/>
                    <w:rPr>
                      <w:i/>
                    </w:rPr>
                  </w:pPr>
                  <w:r>
                    <w:rPr>
                      <w:i/>
                    </w:rPr>
                    <w:t>Quartile 2</w:t>
                  </w:r>
                </w:p>
              </w:tc>
              <w:tc>
                <w:tcPr>
                  <w:tcW w:w="1234" w:type="pct"/>
                  <w:tcBorders>
                    <w:top w:val="single" w:sz="4" w:space="0" w:color="B5B5B5" w:themeColor="accent4" w:themeShade="BF"/>
                    <w:bottom w:val="single" w:sz="4" w:space="0" w:color="B5B5B5" w:themeColor="accent4" w:themeShade="BF"/>
                  </w:tcBorders>
                </w:tcPr>
                <w:p w:rsidR="007C51D1" w:rsidRPr="00806E08" w:rsidRDefault="007C51D1" w:rsidP="005939B8">
                  <w:pPr>
                    <w:pStyle w:val="Note"/>
                    <w:rPr>
                      <w:i/>
                    </w:rPr>
                  </w:pPr>
                  <w:r>
                    <w:rPr>
                      <w:i/>
                    </w:rPr>
                    <w:t>Quartile 3</w:t>
                  </w:r>
                </w:p>
              </w:tc>
              <w:tc>
                <w:tcPr>
                  <w:tcW w:w="1232" w:type="pct"/>
                  <w:tcBorders>
                    <w:top w:val="single" w:sz="4" w:space="0" w:color="B5B5B5" w:themeColor="accent4" w:themeShade="BF"/>
                    <w:bottom w:val="single" w:sz="4" w:space="0" w:color="B5B5B5" w:themeColor="accent4" w:themeShade="BF"/>
                  </w:tcBorders>
                </w:tcPr>
                <w:p w:rsidR="007C51D1" w:rsidRDefault="007C51D1" w:rsidP="005939B8">
                  <w:pPr>
                    <w:pStyle w:val="Note"/>
                    <w:rPr>
                      <w:i/>
                    </w:rPr>
                  </w:pPr>
                  <w:r>
                    <w:rPr>
                      <w:i/>
                    </w:rPr>
                    <w:t>Quartile 4</w:t>
                  </w:r>
                </w:p>
              </w:tc>
            </w:tr>
            <w:tr w:rsidR="007C51D1" w:rsidTr="005939B8">
              <w:tc>
                <w:tcPr>
                  <w:tcW w:w="562" w:type="pct"/>
                  <w:tcBorders>
                    <w:top w:val="single" w:sz="4" w:space="0" w:color="B5B5B5" w:themeColor="accent4" w:themeShade="BF"/>
                  </w:tcBorders>
                </w:tcPr>
                <w:p w:rsidR="007C51D1" w:rsidRDefault="007C51D1" w:rsidP="005939B8">
                  <w:pPr>
                    <w:pStyle w:val="Note"/>
                    <w:rPr>
                      <w:szCs w:val="24"/>
                    </w:rPr>
                  </w:pPr>
                  <w:r>
                    <w:t>2003</w:t>
                  </w:r>
                  <w:r>
                    <w:noBreakHyphen/>
                    <w:t>04</w:t>
                  </w:r>
                </w:p>
              </w:tc>
              <w:tc>
                <w:tcPr>
                  <w:tcW w:w="862" w:type="pct"/>
                  <w:tcBorders>
                    <w:top w:val="single" w:sz="4" w:space="0" w:color="B5B5B5" w:themeColor="accent4" w:themeShade="BF"/>
                  </w:tcBorders>
                </w:tcPr>
                <w:p w:rsidR="007C51D1" w:rsidRDefault="007C51D1" w:rsidP="005939B8">
                  <w:pPr>
                    <w:pStyle w:val="Note"/>
                    <w:rPr>
                      <w:i/>
                    </w:rPr>
                  </w:pPr>
                  <w:r>
                    <w:t>Up to $109336</w:t>
                  </w:r>
                </w:p>
              </w:tc>
              <w:tc>
                <w:tcPr>
                  <w:tcW w:w="1110" w:type="pct"/>
                  <w:tcBorders>
                    <w:top w:val="single" w:sz="4" w:space="0" w:color="B5B5B5" w:themeColor="accent4" w:themeShade="BF"/>
                  </w:tcBorders>
                </w:tcPr>
                <w:p w:rsidR="007C51D1" w:rsidRDefault="007C51D1" w:rsidP="005939B8">
                  <w:pPr>
                    <w:pStyle w:val="Note"/>
                    <w:rPr>
                      <w:i/>
                    </w:rPr>
                  </w:pPr>
                  <w:r>
                    <w:t xml:space="preserve">$109 446 </w:t>
                  </w:r>
                  <w:r>
                    <w:noBreakHyphen/>
                    <w:t xml:space="preserve"> $296500</w:t>
                  </w:r>
                </w:p>
              </w:tc>
              <w:tc>
                <w:tcPr>
                  <w:tcW w:w="1234" w:type="pct"/>
                  <w:tcBorders>
                    <w:top w:val="single" w:sz="4" w:space="0" w:color="B5B5B5" w:themeColor="accent4" w:themeShade="BF"/>
                  </w:tcBorders>
                </w:tcPr>
                <w:p w:rsidR="007C51D1" w:rsidRDefault="007C51D1" w:rsidP="005939B8">
                  <w:pPr>
                    <w:pStyle w:val="Note"/>
                    <w:rPr>
                      <w:i/>
                    </w:rPr>
                  </w:pPr>
                  <w:r>
                    <w:t xml:space="preserve">$296 670 </w:t>
                  </w:r>
                  <w:r>
                    <w:noBreakHyphen/>
                    <w:t xml:space="preserve"> $566793</w:t>
                  </w:r>
                </w:p>
              </w:tc>
              <w:tc>
                <w:tcPr>
                  <w:tcW w:w="1232" w:type="pct"/>
                  <w:tcBorders>
                    <w:top w:val="single" w:sz="4" w:space="0" w:color="B5B5B5" w:themeColor="accent4" w:themeShade="BF"/>
                  </w:tcBorders>
                </w:tcPr>
                <w:p w:rsidR="007C51D1" w:rsidRDefault="007C51D1" w:rsidP="005939B8">
                  <w:pPr>
                    <w:pStyle w:val="Note"/>
                  </w:pPr>
                  <w:r>
                    <w:t>$566 943 and above</w:t>
                  </w:r>
                </w:p>
              </w:tc>
            </w:tr>
            <w:tr w:rsidR="007C51D1" w:rsidTr="005939B8">
              <w:tc>
                <w:tcPr>
                  <w:tcW w:w="562" w:type="pct"/>
                  <w:tcBorders>
                    <w:bottom w:val="single" w:sz="4" w:space="0" w:color="B5B5B5" w:themeColor="accent4" w:themeShade="BF"/>
                  </w:tcBorders>
                </w:tcPr>
                <w:p w:rsidR="007C51D1" w:rsidRDefault="007C51D1" w:rsidP="005939B8">
                  <w:pPr>
                    <w:pStyle w:val="Note"/>
                    <w:rPr>
                      <w:szCs w:val="24"/>
                    </w:rPr>
                  </w:pPr>
                  <w:r>
                    <w:t>2011</w:t>
                  </w:r>
                  <w:r>
                    <w:noBreakHyphen/>
                    <w:t>12</w:t>
                  </w:r>
                </w:p>
              </w:tc>
              <w:tc>
                <w:tcPr>
                  <w:tcW w:w="862" w:type="pct"/>
                  <w:tcBorders>
                    <w:bottom w:val="single" w:sz="4" w:space="0" w:color="B5B5B5" w:themeColor="accent4" w:themeShade="BF"/>
                  </w:tcBorders>
                </w:tcPr>
                <w:p w:rsidR="007C51D1" w:rsidRDefault="007C51D1" w:rsidP="005939B8">
                  <w:pPr>
                    <w:pStyle w:val="Note"/>
                    <w:rPr>
                      <w:i/>
                    </w:rPr>
                  </w:pPr>
                  <w:r>
                    <w:t>Up to $133308</w:t>
                  </w:r>
                </w:p>
              </w:tc>
              <w:tc>
                <w:tcPr>
                  <w:tcW w:w="1110" w:type="pct"/>
                  <w:tcBorders>
                    <w:bottom w:val="single" w:sz="4" w:space="0" w:color="B5B5B5" w:themeColor="accent4" w:themeShade="BF"/>
                  </w:tcBorders>
                </w:tcPr>
                <w:p w:rsidR="007C51D1" w:rsidRDefault="007C51D1" w:rsidP="005939B8">
                  <w:pPr>
                    <w:pStyle w:val="Note"/>
                    <w:rPr>
                      <w:i/>
                    </w:rPr>
                  </w:pPr>
                  <w:r>
                    <w:t xml:space="preserve">$133 373 </w:t>
                  </w:r>
                  <w:r>
                    <w:noBreakHyphen/>
                    <w:t xml:space="preserve"> $426480</w:t>
                  </w:r>
                </w:p>
              </w:tc>
              <w:tc>
                <w:tcPr>
                  <w:tcW w:w="1234" w:type="pct"/>
                  <w:tcBorders>
                    <w:bottom w:val="single" w:sz="4" w:space="0" w:color="B5B5B5" w:themeColor="accent4" w:themeShade="BF"/>
                  </w:tcBorders>
                </w:tcPr>
                <w:p w:rsidR="007C51D1" w:rsidRDefault="007C51D1" w:rsidP="005939B8">
                  <w:pPr>
                    <w:pStyle w:val="Note"/>
                    <w:rPr>
                      <w:i/>
                    </w:rPr>
                  </w:pPr>
                  <w:r>
                    <w:t xml:space="preserve">$426 763 </w:t>
                  </w:r>
                  <w:r>
                    <w:noBreakHyphen/>
                    <w:t xml:space="preserve"> $845433</w:t>
                  </w:r>
                </w:p>
              </w:tc>
              <w:tc>
                <w:tcPr>
                  <w:tcW w:w="1232" w:type="pct"/>
                  <w:tcBorders>
                    <w:bottom w:val="single" w:sz="4" w:space="0" w:color="B5B5B5" w:themeColor="accent4" w:themeShade="BF"/>
                  </w:tcBorders>
                </w:tcPr>
                <w:p w:rsidR="007C51D1" w:rsidRDefault="007C51D1" w:rsidP="005939B8">
                  <w:pPr>
                    <w:pStyle w:val="Note"/>
                  </w:pPr>
                  <w:r>
                    <w:t>$845 494 and above</w:t>
                  </w:r>
                </w:p>
              </w:tc>
            </w:tr>
          </w:tbl>
          <w:p w:rsidR="007C51D1" w:rsidRPr="00176D3F" w:rsidRDefault="007C51D1" w:rsidP="005939B8">
            <w:pPr>
              <w:pStyle w:val="Not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Data s</w:t>
            </w:r>
            <w:r w:rsidRPr="00784A05">
              <w:rPr>
                <w:i/>
              </w:rPr>
              <w:t>ource</w:t>
            </w:r>
            <w:r>
              <w:rPr>
                <w:i/>
              </w:rPr>
              <w:t>s</w:t>
            </w:r>
            <w:r w:rsidRPr="00176D3F">
              <w:t>:</w:t>
            </w:r>
            <w:r>
              <w:t xml:space="preserve"> </w:t>
            </w:r>
            <w:r w:rsidRPr="00F356B5">
              <w:t>Commission estimates based on ABS (</w:t>
            </w:r>
            <w:r w:rsidRPr="00F356B5">
              <w:rPr>
                <w:i/>
              </w:rPr>
              <w:t>Survey of Income and Housing, 2011</w:t>
            </w:r>
            <w:r>
              <w:rPr>
                <w:i/>
              </w:rPr>
              <w:noBreakHyphen/>
            </w:r>
            <w:r w:rsidRPr="00F356B5">
              <w:rPr>
                <w:i/>
              </w:rPr>
              <w:t>12</w:t>
            </w:r>
            <w:r>
              <w:t>, Cat. no. 650</w:t>
            </w:r>
            <w:r w:rsidRPr="00F356B5">
              <w:t>3.0, basic CURF</w:t>
            </w:r>
            <w:r>
              <w:t xml:space="preserve">; </w:t>
            </w:r>
            <w:r w:rsidRPr="003512DC">
              <w:rPr>
                <w:i/>
              </w:rPr>
              <w:t>Household Expenditure Survey, 2003</w:t>
            </w:r>
            <w:r w:rsidRPr="003512DC">
              <w:rPr>
                <w:i/>
              </w:rPr>
              <w:noBreakHyphen/>
              <w:t>04</w:t>
            </w:r>
            <w:r>
              <w:t>, Cat. no. 6503.0,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Default="007C51D1" w:rsidP="005939B8">
            <w:pPr>
              <w:pStyle w:val="FigureTitle"/>
              <w:rPr>
                <w:rStyle w:val="NoteLabel"/>
              </w:rPr>
            </w:pPr>
            <w:r w:rsidRPr="00784A05">
              <w:rPr>
                <w:b w:val="0"/>
              </w:rPr>
              <w:t xml:space="preserve">Figure </w:t>
            </w:r>
            <w:r>
              <w:rPr>
                <w:b w:val="0"/>
              </w:rPr>
              <w:t>4.</w:t>
            </w:r>
            <w:r>
              <w:rPr>
                <w:b w:val="0"/>
                <w:noProof/>
              </w:rPr>
              <w:t>8</w:t>
            </w:r>
            <w:r>
              <w:tab/>
              <w:t xml:space="preserve">Share of superannuation balance taken as a lump sum, by housing </w:t>
            </w:r>
            <w:proofErr w:type="spellStart"/>
            <w:r>
              <w:t>status</w:t>
            </w:r>
            <w:r w:rsidRPr="007E164F">
              <w:rPr>
                <w:vertAlign w:val="superscript"/>
              </w:rPr>
              <w:t>a</w:t>
            </w:r>
            <w:r>
              <w:rPr>
                <w:vertAlign w:val="superscript"/>
              </w:rPr>
              <w:t>,b</w:t>
            </w:r>
            <w:proofErr w:type="spellEnd"/>
            <w:r w:rsidRPr="007E164F">
              <w:rPr>
                <w:rStyle w:val="NoteLabel"/>
              </w:rPr>
              <w:t xml:space="preserve"> </w:t>
            </w:r>
          </w:p>
          <w:p w:rsidR="007C51D1" w:rsidRPr="00176D3F" w:rsidRDefault="007C51D1" w:rsidP="005939B8">
            <w:pPr>
              <w:pStyle w:val="Subtitle"/>
            </w:pPr>
            <w:proofErr w:type="gramStart"/>
            <w:r>
              <w:t>by</w:t>
            </w:r>
            <w:proofErr w:type="gramEnd"/>
            <w:r>
              <w:t xml:space="preserve"> the median household with a given home ownership status </w:t>
            </w:r>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6835CF6F" wp14:editId="7363BC46">
                        <wp:extent cx="5263515" cy="2806700"/>
                        <wp:effectExtent l="0" t="0" r="0" b="0"/>
                        <wp:docPr id="102" name="Picture 102" descr="Figure 4.8 Share of superannuation balance taken as a lump sum, by housing status. This chart shows the proportion of benefits taken as a lump sum by a household’s tenure. Outright owners take the least amount of their superannuation as a lump sum (around 30 per cent in 2003 04, falling to around 10 per cent in 2011 12) and renters take the largest proportion of their superannuation as a lump sum (nearly all of their superannuation in 2003-04 and around 60 per cent in 2011-12). Owners with mortgages sit in between outright owners and ren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5263515" cy="280670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7E37AF">
            <w:pPr>
              <w:pStyle w:val="Note"/>
            </w:pPr>
            <w:proofErr w:type="gramStart"/>
            <w:r>
              <w:rPr>
                <w:rStyle w:val="NoteLabel"/>
              </w:rPr>
              <w:t>a</w:t>
            </w:r>
            <w:proofErr w:type="gramEnd"/>
            <w:r>
              <w:rPr>
                <w:rStyle w:val="NoteLabel"/>
              </w:rPr>
              <w:t xml:space="preserve"> </w:t>
            </w:r>
            <w:r>
              <w:t xml:space="preserve">Relative lump sums were calculated by dividing a household’s lump sums by its superannuation balance before the lump sums were taken. </w:t>
            </w:r>
            <w:proofErr w:type="gramStart"/>
            <w:r w:rsidRPr="003512DC">
              <w:rPr>
                <w:rStyle w:val="NoteLabel"/>
              </w:rPr>
              <w:t>b</w:t>
            </w:r>
            <w:proofErr w:type="gramEnd"/>
            <w:r>
              <w:rPr>
                <w:rStyle w:val="NoteLabel"/>
              </w:rPr>
              <w:t xml:space="preserve"> </w:t>
            </w:r>
            <w:r>
              <w:t xml:space="preserve">The timing of the survey means that it is difficult to observe whether owner occupiers had that status for the entire period or whether they had mortgages and used their lump sum to pay it off completely — thereby becoming </w:t>
            </w:r>
            <w:r w:rsidR="007E37AF">
              <w:t>outright owners</w:t>
            </w:r>
            <w:r>
              <w:t>.</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Data s</w:t>
            </w:r>
            <w:r w:rsidRPr="00784A05">
              <w:rPr>
                <w:i/>
              </w:rPr>
              <w:t>ource</w:t>
            </w:r>
            <w:r>
              <w:rPr>
                <w:i/>
              </w:rPr>
              <w:t>s</w:t>
            </w:r>
            <w:r w:rsidRPr="00176D3F">
              <w:t>:</w:t>
            </w:r>
            <w:r>
              <w:t xml:space="preserve"> </w:t>
            </w:r>
            <w:r w:rsidRPr="00F356B5">
              <w:t>Commission estimates based on ABS (</w:t>
            </w:r>
            <w:r w:rsidRPr="00F356B5">
              <w:rPr>
                <w:i/>
              </w:rPr>
              <w:t>Survey of Income and Housing, 2011</w:t>
            </w:r>
            <w:r>
              <w:rPr>
                <w:i/>
              </w:rPr>
              <w:noBreakHyphen/>
            </w:r>
            <w:r w:rsidRPr="00F356B5">
              <w:rPr>
                <w:i/>
              </w:rPr>
              <w:t>12</w:t>
            </w:r>
            <w:r>
              <w:t>, Cat. no. </w:t>
            </w:r>
            <w:r w:rsidRPr="00F356B5">
              <w:t>6553.0, basic CURF</w:t>
            </w:r>
            <w:r>
              <w:t xml:space="preserve">; </w:t>
            </w:r>
            <w:r w:rsidRPr="00F356B5">
              <w:rPr>
                <w:i/>
              </w:rPr>
              <w:t>Household Expenditure Survey, 2003</w:t>
            </w:r>
            <w:r w:rsidRPr="00F356B5">
              <w:rPr>
                <w:i/>
              </w:rPr>
              <w:noBreakHyphen/>
              <w:t>04</w:t>
            </w:r>
            <w:r>
              <w:t>, Cat. no. 6503.0,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2"/>
      </w:pPr>
      <w:r>
        <w:t>4.</w:t>
      </w:r>
      <w:r>
        <w:rPr>
          <w:noProof/>
        </w:rPr>
        <w:t>3</w:t>
      </w:r>
      <w:r>
        <w:tab/>
        <w:t>How are lump sums being used?</w:t>
      </w:r>
    </w:p>
    <w:p w:rsidR="007C51D1" w:rsidRDefault="007C51D1" w:rsidP="005939B8">
      <w:pPr>
        <w:pStyle w:val="BodyText"/>
      </w:pPr>
      <w:r>
        <w:t>Another concern about lump sum behaviour is that individuals use their lump sum to fund ‘once</w:t>
      </w:r>
      <w:r>
        <w:noBreakHyphen/>
        <w:t>off’ recreational activities that provide no long</w:t>
      </w:r>
      <w:r>
        <w:noBreakHyphen/>
        <w:t xml:space="preserve">term benefits. Surveys that ask respondents to list how they spent their lump sums provide some insight into how lump sums are used. </w:t>
      </w:r>
    </w:p>
    <w:p w:rsidR="007C51D1" w:rsidRDefault="007C51D1" w:rsidP="005939B8">
      <w:pPr>
        <w:pStyle w:val="BodyText"/>
      </w:pPr>
      <w:r>
        <w:t xml:space="preserve">Repeated surveys provide strong evidence to indicate that many retirees are using the flexibility afforded by the superannuation system in a prudent and considered manner. Retirees are largely spending their lump sums on goods and services that will play a role in raising their standard of living over their retirement. Results from the ABS’ </w:t>
      </w:r>
      <w:r w:rsidRPr="007D3ABB">
        <w:rPr>
          <w:i/>
        </w:rPr>
        <w:t>Retirement and Retirement Intentions</w:t>
      </w:r>
      <w:r>
        <w:t xml:space="preserve"> </w:t>
      </w:r>
      <w:r w:rsidRPr="00E35272">
        <w:rPr>
          <w:i/>
        </w:rPr>
        <w:t>Survey</w:t>
      </w:r>
      <w:r>
        <w:t xml:space="preserve"> suggest that around one quarter of lump sums taken </w:t>
      </w:r>
      <w:proofErr w:type="gramStart"/>
      <w:r>
        <w:t>are</w:t>
      </w:r>
      <w:proofErr w:type="gramEnd"/>
      <w:r>
        <w:t xml:space="preserve"> used to repay mortgages, purchase new homes or make home improvements (figure 4.9). In a further 20 per cent of cases, lump sums are used to purchase or pay off a car or to retire debt. Given the characteristics of people who take most of their superannuation savings as a lump sum — single women, renters and those with little wealth — having access to lump </w:t>
      </w:r>
      <w:r>
        <w:lastRenderedPageBreak/>
        <w:t>sums may be one of the few opportunities they have to make purchases or payments of this kind.</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4.</w:t>
            </w:r>
            <w:r>
              <w:rPr>
                <w:b w:val="0"/>
                <w:noProof/>
              </w:rPr>
              <w:t>9</w:t>
            </w:r>
            <w:r>
              <w:tab/>
              <w:t xml:space="preserve">Main uses of superannuation lump </w:t>
            </w:r>
            <w:r w:rsidRPr="007E164F">
              <w:t>sums</w:t>
            </w:r>
            <w:r>
              <w:t>, 2012</w:t>
            </w:r>
            <w:r>
              <w:noBreakHyphen/>
              <w:t>13</w:t>
            </w:r>
            <w:proofErr w:type="spellStart"/>
            <w:r w:rsidRPr="007E164F">
              <w:rPr>
                <w:rStyle w:val="NoteLabel"/>
                <w:b/>
              </w:rPr>
              <w:t>a,b,c</w:t>
            </w:r>
            <w:proofErr w:type="spellEnd"/>
          </w:p>
        </w:tc>
      </w:tr>
      <w:tr w:rsidR="007C51D1" w:rsidTr="005939B8">
        <w:trPr>
          <w:trHeight w:val="7583"/>
        </w:trPr>
        <w:tc>
          <w:tcPr>
            <w:tcW w:w="8771" w:type="dxa"/>
            <w:tcBorders>
              <w:top w:val="nil"/>
              <w:left w:val="nil"/>
              <w:bottom w:val="nil"/>
              <w:right w:val="nil"/>
            </w:tcBorders>
            <w:shd w:val="clear" w:color="auto" w:fill="auto"/>
            <w:tcMar>
              <w:top w:w="28" w:type="dxa"/>
              <w:bottom w:w="28" w:type="dxa"/>
            </w:tcMar>
          </w:tcPr>
          <w:tbl>
            <w:tblPr>
              <w:tblW w:w="8511"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11"/>
            </w:tblGrid>
            <w:tr w:rsidR="007C51D1" w:rsidTr="005939B8">
              <w:trPr>
                <w:trHeight w:val="7404"/>
                <w:jc w:val="center"/>
              </w:trPr>
              <w:tc>
                <w:tcPr>
                  <w:tcW w:w="8511" w:type="dxa"/>
                  <w:tcBorders>
                    <w:top w:val="nil"/>
                    <w:bottom w:val="nil"/>
                  </w:tcBorders>
                </w:tcPr>
                <w:p w:rsidR="007C51D1" w:rsidRDefault="007C51D1" w:rsidP="005939B8">
                  <w:pPr>
                    <w:pStyle w:val="Figure"/>
                    <w:spacing w:before="60" w:after="60"/>
                  </w:pPr>
                  <w:r>
                    <w:rPr>
                      <w:noProof/>
                    </w:rPr>
                    <w:drawing>
                      <wp:inline distT="0" distB="0" distL="0" distR="0" wp14:anchorId="543AB94C" wp14:editId="6BE379CA">
                        <wp:extent cx="5263515" cy="4667250"/>
                        <wp:effectExtent l="0" t="0" r="0" b="0"/>
                        <wp:docPr id="103" name="Picture 103" descr="Figure 4.9 Main uses of superannuation lump sums, 2012-13. This chart shows the main uses of lump sums as a percentage of all lump sums taken. Around 25 per cent of lump sums were used to pay off a home/pay for home improvements/buy a new home. Another 18 per cent of lump sums were invested/deposited in the bank. A further 15 per cent were rolled over into superannuation income stream products. Less than 15 per cent of lump sums had been used in other ways or their use was still undecided. Just over 10 per cent of lump sums were used to pay off other debts. Under 10 per cent of lump sums were used to purchase a car. Nearly 10 per cent of lump sums were also used to pay for a holiday. Less than 5 per cent of lump sums were used to assist family members. About 2 per cent of lump sums were used to purchase an immediate annu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5263515" cy="466725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r>
              <w:rPr>
                <w:rStyle w:val="NoteLabel"/>
              </w:rPr>
              <w:t>a</w:t>
            </w:r>
            <w:proofErr w:type="spellEnd"/>
            <w:r>
              <w:t xml:space="preserve"> The base is the total number of uses of lump sums rather than the number of people taking lump sums, which is used by Rothman and Wang </w:t>
            </w:r>
            <w:r w:rsidR="00F62614" w:rsidRPr="00F62614">
              <w:rPr>
                <w:rFonts w:cs="Arial"/>
              </w:rPr>
              <w:t>(2013)</w:t>
            </w:r>
            <w:r>
              <w:t xml:space="preserve">. These bases differ because a lump sum can have multiple uses and people can take more than one lump sum. </w:t>
            </w:r>
            <w:proofErr w:type="gramStart"/>
            <w:r w:rsidRPr="00085CF7">
              <w:rPr>
                <w:rStyle w:val="NoteLabel"/>
              </w:rPr>
              <w:t>b</w:t>
            </w:r>
            <w:proofErr w:type="gramEnd"/>
            <w:r>
              <w:t xml:space="preserve"> Main uses have not changed significantly since 2004</w:t>
            </w:r>
            <w:r>
              <w:noBreakHyphen/>
              <w:t xml:space="preserve">05. </w:t>
            </w:r>
            <w:proofErr w:type="gramStart"/>
            <w:r>
              <w:rPr>
                <w:rStyle w:val="NoteLabel"/>
              </w:rPr>
              <w:t>c</w:t>
            </w:r>
            <w:proofErr w:type="gramEnd"/>
            <w:r>
              <w:rPr>
                <w:rStyle w:val="NoteLabel"/>
              </w:rPr>
              <w:t xml:space="preserve"> </w:t>
            </w:r>
            <w:r w:rsidRPr="00F9670B">
              <w:t xml:space="preserve">The </w:t>
            </w:r>
            <w:r w:rsidRPr="008565B8">
              <w:t>category of</w:t>
            </w:r>
            <w:r>
              <w:rPr>
                <w:rStyle w:val="NoteLabel"/>
              </w:rPr>
              <w:t xml:space="preserve"> </w:t>
            </w:r>
            <w:r w:rsidRPr="008565B8">
              <w:t xml:space="preserve">‘Other’ </w:t>
            </w:r>
            <w:r>
              <w:t xml:space="preserve">was added to ‘Undecided/don’t know’ because it appears in past releases of the </w:t>
            </w:r>
            <w:r>
              <w:rPr>
                <w:i/>
              </w:rPr>
              <w:t xml:space="preserve">Retirement and Retirement Intentions </w:t>
            </w:r>
            <w:r>
              <w:t>survey. ‘Other’ typically accounts for around 10 per cent of lump sums taken.</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Data s</w:t>
            </w:r>
            <w:r w:rsidRPr="00784A05">
              <w:rPr>
                <w:i/>
              </w:rPr>
              <w:t>ource</w:t>
            </w:r>
            <w:r w:rsidRPr="00176D3F">
              <w:t>:</w:t>
            </w:r>
            <w:r>
              <w:t xml:space="preserve"> ABS (</w:t>
            </w:r>
            <w:r w:rsidRPr="003512DC">
              <w:rPr>
                <w:i/>
              </w:rPr>
              <w:t>Retirement and Retirement Intentions</w:t>
            </w:r>
            <w:r>
              <w:rPr>
                <w:i/>
              </w:rPr>
              <w:t>, Australia, June 2012 to June 2013</w:t>
            </w:r>
            <w:r w:rsidRPr="003512DC">
              <w:rPr>
                <w:i/>
              </w:rPr>
              <w:t>,</w:t>
            </w:r>
            <w:r>
              <w:t xml:space="preserve"> Cat. no.  6283.0).</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Not all lump sums are immediately spent, some are invested. Over 30 per cent of lump sums have been used to purchase financial assets. And in some cases where investments were not made, it was due to individuals perceiving that they had insufficient superannuation savings to make such an investment worthwhile.</w:t>
      </w:r>
    </w:p>
    <w:p w:rsidR="007C51D1" w:rsidRDefault="007C51D1" w:rsidP="005939B8">
      <w:pPr>
        <w:pStyle w:val="Quote"/>
      </w:pPr>
      <w:r>
        <w:lastRenderedPageBreak/>
        <w:t>Those respondents who did not make an investment in retirement income products were asked what was behind that decision. Of those that answered, the leading answers were not having enough funds to invest (29 per cent), wanting</w:t>
      </w:r>
      <w:proofErr w:type="gramStart"/>
      <w:r>
        <w:t>/[</w:t>
      </w:r>
      <w:proofErr w:type="gramEnd"/>
      <w:r>
        <w:t xml:space="preserve">needing] money for short term consumption (16 per cent) and preferring to repay debt (10 per cent). </w:t>
      </w:r>
      <w:r w:rsidR="00F62614" w:rsidRPr="00F62614">
        <w:rPr>
          <w:szCs w:val="24"/>
        </w:rPr>
        <w:t>(</w:t>
      </w:r>
      <w:proofErr w:type="spellStart"/>
      <w:r w:rsidR="00F62614" w:rsidRPr="00F62614">
        <w:rPr>
          <w:szCs w:val="24"/>
        </w:rPr>
        <w:t>Vidler</w:t>
      </w:r>
      <w:proofErr w:type="spellEnd"/>
      <w:r w:rsidR="00F62614" w:rsidRPr="00F62614">
        <w:rPr>
          <w:szCs w:val="24"/>
        </w:rPr>
        <w:t> 2010, p. 14)</w:t>
      </w:r>
    </w:p>
    <w:p w:rsidR="007C51D1" w:rsidRDefault="007C51D1" w:rsidP="005939B8">
      <w:pPr>
        <w:pStyle w:val="BodyText"/>
      </w:pPr>
      <w:r>
        <w:t xml:space="preserve">Use of lump sums also varies by age. People aged </w:t>
      </w:r>
      <w:proofErr w:type="gramStart"/>
      <w:r>
        <w:t>under</w:t>
      </w:r>
      <w:proofErr w:type="gramEnd"/>
      <w:r>
        <w:t xml:space="preserve"> 60 years who take lump sums are more likely to pay down debt, while those aged over 60 years are more likely to invest their lump sum. The propensity to take a lump sum to go on a holiday remains almost constant across ages </w:t>
      </w:r>
      <w:r w:rsidR="00F62614" w:rsidRPr="00F62614">
        <w:rPr>
          <w:szCs w:val="24"/>
        </w:rPr>
        <w:t>(Rice Warner 2015)</w:t>
      </w:r>
      <w:r>
        <w:t>.</w:t>
      </w:r>
    </w:p>
    <w:p w:rsidR="007C51D1" w:rsidRDefault="007C51D1" w:rsidP="005939B8">
      <w:pPr>
        <w:pStyle w:val="Heading3"/>
      </w:pPr>
      <w:r>
        <w:t>Lump sums do not appear to encourage people to take on more debt</w:t>
      </w:r>
    </w:p>
    <w:p w:rsidR="007C51D1" w:rsidRDefault="007C51D1" w:rsidP="005939B8">
      <w:pPr>
        <w:pStyle w:val="BodyText"/>
      </w:pPr>
      <w:r w:rsidRPr="008565B8">
        <w:t xml:space="preserve">It is argued that using lump sums to repay debt is </w:t>
      </w:r>
      <w:r w:rsidRPr="00554D61">
        <w:t>financially</w:t>
      </w:r>
      <w:r>
        <w:t xml:space="preserve"> sound when the costs of sustaining debt exceed the returns that could be earned if superannuation savings were reinvested.</w:t>
      </w:r>
    </w:p>
    <w:p w:rsidR="007C51D1" w:rsidRDefault="007C51D1" w:rsidP="005939B8">
      <w:pPr>
        <w:pStyle w:val="Quote"/>
      </w:pPr>
      <w:r>
        <w:t xml:space="preserve">Repaying loans on retirement is logical as borrowing costs are usually higher than the returns that can be obtained. This means for most retirees they are better off using their savings to reduce their debt rather than continuing to service their loans and investing their savings. </w:t>
      </w:r>
      <w:r w:rsidR="00F62614" w:rsidRPr="00F62614">
        <w:rPr>
          <w:szCs w:val="24"/>
        </w:rPr>
        <w:t>(CPA Australia 2012, p. 31)</w:t>
      </w:r>
    </w:p>
    <w:p w:rsidR="007C51D1" w:rsidRDefault="007C51D1" w:rsidP="005939B8">
      <w:pPr>
        <w:pStyle w:val="BodyText"/>
      </w:pPr>
      <w:r w:rsidRPr="00554D61">
        <w:t>But some have gone on to ask whether</w:t>
      </w:r>
      <w:r>
        <w:t xml:space="preserve"> being able to use lump sums in this way encourages households to take on greater debt and more risk, particularly debt relating to the family home and investment properties.</w:t>
      </w:r>
    </w:p>
    <w:p w:rsidR="007C51D1" w:rsidRDefault="007C51D1" w:rsidP="005939B8">
      <w:pPr>
        <w:pStyle w:val="Quote"/>
      </w:pPr>
      <w:r>
        <w:t xml:space="preserve">We have already seen that while superannuation has been growing, so has debt, and for homeowners [those with or without a mortgage] the levels of debt can exceed their accumulated superannuation. … Analysis by type of debt shows that home mortgages and rental property debt are the major areas in which debt is increasing. </w:t>
      </w:r>
      <w:r w:rsidR="00F62614" w:rsidRPr="00F62614">
        <w:rPr>
          <w:szCs w:val="24"/>
        </w:rPr>
        <w:t>(CPA Australia 2012, p. 33)</w:t>
      </w:r>
    </w:p>
    <w:p w:rsidR="007C51D1" w:rsidRDefault="007C51D1" w:rsidP="005939B8">
      <w:pPr>
        <w:pStyle w:val="BodyText"/>
      </w:pPr>
      <w:r>
        <w:t xml:space="preserve">A detailed study of superannuation and housing debt by Bray </w:t>
      </w:r>
      <w:r w:rsidR="00F62614" w:rsidRPr="00F62614">
        <w:t>(2013)</w:t>
      </w:r>
      <w:r>
        <w:t xml:space="preserve"> found no systemic evidence of lump sums being used to offset mortgages and that Australians who carry mortgages into later stages of life have the means to sustain this debt, including through continued workforce participation. </w:t>
      </w:r>
    </w:p>
    <w:p w:rsidR="007C51D1" w:rsidRDefault="007C51D1" w:rsidP="005939B8">
      <w:pPr>
        <w:pStyle w:val="BodyText"/>
      </w:pPr>
      <w:r>
        <w:t xml:space="preserve">The Commission has also found evidence of individuals seeking to pay off debt </w:t>
      </w:r>
      <w:r w:rsidRPr="008E68FE">
        <w:rPr>
          <w:i/>
        </w:rPr>
        <w:t>before</w:t>
      </w:r>
      <w:r>
        <w:t xml:space="preserve"> they retire (and draw down their superannuation), with some significantly increasing their debt repayments (including on the family home). While some stakeholders expressed concern about the accumulation of investment property debt, the Commission found that individuals typically tend to draw on the equity in their investment properties prior to </w:t>
      </w:r>
      <w:r w:rsidRPr="00496E12">
        <w:t>retirement (</w:t>
      </w:r>
      <w:r>
        <w:t>supplementary paper 2</w:t>
      </w:r>
      <w:r w:rsidRPr="00496E12">
        <w:t xml:space="preserve">). </w:t>
      </w:r>
    </w:p>
    <w:p w:rsidR="007C51D1" w:rsidRDefault="007C51D1">
      <w:pPr>
        <w:rPr>
          <w:szCs w:val="20"/>
        </w:rPr>
      </w:pPr>
      <w:r>
        <w:br w:type="page"/>
      </w:r>
    </w:p>
    <w:p w:rsidR="007C51D1" w:rsidRDefault="007C51D1" w:rsidP="005939B8">
      <w:pPr>
        <w:pStyle w:val="BodyText"/>
      </w:pPr>
      <w:r>
        <w:lastRenderedPageBreak/>
        <w:t xml:space="preserve">More broadly, </w:t>
      </w:r>
      <w:r w:rsidRPr="00496E12">
        <w:t>Rothman</w:t>
      </w:r>
      <w:r>
        <w:t xml:space="preserve"> and Wang </w:t>
      </w:r>
      <w:r w:rsidR="00F62614" w:rsidRPr="00F62614">
        <w:t>(2013)</w:t>
      </w:r>
      <w:r>
        <w:t xml:space="preserve"> argue that the net impact of debt on retirement living standards is decreasing, even though there is a tendency for lump sums to be used to retire debt:</w:t>
      </w:r>
    </w:p>
    <w:p w:rsidR="007C51D1" w:rsidRDefault="007C51D1" w:rsidP="005939B8">
      <w:pPr>
        <w:pStyle w:val="Quote"/>
      </w:pPr>
      <w:r>
        <w:t xml:space="preserve"> … in most cases this leaves significant amounts to invest to generate retirement incomes [and] … the significance of debt as a negative factor in determining adequacy is reducing rather than rising. </w:t>
      </w:r>
      <w:r w:rsidR="00F62614" w:rsidRPr="00F62614">
        <w:rPr>
          <w:szCs w:val="24"/>
        </w:rPr>
        <w:t>(2013, p. 22)</w:t>
      </w:r>
      <w:r w:rsidRPr="000369D6">
        <w:t xml:space="preserve"> </w:t>
      </w:r>
    </w:p>
    <w:p w:rsidR="007C51D1" w:rsidRDefault="007C51D1" w:rsidP="005939B8">
      <w:pPr>
        <w:pStyle w:val="Heading3"/>
      </w:pPr>
      <w:r>
        <w:t>Spending patterns differ for those who take lump sums</w:t>
      </w:r>
    </w:p>
    <w:p w:rsidR="007C51D1" w:rsidRDefault="007C51D1" w:rsidP="005939B8">
      <w:pPr>
        <w:pStyle w:val="BodyText"/>
      </w:pPr>
      <w:r>
        <w:t>D</w:t>
      </w:r>
      <w:r w:rsidRPr="001268CB">
        <w:t>ifferences in the expenditure patterns of households that have and have not taken a lump sum</w:t>
      </w:r>
      <w:r>
        <w:t xml:space="preserve"> can provide a broader perspective on how retirees use their income (including from, but not limited to, lump sums)</w:t>
      </w:r>
      <w:r w:rsidRPr="001268CB">
        <w:t>.</w:t>
      </w:r>
      <w:r>
        <w:t xml:space="preserve"> An analysis of expenditure patterns </w:t>
      </w:r>
      <w:r w:rsidRPr="001268CB">
        <w:t xml:space="preserve">cannot </w:t>
      </w:r>
      <w:r w:rsidRPr="00F13998">
        <w:rPr>
          <w:i/>
        </w:rPr>
        <w:t>directly</w:t>
      </w:r>
      <w:r>
        <w:t xml:space="preserve"> show how lump sums were spent, a</w:t>
      </w:r>
      <w:r w:rsidRPr="001268CB">
        <w:t xml:space="preserve">nd </w:t>
      </w:r>
      <w:r>
        <w:t xml:space="preserve">any </w:t>
      </w:r>
      <w:r w:rsidRPr="001268CB">
        <w:t>differences in expenditure patterns could be explained by other factors including demographic characteristics and</w:t>
      </w:r>
      <w:r>
        <w:t xml:space="preserve"> the</w:t>
      </w:r>
      <w:r w:rsidRPr="001268CB">
        <w:t xml:space="preserve"> levels of wealth of </w:t>
      </w:r>
      <w:r>
        <w:t xml:space="preserve">those that used a </w:t>
      </w:r>
      <w:r w:rsidRPr="001268CB">
        <w:t>lump sum.</w:t>
      </w:r>
      <w:r w:rsidRPr="00265ED2">
        <w:rPr>
          <w:rStyle w:val="FootnoteReference"/>
        </w:rPr>
        <w:footnoteReference w:id="19"/>
      </w:r>
      <w:r w:rsidRPr="001268CB">
        <w:t xml:space="preserve"> </w:t>
      </w:r>
    </w:p>
    <w:p w:rsidR="007C51D1" w:rsidRDefault="007C51D1" w:rsidP="005939B8">
      <w:pPr>
        <w:pStyle w:val="BodyText"/>
      </w:pPr>
      <w:r>
        <w:t xml:space="preserve">The Commission compared the expenditure patterns of all people who take a lump sum (which includes people across the wealth spectrum) with those who have not taken a lump sum (figure 4.10). The Commission also examined whether the expenditure patterns of people who take almost (if not) all of their superannuation as a lump sum were different to those who took a small lump sum or did not take a lump sum. </w:t>
      </w:r>
    </w:p>
    <w:p w:rsidR="007C51D1" w:rsidRDefault="007C51D1" w:rsidP="005939B8">
      <w:pPr>
        <w:pStyle w:val="BodyText"/>
      </w:pPr>
      <w:r>
        <w:t xml:space="preserve">The analysis reveals that people who take lump sums have a lower overall level of spending compared to people who do not take lump sums. Those who take lump sums spend a greater share of their total weekly expenditure on furnishing their homes and around the same proportion on recreational activities when compared to those that did not take a lump sum. Expenditure patterns of those who take most (if not all) of their superannuation as a lump sum — people who tend to be in the lowest net wealth quartile — spend a large share of their weekly budget on ‘the essentials’ such as rent, personal care items and power.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4.</w:t>
            </w:r>
            <w:r>
              <w:rPr>
                <w:b w:val="0"/>
                <w:noProof/>
              </w:rPr>
              <w:t>10</w:t>
            </w:r>
            <w:r>
              <w:tab/>
              <w:t>Expenditure patterns of those taking lump sums, 2009</w:t>
            </w:r>
            <w:r>
              <w:noBreakHyphen/>
              <w:t>10</w:t>
            </w:r>
            <w:proofErr w:type="spellStart"/>
            <w:r w:rsidRPr="003003A0">
              <w:rPr>
                <w:rStyle w:val="NoteLabel"/>
                <w:b/>
              </w:rPr>
              <w:t>a,b</w:t>
            </w:r>
            <w:proofErr w:type="spellEnd"/>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7C51D1" w:rsidTr="005939B8">
              <w:trPr>
                <w:jc w:val="center"/>
              </w:trPr>
              <w:tc>
                <w:tcPr>
                  <w:tcW w:w="5000" w:type="pct"/>
                  <w:tcBorders>
                    <w:top w:val="nil"/>
                    <w:bottom w:val="nil"/>
                  </w:tcBorders>
                </w:tcPr>
                <w:p w:rsidR="007C51D1" w:rsidRDefault="00530C1D" w:rsidP="005939B8">
                  <w:pPr>
                    <w:pStyle w:val="Figure"/>
                    <w:spacing w:before="60" w:after="60"/>
                  </w:pPr>
                  <w:r>
                    <w:rPr>
                      <w:noProof/>
                    </w:rPr>
                    <w:drawing>
                      <wp:inline distT="0" distB="0" distL="0" distR="0">
                        <wp:extent cx="5267960" cy="3105150"/>
                        <wp:effectExtent l="0" t="0" r="8890" b="0"/>
                        <wp:docPr id="222" name="Picture 222" descr="Figure 4.10 Expenditure patterns of those taking lump sums, 2009-10. This figure presents some information on the spending habits of those who take lump sums compared to those who do not. Those who have taken a lump sum of any value on average have a lower level of weekly spending and, as a share of their total weekly spending, compared to those that did not take a lump sum, they:&#10;&#10;spend more on furnishings and equipment for their homes&#10;spend less on alcohol and tobacco&#10;spending almost the same on mortgage repayments&#10;spend almost the same on recreation.&#10;&#10;Those who take between 90-100 per cent of their superannuation as a lump sum have markedly different spending patterns to those who either took a small lump sum or took no lump sum. Those who took most of their superannuation as a lump sum:&#10;&#10;had a much lower level of weekly spending&#10;spent more on current housing costs including paying rent&#10;spent more making home improvements and purchasing furniture and housing equipment&#10;spent more on fuel and power, food and personal care item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lsoames\Desktop\FIGURE 410.jpg"/>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267960" cy="310515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r>
              <w:rPr>
                <w:rStyle w:val="NoteLabel"/>
              </w:rPr>
              <w:t>a</w:t>
            </w:r>
            <w:proofErr w:type="spellEnd"/>
            <w:r w:rsidRPr="00C10AB3">
              <w:rPr>
                <w:rStyle w:val="NoteLabel"/>
              </w:rPr>
              <w:t xml:space="preserve"> </w:t>
            </w:r>
            <w:proofErr w:type="spellStart"/>
            <w:r w:rsidRPr="003512DC">
              <w:t>A</w:t>
            </w:r>
            <w:proofErr w:type="spellEnd"/>
            <w:r w:rsidRPr="003512DC">
              <w:t xml:space="preserve"> logistic regression approach was used to estimate the probability of taking a lump sum given the shares of expenditure on recreation, alcohol and tobacco products, mortgage payments, health and medical services, clothing, housing costs, food, fuel and power costs, furnishings and equipment, housing services, income tax, miscellaneous expenses, other capital housing costs, personal services, superannuation and life insurance and transport costs.</w:t>
            </w:r>
            <w:r w:rsidRPr="00C10AB3">
              <w:rPr>
                <w:rStyle w:val="NoteLabel"/>
              </w:rPr>
              <w:t xml:space="preserve"> b </w:t>
            </w:r>
            <w:r w:rsidRPr="003512DC">
              <w:t>The Commission estimated a second logistic regression, which looked at the probability of taking a large share of superannuation as a lump sum (at least 90 per cent) given the shares of expenditure on recreation, alcohol and tobacco products, mortgage payments, health and medical services, clothing, housing costs, food, fuel and power costs, furnishings and equipment, housing services, income tax, miscellaneous expenses, other capital housing costs, personal services, superannuation and life insurance and transport costs for those aged 55 and over.</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Pr>
                <w:i/>
              </w:rPr>
              <w:t>Data source</w:t>
            </w:r>
            <w:r w:rsidRPr="00167F06">
              <w:t xml:space="preserve">: </w:t>
            </w:r>
            <w:r>
              <w:t>Commission estimates based on ABS (</w:t>
            </w:r>
            <w:r w:rsidRPr="003512DC">
              <w:rPr>
                <w:i/>
              </w:rPr>
              <w:t>Household Expenditure Survey, 2009</w:t>
            </w:r>
            <w:r w:rsidRPr="003512DC">
              <w:rPr>
                <w:i/>
              </w:rPr>
              <w:noBreakHyphen/>
              <w:t>10</w:t>
            </w:r>
            <w:r>
              <w:t>, Cat. no. 6503.0,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Heading2"/>
      </w:pPr>
      <w:r>
        <w:t>4.</w:t>
      </w:r>
      <w:r>
        <w:rPr>
          <w:noProof/>
        </w:rPr>
        <w:t>4</w:t>
      </w:r>
      <w:r>
        <w:tab/>
        <w:t>Do lump sums encourage premature access to the Age Pension?</w:t>
      </w:r>
    </w:p>
    <w:p w:rsidR="007C51D1" w:rsidRDefault="007C51D1" w:rsidP="005939B8">
      <w:pPr>
        <w:pStyle w:val="BodyText"/>
      </w:pPr>
      <w:r>
        <w:t>Individuals’ decisions to use their superannuation may be in their best interest but their actions may have wider impacts on community wellbeing. To the extent that lump sums affect the receipt of the Age Pension, their use is of policy relevance to the community and of concern for government. Such concerns are not applicable for some individuals — those that have very little savings are likely to receive the Age Pension under any circumstances, while those with considerable asset</w:t>
      </w:r>
      <w:r>
        <w:noBreakHyphen/>
        <w:t>holdings at retirement would be ineligible to receive such payments. Indeed, these concerns are most relevant for those retirees with superannuation savings (and other assets) close to the means test cut offs for the Age Pension (supplementary paper 3).</w:t>
      </w:r>
    </w:p>
    <w:p w:rsidR="007C51D1" w:rsidRDefault="007C51D1" w:rsidP="005939B8">
      <w:pPr>
        <w:pStyle w:val="BodyText"/>
      </w:pPr>
      <w:r>
        <w:lastRenderedPageBreak/>
        <w:t>Concerns about the relationship between draw down and Age Pension reliance have already been examined by a number of stakeholders and researchers. For example, ASFA examined fund level data on the amount of superannuation drawn down to determine how lump sums might affect future Age Pension usage:</w:t>
      </w:r>
    </w:p>
    <w:p w:rsidR="007C51D1" w:rsidRDefault="007C51D1" w:rsidP="005939B8">
      <w:pPr>
        <w:pStyle w:val="Quote"/>
      </w:pPr>
      <w:r>
        <w:t xml:space="preserve">A number of commentators have asserted that there is a ‘lump sum’ mentality in Australia and that many (or at least a significant number) of retirees take a lump sum superannuation benefit, spend it on consumption goods or a holiday, and then fall back onto the Age Pension. Individuals taking lump sums generally take an amount that is not material to the amount of Age Pension they will receive. </w:t>
      </w:r>
      <w:r w:rsidR="00F62614" w:rsidRPr="00F62614">
        <w:rPr>
          <w:szCs w:val="24"/>
        </w:rPr>
        <w:t>(2014a, p. 24)</w:t>
      </w:r>
    </w:p>
    <w:p w:rsidR="007C51D1" w:rsidRDefault="007C51D1" w:rsidP="005939B8">
      <w:pPr>
        <w:pStyle w:val="BodyText"/>
      </w:pPr>
      <w:r>
        <w:t xml:space="preserve">Other studies have used a longitudinal approach to determine whether individuals restructure their drawdown pattern to gain access to the Age Pension. Bray </w:t>
      </w:r>
      <w:r w:rsidR="00F62614" w:rsidRPr="00F62614">
        <w:t>(2013)</w:t>
      </w:r>
      <w:r>
        <w:t xml:space="preserve"> analysed wealth and debt trends for those approaching retirement between 2006 and 2010 and found little systemic evidence of people arranging their draw down to maximise their access to the Age Pension. Bray </w:t>
      </w:r>
      <w:r w:rsidR="00F62614" w:rsidRPr="00F62614">
        <w:t>(2013)</w:t>
      </w:r>
      <w:r>
        <w:t xml:space="preserve"> found that 15 per cent of those with superannuation savings</w:t>
      </w:r>
      <w:r w:rsidRPr="00A85EBB">
        <w:t xml:space="preserve"> </w:t>
      </w:r>
      <w:r>
        <w:t>aged 55</w:t>
      </w:r>
      <w:r>
        <w:noBreakHyphen/>
        <w:t>64 exhausted their superannuation before reaching Age Pension age. Many of those exhausting their superannuation before Age Pension age:</w:t>
      </w:r>
    </w:p>
    <w:p w:rsidR="007C51D1" w:rsidRDefault="007C51D1" w:rsidP="005939B8">
      <w:pPr>
        <w:pStyle w:val="ListBullet"/>
      </w:pPr>
      <w:r>
        <w:t>had very small balances (relative to those not exhausting their superannuation)</w:t>
      </w:r>
    </w:p>
    <w:p w:rsidR="007C51D1" w:rsidRDefault="007C51D1" w:rsidP="005939B8">
      <w:pPr>
        <w:pStyle w:val="ListBullet"/>
      </w:pPr>
      <w:r>
        <w:t xml:space="preserve">were female (61 per cent) </w:t>
      </w:r>
    </w:p>
    <w:p w:rsidR="007C51D1" w:rsidRDefault="007C51D1" w:rsidP="005939B8">
      <w:pPr>
        <w:pStyle w:val="ListBullet"/>
      </w:pPr>
      <w:r>
        <w:t>lived with a disability — over half of those who exhausted their superannuation before Age Pension age had a disability or long</w:t>
      </w:r>
      <w:r>
        <w:noBreakHyphen/>
        <w:t>term health condition and more than 20 per cent of this group experienced the onset of disability during the period</w:t>
      </w:r>
    </w:p>
    <w:p w:rsidR="007C51D1" w:rsidRDefault="007C51D1" w:rsidP="005939B8">
      <w:pPr>
        <w:pStyle w:val="ListBullet"/>
      </w:pPr>
      <w:r>
        <w:t>were on income support payments (twice as likely relative to the general population)</w:t>
      </w:r>
    </w:p>
    <w:p w:rsidR="007C51D1" w:rsidRDefault="007C51D1" w:rsidP="005939B8">
      <w:pPr>
        <w:pStyle w:val="ListBullet"/>
      </w:pPr>
      <w:proofErr w:type="gramStart"/>
      <w:r>
        <w:t>were</w:t>
      </w:r>
      <w:proofErr w:type="gramEnd"/>
      <w:r>
        <w:t xml:space="preserve"> single (38 per cent compared to 22 per cent of the general population). </w:t>
      </w:r>
    </w:p>
    <w:p w:rsidR="007C51D1" w:rsidRDefault="007C51D1" w:rsidP="005939B8">
      <w:pPr>
        <w:pStyle w:val="BodyText"/>
      </w:pPr>
      <w:r>
        <w:t>Studying the incidence of restructuring among those with medium</w:t>
      </w:r>
      <w:r>
        <w:noBreakHyphen/>
        <w:t>sized superannuation balances is more complicated. Those with medium</w:t>
      </w:r>
      <w:r>
        <w:noBreakHyphen/>
        <w:t>sized balances typically have other assets they could use to restructure their asset</w:t>
      </w:r>
      <w:r>
        <w:noBreakHyphen/>
        <w:t>holdings. A number of Australian studies have looked beyond retirees’ superannuation assets in order to examine whether there are observable shifts in behaviour (rapid draw down of superannuation or a shift away from superannuation to other assets) that could be attributed to restructuring.</w:t>
      </w:r>
    </w:p>
    <w:p w:rsidR="007C51D1" w:rsidRDefault="007C51D1" w:rsidP="005939B8">
      <w:pPr>
        <w:pStyle w:val="BodyText"/>
      </w:pPr>
      <w:r>
        <w:t xml:space="preserve">Cho and Sane </w:t>
      </w:r>
      <w:r w:rsidR="00F62614" w:rsidRPr="00F62614">
        <w:t>(2009)</w:t>
      </w:r>
      <w:r>
        <w:t xml:space="preserve"> examined patterns of housing and financial wealth accumulation and draw down amongst those aged 61</w:t>
      </w:r>
      <w:r>
        <w:noBreakHyphen/>
        <w:t xml:space="preserve">64 years. The authors do not find statistically significant evidence of individuals immediately drawing down their financial wealth to qualify for the Age Pension. However, Cho and Sane </w:t>
      </w:r>
      <w:r w:rsidR="00F62614" w:rsidRPr="00F62614">
        <w:t>(2009)</w:t>
      </w:r>
      <w:r>
        <w:t xml:space="preserve"> do find evidence to suggest that Australian individuals invest a greater share of their wealth in the family home because of its exemption in the Age Pension means tests. </w:t>
      </w:r>
    </w:p>
    <w:p w:rsidR="007C51D1" w:rsidRDefault="007C51D1" w:rsidP="005939B8">
      <w:pPr>
        <w:pStyle w:val="BodyText"/>
      </w:pPr>
      <w:r>
        <w:t>Other studies find little evidence to suggest that incentives embedded in the Age Pension means tests are being exploited on a large scale. One example is a study by Cobb</w:t>
      </w:r>
      <w:r>
        <w:noBreakHyphen/>
        <w:t xml:space="preserve">Clark and Hildebrand </w:t>
      </w:r>
      <w:r w:rsidR="00F62614" w:rsidRPr="00F62614">
        <w:t>(2010)</w:t>
      </w:r>
      <w:r>
        <w:t xml:space="preserve"> which compared the asset allocations and retirement decisions of households headed by a person aged 55</w:t>
      </w:r>
      <w:r>
        <w:noBreakHyphen/>
        <w:t>64 years with those aged 65</w:t>
      </w:r>
      <w:r>
        <w:noBreakHyphen/>
        <w:t xml:space="preserve">74 years. </w:t>
      </w:r>
    </w:p>
    <w:p w:rsidR="007C51D1" w:rsidRDefault="007C51D1" w:rsidP="005939B8">
      <w:pPr>
        <w:pStyle w:val="Quote"/>
      </w:pPr>
      <w:r>
        <w:lastRenderedPageBreak/>
        <w:t xml:space="preserve">… </w:t>
      </w:r>
      <w:proofErr w:type="gramStart"/>
      <w:r>
        <w:t>these</w:t>
      </w:r>
      <w:proofErr w:type="gramEnd"/>
      <w:r>
        <w:t xml:space="preserve"> results do not provide compelling evidence that on average households respond to the incentives embedded in the asset and income tests used to determine Age Pension eligibility by reallocating their assets. </w:t>
      </w:r>
      <w:r w:rsidR="00F62614" w:rsidRPr="00F62614">
        <w:rPr>
          <w:szCs w:val="24"/>
        </w:rPr>
        <w:t>(Cobb-Clark and Hildebrand 2010, p. 32)</w:t>
      </w:r>
      <w:r>
        <w:t xml:space="preserve"> </w:t>
      </w:r>
    </w:p>
    <w:p w:rsidR="007C51D1" w:rsidRDefault="007C51D1" w:rsidP="005939B8">
      <w:pPr>
        <w:pStyle w:val="BodyText"/>
      </w:pPr>
      <w:r>
        <w:t>Further, the Department of Social Services has argued that retirees draw down their assets slowly (or not at all) because attempting to maximise the receipt of the Age Pension (by way of drawing down assets) can make them worse off.</w:t>
      </w:r>
    </w:p>
    <w:p w:rsidR="007C51D1" w:rsidRDefault="007C51D1" w:rsidP="005939B8">
      <w:pPr>
        <w:pStyle w:val="Quote"/>
      </w:pPr>
      <w:r>
        <w:t xml:space="preserve">… </w:t>
      </w:r>
      <w:proofErr w:type="gramStart"/>
      <w:r>
        <w:t>people</w:t>
      </w:r>
      <w:proofErr w:type="gramEnd"/>
      <w:r>
        <w:t xml:space="preserve"> have been saying that pensioners are going to … give it [their money] all away or spend it all in order to get a maximum rate pension. … if they did that they would be worse off, … apart from whatever benefit they got out of spending the money, they will then have less money and they would have a lower standard of living than if they kept the money and drew it down in a considered way to help fund their recurrent consumption needs. …</w:t>
      </w:r>
    </w:p>
    <w:p w:rsidR="007C51D1" w:rsidRDefault="007C51D1" w:rsidP="005939B8">
      <w:pPr>
        <w:pStyle w:val="Quote"/>
        <w:rPr>
          <w:sz w:val="21"/>
          <w:szCs w:val="21"/>
        </w:rPr>
      </w:pPr>
      <w:proofErr w:type="gramStart"/>
      <w:r>
        <w:t>Secondly, …</w:t>
      </w:r>
      <w:proofErr w:type="gramEnd"/>
      <w:r>
        <w:t xml:space="preserve"> </w:t>
      </w:r>
      <w:r>
        <w:rPr>
          <w:sz w:val="21"/>
          <w:szCs w:val="21"/>
        </w:rPr>
        <w:t>two</w:t>
      </w:r>
      <w:r>
        <w:rPr>
          <w:sz w:val="21"/>
          <w:szCs w:val="21"/>
        </w:rPr>
        <w:noBreakHyphen/>
        <w:t xml:space="preserve">thirds of retirees are either not reducing their asset balances over a period of five years or actually increasing their asset balances over a period of five years. When we look more generally at age pension data, the evidence is that pensioners are not profligate or imprudent with their money, they are actually very careful with their money. If anything, they may sometimes be a little bit too careful with their money to their own cost. As a result, they may not necessarily be enjoying the standard of living they could be enjoying if they made more use of it. </w:t>
      </w:r>
      <w:r w:rsidR="00F62614" w:rsidRPr="00F62614">
        <w:rPr>
          <w:sz w:val="21"/>
          <w:szCs w:val="24"/>
        </w:rPr>
        <w:t xml:space="preserve">(Andrew </w:t>
      </w:r>
      <w:proofErr w:type="spellStart"/>
      <w:r w:rsidR="00F62614" w:rsidRPr="00F62614">
        <w:rPr>
          <w:sz w:val="21"/>
          <w:szCs w:val="24"/>
        </w:rPr>
        <w:t>Whitecross</w:t>
      </w:r>
      <w:proofErr w:type="spellEnd"/>
      <w:r w:rsidR="00F62614" w:rsidRPr="00F62614">
        <w:rPr>
          <w:sz w:val="21"/>
          <w:szCs w:val="24"/>
        </w:rPr>
        <w:t xml:space="preserve"> at Estimates Hearing for the Senate Community Affairs Legislation Committee 2015, p. 100)</w:t>
      </w:r>
    </w:p>
    <w:p w:rsidR="007C51D1" w:rsidRDefault="007C51D1" w:rsidP="005939B8">
      <w:pPr>
        <w:pStyle w:val="BodyText"/>
      </w:pPr>
      <w:r>
        <w:t>Other studies have also found evidence that some of those of Age Pension age continue to accumulate their non</w:t>
      </w:r>
      <w:r>
        <w:noBreakHyphen/>
        <w:t>housing assets as they approach retirement rather than transferring their superannuation to the family home, or undertaking other expenditure to achieve access to the Age Pension:</w:t>
      </w:r>
    </w:p>
    <w:p w:rsidR="007C51D1" w:rsidRDefault="007C51D1" w:rsidP="005939B8">
      <w:pPr>
        <w:pStyle w:val="Quote"/>
      </w:pPr>
      <w:r>
        <w:t xml:space="preserve">Overall the analysis identifies that older Australians today have substantially higher assets than in the past and they are continuing to accumulate these assets as they approach Age Pension Age or retirement. </w:t>
      </w:r>
      <w:r w:rsidR="00F62614" w:rsidRPr="00F62614">
        <w:rPr>
          <w:szCs w:val="24"/>
        </w:rPr>
        <w:t>(Bray 2013, p. iii)</w:t>
      </w:r>
    </w:p>
    <w:p w:rsidR="007C51D1" w:rsidRDefault="007C51D1" w:rsidP="005939B8">
      <w:pPr>
        <w:pStyle w:val="Quote"/>
      </w:pPr>
      <w:r>
        <w:t xml:space="preserve">We conclude that Australian Age Pensioners </w:t>
      </w:r>
      <w:proofErr w:type="spellStart"/>
      <w:r>
        <w:t>decumulate</w:t>
      </w:r>
      <w:proofErr w:type="spellEnd"/>
      <w:r>
        <w:t xml:space="preserve"> at around 5 per cent of non</w:t>
      </w:r>
      <w:r>
        <w:noBreakHyphen/>
        <w:t>housing wealth per year during retirement if they are less wealthy, but that more wealthy households continue to accumulate non</w:t>
      </w:r>
      <w:r>
        <w:noBreakHyphen/>
        <w:t>housing wealth at around 3 per cent p.a., despite being subject to the incentives of a stricter means</w:t>
      </w:r>
      <w:r>
        <w:noBreakHyphen/>
        <w:t xml:space="preserve">test for pension payments. Portfolio choice appears to have been one driver of wealthy household accumulations. </w:t>
      </w:r>
      <w:r w:rsidR="00F62614" w:rsidRPr="00F62614">
        <w:rPr>
          <w:szCs w:val="24"/>
        </w:rPr>
        <w:t>(</w:t>
      </w:r>
      <w:proofErr w:type="spellStart"/>
      <w:r w:rsidR="00F62614" w:rsidRPr="00F62614">
        <w:rPr>
          <w:szCs w:val="24"/>
        </w:rPr>
        <w:t>Hulley</w:t>
      </w:r>
      <w:proofErr w:type="spellEnd"/>
      <w:r w:rsidR="00F62614" w:rsidRPr="00F62614">
        <w:rPr>
          <w:szCs w:val="24"/>
        </w:rPr>
        <w:t xml:space="preserve"> et al. 2013, pp. 45–46)</w:t>
      </w:r>
    </w:p>
    <w:p w:rsidR="007C51D1" w:rsidRDefault="007C51D1" w:rsidP="005939B8">
      <w:pPr>
        <w:pStyle w:val="BodyText"/>
      </w:pPr>
      <w:r>
        <w:t xml:space="preserve">A further consideration when attributing particular drawdown patterns to deliberate attempts to access the Age Pension is that observed behaviour could be driven by motivations and circumstances other than the desire to maximise access to government benefits. For example, what may be perceived as a deliberate restructuring of drawdown patterns may actually be a response to an unexpected financial or health shock. Alternatively, perceived drawing down of assets may instead be the result of cyclical changes in asset values </w:t>
      </w:r>
      <w:r w:rsidR="00F62614" w:rsidRPr="00F62614">
        <w:rPr>
          <w:szCs w:val="24"/>
        </w:rPr>
        <w:t>(Bray 2013)</w:t>
      </w:r>
      <w:r>
        <w:t xml:space="preserve">. </w:t>
      </w:r>
    </w:p>
    <w:p w:rsidR="007C51D1" w:rsidRDefault="007C51D1" w:rsidP="005939B8">
      <w:pPr>
        <w:pStyle w:val="BodyText"/>
      </w:pPr>
      <w:r>
        <w:t xml:space="preserve">Most recently, the question was examined as part of the 2014 </w:t>
      </w:r>
      <w:r w:rsidRPr="00E734E4">
        <w:rPr>
          <w:i/>
        </w:rPr>
        <w:t>Financial System Inquiry</w:t>
      </w:r>
      <w:r>
        <w:t xml:space="preserve">, which found little empirical evidence of Australians using their superannuation in a way to </w:t>
      </w:r>
      <w:r>
        <w:lastRenderedPageBreak/>
        <w:t>gain access to the Age Pension in its interim report, and did not discuss the issue in the final report:</w:t>
      </w:r>
    </w:p>
    <w:p w:rsidR="007C51D1" w:rsidRDefault="007C51D1" w:rsidP="005939B8">
      <w:pPr>
        <w:pStyle w:val="Quote"/>
      </w:pPr>
      <w:r>
        <w:t>Stakeholders have suggested that some individuals with small</w:t>
      </w:r>
      <w:r>
        <w:noBreakHyphen/>
        <w:t xml:space="preserve"> and medium</w:t>
      </w:r>
      <w:r>
        <w:noBreakHyphen/>
        <w:t>sized asset balances tend to structure their affairs around the Age Pension means</w:t>
      </w:r>
      <w:r>
        <w:noBreakHyphen/>
        <w:t xml:space="preserve">test. Indeed, maximising access to the Age Pension is (understandably) a central feature of financial advice for retirees. … There is no empirical evidence of this behaviour on a large scale. </w:t>
      </w:r>
      <w:r w:rsidR="00F62614" w:rsidRPr="00F62614">
        <w:rPr>
          <w:szCs w:val="24"/>
        </w:rPr>
        <w:t>(Australian Government 2014c, p. 4</w:t>
      </w:r>
      <w:r w:rsidR="009E78D0">
        <w:rPr>
          <w:szCs w:val="24"/>
        </w:rPr>
        <w:noBreakHyphen/>
      </w:r>
      <w:r w:rsidR="00F62614" w:rsidRPr="00F62614">
        <w:rPr>
          <w:szCs w:val="24"/>
        </w:rPr>
        <w:t>14)</w:t>
      </w:r>
    </w:p>
    <w:p w:rsidR="007C51D1" w:rsidRDefault="007C51D1" w:rsidP="005939B8">
      <w:pPr>
        <w:pStyle w:val="BodyText"/>
      </w:pPr>
      <w:r>
        <w:t>At present, it appears that the practice of restructuring asset</w:t>
      </w:r>
      <w:r>
        <w:noBreakHyphen/>
        <w:t xml:space="preserve">holdings in order to gain access to the Age Pension is not widespread. Even if evidence of widespread restructuring were found, such behaviour would likely reflect the incentives embodied in the means tests of the Age Pension itself, rather than the flexibility of draw down provided by the superannuation system. </w:t>
      </w:r>
    </w:p>
    <w:p w:rsidR="007C51D1" w:rsidRPr="007B3022" w:rsidRDefault="007C51D1" w:rsidP="005939B8">
      <w:pPr>
        <w:pStyle w:val="Quote"/>
      </w:pPr>
      <w:r>
        <w:t xml:space="preserve">The current asset test for the age pension encourages the spending of retirement savings. … We should point out this is not a problem restricted to superannuation assets. The same result would have resulted if … assets were invested in shares or other financial investments. It is not a problem which would be fixed by restricting drawdowns from super. Rather the rate of reduction in the age pension is too high for each additional dollar of asset. </w:t>
      </w:r>
      <w:r w:rsidR="00F62614" w:rsidRPr="00F62614">
        <w:rPr>
          <w:szCs w:val="24"/>
        </w:rPr>
        <w:t>(Mercer 2014, p. 55)</w:t>
      </w:r>
    </w:p>
    <w:p w:rsidR="007C51D1" w:rsidRPr="008E68FE" w:rsidRDefault="007C51D1" w:rsidP="005939B8">
      <w:pPr>
        <w:pStyle w:val="Heading2"/>
      </w:pPr>
      <w:r>
        <w:t>4.</w:t>
      </w:r>
      <w:r>
        <w:rPr>
          <w:noProof/>
        </w:rPr>
        <w:t>5</w:t>
      </w:r>
      <w:r>
        <w:tab/>
        <w:t>How might drawdown behaviour change as the system matures?</w:t>
      </w:r>
    </w:p>
    <w:p w:rsidR="007C51D1" w:rsidRDefault="007C51D1" w:rsidP="005939B8">
      <w:pPr>
        <w:pStyle w:val="BodyText"/>
      </w:pPr>
      <w:r>
        <w:t xml:space="preserve">The size of an individual’s superannuation balance affects the way in which they draw down their superannuation. Those with larger superannuation balances are more likely to rollover their savings into an income stream product. As such, it is expected that income streams will become even more common as the superannuation system matures and balances grow. </w:t>
      </w:r>
    </w:p>
    <w:p w:rsidR="007C51D1" w:rsidRDefault="007C51D1" w:rsidP="005939B8">
      <w:pPr>
        <w:pStyle w:val="Quote"/>
      </w:pPr>
      <w:r>
        <w:t xml:space="preserve">As the Australian system matures, a greater percentage of Australians will take an income stream option at the time of retirement as more Australians will have an account balance for which there are clear advantages in taking an income stream. </w:t>
      </w:r>
      <w:r w:rsidR="00F62614" w:rsidRPr="00F62614">
        <w:rPr>
          <w:szCs w:val="24"/>
        </w:rPr>
        <w:t>(ASFA 2014a, p. 25)</w:t>
      </w:r>
    </w:p>
    <w:p w:rsidR="007C51D1" w:rsidRDefault="007C51D1" w:rsidP="005939B8">
      <w:pPr>
        <w:pStyle w:val="BodyText"/>
      </w:pPr>
      <w:r>
        <w:t>Even so, lump sums will still play a role in improving the welfare of retirees. For most people, lump sums will represent a small share of their superannuation under a mature system, and (as is currently the case) are likely to be used to retire debt and otherwise prepare for retirement. Lump sums are likely to remain particularly important for those with relatively small balances at retirement.</w:t>
      </w:r>
      <w:r w:rsidRPr="00272BA1">
        <w:t xml:space="preserve"> </w:t>
      </w:r>
      <w:r w:rsidRPr="00F5379C">
        <w:t xml:space="preserve">Even in a mature system, there </w:t>
      </w:r>
      <w:r>
        <w:t xml:space="preserve">will </w:t>
      </w:r>
      <w:r w:rsidRPr="00F5379C">
        <w:t>be people who have had an interrupted work history</w:t>
      </w:r>
      <w:r>
        <w:t xml:space="preserve"> or have</w:t>
      </w:r>
      <w:r w:rsidRPr="00F5379C">
        <w:t xml:space="preserve"> not worked full</w:t>
      </w:r>
      <w:r>
        <w:noBreakHyphen/>
      </w:r>
      <w:r w:rsidRPr="00F5379C">
        <w:t xml:space="preserve">time </w:t>
      </w:r>
      <w:r>
        <w:t>(supplementary paper 5)</w:t>
      </w:r>
      <w:r w:rsidRPr="00F5379C">
        <w:t xml:space="preserve">. </w:t>
      </w:r>
      <w:r>
        <w:t xml:space="preserve">For these individuals, lump sums might constitute </w:t>
      </w:r>
      <w:r w:rsidRPr="00F5379C">
        <w:t>most of their superannuation assets</w:t>
      </w:r>
      <w:r>
        <w:t>.</w:t>
      </w:r>
      <w:r w:rsidRPr="00F5379C">
        <w:t xml:space="preserve"> </w:t>
      </w:r>
      <w:r>
        <w:t xml:space="preserve">As the </w:t>
      </w:r>
      <w:r w:rsidRPr="00E734E4">
        <w:rPr>
          <w:i/>
        </w:rPr>
        <w:t>Financial System Inquiry</w:t>
      </w:r>
      <w:r>
        <w:t xml:space="preserve"> observed in its interim report:</w:t>
      </w:r>
    </w:p>
    <w:p w:rsidR="007C51D1" w:rsidRDefault="007C51D1" w:rsidP="005939B8">
      <w:pPr>
        <w:pStyle w:val="Quote"/>
      </w:pPr>
      <w:r>
        <w:t xml:space="preserve">For people with small superannuation balances, taking the entirety of their benefits as a lump sum may be an optimal strategy because the income stream generated from a small balance is negligible and has relatively high costs and no tax advantages. </w:t>
      </w:r>
      <w:r w:rsidR="00F62614" w:rsidRPr="00F62614">
        <w:rPr>
          <w:szCs w:val="24"/>
        </w:rPr>
        <w:t>(Australian</w:t>
      </w:r>
      <w:r w:rsidR="009E78D0">
        <w:rPr>
          <w:szCs w:val="24"/>
        </w:rPr>
        <w:t xml:space="preserve"> Government 2014c, p. 4</w:t>
      </w:r>
      <w:r w:rsidR="009E78D0">
        <w:rPr>
          <w:szCs w:val="24"/>
        </w:rPr>
        <w:noBreakHyphen/>
      </w:r>
      <w:r w:rsidR="00F62614" w:rsidRPr="00F62614">
        <w:rPr>
          <w:szCs w:val="24"/>
        </w:rPr>
        <w:t>12)</w:t>
      </w:r>
    </w:p>
    <w:p w:rsidR="007C51D1" w:rsidRDefault="007C51D1" w:rsidP="005939B8">
      <w:pPr>
        <w:pStyle w:val="Heading2"/>
      </w:pPr>
      <w:r>
        <w:lastRenderedPageBreak/>
        <w:t>4.</w:t>
      </w:r>
      <w:r>
        <w:rPr>
          <w:noProof/>
        </w:rPr>
        <w:t>6</w:t>
      </w:r>
      <w:r>
        <w:tab/>
        <w:t>Are income streams working well for retirees?</w:t>
      </w:r>
    </w:p>
    <w:p w:rsidR="007C51D1" w:rsidRDefault="007C51D1" w:rsidP="005939B8">
      <w:pPr>
        <w:pStyle w:val="Heading3"/>
      </w:pPr>
      <w:r>
        <w:t>Some retirees draw down their account</w:t>
      </w:r>
      <w:r>
        <w:noBreakHyphen/>
        <w:t>based pension slowly</w:t>
      </w:r>
    </w:p>
    <w:p w:rsidR="007C51D1" w:rsidRPr="001D26BD" w:rsidRDefault="007C51D1" w:rsidP="005939B8">
      <w:pPr>
        <w:pStyle w:val="BodyText"/>
      </w:pPr>
      <w:r>
        <w:t>Most calls to restrict access to lump sums are driven by concerns that people are made worse off by the rapid drawdown of their superannuation (which may result in a greater reliance on the Age Pension). However, there are also concerns that individuals who take their superannuation as an account</w:t>
      </w:r>
      <w:r>
        <w:noBreakHyphen/>
        <w:t>based pension draw down their superannuation ‘too slowly’ or ‘conservatively’, which in turn lowers their living standards.</w:t>
      </w:r>
    </w:p>
    <w:p w:rsidR="007C51D1" w:rsidRPr="00F802A1" w:rsidRDefault="007C51D1" w:rsidP="005939B8">
      <w:pPr>
        <w:pStyle w:val="Quote"/>
      </w:pPr>
      <w:r w:rsidRPr="00F802A1">
        <w:t>Evidence suggests that the major worry among retirees and pre</w:t>
      </w:r>
      <w:r w:rsidRPr="00F802A1">
        <w:noBreakHyphen/>
        <w:t>retirees is exhausting their assets in retirement. An individual with an account</w:t>
      </w:r>
      <w:r w:rsidRPr="00F802A1">
        <w:noBreakHyphen/>
        <w:t>based pension can reduce the risk of outliving their wealth by living more frugally in retirement and drawing down benefits at the minimum allowable rates. This is what the majority of retirees with account</w:t>
      </w:r>
      <w:r w:rsidRPr="00F802A1">
        <w:noBreakHyphen/>
        <w:t>based pensions do, which reduces their standard of living</w:t>
      </w:r>
      <w:r>
        <w:t>.</w:t>
      </w:r>
      <w:r w:rsidRPr="00F802A1">
        <w:t xml:space="preserve"> </w:t>
      </w:r>
      <w:r w:rsidR="00F62614" w:rsidRPr="00F62614">
        <w:rPr>
          <w:szCs w:val="24"/>
        </w:rPr>
        <w:t>(Australian Government 2014b, p. 120)</w:t>
      </w:r>
    </w:p>
    <w:p w:rsidR="007C51D1" w:rsidRDefault="007C51D1" w:rsidP="005939B8">
      <w:pPr>
        <w:pStyle w:val="BodyText"/>
      </w:pPr>
      <w:r>
        <w:t>It has also been argued that conservative draw down results in Australians leaving large bequests from their superannuation — sometimes an unintentional consequence of overestimating life expectancy or planning for unrealised events, but in other cases by design.</w:t>
      </w:r>
    </w:p>
    <w:p w:rsidR="007C51D1" w:rsidRDefault="007C51D1" w:rsidP="005939B8">
      <w:pPr>
        <w:pStyle w:val="Quote"/>
      </w:pPr>
      <w:r>
        <w:t>As people live longer, there is a growing risk that individuals will exhaust their assets before they die. So far, however, the greater problem seems to be that high levels of self</w:t>
      </w:r>
      <w:r>
        <w:noBreakHyphen/>
        <w:t xml:space="preserve">insurance result in retirees living overly frugally, or unintentionally leaving large superannuation savings to their estates. It also appears that in some cases superannuation balances are deliberately accumulated so that they can be left as a tax sheltered bequest by the superannuant. </w:t>
      </w:r>
      <w:r w:rsidR="00F62614" w:rsidRPr="00F62614">
        <w:rPr>
          <w:szCs w:val="24"/>
        </w:rPr>
        <w:t>(CSRI 2015, p. 12)</w:t>
      </w:r>
    </w:p>
    <w:p w:rsidR="007C51D1" w:rsidRPr="00F802A1" w:rsidRDefault="007C51D1" w:rsidP="005939B8">
      <w:pPr>
        <w:pStyle w:val="BodyText"/>
      </w:pPr>
      <w:r w:rsidRPr="00F802A1">
        <w:t>There is some</w:t>
      </w:r>
      <w:r>
        <w:t xml:space="preserve"> empirical</w:t>
      </w:r>
      <w:r w:rsidRPr="00F802A1">
        <w:t xml:space="preserve"> evidence</w:t>
      </w:r>
      <w:r>
        <w:t xml:space="preserve"> to suggest</w:t>
      </w:r>
      <w:r w:rsidRPr="00F802A1">
        <w:t xml:space="preserve"> that retirees </w:t>
      </w:r>
      <w:r>
        <w:t>draw down their account</w:t>
      </w:r>
      <w:r>
        <w:noBreakHyphen/>
        <w:t>based pensions slowly</w:t>
      </w:r>
      <w:r w:rsidRPr="00F802A1">
        <w:t xml:space="preserve">. Rothman and Wang </w:t>
      </w:r>
      <w:r w:rsidR="00F62614" w:rsidRPr="00F62614">
        <w:t>(2013)</w:t>
      </w:r>
      <w:r w:rsidRPr="00F802A1">
        <w:t xml:space="preserve"> </w:t>
      </w:r>
      <w:r>
        <w:t>find</w:t>
      </w:r>
      <w:r w:rsidRPr="00F802A1">
        <w:t xml:space="preserve"> that many retirees </w:t>
      </w:r>
      <w:r>
        <w:t>withdraw the lowest amount of superannuation possible</w:t>
      </w:r>
      <w:r w:rsidRPr="00F802A1">
        <w:t xml:space="preserve">. The authors </w:t>
      </w:r>
      <w:r>
        <w:t>show</w:t>
      </w:r>
      <w:r w:rsidRPr="00F802A1">
        <w:t xml:space="preserve"> that around 50 per cent of people under 79 years, nearly 60 per cent of people aged 80</w:t>
      </w:r>
      <w:r w:rsidRPr="00F802A1">
        <w:noBreakHyphen/>
        <w:t>84 years and around 70 per</w:t>
      </w:r>
      <w:r>
        <w:t> </w:t>
      </w:r>
      <w:r w:rsidRPr="00F802A1">
        <w:t>cent of people aged 85</w:t>
      </w:r>
      <w:r w:rsidRPr="00F802A1">
        <w:noBreakHyphen/>
        <w:t>89 who have account</w:t>
      </w:r>
      <w:r w:rsidRPr="00F802A1">
        <w:noBreakHyphen/>
        <w:t xml:space="preserve">based pensions draw down at the minimum rate. </w:t>
      </w:r>
    </w:p>
    <w:p w:rsidR="007C51D1" w:rsidRDefault="007C51D1" w:rsidP="005939B8">
      <w:pPr>
        <w:pStyle w:val="BodyText"/>
      </w:pPr>
      <w:r w:rsidRPr="00F802A1">
        <w:t xml:space="preserve">However, Rothman and Wang </w:t>
      </w:r>
      <w:r w:rsidR="00F62614" w:rsidRPr="00F62614">
        <w:t>(2013)</w:t>
      </w:r>
      <w:r w:rsidRPr="00F802A1">
        <w:t xml:space="preserve"> exclude people who have withdrawn more than 20 per</w:t>
      </w:r>
      <w:r>
        <w:t> </w:t>
      </w:r>
      <w:r w:rsidRPr="00F802A1">
        <w:t>cent of their account</w:t>
      </w:r>
      <w:r w:rsidRPr="00F802A1">
        <w:noBreakHyphen/>
        <w:t>based pension in a year</w:t>
      </w:r>
      <w:r>
        <w:t xml:space="preserve"> from their calculations</w:t>
      </w:r>
      <w:r w:rsidRPr="00F802A1">
        <w:t xml:space="preserve">. </w:t>
      </w:r>
      <w:r>
        <w:t>In essence, they are</w:t>
      </w:r>
      <w:r w:rsidRPr="00F802A1">
        <w:t xml:space="preserve"> excluding people who have taken lump sums from their analysis of drawdown patterns. The Commission considers that people who take lump sums should be included </w:t>
      </w:r>
      <w:r>
        <w:t>for a more complete understanding of drawdown behaviour.</w:t>
      </w:r>
    </w:p>
    <w:p w:rsidR="007C51D1" w:rsidRDefault="007C51D1" w:rsidP="005939B8">
      <w:pPr>
        <w:pStyle w:val="BodyText"/>
      </w:pPr>
      <w:r w:rsidRPr="00A208F8">
        <w:t xml:space="preserve">Once lump sums are included in the </w:t>
      </w:r>
      <w:r>
        <w:t>calculation of draw down</w:t>
      </w:r>
      <w:r w:rsidRPr="00A208F8">
        <w:t xml:space="preserve">, </w:t>
      </w:r>
      <w:r>
        <w:t xml:space="preserve">Commission estimates based on the </w:t>
      </w:r>
      <w:r w:rsidRPr="000B6E4F">
        <w:rPr>
          <w:i/>
        </w:rPr>
        <w:t>Survey of Income and Housing</w:t>
      </w:r>
      <w:r>
        <w:t xml:space="preserve"> (SIH) data suggest that </w:t>
      </w:r>
      <w:r w:rsidRPr="00A208F8">
        <w:t xml:space="preserve">a smaller proportion of retirees </w:t>
      </w:r>
      <w:r>
        <w:t>withdraw at the minimum rate, particularly at younger ages (figure 4.11</w:t>
      </w:r>
      <w:r w:rsidRPr="00A208F8">
        <w:t>).</w:t>
      </w:r>
      <w:r>
        <w:t xml:space="preserve"> For example about 15 per cent of those aged under 65 years appear to be drawing down at the minimum rate, and this increases to around 50 per cent of people aged over 80 years. This result may indicate that people are less conservative than suggested by Rothman and Wang </w:t>
      </w:r>
      <w:r w:rsidR="00F62614" w:rsidRPr="00F62614">
        <w:lastRenderedPageBreak/>
        <w:t>(2013)</w:t>
      </w:r>
      <w:r>
        <w:t>. However, several differences in the data used and approach taken could also account for part of the discrepancy.</w:t>
      </w:r>
      <w:r>
        <w:rPr>
          <w:rStyle w:val="FootnoteReference"/>
        </w:rPr>
        <w:footnoteReference w:id="20"/>
      </w:r>
      <w:r>
        <w:t xml:space="preserve"> </w:t>
      </w:r>
    </w:p>
    <w:p w:rsidR="007C51D1" w:rsidRDefault="007C51D1" w:rsidP="005939B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C51D1" w:rsidTr="005939B8">
        <w:tc>
          <w:tcPr>
            <w:tcW w:w="8771" w:type="dxa"/>
            <w:tcBorders>
              <w:top w:val="single" w:sz="6" w:space="0" w:color="78A22F"/>
              <w:left w:val="nil"/>
              <w:bottom w:val="nil"/>
              <w:right w:val="nil"/>
            </w:tcBorders>
            <w:shd w:val="clear" w:color="auto" w:fill="auto"/>
          </w:tcPr>
          <w:p w:rsidR="007C51D1" w:rsidRPr="00176D3F" w:rsidRDefault="007C51D1" w:rsidP="005939B8">
            <w:pPr>
              <w:pStyle w:val="FigureTitle"/>
            </w:pPr>
            <w:r w:rsidRPr="00784A05">
              <w:rPr>
                <w:b w:val="0"/>
              </w:rPr>
              <w:t xml:space="preserve">Figure </w:t>
            </w:r>
            <w:r>
              <w:rPr>
                <w:b w:val="0"/>
              </w:rPr>
              <w:t>4.</w:t>
            </w:r>
            <w:r>
              <w:rPr>
                <w:b w:val="0"/>
                <w:noProof/>
              </w:rPr>
              <w:t>11</w:t>
            </w:r>
            <w:r>
              <w:tab/>
            </w:r>
            <w:r w:rsidRPr="00CE1AD3">
              <w:t>Percentage of retirees drawing down their superannuation at the age</w:t>
            </w:r>
            <w:r w:rsidRPr="00CE1AD3">
              <w:noBreakHyphen/>
              <w:t>specific minimum rate</w:t>
            </w:r>
            <w:r>
              <w:t>, 2011</w:t>
            </w:r>
            <w:r>
              <w:noBreakHyphen/>
              <w:t>12</w:t>
            </w:r>
            <w:proofErr w:type="spellStart"/>
            <w:r w:rsidRPr="0065012B">
              <w:rPr>
                <w:rStyle w:val="NoteLabel"/>
                <w:b/>
              </w:rPr>
              <w:t>a,b</w:t>
            </w:r>
            <w:proofErr w:type="spellEnd"/>
          </w:p>
        </w:tc>
      </w:tr>
      <w:tr w:rsidR="007C51D1" w:rsidTr="005939B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7C51D1" w:rsidTr="005939B8">
              <w:trPr>
                <w:jc w:val="center"/>
              </w:trPr>
              <w:tc>
                <w:tcPr>
                  <w:tcW w:w="8504" w:type="dxa"/>
                  <w:tcBorders>
                    <w:top w:val="nil"/>
                    <w:bottom w:val="nil"/>
                  </w:tcBorders>
                </w:tcPr>
                <w:p w:rsidR="007C51D1" w:rsidRDefault="007C51D1" w:rsidP="005939B8">
                  <w:pPr>
                    <w:pStyle w:val="Figure"/>
                    <w:spacing w:before="60" w:after="60"/>
                  </w:pPr>
                  <w:r>
                    <w:rPr>
                      <w:noProof/>
                    </w:rPr>
                    <w:drawing>
                      <wp:inline distT="0" distB="0" distL="0" distR="0" wp14:anchorId="1F0803B8" wp14:editId="118375C0">
                        <wp:extent cx="5263515" cy="2806700"/>
                        <wp:effectExtent l="0" t="0" r="0" b="0"/>
                        <wp:docPr id="105" name="Picture 105" descr="Figure 4.11 Percentage of retirees drawing down their superannuation at the age-specific minimum rate, 2011-12. This chart shows the percentage of retirees who draw down at the minimum rate.  In general, a larger share of retirees draw down at the minimum at older ages. For example, at ages less than 65 between 15 and 20 per cent of retirees withdraw the minimum amount compared to around 50 per cent of those aged 80 and over who draw down at the minimum. The results differ by whether those taking lump sums are included in the population. Those proportion of the retirees drawing down at the minimum is lower when those taking lump sums is included, particularly those aged under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5263515" cy="2806700"/>
                                </a:xfrm>
                                <a:prstGeom prst="rect">
                                  <a:avLst/>
                                </a:prstGeom>
                                <a:noFill/>
                                <a:ln>
                                  <a:noFill/>
                                </a:ln>
                              </pic:spPr>
                            </pic:pic>
                          </a:graphicData>
                        </a:graphic>
                      </wp:inline>
                    </w:drawing>
                  </w:r>
                </w:p>
              </w:tc>
            </w:tr>
          </w:tbl>
          <w:p w:rsidR="007C51D1" w:rsidRDefault="007C51D1" w:rsidP="005939B8">
            <w:pPr>
              <w:pStyle w:val="Figure"/>
            </w:pP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Note"/>
            </w:pPr>
            <w:proofErr w:type="spellStart"/>
            <w:r w:rsidRPr="00CE1AD3">
              <w:rPr>
                <w:rStyle w:val="NoteLabel"/>
              </w:rPr>
              <w:t>a</w:t>
            </w:r>
            <w:proofErr w:type="spellEnd"/>
            <w:r w:rsidRPr="00CE1AD3">
              <w:t xml:space="preserve"> The percentage of people who draw down the minimum (excluding lump sums) is calculated by dividing annualised income from superannuation by</w:t>
            </w:r>
            <w:r>
              <w:t xml:space="preserve"> an</w:t>
            </w:r>
            <w:r w:rsidRPr="00CE1AD3">
              <w:t xml:space="preserve"> </w:t>
            </w:r>
            <w:r>
              <w:t>individual’s</w:t>
            </w:r>
            <w:r w:rsidRPr="00CE1AD3">
              <w:t xml:space="preserve"> superannuation balance at the beginning of the period. T</w:t>
            </w:r>
            <w:r>
              <w:t>he drawdown rate, which includes</w:t>
            </w:r>
            <w:r w:rsidRPr="00CE1AD3">
              <w:t xml:space="preserve"> lump sums, </w:t>
            </w:r>
            <w:r>
              <w:t>is</w:t>
            </w:r>
            <w:r w:rsidRPr="00CE1AD3">
              <w:t xml:space="preserve"> calculated by summing annualised income from superannuation and the total value of lump sums (total superannuation benefits) and dividing this by the value of superannuation balances before superannuation benefits were taken</w:t>
            </w:r>
            <w:r>
              <w:t>.</w:t>
            </w:r>
            <w:r w:rsidRPr="00CE1AD3">
              <w:t xml:space="preserve"> </w:t>
            </w:r>
            <w:proofErr w:type="gramStart"/>
            <w:r w:rsidRPr="00CE1AD3">
              <w:rPr>
                <w:rStyle w:val="NoteLabel"/>
              </w:rPr>
              <w:t>b</w:t>
            </w:r>
            <w:proofErr w:type="gramEnd"/>
            <w:r w:rsidRPr="00CE1AD3">
              <w:t xml:space="preserve"> </w:t>
            </w:r>
            <w:r>
              <w:t xml:space="preserve">SIH </w:t>
            </w:r>
            <w:r w:rsidRPr="00CE1AD3">
              <w:t>does not separate out ages above 80 years. The Commission has taken an average of the proportion of people who draw</w:t>
            </w:r>
            <w:r>
              <w:t xml:space="preserve"> </w:t>
            </w:r>
            <w:r w:rsidRPr="00CE1AD3">
              <w:t>down between 7 and</w:t>
            </w:r>
            <w:r>
              <w:t xml:space="preserve"> 14 per cent — the minimum draw</w:t>
            </w:r>
            <w:r w:rsidRPr="00CE1AD3">
              <w:t>down rates for those aged 80</w:t>
            </w:r>
            <w:r w:rsidRPr="00CE1AD3">
              <w:noBreakHyphen/>
              <w:t>84 years to those aged over 95 years.</w:t>
            </w:r>
          </w:p>
        </w:tc>
      </w:tr>
      <w:tr w:rsidR="007C51D1" w:rsidRPr="00176D3F" w:rsidTr="005939B8">
        <w:tc>
          <w:tcPr>
            <w:tcW w:w="8771" w:type="dxa"/>
            <w:tcBorders>
              <w:top w:val="nil"/>
              <w:left w:val="nil"/>
              <w:bottom w:val="nil"/>
              <w:right w:val="nil"/>
            </w:tcBorders>
            <w:shd w:val="clear" w:color="auto" w:fill="auto"/>
          </w:tcPr>
          <w:p w:rsidR="007C51D1" w:rsidRPr="00176D3F" w:rsidRDefault="007C51D1" w:rsidP="005939B8">
            <w:pPr>
              <w:pStyle w:val="Source"/>
            </w:pPr>
            <w:r w:rsidRPr="00CE1AD3">
              <w:rPr>
                <w:i/>
              </w:rPr>
              <w:t>Data source</w:t>
            </w:r>
            <w:r w:rsidRPr="00CE1AD3">
              <w:t xml:space="preserve">: </w:t>
            </w:r>
            <w:r w:rsidRPr="003512DC">
              <w:t>Commission estimates based on ABS (</w:t>
            </w:r>
            <w:r w:rsidRPr="003512DC">
              <w:rPr>
                <w:i/>
              </w:rPr>
              <w:t>Survey of Income and Housing, 2011</w:t>
            </w:r>
            <w:r>
              <w:rPr>
                <w:i/>
              </w:rPr>
              <w:noBreakHyphen/>
            </w:r>
            <w:r w:rsidRPr="003512DC">
              <w:rPr>
                <w:i/>
              </w:rPr>
              <w:t>12,</w:t>
            </w:r>
            <w:r>
              <w:t xml:space="preserve"> Cat. no. </w:t>
            </w:r>
            <w:r w:rsidRPr="003512DC">
              <w:t>6553.0, basic CURF).</w:t>
            </w:r>
          </w:p>
        </w:tc>
      </w:tr>
      <w:tr w:rsidR="007C51D1" w:rsidTr="005939B8">
        <w:tc>
          <w:tcPr>
            <w:tcW w:w="8771" w:type="dxa"/>
            <w:tcBorders>
              <w:top w:val="nil"/>
              <w:left w:val="nil"/>
              <w:bottom w:val="single" w:sz="6" w:space="0" w:color="78A22F"/>
              <w:right w:val="nil"/>
            </w:tcBorders>
            <w:shd w:val="clear" w:color="auto" w:fill="auto"/>
          </w:tcPr>
          <w:p w:rsidR="007C51D1" w:rsidRDefault="007C51D1" w:rsidP="005939B8">
            <w:pPr>
              <w:pStyle w:val="Figurespace"/>
            </w:pPr>
          </w:p>
        </w:tc>
      </w:tr>
      <w:tr w:rsidR="007C51D1" w:rsidRPr="000863A5" w:rsidTr="005939B8">
        <w:tc>
          <w:tcPr>
            <w:tcW w:w="8771" w:type="dxa"/>
            <w:tcBorders>
              <w:top w:val="single" w:sz="6" w:space="0" w:color="78A22F"/>
              <w:left w:val="nil"/>
              <w:bottom w:val="nil"/>
              <w:right w:val="nil"/>
            </w:tcBorders>
          </w:tcPr>
          <w:p w:rsidR="007C51D1" w:rsidRPr="00626D32" w:rsidRDefault="007C51D1" w:rsidP="005939B8">
            <w:pPr>
              <w:pStyle w:val="BoxSpaceBelow"/>
            </w:pPr>
          </w:p>
        </w:tc>
      </w:tr>
    </w:tbl>
    <w:p w:rsidR="007C51D1" w:rsidRDefault="007C51D1" w:rsidP="005939B8">
      <w:pPr>
        <w:pStyle w:val="BodyText"/>
      </w:pPr>
      <w:r>
        <w:t xml:space="preserve">Other research by Susan Thorp </w:t>
      </w:r>
      <w:r w:rsidR="00F62614" w:rsidRPr="00F62614">
        <w:t>(2013)</w:t>
      </w:r>
      <w:r>
        <w:t xml:space="preserve"> suggests that the minimum drawdown rates may be too high and should be lowered to allow retirees to draw down lower amounts of their superannuation than is currently permissible. This research is not driven by a concern about the conservatism of retirees’ draw down — but rather that the rules governing draw down of account</w:t>
      </w:r>
      <w:r>
        <w:noBreakHyphen/>
        <w:t xml:space="preserve">based pensions need to be more flexible in assisting retirees to manage market risk and take account of changes in expenditure patterns as retirees get older. Thorp’s research indicates that giving retirees the option to draw down less than the minimum would not necessarily make them worse off </w:t>
      </w:r>
      <w:r w:rsidR="00F62614" w:rsidRPr="00F62614">
        <w:t>(2013)</w:t>
      </w:r>
      <w:r>
        <w:t xml:space="preserve">. </w:t>
      </w:r>
    </w:p>
    <w:p w:rsidR="007C51D1" w:rsidRDefault="007C51D1" w:rsidP="005939B8">
      <w:pPr>
        <w:pStyle w:val="BodyText"/>
      </w:pPr>
      <w:r>
        <w:lastRenderedPageBreak/>
        <w:t>There are many reasons why individuals might draw down their superannuation in a particular way. It is possible that people draw down at the minimum rate so they can leave large bequests. Alternatively, conservatism may be a way of managing the multitude of risks faced in retirement, including longevity risk, market risk (especially in a low interest rate environment) and other unexpected costs associated with ageing such as those relating to aged and health care. As such, arguments about the minimum drawdown rates need to look beyond observed drawdown patterns and consider the variety of circumstances and motivations of retirees.</w:t>
      </w:r>
    </w:p>
    <w:p w:rsidR="007C51D1" w:rsidRPr="008D3CA1" w:rsidRDefault="007C51D1" w:rsidP="005939B8">
      <w:pPr>
        <w:pStyle w:val="Heading3"/>
      </w:pPr>
      <w:r>
        <w:t>Is there an aversion to annuities?</w:t>
      </w:r>
    </w:p>
    <w:p w:rsidR="007C51D1" w:rsidRDefault="007C51D1" w:rsidP="005939B8">
      <w:pPr>
        <w:pStyle w:val="BodyText"/>
      </w:pPr>
      <w:r>
        <w:t xml:space="preserve">With the bulk of superannuation assets already being taken as an income stream, and with balances set to grow over time, more attention is being given to the types of income streams that retirees are taking. </w:t>
      </w:r>
    </w:p>
    <w:p w:rsidR="007C51D1" w:rsidRDefault="007C51D1" w:rsidP="005939B8">
      <w:pPr>
        <w:pStyle w:val="BodyText"/>
      </w:pPr>
      <w:r>
        <w:t>As noted earlier, there are two main types of retirement income products: account</w:t>
      </w:r>
      <w:r>
        <w:noBreakHyphen/>
        <w:t xml:space="preserve">based pensions and annuities. </w:t>
      </w:r>
      <w:r w:rsidRPr="00E531C1">
        <w:t>Account</w:t>
      </w:r>
      <w:r>
        <w:noBreakHyphen/>
      </w:r>
      <w:r w:rsidRPr="00E531C1">
        <w:t>based pensions, which pr</w:t>
      </w:r>
      <w:r>
        <w:t>ovide retirees with the flexibility to vary the level of income they wish to withdraw, are by far the most popular.</w:t>
      </w:r>
    </w:p>
    <w:p w:rsidR="007C51D1" w:rsidRPr="00B554EA" w:rsidRDefault="007C51D1" w:rsidP="005939B8">
      <w:pPr>
        <w:pStyle w:val="Quote"/>
      </w:pPr>
      <w:r w:rsidRPr="00B554EA">
        <w:t xml:space="preserve">Allocated </w:t>
      </w:r>
      <w:r>
        <w:t>[or account</w:t>
      </w:r>
      <w:r>
        <w:noBreakHyphen/>
        <w:t xml:space="preserve">based] </w:t>
      </w:r>
      <w:r w:rsidRPr="00B554EA">
        <w:t xml:space="preserve">pensions have become the retirement income product of choice for superannuants who choose to convert their retirement savings into an income stream. Several factors explain this preference: one may be the psychological factor of having an asset, the pension account, clearly identified as belonging to the individual. Another is the flexibility (subject to government imposed limits) provided in terms of size of the annual amounts to be withdrawn from the account. Particularly important is the bequest factor – </w:t>
      </w:r>
      <w:proofErr w:type="gramStart"/>
      <w:r w:rsidRPr="00B554EA">
        <w:t>that</w:t>
      </w:r>
      <w:proofErr w:type="gramEnd"/>
      <w:r w:rsidRPr="00B554EA">
        <w:t xml:space="preserve"> the amount remaining in the account at death becomes part of the estate available for distribution to heirs. </w:t>
      </w:r>
      <w:r w:rsidR="00F62614" w:rsidRPr="00F62614">
        <w:rPr>
          <w:szCs w:val="24"/>
        </w:rPr>
        <w:t>(Australian Centre for Financial Studies 2010, p. 41)</w:t>
      </w:r>
    </w:p>
    <w:p w:rsidR="007C51D1" w:rsidRDefault="007C51D1" w:rsidP="005939B8">
      <w:pPr>
        <w:pStyle w:val="BodyText"/>
      </w:pPr>
      <w:r>
        <w:t>In contrast, few Australians purchase annuity products — lifetime or fixed term — to provide a retirement income. Unlike account</w:t>
      </w:r>
      <w:r>
        <w:noBreakHyphen/>
        <w:t xml:space="preserve">based pensions, annuities can provide longevity protection and some commentators refer to their lack of take up as the ‘annuity puzzle’. </w:t>
      </w:r>
    </w:p>
    <w:p w:rsidR="007C51D1" w:rsidRPr="00B554EA" w:rsidRDefault="007C51D1" w:rsidP="005939B8">
      <w:pPr>
        <w:pStyle w:val="Quote"/>
      </w:pPr>
      <w:r w:rsidRPr="00B554EA">
        <w:t>From an economic standpoint, what is striking about retirement benefits in Australia … is that almost no privately chosen Superannuation benefits are longevity insured, no matter what the policy in place. The increasingly popular account</w:t>
      </w:r>
      <w:r w:rsidRPr="00B554EA">
        <w:noBreakHyphen/>
        <w:t>based pensions, while ensuring more provident use of accumulations than a lump sum payout, only offer limited self</w:t>
      </w:r>
      <w:r w:rsidRPr="00B554EA">
        <w:noBreakHyphen/>
        <w:t xml:space="preserve">insurance against outliving one’s resources. </w:t>
      </w:r>
      <w:r w:rsidR="00F62614" w:rsidRPr="00F62614">
        <w:rPr>
          <w:szCs w:val="24"/>
        </w:rPr>
        <w:t>(Bateman and Piggott 2011, p. 97)</w:t>
      </w:r>
      <w:r w:rsidRPr="00B554EA">
        <w:t xml:space="preserve"> </w:t>
      </w:r>
    </w:p>
    <w:p w:rsidR="007C51D1" w:rsidRPr="00D0436C" w:rsidRDefault="007C51D1" w:rsidP="005939B8">
      <w:pPr>
        <w:pStyle w:val="BodyText"/>
      </w:pPr>
      <w:r>
        <w:t>While annuities provide certainty, there may be a number of reasons why they are not more commonly used. Annuities are far less flexible than account</w:t>
      </w:r>
      <w:r>
        <w:noBreakHyphen/>
        <w:t xml:space="preserve">based pension products, and prevent users from taking additional lump sum withdrawals (or if they do, can be subject to a </w:t>
      </w:r>
      <w:r w:rsidRPr="00AD2441">
        <w:t>substantial</w:t>
      </w:r>
      <w:r>
        <w:t xml:space="preserve"> penalty). As touched on earlier, the flexibility to cover unexpected costs — such as those arising from </w:t>
      </w:r>
      <w:r w:rsidRPr="00D0436C">
        <w:t>disa</w:t>
      </w:r>
      <w:r>
        <w:t xml:space="preserve">bility or requiring formal aged or health care — is important to retirees, particularly so for those on low incomes. </w:t>
      </w:r>
    </w:p>
    <w:p w:rsidR="007C51D1" w:rsidRDefault="007C51D1" w:rsidP="005939B8">
      <w:pPr>
        <w:pStyle w:val="BodyText"/>
      </w:pPr>
      <w:r>
        <w:lastRenderedPageBreak/>
        <w:t xml:space="preserve">Individuals might also perceive annuities to be poor value for money as they do not appreciate the longevity risk that these instruments mitigate </w:t>
      </w:r>
      <w:r w:rsidR="00F62614" w:rsidRPr="00F62614">
        <w:rPr>
          <w:szCs w:val="24"/>
        </w:rPr>
        <w:t>(Hu and Scott 2007)</w:t>
      </w:r>
      <w:r>
        <w:t xml:space="preserve">. Alternatively, the presence of the Age Pension may be seen as providing sufficient insurance against a ‘safety net’ longevity risk </w:t>
      </w:r>
      <w:r w:rsidR="00F62614" w:rsidRPr="00F62614">
        <w:rPr>
          <w:szCs w:val="24"/>
        </w:rPr>
        <w:t>(Knox 2000)</w:t>
      </w:r>
      <w:r>
        <w:t>.</w:t>
      </w:r>
    </w:p>
    <w:p w:rsidR="007C51D1" w:rsidRDefault="007C51D1" w:rsidP="005939B8">
      <w:pPr>
        <w:pStyle w:val="BodyText"/>
      </w:pPr>
      <w:r>
        <w:t xml:space="preserve">Further, both life and term annuities have been characterised by particularly low returns since the global financial crisis. These low returns may be another reason why many choose not to use them as a retirement income product </w:t>
      </w:r>
      <w:r w:rsidR="00F62614" w:rsidRPr="00F62614">
        <w:rPr>
          <w:szCs w:val="24"/>
        </w:rPr>
        <w:t>(Actuaries Institute 2015)</w:t>
      </w:r>
      <w:r>
        <w:t>. And according to Glenn Stevens, low returns on annuities are a crucial issue for the current cohort entering retirement:</w:t>
      </w:r>
    </w:p>
    <w:p w:rsidR="007C51D1" w:rsidRDefault="007C51D1" w:rsidP="005939B8">
      <w:pPr>
        <w:pStyle w:val="Quote"/>
      </w:pPr>
      <w:r w:rsidRPr="001154FA">
        <w:t xml:space="preserve">The key question is: how will an adequate flow of income </w:t>
      </w:r>
      <w:proofErr w:type="gramStart"/>
      <w:r w:rsidRPr="001154FA">
        <w:t>be</w:t>
      </w:r>
      <w:proofErr w:type="gramEnd"/>
      <w:r w:rsidRPr="001154FA">
        <w:t xml:space="preserve"> generated for the retired community in the future, in a world in which long</w:t>
      </w:r>
      <w:r>
        <w:noBreakHyphen/>
      </w:r>
      <w:r w:rsidRPr="001154FA">
        <w:t>term nominal returns on low</w:t>
      </w:r>
      <w:r>
        <w:noBreakHyphen/>
      </w:r>
      <w:r w:rsidRPr="001154FA">
        <w:t xml:space="preserve">risk assets are so low? This is a global question. Just about everywhere in the world the price of buying a given annual flow of future income has gone up a lot. Those seeking to make that purchase now – that is, those on the brink of leaving the workforce – are in a much worse position than those who made it a </w:t>
      </w:r>
      <w:r w:rsidRPr="00017D71">
        <w:t>decade ag</w:t>
      </w:r>
      <w:r>
        <w:t xml:space="preserve">o. They have to </w:t>
      </w:r>
      <w:r w:rsidRPr="00017D71">
        <w:t>accept a lot more risk to generate the expected flow of future income they want.</w:t>
      </w:r>
      <w:r>
        <w:t xml:space="preserve"> </w:t>
      </w:r>
      <w:r w:rsidR="00F62614" w:rsidRPr="00F62614">
        <w:t>(2015)</w:t>
      </w:r>
      <w:r w:rsidRPr="00017D71">
        <w:t xml:space="preserve"> </w:t>
      </w:r>
    </w:p>
    <w:p w:rsidR="007C51D1" w:rsidRDefault="007C51D1" w:rsidP="005939B8">
      <w:pPr>
        <w:pStyle w:val="BodyText"/>
      </w:pPr>
      <w:r>
        <w:t xml:space="preserve">While not an inherent weakness of the product itself, annuities are not as </w:t>
      </w:r>
      <w:proofErr w:type="spellStart"/>
      <w:r>
        <w:t>concessionally</w:t>
      </w:r>
      <w:proofErr w:type="spellEnd"/>
      <w:r>
        <w:t xml:space="preserve"> treated (under tax rules and Age Pension means tests) as they were in the past. </w:t>
      </w:r>
      <w:r>
        <w:rPr>
          <w:bCs/>
        </w:rPr>
        <w:t>The</w:t>
      </w:r>
      <w:r w:rsidRPr="00B340B8">
        <w:rPr>
          <w:bCs/>
        </w:rPr>
        <w:t xml:space="preserve"> life annuities market in Australia has always been small, </w:t>
      </w:r>
      <w:r>
        <w:rPr>
          <w:bCs/>
        </w:rPr>
        <w:t xml:space="preserve">but </w:t>
      </w:r>
      <w:r w:rsidRPr="00B340B8">
        <w:rPr>
          <w:bCs/>
        </w:rPr>
        <w:t xml:space="preserve">it grew more quickly after 1998 when annuity products were exempted from both the </w:t>
      </w:r>
      <w:r>
        <w:rPr>
          <w:bCs/>
        </w:rPr>
        <w:t>A</w:t>
      </w:r>
      <w:r w:rsidRPr="00B340B8">
        <w:rPr>
          <w:bCs/>
        </w:rPr>
        <w:t xml:space="preserve">ge </w:t>
      </w:r>
      <w:r>
        <w:rPr>
          <w:bCs/>
        </w:rPr>
        <w:t>P</w:t>
      </w:r>
      <w:r w:rsidRPr="00B340B8">
        <w:rPr>
          <w:bCs/>
        </w:rPr>
        <w:t xml:space="preserve">ension asset and </w:t>
      </w:r>
      <w:r>
        <w:rPr>
          <w:bCs/>
        </w:rPr>
        <w:t>income</w:t>
      </w:r>
      <w:r w:rsidRPr="00B340B8">
        <w:rPr>
          <w:bCs/>
        </w:rPr>
        <w:t xml:space="preserve"> test</w:t>
      </w:r>
      <w:r>
        <w:rPr>
          <w:bCs/>
        </w:rPr>
        <w:t>s</w:t>
      </w:r>
      <w:r w:rsidRPr="00B340B8">
        <w:rPr>
          <w:bCs/>
        </w:rPr>
        <w:t>.</w:t>
      </w:r>
      <w:r w:rsidRPr="00B340B8">
        <w:t xml:space="preserve"> </w:t>
      </w:r>
      <w:r>
        <w:t xml:space="preserve">In 2004, this exemption was cut to 50 per cent, and tax concessions for the purchase of annuities were removed for those retirees over the age of 60 in 2007. As a result, the size of the annuities market declined by 90 per cent between 2007 and 2008 </w:t>
      </w:r>
      <w:r w:rsidR="00F62614" w:rsidRPr="00F62614">
        <w:rPr>
          <w:szCs w:val="24"/>
        </w:rPr>
        <w:t>(Bateman and Piggott 2011)</w:t>
      </w:r>
      <w:r>
        <w:t xml:space="preserve">. </w:t>
      </w:r>
    </w:p>
    <w:p w:rsidR="007C51D1" w:rsidRDefault="007C51D1" w:rsidP="005939B8">
      <w:pPr>
        <w:pStyle w:val="BodyText"/>
      </w:pPr>
      <w:r>
        <w:t>More recently, superannuation funds and annuity providers have attempted to provide more tailored post</w:t>
      </w:r>
      <w:r>
        <w:noBreakHyphen/>
        <w:t xml:space="preserve">retirement asset allocation options and flexible income stream products (including some that allow for bequests and/or the preservation of capital) and sales of these products have grown. </w:t>
      </w:r>
    </w:p>
    <w:p w:rsidR="007C51D1" w:rsidRDefault="007C51D1" w:rsidP="005939B8">
      <w:pPr>
        <w:pStyle w:val="Quote"/>
      </w:pPr>
      <w:r>
        <w:t xml:space="preserve">… </w:t>
      </w:r>
      <w:proofErr w:type="gramStart"/>
      <w:r>
        <w:t>with</w:t>
      </w:r>
      <w:proofErr w:type="gramEnd"/>
      <w:r>
        <w:t xml:space="preserve"> some formative steps towards a revitalised market for longevity insurance products. The Australian wealth management industry is actively developing new longevity products, while government, in response to recent reviews of the superannuation industry, is looking at ways to both increase consumer demand and reduce supply</w:t>
      </w:r>
      <w:r>
        <w:noBreakHyphen/>
        <w:t>side constraints. With appropriate policy settings, better policy coordination, and private</w:t>
      </w:r>
      <w:r>
        <w:noBreakHyphen/>
        <w:t xml:space="preserve">public collaboration, it may be possible to resurrect the longevity insurance market without a need for compulsory </w:t>
      </w:r>
      <w:proofErr w:type="spellStart"/>
      <w:r>
        <w:t>annuitization</w:t>
      </w:r>
      <w:proofErr w:type="spellEnd"/>
      <w:r>
        <w:t xml:space="preserve">. </w:t>
      </w:r>
      <w:r w:rsidR="00F62614" w:rsidRPr="00F62614">
        <w:rPr>
          <w:szCs w:val="24"/>
        </w:rPr>
        <w:t>(Bateman and Piggott 2011, p. 82)</w:t>
      </w:r>
    </w:p>
    <w:p w:rsidR="007C51D1" w:rsidRDefault="007C51D1">
      <w:pPr>
        <w:rPr>
          <w:szCs w:val="20"/>
        </w:rPr>
      </w:pPr>
      <w:r>
        <w:br w:type="page"/>
      </w:r>
    </w:p>
    <w:p w:rsidR="007C51D1" w:rsidRPr="00677B46" w:rsidRDefault="007C51D1" w:rsidP="005939B8">
      <w:pPr>
        <w:pStyle w:val="BodyText"/>
      </w:pPr>
      <w:r>
        <w:lastRenderedPageBreak/>
        <w:t>The possibility of removing regulatory inhibitors to further develop the retirement income product market is currently being reviewed.</w:t>
      </w:r>
      <w:r w:rsidRPr="00265ED2">
        <w:rPr>
          <w:rStyle w:val="FootnoteReference"/>
        </w:rPr>
        <w:footnoteReference w:id="21"/>
      </w:r>
      <w:r>
        <w:t xml:space="preserve"> But some argue that removing regulatory restrictions is not sufficient to improve take</w:t>
      </w:r>
      <w:r>
        <w:noBreakHyphen/>
        <w:t xml:space="preserve">up of particular income products. </w:t>
      </w:r>
      <w:proofErr w:type="gramStart"/>
      <w:r>
        <w:t>As such.</w:t>
      </w:r>
      <w:proofErr w:type="gramEnd"/>
      <w:r>
        <w:t xml:space="preserve"> </w:t>
      </w:r>
      <w:proofErr w:type="gramStart"/>
      <w:r>
        <w:t>there</w:t>
      </w:r>
      <w:proofErr w:type="gramEnd"/>
      <w:r>
        <w:t xml:space="preserve"> have also been calls to encourage retirees to purchase particular types of retirement income streams </w:t>
      </w:r>
      <w:r w:rsidR="00F62614" w:rsidRPr="00F62614">
        <w:rPr>
          <w:szCs w:val="24"/>
        </w:rPr>
        <w:t>(Australian Government 2014b)</w:t>
      </w:r>
      <w:r>
        <w:t>.</w:t>
      </w:r>
    </w:p>
    <w:p w:rsidR="007C51D1" w:rsidRDefault="007C51D1" w:rsidP="005939B8">
      <w:pPr>
        <w:pStyle w:val="Heading3"/>
      </w:pPr>
      <w:r>
        <w:t>Encouraging the take up of annuities needs to be carefully considered</w:t>
      </w:r>
    </w:p>
    <w:p w:rsidR="007C51D1" w:rsidRDefault="007C51D1" w:rsidP="005939B8">
      <w:pPr>
        <w:pStyle w:val="BodyText"/>
      </w:pPr>
      <w:r>
        <w:t xml:space="preserve">As stakeholders become concerned about how individuals manage longevity risk, some have advocated a shift towards particular forms of annuities. Annuities are seen to be an attractive product for retirees as they can manage both longevity risk, and under certain conditions, provide a greater retirement income than some superannuation pension products. The </w:t>
      </w:r>
      <w:r w:rsidRPr="00E734E4">
        <w:rPr>
          <w:i/>
        </w:rPr>
        <w:t>Financial System Inquiry</w:t>
      </w:r>
      <w:r>
        <w:t xml:space="preserve"> recommended that some or all of the benefits to be paid from superannuation be pre</w:t>
      </w:r>
      <w:r>
        <w:noBreakHyphen/>
        <w:t xml:space="preserve">selected by trustees to products that included income products that manage or pool longevity risk. Jeremy Cooper </w:t>
      </w:r>
      <w:r w:rsidRPr="001154FA">
        <w:t xml:space="preserve">— who chaired </w:t>
      </w:r>
      <w:r>
        <w:t xml:space="preserve">the </w:t>
      </w:r>
      <w:r w:rsidRPr="00E734E4">
        <w:rPr>
          <w:i/>
        </w:rPr>
        <w:t>Super System Review</w:t>
      </w:r>
      <w:r w:rsidRPr="001154FA">
        <w:t xml:space="preserve"> </w:t>
      </w:r>
      <w:r>
        <w:t>in 2010</w:t>
      </w:r>
      <w:r w:rsidRPr="001154FA">
        <w:t xml:space="preserve"> — described the recommendation as a</w:t>
      </w:r>
      <w:r w:rsidRPr="00017D71">
        <w:t xml:space="preserve"> ‘soft default’</w:t>
      </w:r>
      <w:r>
        <w:t xml:space="preserve"> </w:t>
      </w:r>
      <w:r w:rsidR="00F62614" w:rsidRPr="00F62614">
        <w:rPr>
          <w:szCs w:val="24"/>
        </w:rPr>
        <w:t>(White and Main 2014)</w:t>
      </w:r>
      <w:r>
        <w:t>.</w:t>
      </w:r>
      <w:r w:rsidRPr="00265ED2">
        <w:rPr>
          <w:rStyle w:val="FootnoteReference"/>
        </w:rPr>
        <w:footnoteReference w:id="22"/>
      </w:r>
      <w:r w:rsidRPr="00017D71">
        <w:t xml:space="preserve"> </w:t>
      </w:r>
      <w:r>
        <w:t xml:space="preserve">Specifically, the </w:t>
      </w:r>
      <w:r w:rsidRPr="00E734E4">
        <w:rPr>
          <w:i/>
        </w:rPr>
        <w:t>Financial System Inquiry</w:t>
      </w:r>
      <w:r>
        <w:t xml:space="preserve"> recommended:</w:t>
      </w:r>
      <w:r>
        <w:rPr>
          <w:rStyle w:val="FootnoteReference"/>
        </w:rPr>
        <w:footnoteReference w:id="23"/>
      </w:r>
    </w:p>
    <w:p w:rsidR="007C51D1" w:rsidRDefault="007C51D1" w:rsidP="005939B8">
      <w:pPr>
        <w:pStyle w:val="Quote"/>
      </w:pPr>
      <w:r>
        <w:t xml:space="preserve">Government should require superannuation fund trustees to </w:t>
      </w:r>
      <w:proofErr w:type="spellStart"/>
      <w:r>
        <w:t>pre</w:t>
      </w:r>
      <w:r>
        <w:noBreakHyphen/>
        <w:t>select</w:t>
      </w:r>
      <w:proofErr w:type="spellEnd"/>
      <w:r>
        <w:t xml:space="preserve"> an option for members to receive their superannuation benefits in retirement. Details of the pre</w:t>
      </w:r>
      <w:r>
        <w:noBreakHyphen/>
        <w:t>selected option would be communicated to the member during their working life. At retirement, the member would either give their authority to commence the pre</w:t>
      </w:r>
      <w:r>
        <w:noBreakHyphen/>
        <w:t>selected option or elect to take their benefits in another way. … The pre</w:t>
      </w:r>
      <w:r>
        <w:noBreakHyphen/>
        <w:t xml:space="preserve">selected option should be a comprehensive income product for retirement (CIPR) that has minimum features determined by Government. These features should include a regular and stable income stream, longevity risk management </w:t>
      </w:r>
      <w:r w:rsidRPr="00A46EC5">
        <w:t>and flexibility</w:t>
      </w:r>
      <w:r>
        <w:t>.</w:t>
      </w:r>
      <w:r w:rsidRPr="00382D9B">
        <w:rPr>
          <w:rStyle w:val="FootnoteReference"/>
        </w:rPr>
        <w:footnoteReference w:id="24"/>
      </w:r>
      <w:r>
        <w:t xml:space="preserve"> </w:t>
      </w:r>
      <w:r w:rsidR="00F62614" w:rsidRPr="00F62614">
        <w:rPr>
          <w:szCs w:val="24"/>
        </w:rPr>
        <w:t>(Australian Government 2014b, p. 117)</w:t>
      </w:r>
      <w:r>
        <w:t xml:space="preserve"> </w:t>
      </w:r>
    </w:p>
    <w:p w:rsidR="007C51D1" w:rsidRDefault="007C51D1" w:rsidP="005939B8">
      <w:pPr>
        <w:pStyle w:val="BodyText"/>
      </w:pPr>
      <w:r>
        <w:lastRenderedPageBreak/>
        <w:t xml:space="preserve">Given the varied circumstances of retirees and their preference for flexibility, consideration of soft defaults needs to be based on strong evidence that retirees are unable to make sound financial decisions. </w:t>
      </w:r>
    </w:p>
    <w:p w:rsidR="007C51D1" w:rsidRDefault="007C51D1" w:rsidP="005939B8">
      <w:pPr>
        <w:pStyle w:val="Quote"/>
      </w:pPr>
      <w:r w:rsidRPr="00B23E98">
        <w:t xml:space="preserve">Policies requiring a person to invest their superannuation in a particular product, or restricting access to lump sums, should only be adopted where there is strong evidence that people are unable to make decisions that are in their best interests. </w:t>
      </w:r>
      <w:r>
        <w:t>…</w:t>
      </w:r>
    </w:p>
    <w:p w:rsidR="007C51D1" w:rsidRDefault="007C51D1" w:rsidP="005939B8">
      <w:pPr>
        <w:pStyle w:val="Quote"/>
      </w:pPr>
      <w:r>
        <w:t>A reasonable basis for policy design is the presumption that, having accumulated retirement savings, people are generally in the best position to determine how they use their assets during their retirement. Some people may prefer a higher standard of living at the beginning of their retirement, with high draw</w:t>
      </w:r>
      <w:r>
        <w:softHyphen/>
        <w:t xml:space="preserve">downs from their superannuation during this time, before relying on the Age Pension later in their life. Other people may prefer a stable and secure income over their entire retirement. </w:t>
      </w:r>
      <w:r w:rsidR="00F62614" w:rsidRPr="00F62614">
        <w:rPr>
          <w:szCs w:val="24"/>
        </w:rPr>
        <w:t>(Treasury 2009b, pp. 117, 121–122)</w:t>
      </w:r>
    </w:p>
    <w:p w:rsidR="007C51D1" w:rsidRDefault="007C51D1" w:rsidP="005939B8">
      <w:pPr>
        <w:pStyle w:val="BodyText"/>
      </w:pPr>
      <w:r>
        <w:t>Preparing soft defaults for implementation would be a significant undertaking. Designing appropriate defaults when there is such diversity necessitates a thorough understanding of people’s superannuation balances, other assets, debts, as well as their personal needs in retirement (which may be affected by their health, marital status and exposure to longevity risk). Absent careful design, defaults might be ineffective or make some retirees worse off (supplementary paper 4).</w:t>
      </w:r>
    </w:p>
    <w:p w:rsidR="007C51D1" w:rsidRPr="00690DF5" w:rsidRDefault="007C51D1" w:rsidP="005939B8">
      <w:pPr>
        <w:pStyle w:val="Quote"/>
      </w:pPr>
      <w:r>
        <w:t>Defaults work best where people are homogenous in their preferences and circumstances, and have relatively limited decision</w:t>
      </w:r>
      <w:r>
        <w:noBreakHyphen/>
        <w:t>making expertise. … In such cases if an optimal option can be identified it would make a good default. If people are more heterogeneous, any default is likely to be sub</w:t>
      </w:r>
      <w:r>
        <w:noBreakHyphen/>
        <w:t xml:space="preserve">optimal for a greater proportion of them, in which case it may be </w:t>
      </w:r>
      <w:r w:rsidRPr="00403FFB">
        <w:t>better to prompt people to make their own decisions</w:t>
      </w:r>
      <w:r>
        <w:t xml:space="preserve"> </w:t>
      </w:r>
      <w:r w:rsidRPr="00403FFB">
        <w:t xml:space="preserve">… </w:t>
      </w:r>
      <w:r w:rsidR="00F62614" w:rsidRPr="00F62614">
        <w:rPr>
          <w:szCs w:val="24"/>
        </w:rPr>
        <w:t>(</w:t>
      </w:r>
      <w:proofErr w:type="spellStart"/>
      <w:r w:rsidR="00F62614" w:rsidRPr="00F62614">
        <w:rPr>
          <w:szCs w:val="24"/>
        </w:rPr>
        <w:t>Reeson</w:t>
      </w:r>
      <w:proofErr w:type="spellEnd"/>
      <w:r w:rsidR="00F62614" w:rsidRPr="00F62614">
        <w:rPr>
          <w:szCs w:val="24"/>
        </w:rPr>
        <w:t xml:space="preserve"> and </w:t>
      </w:r>
      <w:proofErr w:type="spellStart"/>
      <w:r w:rsidR="00F62614" w:rsidRPr="00F62614">
        <w:rPr>
          <w:szCs w:val="24"/>
        </w:rPr>
        <w:t>Dunstall</w:t>
      </w:r>
      <w:proofErr w:type="spellEnd"/>
      <w:r w:rsidR="00F62614" w:rsidRPr="00F62614">
        <w:rPr>
          <w:szCs w:val="24"/>
        </w:rPr>
        <w:t> 2009, p. 15)</w:t>
      </w:r>
    </w:p>
    <w:p w:rsidR="007C51D1" w:rsidRDefault="007C51D1" w:rsidP="005939B8">
      <w:pPr>
        <w:pStyle w:val="BodyText"/>
      </w:pPr>
      <w:r w:rsidRPr="00094A1C">
        <w:t>Further, any move towards soft defaults would also need to take into account the broader workings of the retirement income system and the impacts of an ageing population. Interaction with the Age Pension means test</w:t>
      </w:r>
      <w:r>
        <w:t>s</w:t>
      </w:r>
      <w:r w:rsidRPr="00094A1C">
        <w:t xml:space="preserve"> will be cr</w:t>
      </w:r>
      <w:r>
        <w:t>itical</w:t>
      </w:r>
      <w:r w:rsidRPr="00094A1C">
        <w:t xml:space="preserve">. </w:t>
      </w:r>
      <w:r>
        <w:t>T</w:t>
      </w:r>
      <w:r w:rsidRPr="00094A1C">
        <w:t>he system</w:t>
      </w:r>
      <w:r w:rsidRPr="00094A1C">
        <w:noBreakHyphen/>
        <w:t xml:space="preserve">wide consequences of low yields on retirement income products (including annuities) </w:t>
      </w:r>
      <w:r>
        <w:t>would</w:t>
      </w:r>
      <w:r w:rsidRPr="00094A1C">
        <w:t xml:space="preserve"> also need to be considered. Under current policy settings (</w:t>
      </w:r>
      <w:r>
        <w:t>supplementary paper 1</w:t>
      </w:r>
      <w:r w:rsidRPr="00094A1C">
        <w:t xml:space="preserve">) encouraging individuals to take a lifetime annuity could result in lower lifetime income once Age Pension payments and low yields are taken into account </w:t>
      </w:r>
      <w:r w:rsidR="00F62614" w:rsidRPr="00F62614">
        <w:rPr>
          <w:szCs w:val="24"/>
        </w:rPr>
        <w:t>(Australian Government Actuary 2014; Stevens 2015)</w:t>
      </w:r>
      <w:r w:rsidRPr="00094A1C">
        <w:t>.</w:t>
      </w:r>
    </w:p>
    <w:p w:rsidR="007C51D1" w:rsidRDefault="007C51D1" w:rsidP="008F0B87">
      <w:pPr>
        <w:pStyle w:val="BodyText"/>
      </w:pPr>
      <w:r>
        <w:t>Finally, in assessing the fiscal impacts of a soft default, any possible reductions in Age Pension outlays need to be weighed up against the consequent reduction in the capacity of retirees to meet other costs associated with their old age, such as aged care and some health costs, through private savings. If soft defaults are to be pursued, their implementation would be best considered within the context of a broader review of the retirement income system and would benefit from communitywide consultation.</w:t>
      </w:r>
      <w:r w:rsidR="008F0B87">
        <w:t xml:space="preserve"> </w:t>
      </w:r>
    </w:p>
    <w:p w:rsidR="007C51D1" w:rsidRPr="007C51D1" w:rsidRDefault="007C51D1" w:rsidP="007C51D1"/>
    <w:sectPr w:rsidR="007C51D1" w:rsidRPr="007C51D1" w:rsidSect="007C51D1">
      <w:headerReference w:type="even" r:id="rId112"/>
      <w:headerReference w:type="default" r:id="rId113"/>
      <w:footerReference w:type="even" r:id="rId114"/>
      <w:footerReference w:type="default" r:id="rId115"/>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39B8" w:rsidRDefault="005939B8">
      <w:r>
        <w:separator/>
      </w:r>
    </w:p>
  </w:endnote>
  <w:endnote w:type="continuationSeparator" w:id="0">
    <w:p w:rsidR="005939B8" w:rsidRDefault="005939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venir 65 Medium">
    <w:altName w:val="Avenir 65 Medium"/>
    <w:panose1 w:val="00000000000000000000"/>
    <w:charset w:val="00"/>
    <w:family w:val="swiss"/>
    <w:notTrueType/>
    <w:pitch w:val="default"/>
    <w:sig w:usb0="00000003" w:usb1="00000000" w:usb2="00000000" w:usb3="00000000" w:csb0="00000001" w:csb1="00000000"/>
  </w:font>
  <w:font w:name="Avenir 35 Light">
    <w:altName w:val="Avenir 35 Light"/>
    <w:panose1 w:val="00000000000000000000"/>
    <w:charset w:val="00"/>
    <w:family w:val="swiss"/>
    <w:notTrueType/>
    <w:pitch w:val="default"/>
    <w:sig w:usb0="00000003" w:usb1="00000000" w:usb2="00000000" w:usb3="00000000" w:csb0="00000001" w:csb1="00000000"/>
  </w:font>
  <w:font w:name="Sabon">
    <w:altName w:val="Sabo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20</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pPr>
          <w:r>
            <w:t>SUPERANNUATION POLICY FOR POST-RETIREMENT</w:t>
          </w:r>
        </w:p>
      </w:tc>
      <w:tc>
        <w:tcPr>
          <w:tcW w:w="510" w:type="dxa"/>
          <w:tcBorders>
            <w:top w:val="single" w:sz="4" w:space="0" w:color="auto"/>
          </w:tcBorders>
          <w:shd w:val="clear" w:color="auto" w:fill="auto"/>
        </w:tcPr>
        <w:p w:rsidR="005939B8" w:rsidRDefault="005939B8" w:rsidP="007C51D1">
          <w:pPr>
            <w:pStyle w:val="Footer"/>
          </w:pPr>
        </w:p>
      </w:tc>
    </w:tr>
  </w:tbl>
  <w:p w:rsidR="005939B8" w:rsidRPr="007C51D1" w:rsidRDefault="005939B8" w:rsidP="007C51D1">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pPr>
        </w:p>
      </w:tc>
      <w:tc>
        <w:tcPr>
          <w:tcW w:w="7767" w:type="dxa"/>
          <w:tcBorders>
            <w:top w:val="single" w:sz="4" w:space="0" w:color="auto"/>
          </w:tcBorders>
          <w:shd w:val="clear" w:color="auto" w:fill="auto"/>
        </w:tcPr>
        <w:p w:rsidR="005939B8" w:rsidRDefault="005939B8" w:rsidP="007C51D1">
          <w:pPr>
            <w:pStyle w:val="Footer"/>
            <w:jc w:val="right"/>
          </w:pPr>
          <w:r>
            <w:t>Overview</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21</w:t>
          </w:r>
          <w:r>
            <w:rPr>
              <w:rStyle w:val="PageNumber"/>
            </w:rPr>
            <w:fldChar w:fldCharType="end"/>
          </w:r>
        </w:p>
      </w:tc>
    </w:tr>
  </w:tbl>
  <w:p w:rsidR="005939B8" w:rsidRPr="007C51D1" w:rsidRDefault="005939B8" w:rsidP="007C51D1">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24</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pPr>
          <w:r>
            <w:t>SUPERANNUATION POLICY FOR POST-RETIREMENT</w:t>
          </w:r>
        </w:p>
      </w:tc>
      <w:tc>
        <w:tcPr>
          <w:tcW w:w="510" w:type="dxa"/>
          <w:tcBorders>
            <w:top w:val="single" w:sz="4" w:space="0" w:color="auto"/>
          </w:tcBorders>
          <w:shd w:val="clear" w:color="auto" w:fill="auto"/>
        </w:tcPr>
        <w:p w:rsidR="005939B8" w:rsidRDefault="005939B8" w:rsidP="007C51D1">
          <w:pPr>
            <w:pStyle w:val="Footer"/>
          </w:pPr>
        </w:p>
      </w:tc>
    </w:tr>
  </w:tbl>
  <w:p w:rsidR="005939B8" w:rsidRPr="007C51D1" w:rsidRDefault="005939B8" w:rsidP="007C51D1">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pPr>
        </w:p>
      </w:tc>
      <w:tc>
        <w:tcPr>
          <w:tcW w:w="7767" w:type="dxa"/>
          <w:tcBorders>
            <w:top w:val="single" w:sz="4" w:space="0" w:color="auto"/>
          </w:tcBorders>
          <w:shd w:val="clear" w:color="auto" w:fill="auto"/>
        </w:tcPr>
        <w:p w:rsidR="005939B8" w:rsidRDefault="005939B8" w:rsidP="007C51D1">
          <w:pPr>
            <w:pStyle w:val="Footer"/>
            <w:jc w:val="right"/>
          </w:pPr>
          <w:r>
            <w:t>SETTING THE SCENE</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23</w:t>
          </w:r>
          <w:r>
            <w:rPr>
              <w:rStyle w:val="PageNumber"/>
            </w:rPr>
            <w:fldChar w:fldCharType="end"/>
          </w:r>
        </w:p>
      </w:tc>
    </w:tr>
  </w:tbl>
  <w:p w:rsidR="005939B8" w:rsidRPr="007C51D1" w:rsidRDefault="005939B8" w:rsidP="007C51D1">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26</w:t>
    </w:r>
    <w:r>
      <w:rPr>
        <w:rStyle w:val="PageNumber"/>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21690">
      <w:rPr>
        <w:rStyle w:val="PageNumber"/>
        <w:noProof/>
      </w:rPr>
      <w:t>27</w:t>
    </w:r>
    <w:r>
      <w:rPr>
        <w:rStyle w:val="PageNumber"/>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30</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7C51D1">
          <w:pPr>
            <w:pStyle w:val="Footer"/>
            <w:jc w:val="right"/>
            <w:rPr>
              <w:rStyle w:val="PageNumber"/>
              <w:b w:val="0"/>
            </w:rPr>
          </w:pPr>
          <w:r>
            <w:rPr>
              <w:rStyle w:val="PageNumber"/>
              <w:b w:val="0"/>
            </w:rPr>
            <w:t>SETTING THE SCENE</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29</w:t>
          </w:r>
          <w:r>
            <w:rPr>
              <w:rStyle w:val="PageNumber"/>
            </w:rPr>
            <w:fldChar w:fldCharType="end"/>
          </w:r>
        </w:p>
      </w:tc>
    </w:tr>
  </w:tbl>
  <w:p w:rsidR="005939B8" w:rsidRPr="007C51D1" w:rsidRDefault="005939B8" w:rsidP="007C51D1">
    <w:pPr>
      <w:pStyle w:val="FooterEnd"/>
      <w:rPr>
        <w:rStyle w:val="PageNumber"/>
        <w:b w:val="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68</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AA138F">
          <w:pPr>
            <w:pStyle w:val="Footer"/>
            <w:jc w:val="right"/>
            <w:rPr>
              <w:rStyle w:val="PageNumber"/>
              <w:b w:val="0"/>
            </w:rPr>
          </w:pPr>
          <w:r>
            <w:rPr>
              <w:rStyle w:val="PageNumber"/>
              <w:b w:val="0"/>
            </w:rPr>
            <w:t>THE PUBLIC</w:t>
          </w:r>
          <w:r w:rsidR="00AA138F">
            <w:rPr>
              <w:rStyle w:val="PageNumber"/>
              <w:b w:val="0"/>
            </w:rPr>
            <w:t>-</w:t>
          </w:r>
          <w:r>
            <w:rPr>
              <w:rStyle w:val="PageNumber"/>
              <w:b w:val="0"/>
            </w:rPr>
            <w:t>PRIVATE BALANCE OF RETIREMENT FUNDING</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49</w:t>
          </w:r>
          <w:r>
            <w:rPr>
              <w:rStyle w:val="PageNumber"/>
            </w:rPr>
            <w:fldChar w:fldCharType="end"/>
          </w:r>
        </w:p>
      </w:tc>
    </w:tr>
  </w:tbl>
  <w:p w:rsidR="005939B8" w:rsidRPr="007C51D1" w:rsidRDefault="005939B8" w:rsidP="007C51D1">
    <w:pPr>
      <w:pStyle w:val="FooterEnd"/>
      <w:rPr>
        <w:rStyle w:val="PageNumber"/>
        <w:b w:val="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5939B8" w:rsidP="007C51D1">
          <w:pPr>
            <w:pStyle w:val="Footer"/>
            <w:jc w:val="right"/>
            <w:rPr>
              <w:rStyle w:val="PageNumber"/>
              <w:b w:val="0"/>
            </w:rPr>
          </w:pPr>
          <w:r>
            <w:rPr>
              <w:rStyle w:val="PageNumber"/>
              <w:b w:val="0"/>
            </w:rPr>
            <w:t>PRESERVATION AGE AND RETIREMENT DECISIONS</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69</w:t>
          </w:r>
          <w:r>
            <w:rPr>
              <w:rStyle w:val="PageNumber"/>
            </w:rPr>
            <w:fldChar w:fldCharType="end"/>
          </w:r>
        </w:p>
      </w:tc>
    </w:tr>
  </w:tbl>
  <w:p w:rsidR="005939B8" w:rsidRPr="007C51D1" w:rsidRDefault="005939B8" w:rsidP="007C51D1">
    <w:pPr>
      <w:pStyle w:val="FooterEnd"/>
      <w:rPr>
        <w:rStyle w:val="PageNumber"/>
        <w:b w:val="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78</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pPr>
          <w:r>
            <w:t>SUPERANNUATION POLICY FOR POST-RETIREMENT</w:t>
          </w:r>
        </w:p>
      </w:tc>
      <w:tc>
        <w:tcPr>
          <w:tcW w:w="510" w:type="dxa"/>
          <w:tcBorders>
            <w:top w:val="single" w:sz="4" w:space="0" w:color="auto"/>
          </w:tcBorders>
          <w:shd w:val="clear" w:color="auto" w:fill="auto"/>
        </w:tcPr>
        <w:p w:rsidR="005939B8" w:rsidRDefault="005939B8" w:rsidP="007C51D1">
          <w:pPr>
            <w:pStyle w:val="Footer"/>
          </w:pPr>
        </w:p>
      </w:tc>
    </w:tr>
  </w:tbl>
  <w:p w:rsidR="005939B8" w:rsidRPr="007C51D1" w:rsidRDefault="005939B8" w:rsidP="007C51D1">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pPr>
        </w:p>
      </w:tc>
      <w:tc>
        <w:tcPr>
          <w:tcW w:w="7767" w:type="dxa"/>
          <w:tcBorders>
            <w:top w:val="single" w:sz="4" w:space="0" w:color="auto"/>
          </w:tcBorders>
          <w:shd w:val="clear" w:color="auto" w:fill="auto"/>
        </w:tcPr>
        <w:p w:rsidR="005939B8" w:rsidRDefault="005939B8" w:rsidP="007C51D1">
          <w:pPr>
            <w:pStyle w:val="Footer"/>
            <w:jc w:val="right"/>
          </w:pPr>
          <w:r>
            <w:t>IS DRAWDOWN BEHAVIOUR A CONCERN?</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79</w:t>
          </w:r>
          <w:r>
            <w:rPr>
              <w:rStyle w:val="PageNumber"/>
            </w:rPr>
            <w:fldChar w:fldCharType="end"/>
          </w:r>
        </w:p>
      </w:tc>
    </w:tr>
  </w:tbl>
  <w:p w:rsidR="005939B8" w:rsidRPr="007C51D1" w:rsidRDefault="005939B8" w:rsidP="007C51D1">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80</w:t>
    </w:r>
    <w:r>
      <w:rPr>
        <w:rStyle w:val="PageNumber"/>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Pr="007C51D1" w:rsidRDefault="005939B8" w:rsidP="007C51D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82</w:t>
          </w:r>
          <w:r>
            <w:rPr>
              <w:rStyle w:val="PageNumber"/>
            </w:rPr>
            <w:fldChar w:fldCharType="end"/>
          </w:r>
        </w:p>
      </w:tc>
      <w:tc>
        <w:tcPr>
          <w:tcW w:w="7767" w:type="dxa"/>
          <w:tcBorders>
            <w:top w:val="single" w:sz="4" w:space="0" w:color="auto"/>
          </w:tcBorders>
          <w:shd w:val="clear" w:color="auto" w:fill="auto"/>
        </w:tcPr>
        <w:p w:rsidR="005939B8" w:rsidRDefault="005939B8" w:rsidP="007C51D1">
          <w:pPr>
            <w:pStyle w:val="Footer"/>
            <w:rPr>
              <w:rStyle w:val="PageNumber"/>
              <w:b w:val="0"/>
            </w:rPr>
          </w:pPr>
          <w:r>
            <w:rPr>
              <w:rStyle w:val="PageNumber"/>
              <w:b w:val="0"/>
            </w:rPr>
            <w:t>SUPERANNUATION POLICY FOR POST-RETIREMENT</w:t>
          </w:r>
        </w:p>
      </w:tc>
      <w:tc>
        <w:tcPr>
          <w:tcW w:w="510" w:type="dxa"/>
          <w:tcBorders>
            <w:top w:val="single" w:sz="4" w:space="0" w:color="auto"/>
          </w:tcBorders>
          <w:shd w:val="clear" w:color="auto" w:fill="auto"/>
        </w:tcPr>
        <w:p w:rsidR="005939B8" w:rsidRDefault="005939B8" w:rsidP="007C51D1">
          <w:pPr>
            <w:pStyle w:val="Footer"/>
            <w:rPr>
              <w:rStyle w:val="PageNumber"/>
              <w:b w:val="0"/>
            </w:rPr>
          </w:pPr>
        </w:p>
      </w:tc>
    </w:tr>
  </w:tbl>
  <w:p w:rsidR="005939B8" w:rsidRPr="007C51D1" w:rsidRDefault="005939B8" w:rsidP="007C51D1">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939B8" w:rsidTr="007C51D1">
      <w:trPr>
        <w:trHeight w:val="567"/>
      </w:trPr>
      <w:tc>
        <w:tcPr>
          <w:tcW w:w="510" w:type="dxa"/>
          <w:tcBorders>
            <w:top w:val="single" w:sz="4" w:space="0" w:color="auto"/>
          </w:tcBorders>
          <w:shd w:val="clear" w:color="auto" w:fill="auto"/>
        </w:tcPr>
        <w:p w:rsidR="005939B8" w:rsidRDefault="005939B8" w:rsidP="007C51D1">
          <w:pPr>
            <w:pStyle w:val="Footer"/>
            <w:rPr>
              <w:rStyle w:val="PageNumber"/>
              <w:b w:val="0"/>
            </w:rPr>
          </w:pPr>
        </w:p>
      </w:tc>
      <w:tc>
        <w:tcPr>
          <w:tcW w:w="7767" w:type="dxa"/>
          <w:tcBorders>
            <w:top w:val="single" w:sz="4" w:space="0" w:color="auto"/>
          </w:tcBorders>
          <w:shd w:val="clear" w:color="auto" w:fill="auto"/>
        </w:tcPr>
        <w:p w:rsidR="005939B8" w:rsidRDefault="001456F9" w:rsidP="007C51D1">
          <w:pPr>
            <w:pStyle w:val="Footer"/>
            <w:jc w:val="right"/>
            <w:rPr>
              <w:rStyle w:val="PageNumber"/>
              <w:b w:val="0"/>
            </w:rPr>
          </w:pPr>
          <w:r>
            <w:t>IS DRAWDOWN BEHAVIOUR A CONCERN?</w:t>
          </w:r>
        </w:p>
      </w:tc>
      <w:tc>
        <w:tcPr>
          <w:tcW w:w="510" w:type="dxa"/>
          <w:tcBorders>
            <w:top w:val="single" w:sz="4" w:space="0" w:color="auto"/>
          </w:tcBorders>
          <w:shd w:val="clear" w:color="auto" w:fill="auto"/>
        </w:tcPr>
        <w:p w:rsidR="005939B8" w:rsidRPr="007C51D1" w:rsidRDefault="005939B8" w:rsidP="007C51D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456F9">
            <w:rPr>
              <w:rStyle w:val="PageNumber"/>
              <w:noProof/>
            </w:rPr>
            <w:t>81</w:t>
          </w:r>
          <w:r>
            <w:rPr>
              <w:rStyle w:val="PageNumber"/>
            </w:rPr>
            <w:fldChar w:fldCharType="end"/>
          </w:r>
        </w:p>
      </w:tc>
    </w:tr>
  </w:tbl>
  <w:p w:rsidR="005939B8" w:rsidRPr="007C51D1" w:rsidRDefault="005939B8" w:rsidP="007C51D1">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39B8" w:rsidRDefault="005939B8">
      <w:r>
        <w:separator/>
      </w:r>
    </w:p>
  </w:footnote>
  <w:footnote w:type="continuationSeparator" w:id="0">
    <w:p w:rsidR="005939B8" w:rsidRDefault="005939B8">
      <w:r>
        <w:continuationSeparator/>
      </w:r>
    </w:p>
  </w:footnote>
  <w:footnote w:id="1">
    <w:p w:rsidR="005939B8" w:rsidRPr="000104EF" w:rsidRDefault="005939B8">
      <w:pPr>
        <w:pStyle w:val="FootnoteText"/>
        <w:rPr>
          <w:lang w:val="en-US"/>
        </w:rPr>
      </w:pPr>
      <w:r w:rsidRPr="006A16BC">
        <w:rPr>
          <w:rStyle w:val="FootnoteReference"/>
        </w:rPr>
        <w:footnoteRef/>
      </w:r>
      <w:r>
        <w:tab/>
        <w:t>The 2014-15 Budget announced a further increase in the Age Pension age to 70 years, which remains subject to legislative passage.</w:t>
      </w:r>
    </w:p>
  </w:footnote>
  <w:footnote w:id="2">
    <w:p w:rsidR="005939B8" w:rsidRDefault="005939B8" w:rsidP="005939B8">
      <w:pPr>
        <w:pStyle w:val="FootnoteText"/>
      </w:pPr>
      <w:r w:rsidRPr="00D44A36">
        <w:rPr>
          <w:rStyle w:val="FootnoteReference"/>
        </w:rPr>
        <w:footnoteRef/>
      </w:r>
      <w:r>
        <w:tab/>
        <w:t>The eligibility</w:t>
      </w:r>
      <w:r w:rsidRPr="00471627">
        <w:t xml:space="preserve"> age </w:t>
      </w:r>
      <w:r>
        <w:t>for women</w:t>
      </w:r>
      <w:r w:rsidRPr="00471627">
        <w:t xml:space="preserve"> was initially 60 years</w:t>
      </w:r>
      <w:r>
        <w:t xml:space="preserve"> </w:t>
      </w:r>
      <w:r w:rsidRPr="00471627">
        <w:t>and was gradually</w:t>
      </w:r>
      <w:r>
        <w:t xml:space="preserve"> brought in line with the eligibility age for men (65 years)</w:t>
      </w:r>
      <w:r w:rsidRPr="00471627">
        <w:t xml:space="preserve"> between 1994 and 2014.</w:t>
      </w:r>
      <w:r>
        <w:t xml:space="preserve"> </w:t>
      </w:r>
    </w:p>
  </w:footnote>
  <w:footnote w:id="3">
    <w:p w:rsidR="005939B8" w:rsidRDefault="005939B8">
      <w:pPr>
        <w:pStyle w:val="FootnoteText"/>
      </w:pPr>
      <w:r w:rsidRPr="00D44A36">
        <w:rPr>
          <w:rStyle w:val="FootnoteReference"/>
        </w:rPr>
        <w:footnoteRef/>
      </w:r>
      <w:r>
        <w:tab/>
      </w:r>
      <w:proofErr w:type="gramStart"/>
      <w:r>
        <w:t xml:space="preserve">Defined in OECD </w:t>
      </w:r>
      <w:r w:rsidRPr="00F62614">
        <w:t>(2013)</w:t>
      </w:r>
      <w:r>
        <w:t xml:space="preserve"> as the share of over 65 year olds relative to those aged 20 or over.</w:t>
      </w:r>
      <w:proofErr w:type="gramEnd"/>
    </w:p>
  </w:footnote>
  <w:footnote w:id="4">
    <w:p w:rsidR="005939B8" w:rsidRDefault="005939B8">
      <w:pPr>
        <w:pStyle w:val="FootnoteText"/>
      </w:pPr>
      <w:r w:rsidRPr="00E76E45">
        <w:rPr>
          <w:rStyle w:val="FootnoteReference"/>
        </w:rPr>
        <w:footnoteRef/>
      </w:r>
      <w:r>
        <w:tab/>
        <w:t xml:space="preserve">Taxing earnings in the concessional superannuation environment also makes voluntary, after-tax contributions to a transition to retirement pension fund up to the relevant caps tax effective. More details on the taxation of superannuation savings are provided in </w:t>
      </w:r>
      <w:r w:rsidRPr="00D62A5A">
        <w:t>supplementary paper 1</w:t>
      </w:r>
      <w:r w:rsidRPr="002B601B">
        <w:t>.</w:t>
      </w:r>
    </w:p>
  </w:footnote>
  <w:footnote w:id="5">
    <w:p w:rsidR="005939B8" w:rsidRDefault="005939B8">
      <w:pPr>
        <w:pStyle w:val="FootnoteText"/>
      </w:pPr>
      <w:r w:rsidRPr="00E76E45">
        <w:rPr>
          <w:rStyle w:val="FootnoteReference"/>
        </w:rPr>
        <w:footnoteRef/>
      </w:r>
      <w:r>
        <w:tab/>
      </w:r>
      <w:proofErr w:type="gramStart"/>
      <w:r>
        <w:t>Based on DSS Payment Demographic data.</w:t>
      </w:r>
      <w:proofErr w:type="gramEnd"/>
    </w:p>
  </w:footnote>
  <w:footnote w:id="6">
    <w:p w:rsidR="005939B8" w:rsidRDefault="005939B8">
      <w:pPr>
        <w:pStyle w:val="FootnoteText"/>
      </w:pPr>
      <w:r w:rsidRPr="00E76E45">
        <w:rPr>
          <w:rStyle w:val="FootnoteReference"/>
        </w:rPr>
        <w:footnoteRef/>
      </w:r>
      <w:r>
        <w:tab/>
        <w:t>How Australians use their superannuation in relation to paying down debt is discussed in detail in chapter 4.</w:t>
      </w:r>
    </w:p>
  </w:footnote>
  <w:footnote w:id="7">
    <w:p w:rsidR="005939B8" w:rsidRDefault="005939B8">
      <w:pPr>
        <w:pStyle w:val="FootnoteText"/>
      </w:pPr>
      <w:r w:rsidRPr="00E76E45">
        <w:rPr>
          <w:rStyle w:val="FootnoteReference"/>
        </w:rPr>
        <w:footnoteRef/>
      </w:r>
      <w:r>
        <w:tab/>
        <w:t xml:space="preserve">One example of how small changes in assumptions can lead to large differences in superannuation projections is contained in the Rice Warner Actuaries submission to the </w:t>
      </w:r>
      <w:r w:rsidRPr="0079493F">
        <w:rPr>
          <w:i/>
        </w:rPr>
        <w:t>Financial System Inquiry</w:t>
      </w:r>
      <w:r>
        <w:t xml:space="preserve">. The base projection calculated superannuation assets to be $3353 billion (in 2013 dollars) by 2028, but the sensitivity analysis of the assumptions revealed that different assumptions could yield a figure between $2931 billion and $3791 billion, with assumptions around contribution levels, wage inflation and investment returns all making a material difference to the final result </w:t>
      </w:r>
      <w:r w:rsidRPr="00F62614">
        <w:rPr>
          <w:szCs w:val="24"/>
        </w:rPr>
        <w:t>(Rice Warner 2014)</w:t>
      </w:r>
      <w:r>
        <w:t>.</w:t>
      </w:r>
    </w:p>
  </w:footnote>
  <w:footnote w:id="8">
    <w:p w:rsidR="005939B8" w:rsidRDefault="005939B8">
      <w:pPr>
        <w:pStyle w:val="FootnoteText"/>
      </w:pPr>
      <w:r w:rsidRPr="00E76E45">
        <w:rPr>
          <w:rStyle w:val="FootnoteReference"/>
        </w:rPr>
        <w:footnoteRef/>
      </w:r>
      <w:r>
        <w:tab/>
        <w:t xml:space="preserve">Importantly, the purpose-built models that have been used to look at this matter are different from the model built by the Commission to examine the effects of </w:t>
      </w:r>
      <w:proofErr w:type="gramStart"/>
      <w:r>
        <w:t>raising</w:t>
      </w:r>
      <w:proofErr w:type="gramEnd"/>
      <w:r>
        <w:t xml:space="preserve"> the preservation age on retirement behaviour (chapter 3).</w:t>
      </w:r>
    </w:p>
  </w:footnote>
  <w:footnote w:id="9">
    <w:p w:rsidR="005939B8" w:rsidRPr="00D16D3B" w:rsidRDefault="005939B8">
      <w:pPr>
        <w:pStyle w:val="FootnoteText"/>
        <w:rPr>
          <w:lang w:val="en-US"/>
        </w:rPr>
      </w:pPr>
      <w:r w:rsidRPr="00216A16">
        <w:rPr>
          <w:rStyle w:val="FootnoteReference"/>
        </w:rPr>
        <w:footnoteRef/>
      </w:r>
      <w:r>
        <w:tab/>
      </w:r>
      <w:r w:rsidRPr="00CF485A">
        <w:t>While time spent in the workforce</w:t>
      </w:r>
      <w:r w:rsidRPr="00D16D3B">
        <w:t xml:space="preserve"> may be partly explained by higher earnings, it might also reflect non</w:t>
      </w:r>
      <w:r>
        <w:noBreakHyphen/>
      </w:r>
      <w:r w:rsidRPr="00D16D3B">
        <w:t>pecuniary factors such as enjoyment derived from work</w:t>
      </w:r>
      <w:r w:rsidRPr="00CF485A">
        <w:t>.</w:t>
      </w:r>
    </w:p>
  </w:footnote>
  <w:footnote w:id="10">
    <w:p w:rsidR="005939B8" w:rsidRDefault="005939B8">
      <w:pPr>
        <w:pStyle w:val="FootnoteText"/>
      </w:pPr>
      <w:r w:rsidRPr="00216A16">
        <w:rPr>
          <w:rStyle w:val="FootnoteReference"/>
        </w:rPr>
        <w:footnoteRef/>
      </w:r>
      <w:r>
        <w:tab/>
      </w:r>
      <w:r w:rsidRPr="00E83F5C">
        <w:t xml:space="preserve">Levels of involuntary retirement in the future are likely to be affected by a mix of factors, including labour market conditions and the health of older Australians. The mix of factors at play makes it difficult to project rates of involuntary retirement. </w:t>
      </w:r>
      <w:r>
        <w:t>The nature and extent of involuntary retirement is discussed in more detail in supplementary paper 5.</w:t>
      </w:r>
    </w:p>
  </w:footnote>
  <w:footnote w:id="11">
    <w:p w:rsidR="005939B8" w:rsidRDefault="005939B8" w:rsidP="005939B8">
      <w:pPr>
        <w:pStyle w:val="FootnoteText"/>
      </w:pPr>
      <w:r w:rsidRPr="00216A16">
        <w:rPr>
          <w:rStyle w:val="FootnoteReference"/>
        </w:rPr>
        <w:footnoteRef/>
      </w:r>
      <w:r>
        <w:tab/>
      </w:r>
      <w:r w:rsidRPr="003A4331">
        <w:t xml:space="preserve">Although some </w:t>
      </w:r>
      <w:r>
        <w:t xml:space="preserve">have </w:t>
      </w:r>
      <w:r w:rsidRPr="003A4331">
        <w:t>argue</w:t>
      </w:r>
      <w:r>
        <w:t>d</w:t>
      </w:r>
      <w:r w:rsidRPr="003A4331">
        <w:t xml:space="preserve"> that many </w:t>
      </w:r>
      <w:r>
        <w:t xml:space="preserve">of these </w:t>
      </w:r>
      <w:r w:rsidRPr="003A4331">
        <w:t xml:space="preserve">early retirees could only </w:t>
      </w:r>
      <w:r>
        <w:t xml:space="preserve">have afforded </w:t>
      </w:r>
      <w:r w:rsidRPr="003A4331">
        <w:t>to do so because</w:t>
      </w:r>
      <w:r>
        <w:t xml:space="preserve"> they ultimately ended up on the Age Pension</w:t>
      </w:r>
      <w:r w:rsidRPr="003A4331">
        <w:t xml:space="preserve"> </w:t>
      </w:r>
      <w:r w:rsidRPr="00F62614">
        <w:rPr>
          <w:szCs w:val="24"/>
        </w:rPr>
        <w:t>(</w:t>
      </w:r>
      <w:proofErr w:type="spellStart"/>
      <w:r w:rsidRPr="00F62614">
        <w:rPr>
          <w:szCs w:val="24"/>
        </w:rPr>
        <w:t>Edey</w:t>
      </w:r>
      <w:proofErr w:type="spellEnd"/>
      <w:r w:rsidRPr="00F62614">
        <w:rPr>
          <w:szCs w:val="24"/>
        </w:rPr>
        <w:t xml:space="preserve"> and Simon 1996)</w:t>
      </w:r>
      <w:r w:rsidRPr="003A4331">
        <w:t>.</w:t>
      </w:r>
    </w:p>
  </w:footnote>
  <w:footnote w:id="12">
    <w:p w:rsidR="005939B8" w:rsidRDefault="005939B8" w:rsidP="005939B8">
      <w:pPr>
        <w:pStyle w:val="FootnoteText"/>
      </w:pPr>
      <w:r w:rsidRPr="00216A16">
        <w:rPr>
          <w:rStyle w:val="FootnoteReference"/>
        </w:rPr>
        <w:footnoteRef/>
      </w:r>
      <w:r>
        <w:tab/>
      </w:r>
      <w:r w:rsidRPr="00967794">
        <w:t>For example, in 2011 there were over 185 000 people between the ages of 55 and 64 years who were not currently</w:t>
      </w:r>
      <w:r>
        <w:t xml:space="preserve"> working and wanted a paid job — </w:t>
      </w:r>
      <w:r w:rsidRPr="00967794">
        <w:t>1.5 per cent of the current total labour force</w:t>
      </w:r>
      <w:r>
        <w:t xml:space="preserve"> </w:t>
      </w:r>
      <w:r w:rsidRPr="00F62614">
        <w:rPr>
          <w:szCs w:val="24"/>
        </w:rPr>
        <w:t>(PC 2013)</w:t>
      </w:r>
      <w:r>
        <w:t>.</w:t>
      </w:r>
    </w:p>
  </w:footnote>
  <w:footnote w:id="13">
    <w:p w:rsidR="005939B8" w:rsidRDefault="005939B8" w:rsidP="005939B8">
      <w:pPr>
        <w:pStyle w:val="FootnoteText"/>
      </w:pPr>
      <w:r w:rsidRPr="00216A16">
        <w:rPr>
          <w:rStyle w:val="FootnoteReference"/>
        </w:rPr>
        <w:footnoteRef/>
      </w:r>
      <w:r>
        <w:tab/>
        <w:t>A</w:t>
      </w:r>
      <w:r w:rsidRPr="00E30FE4">
        <w:t>s savings balances increase, the marginal benefit of delaying retirement for bequeathing purposes increases because th</w:t>
      </w:r>
      <w:r>
        <w:t>e absolute returns to savings are higher.</w:t>
      </w:r>
    </w:p>
  </w:footnote>
  <w:footnote w:id="14">
    <w:p w:rsidR="005939B8" w:rsidRPr="003D6D60" w:rsidRDefault="005939B8">
      <w:pPr>
        <w:pStyle w:val="FootnoteText"/>
        <w:rPr>
          <w:lang w:val="en-US"/>
        </w:rPr>
      </w:pPr>
      <w:r w:rsidRPr="00216A16">
        <w:rPr>
          <w:rStyle w:val="FootnoteReference"/>
        </w:rPr>
        <w:footnoteRef/>
      </w:r>
      <w:r>
        <w:tab/>
        <w:t xml:space="preserve">This cohort of individuals would be </w:t>
      </w:r>
      <w:r w:rsidRPr="005924DD">
        <w:t>73-77 years of age in 2055</w:t>
      </w:r>
      <w:r>
        <w:t>.</w:t>
      </w:r>
    </w:p>
  </w:footnote>
  <w:footnote w:id="15">
    <w:p w:rsidR="005939B8" w:rsidRDefault="005939B8" w:rsidP="005939B8">
      <w:pPr>
        <w:pStyle w:val="FootnoteText"/>
      </w:pPr>
      <w:r w:rsidRPr="00265ED2">
        <w:rPr>
          <w:rStyle w:val="FootnoteReference"/>
        </w:rPr>
        <w:footnoteRef/>
      </w:r>
      <w:r>
        <w:tab/>
        <w:t xml:space="preserve">Once a person reaches the age of 55 — the preservation age — they can start accessing superannuation if they meet one of the conditions of release, which include being retired or transitioning to retirement. The rules around when and how superannuation can be accessed are discussed in supplementary </w:t>
      </w:r>
      <w:r w:rsidRPr="006421B9">
        <w:t xml:space="preserve">paper </w:t>
      </w:r>
      <w:r>
        <w:t>1</w:t>
      </w:r>
      <w:r w:rsidRPr="006421B9">
        <w:t>.</w:t>
      </w:r>
      <w:r>
        <w:t xml:space="preserve"> </w:t>
      </w:r>
    </w:p>
  </w:footnote>
  <w:footnote w:id="16">
    <w:p w:rsidR="005939B8" w:rsidRDefault="005939B8" w:rsidP="005939B8">
      <w:pPr>
        <w:pStyle w:val="FootnoteText"/>
      </w:pPr>
      <w:r w:rsidRPr="00265ED2">
        <w:rPr>
          <w:rStyle w:val="FootnoteReference"/>
        </w:rPr>
        <w:footnoteRef/>
      </w:r>
      <w:r>
        <w:tab/>
        <w:t>The Commission uses quartiles and quintiles in its analysis to highlight behavioural differences in the population. Quartiles divide the population into four groups based on some characteristic such as household wealth. The population is divided into the lowest wealth group (quartile 1), second-lowest wealth group (quartile 2), second-highest wealth group (quartile 3) and highest wealth group (quartile 4). Quintiles divide the population into five groups and include a ‘middle group’.</w:t>
      </w:r>
    </w:p>
  </w:footnote>
  <w:footnote w:id="17">
    <w:p w:rsidR="005939B8" w:rsidRDefault="005939B8">
      <w:pPr>
        <w:pStyle w:val="FootnoteText"/>
      </w:pPr>
      <w:r>
        <w:rPr>
          <w:rStyle w:val="FootnoteReference"/>
        </w:rPr>
        <w:footnoteRef/>
      </w:r>
      <w:r>
        <w:tab/>
        <w:t>This observation is based on a preliminary examination of HILDA (2013, release 13, wave 13).</w:t>
      </w:r>
    </w:p>
  </w:footnote>
  <w:footnote w:id="18">
    <w:p w:rsidR="005939B8" w:rsidRDefault="005939B8" w:rsidP="005939B8">
      <w:pPr>
        <w:pStyle w:val="FootnoteText"/>
      </w:pPr>
      <w:r>
        <w:rPr>
          <w:rStyle w:val="FootnoteReference"/>
        </w:rPr>
        <w:footnoteRef/>
      </w:r>
      <w:r>
        <w:tab/>
        <w:t>The three charts (4.6</w:t>
      </w:r>
      <w:r>
        <w:noBreakHyphen/>
        <w:t>4.8) represent the median or ‘middle’ individual in different groups (be they wealth</w:t>
      </w:r>
      <w:r>
        <w:noBreakHyphen/>
        <w:t>, gender</w:t>
      </w:r>
      <w:r>
        <w:noBreakHyphen/>
        <w:t>, or home-ownership-based) and depicts what share of their superannuation they take as a lump sum. For example, in figure 4.7, individuals are grouped according to their wealth. In 2003-04, the ‘middle’ person in the first quartile took around 90 per cent of their superannuation balance as a lump sum.</w:t>
      </w:r>
    </w:p>
  </w:footnote>
  <w:footnote w:id="19">
    <w:p w:rsidR="005939B8" w:rsidRPr="00F13998" w:rsidRDefault="005939B8" w:rsidP="005939B8">
      <w:pPr>
        <w:pStyle w:val="FootnoteText"/>
        <w:rPr>
          <w:lang w:val="en-US"/>
        </w:rPr>
      </w:pPr>
      <w:r w:rsidRPr="00265ED2">
        <w:rPr>
          <w:rStyle w:val="FootnoteReference"/>
        </w:rPr>
        <w:footnoteRef/>
      </w:r>
      <w:r>
        <w:tab/>
        <w:t xml:space="preserve">Data from the ABS Household Expenditure Survey (HES) was used to examine the expenditure patterns of those who took lump sums. </w:t>
      </w:r>
      <w:r w:rsidRPr="00F13998">
        <w:t>One issue in using HES to analyse the use of lump sums relates to the timing of the survey. HES measures lump sums that have been taken in the last two years and measures current weekly expenditure. As such, HES cannot show how much debt was paid down by using a lump sum.</w:t>
      </w:r>
    </w:p>
  </w:footnote>
  <w:footnote w:id="20">
    <w:p w:rsidR="005939B8" w:rsidRDefault="005939B8">
      <w:pPr>
        <w:pStyle w:val="FootnoteText"/>
      </w:pPr>
      <w:r>
        <w:rPr>
          <w:rStyle w:val="FootnoteReference"/>
        </w:rPr>
        <w:footnoteRef/>
      </w:r>
      <w:r>
        <w:tab/>
        <w:t xml:space="preserve">Differences between the Commission’s analysis and work undertaken by Rothman and Wang </w:t>
      </w:r>
      <w:r w:rsidRPr="00F62614">
        <w:t>(2013)</w:t>
      </w:r>
      <w:r>
        <w:t xml:space="preserve"> could be driven by the data sources used. The Commission used SIH data, while Rothman and Wang </w:t>
      </w:r>
      <w:r w:rsidRPr="00F62614">
        <w:t>(2013)</w:t>
      </w:r>
      <w:r>
        <w:t xml:space="preserve"> used data from the ATO and Department of Social Services. Another difference is that the Commission examined the drawdown patterns of all those with superannuation rather than just those with account</w:t>
      </w:r>
      <w:r>
        <w:noBreakHyphen/>
        <w:t xml:space="preserve">based pensions withdrawing less than 20 per cent a year. </w:t>
      </w:r>
    </w:p>
  </w:footnote>
  <w:footnote w:id="21">
    <w:p w:rsidR="005939B8" w:rsidRDefault="005939B8" w:rsidP="005939B8">
      <w:pPr>
        <w:pStyle w:val="FootnoteText"/>
      </w:pPr>
      <w:r w:rsidRPr="00265ED2">
        <w:rPr>
          <w:rStyle w:val="FootnoteReference"/>
        </w:rPr>
        <w:footnoteRef/>
      </w:r>
      <w:r>
        <w:tab/>
        <w:t>The Australian Treasury is currently reviewing supply</w:t>
      </w:r>
      <w:r>
        <w:noBreakHyphen/>
        <w:t>side factors that may have contributed to the underdevelopment of the annuities market in Australia, and whether minimum draw down rates of account</w:t>
      </w:r>
      <w:r>
        <w:noBreakHyphen/>
        <w:t>based pensions are appropriately flexible. In particular, the Australian Treasury is assessing regulatory barriers to the development of annuity products that mitigate longevity risk, including deferred lifetime annuities and group self</w:t>
      </w:r>
      <w:r>
        <w:noBreakHyphen/>
      </w:r>
      <w:proofErr w:type="spellStart"/>
      <w:r>
        <w:t>annuitisation</w:t>
      </w:r>
      <w:proofErr w:type="spellEnd"/>
      <w:r>
        <w:t xml:space="preserve"> schemes. This chapter examines the demand</w:t>
      </w:r>
      <w:r>
        <w:noBreakHyphen/>
        <w:t>side of the market.</w:t>
      </w:r>
    </w:p>
  </w:footnote>
  <w:footnote w:id="22">
    <w:p w:rsidR="005939B8" w:rsidRDefault="005939B8" w:rsidP="005939B8">
      <w:pPr>
        <w:pStyle w:val="FootnoteText"/>
      </w:pPr>
      <w:r w:rsidRPr="00265ED2">
        <w:rPr>
          <w:rStyle w:val="FootnoteReference"/>
        </w:rPr>
        <w:footnoteRef/>
      </w:r>
      <w:r>
        <w:tab/>
        <w:t>Soft defaults being the default choice made by superannuation trustees, with it being incumbent on users to make contact and change the way that they elect to receive their superannuation.</w:t>
      </w:r>
    </w:p>
  </w:footnote>
  <w:footnote w:id="23">
    <w:p w:rsidR="005939B8" w:rsidRDefault="005939B8">
      <w:pPr>
        <w:pStyle w:val="FootnoteText"/>
      </w:pPr>
      <w:r>
        <w:rPr>
          <w:rStyle w:val="FootnoteReference"/>
        </w:rPr>
        <w:footnoteRef/>
      </w:r>
      <w:r>
        <w:tab/>
        <w:t xml:space="preserve">The </w:t>
      </w:r>
      <w:r w:rsidRPr="00E734E4">
        <w:rPr>
          <w:i/>
        </w:rPr>
        <w:t>Financial System Inquiry</w:t>
      </w:r>
      <w:r>
        <w:t xml:space="preserve"> </w:t>
      </w:r>
      <w:r w:rsidRPr="00F62614">
        <w:t>(</w:t>
      </w:r>
      <w:r w:rsidR="00CE3969">
        <w:t xml:space="preserve">Australian Government </w:t>
      </w:r>
      <w:r w:rsidRPr="00F62614">
        <w:t>2014b)</w:t>
      </w:r>
      <w:r>
        <w:t xml:space="preserve"> noted that there should be neutrality in how retirement income products (including those that manage longevity risk) are treated under tax and social security rules. As such, the </w:t>
      </w:r>
      <w:r w:rsidRPr="00E734E4">
        <w:rPr>
          <w:i/>
        </w:rPr>
        <w:t>Financial System Inquiry</w:t>
      </w:r>
      <w:r>
        <w:t xml:space="preserve"> </w:t>
      </w:r>
      <w:r w:rsidRPr="00F62614">
        <w:t>(</w:t>
      </w:r>
      <w:r w:rsidR="00CE3969">
        <w:t>Australian Government</w:t>
      </w:r>
      <w:r w:rsidR="00CE3969" w:rsidRPr="00F62614">
        <w:t xml:space="preserve"> </w:t>
      </w:r>
      <w:r w:rsidRPr="00F62614">
        <w:t>2014b)</w:t>
      </w:r>
      <w:r>
        <w:t xml:space="preserve"> excluded Age Pension payments from its comparison of income levels derived from different types of retirement income products. Under current policy settings it is likely that the inclusion of Age Pension payments in these calculations would lead to differences in the relative attractiveness of retirement income products. For instance, total income produced by account</w:t>
      </w:r>
      <w:r>
        <w:noBreakHyphen/>
        <w:t xml:space="preserve">based pensions is much closer to income from annuity products when Age Pension payments are included </w:t>
      </w:r>
      <w:r w:rsidRPr="00F62614">
        <w:rPr>
          <w:szCs w:val="24"/>
        </w:rPr>
        <w:t>(Australian Government Actuary 2014)</w:t>
      </w:r>
      <w:r>
        <w:t xml:space="preserve">. </w:t>
      </w:r>
    </w:p>
  </w:footnote>
  <w:footnote w:id="24">
    <w:p w:rsidR="005939B8" w:rsidRDefault="005939B8">
      <w:pPr>
        <w:pStyle w:val="FootnoteText"/>
      </w:pPr>
      <w:r>
        <w:rPr>
          <w:rStyle w:val="FootnoteReference"/>
        </w:rPr>
        <w:footnoteRef/>
      </w:r>
      <w:r>
        <w:tab/>
        <w:t>In practice, maintaining flexibility and providing regular, stable income streams would be complex and would likely require a proportion of superannuation savings to be preserved in an account</w:t>
      </w:r>
      <w:r>
        <w:noBreakHyphen/>
        <w:t xml:space="preserve">based pension, which could then be flexibly drawn down. The </w:t>
      </w:r>
      <w:r w:rsidRPr="00E734E4">
        <w:rPr>
          <w:i/>
        </w:rPr>
        <w:t>Financial System Inquiry</w:t>
      </w:r>
      <w:r>
        <w:t xml:space="preserve"> </w:t>
      </w:r>
      <w:r w:rsidRPr="00F62614">
        <w:t>(</w:t>
      </w:r>
      <w:r w:rsidR="00CE3969">
        <w:t>Australian Government</w:t>
      </w:r>
      <w:r w:rsidR="00CE3969" w:rsidRPr="00F62614">
        <w:t xml:space="preserve"> </w:t>
      </w:r>
      <w:r w:rsidRPr="00F62614">
        <w:t>2014b)</w:t>
      </w:r>
      <w:r>
        <w:t xml:space="preserve"> notes that some flexibility would be forfeited as a result of moving towards comprehensive income products for retirement.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917A1B" w:rsidTr="007C51D1">
      <w:trPr>
        <w:trHeight w:val="300"/>
      </w:trPr>
      <w:tc>
        <w:tcPr>
          <w:tcW w:w="6633" w:type="dxa"/>
          <w:tcBorders>
            <w:top w:val="single" w:sz="6" w:space="0" w:color="auto"/>
          </w:tcBorders>
          <w:shd w:val="clear" w:color="auto" w:fill="auto"/>
        </w:tcPr>
        <w:p w:rsidR="00917A1B" w:rsidRDefault="00917A1B" w:rsidP="007C51D1">
          <w:pPr>
            <w:pStyle w:val="HeaderOdd"/>
          </w:pPr>
        </w:p>
      </w:tc>
      <w:tc>
        <w:tcPr>
          <w:tcW w:w="2154" w:type="dxa"/>
          <w:tcBorders>
            <w:top w:val="single" w:sz="24" w:space="0" w:color="auto"/>
          </w:tcBorders>
          <w:shd w:val="clear" w:color="auto" w:fill="auto"/>
        </w:tcPr>
        <w:p w:rsidR="00917A1B" w:rsidRDefault="00917A1B" w:rsidP="007C51D1">
          <w:pPr>
            <w:pStyle w:val="HeaderOdd"/>
          </w:pPr>
        </w:p>
      </w:tc>
    </w:tr>
  </w:tbl>
  <w:p w:rsidR="00917A1B" w:rsidRPr="007C51D1" w:rsidRDefault="00917A1B" w:rsidP="007C51D1">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39B8" w:rsidRPr="007C51D1" w:rsidRDefault="005939B8" w:rsidP="007C51D1">
    <w:pPr>
      <w:pStyle w:val="Header"/>
      <w:spacing w:line="20" w:lineRule="exac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939B8" w:rsidTr="007C51D1">
      <w:trPr>
        <w:trHeight w:val="300"/>
      </w:trPr>
      <w:tc>
        <w:tcPr>
          <w:tcW w:w="2154" w:type="dxa"/>
          <w:tcBorders>
            <w:top w:val="single" w:sz="24" w:space="0" w:color="auto"/>
          </w:tcBorders>
          <w:shd w:val="clear" w:color="auto" w:fill="auto"/>
        </w:tcPr>
        <w:p w:rsidR="005939B8" w:rsidRDefault="005939B8" w:rsidP="007C51D1">
          <w:pPr>
            <w:pStyle w:val="HeaderEven"/>
          </w:pPr>
        </w:p>
      </w:tc>
      <w:tc>
        <w:tcPr>
          <w:tcW w:w="6633" w:type="dxa"/>
          <w:tcBorders>
            <w:top w:val="single" w:sz="6" w:space="0" w:color="auto"/>
          </w:tcBorders>
          <w:shd w:val="clear" w:color="auto" w:fill="auto"/>
        </w:tcPr>
        <w:p w:rsidR="005939B8" w:rsidRDefault="005939B8" w:rsidP="007C51D1">
          <w:pPr>
            <w:pStyle w:val="HeaderEven"/>
          </w:pPr>
        </w:p>
      </w:tc>
    </w:tr>
  </w:tbl>
  <w:p w:rsidR="005939B8" w:rsidRPr="007C51D1" w:rsidRDefault="005939B8" w:rsidP="007C51D1">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939B8" w:rsidTr="007C51D1">
      <w:trPr>
        <w:trHeight w:val="300"/>
      </w:trPr>
      <w:tc>
        <w:tcPr>
          <w:tcW w:w="6633" w:type="dxa"/>
          <w:tcBorders>
            <w:top w:val="single" w:sz="6" w:space="0" w:color="auto"/>
          </w:tcBorders>
          <w:shd w:val="clear" w:color="auto" w:fill="auto"/>
        </w:tcPr>
        <w:p w:rsidR="005939B8" w:rsidRDefault="005939B8" w:rsidP="007C51D1">
          <w:pPr>
            <w:pStyle w:val="HeaderOdd"/>
          </w:pPr>
        </w:p>
      </w:tc>
      <w:tc>
        <w:tcPr>
          <w:tcW w:w="2154" w:type="dxa"/>
          <w:tcBorders>
            <w:top w:val="single" w:sz="24" w:space="0" w:color="auto"/>
          </w:tcBorders>
          <w:shd w:val="clear" w:color="auto" w:fill="auto"/>
        </w:tcPr>
        <w:p w:rsidR="005939B8" w:rsidRDefault="005939B8" w:rsidP="007C51D1">
          <w:pPr>
            <w:pStyle w:val="HeaderOdd"/>
          </w:pPr>
        </w:p>
      </w:tc>
    </w:tr>
  </w:tbl>
  <w:p w:rsidR="005939B8" w:rsidRPr="007C51D1" w:rsidRDefault="005939B8" w:rsidP="007C51D1">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88"/>
    <w:multiLevelType w:val="singleLevel"/>
    <w:tmpl w:val="0B5AF1CA"/>
    <w:lvl w:ilvl="0">
      <w:start w:val="1"/>
      <w:numFmt w:val="decimal"/>
      <w:lvlText w:val="%1."/>
      <w:lvlJc w:val="left"/>
      <w:pPr>
        <w:tabs>
          <w:tab w:val="num" w:pos="360"/>
        </w:tabs>
        <w:ind w:left="360" w:hanging="360"/>
      </w:pPr>
    </w:lvl>
  </w:abstractNum>
  <w:abstractNum w:abstractNumId="2">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3">
    <w:nsid w:val="FFFFFFFE"/>
    <w:multiLevelType w:val="singleLevel"/>
    <w:tmpl w:val="FFFFFFFF"/>
    <w:lvl w:ilvl="0">
      <w:numFmt w:val="decimal"/>
      <w:lvlText w:val="*"/>
      <w:lvlJc w:val="left"/>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6">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30F69BA"/>
    <w:multiLevelType w:val="hybridMultilevel"/>
    <w:tmpl w:val="C388DEA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
    <w:nsid w:val="168515A5"/>
    <w:multiLevelType w:val="hybridMultilevel"/>
    <w:tmpl w:val="70BC71D8"/>
    <w:lvl w:ilvl="0" w:tplc="36CA41B6">
      <w:start w:val="1"/>
      <w:numFmt w:val="lowerRoman"/>
      <w:lvlText w:val="(%1)"/>
      <w:lvlJc w:val="left"/>
      <w:pPr>
        <w:ind w:left="1080" w:hanging="720"/>
      </w:pPr>
      <w:rPr>
        <w:rFonts w:cs="Times New Roman"/>
      </w:rPr>
    </w:lvl>
    <w:lvl w:ilvl="1" w:tplc="0C090019">
      <w:start w:val="1"/>
      <w:numFmt w:val="lowerLetter"/>
      <w:lvlText w:val="%2."/>
      <w:lvlJc w:val="left"/>
      <w:pPr>
        <w:ind w:left="1440" w:hanging="360"/>
      </w:pPr>
      <w:rPr>
        <w:rFonts w:cs="Times New Roman"/>
      </w:rPr>
    </w:lvl>
    <w:lvl w:ilvl="2" w:tplc="0C09001B">
      <w:start w:val="1"/>
      <w:numFmt w:val="lowerRoman"/>
      <w:lvlText w:val="%3."/>
      <w:lvlJc w:val="right"/>
      <w:pPr>
        <w:ind w:left="2160" w:hanging="180"/>
      </w:pPr>
      <w:rPr>
        <w:rFonts w:cs="Times New Roman"/>
      </w:rPr>
    </w:lvl>
    <w:lvl w:ilvl="3" w:tplc="0C09000F">
      <w:start w:val="1"/>
      <w:numFmt w:val="decimal"/>
      <w:lvlText w:val="%4."/>
      <w:lvlJc w:val="left"/>
      <w:pPr>
        <w:ind w:left="2880" w:hanging="360"/>
      </w:pPr>
      <w:rPr>
        <w:rFonts w:cs="Times New Roman"/>
      </w:rPr>
    </w:lvl>
    <w:lvl w:ilvl="4" w:tplc="0C090019">
      <w:start w:val="1"/>
      <w:numFmt w:val="lowerLetter"/>
      <w:lvlText w:val="%5."/>
      <w:lvlJc w:val="left"/>
      <w:pPr>
        <w:ind w:left="3600" w:hanging="360"/>
      </w:pPr>
      <w:rPr>
        <w:rFonts w:cs="Times New Roman"/>
      </w:rPr>
    </w:lvl>
    <w:lvl w:ilvl="5" w:tplc="0C09001B">
      <w:start w:val="1"/>
      <w:numFmt w:val="lowerRoman"/>
      <w:lvlText w:val="%6."/>
      <w:lvlJc w:val="right"/>
      <w:pPr>
        <w:ind w:left="4320" w:hanging="180"/>
      </w:pPr>
      <w:rPr>
        <w:rFonts w:cs="Times New Roman"/>
      </w:rPr>
    </w:lvl>
    <w:lvl w:ilvl="6" w:tplc="0C09000F">
      <w:start w:val="1"/>
      <w:numFmt w:val="decimal"/>
      <w:lvlText w:val="%7."/>
      <w:lvlJc w:val="left"/>
      <w:pPr>
        <w:ind w:left="5040" w:hanging="360"/>
      </w:pPr>
      <w:rPr>
        <w:rFonts w:cs="Times New Roman"/>
      </w:rPr>
    </w:lvl>
    <w:lvl w:ilvl="7" w:tplc="0C090019">
      <w:start w:val="1"/>
      <w:numFmt w:val="lowerLetter"/>
      <w:lvlText w:val="%8."/>
      <w:lvlJc w:val="left"/>
      <w:pPr>
        <w:ind w:left="5760" w:hanging="360"/>
      </w:pPr>
      <w:rPr>
        <w:rFonts w:cs="Times New Roman"/>
      </w:rPr>
    </w:lvl>
    <w:lvl w:ilvl="8" w:tplc="0C09001B">
      <w:start w:val="1"/>
      <w:numFmt w:val="lowerRoman"/>
      <w:lvlText w:val="%9."/>
      <w:lvlJc w:val="right"/>
      <w:pPr>
        <w:ind w:left="6480" w:hanging="180"/>
      </w:pPr>
      <w:rPr>
        <w:rFonts w:cs="Times New Roman"/>
      </w:rPr>
    </w:lvl>
  </w:abstractNum>
  <w:abstractNum w:abstractNumId="13">
    <w:nsid w:val="1AB25CDE"/>
    <w:multiLevelType w:val="singleLevel"/>
    <w:tmpl w:val="3086CA22"/>
    <w:lvl w:ilvl="0">
      <w:start w:val="1"/>
      <w:numFmt w:val="decimal"/>
      <w:lvlText w:val="%1."/>
      <w:legacy w:legacy="1" w:legacySpace="0" w:legacyIndent="340"/>
      <w:lvlJc w:val="left"/>
      <w:pPr>
        <w:ind w:left="340" w:hanging="340"/>
      </w:pPr>
    </w:lvl>
  </w:abstractNum>
  <w:abstractNum w:abstractNumId="14">
    <w:nsid w:val="1DFB546C"/>
    <w:multiLevelType w:val="hybridMultilevel"/>
    <w:tmpl w:val="FCCE093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5">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6">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7">
    <w:nsid w:val="2C7B303A"/>
    <w:multiLevelType w:val="hybridMultilevel"/>
    <w:tmpl w:val="1B722AC2"/>
    <w:lvl w:ilvl="0" w:tplc="9F0E5D64">
      <w:start w:val="1"/>
      <w:numFmt w:val="upp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9">
    <w:nsid w:val="31486156"/>
    <w:multiLevelType w:val="multilevel"/>
    <w:tmpl w:val="F766A9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332A1B3F"/>
    <w:multiLevelType w:val="hybridMultilevel"/>
    <w:tmpl w:val="E47AB12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39A94F07"/>
    <w:multiLevelType w:val="hybridMultilevel"/>
    <w:tmpl w:val="ED044D40"/>
    <w:lvl w:ilvl="0" w:tplc="967A5D98">
      <w:start w:val="1"/>
      <w:numFmt w:val="lowerRoman"/>
      <w:lvlText w:val="(%1)"/>
      <w:lvlJc w:val="left"/>
      <w:pPr>
        <w:ind w:left="1080" w:hanging="720"/>
      </w:pPr>
      <w:rPr>
        <w:rFonts w:hint="default"/>
        <w:sz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nsid w:val="3C571856"/>
    <w:multiLevelType w:val="hybridMultilevel"/>
    <w:tmpl w:val="BCCECC9C"/>
    <w:lvl w:ilvl="0" w:tplc="5D6ED598">
      <w:start w:val="7"/>
      <w:numFmt w:val="bullet"/>
      <w:lvlText w:val=""/>
      <w:lvlJc w:val="left"/>
      <w:pPr>
        <w:ind w:left="720" w:hanging="360"/>
      </w:pPr>
      <w:rPr>
        <w:rFonts w:ascii="Wingdings" w:eastAsia="Times New Roman" w:hAnsi="Wingdings"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0D26778"/>
    <w:multiLevelType w:val="hybridMultilevel"/>
    <w:tmpl w:val="1F068934"/>
    <w:lvl w:ilvl="0" w:tplc="CE7AA47E">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nsid w:val="44E960A8"/>
    <w:multiLevelType w:val="hybridMultilevel"/>
    <w:tmpl w:val="F91E78F6"/>
    <w:lvl w:ilvl="0" w:tplc="DD2A4694">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47455423"/>
    <w:multiLevelType w:val="hybridMultilevel"/>
    <w:tmpl w:val="8B3C1B52"/>
    <w:lvl w:ilvl="0" w:tplc="0C090017">
      <w:start w:val="1"/>
      <w:numFmt w:val="lowerLetter"/>
      <w:lvlText w:val="%1)"/>
      <w:lvlJc w:val="left"/>
      <w:pPr>
        <w:ind w:left="360" w:hanging="360"/>
      </w:pPr>
    </w:lvl>
    <w:lvl w:ilvl="1" w:tplc="9F66A786">
      <w:start w:val="1"/>
      <w:numFmt w:val="lowerLetter"/>
      <w:lvlText w:val="%2)"/>
      <w:lvlJc w:val="left"/>
      <w:pPr>
        <w:ind w:left="1080" w:hanging="360"/>
      </w:pPr>
      <w:rPr>
        <w:rFonts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6">
    <w:nsid w:val="49853F0B"/>
    <w:multiLevelType w:val="hybridMultilevel"/>
    <w:tmpl w:val="1286DE6C"/>
    <w:lvl w:ilvl="0" w:tplc="5378929C">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nsid w:val="4BF77D22"/>
    <w:multiLevelType w:val="hybridMultilevel"/>
    <w:tmpl w:val="1D6405A0"/>
    <w:lvl w:ilvl="0" w:tplc="56242AC4">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30">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31">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32">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3">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5">
    <w:nsid w:val="710F19D6"/>
    <w:multiLevelType w:val="hybridMultilevel"/>
    <w:tmpl w:val="D77EB4C0"/>
    <w:lvl w:ilvl="0" w:tplc="AC84C598">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nsid w:val="72B26AE3"/>
    <w:multiLevelType w:val="hybridMultilevel"/>
    <w:tmpl w:val="206C17A8"/>
    <w:lvl w:ilvl="0" w:tplc="6346F066">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nsid w:val="736D7718"/>
    <w:multiLevelType w:val="hybridMultilevel"/>
    <w:tmpl w:val="6A2206D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nsid w:val="75E21DD5"/>
    <w:multiLevelType w:val="hybridMultilevel"/>
    <w:tmpl w:val="D40E9C9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39">
    <w:nsid w:val="78995ABC"/>
    <w:multiLevelType w:val="hybridMultilevel"/>
    <w:tmpl w:val="1FF2D702"/>
    <w:lvl w:ilvl="0" w:tplc="3DCA0042">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nsid w:val="78CB61A4"/>
    <w:multiLevelType w:val="hybridMultilevel"/>
    <w:tmpl w:val="FD6A7634"/>
    <w:lvl w:ilvl="0" w:tplc="9E88694C">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2">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3">
    <w:nsid w:val="7CCB5D42"/>
    <w:multiLevelType w:val="hybridMultilevel"/>
    <w:tmpl w:val="9AFE8F10"/>
    <w:lvl w:ilvl="0" w:tplc="65AE3794">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nsid w:val="7CE65915"/>
    <w:multiLevelType w:val="singleLevel"/>
    <w:tmpl w:val="0C090017"/>
    <w:lvl w:ilvl="0">
      <w:start w:val="1"/>
      <w:numFmt w:val="lowerLetter"/>
      <w:lvlText w:val="%1)"/>
      <w:lvlJc w:val="left"/>
      <w:pPr>
        <w:ind w:left="700" w:hanging="360"/>
      </w:pPr>
      <w:rPr>
        <w:rFonts w:hint="default"/>
      </w:rPr>
    </w:lvl>
  </w:abstractNum>
  <w:abstractNum w:abstractNumId="45">
    <w:nsid w:val="7EED1D1B"/>
    <w:multiLevelType w:val="hybridMultilevel"/>
    <w:tmpl w:val="B486010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18"/>
  </w:num>
  <w:num w:numId="2">
    <w:abstractNumId w:val="4"/>
  </w:num>
  <w:num w:numId="3">
    <w:abstractNumId w:val="29"/>
  </w:num>
  <w:num w:numId="4">
    <w:abstractNumId w:val="5"/>
  </w:num>
  <w:num w:numId="5">
    <w:abstractNumId w:val="34"/>
  </w:num>
  <w:num w:numId="6">
    <w:abstractNumId w:val="31"/>
  </w:num>
  <w:num w:numId="7">
    <w:abstractNumId w:val="9"/>
  </w:num>
  <w:num w:numId="8">
    <w:abstractNumId w:val="30"/>
  </w:num>
  <w:num w:numId="9">
    <w:abstractNumId w:val="8"/>
  </w:num>
  <w:num w:numId="10">
    <w:abstractNumId w:val="7"/>
  </w:num>
  <w:num w:numId="11">
    <w:abstractNumId w:val="15"/>
  </w:num>
  <w:num w:numId="12">
    <w:abstractNumId w:val="16"/>
  </w:num>
  <w:num w:numId="13">
    <w:abstractNumId w:val="6"/>
  </w:num>
  <w:num w:numId="14">
    <w:abstractNumId w:val="32"/>
  </w:num>
  <w:num w:numId="15">
    <w:abstractNumId w:val="41"/>
  </w:num>
  <w:num w:numId="16">
    <w:abstractNumId w:val="28"/>
  </w:num>
  <w:num w:numId="17">
    <w:abstractNumId w:val="42"/>
  </w:num>
  <w:num w:numId="18">
    <w:abstractNumId w:val="0"/>
  </w:num>
  <w:num w:numId="19">
    <w:abstractNumId w:val="3"/>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33"/>
  </w:num>
  <w:num w:numId="21">
    <w:abstractNumId w:val="11"/>
  </w:num>
  <w:num w:numId="22">
    <w:abstractNumId w:val="1"/>
  </w:num>
  <w:num w:numId="23">
    <w:abstractNumId w:val="24"/>
  </w:num>
  <w:num w:numId="24">
    <w:abstractNumId w:val="43"/>
  </w:num>
  <w:num w:numId="25">
    <w:abstractNumId w:val="40"/>
  </w:num>
  <w:num w:numId="26">
    <w:abstractNumId w:val="21"/>
  </w:num>
  <w:num w:numId="27">
    <w:abstractNumId w:val="26"/>
  </w:num>
  <w:num w:numId="28">
    <w:abstractNumId w:val="23"/>
  </w:num>
  <w:num w:numId="29">
    <w:abstractNumId w:val="2"/>
  </w:num>
  <w:num w:numId="30">
    <w:abstractNumId w:val="38"/>
  </w:num>
  <w:num w:numId="31">
    <w:abstractNumId w:val="17"/>
  </w:num>
  <w:num w:numId="32">
    <w:abstractNumId w:val="19"/>
    <w:lvlOverride w:ilvl="0">
      <w:lvl w:ilvl="0">
        <w:numFmt w:val="lowerLetter"/>
        <w:lvlText w:val="%1."/>
        <w:lvlJc w:val="left"/>
      </w:lvl>
    </w:lvlOverride>
  </w:num>
  <w:num w:numId="33">
    <w:abstractNumId w:val="27"/>
  </w:num>
  <w:num w:numId="34">
    <w:abstractNumId w:val="35"/>
  </w:num>
  <w:num w:numId="35">
    <w:abstractNumId w:val="36"/>
  </w:num>
  <w:num w:numId="36">
    <w:abstractNumId w:val="13"/>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4"/>
  </w:num>
  <w:num w:numId="39">
    <w:abstractNumId w:val="37"/>
  </w:num>
  <w:num w:numId="40">
    <w:abstractNumId w:val="45"/>
  </w:num>
  <w:num w:numId="41">
    <w:abstractNumId w:val="20"/>
  </w:num>
  <w:num w:numId="42">
    <w:abstractNumId w:val="10"/>
  </w:num>
  <w:num w:numId="43">
    <w:abstractNumId w:val="14"/>
  </w:num>
  <w:num w:numId="44">
    <w:abstractNumId w:val="25"/>
  </w:num>
  <w:num w:numId="45">
    <w:abstractNumId w:val="39"/>
  </w:num>
  <w:num w:numId="46">
    <w:abstractNumId w:val="2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95"/>
  <w:mirrorMargin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7C51D1"/>
    <w:rsid w:val="00013377"/>
    <w:rsid w:val="00017966"/>
    <w:rsid w:val="000227D5"/>
    <w:rsid w:val="0002314F"/>
    <w:rsid w:val="000245AA"/>
    <w:rsid w:val="0003664B"/>
    <w:rsid w:val="0004111F"/>
    <w:rsid w:val="000524F9"/>
    <w:rsid w:val="00055077"/>
    <w:rsid w:val="000565B3"/>
    <w:rsid w:val="0007150B"/>
    <w:rsid w:val="00077EC5"/>
    <w:rsid w:val="000938F5"/>
    <w:rsid w:val="00095663"/>
    <w:rsid w:val="00096E55"/>
    <w:rsid w:val="0009783E"/>
    <w:rsid w:val="000B1022"/>
    <w:rsid w:val="000B601B"/>
    <w:rsid w:val="000C207E"/>
    <w:rsid w:val="000D41E9"/>
    <w:rsid w:val="000D7DCC"/>
    <w:rsid w:val="000F0035"/>
    <w:rsid w:val="000F04E7"/>
    <w:rsid w:val="000F060A"/>
    <w:rsid w:val="000F420B"/>
    <w:rsid w:val="00102986"/>
    <w:rsid w:val="00110116"/>
    <w:rsid w:val="00111CF0"/>
    <w:rsid w:val="00115B5D"/>
    <w:rsid w:val="00120072"/>
    <w:rsid w:val="00126EB8"/>
    <w:rsid w:val="001274D4"/>
    <w:rsid w:val="0013062C"/>
    <w:rsid w:val="0013076E"/>
    <w:rsid w:val="001363AA"/>
    <w:rsid w:val="0013739A"/>
    <w:rsid w:val="001410C7"/>
    <w:rsid w:val="00141C25"/>
    <w:rsid w:val="00142165"/>
    <w:rsid w:val="001439D4"/>
    <w:rsid w:val="001456F9"/>
    <w:rsid w:val="00145C96"/>
    <w:rsid w:val="00162434"/>
    <w:rsid w:val="00172146"/>
    <w:rsid w:val="00183E82"/>
    <w:rsid w:val="001842AC"/>
    <w:rsid w:val="001878BB"/>
    <w:rsid w:val="00191AE0"/>
    <w:rsid w:val="0019293B"/>
    <w:rsid w:val="0019426B"/>
    <w:rsid w:val="001A6A4B"/>
    <w:rsid w:val="001B40B4"/>
    <w:rsid w:val="001C0865"/>
    <w:rsid w:val="001C0AED"/>
    <w:rsid w:val="001C3ABA"/>
    <w:rsid w:val="001C5111"/>
    <w:rsid w:val="001E3073"/>
    <w:rsid w:val="001E7BE8"/>
    <w:rsid w:val="001F0248"/>
    <w:rsid w:val="001F1BE5"/>
    <w:rsid w:val="001F3EB3"/>
    <w:rsid w:val="001F4F86"/>
    <w:rsid w:val="00202C2C"/>
    <w:rsid w:val="00203050"/>
    <w:rsid w:val="002135AB"/>
    <w:rsid w:val="002144BE"/>
    <w:rsid w:val="00230B37"/>
    <w:rsid w:val="00235404"/>
    <w:rsid w:val="00242279"/>
    <w:rsid w:val="0024325C"/>
    <w:rsid w:val="00243997"/>
    <w:rsid w:val="002441CF"/>
    <w:rsid w:val="0024516C"/>
    <w:rsid w:val="00245C82"/>
    <w:rsid w:val="0025554E"/>
    <w:rsid w:val="002724BA"/>
    <w:rsid w:val="00284B95"/>
    <w:rsid w:val="00291B40"/>
    <w:rsid w:val="002A098B"/>
    <w:rsid w:val="002B36F4"/>
    <w:rsid w:val="002B4008"/>
    <w:rsid w:val="002C0199"/>
    <w:rsid w:val="002C439F"/>
    <w:rsid w:val="002D0C42"/>
    <w:rsid w:val="002D0E8E"/>
    <w:rsid w:val="002E7CE2"/>
    <w:rsid w:val="002F3505"/>
    <w:rsid w:val="002F367C"/>
    <w:rsid w:val="00301189"/>
    <w:rsid w:val="00301E4A"/>
    <w:rsid w:val="003168B8"/>
    <w:rsid w:val="00322D64"/>
    <w:rsid w:val="00323E09"/>
    <w:rsid w:val="00333932"/>
    <w:rsid w:val="003423FA"/>
    <w:rsid w:val="003518AA"/>
    <w:rsid w:val="00352165"/>
    <w:rsid w:val="00353182"/>
    <w:rsid w:val="003565D9"/>
    <w:rsid w:val="003602E1"/>
    <w:rsid w:val="0037026F"/>
    <w:rsid w:val="00371240"/>
    <w:rsid w:val="00374731"/>
    <w:rsid w:val="00375FF7"/>
    <w:rsid w:val="00376E59"/>
    <w:rsid w:val="0037799B"/>
    <w:rsid w:val="00377EC1"/>
    <w:rsid w:val="00380340"/>
    <w:rsid w:val="003919F9"/>
    <w:rsid w:val="003920CF"/>
    <w:rsid w:val="003A23A3"/>
    <w:rsid w:val="003B23C2"/>
    <w:rsid w:val="003C36CE"/>
    <w:rsid w:val="003C38B5"/>
    <w:rsid w:val="003C5D99"/>
    <w:rsid w:val="003D1087"/>
    <w:rsid w:val="003E2F59"/>
    <w:rsid w:val="003E746B"/>
    <w:rsid w:val="003F0789"/>
    <w:rsid w:val="00401882"/>
    <w:rsid w:val="00406CD8"/>
    <w:rsid w:val="004100C8"/>
    <w:rsid w:val="00411DBD"/>
    <w:rsid w:val="00412ACE"/>
    <w:rsid w:val="004145D2"/>
    <w:rsid w:val="00426CB4"/>
    <w:rsid w:val="00431249"/>
    <w:rsid w:val="00434C19"/>
    <w:rsid w:val="00444430"/>
    <w:rsid w:val="00450810"/>
    <w:rsid w:val="00462C59"/>
    <w:rsid w:val="00470737"/>
    <w:rsid w:val="00474FFE"/>
    <w:rsid w:val="00477144"/>
    <w:rsid w:val="00491380"/>
    <w:rsid w:val="0049459F"/>
    <w:rsid w:val="004A38DD"/>
    <w:rsid w:val="004B0B1F"/>
    <w:rsid w:val="004B2200"/>
    <w:rsid w:val="004B43AE"/>
    <w:rsid w:val="004B5F35"/>
    <w:rsid w:val="004B7CAA"/>
    <w:rsid w:val="004C30ED"/>
    <w:rsid w:val="004D557E"/>
    <w:rsid w:val="004D5675"/>
    <w:rsid w:val="004F0306"/>
    <w:rsid w:val="0051588D"/>
    <w:rsid w:val="00516D06"/>
    <w:rsid w:val="00517795"/>
    <w:rsid w:val="00517FBD"/>
    <w:rsid w:val="00523639"/>
    <w:rsid w:val="00530C1D"/>
    <w:rsid w:val="00531FE5"/>
    <w:rsid w:val="00532483"/>
    <w:rsid w:val="005402FA"/>
    <w:rsid w:val="005729BD"/>
    <w:rsid w:val="00580154"/>
    <w:rsid w:val="00583C39"/>
    <w:rsid w:val="0058669A"/>
    <w:rsid w:val="00586A90"/>
    <w:rsid w:val="00587F28"/>
    <w:rsid w:val="005909CF"/>
    <w:rsid w:val="005916C0"/>
    <w:rsid w:val="00591E71"/>
    <w:rsid w:val="005939B8"/>
    <w:rsid w:val="005A0D41"/>
    <w:rsid w:val="005D329F"/>
    <w:rsid w:val="005D7F67"/>
    <w:rsid w:val="005E5D78"/>
    <w:rsid w:val="005F1745"/>
    <w:rsid w:val="005F48ED"/>
    <w:rsid w:val="00606E78"/>
    <w:rsid w:val="00607BF1"/>
    <w:rsid w:val="006147B1"/>
    <w:rsid w:val="00625A90"/>
    <w:rsid w:val="00630D4D"/>
    <w:rsid w:val="00632A74"/>
    <w:rsid w:val="00654D42"/>
    <w:rsid w:val="00666E02"/>
    <w:rsid w:val="00672833"/>
    <w:rsid w:val="00677891"/>
    <w:rsid w:val="00694F3E"/>
    <w:rsid w:val="006A3BD5"/>
    <w:rsid w:val="006A4655"/>
    <w:rsid w:val="006A4E8E"/>
    <w:rsid w:val="006B2B3C"/>
    <w:rsid w:val="006C1D81"/>
    <w:rsid w:val="006C7038"/>
    <w:rsid w:val="006D1356"/>
    <w:rsid w:val="006E73EF"/>
    <w:rsid w:val="007079C9"/>
    <w:rsid w:val="00714D4D"/>
    <w:rsid w:val="007266D3"/>
    <w:rsid w:val="00732029"/>
    <w:rsid w:val="007604BB"/>
    <w:rsid w:val="00760527"/>
    <w:rsid w:val="00772909"/>
    <w:rsid w:val="00785232"/>
    <w:rsid w:val="0079701E"/>
    <w:rsid w:val="007A21EB"/>
    <w:rsid w:val="007B1A93"/>
    <w:rsid w:val="007B37E6"/>
    <w:rsid w:val="007C1A0D"/>
    <w:rsid w:val="007C36C9"/>
    <w:rsid w:val="007C51D1"/>
    <w:rsid w:val="007D3683"/>
    <w:rsid w:val="007D6401"/>
    <w:rsid w:val="007E01E4"/>
    <w:rsid w:val="007E37AF"/>
    <w:rsid w:val="007E7A12"/>
    <w:rsid w:val="007F1392"/>
    <w:rsid w:val="007F7107"/>
    <w:rsid w:val="00800D4C"/>
    <w:rsid w:val="0081030F"/>
    <w:rsid w:val="0081098B"/>
    <w:rsid w:val="00812F4A"/>
    <w:rsid w:val="0082087D"/>
    <w:rsid w:val="00835771"/>
    <w:rsid w:val="00842933"/>
    <w:rsid w:val="00847A90"/>
    <w:rsid w:val="00847ED6"/>
    <w:rsid w:val="0086082C"/>
    <w:rsid w:val="00864ADC"/>
    <w:rsid w:val="008721EF"/>
    <w:rsid w:val="00880153"/>
    <w:rsid w:val="00880F97"/>
    <w:rsid w:val="0088133A"/>
    <w:rsid w:val="0089285E"/>
    <w:rsid w:val="0089436C"/>
    <w:rsid w:val="008972A9"/>
    <w:rsid w:val="008B70FF"/>
    <w:rsid w:val="008D365C"/>
    <w:rsid w:val="008D7622"/>
    <w:rsid w:val="008F0B87"/>
    <w:rsid w:val="009021A6"/>
    <w:rsid w:val="009030BF"/>
    <w:rsid w:val="00903B52"/>
    <w:rsid w:val="0091032F"/>
    <w:rsid w:val="00914368"/>
    <w:rsid w:val="00917A1B"/>
    <w:rsid w:val="00930D97"/>
    <w:rsid w:val="00931076"/>
    <w:rsid w:val="009318CC"/>
    <w:rsid w:val="009345D9"/>
    <w:rsid w:val="00934B15"/>
    <w:rsid w:val="00940C87"/>
    <w:rsid w:val="00941AE0"/>
    <w:rsid w:val="00942B62"/>
    <w:rsid w:val="0094765E"/>
    <w:rsid w:val="0095323B"/>
    <w:rsid w:val="00956A0C"/>
    <w:rsid w:val="00956BD9"/>
    <w:rsid w:val="00962489"/>
    <w:rsid w:val="00963998"/>
    <w:rsid w:val="009639A1"/>
    <w:rsid w:val="00967CD3"/>
    <w:rsid w:val="009717B0"/>
    <w:rsid w:val="00971D11"/>
    <w:rsid w:val="00990C2C"/>
    <w:rsid w:val="009A5171"/>
    <w:rsid w:val="009B3B5A"/>
    <w:rsid w:val="009C14CE"/>
    <w:rsid w:val="009E1844"/>
    <w:rsid w:val="009E78D0"/>
    <w:rsid w:val="009F0C07"/>
    <w:rsid w:val="009F0D1B"/>
    <w:rsid w:val="009F5BBD"/>
    <w:rsid w:val="009F696D"/>
    <w:rsid w:val="009F6BC6"/>
    <w:rsid w:val="009F74EF"/>
    <w:rsid w:val="00A02826"/>
    <w:rsid w:val="00A03C0B"/>
    <w:rsid w:val="00A111FE"/>
    <w:rsid w:val="00A15D5A"/>
    <w:rsid w:val="00A17328"/>
    <w:rsid w:val="00A17872"/>
    <w:rsid w:val="00A21690"/>
    <w:rsid w:val="00A23A20"/>
    <w:rsid w:val="00A24443"/>
    <w:rsid w:val="00A268B9"/>
    <w:rsid w:val="00A2703A"/>
    <w:rsid w:val="00A275FB"/>
    <w:rsid w:val="00A33DFF"/>
    <w:rsid w:val="00A35115"/>
    <w:rsid w:val="00A36D9A"/>
    <w:rsid w:val="00A42BEB"/>
    <w:rsid w:val="00A451DC"/>
    <w:rsid w:val="00A50AC0"/>
    <w:rsid w:val="00A554AB"/>
    <w:rsid w:val="00A57062"/>
    <w:rsid w:val="00A611F2"/>
    <w:rsid w:val="00A61A09"/>
    <w:rsid w:val="00A67781"/>
    <w:rsid w:val="00A72D8F"/>
    <w:rsid w:val="00A761F9"/>
    <w:rsid w:val="00A87289"/>
    <w:rsid w:val="00A92B53"/>
    <w:rsid w:val="00A94FA6"/>
    <w:rsid w:val="00AA138F"/>
    <w:rsid w:val="00AA22CB"/>
    <w:rsid w:val="00AA49A0"/>
    <w:rsid w:val="00AA6710"/>
    <w:rsid w:val="00AB021B"/>
    <w:rsid w:val="00AB0681"/>
    <w:rsid w:val="00AB0820"/>
    <w:rsid w:val="00AC3A15"/>
    <w:rsid w:val="00AD520B"/>
    <w:rsid w:val="00AE3BCC"/>
    <w:rsid w:val="00AE3F30"/>
    <w:rsid w:val="00AF0204"/>
    <w:rsid w:val="00B25BCC"/>
    <w:rsid w:val="00B425C3"/>
    <w:rsid w:val="00B440AD"/>
    <w:rsid w:val="00B479BB"/>
    <w:rsid w:val="00B5368A"/>
    <w:rsid w:val="00B53E7E"/>
    <w:rsid w:val="00B6342E"/>
    <w:rsid w:val="00B7113F"/>
    <w:rsid w:val="00B723D0"/>
    <w:rsid w:val="00B841F3"/>
    <w:rsid w:val="00BA2BCF"/>
    <w:rsid w:val="00BA5B14"/>
    <w:rsid w:val="00BA73B6"/>
    <w:rsid w:val="00BA7E27"/>
    <w:rsid w:val="00BB2603"/>
    <w:rsid w:val="00BB4FCD"/>
    <w:rsid w:val="00BC04E9"/>
    <w:rsid w:val="00BD13EA"/>
    <w:rsid w:val="00BE3808"/>
    <w:rsid w:val="00BF6B2D"/>
    <w:rsid w:val="00C03B88"/>
    <w:rsid w:val="00C062E9"/>
    <w:rsid w:val="00C07B64"/>
    <w:rsid w:val="00C13721"/>
    <w:rsid w:val="00C14FE4"/>
    <w:rsid w:val="00C22869"/>
    <w:rsid w:val="00C3066D"/>
    <w:rsid w:val="00C45B3A"/>
    <w:rsid w:val="00C52416"/>
    <w:rsid w:val="00C543F4"/>
    <w:rsid w:val="00C6291C"/>
    <w:rsid w:val="00C633CB"/>
    <w:rsid w:val="00C664CD"/>
    <w:rsid w:val="00C736B7"/>
    <w:rsid w:val="00C81D4A"/>
    <w:rsid w:val="00C8762C"/>
    <w:rsid w:val="00C91D43"/>
    <w:rsid w:val="00C932DA"/>
    <w:rsid w:val="00CA00F9"/>
    <w:rsid w:val="00CA1C69"/>
    <w:rsid w:val="00CA2961"/>
    <w:rsid w:val="00CB36B1"/>
    <w:rsid w:val="00CB3BC1"/>
    <w:rsid w:val="00CB50D7"/>
    <w:rsid w:val="00CB5D9A"/>
    <w:rsid w:val="00CB7177"/>
    <w:rsid w:val="00CB7CED"/>
    <w:rsid w:val="00CC070F"/>
    <w:rsid w:val="00CC1998"/>
    <w:rsid w:val="00CC4946"/>
    <w:rsid w:val="00CC64A1"/>
    <w:rsid w:val="00CE3969"/>
    <w:rsid w:val="00CF3B11"/>
    <w:rsid w:val="00D2333B"/>
    <w:rsid w:val="00D270A4"/>
    <w:rsid w:val="00D31FE9"/>
    <w:rsid w:val="00D34E1B"/>
    <w:rsid w:val="00D376BA"/>
    <w:rsid w:val="00D434A0"/>
    <w:rsid w:val="00D45634"/>
    <w:rsid w:val="00D47978"/>
    <w:rsid w:val="00D51E8B"/>
    <w:rsid w:val="00D5568A"/>
    <w:rsid w:val="00D57D79"/>
    <w:rsid w:val="00D634A3"/>
    <w:rsid w:val="00D63D73"/>
    <w:rsid w:val="00D64452"/>
    <w:rsid w:val="00D64FCD"/>
    <w:rsid w:val="00D66E1E"/>
    <w:rsid w:val="00D70696"/>
    <w:rsid w:val="00D75722"/>
    <w:rsid w:val="00D75974"/>
    <w:rsid w:val="00D80CF5"/>
    <w:rsid w:val="00D93184"/>
    <w:rsid w:val="00DA5BBA"/>
    <w:rsid w:val="00DB12B8"/>
    <w:rsid w:val="00DB26D2"/>
    <w:rsid w:val="00DB67C9"/>
    <w:rsid w:val="00DB74D6"/>
    <w:rsid w:val="00DC0C95"/>
    <w:rsid w:val="00DC4F0B"/>
    <w:rsid w:val="00DC6DFE"/>
    <w:rsid w:val="00DD6580"/>
    <w:rsid w:val="00DE67C1"/>
    <w:rsid w:val="00E01D7F"/>
    <w:rsid w:val="00E02427"/>
    <w:rsid w:val="00E05C03"/>
    <w:rsid w:val="00E14896"/>
    <w:rsid w:val="00E14B58"/>
    <w:rsid w:val="00E15AC6"/>
    <w:rsid w:val="00E17C72"/>
    <w:rsid w:val="00E2118D"/>
    <w:rsid w:val="00E21FC6"/>
    <w:rsid w:val="00E2765F"/>
    <w:rsid w:val="00E33590"/>
    <w:rsid w:val="00E37A40"/>
    <w:rsid w:val="00E431A9"/>
    <w:rsid w:val="00E52159"/>
    <w:rsid w:val="00E635AB"/>
    <w:rsid w:val="00E63FB0"/>
    <w:rsid w:val="00E669E2"/>
    <w:rsid w:val="00E7192C"/>
    <w:rsid w:val="00E76135"/>
    <w:rsid w:val="00E82F4F"/>
    <w:rsid w:val="00E85652"/>
    <w:rsid w:val="00E864DF"/>
    <w:rsid w:val="00E96AF7"/>
    <w:rsid w:val="00EA313F"/>
    <w:rsid w:val="00EA609C"/>
    <w:rsid w:val="00EB2CC3"/>
    <w:rsid w:val="00EB69CB"/>
    <w:rsid w:val="00EC2844"/>
    <w:rsid w:val="00EC5500"/>
    <w:rsid w:val="00ED18F8"/>
    <w:rsid w:val="00ED450D"/>
    <w:rsid w:val="00EE5E83"/>
    <w:rsid w:val="00EE6EDA"/>
    <w:rsid w:val="00EE778E"/>
    <w:rsid w:val="00EF6719"/>
    <w:rsid w:val="00EF6C6C"/>
    <w:rsid w:val="00F02DAF"/>
    <w:rsid w:val="00F056FC"/>
    <w:rsid w:val="00F0632F"/>
    <w:rsid w:val="00F069AE"/>
    <w:rsid w:val="00F10476"/>
    <w:rsid w:val="00F11F1B"/>
    <w:rsid w:val="00F135D8"/>
    <w:rsid w:val="00F20CDC"/>
    <w:rsid w:val="00F20F79"/>
    <w:rsid w:val="00F2235B"/>
    <w:rsid w:val="00F31299"/>
    <w:rsid w:val="00F3534A"/>
    <w:rsid w:val="00F35BFB"/>
    <w:rsid w:val="00F36ACC"/>
    <w:rsid w:val="00F51609"/>
    <w:rsid w:val="00F55C25"/>
    <w:rsid w:val="00F62614"/>
    <w:rsid w:val="00F62B18"/>
    <w:rsid w:val="00F73416"/>
    <w:rsid w:val="00F73727"/>
    <w:rsid w:val="00F766A7"/>
    <w:rsid w:val="00F81006"/>
    <w:rsid w:val="00F85325"/>
    <w:rsid w:val="00F8542D"/>
    <w:rsid w:val="00F87EA5"/>
    <w:rsid w:val="00F9221F"/>
    <w:rsid w:val="00F92305"/>
    <w:rsid w:val="00F97894"/>
    <w:rsid w:val="00FA2562"/>
    <w:rsid w:val="00FB20B4"/>
    <w:rsid w:val="00FB5BE1"/>
    <w:rsid w:val="00FC27AE"/>
    <w:rsid w:val="00FD1873"/>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annotation text" w:uiPriority="99"/>
    <w:lsdException w:name="annotation reference" w:uiPriority="99"/>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uiPriority w:val="99"/>
    <w:semiHidden/>
    <w:rsid w:val="00A17328"/>
    <w:rPr>
      <w:b/>
      <w:vanish/>
      <w:color w:val="FF00FF"/>
      <w:sz w:val="20"/>
    </w:rPr>
  </w:style>
  <w:style w:type="paragraph" w:styleId="CommentText">
    <w:name w:val="annotation text"/>
    <w:basedOn w:val="Normal"/>
    <w:link w:val="CommentTextChar"/>
    <w:uiPriority w:val="99"/>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uiPriority w:val="29"/>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FootnoteTextChar">
    <w:name w:val="Footnote Text Char"/>
    <w:basedOn w:val="DefaultParagraphFont"/>
    <w:link w:val="FootnoteText"/>
    <w:rsid w:val="007C51D1"/>
  </w:style>
  <w:style w:type="paragraph" w:styleId="CommentSubject">
    <w:name w:val="annotation subject"/>
    <w:basedOn w:val="CommentText"/>
    <w:next w:val="CommentText"/>
    <w:link w:val="CommentSubjectChar"/>
    <w:rsid w:val="007C51D1"/>
    <w:pPr>
      <w:spacing w:before="0" w:line="240" w:lineRule="auto"/>
      <w:ind w:left="0" w:firstLine="0"/>
    </w:pPr>
    <w:rPr>
      <w:b/>
      <w:bCs/>
      <w:szCs w:val="20"/>
    </w:rPr>
  </w:style>
  <w:style w:type="character" w:customStyle="1" w:styleId="CommentTextChar">
    <w:name w:val="Comment Text Char"/>
    <w:basedOn w:val="DefaultParagraphFont"/>
    <w:link w:val="CommentText"/>
    <w:uiPriority w:val="99"/>
    <w:semiHidden/>
    <w:rsid w:val="007C51D1"/>
    <w:rPr>
      <w:szCs w:val="24"/>
    </w:rPr>
  </w:style>
  <w:style w:type="character" w:customStyle="1" w:styleId="CommentSubjectChar">
    <w:name w:val="Comment Subject Char"/>
    <w:basedOn w:val="CommentTextChar"/>
    <w:link w:val="CommentSubject"/>
    <w:rsid w:val="007C51D1"/>
    <w:rPr>
      <w:b/>
      <w:bCs/>
      <w:szCs w:val="24"/>
    </w:rPr>
  </w:style>
  <w:style w:type="paragraph" w:styleId="Revision">
    <w:name w:val="Revision"/>
    <w:hidden/>
    <w:uiPriority w:val="99"/>
    <w:semiHidden/>
    <w:rsid w:val="007C51D1"/>
    <w:rPr>
      <w:sz w:val="24"/>
      <w:szCs w:val="24"/>
    </w:rPr>
  </w:style>
  <w:style w:type="character" w:customStyle="1" w:styleId="QuoteChar">
    <w:name w:val="Quote Char"/>
    <w:basedOn w:val="DefaultParagraphFont"/>
    <w:link w:val="Quote"/>
    <w:uiPriority w:val="29"/>
    <w:rsid w:val="007C51D1"/>
    <w:rPr>
      <w:sz w:val="22"/>
    </w:rPr>
  </w:style>
  <w:style w:type="character" w:customStyle="1" w:styleId="Heading1Char">
    <w:name w:val="Heading 1 Char"/>
    <w:basedOn w:val="DefaultParagraphFont"/>
    <w:link w:val="Heading1"/>
    <w:rsid w:val="007C51D1"/>
    <w:rPr>
      <w:sz w:val="52"/>
    </w:rPr>
  </w:style>
  <w:style w:type="character" w:customStyle="1" w:styleId="Heading3Char">
    <w:name w:val="Heading 3 Char"/>
    <w:basedOn w:val="DefaultParagraphFont"/>
    <w:link w:val="Heading3"/>
    <w:rsid w:val="007C51D1"/>
    <w:rPr>
      <w:rFonts w:ascii="Arial" w:hAnsi="Arial"/>
      <w:b/>
      <w:sz w:val="26"/>
    </w:rPr>
  </w:style>
  <w:style w:type="paragraph" w:styleId="Bibliography">
    <w:name w:val="Bibliography"/>
    <w:basedOn w:val="Normal"/>
    <w:next w:val="Normal"/>
    <w:uiPriority w:val="37"/>
    <w:unhideWhenUsed/>
    <w:rsid w:val="007C51D1"/>
    <w:pPr>
      <w:spacing w:after="240"/>
      <w:ind w:left="720" w:hanging="720"/>
    </w:pPr>
  </w:style>
  <w:style w:type="character" w:styleId="EndnoteReference">
    <w:name w:val="endnote reference"/>
    <w:basedOn w:val="DefaultParagraphFont"/>
    <w:rsid w:val="007C51D1"/>
    <w:rPr>
      <w:vertAlign w:val="superscript"/>
    </w:rPr>
  </w:style>
  <w:style w:type="character" w:customStyle="1" w:styleId="Heading4Char">
    <w:name w:val="Heading 4 Char"/>
    <w:basedOn w:val="DefaultParagraphFont"/>
    <w:link w:val="Heading4"/>
    <w:rsid w:val="007C51D1"/>
    <w:rPr>
      <w:rFonts w:ascii="Arial" w:hAnsi="Arial"/>
      <w:sz w:val="24"/>
    </w:rPr>
  </w:style>
  <w:style w:type="character" w:styleId="Hyperlink">
    <w:name w:val="Hyperlink"/>
    <w:basedOn w:val="DefaultParagraphFont"/>
    <w:rsid w:val="007C51D1"/>
    <w:rPr>
      <w:color w:val="78A22F" w:themeColor="hyperlink"/>
      <w:u w:val="single"/>
    </w:rPr>
  </w:style>
  <w:style w:type="paragraph" w:styleId="ListParagraph">
    <w:name w:val="List Paragraph"/>
    <w:basedOn w:val="Normal"/>
    <w:uiPriority w:val="34"/>
    <w:qFormat/>
    <w:rsid w:val="007C51D1"/>
    <w:pPr>
      <w:ind w:left="720"/>
    </w:pPr>
    <w:rPr>
      <w:rFonts w:ascii="Calibri" w:hAnsi="Calibri"/>
      <w:sz w:val="22"/>
      <w:szCs w:val="22"/>
      <w:lang w:eastAsia="en-US"/>
    </w:rPr>
  </w:style>
  <w:style w:type="paragraph" w:customStyle="1" w:styleId="BoxSpaceAboveElement">
    <w:name w:val="Box Space Above Element"/>
    <w:basedOn w:val="BoxSpaceAbove"/>
    <w:link w:val="BoxSpaceAboveElementChar"/>
    <w:qFormat/>
    <w:rsid w:val="007C51D1"/>
    <w:pPr>
      <w:spacing w:before="240"/>
    </w:pPr>
    <w:rPr>
      <w:b/>
      <w:vanish/>
      <w:color w:val="FF00FF"/>
      <w:sz w:val="14"/>
    </w:rPr>
  </w:style>
  <w:style w:type="character" w:customStyle="1" w:styleId="BoxSpaceAboveElementChar">
    <w:name w:val="Box Space Above Element Char"/>
    <w:basedOn w:val="DefaultParagraphFont"/>
    <w:link w:val="BoxSpaceAboveElement"/>
    <w:rsid w:val="007C51D1"/>
    <w:rPr>
      <w:b/>
      <w:vanish/>
      <w:color w:val="FF00FF"/>
      <w:sz w:val="14"/>
    </w:rPr>
  </w:style>
  <w:style w:type="character" w:styleId="FollowedHyperlink">
    <w:name w:val="FollowedHyperlink"/>
    <w:basedOn w:val="DefaultParagraphFont"/>
    <w:rsid w:val="007C51D1"/>
    <w:rPr>
      <w:color w:val="387DD2" w:themeColor="followedHyperlink"/>
      <w:u w:val="single"/>
    </w:rPr>
  </w:style>
  <w:style w:type="paragraph" w:customStyle="1" w:styleId="Default">
    <w:name w:val="Default"/>
    <w:rsid w:val="007C51D1"/>
    <w:pPr>
      <w:autoSpaceDE w:val="0"/>
      <w:autoSpaceDN w:val="0"/>
      <w:adjustRightInd w:val="0"/>
    </w:pPr>
    <w:rPr>
      <w:rFonts w:ascii="Arial" w:hAnsi="Arial" w:cs="Arial"/>
      <w:color w:val="000000"/>
      <w:sz w:val="24"/>
      <w:szCs w:val="24"/>
    </w:rPr>
  </w:style>
  <w:style w:type="paragraph" w:customStyle="1" w:styleId="chartheading">
    <w:name w:val="chart_heading"/>
    <w:basedOn w:val="Normal"/>
    <w:rsid w:val="007C51D1"/>
    <w:pPr>
      <w:spacing w:before="720" w:after="48"/>
      <w:jc w:val="center"/>
    </w:pPr>
    <w:rPr>
      <w:rFonts w:ascii="Arial" w:hAnsi="Arial" w:cs="Arial"/>
      <w:color w:val="507742"/>
      <w:sz w:val="29"/>
      <w:szCs w:val="29"/>
    </w:rPr>
  </w:style>
  <w:style w:type="paragraph" w:customStyle="1" w:styleId="chartgraphic">
    <w:name w:val="chart_graphic"/>
    <w:basedOn w:val="Normal"/>
    <w:rsid w:val="007C51D1"/>
    <w:pPr>
      <w:spacing w:after="240"/>
      <w:jc w:val="center"/>
    </w:pPr>
    <w:rPr>
      <w:color w:val="000000"/>
    </w:rPr>
  </w:style>
  <w:style w:type="paragraph" w:styleId="NormalWeb">
    <w:name w:val="Normal (Web)"/>
    <w:basedOn w:val="Normal"/>
    <w:uiPriority w:val="99"/>
    <w:unhideWhenUsed/>
    <w:rsid w:val="007C51D1"/>
    <w:pPr>
      <w:spacing w:before="100" w:beforeAutospacing="1" w:after="100" w:afterAutospacing="1"/>
    </w:pPr>
  </w:style>
  <w:style w:type="paragraph" w:customStyle="1" w:styleId="CM53">
    <w:name w:val="CM53"/>
    <w:basedOn w:val="Default"/>
    <w:next w:val="Default"/>
    <w:uiPriority w:val="99"/>
    <w:rsid w:val="007C51D1"/>
    <w:rPr>
      <w:color w:val="auto"/>
    </w:rPr>
  </w:style>
  <w:style w:type="paragraph" w:customStyle="1" w:styleId="CM52">
    <w:name w:val="CM52"/>
    <w:basedOn w:val="Default"/>
    <w:next w:val="Default"/>
    <w:uiPriority w:val="99"/>
    <w:rsid w:val="007C51D1"/>
    <w:rPr>
      <w:color w:val="auto"/>
    </w:rPr>
  </w:style>
  <w:style w:type="character" w:customStyle="1" w:styleId="A10">
    <w:name w:val="A10"/>
    <w:uiPriority w:val="99"/>
    <w:rsid w:val="007C51D1"/>
    <w:rPr>
      <w:rFonts w:cs="Avenir 65 Medium"/>
      <w:color w:val="000000"/>
    </w:rPr>
  </w:style>
  <w:style w:type="paragraph" w:customStyle="1" w:styleId="Pa4">
    <w:name w:val="Pa4"/>
    <w:basedOn w:val="Default"/>
    <w:next w:val="Default"/>
    <w:uiPriority w:val="99"/>
    <w:rsid w:val="007C51D1"/>
    <w:pPr>
      <w:spacing w:line="201" w:lineRule="atLeast"/>
    </w:pPr>
    <w:rPr>
      <w:rFonts w:ascii="Avenir 35 Light" w:hAnsi="Avenir 35 Light" w:cs="Times New Roman"/>
      <w:color w:val="auto"/>
    </w:rPr>
  </w:style>
  <w:style w:type="paragraph" w:customStyle="1" w:styleId="Pa18">
    <w:name w:val="Pa18"/>
    <w:basedOn w:val="Default"/>
    <w:next w:val="Default"/>
    <w:uiPriority w:val="99"/>
    <w:rsid w:val="007C51D1"/>
    <w:pPr>
      <w:spacing w:line="211" w:lineRule="atLeast"/>
    </w:pPr>
    <w:rPr>
      <w:rFonts w:ascii="Sabon" w:hAnsi="Sabon" w:cs="Times New Roman"/>
      <w:color w:val="auto"/>
    </w:rPr>
  </w:style>
  <w:style w:type="paragraph" w:customStyle="1" w:styleId="Pa2">
    <w:name w:val="Pa2"/>
    <w:basedOn w:val="Default"/>
    <w:next w:val="Default"/>
    <w:uiPriority w:val="99"/>
    <w:rsid w:val="007C51D1"/>
    <w:pPr>
      <w:spacing w:line="211" w:lineRule="atLeast"/>
    </w:pPr>
    <w:rPr>
      <w:rFonts w:ascii="Sabon" w:hAnsi="Sabon" w:cs="Times New Roman"/>
      <w:color w:val="auto"/>
    </w:rPr>
  </w:style>
  <w:style w:type="character" w:customStyle="1" w:styleId="CommentTextChar1">
    <w:name w:val="Comment Text Char1"/>
    <w:basedOn w:val="DefaultParagraphFont"/>
    <w:uiPriority w:val="99"/>
    <w:semiHidden/>
    <w:rsid w:val="007C51D1"/>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annotation text" w:uiPriority="99"/>
    <w:lsdException w:name="annotation reference" w:uiPriority="99"/>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uiPriority w:val="99"/>
    <w:semiHidden/>
    <w:rsid w:val="00A17328"/>
    <w:rPr>
      <w:b/>
      <w:vanish/>
      <w:color w:val="FF00FF"/>
      <w:sz w:val="20"/>
    </w:rPr>
  </w:style>
  <w:style w:type="paragraph" w:styleId="CommentText">
    <w:name w:val="annotation text"/>
    <w:basedOn w:val="Normal"/>
    <w:link w:val="CommentTextChar"/>
    <w:uiPriority w:val="99"/>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uiPriority w:val="29"/>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FootnoteTextChar">
    <w:name w:val="Footnote Text Char"/>
    <w:basedOn w:val="DefaultParagraphFont"/>
    <w:link w:val="FootnoteText"/>
    <w:rsid w:val="007C51D1"/>
  </w:style>
  <w:style w:type="paragraph" w:styleId="CommentSubject">
    <w:name w:val="annotation subject"/>
    <w:basedOn w:val="CommentText"/>
    <w:next w:val="CommentText"/>
    <w:link w:val="CommentSubjectChar"/>
    <w:rsid w:val="007C51D1"/>
    <w:pPr>
      <w:spacing w:before="0" w:line="240" w:lineRule="auto"/>
      <w:ind w:left="0" w:firstLine="0"/>
    </w:pPr>
    <w:rPr>
      <w:b/>
      <w:bCs/>
      <w:szCs w:val="20"/>
    </w:rPr>
  </w:style>
  <w:style w:type="character" w:customStyle="1" w:styleId="CommentTextChar">
    <w:name w:val="Comment Text Char"/>
    <w:basedOn w:val="DefaultParagraphFont"/>
    <w:link w:val="CommentText"/>
    <w:uiPriority w:val="99"/>
    <w:semiHidden/>
    <w:rsid w:val="007C51D1"/>
    <w:rPr>
      <w:szCs w:val="24"/>
    </w:rPr>
  </w:style>
  <w:style w:type="character" w:customStyle="1" w:styleId="CommentSubjectChar">
    <w:name w:val="Comment Subject Char"/>
    <w:basedOn w:val="CommentTextChar"/>
    <w:link w:val="CommentSubject"/>
    <w:rsid w:val="007C51D1"/>
    <w:rPr>
      <w:b/>
      <w:bCs/>
      <w:szCs w:val="24"/>
    </w:rPr>
  </w:style>
  <w:style w:type="paragraph" w:styleId="Revision">
    <w:name w:val="Revision"/>
    <w:hidden/>
    <w:uiPriority w:val="99"/>
    <w:semiHidden/>
    <w:rsid w:val="007C51D1"/>
    <w:rPr>
      <w:sz w:val="24"/>
      <w:szCs w:val="24"/>
    </w:rPr>
  </w:style>
  <w:style w:type="character" w:customStyle="1" w:styleId="QuoteChar">
    <w:name w:val="Quote Char"/>
    <w:basedOn w:val="DefaultParagraphFont"/>
    <w:link w:val="Quote"/>
    <w:uiPriority w:val="29"/>
    <w:rsid w:val="007C51D1"/>
    <w:rPr>
      <w:sz w:val="22"/>
    </w:rPr>
  </w:style>
  <w:style w:type="character" w:customStyle="1" w:styleId="Heading1Char">
    <w:name w:val="Heading 1 Char"/>
    <w:basedOn w:val="DefaultParagraphFont"/>
    <w:link w:val="Heading1"/>
    <w:rsid w:val="007C51D1"/>
    <w:rPr>
      <w:sz w:val="52"/>
    </w:rPr>
  </w:style>
  <w:style w:type="character" w:customStyle="1" w:styleId="Heading3Char">
    <w:name w:val="Heading 3 Char"/>
    <w:basedOn w:val="DefaultParagraphFont"/>
    <w:link w:val="Heading3"/>
    <w:rsid w:val="007C51D1"/>
    <w:rPr>
      <w:rFonts w:ascii="Arial" w:hAnsi="Arial"/>
      <w:b/>
      <w:sz w:val="26"/>
    </w:rPr>
  </w:style>
  <w:style w:type="paragraph" w:styleId="Bibliography">
    <w:name w:val="Bibliography"/>
    <w:basedOn w:val="Normal"/>
    <w:next w:val="Normal"/>
    <w:uiPriority w:val="37"/>
    <w:unhideWhenUsed/>
    <w:rsid w:val="007C51D1"/>
    <w:pPr>
      <w:spacing w:after="240"/>
      <w:ind w:left="720" w:hanging="720"/>
    </w:pPr>
  </w:style>
  <w:style w:type="character" w:styleId="EndnoteReference">
    <w:name w:val="endnote reference"/>
    <w:basedOn w:val="DefaultParagraphFont"/>
    <w:rsid w:val="007C51D1"/>
    <w:rPr>
      <w:vertAlign w:val="superscript"/>
    </w:rPr>
  </w:style>
  <w:style w:type="character" w:customStyle="1" w:styleId="Heading4Char">
    <w:name w:val="Heading 4 Char"/>
    <w:basedOn w:val="DefaultParagraphFont"/>
    <w:link w:val="Heading4"/>
    <w:rsid w:val="007C51D1"/>
    <w:rPr>
      <w:rFonts w:ascii="Arial" w:hAnsi="Arial"/>
      <w:sz w:val="24"/>
    </w:rPr>
  </w:style>
  <w:style w:type="character" w:styleId="Hyperlink">
    <w:name w:val="Hyperlink"/>
    <w:basedOn w:val="DefaultParagraphFont"/>
    <w:rsid w:val="007C51D1"/>
    <w:rPr>
      <w:color w:val="78A22F" w:themeColor="hyperlink"/>
      <w:u w:val="single"/>
    </w:rPr>
  </w:style>
  <w:style w:type="paragraph" w:styleId="ListParagraph">
    <w:name w:val="List Paragraph"/>
    <w:basedOn w:val="Normal"/>
    <w:uiPriority w:val="34"/>
    <w:qFormat/>
    <w:rsid w:val="007C51D1"/>
    <w:pPr>
      <w:ind w:left="720"/>
    </w:pPr>
    <w:rPr>
      <w:rFonts w:ascii="Calibri" w:hAnsi="Calibri"/>
      <w:sz w:val="22"/>
      <w:szCs w:val="22"/>
      <w:lang w:eastAsia="en-US"/>
    </w:rPr>
  </w:style>
  <w:style w:type="paragraph" w:customStyle="1" w:styleId="BoxSpaceAboveElement">
    <w:name w:val="Box Space Above Element"/>
    <w:basedOn w:val="BoxSpaceAbove"/>
    <w:link w:val="BoxSpaceAboveElementChar"/>
    <w:qFormat/>
    <w:rsid w:val="007C51D1"/>
    <w:pPr>
      <w:spacing w:before="240"/>
    </w:pPr>
    <w:rPr>
      <w:b/>
      <w:vanish/>
      <w:color w:val="FF00FF"/>
      <w:sz w:val="14"/>
    </w:rPr>
  </w:style>
  <w:style w:type="character" w:customStyle="1" w:styleId="BoxSpaceAboveElementChar">
    <w:name w:val="Box Space Above Element Char"/>
    <w:basedOn w:val="DefaultParagraphFont"/>
    <w:link w:val="BoxSpaceAboveElement"/>
    <w:rsid w:val="007C51D1"/>
    <w:rPr>
      <w:b/>
      <w:vanish/>
      <w:color w:val="FF00FF"/>
      <w:sz w:val="14"/>
    </w:rPr>
  </w:style>
  <w:style w:type="character" w:styleId="FollowedHyperlink">
    <w:name w:val="FollowedHyperlink"/>
    <w:basedOn w:val="DefaultParagraphFont"/>
    <w:rsid w:val="007C51D1"/>
    <w:rPr>
      <w:color w:val="387DD2" w:themeColor="followedHyperlink"/>
      <w:u w:val="single"/>
    </w:rPr>
  </w:style>
  <w:style w:type="paragraph" w:customStyle="1" w:styleId="Default">
    <w:name w:val="Default"/>
    <w:rsid w:val="007C51D1"/>
    <w:pPr>
      <w:autoSpaceDE w:val="0"/>
      <w:autoSpaceDN w:val="0"/>
      <w:adjustRightInd w:val="0"/>
    </w:pPr>
    <w:rPr>
      <w:rFonts w:ascii="Arial" w:hAnsi="Arial" w:cs="Arial"/>
      <w:color w:val="000000"/>
      <w:sz w:val="24"/>
      <w:szCs w:val="24"/>
    </w:rPr>
  </w:style>
  <w:style w:type="paragraph" w:customStyle="1" w:styleId="chartheading">
    <w:name w:val="chart_heading"/>
    <w:basedOn w:val="Normal"/>
    <w:rsid w:val="007C51D1"/>
    <w:pPr>
      <w:spacing w:before="720" w:after="48"/>
      <w:jc w:val="center"/>
    </w:pPr>
    <w:rPr>
      <w:rFonts w:ascii="Arial" w:hAnsi="Arial" w:cs="Arial"/>
      <w:color w:val="507742"/>
      <w:sz w:val="29"/>
      <w:szCs w:val="29"/>
    </w:rPr>
  </w:style>
  <w:style w:type="paragraph" w:customStyle="1" w:styleId="chartgraphic">
    <w:name w:val="chart_graphic"/>
    <w:basedOn w:val="Normal"/>
    <w:rsid w:val="007C51D1"/>
    <w:pPr>
      <w:spacing w:after="240"/>
      <w:jc w:val="center"/>
    </w:pPr>
    <w:rPr>
      <w:color w:val="000000"/>
    </w:rPr>
  </w:style>
  <w:style w:type="paragraph" w:styleId="NormalWeb">
    <w:name w:val="Normal (Web)"/>
    <w:basedOn w:val="Normal"/>
    <w:uiPriority w:val="99"/>
    <w:unhideWhenUsed/>
    <w:rsid w:val="007C51D1"/>
    <w:pPr>
      <w:spacing w:before="100" w:beforeAutospacing="1" w:after="100" w:afterAutospacing="1"/>
    </w:pPr>
  </w:style>
  <w:style w:type="paragraph" w:customStyle="1" w:styleId="CM53">
    <w:name w:val="CM53"/>
    <w:basedOn w:val="Default"/>
    <w:next w:val="Default"/>
    <w:uiPriority w:val="99"/>
    <w:rsid w:val="007C51D1"/>
    <w:rPr>
      <w:color w:val="auto"/>
    </w:rPr>
  </w:style>
  <w:style w:type="paragraph" w:customStyle="1" w:styleId="CM52">
    <w:name w:val="CM52"/>
    <w:basedOn w:val="Default"/>
    <w:next w:val="Default"/>
    <w:uiPriority w:val="99"/>
    <w:rsid w:val="007C51D1"/>
    <w:rPr>
      <w:color w:val="auto"/>
    </w:rPr>
  </w:style>
  <w:style w:type="character" w:customStyle="1" w:styleId="A10">
    <w:name w:val="A10"/>
    <w:uiPriority w:val="99"/>
    <w:rsid w:val="007C51D1"/>
    <w:rPr>
      <w:rFonts w:cs="Avenir 65 Medium"/>
      <w:color w:val="000000"/>
    </w:rPr>
  </w:style>
  <w:style w:type="paragraph" w:customStyle="1" w:styleId="Pa4">
    <w:name w:val="Pa4"/>
    <w:basedOn w:val="Default"/>
    <w:next w:val="Default"/>
    <w:uiPriority w:val="99"/>
    <w:rsid w:val="007C51D1"/>
    <w:pPr>
      <w:spacing w:line="201" w:lineRule="atLeast"/>
    </w:pPr>
    <w:rPr>
      <w:rFonts w:ascii="Avenir 35 Light" w:hAnsi="Avenir 35 Light" w:cs="Times New Roman"/>
      <w:color w:val="auto"/>
    </w:rPr>
  </w:style>
  <w:style w:type="paragraph" w:customStyle="1" w:styleId="Pa18">
    <w:name w:val="Pa18"/>
    <w:basedOn w:val="Default"/>
    <w:next w:val="Default"/>
    <w:uiPriority w:val="99"/>
    <w:rsid w:val="007C51D1"/>
    <w:pPr>
      <w:spacing w:line="211" w:lineRule="atLeast"/>
    </w:pPr>
    <w:rPr>
      <w:rFonts w:ascii="Sabon" w:hAnsi="Sabon" w:cs="Times New Roman"/>
      <w:color w:val="auto"/>
    </w:rPr>
  </w:style>
  <w:style w:type="paragraph" w:customStyle="1" w:styleId="Pa2">
    <w:name w:val="Pa2"/>
    <w:basedOn w:val="Default"/>
    <w:next w:val="Default"/>
    <w:uiPriority w:val="99"/>
    <w:rsid w:val="007C51D1"/>
    <w:pPr>
      <w:spacing w:line="211" w:lineRule="atLeast"/>
    </w:pPr>
    <w:rPr>
      <w:rFonts w:ascii="Sabon" w:hAnsi="Sabon" w:cs="Times New Roman"/>
      <w:color w:val="auto"/>
    </w:rPr>
  </w:style>
  <w:style w:type="character" w:customStyle="1" w:styleId="CommentTextChar1">
    <w:name w:val="Comment Text Char1"/>
    <w:basedOn w:val="DefaultParagraphFont"/>
    <w:uiPriority w:val="99"/>
    <w:semiHidden/>
    <w:rsid w:val="007C51D1"/>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8.emf"/><Relationship Id="rId117" Type="http://schemas.openxmlformats.org/officeDocument/2006/relationships/theme" Target="theme/theme1.xml"/><Relationship Id="rId21" Type="http://schemas.openxmlformats.org/officeDocument/2006/relationships/image" Target="media/image13.emf"/><Relationship Id="rId42" Type="http://schemas.openxmlformats.org/officeDocument/2006/relationships/image" Target="media/image22.emf"/><Relationship Id="rId47" Type="http://schemas.openxmlformats.org/officeDocument/2006/relationships/image" Target="media/image27.emf"/><Relationship Id="rId63" Type="http://schemas.openxmlformats.org/officeDocument/2006/relationships/image" Target="media/image39.emf"/><Relationship Id="rId68" Type="http://schemas.openxmlformats.org/officeDocument/2006/relationships/footer" Target="footer9.xml"/><Relationship Id="rId84" Type="http://schemas.openxmlformats.org/officeDocument/2006/relationships/image" Target="media/image56.jpeg"/><Relationship Id="rId89" Type="http://schemas.openxmlformats.org/officeDocument/2006/relationships/image" Target="media/image61.emf"/><Relationship Id="rId112" Type="http://schemas.openxmlformats.org/officeDocument/2006/relationships/header" Target="header16.xml"/><Relationship Id="rId16" Type="http://schemas.openxmlformats.org/officeDocument/2006/relationships/image" Target="media/image8.emf"/><Relationship Id="rId107" Type="http://schemas.openxmlformats.org/officeDocument/2006/relationships/image" Target="media/image69.emf"/><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header" Target="header4.xml"/><Relationship Id="rId37" Type="http://schemas.openxmlformats.org/officeDocument/2006/relationships/header" Target="header6.xml"/><Relationship Id="rId40" Type="http://schemas.openxmlformats.org/officeDocument/2006/relationships/image" Target="media/image20.emf"/><Relationship Id="rId45" Type="http://schemas.openxmlformats.org/officeDocument/2006/relationships/image" Target="media/image25.emf"/><Relationship Id="rId53" Type="http://schemas.openxmlformats.org/officeDocument/2006/relationships/footer" Target="footer8.xml"/><Relationship Id="rId58" Type="http://schemas.openxmlformats.org/officeDocument/2006/relationships/image" Target="media/image34.emf"/><Relationship Id="rId66" Type="http://schemas.openxmlformats.org/officeDocument/2006/relationships/header" Target="header9.xml"/><Relationship Id="rId74" Type="http://schemas.openxmlformats.org/officeDocument/2006/relationships/image" Target="media/image46.emf"/><Relationship Id="rId79" Type="http://schemas.openxmlformats.org/officeDocument/2006/relationships/image" Target="media/image51.emf"/><Relationship Id="rId87" Type="http://schemas.openxmlformats.org/officeDocument/2006/relationships/image" Target="media/image59.emf"/><Relationship Id="rId102" Type="http://schemas.openxmlformats.org/officeDocument/2006/relationships/image" Target="media/image64.emf"/><Relationship Id="rId110" Type="http://schemas.openxmlformats.org/officeDocument/2006/relationships/image" Target="media/image72.jpeg"/><Relationship Id="rId115" Type="http://schemas.openxmlformats.org/officeDocument/2006/relationships/footer" Target="footer17.xml"/><Relationship Id="rId5" Type="http://schemas.openxmlformats.org/officeDocument/2006/relationships/settings" Target="settings.xml"/><Relationship Id="rId61" Type="http://schemas.openxmlformats.org/officeDocument/2006/relationships/image" Target="media/image37.emf"/><Relationship Id="rId82" Type="http://schemas.openxmlformats.org/officeDocument/2006/relationships/image" Target="media/image54.emf"/><Relationship Id="rId90" Type="http://schemas.openxmlformats.org/officeDocument/2006/relationships/header" Target="header11.xml"/><Relationship Id="rId95" Type="http://schemas.openxmlformats.org/officeDocument/2006/relationships/footer" Target="footer13.xml"/><Relationship Id="rId19" Type="http://schemas.openxmlformats.org/officeDocument/2006/relationships/image" Target="media/image1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image" Target="media/image19.jpeg"/><Relationship Id="rId43" Type="http://schemas.openxmlformats.org/officeDocument/2006/relationships/image" Target="media/image23.emf"/><Relationship Id="rId48" Type="http://schemas.openxmlformats.org/officeDocument/2006/relationships/image" Target="media/image28.jpeg"/><Relationship Id="rId56" Type="http://schemas.openxmlformats.org/officeDocument/2006/relationships/image" Target="media/image32.emf"/><Relationship Id="rId64" Type="http://schemas.openxmlformats.org/officeDocument/2006/relationships/image" Target="media/image40.emf"/><Relationship Id="rId69" Type="http://schemas.openxmlformats.org/officeDocument/2006/relationships/footer" Target="footer10.xml"/><Relationship Id="rId77" Type="http://schemas.openxmlformats.org/officeDocument/2006/relationships/image" Target="media/image49.emf"/><Relationship Id="rId100" Type="http://schemas.openxmlformats.org/officeDocument/2006/relationships/image" Target="media/image62.emf"/><Relationship Id="rId105" Type="http://schemas.openxmlformats.org/officeDocument/2006/relationships/image" Target="media/image67.emf"/><Relationship Id="rId113" Type="http://schemas.openxmlformats.org/officeDocument/2006/relationships/header" Target="header17.xml"/><Relationship Id="rId8" Type="http://schemas.openxmlformats.org/officeDocument/2006/relationships/endnotes" Target="endnotes.xml"/><Relationship Id="rId51" Type="http://schemas.openxmlformats.org/officeDocument/2006/relationships/header" Target="header8.xml"/><Relationship Id="rId72" Type="http://schemas.openxmlformats.org/officeDocument/2006/relationships/image" Target="media/image44.emf"/><Relationship Id="rId80" Type="http://schemas.openxmlformats.org/officeDocument/2006/relationships/image" Target="media/image52.emf"/><Relationship Id="rId85" Type="http://schemas.openxmlformats.org/officeDocument/2006/relationships/image" Target="media/image57.emf"/><Relationship Id="rId93" Type="http://schemas.openxmlformats.org/officeDocument/2006/relationships/header" Target="header13.xml"/><Relationship Id="rId98" Type="http://schemas.openxmlformats.org/officeDocument/2006/relationships/footer" Target="footer14.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footer" Target="footer3.xml"/><Relationship Id="rId38" Type="http://schemas.openxmlformats.org/officeDocument/2006/relationships/footer" Target="footer5.xml"/><Relationship Id="rId46" Type="http://schemas.openxmlformats.org/officeDocument/2006/relationships/image" Target="media/image26.emf"/><Relationship Id="rId59" Type="http://schemas.openxmlformats.org/officeDocument/2006/relationships/image" Target="media/image35.emf"/><Relationship Id="rId67" Type="http://schemas.openxmlformats.org/officeDocument/2006/relationships/header" Target="header10.xml"/><Relationship Id="rId103" Type="http://schemas.openxmlformats.org/officeDocument/2006/relationships/image" Target="media/image65.emf"/><Relationship Id="rId108" Type="http://schemas.openxmlformats.org/officeDocument/2006/relationships/image" Target="media/image70.emf"/><Relationship Id="rId116" Type="http://schemas.openxmlformats.org/officeDocument/2006/relationships/fontTable" Target="fontTable.xml"/><Relationship Id="rId20" Type="http://schemas.openxmlformats.org/officeDocument/2006/relationships/image" Target="media/image12.emf"/><Relationship Id="rId41" Type="http://schemas.openxmlformats.org/officeDocument/2006/relationships/image" Target="media/image21.emf"/><Relationship Id="rId54" Type="http://schemas.openxmlformats.org/officeDocument/2006/relationships/image" Target="media/image30.emf"/><Relationship Id="rId62" Type="http://schemas.openxmlformats.org/officeDocument/2006/relationships/image" Target="media/image38.emf"/><Relationship Id="rId70" Type="http://schemas.openxmlformats.org/officeDocument/2006/relationships/image" Target="media/image42.emf"/><Relationship Id="rId75" Type="http://schemas.openxmlformats.org/officeDocument/2006/relationships/image" Target="media/image47.emf"/><Relationship Id="rId83" Type="http://schemas.openxmlformats.org/officeDocument/2006/relationships/image" Target="media/image55.emf"/><Relationship Id="rId88" Type="http://schemas.openxmlformats.org/officeDocument/2006/relationships/image" Target="media/image60.emf"/><Relationship Id="rId91" Type="http://schemas.openxmlformats.org/officeDocument/2006/relationships/footer" Target="footer11.xml"/><Relationship Id="rId96" Type="http://schemas.openxmlformats.org/officeDocument/2006/relationships/header" Target="header14.xml"/><Relationship Id="rId111" Type="http://schemas.openxmlformats.org/officeDocument/2006/relationships/image" Target="media/image73.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header" Target="header2.xml"/><Relationship Id="rId36" Type="http://schemas.openxmlformats.org/officeDocument/2006/relationships/header" Target="header5.xml"/><Relationship Id="rId49" Type="http://schemas.openxmlformats.org/officeDocument/2006/relationships/image" Target="media/image29.jpeg"/><Relationship Id="rId57" Type="http://schemas.openxmlformats.org/officeDocument/2006/relationships/image" Target="media/image33.emf"/><Relationship Id="rId106" Type="http://schemas.openxmlformats.org/officeDocument/2006/relationships/image" Target="media/image68.emf"/><Relationship Id="rId114" Type="http://schemas.openxmlformats.org/officeDocument/2006/relationships/footer" Target="footer16.xml"/><Relationship Id="rId10" Type="http://schemas.openxmlformats.org/officeDocument/2006/relationships/image" Target="media/image2.emf"/><Relationship Id="rId31" Type="http://schemas.openxmlformats.org/officeDocument/2006/relationships/header" Target="header3.xml"/><Relationship Id="rId44" Type="http://schemas.openxmlformats.org/officeDocument/2006/relationships/image" Target="media/image24.emf"/><Relationship Id="rId52" Type="http://schemas.openxmlformats.org/officeDocument/2006/relationships/footer" Target="footer7.xml"/><Relationship Id="rId60" Type="http://schemas.openxmlformats.org/officeDocument/2006/relationships/image" Target="media/image36.emf"/><Relationship Id="rId65" Type="http://schemas.openxmlformats.org/officeDocument/2006/relationships/image" Target="media/image41.emf"/><Relationship Id="rId73" Type="http://schemas.openxmlformats.org/officeDocument/2006/relationships/image" Target="media/image45.emf"/><Relationship Id="rId78" Type="http://schemas.openxmlformats.org/officeDocument/2006/relationships/image" Target="media/image50.emf"/><Relationship Id="rId81" Type="http://schemas.openxmlformats.org/officeDocument/2006/relationships/image" Target="media/image53.emf"/><Relationship Id="rId86" Type="http://schemas.openxmlformats.org/officeDocument/2006/relationships/image" Target="media/image58.emf"/><Relationship Id="rId94" Type="http://schemas.openxmlformats.org/officeDocument/2006/relationships/footer" Target="footer12.xml"/><Relationship Id="rId99" Type="http://schemas.openxmlformats.org/officeDocument/2006/relationships/footer" Target="footer15.xml"/><Relationship Id="rId101" Type="http://schemas.openxmlformats.org/officeDocument/2006/relationships/image" Target="media/image63.emf"/><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10.emf"/><Relationship Id="rId39" Type="http://schemas.openxmlformats.org/officeDocument/2006/relationships/footer" Target="footer6.xml"/><Relationship Id="rId109" Type="http://schemas.openxmlformats.org/officeDocument/2006/relationships/image" Target="media/image71.emf"/><Relationship Id="rId34" Type="http://schemas.openxmlformats.org/officeDocument/2006/relationships/footer" Target="footer4.xml"/><Relationship Id="rId50" Type="http://schemas.openxmlformats.org/officeDocument/2006/relationships/header" Target="header7.xml"/><Relationship Id="rId55" Type="http://schemas.openxmlformats.org/officeDocument/2006/relationships/image" Target="media/image31.emf"/><Relationship Id="rId76" Type="http://schemas.openxmlformats.org/officeDocument/2006/relationships/image" Target="media/image48.emf"/><Relationship Id="rId97" Type="http://schemas.openxmlformats.org/officeDocument/2006/relationships/header" Target="header15.xml"/><Relationship Id="rId104" Type="http://schemas.openxmlformats.org/officeDocument/2006/relationships/image" Target="media/image66.emf"/><Relationship Id="rId7" Type="http://schemas.openxmlformats.org/officeDocument/2006/relationships/footnotes" Target="footnotes.xml"/><Relationship Id="rId71" Type="http://schemas.openxmlformats.org/officeDocument/2006/relationships/image" Target="media/image43.emf"/><Relationship Id="rId92" Type="http://schemas.openxmlformats.org/officeDocument/2006/relationships/header" Target="header12.xml"/><Relationship Id="rId2" Type="http://schemas.openxmlformats.org/officeDocument/2006/relationships/numbering" Target="numbering.xml"/><Relationship Id="rId29"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9A21BA-7398-4535-9B56-9D100263A4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3</TotalTime>
  <Pages>100</Pages>
  <Words>31121</Words>
  <Characters>167940</Characters>
  <Application>Microsoft Office Word</Application>
  <DocSecurity>0</DocSecurity>
  <Lines>3229</Lines>
  <Paragraphs>716</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198345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Mark Pimperl</cp:lastModifiedBy>
  <cp:revision>3</cp:revision>
  <cp:lastPrinted>2015-07-01T09:49:00Z</cp:lastPrinted>
  <dcterms:created xsi:type="dcterms:W3CDTF">2015-07-02T02:47:00Z</dcterms:created>
  <dcterms:modified xsi:type="dcterms:W3CDTF">2015-07-06T01:36:00Z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id="Rx4ybRQ3"/&gt;&lt;style id="http://www.zotero.org/styles/unisa-harvard" hasBibliography="1" bibliographyStyleHasBeenSet="0"/&gt;&lt;prefs&gt;&lt;pref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