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Pr="008017FA" w:rsidRDefault="008017FA" w:rsidP="00B04D19">
      <w:pPr>
        <w:pStyle w:val="Heading1NotTOC"/>
        <w:rPr>
          <w:color w:val="FFFFFF" w:themeColor="background1"/>
          <w:sz w:val="16"/>
          <w:szCs w:val="16"/>
        </w:rPr>
      </w:pPr>
      <w:r w:rsidRPr="008017FA">
        <w:rPr>
          <w:color w:val="FFFFFF" w:themeColor="background1"/>
          <w:sz w:val="16"/>
          <w:szCs w:val="16"/>
        </w:rPr>
        <w:t>Tax and Transfer incidence in Australia</w:t>
      </w:r>
    </w:p>
    <w:p w:rsidR="008017FA" w:rsidRPr="008017FA" w:rsidRDefault="008017FA" w:rsidP="008017FA">
      <w:pPr>
        <w:pStyle w:val="BodyText"/>
        <w:rPr>
          <w:color w:val="FFFFFF" w:themeColor="background1"/>
          <w:sz w:val="16"/>
          <w:szCs w:val="16"/>
          <w:lang w:eastAsia="en-US"/>
        </w:rPr>
      </w:pPr>
      <w:r w:rsidRPr="008017FA">
        <w:rPr>
          <w:color w:val="FFFFFF" w:themeColor="background1"/>
          <w:sz w:val="16"/>
          <w:szCs w:val="16"/>
          <w:lang w:eastAsia="en-US"/>
        </w:rPr>
        <w:t>Productivity Commission</w:t>
      </w:r>
      <w:r w:rsidRPr="008017FA">
        <w:rPr>
          <w:color w:val="FFFFFF" w:themeColor="background1"/>
          <w:sz w:val="16"/>
          <w:szCs w:val="16"/>
          <w:lang w:eastAsia="en-US"/>
        </w:rPr>
        <w:br/>
        <w:t>Commission Working Paper</w:t>
      </w:r>
      <w:bookmarkStart w:id="0" w:name="_GoBack"/>
      <w:r w:rsidRPr="008017FA">
        <w:rPr>
          <w:noProof/>
          <w:color w:val="FFFFFF" w:themeColor="background1"/>
          <w:sz w:val="16"/>
          <w:szCs w:val="16"/>
        </w:rPr>
        <w:drawing>
          <wp:anchor distT="0" distB="0" distL="114300" distR="114300" simplePos="0" relativeHeight="251658240" behindDoc="0" locked="0" layoutInCell="1" allowOverlap="1" wp14:anchorId="23E65551" wp14:editId="5663CB62">
            <wp:simplePos x="1155700" y="2363470"/>
            <wp:positionH relativeFrom="page">
              <wp:align>center</wp:align>
            </wp:positionH>
            <wp:positionV relativeFrom="page">
              <wp:align>center</wp:align>
            </wp:positionV>
            <wp:extent cx="7560000" cy="10692000"/>
            <wp:effectExtent l="0" t="0" r="3175" b="0"/>
            <wp:wrapNone/>
            <wp:docPr id="1" name="Picture 1" descr="Cover of Australian Government productivity Commission's Tax and Transfer Incidence in Australia - Commission working paper dated October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tax-and-transfers-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bookmarkEnd w:id="0"/>
      <w:r w:rsidRPr="008017FA">
        <w:rPr>
          <w:color w:val="FFFFFF" w:themeColor="background1"/>
          <w:sz w:val="16"/>
          <w:szCs w:val="16"/>
          <w:lang w:eastAsia="en-US"/>
        </w:rPr>
        <w:t>. October 2015.</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8A3857" w:rsidRDefault="008A3857" w:rsidP="008E242D">
      <w:pPr>
        <w:pStyle w:val="BodyText"/>
        <w:spacing w:after="120"/>
      </w:pPr>
      <w:bookmarkStart w:id="1" w:name="ISSN"/>
      <w:bookmarkEnd w:id="1"/>
      <w:r w:rsidRPr="00862D8F">
        <w:rPr>
          <w:noProof/>
          <w:sz w:val="22"/>
          <w:szCs w:val="22"/>
        </w:rPr>
        <w:drawing>
          <wp:inline distT="0" distB="0" distL="0" distR="0" wp14:anchorId="4BDFC63D" wp14:editId="62C4E78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Source: Productivity Commission,</w:t>
      </w:r>
      <w:r w:rsidR="000C4593">
        <w:rPr>
          <w:i/>
        </w:rPr>
        <w:t xml:space="preserve"> Tax and Transfer Incidence in Australia</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0C4593">
        <w:rPr>
          <w:i/>
        </w:rPr>
        <w:t>, Tax and Transfer Incidence in Australia</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8A3857" w:rsidRDefault="000C4593" w:rsidP="008A3857">
      <w:pPr>
        <w:pStyle w:val="Copyrightbodytext"/>
      </w:pPr>
      <w:r>
        <w:t xml:space="preserve">Productivity Commission 2015, </w:t>
      </w:r>
      <w:r w:rsidRPr="000C4593">
        <w:rPr>
          <w:i/>
        </w:rPr>
        <w:t>Tax and Transfer Incidence in Australia</w:t>
      </w:r>
      <w:r>
        <w:t>, Commission Working Paper,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hyperlink r:id="rId15" w:history="1">
              <w:r w:rsidRPr="00805FD7">
                <w:t>www.pc.gov.au</w:t>
              </w:r>
            </w:hyperlink>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rsidR="001B7F1E" w:rsidRPr="008206EE" w:rsidRDefault="00735FEA" w:rsidP="008206EE">
      <w:pPr>
        <w:pStyle w:val="Heading1NotTOC"/>
      </w:pPr>
      <w:bookmarkStart w:id="4" w:name="Contents"/>
      <w:bookmarkEnd w:id="4"/>
      <w:r w:rsidRPr="00B153C3">
        <w:lastRenderedPageBreak/>
        <w:t>Contents</w:t>
      </w:r>
      <w:bookmarkStart w:id="5" w:name="InsertContents"/>
      <w:bookmarkEnd w:id="5"/>
    </w:p>
    <w:p w:rsidR="00C058AB" w:rsidRDefault="00C058AB">
      <w:pPr>
        <w:pStyle w:val="BodyText"/>
      </w:pPr>
    </w:p>
    <w:sdt>
      <w:sdtPr>
        <w:rPr>
          <w:rFonts w:ascii="Times New Roman" w:hAnsi="Times New Roman"/>
          <w:b w:val="0"/>
          <w:kern w:val="28"/>
          <w:sz w:val="52"/>
          <w:szCs w:val="20"/>
          <w:lang w:eastAsia="en-AU"/>
        </w:rPr>
        <w:id w:val="-443533297"/>
        <w:docPartObj>
          <w:docPartGallery w:val="Table of Contents"/>
          <w:docPartUnique/>
        </w:docPartObj>
      </w:sdtPr>
      <w:sdtEndPr>
        <w:rPr>
          <w:kern w:val="0"/>
          <w:sz w:val="24"/>
        </w:rPr>
      </w:sdtEndPr>
      <w:sdtContent>
        <w:p w:rsidR="000C4593" w:rsidRDefault="000C4593" w:rsidP="000C4593">
          <w:pPr>
            <w:pStyle w:val="TOC1"/>
            <w:rPr>
              <w:noProof/>
            </w:rPr>
          </w:pPr>
          <w:r>
            <w:rPr>
              <w:noProof/>
            </w:rPr>
            <w:t>Acknowledgments</w:t>
          </w:r>
          <w:r>
            <w:rPr>
              <w:noProof/>
            </w:rPr>
            <w:tab/>
            <w:t>v</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Abbreviations</w:t>
          </w:r>
          <w:r>
            <w:rPr>
              <w:noProof/>
            </w:rPr>
            <w:tab/>
            <w:t>vi</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Glossary</w:t>
          </w:r>
          <w:r>
            <w:rPr>
              <w:noProof/>
            </w:rPr>
            <w:tab/>
            <w:t>vii</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What is this paper about?</w:t>
          </w:r>
          <w:r>
            <w:rPr>
              <w:noProof/>
            </w:rPr>
            <w:tab/>
            <w:t>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purpose of this paper</w:t>
          </w:r>
          <w:r>
            <w:rPr>
              <w:noProof/>
            </w:rPr>
            <w:tab/>
            <w:t>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Why analyse taxes and transfers together?</w:t>
          </w:r>
          <w:r>
            <w:rPr>
              <w:noProof/>
            </w:rPr>
            <w:tab/>
            <w:t>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Why take a life cycle perspective?</w:t>
          </w:r>
          <w:r>
            <w:rPr>
              <w:noProof/>
            </w:rPr>
            <w:tab/>
            <w:t>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Research questions considered in this paper</w:t>
          </w:r>
          <w:r>
            <w:rPr>
              <w:noProof/>
            </w:rPr>
            <w:tab/>
            <w:t>3</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Structure of the paper</w:t>
          </w:r>
          <w:r>
            <w:rPr>
              <w:noProof/>
            </w:rPr>
            <w:tab/>
            <w:t>3</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Framework for analysis</w:t>
          </w:r>
          <w:r>
            <w:rPr>
              <w:noProof/>
            </w:rPr>
            <w:tab/>
            <w:t>5</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Taxation in Australia</w:t>
          </w:r>
          <w:r>
            <w:rPr>
              <w:noProof/>
            </w:rPr>
            <w:tab/>
            <w:t>5</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Transfer payments in Australia</w:t>
          </w:r>
          <w:r>
            <w:rPr>
              <w:noProof/>
            </w:rPr>
            <w:tab/>
            <w:t>7</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How do taxes and transfers redistribute income?</w:t>
          </w:r>
          <w:r>
            <w:rPr>
              <w:noProof/>
            </w:rPr>
            <w:tab/>
            <w:t>10</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How do taxes and transfers change incentives?</w:t>
          </w:r>
          <w:r>
            <w:rPr>
              <w:noProof/>
            </w:rPr>
            <w:tab/>
            <w:t>13</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How do taxes and transfers affect incomes over lifetimes?</w:t>
          </w:r>
          <w:r>
            <w:rPr>
              <w:noProof/>
            </w:rPr>
            <w:tab/>
            <w:t>16</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State of evidence</w:t>
          </w:r>
          <w:r>
            <w:rPr>
              <w:noProof/>
            </w:rPr>
            <w:tab/>
            <w:t>21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General methodological challenges</w:t>
          </w:r>
          <w:r>
            <w:rPr>
              <w:noProof/>
            </w:rPr>
            <w:tab/>
            <w:t>22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Annual tax and transfer incidence</w:t>
          </w:r>
          <w:r>
            <w:rPr>
              <w:noProof/>
            </w:rPr>
            <w:tab/>
            <w:t>25</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Incidence from a life cycle point of view</w:t>
          </w:r>
          <w:r>
            <w:rPr>
              <w:noProof/>
            </w:rPr>
            <w:tab/>
            <w:t>42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Lessons from the literature</w:t>
          </w:r>
          <w:r>
            <w:rPr>
              <w:noProof/>
            </w:rPr>
            <w:tab/>
            <w:t>47</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Tax and transfer incidence</w:t>
          </w:r>
          <w:r>
            <w:rPr>
              <w:noProof/>
            </w:rPr>
            <w:tab/>
            <w:t>51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Approach to analysing tax and transfers</w:t>
          </w:r>
          <w:r>
            <w:rPr>
              <w:noProof/>
            </w:rPr>
            <w:tab/>
            <w:t>52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Income, wealth and demographics</w:t>
          </w:r>
          <w:r>
            <w:rPr>
              <w:noProof/>
            </w:rPr>
            <w:tab/>
            <w:t>54</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Tax and transfer incidence by income and wealth</w:t>
          </w:r>
          <w:r>
            <w:rPr>
              <w:noProof/>
            </w:rPr>
            <w:tab/>
            <w:t>62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Tax and transfer incidence by age and family type</w:t>
          </w:r>
          <w:r>
            <w:rPr>
              <w:noProof/>
            </w:rPr>
            <w:tab/>
            <w:t>72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lastRenderedPageBreak/>
            <w:t>4.5</w:t>
          </w:r>
          <w:r>
            <w:rPr>
              <w:rFonts w:asciiTheme="minorHAnsi" w:eastAsiaTheme="minorEastAsia" w:hAnsiTheme="minorHAnsi" w:cstheme="minorBidi"/>
              <w:noProof/>
              <w:sz w:val="22"/>
              <w:szCs w:val="22"/>
              <w:lang w:eastAsia="en-AU"/>
            </w:rPr>
            <w:tab/>
          </w:r>
          <w:r>
            <w:rPr>
              <w:noProof/>
            </w:rPr>
            <w:t>Tax and transfer payers and recipients</w:t>
          </w:r>
          <w:r>
            <w:rPr>
              <w:noProof/>
            </w:rPr>
            <w:tab/>
            <w:t>78</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Tax and transfer incentives</w:t>
          </w:r>
          <w:r>
            <w:rPr>
              <w:noProof/>
            </w:rPr>
            <w:tab/>
            <w:t>81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Incentives to earn additional income</w:t>
          </w:r>
          <w:r>
            <w:rPr>
              <w:noProof/>
            </w:rPr>
            <w:tab/>
            <w:t>82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Incentives to enter the workforce</w:t>
          </w:r>
          <w:r>
            <w:rPr>
              <w:noProof/>
            </w:rPr>
            <w:tab/>
            <w:t>89</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Responsiveness to incentives</w:t>
          </w:r>
          <w:r>
            <w:rPr>
              <w:noProof/>
            </w:rPr>
            <w:tab/>
            <w:t>92</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Tax and transfer incidence over time</w:t>
          </w:r>
          <w:r>
            <w:rPr>
              <w:noProof/>
            </w:rPr>
            <w:tab/>
            <w:t>93</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Lifetime tax and transfer flows</w:t>
          </w:r>
          <w:r>
            <w:rPr>
              <w:noProof/>
            </w:rPr>
            <w:tab/>
            <w:t>94</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Projecting tax and transfer flows</w:t>
          </w:r>
          <w:r>
            <w:rPr>
              <w:noProof/>
            </w:rPr>
            <w:tab/>
            <w:t>101</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Opportunities for further work</w:t>
          </w:r>
          <w:r>
            <w:rPr>
              <w:noProof/>
            </w:rPr>
            <w:tab/>
            <w:t>109</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Major Australian taxes and transfers</w:t>
          </w:r>
          <w:r>
            <w:rPr>
              <w:noProof/>
            </w:rPr>
            <w:tab/>
            <w:t>111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A.1</w:t>
          </w:r>
          <w:r>
            <w:rPr>
              <w:rFonts w:asciiTheme="minorHAnsi" w:eastAsiaTheme="minorEastAsia" w:hAnsiTheme="minorHAnsi" w:cstheme="minorBidi"/>
              <w:noProof/>
              <w:sz w:val="22"/>
              <w:szCs w:val="22"/>
              <w:lang w:eastAsia="en-AU"/>
            </w:rPr>
            <w:tab/>
          </w:r>
          <w:r>
            <w:rPr>
              <w:noProof/>
            </w:rPr>
            <w:t>Taxation revenue</w:t>
          </w:r>
          <w:r>
            <w:rPr>
              <w:noProof/>
            </w:rPr>
            <w:tab/>
            <w:t>111</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A.2</w:t>
          </w:r>
          <w:r>
            <w:rPr>
              <w:rFonts w:asciiTheme="minorHAnsi" w:eastAsiaTheme="minorEastAsia" w:hAnsiTheme="minorHAnsi" w:cstheme="minorBidi"/>
              <w:noProof/>
              <w:sz w:val="22"/>
              <w:szCs w:val="22"/>
              <w:lang w:eastAsia="en-AU"/>
            </w:rPr>
            <w:tab/>
          </w:r>
          <w:r>
            <w:rPr>
              <w:noProof/>
            </w:rPr>
            <w:t>Taxation offsets</w:t>
          </w:r>
          <w:r>
            <w:rPr>
              <w:noProof/>
            </w:rPr>
            <w:tab/>
            <w:t>112</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A.3</w:t>
          </w:r>
          <w:r>
            <w:rPr>
              <w:rFonts w:asciiTheme="minorHAnsi" w:eastAsiaTheme="minorEastAsia" w:hAnsiTheme="minorHAnsi" w:cstheme="minorBidi"/>
              <w:noProof/>
              <w:sz w:val="22"/>
              <w:szCs w:val="22"/>
              <w:lang w:eastAsia="en-AU"/>
            </w:rPr>
            <w:tab/>
          </w:r>
          <w:r>
            <w:rPr>
              <w:noProof/>
            </w:rPr>
            <w:t>Transfer expenditure</w:t>
          </w:r>
          <w:r>
            <w:rPr>
              <w:noProof/>
            </w:rPr>
            <w:tab/>
            <w:t>114</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Modelling approach</w:t>
          </w:r>
          <w:r>
            <w:rPr>
              <w:noProof/>
            </w:rPr>
            <w:tab/>
            <w:t>117</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Aim of the modelling and the approach used</w:t>
          </w:r>
          <w:r>
            <w:rPr>
              <w:noProof/>
            </w:rPr>
            <w:tab/>
            <w:t>117</w:t>
          </w:r>
        </w:p>
        <w:p w:rsidR="000C4593" w:rsidRDefault="000C4593" w:rsidP="000C4593">
          <w:pPr>
            <w:pStyle w:val="TOC2"/>
            <w:tabs>
              <w:tab w:val="left" w:pos="1134"/>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The tax and transfer model in more detail</w:t>
          </w:r>
          <w:r>
            <w:rPr>
              <w:noProof/>
            </w:rPr>
            <w:tab/>
            <w:t>119</w:t>
          </w:r>
        </w:p>
        <w:p w:rsidR="000C4593" w:rsidRDefault="000C4593" w:rsidP="000C4593">
          <w:pPr>
            <w:pStyle w:val="TOC1"/>
            <w:rPr>
              <w:rFonts w:asciiTheme="minorHAnsi" w:eastAsiaTheme="minorEastAsia" w:hAnsiTheme="minorHAnsi" w:cstheme="minorBidi"/>
              <w:b w:val="0"/>
              <w:noProof/>
              <w:sz w:val="22"/>
              <w:szCs w:val="22"/>
              <w:lang w:eastAsia="en-AU"/>
            </w:rPr>
          </w:pPr>
          <w:r>
            <w:rPr>
              <w:noProof/>
            </w:rPr>
            <w:t>References</w:t>
          </w:r>
          <w:r>
            <w:rPr>
              <w:noProof/>
            </w:rPr>
            <w:tab/>
            <w:t>135</w:t>
          </w:r>
        </w:p>
        <w:p w:rsidR="000C4593" w:rsidRDefault="00ED2C74" w:rsidP="000C4593">
          <w:pPr>
            <w:pStyle w:val="BodyText"/>
          </w:pPr>
        </w:p>
      </w:sdtContent>
    </w:sdt>
    <w:p w:rsidR="004D3F58" w:rsidRDefault="004D3F58">
      <w:pPr>
        <w:pStyle w:val="BodyText"/>
        <w:sectPr w:rsidR="004D3F58"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rsidR="000C4593" w:rsidRDefault="000C4593">
      <w:pPr>
        <w:pStyle w:val="Heading1"/>
      </w:pPr>
      <w:bookmarkStart w:id="6" w:name="Abbreviations"/>
      <w:bookmarkStart w:id="7" w:name="RDnote"/>
      <w:bookmarkEnd w:id="6"/>
      <w:bookmarkEnd w:id="7"/>
      <w:r>
        <w:lastRenderedPageBreak/>
        <w:t>Acknowledgments</w:t>
      </w:r>
    </w:p>
    <w:p w:rsidR="000C4593" w:rsidRDefault="000C4593" w:rsidP="000C4593">
      <w:pPr>
        <w:pStyle w:val="BodyText"/>
        <w:rPr>
          <w:lang w:eastAsia="en-US"/>
        </w:rPr>
      </w:pPr>
      <w:r>
        <w:rPr>
          <w:lang w:eastAsia="en-US"/>
        </w:rPr>
        <w:t>The Commission is grateful to everyone who has provided feedback on the issues canvassed in this research project. Particular thanks are extended to those who participated in the Commission’s workshops, held in Melbourne on 27 May and 6 July 2015.</w:t>
      </w:r>
    </w:p>
    <w:p w:rsidR="000C4593" w:rsidRDefault="000C4593" w:rsidP="000C4593">
      <w:pPr>
        <w:pStyle w:val="BodyText"/>
        <w:rPr>
          <w:lang w:eastAsia="en-US"/>
        </w:rPr>
      </w:pPr>
      <w:r>
        <w:rPr>
          <w:lang w:eastAsia="en-US"/>
        </w:rPr>
        <w:t xml:space="preserve">The Commission would also like to thank Peter </w:t>
      </w:r>
      <w:proofErr w:type="spellStart"/>
      <w:r>
        <w:rPr>
          <w:lang w:eastAsia="en-US"/>
        </w:rPr>
        <w:t>Whiteford</w:t>
      </w:r>
      <w:proofErr w:type="spellEnd"/>
      <w:r>
        <w:rPr>
          <w:lang w:eastAsia="en-US"/>
        </w:rPr>
        <w:t xml:space="preserve"> (Australian National University) for providing referee comments on a draft of the paper and officers of the Australian Treasury for their assistance and feedback.</w:t>
      </w:r>
    </w:p>
    <w:p w:rsidR="000C4593" w:rsidRDefault="000C4593" w:rsidP="000C4593">
      <w:pPr>
        <w:pStyle w:val="Heading3"/>
      </w:pPr>
      <w:r>
        <w:t>Use of CAPITA model</w:t>
      </w:r>
    </w:p>
    <w:p w:rsidR="000C4593" w:rsidRDefault="000C4593" w:rsidP="000C4593">
      <w:pPr>
        <w:pStyle w:val="BodyText"/>
      </w:pPr>
      <w:r>
        <w:t xml:space="preserve">The modelling results in this paper were based on a development version of the CAPITA </w:t>
      </w:r>
      <w:proofErr w:type="spellStart"/>
      <w:r>
        <w:t>microsimulation</w:t>
      </w:r>
      <w:proofErr w:type="spellEnd"/>
      <w:r>
        <w:t xml:space="preserve"> model provided by the Australian Treasury. CAPITA is a redevelopment of the </w:t>
      </w:r>
      <w:proofErr w:type="spellStart"/>
      <w:r>
        <w:t>STINMOD</w:t>
      </w:r>
      <w:proofErr w:type="spellEnd"/>
      <w:r>
        <w:t xml:space="preserve"> model which had previously been developed and maintained for the Commonwealth by the National Centre for Social and Economic Modelling at the University of Canberra. The nature and functionality of CAPITA and </w:t>
      </w:r>
      <w:proofErr w:type="spellStart"/>
      <w:r>
        <w:t>STINMOD</w:t>
      </w:r>
      <w:proofErr w:type="spellEnd"/>
      <w:r>
        <w:t xml:space="preserve"> are very similar, although the Commission has augmented the development version of CAPITA for the analysis produced in this paper.</w:t>
      </w:r>
    </w:p>
    <w:p w:rsidR="000C4593" w:rsidRDefault="000C4593" w:rsidP="000C4593">
      <w:pPr>
        <w:pStyle w:val="BodyText"/>
        <w:rPr>
          <w:lang w:eastAsia="en-US"/>
        </w:rPr>
      </w:pPr>
      <w:r>
        <w:t>The CAPITA project is a joint initiative of the Treasury, the Department of Social Services, and the Department of Employment. CAPITA uses survey data from the ABS. However, the findings and views reported in this paper are those of the Commission and should not be attributed to any of these departments or the ABS.</w:t>
      </w:r>
    </w:p>
    <w:p w:rsidR="000C4593" w:rsidRPr="00883E8C" w:rsidRDefault="000C4593" w:rsidP="00883E8C">
      <w:pPr>
        <w:pStyle w:val="BodyText"/>
        <w:rPr>
          <w:lang w:eastAsia="en-US"/>
        </w:rPr>
      </w:pPr>
    </w:p>
    <w:p w:rsidR="000C4593" w:rsidRDefault="000C4593">
      <w:pPr>
        <w:pStyle w:val="BodyText"/>
        <w:sectPr w:rsidR="000C4593" w:rsidSect="00883E8C">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rsidR="00735FEA" w:rsidRDefault="000C4593" w:rsidP="00F7477E">
      <w:pPr>
        <w:pStyle w:val="Heading1"/>
      </w:pPr>
      <w:bookmarkStart w:id="8" w:name="EndContents"/>
      <w:bookmarkEnd w:id="8"/>
      <w:r>
        <w:lastRenderedPageBreak/>
        <w:t>Abbreviations</w:t>
      </w:r>
    </w:p>
    <w:p w:rsidR="000C4593" w:rsidRDefault="000C4593" w:rsidP="000C4593">
      <w:pPr>
        <w:pStyle w:val="Abbreviation"/>
      </w:pPr>
      <w:r>
        <w:t>ABS</w:t>
      </w:r>
      <w:r>
        <w:tab/>
        <w:t>Australian Bureau of Statistics</w:t>
      </w:r>
    </w:p>
    <w:p w:rsidR="000C4593" w:rsidRDefault="000C4593" w:rsidP="000C4593">
      <w:pPr>
        <w:pStyle w:val="Abbreviation"/>
      </w:pPr>
      <w:proofErr w:type="spellStart"/>
      <w:r>
        <w:t>ATO</w:t>
      </w:r>
      <w:proofErr w:type="spellEnd"/>
      <w:r>
        <w:tab/>
        <w:t>Australian Taxation Office</w:t>
      </w:r>
    </w:p>
    <w:p w:rsidR="000C4593" w:rsidRDefault="000C4593" w:rsidP="000C4593">
      <w:pPr>
        <w:pStyle w:val="Abbreviation"/>
      </w:pPr>
      <w:r>
        <w:t>CPI</w:t>
      </w:r>
      <w:r>
        <w:tab/>
        <w:t>Consumer Price Index</w:t>
      </w:r>
    </w:p>
    <w:p w:rsidR="000C4593" w:rsidRDefault="000C4593" w:rsidP="000C4593">
      <w:pPr>
        <w:pStyle w:val="Abbreviation"/>
      </w:pPr>
      <w:proofErr w:type="spellStart"/>
      <w:r>
        <w:t>CURF</w:t>
      </w:r>
      <w:proofErr w:type="spellEnd"/>
      <w:r>
        <w:tab/>
      </w:r>
      <w:proofErr w:type="spellStart"/>
      <w:r>
        <w:t>Confidentialised</w:t>
      </w:r>
      <w:proofErr w:type="spellEnd"/>
      <w:r>
        <w:t xml:space="preserve"> Unit Record File</w:t>
      </w:r>
    </w:p>
    <w:p w:rsidR="000C4593" w:rsidRDefault="000C4593" w:rsidP="000C4593">
      <w:pPr>
        <w:pStyle w:val="Abbreviation"/>
      </w:pPr>
      <w:proofErr w:type="spellStart"/>
      <w:r>
        <w:t>DSS</w:t>
      </w:r>
      <w:proofErr w:type="spellEnd"/>
      <w:r>
        <w:tab/>
        <w:t>Department of Social Services</w:t>
      </w:r>
    </w:p>
    <w:p w:rsidR="000C4593" w:rsidRDefault="000C4593" w:rsidP="000C4593">
      <w:pPr>
        <w:pStyle w:val="Abbreviation"/>
      </w:pPr>
      <w:proofErr w:type="spellStart"/>
      <w:r>
        <w:t>DVA</w:t>
      </w:r>
      <w:proofErr w:type="spellEnd"/>
      <w:r>
        <w:tab/>
        <w:t>Department of Veterans’ Affairs</w:t>
      </w:r>
    </w:p>
    <w:p w:rsidR="000C4593" w:rsidRDefault="000C4593" w:rsidP="000C4593">
      <w:pPr>
        <w:pStyle w:val="Abbreviation"/>
      </w:pPr>
      <w:proofErr w:type="spellStart"/>
      <w:r>
        <w:t>EATR</w:t>
      </w:r>
      <w:proofErr w:type="spellEnd"/>
      <w:r>
        <w:tab/>
        <w:t>Effective average tax rate</w:t>
      </w:r>
    </w:p>
    <w:p w:rsidR="000C4593" w:rsidRDefault="000C4593" w:rsidP="000C4593">
      <w:pPr>
        <w:pStyle w:val="Abbreviation"/>
      </w:pPr>
      <w:proofErr w:type="spellStart"/>
      <w:r>
        <w:t>EMTR</w:t>
      </w:r>
      <w:proofErr w:type="spellEnd"/>
      <w:r>
        <w:tab/>
        <w:t>Effective marginal tax rate</w:t>
      </w:r>
    </w:p>
    <w:p w:rsidR="000C4593" w:rsidRDefault="000C4593" w:rsidP="000C4593">
      <w:pPr>
        <w:pStyle w:val="Abbreviation"/>
      </w:pPr>
      <w:r>
        <w:t>GST</w:t>
      </w:r>
      <w:r>
        <w:tab/>
        <w:t>Goods and services tax</w:t>
      </w:r>
    </w:p>
    <w:p w:rsidR="000C4593" w:rsidRDefault="000C4593" w:rsidP="000C4593">
      <w:pPr>
        <w:pStyle w:val="Abbreviation"/>
      </w:pPr>
      <w:proofErr w:type="spellStart"/>
      <w:r>
        <w:t>HES</w:t>
      </w:r>
      <w:proofErr w:type="spellEnd"/>
      <w:r>
        <w:tab/>
        <w:t>ABS Household Expenditure Survey</w:t>
      </w:r>
    </w:p>
    <w:p w:rsidR="000C4593" w:rsidRDefault="000C4593" w:rsidP="000C4593">
      <w:pPr>
        <w:pStyle w:val="Abbreviation"/>
      </w:pPr>
      <w:r>
        <w:t>OECD</w:t>
      </w:r>
      <w:r>
        <w:tab/>
        <w:t>Organisation for Economic Cooperation and Development</w:t>
      </w:r>
    </w:p>
    <w:p w:rsidR="000C4593" w:rsidRDefault="000C4593" w:rsidP="000C4593">
      <w:pPr>
        <w:pStyle w:val="Abbreviation"/>
      </w:pPr>
      <w:r>
        <w:t>PC</w:t>
      </w:r>
      <w:r>
        <w:tab/>
        <w:t>Productivity Commission</w:t>
      </w:r>
    </w:p>
    <w:p w:rsidR="000C4593" w:rsidRDefault="000C4593" w:rsidP="000C4593">
      <w:pPr>
        <w:pStyle w:val="Abbreviation"/>
      </w:pPr>
      <w:proofErr w:type="spellStart"/>
      <w:r>
        <w:t>PTR</w:t>
      </w:r>
      <w:proofErr w:type="spellEnd"/>
      <w:r>
        <w:tab/>
        <w:t>Participation tax rate</w:t>
      </w:r>
    </w:p>
    <w:p w:rsidR="000C4593" w:rsidRDefault="000C4593" w:rsidP="000C4593">
      <w:pPr>
        <w:pStyle w:val="Abbreviation"/>
      </w:pPr>
      <w:proofErr w:type="spellStart"/>
      <w:r>
        <w:t>SIH</w:t>
      </w:r>
      <w:proofErr w:type="spellEnd"/>
      <w:r>
        <w:tab/>
        <w:t>ABS Survey of Income and Housing</w:t>
      </w:r>
    </w:p>
    <w:p w:rsidR="000C4593" w:rsidRDefault="000C4593" w:rsidP="000C4593">
      <w:pPr>
        <w:pStyle w:val="Abbreviation"/>
      </w:pPr>
      <w:proofErr w:type="spellStart"/>
      <w:r>
        <w:t>SSC</w:t>
      </w:r>
      <w:proofErr w:type="spellEnd"/>
      <w:r>
        <w:tab/>
        <w:t>Social security contribution</w:t>
      </w:r>
    </w:p>
    <w:p w:rsidR="000C4593" w:rsidRDefault="000C4593" w:rsidP="000C4593">
      <w:pPr>
        <w:pStyle w:val="Abbreviation"/>
      </w:pPr>
      <w:r>
        <w:t>VAT</w:t>
      </w:r>
      <w:r>
        <w:tab/>
        <w:t>Value added tax</w:t>
      </w:r>
    </w:p>
    <w:p w:rsidR="000C4593" w:rsidRDefault="000C4593" w:rsidP="000C4593">
      <w:pPr>
        <w:pStyle w:val="Abbreviation"/>
      </w:pPr>
      <w:proofErr w:type="spellStart"/>
      <w:r>
        <w:t>VRR</w:t>
      </w:r>
      <w:proofErr w:type="spellEnd"/>
      <w:r>
        <w:tab/>
        <w:t>VAT revenue ratio</w:t>
      </w:r>
    </w:p>
    <w:p w:rsidR="000C4593" w:rsidRDefault="000C4593" w:rsidP="00743A27">
      <w:pPr>
        <w:pStyle w:val="BodyText"/>
        <w:rPr>
          <w:rFonts w:ascii="Arial" w:hAnsi="Arial" w:cs="Arial"/>
          <w:i/>
        </w:rPr>
      </w:pPr>
      <w:bookmarkStart w:id="9" w:name="Glossary"/>
      <w:bookmarkEnd w:id="9"/>
    </w:p>
    <w:p w:rsidR="000C4593" w:rsidRDefault="000C4593" w:rsidP="000C4593">
      <w:pPr>
        <w:pStyle w:val="BodyText"/>
      </w:pPr>
      <w:r>
        <w:br w:type="page"/>
      </w:r>
    </w:p>
    <w:p w:rsidR="000C4593" w:rsidRDefault="000C4593">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0C4593" w:rsidTr="006817C9">
        <w:tc>
          <w:tcPr>
            <w:tcW w:w="2155" w:type="dxa"/>
          </w:tcPr>
          <w:p w:rsidR="000C4593" w:rsidRDefault="000C4593" w:rsidP="001C552E">
            <w:pPr>
              <w:pStyle w:val="BodyText"/>
              <w:jc w:val="left"/>
            </w:pPr>
            <w:r>
              <w:t>CAPITA</w:t>
            </w:r>
          </w:p>
        </w:tc>
        <w:tc>
          <w:tcPr>
            <w:tcW w:w="6742" w:type="dxa"/>
          </w:tcPr>
          <w:p w:rsidR="000C4593" w:rsidRDefault="000C4593" w:rsidP="001C552E">
            <w:pPr>
              <w:pStyle w:val="BodyText"/>
            </w:pPr>
            <w:proofErr w:type="spellStart"/>
            <w:r>
              <w:t>Microsimulation</w:t>
            </w:r>
            <w:proofErr w:type="spellEnd"/>
            <w:r>
              <w:t xml:space="preserve"> model of Australia’s income tax and transfer system, provided by the Australian Treasury. The model was augmented and used by the Commission in its analysis.</w:t>
            </w:r>
          </w:p>
        </w:tc>
      </w:tr>
      <w:tr w:rsidR="000C4593" w:rsidTr="006817C9">
        <w:tc>
          <w:tcPr>
            <w:tcW w:w="2155" w:type="dxa"/>
          </w:tcPr>
          <w:p w:rsidR="000C4593" w:rsidRDefault="000C4593" w:rsidP="001C552E">
            <w:pPr>
              <w:pStyle w:val="BodyText"/>
              <w:jc w:val="left"/>
            </w:pPr>
            <w:r>
              <w:t>Churn</w:t>
            </w:r>
          </w:p>
        </w:tc>
        <w:tc>
          <w:tcPr>
            <w:tcW w:w="6742" w:type="dxa"/>
          </w:tcPr>
          <w:p w:rsidR="000C4593" w:rsidRDefault="000C4593" w:rsidP="001C552E">
            <w:pPr>
              <w:pStyle w:val="BodyText"/>
            </w:pPr>
            <w:r>
              <w:t>When families simultaneously pay income taxes and receive transfers.</w:t>
            </w:r>
          </w:p>
        </w:tc>
      </w:tr>
      <w:tr w:rsidR="000C4593" w:rsidTr="006817C9">
        <w:tc>
          <w:tcPr>
            <w:tcW w:w="2155" w:type="dxa"/>
          </w:tcPr>
          <w:p w:rsidR="000C4593" w:rsidRDefault="000C4593" w:rsidP="001C552E">
            <w:pPr>
              <w:pStyle w:val="BodyText"/>
              <w:jc w:val="left"/>
            </w:pPr>
            <w:r>
              <w:t>Concentration coefficient</w:t>
            </w:r>
          </w:p>
        </w:tc>
        <w:tc>
          <w:tcPr>
            <w:tcW w:w="6742" w:type="dxa"/>
          </w:tcPr>
          <w:p w:rsidR="000C4593" w:rsidRDefault="000C4593" w:rsidP="001C552E">
            <w:pPr>
              <w:pStyle w:val="BodyText"/>
            </w:pPr>
            <w:r>
              <w:t>Measures the degree to which taxes or transfers are distributed between people on different incomes.</w:t>
            </w:r>
          </w:p>
        </w:tc>
      </w:tr>
      <w:tr w:rsidR="000C4593" w:rsidTr="006817C9">
        <w:tc>
          <w:tcPr>
            <w:tcW w:w="2155" w:type="dxa"/>
          </w:tcPr>
          <w:p w:rsidR="000C4593" w:rsidRDefault="000C4593" w:rsidP="001C552E">
            <w:pPr>
              <w:pStyle w:val="BodyText"/>
              <w:jc w:val="left"/>
            </w:pPr>
            <w:r>
              <w:t>Effective average tax rate</w:t>
            </w:r>
          </w:p>
        </w:tc>
        <w:tc>
          <w:tcPr>
            <w:tcW w:w="6742" w:type="dxa"/>
          </w:tcPr>
          <w:p w:rsidR="000C4593" w:rsidRDefault="000C4593" w:rsidP="001C552E">
            <w:pPr>
              <w:pStyle w:val="BodyText"/>
            </w:pPr>
            <w:r>
              <w:t xml:space="preserve">The total amount of tax paid less the total amount of transfers received divided by </w:t>
            </w:r>
            <w:r w:rsidRPr="003D7ABC">
              <w:t>private</w:t>
            </w:r>
            <w:r>
              <w:t xml:space="preserve"> income.</w:t>
            </w:r>
          </w:p>
        </w:tc>
      </w:tr>
      <w:tr w:rsidR="000C4593" w:rsidTr="006817C9">
        <w:tc>
          <w:tcPr>
            <w:tcW w:w="2155" w:type="dxa"/>
          </w:tcPr>
          <w:p w:rsidR="000C4593" w:rsidRDefault="000C4593" w:rsidP="001C552E">
            <w:pPr>
              <w:pStyle w:val="BodyText"/>
              <w:jc w:val="left"/>
            </w:pPr>
            <w:r>
              <w:t>Effective marginal tax rate</w:t>
            </w:r>
          </w:p>
        </w:tc>
        <w:tc>
          <w:tcPr>
            <w:tcW w:w="6742" w:type="dxa"/>
          </w:tcPr>
          <w:p w:rsidR="000C4593" w:rsidRDefault="000C4593" w:rsidP="001C552E">
            <w:pPr>
              <w:pStyle w:val="BodyText"/>
            </w:pPr>
            <w:r>
              <w:t xml:space="preserve">Additional tax paid less the amount of transfer payments forgone for each extra unit of </w:t>
            </w:r>
            <w:r w:rsidRPr="003D7ABC">
              <w:t>private</w:t>
            </w:r>
            <w:r>
              <w:t xml:space="preserve"> income.</w:t>
            </w:r>
          </w:p>
        </w:tc>
      </w:tr>
      <w:tr w:rsidR="000C4593" w:rsidTr="006817C9">
        <w:tc>
          <w:tcPr>
            <w:tcW w:w="2155" w:type="dxa"/>
          </w:tcPr>
          <w:p w:rsidR="000C4593" w:rsidRDefault="000C4593" w:rsidP="001C552E">
            <w:pPr>
              <w:pStyle w:val="BodyText"/>
              <w:jc w:val="left"/>
            </w:pPr>
            <w:r>
              <w:t>Final income</w:t>
            </w:r>
          </w:p>
        </w:tc>
        <w:tc>
          <w:tcPr>
            <w:tcW w:w="6742" w:type="dxa"/>
          </w:tcPr>
          <w:p w:rsidR="000C4593" w:rsidRDefault="000C4593" w:rsidP="001C552E">
            <w:pPr>
              <w:pStyle w:val="BodyText"/>
            </w:pPr>
            <w:r>
              <w:t>Private income adjusted for transfer payments, taxes on personal income, taxes on goods and services and in-kind services (such as health and education).</w:t>
            </w:r>
          </w:p>
        </w:tc>
      </w:tr>
      <w:tr w:rsidR="000C4593" w:rsidTr="006817C9">
        <w:tc>
          <w:tcPr>
            <w:tcW w:w="2155" w:type="dxa"/>
          </w:tcPr>
          <w:p w:rsidR="000C4593" w:rsidRDefault="000C4593" w:rsidP="001C552E">
            <w:pPr>
              <w:pStyle w:val="BodyText"/>
              <w:jc w:val="left"/>
            </w:pPr>
            <w:proofErr w:type="spellStart"/>
            <w:r>
              <w:t>Gini</w:t>
            </w:r>
            <w:proofErr w:type="spellEnd"/>
            <w:r>
              <w:t xml:space="preserve"> coefficient</w:t>
            </w:r>
          </w:p>
        </w:tc>
        <w:tc>
          <w:tcPr>
            <w:tcW w:w="6742" w:type="dxa"/>
          </w:tcPr>
          <w:p w:rsidR="000C4593" w:rsidRDefault="000C4593" w:rsidP="001C552E">
            <w:pPr>
              <w:pStyle w:val="BodyText"/>
            </w:pPr>
            <w:r>
              <w:t>Measures how much the distribution of income among individuals or households within an economy deviates from a perfectly equal distribution.</w:t>
            </w:r>
          </w:p>
        </w:tc>
      </w:tr>
      <w:tr w:rsidR="000C4593" w:rsidTr="006817C9">
        <w:tc>
          <w:tcPr>
            <w:tcW w:w="2155" w:type="dxa"/>
          </w:tcPr>
          <w:p w:rsidR="000C4593" w:rsidRDefault="000C4593" w:rsidP="001C552E">
            <w:pPr>
              <w:pStyle w:val="BodyText"/>
              <w:jc w:val="left"/>
            </w:pPr>
            <w:r>
              <w:t>Income taxes</w:t>
            </w:r>
          </w:p>
        </w:tc>
        <w:tc>
          <w:tcPr>
            <w:tcW w:w="6742" w:type="dxa"/>
          </w:tcPr>
          <w:p w:rsidR="000C4593" w:rsidRDefault="000C4593" w:rsidP="001C552E">
            <w:pPr>
              <w:pStyle w:val="BodyText"/>
            </w:pPr>
            <w:r>
              <w:t>Taxes on income levied by the Australian Government, including personal income tax, company income tax, superannuation fund taxes and fringe benefits tax.</w:t>
            </w:r>
          </w:p>
        </w:tc>
      </w:tr>
      <w:tr w:rsidR="000C4593" w:rsidTr="006817C9">
        <w:tc>
          <w:tcPr>
            <w:tcW w:w="2155" w:type="dxa"/>
          </w:tcPr>
          <w:p w:rsidR="000C4593" w:rsidRDefault="000C4593" w:rsidP="001C552E">
            <w:pPr>
              <w:pStyle w:val="BodyText"/>
              <w:jc w:val="left"/>
            </w:pPr>
            <w:r>
              <w:t>Indirect taxes</w:t>
            </w:r>
          </w:p>
        </w:tc>
        <w:tc>
          <w:tcPr>
            <w:tcW w:w="6742" w:type="dxa"/>
          </w:tcPr>
          <w:p w:rsidR="000C4593" w:rsidRDefault="000C4593" w:rsidP="001C552E">
            <w:pPr>
              <w:pStyle w:val="BodyText"/>
            </w:pPr>
            <w:r>
              <w:t>Indirect taxes levied by the Australian Government, including the GST, excises (for example, on fuel, beer and tobacco), customs duties, wine equalisation tax and the luxury car tax.</w:t>
            </w:r>
          </w:p>
        </w:tc>
      </w:tr>
      <w:tr w:rsidR="000C4593" w:rsidTr="006817C9">
        <w:tc>
          <w:tcPr>
            <w:tcW w:w="2155" w:type="dxa"/>
          </w:tcPr>
          <w:p w:rsidR="000C4593" w:rsidRDefault="000C4593" w:rsidP="001C552E">
            <w:pPr>
              <w:pStyle w:val="BodyText"/>
              <w:jc w:val="left"/>
            </w:pPr>
            <w:r>
              <w:t>Marginal tax rate</w:t>
            </w:r>
          </w:p>
        </w:tc>
        <w:tc>
          <w:tcPr>
            <w:tcW w:w="6742" w:type="dxa"/>
          </w:tcPr>
          <w:p w:rsidR="000C4593" w:rsidRDefault="000C4593" w:rsidP="001C552E">
            <w:pPr>
              <w:pStyle w:val="BodyText"/>
            </w:pPr>
            <w:r>
              <w:t>The additional tax paid on an extra unit of taxable income.</w:t>
            </w:r>
          </w:p>
        </w:tc>
      </w:tr>
      <w:tr w:rsidR="000C4593" w:rsidTr="006817C9">
        <w:tc>
          <w:tcPr>
            <w:tcW w:w="2155" w:type="dxa"/>
          </w:tcPr>
          <w:p w:rsidR="000C4593" w:rsidRDefault="000C4593" w:rsidP="001C552E">
            <w:pPr>
              <w:pStyle w:val="BodyText"/>
              <w:jc w:val="left"/>
            </w:pPr>
            <w:r>
              <w:t>OECD-10</w:t>
            </w:r>
          </w:p>
        </w:tc>
        <w:tc>
          <w:tcPr>
            <w:tcW w:w="6742" w:type="dxa"/>
          </w:tcPr>
          <w:p w:rsidR="000C4593" w:rsidRDefault="000C4593" w:rsidP="001C552E">
            <w:pPr>
              <w:pStyle w:val="BodyText"/>
            </w:pPr>
            <w:r>
              <w:t>Australia, Canada, Ireland, Japan, the Netherlands, New Zealand, Spain, Switzerland, the United Kingdom and the United States.</w:t>
            </w:r>
          </w:p>
        </w:tc>
      </w:tr>
      <w:tr w:rsidR="000C4593" w:rsidTr="006817C9">
        <w:tc>
          <w:tcPr>
            <w:tcW w:w="2155" w:type="dxa"/>
          </w:tcPr>
          <w:p w:rsidR="000C4593" w:rsidRDefault="000C4593" w:rsidP="001C552E">
            <w:pPr>
              <w:pStyle w:val="BodyText"/>
              <w:jc w:val="left"/>
            </w:pPr>
          </w:p>
        </w:tc>
        <w:tc>
          <w:tcPr>
            <w:tcW w:w="6742" w:type="dxa"/>
          </w:tcPr>
          <w:p w:rsidR="000C4593" w:rsidRDefault="000C4593" w:rsidP="001C552E">
            <w:pPr>
              <w:pStyle w:val="BodyText"/>
            </w:pPr>
          </w:p>
          <w:p w:rsidR="000C4593" w:rsidRDefault="000C4593" w:rsidP="001C552E">
            <w:pPr>
              <w:pStyle w:val="BodyText"/>
            </w:pPr>
          </w:p>
        </w:tc>
      </w:tr>
      <w:tr w:rsidR="000C4593" w:rsidTr="006817C9">
        <w:tc>
          <w:tcPr>
            <w:tcW w:w="2155" w:type="dxa"/>
          </w:tcPr>
          <w:p w:rsidR="000C4593" w:rsidRDefault="000C4593" w:rsidP="001C552E">
            <w:pPr>
              <w:pStyle w:val="BodyText"/>
              <w:jc w:val="left"/>
            </w:pPr>
            <w:r>
              <w:lastRenderedPageBreak/>
              <w:t>Private income</w:t>
            </w:r>
          </w:p>
        </w:tc>
        <w:tc>
          <w:tcPr>
            <w:tcW w:w="6742" w:type="dxa"/>
          </w:tcPr>
          <w:p w:rsidR="000C4593" w:rsidRDefault="000C4593" w:rsidP="001C552E">
            <w:pPr>
              <w:pStyle w:val="BodyText"/>
            </w:pPr>
            <w:r>
              <w:t>Income before any taxes, transfers or in-kind services are taken into account. This includes all income from wages, salaries and unincorporated businesses, income from superannuation, private pensions and annuities, investment income including dividends and other non-government income.</w:t>
            </w:r>
          </w:p>
        </w:tc>
      </w:tr>
      <w:tr w:rsidR="000C4593" w:rsidTr="006817C9">
        <w:tc>
          <w:tcPr>
            <w:tcW w:w="2155" w:type="dxa"/>
          </w:tcPr>
          <w:p w:rsidR="000C4593" w:rsidRDefault="000C4593" w:rsidP="001C552E">
            <w:pPr>
              <w:pStyle w:val="BodyText"/>
              <w:jc w:val="left"/>
            </w:pPr>
            <w:r>
              <w:t>Progressivity</w:t>
            </w:r>
          </w:p>
        </w:tc>
        <w:tc>
          <w:tcPr>
            <w:tcW w:w="6742" w:type="dxa"/>
          </w:tcPr>
          <w:p w:rsidR="000C4593" w:rsidRDefault="000C4593" w:rsidP="001C552E">
            <w:pPr>
              <w:pStyle w:val="BodyText"/>
            </w:pPr>
            <w:r>
              <w:t xml:space="preserve">Under a progressive tax, the percentage of income paid as tax increases as income rises. In the case of personal income taxes, people with lower income pay a lower percentage of that income in tax than do those with higher income. </w:t>
            </w:r>
          </w:p>
        </w:tc>
      </w:tr>
      <w:tr w:rsidR="000C4593" w:rsidTr="006817C9">
        <w:tc>
          <w:tcPr>
            <w:tcW w:w="2155" w:type="dxa"/>
          </w:tcPr>
          <w:p w:rsidR="000C4593" w:rsidRDefault="000C4593" w:rsidP="001C552E">
            <w:pPr>
              <w:pStyle w:val="BodyText"/>
              <w:jc w:val="left"/>
            </w:pPr>
            <w:r>
              <w:t>Participation tax rate</w:t>
            </w:r>
          </w:p>
        </w:tc>
        <w:tc>
          <w:tcPr>
            <w:tcW w:w="6742" w:type="dxa"/>
          </w:tcPr>
          <w:p w:rsidR="000C4593" w:rsidRDefault="000C4593" w:rsidP="001C552E">
            <w:pPr>
              <w:pStyle w:val="BodyText"/>
            </w:pPr>
            <w:r>
              <w:t>Additional tax paid less the amount of transfer payments forgone for an extra unit of income, where the unit of income is equivalent to the amount that someone would receive if they entered paid work.</w:t>
            </w:r>
          </w:p>
        </w:tc>
      </w:tr>
      <w:tr w:rsidR="000C4593" w:rsidTr="006817C9">
        <w:tc>
          <w:tcPr>
            <w:tcW w:w="2155" w:type="dxa"/>
          </w:tcPr>
          <w:p w:rsidR="000C4593" w:rsidRDefault="000C4593">
            <w:pPr>
              <w:pStyle w:val="BodyText"/>
            </w:pPr>
          </w:p>
        </w:tc>
        <w:tc>
          <w:tcPr>
            <w:tcW w:w="6742" w:type="dxa"/>
          </w:tcPr>
          <w:p w:rsidR="000C4593" w:rsidRDefault="000C4593">
            <w:pPr>
              <w:pStyle w:val="BodyText"/>
            </w:pPr>
          </w:p>
        </w:tc>
      </w:tr>
      <w:tr w:rsidR="000C4593" w:rsidTr="006817C9">
        <w:tc>
          <w:tcPr>
            <w:tcW w:w="2155" w:type="dxa"/>
          </w:tcPr>
          <w:p w:rsidR="000C4593" w:rsidRDefault="000C4593">
            <w:pPr>
              <w:pStyle w:val="BodyText"/>
            </w:pPr>
          </w:p>
        </w:tc>
        <w:tc>
          <w:tcPr>
            <w:tcW w:w="6742" w:type="dxa"/>
          </w:tcPr>
          <w:p w:rsidR="000C4593" w:rsidRDefault="000C4593">
            <w:pPr>
              <w:pStyle w:val="BodyText"/>
            </w:pPr>
          </w:p>
        </w:tc>
      </w:tr>
      <w:tr w:rsidR="000C4593" w:rsidTr="006817C9">
        <w:tc>
          <w:tcPr>
            <w:tcW w:w="2155" w:type="dxa"/>
          </w:tcPr>
          <w:p w:rsidR="000C4593" w:rsidRDefault="000C4593">
            <w:pPr>
              <w:pStyle w:val="BodyText"/>
            </w:pPr>
          </w:p>
        </w:tc>
        <w:tc>
          <w:tcPr>
            <w:tcW w:w="6742" w:type="dxa"/>
          </w:tcPr>
          <w:p w:rsidR="000C4593" w:rsidRDefault="000C4593">
            <w:pPr>
              <w:pStyle w:val="BodyText"/>
            </w:pPr>
          </w:p>
        </w:tc>
      </w:tr>
    </w:tbl>
    <w:p w:rsidR="000C4593" w:rsidRDefault="000C4593" w:rsidP="00743A27">
      <w:pPr>
        <w:pStyle w:val="BodyText"/>
        <w:rPr>
          <w:rFonts w:ascii="Arial" w:hAnsi="Arial" w:cs="Arial"/>
          <w:i/>
        </w:rPr>
      </w:pPr>
    </w:p>
    <w:p w:rsidR="000A5E12" w:rsidRDefault="000A5E12" w:rsidP="00743A27">
      <w:pPr>
        <w:pStyle w:val="BodyText"/>
        <w:rPr>
          <w:rFonts w:ascii="Arial" w:hAnsi="Arial" w:cs="Arial"/>
          <w:i/>
        </w:rPr>
      </w:pPr>
    </w:p>
    <w:sectPr w:rsidR="000A5E12" w:rsidSect="00585B3F">
      <w:headerReference w:type="even" r:id="rId24"/>
      <w:headerReference w:type="default" r:id="rId25"/>
      <w:footerReference w:type="even" r:id="rId26"/>
      <w:footerReference w:type="default" r:id="rId2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593" w:rsidRDefault="000C4593">
      <w:r>
        <w:separator/>
      </w:r>
    </w:p>
    <w:p w:rsidR="000C4593" w:rsidRDefault="000C4593"/>
    <w:p w:rsidR="000C4593" w:rsidRDefault="000C4593"/>
  </w:endnote>
  <w:endnote w:type="continuationSeparator" w:id="0">
    <w:p w:rsidR="000C4593" w:rsidRDefault="000C4593">
      <w:r>
        <w:continuationSeparator/>
      </w:r>
    </w:p>
    <w:p w:rsidR="000C4593" w:rsidRDefault="000C4593"/>
    <w:p w:rsidR="000C4593" w:rsidRDefault="000C45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2C74">
            <w:rPr>
              <w:rStyle w:val="PageNumber"/>
              <w:caps w:val="0"/>
              <w:noProof/>
            </w:rPr>
            <w:t>iv</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0C4593">
            <w:rPr>
              <w:rFonts w:cs="Arial"/>
            </w:rPr>
            <w:t>Tax and Transfer Incidence in Australia</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ED2C74" w:rsidRPr="00ED2C74">
            <w:rPr>
              <w:bCs/>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D2C74">
            <w:rPr>
              <w:rStyle w:val="PageNumber"/>
              <w:caps w:val="0"/>
              <w:noProof/>
            </w:rPr>
            <w:t>iii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4593" w:rsidTr="005F48ED">
      <w:trPr>
        <w:trHeight w:hRule="exact" w:val="567"/>
      </w:trPr>
      <w:tc>
        <w:tcPr>
          <w:tcW w:w="510" w:type="dxa"/>
        </w:tcPr>
        <w:p w:rsidR="000C4593" w:rsidRPr="00A24443" w:rsidRDefault="000C459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iv</w:t>
          </w:r>
          <w:r w:rsidRPr="00A24443">
            <w:rPr>
              <w:rStyle w:val="PageNumber"/>
              <w:caps w:val="0"/>
            </w:rPr>
            <w:fldChar w:fldCharType="end"/>
          </w:r>
        </w:p>
      </w:tc>
      <w:tc>
        <w:tcPr>
          <w:tcW w:w="7767" w:type="dxa"/>
        </w:tcPr>
        <w:p w:rsidR="000C4593" w:rsidRPr="0013739A" w:rsidRDefault="000C4593" w:rsidP="00D71A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Tax and Transfer Incidence in Australia</w:t>
          </w:r>
          <w:r w:rsidRPr="00BA5B14">
            <w:rPr>
              <w:rFonts w:cs="Arial"/>
            </w:rPr>
            <w:fldChar w:fldCharType="end"/>
          </w:r>
        </w:p>
      </w:tc>
      <w:tc>
        <w:tcPr>
          <w:tcW w:w="510" w:type="dxa"/>
        </w:tcPr>
        <w:p w:rsidR="000C4593" w:rsidRDefault="000C4593" w:rsidP="0019293B">
          <w:pPr>
            <w:pStyle w:val="Footer"/>
          </w:pPr>
        </w:p>
      </w:tc>
    </w:tr>
  </w:tbl>
  <w:p w:rsidR="000C4593" w:rsidRDefault="000C4593" w:rsidP="0019293B">
    <w:pPr>
      <w:pStyle w:val="FooterEnd"/>
    </w:pPr>
  </w:p>
  <w:p w:rsidR="000C4593" w:rsidRDefault="000C4593">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0C4593" w:rsidTr="005F48ED">
      <w:trPr>
        <w:trHeight w:hRule="exact" w:val="567"/>
      </w:trPr>
      <w:tc>
        <w:tcPr>
          <w:tcW w:w="510" w:type="dxa"/>
        </w:tcPr>
        <w:p w:rsidR="000C4593" w:rsidRDefault="000C4593">
          <w:pPr>
            <w:pStyle w:val="Footer"/>
            <w:ind w:right="360" w:firstLine="360"/>
          </w:pPr>
        </w:p>
      </w:tc>
      <w:tc>
        <w:tcPr>
          <w:tcW w:w="7767" w:type="dxa"/>
        </w:tcPr>
        <w:p w:rsidR="000C4593" w:rsidRPr="00A90DAF" w:rsidRDefault="000C4593"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ED2C74" w:rsidRPr="00ED2C74">
            <w:rPr>
              <w:bCs/>
              <w:noProof/>
              <w:lang w:val="en-US"/>
            </w:rPr>
            <w:t>Acknowledgments</w:t>
          </w:r>
          <w:r w:rsidRPr="00A90DAF">
            <w:rPr>
              <w:noProof/>
            </w:rPr>
            <w:fldChar w:fldCharType="end"/>
          </w:r>
        </w:p>
      </w:tc>
      <w:tc>
        <w:tcPr>
          <w:tcW w:w="510" w:type="dxa"/>
        </w:tcPr>
        <w:p w:rsidR="000C4593" w:rsidRPr="00A24443" w:rsidRDefault="000C459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2C74">
            <w:rPr>
              <w:rStyle w:val="PageNumber"/>
              <w:caps w:val="0"/>
              <w:noProof/>
            </w:rPr>
            <w:t>v</w:t>
          </w:r>
          <w:r w:rsidRPr="00A24443">
            <w:rPr>
              <w:rStyle w:val="PageNumber"/>
              <w:caps w:val="0"/>
            </w:rPr>
            <w:fldChar w:fldCharType="end"/>
          </w:r>
        </w:p>
      </w:tc>
    </w:tr>
  </w:tbl>
  <w:p w:rsidR="000C4593" w:rsidRDefault="000C4593">
    <w:pPr>
      <w:pStyle w:val="FooterEnd"/>
    </w:pPr>
  </w:p>
  <w:p w:rsidR="000C4593" w:rsidRDefault="000C459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D2C74">
            <w:rPr>
              <w:rStyle w:val="PageNumber"/>
              <w:caps w:val="0"/>
              <w:noProof/>
            </w:rPr>
            <w:t>vi</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0C4593">
            <w:rPr>
              <w:rFonts w:cs="Arial"/>
            </w:rPr>
            <w:t>Tax and Transfer Incidence in Australia</w: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ED2C74" w:rsidRPr="00ED2C74">
            <w:rPr>
              <w:bCs/>
              <w:noProof/>
              <w:lang w:val="en-US"/>
            </w:rPr>
            <w:t>Glossary</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D2C74">
            <w:rPr>
              <w:rStyle w:val="PageNumber"/>
              <w:caps w:val="0"/>
              <w:noProof/>
            </w:rPr>
            <w:t>vii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593" w:rsidRDefault="000C4593">
      <w:r>
        <w:separator/>
      </w:r>
    </w:p>
    <w:p w:rsidR="000C4593" w:rsidRDefault="000C4593"/>
    <w:p w:rsidR="000C4593" w:rsidRDefault="000C4593"/>
  </w:footnote>
  <w:footnote w:type="continuationSeparator" w:id="0">
    <w:p w:rsidR="000C4593" w:rsidRDefault="000C4593">
      <w:r>
        <w:continuationSeparator/>
      </w:r>
    </w:p>
    <w:p w:rsidR="000C4593" w:rsidRDefault="000C4593"/>
    <w:p w:rsidR="000C4593" w:rsidRDefault="000C45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0C4593">
      <w:tc>
        <w:tcPr>
          <w:tcW w:w="2155" w:type="dxa"/>
          <w:tcBorders>
            <w:top w:val="single" w:sz="24" w:space="0" w:color="auto"/>
          </w:tcBorders>
        </w:tcPr>
        <w:p w:rsidR="000C4593" w:rsidRDefault="000C4593">
          <w:pPr>
            <w:pStyle w:val="HeaderEven"/>
          </w:pPr>
        </w:p>
      </w:tc>
      <w:tc>
        <w:tcPr>
          <w:tcW w:w="6634" w:type="dxa"/>
          <w:tcBorders>
            <w:top w:val="single" w:sz="6" w:space="0" w:color="auto"/>
          </w:tcBorders>
        </w:tcPr>
        <w:p w:rsidR="000C4593" w:rsidRDefault="000C4593">
          <w:pPr>
            <w:pStyle w:val="HeaderEven"/>
          </w:pPr>
        </w:p>
      </w:tc>
    </w:tr>
  </w:tbl>
  <w:p w:rsidR="000C4593" w:rsidRDefault="000C459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0C4593">
      <w:tc>
        <w:tcPr>
          <w:tcW w:w="6634" w:type="dxa"/>
          <w:tcBorders>
            <w:top w:val="single" w:sz="6" w:space="0" w:color="auto"/>
          </w:tcBorders>
        </w:tcPr>
        <w:p w:rsidR="000C4593" w:rsidRDefault="000C4593">
          <w:pPr>
            <w:pStyle w:val="HeaderOdd"/>
          </w:pPr>
        </w:p>
      </w:tc>
      <w:tc>
        <w:tcPr>
          <w:tcW w:w="2155" w:type="dxa"/>
          <w:tcBorders>
            <w:top w:val="single" w:sz="24" w:space="0" w:color="auto"/>
            <w:bottom w:val="nil"/>
          </w:tcBorders>
        </w:tcPr>
        <w:p w:rsidR="000C4593" w:rsidRDefault="000C4593">
          <w:pPr>
            <w:pStyle w:val="HeaderOdd"/>
          </w:pPr>
        </w:p>
      </w:tc>
    </w:tr>
  </w:tbl>
  <w:p w:rsidR="000C4593" w:rsidRDefault="000C459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593"/>
    <w:rsid w:val="00017AFC"/>
    <w:rsid w:val="00025878"/>
    <w:rsid w:val="00026B38"/>
    <w:rsid w:val="000502D3"/>
    <w:rsid w:val="00052CB2"/>
    <w:rsid w:val="00056673"/>
    <w:rsid w:val="000623BF"/>
    <w:rsid w:val="000779EB"/>
    <w:rsid w:val="00095EEA"/>
    <w:rsid w:val="00097C15"/>
    <w:rsid w:val="000A0A0E"/>
    <w:rsid w:val="000A5E12"/>
    <w:rsid w:val="000B416E"/>
    <w:rsid w:val="000C4593"/>
    <w:rsid w:val="000F185F"/>
    <w:rsid w:val="000F2F5F"/>
    <w:rsid w:val="00106041"/>
    <w:rsid w:val="0010611E"/>
    <w:rsid w:val="00122FE9"/>
    <w:rsid w:val="00131572"/>
    <w:rsid w:val="00131D4F"/>
    <w:rsid w:val="0013399B"/>
    <w:rsid w:val="00180515"/>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B41E0"/>
    <w:rsid w:val="003C3D73"/>
    <w:rsid w:val="003D624D"/>
    <w:rsid w:val="003E7802"/>
    <w:rsid w:val="0042007A"/>
    <w:rsid w:val="00433C81"/>
    <w:rsid w:val="00446D6B"/>
    <w:rsid w:val="0045176A"/>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17FA"/>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92AA5"/>
    <w:rsid w:val="00A93C82"/>
    <w:rsid w:val="00AB2A48"/>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632E"/>
    <w:rsid w:val="00E90CF2"/>
    <w:rsid w:val="00EC38C1"/>
    <w:rsid w:val="00EC628B"/>
    <w:rsid w:val="00ED0F61"/>
    <w:rsid w:val="00ED2C74"/>
    <w:rsid w:val="00EE3F6D"/>
    <w:rsid w:val="00EE73E1"/>
    <w:rsid w:val="00F12107"/>
    <w:rsid w:val="00F13165"/>
    <w:rsid w:val="00F4234E"/>
    <w:rsid w:val="00F61429"/>
    <w:rsid w:val="00F7477E"/>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0C4593"/>
    <w:rPr>
      <w:kern w:val="28"/>
      <w:sz w:val="52"/>
      <w:lang w:eastAsia="en-US"/>
    </w:rPr>
  </w:style>
  <w:style w:type="table" w:styleId="TableGrid">
    <w:name w:val="Table Grid"/>
    <w:basedOn w:val="TableNormal"/>
    <w:rsid w:val="000C45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0C4593"/>
    <w:rPr>
      <w:kern w:val="28"/>
      <w:sz w:val="52"/>
      <w:lang w:eastAsia="en-US"/>
    </w:rPr>
  </w:style>
  <w:style w:type="table" w:styleId="TableGrid">
    <w:name w:val="Table Grid"/>
    <w:basedOn w:val="TableNormal"/>
    <w:rsid w:val="000C45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1.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header" Target="header2.xml"/><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http://www.pc.gov.au/"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3.xml"/><Relationship Id="rId27"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EEF349A-A301-4089-9384-D11C5E621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7</TotalTime>
  <Pages>8</Pages>
  <Words>1245</Words>
  <Characters>7150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Tax and Transfer Incidence in Australia</vt:lpstr>
    </vt:vector>
  </TitlesOfParts>
  <Company>Productivity Commission</Company>
  <LinksUpToDate>false</LinksUpToDate>
  <CharactersWithSpaces>8379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Tax and Transfer Incidence in Australia</dc:title>
  <dc:creator>Productivity Commission</dc:creator>
  <cp:lastModifiedBy>Productivity Commission</cp:lastModifiedBy>
  <cp:revision>4</cp:revision>
  <cp:lastPrinted>2009-07-15T23:41:00Z</cp:lastPrinted>
  <dcterms:created xsi:type="dcterms:W3CDTF">2015-09-25T07:40:00Z</dcterms:created>
  <dcterms:modified xsi:type="dcterms:W3CDTF">2015-09-29T02:00:00Z</dcterms:modified>
</cp:coreProperties>
</file>