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90" w:rsidRPr="00BC1144" w:rsidRDefault="000A441A" w:rsidP="00BA6890">
      <w:pPr>
        <w:pStyle w:val="Heading1"/>
        <w:rPr>
          <w:color w:val="FFFFFF" w:themeColor="background1"/>
          <w:sz w:val="16"/>
          <w:szCs w:val="16"/>
        </w:rPr>
      </w:pPr>
      <w:bookmarkStart w:id="0" w:name="_Toc10805420"/>
      <w:r w:rsidRPr="00BC1144">
        <w:rPr>
          <w:noProof/>
          <w:color w:val="FFFFFF" w:themeColor="background1"/>
        </w:rPr>
        <w:drawing>
          <wp:anchor distT="0" distB="0" distL="114300" distR="114300" simplePos="0" relativeHeight="251659264" behindDoc="0" locked="0" layoutInCell="1" allowOverlap="1" wp14:anchorId="1373BFB6" wp14:editId="5A8E58FF">
            <wp:simplePos x="0" y="0"/>
            <wp:positionH relativeFrom="page">
              <wp:posOffset>0</wp:posOffset>
            </wp:positionH>
            <wp:positionV relativeFrom="page">
              <wp:posOffset>22860</wp:posOffset>
            </wp:positionV>
            <wp:extent cx="7612380" cy="10767835"/>
            <wp:effectExtent l="0" t="0" r="7620" b="0"/>
            <wp:wrapNone/>
            <wp:docPr id="65" name="Picture 65" descr="Cover: The Demand Driven University System: A Mixed Report Card, Productivity Commission Research Paper,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paper-cover-A4-web - high ed.png"/>
                    <pic:cNvPicPr/>
                  </pic:nvPicPr>
                  <pic:blipFill>
                    <a:blip r:embed="rId8">
                      <a:extLst>
                        <a:ext uri="{28A0092B-C50C-407E-A947-70E740481C1C}">
                          <a14:useLocalDpi xmlns:a14="http://schemas.microsoft.com/office/drawing/2010/main" val="0"/>
                        </a:ext>
                      </a:extLst>
                    </a:blip>
                    <a:stretch>
                      <a:fillRect/>
                    </a:stretch>
                  </pic:blipFill>
                  <pic:spPr>
                    <a:xfrm>
                      <a:off x="0" y="0"/>
                      <a:ext cx="7613499" cy="10769418"/>
                    </a:xfrm>
                    <a:prstGeom prst="rect">
                      <a:avLst/>
                    </a:prstGeom>
                  </pic:spPr>
                </pic:pic>
              </a:graphicData>
            </a:graphic>
            <wp14:sizeRelH relativeFrom="margin">
              <wp14:pctWidth>0</wp14:pctWidth>
            </wp14:sizeRelH>
            <wp14:sizeRelV relativeFrom="margin">
              <wp14:pctHeight>0</wp14:pctHeight>
            </wp14:sizeRelV>
          </wp:anchor>
        </w:drawing>
      </w:r>
      <w:r w:rsidR="00BA6890" w:rsidRPr="00BC1144">
        <w:rPr>
          <w:color w:val="FFFFFF" w:themeColor="background1"/>
          <w:sz w:val="16"/>
          <w:szCs w:val="16"/>
        </w:rPr>
        <w:t xml:space="preserve">The Demand Driven University System: A Mixed </w:t>
      </w:r>
      <w:r w:rsidR="00831312" w:rsidRPr="00BC1144">
        <w:rPr>
          <w:color w:val="FFFFFF" w:themeColor="background1"/>
          <w:sz w:val="16"/>
          <w:szCs w:val="16"/>
        </w:rPr>
        <w:t>Report Card</w:t>
      </w:r>
      <w:bookmarkEnd w:id="0"/>
    </w:p>
    <w:p w:rsidR="00BA6890" w:rsidRPr="00BC1144" w:rsidRDefault="00BA6890" w:rsidP="00BA6890">
      <w:pPr>
        <w:pStyle w:val="BodyText"/>
        <w:rPr>
          <w:b/>
          <w:szCs w:val="26"/>
        </w:rPr>
      </w:pPr>
      <w:r w:rsidRPr="00BC1144">
        <w:rPr>
          <w:color w:val="FFFFFF" w:themeColor="background1"/>
          <w:sz w:val="16"/>
          <w:szCs w:val="16"/>
        </w:rPr>
        <w:t>Commission Research Paper</w:t>
      </w:r>
      <w:r w:rsidRPr="00BC1144">
        <w:br w:type="page"/>
      </w:r>
      <w:bookmarkStart w:id="1" w:name="_GoBack"/>
      <w:bookmarkEnd w:id="1"/>
    </w:p>
    <w:p w:rsidR="00BA6890" w:rsidRPr="00BC1144" w:rsidRDefault="00BA6890" w:rsidP="00BA6890">
      <w:pPr>
        <w:pStyle w:val="Copyrightheading"/>
      </w:pPr>
      <w:r w:rsidRPr="00BC1144">
        <w:lastRenderedPageBreak/>
        <w:fldChar w:fldCharType="begin"/>
      </w:r>
      <w:r w:rsidRPr="00BC1144">
        <w:instrText>SYMBOL 227 \f "Symbol"</w:instrText>
      </w:r>
      <w:r w:rsidRPr="00BC1144">
        <w:fldChar w:fldCharType="end"/>
      </w:r>
      <w:r w:rsidRPr="00BC1144">
        <w:t xml:space="preserve"> Commonwealth of Australia 2019</w:t>
      </w:r>
    </w:p>
    <w:p w:rsidR="00BA6890" w:rsidRPr="00BC1144" w:rsidRDefault="00BA6890" w:rsidP="00BA6890">
      <w:pPr>
        <w:pStyle w:val="BodyText"/>
        <w:tabs>
          <w:tab w:val="left" w:pos="851"/>
        </w:tabs>
        <w:spacing w:before="200" w:after="120"/>
        <w:jc w:val="left"/>
        <w:rPr>
          <w:b/>
        </w:rPr>
      </w:pPr>
      <w:r w:rsidRPr="00BC1144">
        <w:rPr>
          <w:b/>
        </w:rPr>
        <w:t>ISBN</w:t>
      </w:r>
      <w:r w:rsidRPr="00BC1144">
        <w:rPr>
          <w:b/>
        </w:rPr>
        <w:tab/>
        <w:t>978-1-74037-677-8 (PDF)</w:t>
      </w:r>
      <w:r w:rsidRPr="00BC1144">
        <w:rPr>
          <w:b/>
        </w:rPr>
        <w:br/>
        <w:t>ISBN</w:t>
      </w:r>
      <w:r w:rsidRPr="00BC1144">
        <w:rPr>
          <w:b/>
        </w:rPr>
        <w:tab/>
        <w:t>978-1-74037-676-1 (Print)</w:t>
      </w:r>
    </w:p>
    <w:p w:rsidR="00BA6890" w:rsidRPr="00BC1144" w:rsidRDefault="00BA6890" w:rsidP="00BA6890">
      <w:pPr>
        <w:pStyle w:val="BodyText"/>
        <w:spacing w:after="120"/>
      </w:pPr>
      <w:bookmarkStart w:id="2" w:name="ISSN"/>
      <w:bookmarkEnd w:id="2"/>
      <w:r w:rsidRPr="00BC1144">
        <w:rPr>
          <w:noProof/>
          <w:sz w:val="22"/>
          <w:szCs w:val="22"/>
        </w:rPr>
        <w:drawing>
          <wp:inline distT="0" distB="0" distL="0" distR="0" wp14:anchorId="13B47AB8" wp14:editId="0DD48E95">
            <wp:extent cx="843280" cy="295043"/>
            <wp:effectExtent l="0" t="0" r="0" b="0"/>
            <wp:docPr id="66" name="Picture 6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BA6890" w:rsidRPr="00BC1144" w:rsidRDefault="00BA6890" w:rsidP="00BA6890">
      <w:pPr>
        <w:pStyle w:val="Copyrightbodytext"/>
        <w:rPr>
          <w:sz w:val="20"/>
        </w:rPr>
      </w:pPr>
      <w:r w:rsidRPr="00BC1144">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BA6890" w:rsidRPr="00BC1144" w:rsidRDefault="00BA6890" w:rsidP="00BA6890">
      <w:pPr>
        <w:pStyle w:val="Copyrightsubtitle"/>
      </w:pPr>
      <w:r w:rsidRPr="00BC1144">
        <w:t>Use of the Commonwealth Coat of Arms</w:t>
      </w:r>
    </w:p>
    <w:p w:rsidR="00BA6890" w:rsidRPr="00BC1144" w:rsidRDefault="00BA6890" w:rsidP="00BA6890">
      <w:pPr>
        <w:pStyle w:val="Copyrightbodytext"/>
        <w:rPr>
          <w:spacing w:val="-2"/>
          <w:sz w:val="20"/>
        </w:rPr>
      </w:pPr>
      <w:r w:rsidRPr="00BC1144">
        <w:rPr>
          <w:spacing w:val="-2"/>
          <w:sz w:val="20"/>
        </w:rPr>
        <w:t xml:space="preserve">Terms of use for the Coat of Arms are available from the </w:t>
      </w:r>
      <w:r w:rsidRPr="00BC1144">
        <w:rPr>
          <w:rStyle w:val="Hyperlink"/>
          <w:spacing w:val="-2"/>
          <w:sz w:val="20"/>
        </w:rPr>
        <w:t>Department of the Prime Minister and Cabinet’s website</w:t>
      </w:r>
      <w:r w:rsidRPr="00BC1144">
        <w:rPr>
          <w:spacing w:val="-2"/>
          <w:sz w:val="20"/>
        </w:rPr>
        <w:t>.</w:t>
      </w:r>
    </w:p>
    <w:p w:rsidR="00BA6890" w:rsidRPr="00BC1144" w:rsidRDefault="00BA6890" w:rsidP="00BA6890">
      <w:pPr>
        <w:pStyle w:val="Copyrightsubtitle"/>
      </w:pPr>
      <w:r w:rsidRPr="00BC1144">
        <w:t>Third party copyright</w:t>
      </w:r>
    </w:p>
    <w:p w:rsidR="00BA6890" w:rsidRPr="00BC1144" w:rsidRDefault="00BA6890" w:rsidP="00BA6890">
      <w:pPr>
        <w:pStyle w:val="Copyrightbodytext"/>
        <w:rPr>
          <w:sz w:val="20"/>
        </w:rPr>
      </w:pPr>
      <w:r w:rsidRPr="00BC1144">
        <w:rPr>
          <w:sz w:val="20"/>
        </w:rPr>
        <w:t>Wherever a third party holds copyright in this material, the copyright remains with that party. Their permission may be required to use the material, please contact them directly.</w:t>
      </w:r>
    </w:p>
    <w:p w:rsidR="00BA6890" w:rsidRPr="00BC1144" w:rsidRDefault="00BA6890" w:rsidP="00BA6890">
      <w:pPr>
        <w:pStyle w:val="Copyrightsubtitle"/>
      </w:pPr>
      <w:r w:rsidRPr="00BC1144">
        <w:t>Attribution</w:t>
      </w:r>
    </w:p>
    <w:p w:rsidR="00BA6890" w:rsidRPr="00BC1144" w:rsidRDefault="00BA6890" w:rsidP="00BA6890">
      <w:pPr>
        <w:pStyle w:val="Copyrightbodytext"/>
        <w:rPr>
          <w:sz w:val="20"/>
        </w:rPr>
      </w:pPr>
      <w:r w:rsidRPr="00BC1144">
        <w:rPr>
          <w:sz w:val="20"/>
        </w:rPr>
        <w:t xml:space="preserve">This work should be attributed as follows, </w:t>
      </w:r>
      <w:r w:rsidRPr="00BC1144">
        <w:rPr>
          <w:i/>
          <w:sz w:val="20"/>
        </w:rPr>
        <w:t xml:space="preserve">Source: Productivity Commission, The Demand Driven University System: A Mixed </w:t>
      </w:r>
      <w:r w:rsidR="003E0F06" w:rsidRPr="00BC1144">
        <w:rPr>
          <w:i/>
          <w:sz w:val="20"/>
        </w:rPr>
        <w:t>Report Card</w:t>
      </w:r>
      <w:r w:rsidRPr="00BC1144">
        <w:rPr>
          <w:sz w:val="20"/>
        </w:rPr>
        <w:t>.</w:t>
      </w:r>
    </w:p>
    <w:p w:rsidR="00BA6890" w:rsidRPr="00BC1144" w:rsidRDefault="00BA6890" w:rsidP="00BA6890">
      <w:pPr>
        <w:pStyle w:val="Copyrightbodytext"/>
        <w:spacing w:before="120"/>
        <w:rPr>
          <w:sz w:val="20"/>
        </w:rPr>
      </w:pPr>
      <w:r w:rsidRPr="00BC1144">
        <w:rPr>
          <w:sz w:val="20"/>
        </w:rPr>
        <w:t xml:space="preserve">If you have adapted, modified or transformed this work in anyway, please use the following, </w:t>
      </w:r>
      <w:r w:rsidRPr="00BC1144">
        <w:rPr>
          <w:i/>
          <w:sz w:val="20"/>
        </w:rPr>
        <w:t xml:space="preserve">Source: based on Productivity Commission data, The Demand Driven University System: A Mixed </w:t>
      </w:r>
      <w:r w:rsidR="003E0F06" w:rsidRPr="00BC1144">
        <w:rPr>
          <w:i/>
          <w:sz w:val="20"/>
        </w:rPr>
        <w:t>Report Card</w:t>
      </w:r>
      <w:r w:rsidRPr="00BC1144">
        <w:rPr>
          <w:sz w:val="20"/>
        </w:rPr>
        <w:t>.</w:t>
      </w:r>
    </w:p>
    <w:p w:rsidR="00BA6890" w:rsidRPr="00BC1144" w:rsidRDefault="00BA6890" w:rsidP="00BA6890">
      <w:pPr>
        <w:pStyle w:val="Copyrightsubtitle"/>
      </w:pPr>
      <w:r w:rsidRPr="00BC1144">
        <w:t>An appropriate reference for this publication is:</w:t>
      </w:r>
    </w:p>
    <w:p w:rsidR="00BA6890" w:rsidRPr="00BC1144" w:rsidRDefault="00BA6890" w:rsidP="00BA6890">
      <w:pPr>
        <w:pStyle w:val="Copyrightbodytext"/>
        <w:rPr>
          <w:sz w:val="20"/>
        </w:rPr>
      </w:pPr>
      <w:r w:rsidRPr="00BC1144">
        <w:rPr>
          <w:sz w:val="20"/>
        </w:rPr>
        <w:t xml:space="preserve">Productivity Commission 2019, </w:t>
      </w:r>
      <w:r w:rsidRPr="00BC1144">
        <w:rPr>
          <w:i/>
          <w:sz w:val="20"/>
        </w:rPr>
        <w:t xml:space="preserve">The Demand Driven University System: A Mixed </w:t>
      </w:r>
      <w:r w:rsidR="003E0F06" w:rsidRPr="00BC1144">
        <w:rPr>
          <w:i/>
          <w:sz w:val="20"/>
        </w:rPr>
        <w:t>Report Card</w:t>
      </w:r>
      <w:r w:rsidRPr="00BC1144">
        <w:rPr>
          <w:sz w:val="20"/>
        </w:rPr>
        <w:t>, Commission Research Paper, Canberra.</w:t>
      </w:r>
    </w:p>
    <w:p w:rsidR="00BA6890" w:rsidRPr="00BC1144" w:rsidRDefault="00BA6890" w:rsidP="00BA6890">
      <w:pPr>
        <w:pStyle w:val="Copyrightsubtitle"/>
      </w:pPr>
      <w:r w:rsidRPr="00BC1144">
        <w:t>Publications enquiries</w:t>
      </w:r>
    </w:p>
    <w:p w:rsidR="00BA6890" w:rsidRPr="00BC1144" w:rsidRDefault="00BA6890" w:rsidP="00BA6890">
      <w:pPr>
        <w:pStyle w:val="Copyrightbodytext"/>
        <w:rPr>
          <w:sz w:val="20"/>
        </w:rPr>
      </w:pPr>
      <w:r w:rsidRPr="00BC1144">
        <w:rPr>
          <w:sz w:val="20"/>
        </w:rPr>
        <w:t>Media, Publications and Web, phone: (03) 9653 2244 or email: mpw@pc.gov.au</w:t>
      </w:r>
    </w:p>
    <w:p w:rsidR="00BA6890" w:rsidRPr="00BC1144" w:rsidRDefault="00BA6890" w:rsidP="00BA689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A6890" w:rsidRPr="00BC1144" w:rsidTr="0052369A">
        <w:trPr>
          <w:tblHeader/>
        </w:trPr>
        <w:tc>
          <w:tcPr>
            <w:tcW w:w="5000" w:type="pct"/>
            <w:tcBorders>
              <w:top w:val="single" w:sz="6" w:space="0" w:color="78A22F"/>
              <w:left w:val="nil"/>
              <w:bottom w:val="nil"/>
              <w:right w:val="nil"/>
            </w:tcBorders>
            <w:shd w:val="clear" w:color="auto" w:fill="F2F2F2" w:themeFill="background1" w:themeFillShade="F2"/>
          </w:tcPr>
          <w:p w:rsidR="00BA6890" w:rsidRPr="00BC1144" w:rsidRDefault="00BA6890" w:rsidP="0052369A">
            <w:pPr>
              <w:pStyle w:val="BoxTitle"/>
              <w:rPr>
                <w:sz w:val="22"/>
                <w:szCs w:val="22"/>
              </w:rPr>
            </w:pPr>
            <w:r w:rsidRPr="00BC1144">
              <w:rPr>
                <w:sz w:val="22"/>
                <w:szCs w:val="22"/>
              </w:rPr>
              <w:t>The Productivity Commission</w:t>
            </w:r>
          </w:p>
        </w:tc>
      </w:tr>
      <w:tr w:rsidR="00BA6890" w:rsidRPr="00BC1144" w:rsidTr="0052369A">
        <w:tc>
          <w:tcPr>
            <w:tcW w:w="5000" w:type="pct"/>
            <w:tcBorders>
              <w:top w:val="nil"/>
              <w:left w:val="nil"/>
              <w:bottom w:val="nil"/>
              <w:right w:val="nil"/>
            </w:tcBorders>
            <w:shd w:val="clear" w:color="auto" w:fill="F2F2F2" w:themeFill="background1" w:themeFillShade="F2"/>
          </w:tcPr>
          <w:p w:rsidR="00BA6890" w:rsidRPr="00BC1144" w:rsidRDefault="00BA6890" w:rsidP="0052369A">
            <w:pPr>
              <w:pStyle w:val="Box"/>
            </w:pPr>
            <w:r w:rsidRPr="00BC1144">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BA6890" w:rsidRPr="00BC1144" w:rsidRDefault="00BA6890" w:rsidP="0052369A">
            <w:pPr>
              <w:pStyle w:val="Box"/>
            </w:pPr>
            <w:r w:rsidRPr="00BC1144">
              <w:t>The Commission’s independence is underpinned by an Act of Parliament. Its processes and outputs are open to public scrutiny and are driven by concern for the wellbeing of the community as a whole.</w:t>
            </w:r>
          </w:p>
          <w:p w:rsidR="00BA6890" w:rsidRPr="00BC1144" w:rsidRDefault="00BA6890" w:rsidP="0052369A">
            <w:pPr>
              <w:pStyle w:val="Box"/>
            </w:pPr>
            <w:r w:rsidRPr="00BC1144">
              <w:rPr>
                <w:szCs w:val="24"/>
              </w:rPr>
              <w:t>Further information on the Productivity Commission can be obtained from the Commission’s website (</w:t>
            </w:r>
            <w:r w:rsidRPr="00BC1144">
              <w:t>www.pc.gov.au</w:t>
            </w:r>
            <w:r w:rsidRPr="00BC1144">
              <w:rPr>
                <w:szCs w:val="24"/>
              </w:rPr>
              <w:t>).</w:t>
            </w:r>
          </w:p>
        </w:tc>
      </w:tr>
      <w:tr w:rsidR="00BA6890" w:rsidRPr="00BC1144" w:rsidTr="0052369A">
        <w:tc>
          <w:tcPr>
            <w:tcW w:w="5000" w:type="pct"/>
            <w:tcBorders>
              <w:top w:val="nil"/>
              <w:left w:val="nil"/>
              <w:bottom w:val="single" w:sz="6" w:space="0" w:color="78A22F"/>
              <w:right w:val="nil"/>
            </w:tcBorders>
            <w:shd w:val="clear" w:color="auto" w:fill="F2F2F2" w:themeFill="background1" w:themeFillShade="F2"/>
          </w:tcPr>
          <w:p w:rsidR="00BA6890" w:rsidRPr="00BC1144" w:rsidRDefault="00BA6890" w:rsidP="0052369A">
            <w:pPr>
              <w:pStyle w:val="Box"/>
              <w:spacing w:before="0" w:line="120" w:lineRule="exact"/>
            </w:pPr>
          </w:p>
        </w:tc>
      </w:tr>
    </w:tbl>
    <w:p w:rsidR="00BA6890" w:rsidRPr="00BC1144" w:rsidRDefault="00BA6890" w:rsidP="00BA6890">
      <w:pPr>
        <w:pStyle w:val="BodyText"/>
        <w:sectPr w:rsidR="00BA6890" w:rsidRPr="00BC1144" w:rsidSect="00BA6890">
          <w:pgSz w:w="11907" w:h="16840" w:code="9"/>
          <w:pgMar w:top="1304" w:right="1304" w:bottom="567" w:left="1814" w:header="1701" w:footer="397" w:gutter="0"/>
          <w:pgNumType w:fmt="lowerRoman" w:start="1"/>
          <w:cols w:space="720"/>
          <w:titlePg/>
        </w:sectPr>
      </w:pPr>
      <w:bookmarkStart w:id="3" w:name="cov"/>
      <w:bookmarkEnd w:id="3"/>
    </w:p>
    <w:p w:rsidR="00BA6890" w:rsidRPr="00BC1144" w:rsidRDefault="00BA6890" w:rsidP="00A449CB">
      <w:pPr>
        <w:pStyle w:val="Heading1NotTOC"/>
        <w:ind w:right="-1"/>
        <w:rPr>
          <w:noProof/>
        </w:rPr>
      </w:pPr>
      <w:bookmarkStart w:id="4" w:name="Contents"/>
      <w:bookmarkStart w:id="5" w:name="_Toc10805421"/>
      <w:bookmarkEnd w:id="4"/>
      <w:r w:rsidRPr="00BC1144">
        <w:lastRenderedPageBreak/>
        <w:t>Contents</w:t>
      </w:r>
      <w:bookmarkStart w:id="6" w:name="InsertContents"/>
      <w:bookmarkEnd w:id="6"/>
      <w:bookmarkEnd w:id="5"/>
    </w:p>
    <w:p w:rsidR="003E7C02" w:rsidRPr="003E7C02" w:rsidRDefault="003E7C02" w:rsidP="003E7C02">
      <w:pPr>
        <w:pStyle w:val="TOC1"/>
        <w:rPr>
          <w:rFonts w:eastAsiaTheme="minorEastAsia"/>
          <w:b w:val="0"/>
          <w:noProof/>
        </w:rPr>
      </w:pPr>
      <w:bookmarkStart w:id="7" w:name="Abbreviations"/>
      <w:bookmarkStart w:id="8" w:name="RDnote"/>
      <w:bookmarkEnd w:id="7"/>
      <w:bookmarkEnd w:id="8"/>
      <w:r w:rsidRPr="003E7C02">
        <w:rPr>
          <w:b w:val="0"/>
          <w:noProof/>
        </w:rPr>
        <w:t>Acknowledgments</w:t>
      </w:r>
      <w:r w:rsidRPr="003E7C02">
        <w:rPr>
          <w:b w:val="0"/>
          <w:noProof/>
          <w:webHidden/>
        </w:rPr>
        <w:tab/>
      </w:r>
      <w:r w:rsidR="00CD4531">
        <w:rPr>
          <w:b w:val="0"/>
          <w:noProof/>
          <w:webHidden/>
        </w:rPr>
        <w:t>v</w:t>
      </w:r>
    </w:p>
    <w:p w:rsidR="003E7C02" w:rsidRPr="00CD4531" w:rsidRDefault="003E7C02" w:rsidP="003E7C02">
      <w:pPr>
        <w:pStyle w:val="TOC1"/>
        <w:rPr>
          <w:rFonts w:asciiTheme="minorHAnsi" w:eastAsiaTheme="minorEastAsia" w:hAnsiTheme="minorHAnsi" w:cstheme="minorBidi"/>
          <w:b w:val="0"/>
          <w:noProof/>
          <w:sz w:val="22"/>
          <w:szCs w:val="22"/>
          <w:lang w:eastAsia="en-AU"/>
        </w:rPr>
      </w:pPr>
      <w:r w:rsidRPr="00CD4531">
        <w:rPr>
          <w:rStyle w:val="Hyperlink"/>
          <w:b w:val="0"/>
          <w:noProof/>
          <w:u w:val="none"/>
        </w:rPr>
        <w:t>Abbreviations</w:t>
      </w:r>
      <w:r w:rsidRPr="00CD4531">
        <w:rPr>
          <w:b w:val="0"/>
          <w:noProof/>
          <w:webHidden/>
        </w:rPr>
        <w:tab/>
      </w:r>
      <w:r w:rsidR="00CD4531">
        <w:rPr>
          <w:b w:val="0"/>
          <w:noProof/>
          <w:webHidden/>
        </w:rPr>
        <w:t>vi</w:t>
      </w:r>
    </w:p>
    <w:p w:rsidR="003E7C02" w:rsidRPr="00CD4531" w:rsidRDefault="003E7C02" w:rsidP="003E7C02">
      <w:pPr>
        <w:pStyle w:val="TOC1"/>
        <w:spacing w:before="360"/>
        <w:rPr>
          <w:rStyle w:val="Hyperlink"/>
          <w:noProof/>
          <w:u w:val="none"/>
        </w:rPr>
      </w:pPr>
      <w:r w:rsidRPr="00CD4531">
        <w:rPr>
          <w:rStyle w:val="Hyperlink"/>
          <w:noProof/>
          <w:u w:val="none"/>
        </w:rPr>
        <w:t>Overview</w:t>
      </w:r>
      <w:r w:rsidR="00CD4531">
        <w:rPr>
          <w:rStyle w:val="Hyperlink"/>
          <w:noProof/>
          <w:u w:val="none"/>
        </w:rPr>
        <w:tab/>
        <w:t>1</w:t>
      </w:r>
    </w:p>
    <w:p w:rsidR="00CD4531" w:rsidRDefault="00CD4531" w:rsidP="003E7C02">
      <w:pPr>
        <w:pStyle w:val="TOC2"/>
        <w:rPr>
          <w:rStyle w:val="Hyperlink"/>
          <w:noProof/>
          <w:u w:val="none"/>
        </w:rPr>
      </w:pPr>
      <w:r>
        <w:rPr>
          <w:rStyle w:val="Hyperlink"/>
          <w:noProof/>
          <w:u w:val="none"/>
        </w:rPr>
        <w:t>Key points</w:t>
      </w:r>
      <w:r>
        <w:rPr>
          <w:rStyle w:val="Hyperlink"/>
          <w:noProof/>
          <w:u w:val="none"/>
        </w:rPr>
        <w:tab/>
        <w:t>2</w:t>
      </w:r>
    </w:p>
    <w:p w:rsidR="003E7C02" w:rsidRPr="00CD4531" w:rsidRDefault="003E7C02" w:rsidP="003E7C02">
      <w:pPr>
        <w:pStyle w:val="TOC2"/>
        <w:rPr>
          <w:rFonts w:asciiTheme="minorHAnsi" w:eastAsiaTheme="minorEastAsia" w:hAnsiTheme="minorHAnsi" w:cstheme="minorBidi"/>
          <w:noProof/>
          <w:sz w:val="22"/>
          <w:szCs w:val="22"/>
          <w:lang w:eastAsia="en-AU"/>
        </w:rPr>
      </w:pPr>
      <w:r w:rsidRPr="00CD4531">
        <w:rPr>
          <w:rStyle w:val="Hyperlink"/>
          <w:noProof/>
          <w:u w:val="none"/>
        </w:rPr>
        <w:t>The Commission’s approach</w:t>
      </w:r>
      <w:r w:rsidRPr="00CD4531">
        <w:rPr>
          <w:noProof/>
          <w:webHidden/>
        </w:rPr>
        <w:tab/>
      </w:r>
      <w:r w:rsidR="00CD4531">
        <w:rPr>
          <w:noProof/>
          <w:webHidden/>
        </w:rPr>
        <w:t>4</w:t>
      </w:r>
    </w:p>
    <w:p w:rsidR="003E7C02" w:rsidRPr="00CD4531" w:rsidRDefault="003E7C02" w:rsidP="00CD4531">
      <w:pPr>
        <w:pStyle w:val="TOC2"/>
        <w:ind w:left="510" w:firstLine="0"/>
        <w:rPr>
          <w:rFonts w:asciiTheme="minorHAnsi" w:eastAsiaTheme="minorEastAsia" w:hAnsiTheme="minorHAnsi" w:cstheme="minorBidi"/>
          <w:noProof/>
          <w:sz w:val="22"/>
          <w:szCs w:val="22"/>
          <w:lang w:eastAsia="en-AU"/>
        </w:rPr>
      </w:pPr>
      <w:r w:rsidRPr="00CD4531">
        <w:rPr>
          <w:rStyle w:val="Hyperlink"/>
          <w:noProof/>
          <w:u w:val="none"/>
        </w:rPr>
        <w:t>New opportunities for many, though some ‘additional students’ fared poorly</w:t>
      </w:r>
      <w:r w:rsidRPr="00CD4531">
        <w:rPr>
          <w:noProof/>
          <w:webHidden/>
        </w:rPr>
        <w:tab/>
      </w:r>
      <w:r w:rsidR="00CD4531">
        <w:rPr>
          <w:noProof/>
          <w:webHidden/>
        </w:rPr>
        <w:t>5</w:t>
      </w:r>
    </w:p>
    <w:p w:rsidR="003E7C02" w:rsidRPr="00CD4531" w:rsidRDefault="003E7C02" w:rsidP="003E7C02">
      <w:pPr>
        <w:pStyle w:val="TOC2"/>
        <w:rPr>
          <w:rFonts w:asciiTheme="minorHAnsi" w:eastAsiaTheme="minorEastAsia" w:hAnsiTheme="minorHAnsi" w:cstheme="minorBidi"/>
          <w:noProof/>
          <w:sz w:val="22"/>
          <w:szCs w:val="22"/>
          <w:lang w:eastAsia="en-AU"/>
        </w:rPr>
      </w:pPr>
      <w:r w:rsidRPr="00CD4531">
        <w:rPr>
          <w:rStyle w:val="Hyperlink"/>
          <w:noProof/>
          <w:u w:val="none"/>
        </w:rPr>
        <w:t>There was some progress in improving equity</w:t>
      </w:r>
      <w:r w:rsidRPr="00CD4531">
        <w:rPr>
          <w:noProof/>
          <w:webHidden/>
        </w:rPr>
        <w:tab/>
      </w:r>
      <w:r w:rsidR="00CD4531">
        <w:rPr>
          <w:noProof/>
          <w:webHidden/>
        </w:rPr>
        <w:t>10</w:t>
      </w:r>
    </w:p>
    <w:p w:rsidR="003E7C02" w:rsidRPr="00CD4531" w:rsidRDefault="003E7C02" w:rsidP="003E7C02">
      <w:pPr>
        <w:pStyle w:val="TOC2"/>
        <w:rPr>
          <w:rFonts w:asciiTheme="minorHAnsi" w:eastAsiaTheme="minorEastAsia" w:hAnsiTheme="minorHAnsi" w:cstheme="minorBidi"/>
          <w:noProof/>
          <w:sz w:val="22"/>
          <w:szCs w:val="22"/>
          <w:lang w:eastAsia="en-AU"/>
        </w:rPr>
      </w:pPr>
      <w:r w:rsidRPr="00CD4531">
        <w:rPr>
          <w:rStyle w:val="Hyperlink"/>
          <w:noProof/>
          <w:u w:val="none"/>
        </w:rPr>
        <w:t>Implications for policy</w:t>
      </w:r>
      <w:r w:rsidRPr="00CD4531">
        <w:rPr>
          <w:noProof/>
          <w:webHidden/>
        </w:rPr>
        <w:tab/>
      </w:r>
      <w:r w:rsidR="00CD4531">
        <w:rPr>
          <w:noProof/>
          <w:webHidden/>
        </w:rPr>
        <w:t>14</w:t>
      </w:r>
    </w:p>
    <w:p w:rsidR="003E7C02" w:rsidRPr="00CD4531" w:rsidRDefault="003E7C02" w:rsidP="003E7C02">
      <w:pPr>
        <w:pStyle w:val="TOC1"/>
        <w:rPr>
          <w:rFonts w:asciiTheme="minorHAnsi" w:eastAsiaTheme="minorEastAsia" w:hAnsiTheme="minorHAnsi" w:cstheme="minorBidi"/>
          <w:b w:val="0"/>
          <w:noProof/>
          <w:sz w:val="22"/>
          <w:szCs w:val="22"/>
          <w:lang w:eastAsia="en-AU"/>
        </w:rPr>
      </w:pPr>
      <w:r w:rsidRPr="00CD4531">
        <w:rPr>
          <w:rStyle w:val="Hyperlink"/>
          <w:noProof/>
          <w:u w:val="none"/>
        </w:rPr>
        <w:t>1</w:t>
      </w:r>
      <w:r w:rsidRPr="00CD4531">
        <w:rPr>
          <w:rFonts w:asciiTheme="minorHAnsi" w:eastAsiaTheme="minorEastAsia" w:hAnsiTheme="minorHAnsi" w:cstheme="minorBidi"/>
          <w:b w:val="0"/>
          <w:noProof/>
          <w:sz w:val="22"/>
          <w:szCs w:val="22"/>
          <w:lang w:eastAsia="en-AU"/>
        </w:rPr>
        <w:tab/>
      </w:r>
      <w:r w:rsidRPr="00CD4531">
        <w:rPr>
          <w:rStyle w:val="Hyperlink"/>
          <w:noProof/>
          <w:u w:val="none"/>
        </w:rPr>
        <w:t>Introduction</w:t>
      </w:r>
      <w:r w:rsidRPr="00CD4531">
        <w:rPr>
          <w:noProof/>
          <w:webHidden/>
        </w:rPr>
        <w:tab/>
      </w:r>
      <w:r w:rsidR="00CD4531">
        <w:rPr>
          <w:noProof/>
          <w:webHidden/>
        </w:rPr>
        <w:t>19</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1.1</w:t>
      </w:r>
      <w:r w:rsidRPr="00CD4531">
        <w:rPr>
          <w:rFonts w:asciiTheme="minorHAnsi" w:eastAsiaTheme="minorEastAsia" w:hAnsiTheme="minorHAnsi" w:cstheme="minorBidi"/>
          <w:noProof/>
          <w:sz w:val="22"/>
          <w:szCs w:val="22"/>
          <w:lang w:eastAsia="en-AU"/>
        </w:rPr>
        <w:tab/>
      </w:r>
      <w:r w:rsidRPr="00CD4531">
        <w:rPr>
          <w:rStyle w:val="Hyperlink"/>
          <w:noProof/>
          <w:u w:val="none"/>
        </w:rPr>
        <w:t>Why this study?</w:t>
      </w:r>
      <w:r w:rsidRPr="00CD4531">
        <w:rPr>
          <w:noProof/>
          <w:webHidden/>
        </w:rPr>
        <w:tab/>
      </w:r>
      <w:r w:rsidR="00CD4531">
        <w:rPr>
          <w:noProof/>
          <w:webHidden/>
        </w:rPr>
        <w:t>19</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1.2</w:t>
      </w:r>
      <w:r w:rsidRPr="00CD4531">
        <w:rPr>
          <w:rFonts w:asciiTheme="minorHAnsi" w:eastAsiaTheme="minorEastAsia" w:hAnsiTheme="minorHAnsi" w:cstheme="minorBidi"/>
          <w:noProof/>
          <w:sz w:val="22"/>
          <w:szCs w:val="22"/>
          <w:lang w:eastAsia="en-AU"/>
        </w:rPr>
        <w:tab/>
      </w:r>
      <w:r w:rsidRPr="00CD4531">
        <w:rPr>
          <w:rStyle w:val="Hyperlink"/>
          <w:noProof/>
          <w:u w:val="none"/>
        </w:rPr>
        <w:t xml:space="preserve">Setting the scene </w:t>
      </w:r>
      <w:r w:rsidRPr="00CD4531">
        <w:rPr>
          <w:rStyle w:val="Hyperlink"/>
          <w:rFonts w:cs="Arial"/>
          <w:noProof/>
          <w:u w:val="none"/>
        </w:rPr>
        <w:t>—</w:t>
      </w:r>
      <w:r w:rsidRPr="00CD4531">
        <w:rPr>
          <w:rStyle w:val="Hyperlink"/>
          <w:noProof/>
          <w:u w:val="none"/>
        </w:rPr>
        <w:t xml:space="preserve"> the evolution of Australian higher education policy</w:t>
      </w:r>
      <w:r w:rsidRPr="00CD4531">
        <w:rPr>
          <w:noProof/>
          <w:webHidden/>
        </w:rPr>
        <w:tab/>
      </w:r>
      <w:r w:rsidR="00CD4531">
        <w:rPr>
          <w:noProof/>
          <w:webHidden/>
        </w:rPr>
        <w:t>20</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1.3</w:t>
      </w:r>
      <w:r w:rsidRPr="00CD4531">
        <w:rPr>
          <w:rFonts w:asciiTheme="minorHAnsi" w:eastAsiaTheme="minorEastAsia" w:hAnsiTheme="minorHAnsi" w:cstheme="minorBidi"/>
          <w:noProof/>
          <w:sz w:val="22"/>
          <w:szCs w:val="22"/>
          <w:lang w:eastAsia="en-AU"/>
        </w:rPr>
        <w:tab/>
      </w:r>
      <w:r w:rsidRPr="00CD4531">
        <w:rPr>
          <w:rStyle w:val="Hyperlink"/>
          <w:noProof/>
          <w:u w:val="none"/>
        </w:rPr>
        <w:t>What this study does</w:t>
      </w:r>
      <w:r w:rsidRPr="00CD4531">
        <w:rPr>
          <w:noProof/>
          <w:webHidden/>
        </w:rPr>
        <w:tab/>
      </w:r>
      <w:r w:rsidR="00CD4531">
        <w:rPr>
          <w:noProof/>
          <w:webHidden/>
        </w:rPr>
        <w:t>25</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1.4</w:t>
      </w:r>
      <w:r w:rsidRPr="00CD4531">
        <w:rPr>
          <w:rFonts w:asciiTheme="minorHAnsi" w:eastAsiaTheme="minorEastAsia" w:hAnsiTheme="minorHAnsi" w:cstheme="minorBidi"/>
          <w:noProof/>
          <w:sz w:val="22"/>
          <w:szCs w:val="22"/>
          <w:lang w:eastAsia="en-AU"/>
        </w:rPr>
        <w:tab/>
      </w:r>
      <w:r w:rsidRPr="00CD4531">
        <w:rPr>
          <w:rStyle w:val="Hyperlink"/>
          <w:noProof/>
          <w:u w:val="none"/>
        </w:rPr>
        <w:t>Terminology</w:t>
      </w:r>
      <w:r w:rsidRPr="00CD4531">
        <w:rPr>
          <w:noProof/>
          <w:webHidden/>
        </w:rPr>
        <w:tab/>
      </w:r>
      <w:r w:rsidR="00CD4531">
        <w:rPr>
          <w:noProof/>
          <w:webHidden/>
        </w:rPr>
        <w:t>26</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1.5</w:t>
      </w:r>
      <w:r w:rsidRPr="00CD4531">
        <w:rPr>
          <w:rFonts w:asciiTheme="minorHAnsi" w:eastAsiaTheme="minorEastAsia" w:hAnsiTheme="minorHAnsi" w:cstheme="minorBidi"/>
          <w:noProof/>
          <w:sz w:val="22"/>
          <w:szCs w:val="22"/>
          <w:lang w:eastAsia="en-AU"/>
        </w:rPr>
        <w:tab/>
      </w:r>
      <w:r w:rsidRPr="00CD4531">
        <w:rPr>
          <w:rStyle w:val="Hyperlink"/>
          <w:noProof/>
          <w:u w:val="none"/>
        </w:rPr>
        <w:t>Caveats to the findings</w:t>
      </w:r>
      <w:r w:rsidRPr="00CD4531">
        <w:rPr>
          <w:noProof/>
          <w:webHidden/>
        </w:rPr>
        <w:tab/>
      </w:r>
      <w:r w:rsidR="00CD4531">
        <w:rPr>
          <w:noProof/>
          <w:webHidden/>
        </w:rPr>
        <w:t>27</w:t>
      </w:r>
    </w:p>
    <w:p w:rsidR="003E7C02" w:rsidRPr="00CD4531" w:rsidRDefault="003E7C02" w:rsidP="003E7C02">
      <w:pPr>
        <w:pStyle w:val="TOC1"/>
        <w:rPr>
          <w:rFonts w:asciiTheme="minorHAnsi" w:eastAsiaTheme="minorEastAsia" w:hAnsiTheme="minorHAnsi" w:cstheme="minorBidi"/>
          <w:b w:val="0"/>
          <w:noProof/>
          <w:sz w:val="22"/>
          <w:szCs w:val="22"/>
          <w:lang w:eastAsia="en-AU"/>
        </w:rPr>
      </w:pPr>
      <w:r w:rsidRPr="00CD4531">
        <w:rPr>
          <w:rStyle w:val="Hyperlink"/>
          <w:noProof/>
          <w:u w:val="none"/>
        </w:rPr>
        <w:t>2</w:t>
      </w:r>
      <w:r w:rsidRPr="00CD4531">
        <w:rPr>
          <w:rFonts w:asciiTheme="minorHAnsi" w:eastAsiaTheme="minorEastAsia" w:hAnsiTheme="minorHAnsi" w:cstheme="minorBidi"/>
          <w:b w:val="0"/>
          <w:noProof/>
          <w:sz w:val="22"/>
          <w:szCs w:val="22"/>
          <w:lang w:eastAsia="en-AU"/>
        </w:rPr>
        <w:tab/>
      </w:r>
      <w:r w:rsidRPr="00CD4531">
        <w:rPr>
          <w:rStyle w:val="Hyperlink"/>
          <w:noProof/>
          <w:u w:val="none"/>
        </w:rPr>
        <w:t>Growth in the higher education system</w:t>
      </w:r>
      <w:r w:rsidRPr="00CD4531">
        <w:rPr>
          <w:noProof/>
          <w:webHidden/>
        </w:rPr>
        <w:tab/>
      </w:r>
      <w:r w:rsidR="00CD4531">
        <w:rPr>
          <w:noProof/>
          <w:webHidden/>
        </w:rPr>
        <w:t>31</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2.1</w:t>
      </w:r>
      <w:r w:rsidRPr="00CD4531">
        <w:rPr>
          <w:rFonts w:asciiTheme="minorHAnsi" w:eastAsiaTheme="minorEastAsia" w:hAnsiTheme="minorHAnsi" w:cstheme="minorBidi"/>
          <w:noProof/>
          <w:sz w:val="22"/>
          <w:szCs w:val="22"/>
          <w:lang w:eastAsia="en-AU"/>
        </w:rPr>
        <w:tab/>
      </w:r>
      <w:r w:rsidRPr="00CD4531">
        <w:rPr>
          <w:rStyle w:val="Hyperlink"/>
          <w:noProof/>
          <w:u w:val="none"/>
        </w:rPr>
        <w:t>Evolving admissions processes under the demand driven system</w:t>
      </w:r>
      <w:r w:rsidRPr="00CD4531">
        <w:rPr>
          <w:noProof/>
          <w:webHidden/>
        </w:rPr>
        <w:tab/>
      </w:r>
      <w:r w:rsidR="00CD4531">
        <w:rPr>
          <w:noProof/>
          <w:webHidden/>
        </w:rPr>
        <w:t>31</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2.2</w:t>
      </w:r>
      <w:r w:rsidRPr="00CD4531">
        <w:rPr>
          <w:rFonts w:asciiTheme="minorHAnsi" w:eastAsiaTheme="minorEastAsia" w:hAnsiTheme="minorHAnsi" w:cstheme="minorBidi"/>
          <w:noProof/>
          <w:sz w:val="22"/>
          <w:szCs w:val="22"/>
          <w:lang w:eastAsia="en-AU"/>
        </w:rPr>
        <w:tab/>
      </w:r>
      <w:r w:rsidRPr="00CD4531">
        <w:rPr>
          <w:rStyle w:val="Hyperlink"/>
          <w:noProof/>
          <w:u w:val="none"/>
        </w:rPr>
        <w:t>Who are the additional students?</w:t>
      </w:r>
      <w:r w:rsidRPr="00CD4531">
        <w:rPr>
          <w:noProof/>
          <w:webHidden/>
        </w:rPr>
        <w:tab/>
      </w:r>
      <w:r w:rsidR="00CD4531">
        <w:rPr>
          <w:noProof/>
          <w:webHidden/>
        </w:rPr>
        <w:t>33</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2.3</w:t>
      </w:r>
      <w:r w:rsidRPr="00CD4531">
        <w:rPr>
          <w:rFonts w:asciiTheme="minorHAnsi" w:eastAsiaTheme="minorEastAsia" w:hAnsiTheme="minorHAnsi" w:cstheme="minorBidi"/>
          <w:noProof/>
          <w:sz w:val="22"/>
          <w:szCs w:val="22"/>
          <w:lang w:eastAsia="en-AU"/>
        </w:rPr>
        <w:tab/>
      </w:r>
      <w:r w:rsidRPr="00CD4531">
        <w:rPr>
          <w:rStyle w:val="Hyperlink"/>
          <w:noProof/>
          <w:u w:val="none"/>
        </w:rPr>
        <w:t>How do the additional students perform at university and in the labour market?</w:t>
      </w:r>
      <w:r w:rsidRPr="00CD4531">
        <w:rPr>
          <w:noProof/>
          <w:webHidden/>
        </w:rPr>
        <w:tab/>
      </w:r>
      <w:r w:rsidR="00CD4531">
        <w:rPr>
          <w:noProof/>
          <w:webHidden/>
        </w:rPr>
        <w:t>37</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2.4</w:t>
      </w:r>
      <w:r w:rsidRPr="00CD4531">
        <w:rPr>
          <w:rFonts w:asciiTheme="minorHAnsi" w:eastAsiaTheme="minorEastAsia" w:hAnsiTheme="minorHAnsi" w:cstheme="minorBidi"/>
          <w:noProof/>
          <w:sz w:val="22"/>
          <w:szCs w:val="22"/>
          <w:lang w:eastAsia="en-AU"/>
        </w:rPr>
        <w:tab/>
      </w:r>
      <w:r w:rsidRPr="00CD4531">
        <w:rPr>
          <w:rStyle w:val="Hyperlink"/>
          <w:noProof/>
          <w:u w:val="none"/>
        </w:rPr>
        <w:t>Summing up</w:t>
      </w:r>
      <w:r w:rsidRPr="00CD4531">
        <w:rPr>
          <w:noProof/>
          <w:webHidden/>
        </w:rPr>
        <w:tab/>
      </w:r>
      <w:r w:rsidR="00CD4531">
        <w:rPr>
          <w:noProof/>
          <w:webHidden/>
        </w:rPr>
        <w:t>47</w:t>
      </w:r>
    </w:p>
    <w:p w:rsidR="003E7C02" w:rsidRPr="00CD4531" w:rsidRDefault="003E7C02" w:rsidP="003E7C02">
      <w:pPr>
        <w:pStyle w:val="TOC1"/>
        <w:rPr>
          <w:rFonts w:asciiTheme="minorHAnsi" w:eastAsiaTheme="minorEastAsia" w:hAnsiTheme="minorHAnsi" w:cstheme="minorBidi"/>
          <w:b w:val="0"/>
          <w:noProof/>
          <w:sz w:val="22"/>
          <w:szCs w:val="22"/>
          <w:lang w:eastAsia="en-AU"/>
        </w:rPr>
      </w:pPr>
      <w:r w:rsidRPr="00CD4531">
        <w:rPr>
          <w:rStyle w:val="Hyperlink"/>
          <w:noProof/>
          <w:u w:val="none"/>
        </w:rPr>
        <w:t>3</w:t>
      </w:r>
      <w:r w:rsidRPr="00CD4531">
        <w:rPr>
          <w:rFonts w:asciiTheme="minorHAnsi" w:eastAsiaTheme="minorEastAsia" w:hAnsiTheme="minorHAnsi" w:cstheme="minorBidi"/>
          <w:b w:val="0"/>
          <w:noProof/>
          <w:sz w:val="22"/>
          <w:szCs w:val="22"/>
          <w:lang w:eastAsia="en-AU"/>
        </w:rPr>
        <w:tab/>
      </w:r>
      <w:r w:rsidRPr="00CD4531">
        <w:rPr>
          <w:rStyle w:val="Hyperlink"/>
          <w:noProof/>
          <w:u w:val="none"/>
        </w:rPr>
        <w:t>Equity of access and outcomes during the demand driven system</w:t>
      </w:r>
      <w:r w:rsidRPr="00CD4531">
        <w:rPr>
          <w:noProof/>
          <w:webHidden/>
        </w:rPr>
        <w:tab/>
      </w:r>
      <w:r w:rsidR="00CD4531">
        <w:rPr>
          <w:noProof/>
          <w:webHidden/>
        </w:rPr>
        <w:t>48</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3.1</w:t>
      </w:r>
      <w:r w:rsidRPr="00CD4531">
        <w:rPr>
          <w:rFonts w:asciiTheme="minorHAnsi" w:eastAsiaTheme="minorEastAsia" w:hAnsiTheme="minorHAnsi" w:cstheme="minorBidi"/>
          <w:noProof/>
          <w:sz w:val="22"/>
          <w:szCs w:val="22"/>
          <w:lang w:eastAsia="en-AU"/>
        </w:rPr>
        <w:tab/>
      </w:r>
      <w:r w:rsidRPr="00CD4531">
        <w:rPr>
          <w:rStyle w:val="Hyperlink"/>
          <w:noProof/>
          <w:u w:val="none"/>
        </w:rPr>
        <w:t>University access</w:t>
      </w:r>
      <w:r w:rsidRPr="00CD4531">
        <w:rPr>
          <w:noProof/>
          <w:webHidden/>
        </w:rPr>
        <w:tab/>
      </w:r>
      <w:r w:rsidR="00CD4531">
        <w:rPr>
          <w:noProof/>
          <w:webHidden/>
        </w:rPr>
        <w:t>49</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lastRenderedPageBreak/>
        <w:t>3.2</w:t>
      </w:r>
      <w:r w:rsidRPr="00CD4531">
        <w:rPr>
          <w:rFonts w:asciiTheme="minorHAnsi" w:eastAsiaTheme="minorEastAsia" w:hAnsiTheme="minorHAnsi" w:cstheme="minorBidi"/>
          <w:noProof/>
          <w:sz w:val="22"/>
          <w:szCs w:val="22"/>
          <w:lang w:eastAsia="en-AU"/>
        </w:rPr>
        <w:tab/>
      </w:r>
      <w:r w:rsidRPr="00CD4531">
        <w:rPr>
          <w:rStyle w:val="Hyperlink"/>
          <w:noProof/>
          <w:u w:val="none"/>
        </w:rPr>
        <w:t>What explains the remaining gaps in equity group access?</w:t>
      </w:r>
      <w:r w:rsidRPr="00CD4531">
        <w:rPr>
          <w:noProof/>
          <w:webHidden/>
        </w:rPr>
        <w:tab/>
      </w:r>
      <w:r w:rsidR="00CD4531">
        <w:rPr>
          <w:noProof/>
          <w:webHidden/>
        </w:rPr>
        <w:t>52</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3.3</w:t>
      </w:r>
      <w:r w:rsidRPr="00CD4531">
        <w:rPr>
          <w:rFonts w:asciiTheme="minorHAnsi" w:eastAsiaTheme="minorEastAsia" w:hAnsiTheme="minorHAnsi" w:cstheme="minorBidi"/>
          <w:noProof/>
          <w:sz w:val="22"/>
          <w:szCs w:val="22"/>
          <w:lang w:eastAsia="en-AU"/>
        </w:rPr>
        <w:tab/>
      </w:r>
      <w:r w:rsidRPr="00CD4531">
        <w:rPr>
          <w:rStyle w:val="Hyperlink"/>
          <w:noProof/>
          <w:u w:val="none"/>
        </w:rPr>
        <w:t>Academic outcomes</w:t>
      </w:r>
      <w:r w:rsidRPr="00CD4531">
        <w:rPr>
          <w:noProof/>
          <w:webHidden/>
        </w:rPr>
        <w:tab/>
      </w:r>
      <w:r w:rsidR="00CD4531">
        <w:rPr>
          <w:noProof/>
          <w:webHidden/>
        </w:rPr>
        <w:t>62</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3.4</w:t>
      </w:r>
      <w:r w:rsidRPr="00CD4531">
        <w:rPr>
          <w:rFonts w:asciiTheme="minorHAnsi" w:eastAsiaTheme="minorEastAsia" w:hAnsiTheme="minorHAnsi" w:cstheme="minorBidi"/>
          <w:noProof/>
          <w:sz w:val="22"/>
          <w:szCs w:val="22"/>
          <w:lang w:eastAsia="en-AU"/>
        </w:rPr>
        <w:tab/>
      </w:r>
      <w:r w:rsidRPr="00CD4531">
        <w:rPr>
          <w:rStyle w:val="Hyperlink"/>
          <w:noProof/>
          <w:u w:val="none"/>
        </w:rPr>
        <w:t>Labour market transitions</w:t>
      </w:r>
      <w:r w:rsidRPr="00CD4531">
        <w:rPr>
          <w:noProof/>
          <w:webHidden/>
        </w:rPr>
        <w:tab/>
      </w:r>
      <w:r w:rsidR="00CD4531">
        <w:rPr>
          <w:noProof/>
          <w:webHidden/>
        </w:rPr>
        <w:t>65</w:t>
      </w:r>
    </w:p>
    <w:p w:rsidR="003E7C02" w:rsidRPr="00CD4531" w:rsidRDefault="003E7C02" w:rsidP="003E7C02">
      <w:pPr>
        <w:pStyle w:val="TOC2"/>
        <w:tabs>
          <w:tab w:val="left" w:pos="1134"/>
        </w:tabs>
        <w:rPr>
          <w:rFonts w:asciiTheme="minorHAnsi" w:eastAsiaTheme="minorEastAsia" w:hAnsiTheme="minorHAnsi" w:cstheme="minorBidi"/>
          <w:noProof/>
          <w:sz w:val="22"/>
          <w:szCs w:val="22"/>
          <w:lang w:eastAsia="en-AU"/>
        </w:rPr>
      </w:pPr>
      <w:r w:rsidRPr="00CD4531">
        <w:rPr>
          <w:rStyle w:val="Hyperlink"/>
          <w:noProof/>
          <w:u w:val="none"/>
        </w:rPr>
        <w:t>3.5</w:t>
      </w:r>
      <w:r w:rsidRPr="00CD4531">
        <w:rPr>
          <w:rFonts w:asciiTheme="minorHAnsi" w:eastAsiaTheme="minorEastAsia" w:hAnsiTheme="minorHAnsi" w:cstheme="minorBidi"/>
          <w:noProof/>
          <w:sz w:val="22"/>
          <w:szCs w:val="22"/>
          <w:lang w:eastAsia="en-AU"/>
        </w:rPr>
        <w:tab/>
      </w:r>
      <w:r w:rsidRPr="00CD4531">
        <w:rPr>
          <w:rStyle w:val="Hyperlink"/>
          <w:noProof/>
          <w:u w:val="none"/>
        </w:rPr>
        <w:t>Summing up</w:t>
      </w:r>
      <w:r w:rsidRPr="00CD4531">
        <w:rPr>
          <w:noProof/>
          <w:webHidden/>
        </w:rPr>
        <w:tab/>
      </w:r>
      <w:r w:rsidR="00CD4531">
        <w:rPr>
          <w:noProof/>
          <w:webHidden/>
        </w:rPr>
        <w:t>68</w:t>
      </w:r>
    </w:p>
    <w:p w:rsidR="003E7C02" w:rsidRPr="00CD4531" w:rsidRDefault="003E7C02" w:rsidP="003E7C02">
      <w:pPr>
        <w:pStyle w:val="TOC1"/>
        <w:spacing w:before="360"/>
        <w:rPr>
          <w:noProof/>
        </w:rPr>
      </w:pPr>
      <w:r w:rsidRPr="00CD4531">
        <w:rPr>
          <w:noProof/>
        </w:rPr>
        <w:t>A</w:t>
      </w:r>
      <w:r w:rsidRPr="00CD4531">
        <w:rPr>
          <w:noProof/>
        </w:rPr>
        <w:tab/>
        <w:t>A snapshot from aggregate data</w:t>
      </w:r>
      <w:r w:rsidRPr="00CD4531">
        <w:rPr>
          <w:noProof/>
        </w:rPr>
        <w:tab/>
        <w:t>71</w:t>
      </w:r>
    </w:p>
    <w:p w:rsidR="003E7C02" w:rsidRPr="00CD4531" w:rsidRDefault="003E7C02" w:rsidP="003E7C02">
      <w:pPr>
        <w:pStyle w:val="TOC1"/>
        <w:rPr>
          <w:rFonts w:asciiTheme="minorHAnsi" w:eastAsiaTheme="minorEastAsia" w:hAnsiTheme="minorHAnsi" w:cstheme="minorBidi"/>
          <w:b w:val="0"/>
          <w:noProof/>
          <w:sz w:val="22"/>
          <w:szCs w:val="22"/>
          <w:lang w:eastAsia="en-AU"/>
        </w:rPr>
      </w:pPr>
      <w:r w:rsidRPr="00CD4531">
        <w:rPr>
          <w:rStyle w:val="Hyperlink"/>
          <w:noProof/>
          <w:u w:val="none"/>
        </w:rPr>
        <w:t>B</w:t>
      </w:r>
      <w:r w:rsidRPr="00CD4531">
        <w:rPr>
          <w:rFonts w:asciiTheme="minorHAnsi" w:eastAsiaTheme="minorEastAsia" w:hAnsiTheme="minorHAnsi" w:cstheme="minorBidi"/>
          <w:b w:val="0"/>
          <w:noProof/>
          <w:sz w:val="22"/>
          <w:szCs w:val="22"/>
          <w:lang w:eastAsia="en-AU"/>
        </w:rPr>
        <w:tab/>
      </w:r>
      <w:r w:rsidRPr="00CD4531">
        <w:rPr>
          <w:rStyle w:val="Hyperlink"/>
          <w:noProof/>
          <w:u w:val="none"/>
        </w:rPr>
        <w:t>Data and methodology</w:t>
      </w:r>
      <w:r w:rsidRPr="00CD4531">
        <w:rPr>
          <w:noProof/>
          <w:webHidden/>
        </w:rPr>
        <w:tab/>
      </w:r>
      <w:r w:rsidR="00CD4531">
        <w:rPr>
          <w:noProof/>
          <w:webHidden/>
        </w:rPr>
        <w:t>85</w:t>
      </w:r>
    </w:p>
    <w:p w:rsidR="003E7C02" w:rsidRPr="00CD4531" w:rsidRDefault="003E7C02" w:rsidP="003E7C02">
      <w:pPr>
        <w:pStyle w:val="TOC1"/>
        <w:rPr>
          <w:rFonts w:eastAsiaTheme="minorEastAsia"/>
        </w:rPr>
      </w:pPr>
      <w:r w:rsidRPr="00CD4531">
        <w:rPr>
          <w:rStyle w:val="Hyperlink"/>
          <w:noProof/>
          <w:u w:val="none"/>
        </w:rPr>
        <w:t>References</w:t>
      </w:r>
      <w:r w:rsidRPr="00CD4531">
        <w:rPr>
          <w:noProof/>
          <w:webHidden/>
        </w:rPr>
        <w:tab/>
      </w:r>
      <w:r w:rsidR="00CD4531">
        <w:rPr>
          <w:noProof/>
          <w:webHidden/>
        </w:rPr>
        <w:t>127</w:t>
      </w:r>
    </w:p>
    <w:p w:rsidR="003E7C02" w:rsidRPr="003E7C02" w:rsidRDefault="003E7C02" w:rsidP="003E7C02">
      <w:pPr>
        <w:pStyle w:val="TOC2"/>
        <w:rPr>
          <w:rFonts w:eastAsiaTheme="minorEastAsia"/>
          <w:lang w:eastAsia="en-AU"/>
        </w:rPr>
      </w:pPr>
    </w:p>
    <w:p w:rsidR="00BA6890" w:rsidRPr="00BC1144" w:rsidRDefault="00BA6890" w:rsidP="00BA6890">
      <w:pPr>
        <w:pStyle w:val="BodyText"/>
        <w:sectPr w:rsidR="00BA6890" w:rsidRPr="00BC1144" w:rsidSect="0052369A">
          <w:headerReference w:type="even" r:id="rId10"/>
          <w:headerReference w:type="default" r:id="rId11"/>
          <w:footerReference w:type="even" r:id="rId12"/>
          <w:footerReference w:type="default" r:id="rId13"/>
          <w:pgSz w:w="11906" w:h="16838" w:code="9"/>
          <w:pgMar w:top="1985" w:right="1304" w:bottom="1247" w:left="1814" w:header="1701" w:footer="397" w:gutter="0"/>
          <w:pgNumType w:fmt="lowerRoman"/>
          <w:cols w:space="708"/>
          <w:docGrid w:linePitch="360"/>
        </w:sectPr>
      </w:pPr>
    </w:p>
    <w:p w:rsidR="00BA6890" w:rsidRPr="00BC1144" w:rsidRDefault="00BA6890" w:rsidP="00BA6890">
      <w:pPr>
        <w:pStyle w:val="Heading1"/>
      </w:pPr>
      <w:bookmarkStart w:id="9" w:name="_Toc10025660"/>
      <w:bookmarkStart w:id="10" w:name="_Toc10713348"/>
      <w:bookmarkStart w:id="11" w:name="_Toc10805422"/>
      <w:r w:rsidRPr="00BC1144">
        <w:lastRenderedPageBreak/>
        <w:t>Acknowledgments</w:t>
      </w:r>
      <w:bookmarkEnd w:id="9"/>
      <w:bookmarkEnd w:id="10"/>
      <w:bookmarkEnd w:id="11"/>
    </w:p>
    <w:p w:rsidR="00BA6890" w:rsidRPr="00BC1144" w:rsidRDefault="00BA6890" w:rsidP="00BA6890">
      <w:pPr>
        <w:pStyle w:val="BodyText"/>
      </w:pPr>
      <w:r w:rsidRPr="00BC1144">
        <w:t>The Commission is grateful to all those who have given their time to share their experiences and expertise in support of this research paper.</w:t>
      </w:r>
    </w:p>
    <w:p w:rsidR="00BA6890" w:rsidRPr="00BC1144" w:rsidRDefault="00BA6890" w:rsidP="00BA6890">
      <w:pPr>
        <w:pStyle w:val="BodyText"/>
        <w:rPr>
          <w:spacing w:val="2"/>
        </w:rPr>
      </w:pPr>
      <w:r w:rsidRPr="00BC1144">
        <w:rPr>
          <w:spacing w:val="2"/>
        </w:rPr>
        <w:t xml:space="preserve">The Commission wishes to particularly thank our external referee Professor Robert Breunig (Crawford School of Public policy, Australian National University) and Somayeh Parvazian and </w:t>
      </w:r>
      <w:r w:rsidRPr="00BC1144">
        <w:rPr>
          <w:color w:val="212121"/>
          <w:spacing w:val="2"/>
          <w:lang w:val="en-US"/>
        </w:rPr>
        <w:t xml:space="preserve">Ronnie Semo </w:t>
      </w:r>
      <w:r w:rsidRPr="00BC1144">
        <w:rPr>
          <w:spacing w:val="2"/>
        </w:rPr>
        <w:t xml:space="preserve">(National Centre for Vocation Education and Research) for their helpful feedback. The Commission also wishes to thank Dom English, Robert Latta, Andrew Taylor, Drew Menzies-Mcvey (Department of Education and Training), Andrew Norton and Ittima </w:t>
      </w:r>
      <w:r w:rsidRPr="00BC1144">
        <w:rPr>
          <w:spacing w:val="2"/>
          <w:szCs w:val="24"/>
        </w:rPr>
        <w:t>Cherastidtham</w:t>
      </w:r>
      <w:r w:rsidRPr="00BC1144">
        <w:rPr>
          <w:spacing w:val="2"/>
        </w:rPr>
        <w:t xml:space="preserve"> (Grattan Institute), Tue Gorgens (Australian National University) and Chris Ryan (Melbourne Institute of Applied Economic and Social Research) for their advice and input into the project. Within the Commission, the team wishes to thank Ralph Lattimore, Philip Harslett, Henry McMillan and Danielle Venn for their advice, internal checks and guidance.</w:t>
      </w:r>
    </w:p>
    <w:p w:rsidR="00BA6890" w:rsidRPr="00BC1144" w:rsidRDefault="00BA6890" w:rsidP="00BA6890">
      <w:pPr>
        <w:pStyle w:val="BodyText"/>
      </w:pPr>
      <w:r w:rsidRPr="00BC1144">
        <w:t xml:space="preserve">This paper was produced by Ben Dolman, </w:t>
      </w:r>
      <w:r w:rsidR="00EF566F" w:rsidRPr="00BC1144">
        <w:t xml:space="preserve">Marco Hatt, </w:t>
      </w:r>
      <w:r w:rsidRPr="00BC1144">
        <w:t>Ishita Acharyya</w:t>
      </w:r>
      <w:r w:rsidR="00EF566F" w:rsidRPr="00BC1144">
        <w:t xml:space="preserve"> and </w:t>
      </w:r>
      <w:r w:rsidRPr="00BC1144">
        <w:t>Max Gillespie. The study was overseen by Chair Michael Brennan.</w:t>
      </w:r>
    </w:p>
    <w:p w:rsidR="00BA6890" w:rsidRPr="00BC1144" w:rsidRDefault="00BA6890" w:rsidP="00BA6890">
      <w:pPr>
        <w:pStyle w:val="BodyText"/>
        <w:rPr>
          <w:spacing w:val="-2"/>
        </w:rPr>
      </w:pPr>
      <w:r w:rsidRPr="00BC1144">
        <w:rPr>
          <w:spacing w:val="-2"/>
        </w:rPr>
        <w:t>This paper uses survey data from the Longitudinal Survey of Australian Youth (LSAY). LSAY is managed and funded by the Australian Government Department of Education and Training (DET), with support from state and territory governments. The </w:t>
      </w:r>
      <w:r w:rsidRPr="00BC1144">
        <w:rPr>
          <w:rStyle w:val="Hyperlink"/>
          <w:spacing w:val="-2"/>
          <w:u w:val="none"/>
        </w:rPr>
        <w:t>National Centre for Vocational Education Research</w:t>
      </w:r>
      <w:r w:rsidRPr="00BC1144">
        <w:rPr>
          <w:spacing w:val="-2"/>
        </w:rPr>
        <w:t xml:space="preserve"> (NCVER) provides analytical, reporting and publishing services for LSAY. Between 1995 and 2007, these services were provided by the Australian Council for Educational Research (ACER). The findings and views reported in this paper, however, are those of the Commission and should not be attributed to either DET or the NCVER. </w:t>
      </w:r>
    </w:p>
    <w:p w:rsidR="00BA6890" w:rsidRPr="00BC1144" w:rsidRDefault="00BA6890" w:rsidP="00BA6890">
      <w:pPr>
        <w:pStyle w:val="BodyText"/>
        <w:rPr>
          <w:lang w:eastAsia="en-US"/>
        </w:rPr>
      </w:pPr>
    </w:p>
    <w:p w:rsidR="00BA6890" w:rsidRPr="00BC1144" w:rsidRDefault="00BA6890" w:rsidP="00BA6890">
      <w:pPr>
        <w:pStyle w:val="BodyText"/>
        <w:sectPr w:rsidR="00BA6890" w:rsidRPr="00BC1144" w:rsidSect="0052369A">
          <w:headerReference w:type="even" r:id="rId14"/>
          <w:headerReference w:type="default" r:id="rId15"/>
          <w:footerReference w:type="even" r:id="rId16"/>
          <w:footerReference w:type="default" r:id="rId17"/>
          <w:pgSz w:w="11906" w:h="16838" w:code="9"/>
          <w:pgMar w:top="1985" w:right="1304" w:bottom="1247" w:left="1814" w:header="1701" w:footer="397" w:gutter="0"/>
          <w:pgNumType w:fmt="lowerRoman"/>
          <w:cols w:space="708"/>
          <w:docGrid w:linePitch="360"/>
        </w:sectPr>
      </w:pPr>
    </w:p>
    <w:p w:rsidR="00BA6890" w:rsidRPr="00BC1144" w:rsidRDefault="00BA6890" w:rsidP="00BA6890">
      <w:pPr>
        <w:pStyle w:val="Heading1"/>
      </w:pPr>
      <w:bookmarkStart w:id="12" w:name="EndContents"/>
      <w:bookmarkStart w:id="13" w:name="_Toc10025661"/>
      <w:bookmarkStart w:id="14" w:name="_Toc10713349"/>
      <w:bookmarkStart w:id="15" w:name="_Toc10805423"/>
      <w:bookmarkEnd w:id="12"/>
      <w:r w:rsidRPr="00BC1144">
        <w:lastRenderedPageBreak/>
        <w:t>Abbreviations</w:t>
      </w:r>
      <w:bookmarkEnd w:id="13"/>
      <w:bookmarkEnd w:id="14"/>
      <w:bookmarkEnd w:id="15"/>
    </w:p>
    <w:tbl>
      <w:tblPr>
        <w:tblW w:w="0" w:type="auto"/>
        <w:tblCellMar>
          <w:left w:w="0" w:type="dxa"/>
          <w:right w:w="0" w:type="dxa"/>
        </w:tblCellMar>
        <w:tblLook w:val="0000" w:firstRow="0" w:lastRow="0" w:firstColumn="0" w:lastColumn="0" w:noHBand="0" w:noVBand="0"/>
      </w:tblPr>
      <w:tblGrid>
        <w:gridCol w:w="1985"/>
        <w:gridCol w:w="6804"/>
      </w:tblGrid>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ABS</w:t>
            </w:r>
          </w:p>
        </w:tc>
        <w:tc>
          <w:tcPr>
            <w:tcW w:w="6804" w:type="dxa"/>
            <w:vAlign w:val="center"/>
          </w:tcPr>
          <w:p w:rsidR="00BA6890" w:rsidRPr="00BC1144" w:rsidRDefault="00BA6890" w:rsidP="0052369A">
            <w:pPr>
              <w:pStyle w:val="BodyText"/>
              <w:spacing w:before="80"/>
              <w:ind w:left="227" w:right="6"/>
            </w:pPr>
            <w:r w:rsidRPr="00BC1144">
              <w:rPr>
                <w:color w:val="000000"/>
              </w:rPr>
              <w:t>Australian Bureau of Statistics</w:t>
            </w:r>
          </w:p>
        </w:tc>
      </w:tr>
      <w:tr w:rsidR="00BA6890" w:rsidRPr="00BC1144" w:rsidTr="0052369A">
        <w:tc>
          <w:tcPr>
            <w:tcW w:w="1985" w:type="dxa"/>
            <w:vAlign w:val="center"/>
          </w:tcPr>
          <w:p w:rsidR="00BA6890" w:rsidRPr="00BC1144" w:rsidRDefault="00BA6890" w:rsidP="0052369A">
            <w:pPr>
              <w:pStyle w:val="BodyText"/>
              <w:spacing w:before="80"/>
              <w:ind w:right="6"/>
              <w:rPr>
                <w:color w:val="000000"/>
              </w:rPr>
            </w:pPr>
            <w:r w:rsidRPr="00BC1144">
              <w:rPr>
                <w:color w:val="000000"/>
              </w:rPr>
              <w:t>ANZSCO</w:t>
            </w:r>
          </w:p>
        </w:tc>
        <w:tc>
          <w:tcPr>
            <w:tcW w:w="6804" w:type="dxa"/>
            <w:vAlign w:val="center"/>
          </w:tcPr>
          <w:p w:rsidR="00BA6890" w:rsidRPr="00BC1144" w:rsidRDefault="00BA6890" w:rsidP="0052369A">
            <w:pPr>
              <w:pStyle w:val="BodyText"/>
              <w:spacing w:before="80"/>
              <w:ind w:left="227" w:right="6"/>
              <w:rPr>
                <w:color w:val="000000"/>
              </w:rPr>
            </w:pPr>
            <w:r w:rsidRPr="00BC1144">
              <w:rPr>
                <w:color w:val="000000"/>
              </w:rPr>
              <w:t>Australian and New Zealand Standard Classifications of Occupations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ASGS</w:t>
            </w:r>
          </w:p>
        </w:tc>
        <w:tc>
          <w:tcPr>
            <w:tcW w:w="6804" w:type="dxa"/>
            <w:vAlign w:val="center"/>
          </w:tcPr>
          <w:p w:rsidR="00BA6890" w:rsidRPr="00BC1144" w:rsidRDefault="00BA6890" w:rsidP="0052369A">
            <w:pPr>
              <w:pStyle w:val="BodyText"/>
              <w:spacing w:before="80"/>
              <w:ind w:left="227" w:right="6"/>
            </w:pPr>
            <w:r w:rsidRPr="00BC1144">
              <w:rPr>
                <w:color w:val="000000"/>
              </w:rPr>
              <w:t>Australian Statistical Geography Standard</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ATAR</w:t>
            </w:r>
          </w:p>
        </w:tc>
        <w:tc>
          <w:tcPr>
            <w:tcW w:w="6804" w:type="dxa"/>
            <w:vAlign w:val="center"/>
          </w:tcPr>
          <w:p w:rsidR="00BA6890" w:rsidRPr="00BC1144" w:rsidRDefault="00BA6890" w:rsidP="00EF566F">
            <w:pPr>
              <w:pStyle w:val="BodyText"/>
              <w:spacing w:before="80"/>
              <w:ind w:left="227" w:right="6"/>
            </w:pPr>
            <w:r w:rsidRPr="00BC1144">
              <w:rPr>
                <w:color w:val="000000"/>
              </w:rPr>
              <w:t>Australian Tertiary Admission Rank</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ATN</w:t>
            </w:r>
          </w:p>
        </w:tc>
        <w:tc>
          <w:tcPr>
            <w:tcW w:w="6804" w:type="dxa"/>
            <w:vAlign w:val="center"/>
          </w:tcPr>
          <w:p w:rsidR="00BA6890" w:rsidRPr="00BC1144" w:rsidRDefault="00BA6890" w:rsidP="0052369A">
            <w:pPr>
              <w:pStyle w:val="BodyText"/>
              <w:spacing w:before="80"/>
              <w:ind w:left="227" w:right="6"/>
            </w:pPr>
            <w:r w:rsidRPr="00BC1144">
              <w:rPr>
                <w:color w:val="000000"/>
              </w:rPr>
              <w:t>Australian Technology Network of Universities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CGS</w:t>
            </w:r>
          </w:p>
        </w:tc>
        <w:tc>
          <w:tcPr>
            <w:tcW w:w="6804" w:type="dxa"/>
            <w:vAlign w:val="center"/>
          </w:tcPr>
          <w:p w:rsidR="00BA6890" w:rsidRPr="00BC1144" w:rsidRDefault="00BA6890" w:rsidP="0052369A">
            <w:pPr>
              <w:pStyle w:val="BodyText"/>
              <w:spacing w:before="80"/>
              <w:ind w:left="227" w:right="6"/>
            </w:pPr>
            <w:r w:rsidRPr="00BC1144">
              <w:rPr>
                <w:color w:val="000000"/>
              </w:rPr>
              <w:t>Commonwealth Grants Scheme</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DDS</w:t>
            </w:r>
          </w:p>
        </w:tc>
        <w:tc>
          <w:tcPr>
            <w:tcW w:w="6804" w:type="dxa"/>
            <w:vAlign w:val="center"/>
          </w:tcPr>
          <w:p w:rsidR="00BA6890" w:rsidRPr="00BC1144" w:rsidRDefault="00BA6890" w:rsidP="0052369A">
            <w:pPr>
              <w:pStyle w:val="BodyText"/>
              <w:spacing w:before="80"/>
              <w:ind w:left="227" w:right="6"/>
            </w:pPr>
            <w:r w:rsidRPr="00BC1144">
              <w:rPr>
                <w:color w:val="000000"/>
              </w:rPr>
              <w:t>Demand Driven System</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DEEWR</w:t>
            </w:r>
          </w:p>
        </w:tc>
        <w:tc>
          <w:tcPr>
            <w:tcW w:w="6804" w:type="dxa"/>
            <w:vAlign w:val="center"/>
          </w:tcPr>
          <w:p w:rsidR="00BA6890" w:rsidRPr="00BC1144" w:rsidRDefault="00BA6890" w:rsidP="0052369A">
            <w:pPr>
              <w:pStyle w:val="BodyText"/>
              <w:spacing w:before="80"/>
              <w:ind w:left="227" w:right="6"/>
            </w:pPr>
            <w:r w:rsidRPr="00BC1144">
              <w:rPr>
                <w:color w:val="000000"/>
              </w:rPr>
              <w:t>Department of Education, Employment and Workplace Relations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DET</w:t>
            </w:r>
          </w:p>
        </w:tc>
        <w:tc>
          <w:tcPr>
            <w:tcW w:w="6804" w:type="dxa"/>
            <w:vAlign w:val="center"/>
          </w:tcPr>
          <w:p w:rsidR="00BA6890" w:rsidRPr="00BC1144" w:rsidRDefault="00BA6890" w:rsidP="0052369A">
            <w:pPr>
              <w:pStyle w:val="BodyText"/>
              <w:spacing w:before="80"/>
              <w:ind w:left="227" w:right="6"/>
            </w:pPr>
            <w:r w:rsidRPr="00BC1144">
              <w:rPr>
                <w:color w:val="000000"/>
              </w:rPr>
              <w:t>Department of Education and Training</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GCA</w:t>
            </w:r>
          </w:p>
        </w:tc>
        <w:tc>
          <w:tcPr>
            <w:tcW w:w="6804" w:type="dxa"/>
            <w:vAlign w:val="center"/>
          </w:tcPr>
          <w:p w:rsidR="00BA6890" w:rsidRPr="00BC1144" w:rsidRDefault="00BA6890" w:rsidP="0052369A">
            <w:pPr>
              <w:pStyle w:val="BodyText"/>
              <w:spacing w:before="80"/>
              <w:ind w:left="227" w:right="6"/>
            </w:pPr>
            <w:r w:rsidRPr="00BC1144">
              <w:rPr>
                <w:color w:val="000000"/>
              </w:rPr>
              <w:t>Graduate Careers Australia</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Go8</w:t>
            </w:r>
          </w:p>
        </w:tc>
        <w:tc>
          <w:tcPr>
            <w:tcW w:w="6804" w:type="dxa"/>
            <w:vAlign w:val="center"/>
          </w:tcPr>
          <w:p w:rsidR="00BA6890" w:rsidRPr="00BC1144" w:rsidRDefault="00BA6890" w:rsidP="0052369A">
            <w:pPr>
              <w:pStyle w:val="BodyText"/>
              <w:spacing w:before="80"/>
              <w:ind w:left="227" w:right="6"/>
            </w:pPr>
            <w:r w:rsidRPr="00BC1144">
              <w:rPr>
                <w:color w:val="000000"/>
              </w:rPr>
              <w:t>Group of Eight Universities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HECS</w:t>
            </w:r>
          </w:p>
        </w:tc>
        <w:tc>
          <w:tcPr>
            <w:tcW w:w="6804" w:type="dxa"/>
            <w:vAlign w:val="center"/>
          </w:tcPr>
          <w:p w:rsidR="00BA6890" w:rsidRPr="00BC1144" w:rsidRDefault="00BA6890" w:rsidP="0052369A">
            <w:pPr>
              <w:pStyle w:val="BodyText"/>
              <w:spacing w:before="80"/>
              <w:ind w:left="227" w:right="6"/>
            </w:pPr>
            <w:r w:rsidRPr="00BC1144">
              <w:rPr>
                <w:color w:val="000000"/>
              </w:rPr>
              <w:t>Higher Education Contribution Scheme</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HECS-HELP</w:t>
            </w:r>
          </w:p>
        </w:tc>
        <w:tc>
          <w:tcPr>
            <w:tcW w:w="6804" w:type="dxa"/>
            <w:vAlign w:val="center"/>
          </w:tcPr>
          <w:p w:rsidR="00BA6890" w:rsidRPr="00BC1144" w:rsidRDefault="00BA6890" w:rsidP="0052369A">
            <w:pPr>
              <w:pStyle w:val="BodyText"/>
              <w:spacing w:before="80"/>
              <w:ind w:left="227" w:right="6"/>
            </w:pPr>
            <w:r w:rsidRPr="00BC1144">
              <w:rPr>
                <w:color w:val="000000"/>
              </w:rPr>
              <w:t>Higher Education Contribution Scheme – Higher Education Loan Programme</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HEPPP</w:t>
            </w:r>
          </w:p>
        </w:tc>
        <w:tc>
          <w:tcPr>
            <w:tcW w:w="6804" w:type="dxa"/>
            <w:vAlign w:val="center"/>
          </w:tcPr>
          <w:p w:rsidR="00BA6890" w:rsidRPr="00BC1144" w:rsidRDefault="00BA6890" w:rsidP="0052369A">
            <w:pPr>
              <w:pStyle w:val="BodyText"/>
              <w:spacing w:before="80"/>
              <w:ind w:left="227" w:right="6"/>
            </w:pPr>
            <w:r w:rsidRPr="00BC1144">
              <w:rPr>
                <w:color w:val="000000"/>
              </w:rPr>
              <w:t>Higher Education Participation and Partnerships Program</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HESP</w:t>
            </w:r>
          </w:p>
        </w:tc>
        <w:tc>
          <w:tcPr>
            <w:tcW w:w="6804" w:type="dxa"/>
            <w:vAlign w:val="center"/>
          </w:tcPr>
          <w:p w:rsidR="00BA6890" w:rsidRPr="00BC1144" w:rsidRDefault="00BA6890" w:rsidP="0052369A">
            <w:pPr>
              <w:pStyle w:val="BodyText"/>
              <w:spacing w:before="80"/>
              <w:ind w:left="227" w:right="6"/>
            </w:pPr>
            <w:r w:rsidRPr="00BC1144">
              <w:rPr>
                <w:color w:val="000000"/>
              </w:rPr>
              <w:t>Higher Education Standards Panel</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IRU</w:t>
            </w:r>
          </w:p>
        </w:tc>
        <w:tc>
          <w:tcPr>
            <w:tcW w:w="6804" w:type="dxa"/>
            <w:vAlign w:val="center"/>
          </w:tcPr>
          <w:p w:rsidR="00BA6890" w:rsidRPr="00BC1144" w:rsidRDefault="00BA6890" w:rsidP="0052369A">
            <w:pPr>
              <w:pStyle w:val="BodyText"/>
              <w:spacing w:before="80"/>
              <w:ind w:left="227" w:right="6"/>
            </w:pPr>
            <w:r w:rsidRPr="00BC1144">
              <w:rPr>
                <w:color w:val="000000"/>
              </w:rPr>
              <w:t>Innovative Research Universities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ISCED</w:t>
            </w:r>
          </w:p>
        </w:tc>
        <w:tc>
          <w:tcPr>
            <w:tcW w:w="6804" w:type="dxa"/>
            <w:vAlign w:val="center"/>
          </w:tcPr>
          <w:p w:rsidR="00BA6890" w:rsidRPr="00BC1144" w:rsidRDefault="00BA6890" w:rsidP="0052369A">
            <w:pPr>
              <w:pStyle w:val="BodyText"/>
              <w:spacing w:before="80"/>
              <w:ind w:left="227" w:right="6"/>
            </w:pPr>
            <w:r w:rsidRPr="00BC1144">
              <w:rPr>
                <w:color w:val="000000"/>
              </w:rPr>
              <w:t>International Standard Classification of Education</w:t>
            </w:r>
          </w:p>
        </w:tc>
      </w:tr>
      <w:tr w:rsidR="00BA6890" w:rsidRPr="00BC1144" w:rsidTr="0052369A">
        <w:tc>
          <w:tcPr>
            <w:tcW w:w="1985" w:type="dxa"/>
            <w:vAlign w:val="center"/>
          </w:tcPr>
          <w:p w:rsidR="00BA6890" w:rsidRPr="00BC1144" w:rsidRDefault="00BA6890" w:rsidP="0052369A">
            <w:pPr>
              <w:pStyle w:val="BodyText"/>
              <w:spacing w:before="80"/>
              <w:ind w:right="6"/>
              <w:rPr>
                <w:color w:val="000000"/>
              </w:rPr>
            </w:pPr>
            <w:r w:rsidRPr="00BC1144">
              <w:rPr>
                <w:color w:val="000000"/>
              </w:rPr>
              <w:t>ISEI</w:t>
            </w:r>
          </w:p>
        </w:tc>
        <w:tc>
          <w:tcPr>
            <w:tcW w:w="6804" w:type="dxa"/>
            <w:vAlign w:val="center"/>
          </w:tcPr>
          <w:p w:rsidR="00BA6890" w:rsidRPr="00BC1144" w:rsidRDefault="00BA6890" w:rsidP="0052369A">
            <w:pPr>
              <w:pStyle w:val="BodyText"/>
              <w:spacing w:before="80"/>
              <w:ind w:left="227" w:right="6"/>
              <w:rPr>
                <w:color w:val="000000"/>
              </w:rPr>
            </w:pPr>
            <w:r w:rsidRPr="00BC1144">
              <w:rPr>
                <w:color w:val="000000"/>
              </w:rPr>
              <w:t>International Socio-Economic Index of Occupation Status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IT</w:t>
            </w:r>
          </w:p>
        </w:tc>
        <w:tc>
          <w:tcPr>
            <w:tcW w:w="6804" w:type="dxa"/>
            <w:vAlign w:val="center"/>
          </w:tcPr>
          <w:p w:rsidR="00BA6890" w:rsidRPr="00BC1144" w:rsidRDefault="00BA6890" w:rsidP="0052369A">
            <w:pPr>
              <w:pStyle w:val="BodyText"/>
              <w:spacing w:before="80"/>
              <w:ind w:left="227" w:right="6"/>
            </w:pPr>
            <w:r w:rsidRPr="00BC1144">
              <w:rPr>
                <w:color w:val="000000"/>
              </w:rPr>
              <w:t>Information Technology</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LSAY</w:t>
            </w:r>
          </w:p>
        </w:tc>
        <w:tc>
          <w:tcPr>
            <w:tcW w:w="6804" w:type="dxa"/>
            <w:vAlign w:val="center"/>
          </w:tcPr>
          <w:p w:rsidR="00BA6890" w:rsidRPr="00BC1144" w:rsidRDefault="00BA6890" w:rsidP="0052369A">
            <w:pPr>
              <w:pStyle w:val="BodyText"/>
              <w:spacing w:before="80"/>
              <w:ind w:left="227" w:right="6"/>
            </w:pPr>
            <w:r w:rsidRPr="00BC1144">
              <w:rPr>
                <w:color w:val="000000"/>
              </w:rPr>
              <w:t>Longitudinal Survey</w:t>
            </w:r>
            <w:r w:rsidR="00EF566F" w:rsidRPr="00BC1144">
              <w:rPr>
                <w:color w:val="000000"/>
              </w:rPr>
              <w:t>s</w:t>
            </w:r>
            <w:r w:rsidRPr="00BC1144">
              <w:rPr>
                <w:color w:val="000000"/>
              </w:rPr>
              <w:t xml:space="preserve"> of Australian Youth</w:t>
            </w:r>
          </w:p>
        </w:tc>
      </w:tr>
      <w:tr w:rsidR="00BA6890" w:rsidRPr="00BC1144" w:rsidTr="0052369A">
        <w:tc>
          <w:tcPr>
            <w:tcW w:w="1985" w:type="dxa"/>
            <w:vAlign w:val="center"/>
          </w:tcPr>
          <w:p w:rsidR="00BA6890" w:rsidRPr="00BC1144" w:rsidRDefault="00BA6890" w:rsidP="0052369A">
            <w:pPr>
              <w:pStyle w:val="BodyText"/>
              <w:spacing w:before="80"/>
              <w:ind w:right="6"/>
              <w:rPr>
                <w:color w:val="000000"/>
              </w:rPr>
            </w:pPr>
            <w:r w:rsidRPr="00BC1144">
              <w:rPr>
                <w:color w:val="000000"/>
              </w:rPr>
              <w:t>MAR</w:t>
            </w:r>
          </w:p>
        </w:tc>
        <w:tc>
          <w:tcPr>
            <w:tcW w:w="6804" w:type="dxa"/>
            <w:vAlign w:val="center"/>
          </w:tcPr>
          <w:p w:rsidR="00BA6890" w:rsidRPr="00BC1144" w:rsidRDefault="00BA6890" w:rsidP="0052369A">
            <w:pPr>
              <w:pStyle w:val="BodyText"/>
              <w:spacing w:before="80"/>
              <w:ind w:left="227" w:right="6"/>
              <w:rPr>
                <w:color w:val="000000"/>
              </w:rPr>
            </w:pPr>
            <w:r w:rsidRPr="00BC1144">
              <w:rPr>
                <w:color w:val="000000"/>
              </w:rPr>
              <w:t>Missing At Random</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szCs w:val="18"/>
              </w:rPr>
              <w:t>MCEETYA</w:t>
            </w:r>
          </w:p>
        </w:tc>
        <w:tc>
          <w:tcPr>
            <w:tcW w:w="6804" w:type="dxa"/>
            <w:vAlign w:val="center"/>
          </w:tcPr>
          <w:p w:rsidR="00BA6890" w:rsidRPr="00BC1144" w:rsidRDefault="00BA6890" w:rsidP="0052369A">
            <w:pPr>
              <w:pStyle w:val="BodyText"/>
              <w:spacing w:before="80"/>
              <w:ind w:left="227" w:right="6"/>
            </w:pPr>
            <w:r w:rsidRPr="00BC1144">
              <w:rPr>
                <w:color w:val="000000"/>
              </w:rPr>
              <w:t>The Ministerial Council on Education, Employment, Training and Youth Affairs</w:t>
            </w:r>
          </w:p>
        </w:tc>
      </w:tr>
      <w:tr w:rsidR="00BA6890" w:rsidRPr="00BC1144" w:rsidTr="0052369A">
        <w:tc>
          <w:tcPr>
            <w:tcW w:w="1985" w:type="dxa"/>
            <w:vAlign w:val="center"/>
          </w:tcPr>
          <w:p w:rsidR="00BA6890" w:rsidRPr="00BC1144" w:rsidRDefault="00BA6890" w:rsidP="0052369A">
            <w:pPr>
              <w:pStyle w:val="BodyText"/>
              <w:spacing w:before="80"/>
              <w:ind w:right="6"/>
              <w:rPr>
                <w:color w:val="000000"/>
                <w:szCs w:val="18"/>
              </w:rPr>
            </w:pPr>
            <w:r w:rsidRPr="00BC1144">
              <w:rPr>
                <w:color w:val="000000"/>
                <w:szCs w:val="18"/>
              </w:rPr>
              <w:t>MICE</w:t>
            </w:r>
          </w:p>
        </w:tc>
        <w:tc>
          <w:tcPr>
            <w:tcW w:w="6804" w:type="dxa"/>
            <w:vAlign w:val="center"/>
          </w:tcPr>
          <w:p w:rsidR="00BA6890" w:rsidRPr="00BC1144" w:rsidRDefault="00BA6890" w:rsidP="0052369A">
            <w:pPr>
              <w:pStyle w:val="BodyText"/>
              <w:spacing w:before="80"/>
              <w:ind w:left="227" w:right="6"/>
              <w:rPr>
                <w:color w:val="000000"/>
              </w:rPr>
            </w:pPr>
            <w:r w:rsidRPr="00BC1144">
              <w:rPr>
                <w:color w:val="000000"/>
              </w:rPr>
              <w:t>Multiple Imputation through Chained Equations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MOOCs</w:t>
            </w:r>
          </w:p>
        </w:tc>
        <w:tc>
          <w:tcPr>
            <w:tcW w:w="6804" w:type="dxa"/>
            <w:vAlign w:val="center"/>
          </w:tcPr>
          <w:p w:rsidR="00BA6890" w:rsidRPr="00BC1144" w:rsidRDefault="00BA6890" w:rsidP="0052369A">
            <w:pPr>
              <w:pStyle w:val="BodyText"/>
              <w:spacing w:before="80"/>
              <w:ind w:left="227" w:right="6"/>
            </w:pPr>
            <w:r w:rsidRPr="00BC1144">
              <w:rPr>
                <w:color w:val="000000"/>
              </w:rPr>
              <w:t>Massive Open Online Courses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MYEFO</w:t>
            </w:r>
          </w:p>
        </w:tc>
        <w:tc>
          <w:tcPr>
            <w:tcW w:w="6804" w:type="dxa"/>
            <w:vAlign w:val="center"/>
          </w:tcPr>
          <w:p w:rsidR="00BA6890" w:rsidRPr="00BC1144" w:rsidRDefault="00BA6890" w:rsidP="0052369A">
            <w:pPr>
              <w:pStyle w:val="BodyText"/>
              <w:spacing w:before="80"/>
              <w:ind w:left="227" w:right="6"/>
            </w:pPr>
            <w:r w:rsidRPr="00BC1144">
              <w:rPr>
                <w:color w:val="000000"/>
              </w:rPr>
              <w:t>Mid-Year Economic and Fiscal Outlook</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NCVER</w:t>
            </w:r>
          </w:p>
        </w:tc>
        <w:tc>
          <w:tcPr>
            <w:tcW w:w="6804" w:type="dxa"/>
            <w:vAlign w:val="center"/>
          </w:tcPr>
          <w:p w:rsidR="00BA6890" w:rsidRPr="00BC1144" w:rsidRDefault="00BA6890" w:rsidP="00EF566F">
            <w:pPr>
              <w:pStyle w:val="BodyText"/>
              <w:spacing w:before="80"/>
              <w:ind w:left="227" w:right="6"/>
            </w:pPr>
            <w:r w:rsidRPr="00BC1144">
              <w:rPr>
                <w:color w:val="000000"/>
              </w:rPr>
              <w:t xml:space="preserve">The National Centre for Vocational Education </w:t>
            </w:r>
            <w:r w:rsidR="00EF566F" w:rsidRPr="00BC1144">
              <w:rPr>
                <w:color w:val="000000"/>
              </w:rPr>
              <w:t>Research</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NESB</w:t>
            </w:r>
          </w:p>
        </w:tc>
        <w:tc>
          <w:tcPr>
            <w:tcW w:w="6804" w:type="dxa"/>
            <w:vAlign w:val="center"/>
          </w:tcPr>
          <w:p w:rsidR="00BA6890" w:rsidRPr="00BC1144" w:rsidRDefault="00BA6890" w:rsidP="0052369A">
            <w:pPr>
              <w:pStyle w:val="BodyText"/>
              <w:spacing w:before="80"/>
              <w:ind w:left="227" w:right="6"/>
            </w:pPr>
            <w:r w:rsidRPr="00BC1144">
              <w:rPr>
                <w:color w:val="000000"/>
              </w:rPr>
              <w:t>Non-English Speaking Background</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OECD</w:t>
            </w:r>
          </w:p>
        </w:tc>
        <w:tc>
          <w:tcPr>
            <w:tcW w:w="6804" w:type="dxa"/>
            <w:vAlign w:val="center"/>
          </w:tcPr>
          <w:p w:rsidR="00BA6890" w:rsidRPr="00BC1144" w:rsidRDefault="00BA6890" w:rsidP="0052369A">
            <w:pPr>
              <w:pStyle w:val="BodyText"/>
              <w:spacing w:before="80"/>
              <w:ind w:left="227" w:right="6"/>
            </w:pPr>
            <w:r w:rsidRPr="00BC1144">
              <w:rPr>
                <w:color w:val="000000"/>
              </w:rPr>
              <w:t>Organisation for Economic Co-operation and Development</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lastRenderedPageBreak/>
              <w:t>PC</w:t>
            </w:r>
          </w:p>
        </w:tc>
        <w:tc>
          <w:tcPr>
            <w:tcW w:w="6804" w:type="dxa"/>
            <w:vAlign w:val="center"/>
          </w:tcPr>
          <w:p w:rsidR="00BA6890" w:rsidRPr="00BC1144" w:rsidRDefault="00BA6890" w:rsidP="0052369A">
            <w:pPr>
              <w:pStyle w:val="BodyText"/>
              <w:spacing w:before="80"/>
              <w:ind w:left="227" w:right="6"/>
            </w:pPr>
            <w:r w:rsidRPr="00BC1144">
              <w:rPr>
                <w:color w:val="000000"/>
              </w:rPr>
              <w:t>Productivity Commission</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PISA</w:t>
            </w:r>
          </w:p>
        </w:tc>
        <w:tc>
          <w:tcPr>
            <w:tcW w:w="6804" w:type="dxa"/>
            <w:vAlign w:val="center"/>
          </w:tcPr>
          <w:p w:rsidR="00BA6890" w:rsidRPr="00BC1144" w:rsidRDefault="00BA6890" w:rsidP="0052369A">
            <w:pPr>
              <w:pStyle w:val="BodyText"/>
              <w:spacing w:before="80"/>
              <w:ind w:left="227" w:right="6"/>
            </w:pPr>
            <w:r w:rsidRPr="00BC1144">
              <w:rPr>
                <w:color w:val="000000"/>
              </w:rPr>
              <w:t>Programme of International Student Assessment</w:t>
            </w:r>
          </w:p>
        </w:tc>
      </w:tr>
      <w:tr w:rsidR="00BA6890" w:rsidRPr="00BC1144" w:rsidTr="0052369A">
        <w:tc>
          <w:tcPr>
            <w:tcW w:w="1985" w:type="dxa"/>
            <w:vAlign w:val="center"/>
          </w:tcPr>
          <w:p w:rsidR="00BA6890" w:rsidRPr="00BC1144" w:rsidRDefault="00BA6890" w:rsidP="0052369A">
            <w:pPr>
              <w:pStyle w:val="BodyText"/>
              <w:spacing w:before="80"/>
              <w:ind w:right="6"/>
              <w:rPr>
                <w:color w:val="000000"/>
              </w:rPr>
            </w:pPr>
            <w:r w:rsidRPr="00BC1144">
              <w:rPr>
                <w:color w:val="000000"/>
              </w:rPr>
              <w:t>PMM</w:t>
            </w:r>
          </w:p>
        </w:tc>
        <w:tc>
          <w:tcPr>
            <w:tcW w:w="6804" w:type="dxa"/>
            <w:vAlign w:val="center"/>
          </w:tcPr>
          <w:p w:rsidR="00BA6890" w:rsidRPr="00BC1144" w:rsidRDefault="00BA6890" w:rsidP="0052369A">
            <w:pPr>
              <w:pStyle w:val="BodyText"/>
              <w:spacing w:before="80"/>
              <w:ind w:left="227" w:right="6"/>
              <w:rPr>
                <w:color w:val="000000"/>
              </w:rPr>
            </w:pPr>
            <w:r w:rsidRPr="00BC1144">
              <w:rPr>
                <w:color w:val="000000"/>
              </w:rPr>
              <w:t>Predictive Means Matching</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QILT</w:t>
            </w:r>
          </w:p>
        </w:tc>
        <w:tc>
          <w:tcPr>
            <w:tcW w:w="6804" w:type="dxa"/>
            <w:vAlign w:val="center"/>
          </w:tcPr>
          <w:p w:rsidR="00BA6890" w:rsidRPr="00BC1144" w:rsidRDefault="00BA6890" w:rsidP="0052369A">
            <w:pPr>
              <w:pStyle w:val="BodyText"/>
              <w:spacing w:before="80"/>
              <w:ind w:left="227" w:right="6"/>
            </w:pPr>
            <w:r w:rsidRPr="00BC1144">
              <w:rPr>
                <w:color w:val="000000"/>
              </w:rPr>
              <w:t>Quality Indicators for Learning and Teaching</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szCs w:val="18"/>
              </w:rPr>
              <w:t>RRMA</w:t>
            </w:r>
          </w:p>
        </w:tc>
        <w:tc>
          <w:tcPr>
            <w:tcW w:w="6804" w:type="dxa"/>
            <w:vAlign w:val="center"/>
          </w:tcPr>
          <w:p w:rsidR="00BA6890" w:rsidRPr="00BC1144" w:rsidRDefault="00BA6890" w:rsidP="0052369A">
            <w:pPr>
              <w:pStyle w:val="BodyText"/>
              <w:spacing w:before="80"/>
              <w:ind w:left="227" w:right="6"/>
            </w:pPr>
            <w:r w:rsidRPr="00BC1144">
              <w:rPr>
                <w:color w:val="000000"/>
              </w:rPr>
              <w:t>Rural, Remote and Metropolitan Areas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RUN</w:t>
            </w:r>
          </w:p>
        </w:tc>
        <w:tc>
          <w:tcPr>
            <w:tcW w:w="6804" w:type="dxa"/>
            <w:vAlign w:val="center"/>
          </w:tcPr>
          <w:p w:rsidR="00BA6890" w:rsidRPr="00BC1144" w:rsidRDefault="00BA6890" w:rsidP="0052369A">
            <w:pPr>
              <w:pStyle w:val="BodyText"/>
              <w:spacing w:before="80"/>
              <w:ind w:left="227" w:right="6"/>
            </w:pPr>
            <w:r w:rsidRPr="00BC1144">
              <w:rPr>
                <w:color w:val="000000"/>
              </w:rPr>
              <w:t>Regional Universities Network</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SEIFA</w:t>
            </w:r>
          </w:p>
        </w:tc>
        <w:tc>
          <w:tcPr>
            <w:tcW w:w="6804" w:type="dxa"/>
            <w:vAlign w:val="center"/>
          </w:tcPr>
          <w:p w:rsidR="00BA6890" w:rsidRPr="00BC1144" w:rsidRDefault="00BA6890" w:rsidP="0052369A">
            <w:pPr>
              <w:pStyle w:val="BodyText"/>
              <w:spacing w:before="80"/>
              <w:ind w:left="227" w:right="6"/>
            </w:pPr>
            <w:r w:rsidRPr="00BC1144">
              <w:rPr>
                <w:color w:val="000000"/>
              </w:rPr>
              <w:t>Socio-Economic Index For Areas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SES</w:t>
            </w:r>
          </w:p>
        </w:tc>
        <w:tc>
          <w:tcPr>
            <w:tcW w:w="6804" w:type="dxa"/>
            <w:vAlign w:val="center"/>
          </w:tcPr>
          <w:p w:rsidR="00BA6890" w:rsidRPr="00BC1144" w:rsidRDefault="00BA6890" w:rsidP="0052369A">
            <w:pPr>
              <w:pStyle w:val="BodyText"/>
              <w:spacing w:before="80"/>
              <w:ind w:left="227" w:right="6"/>
            </w:pPr>
            <w:r w:rsidRPr="00BC1144">
              <w:rPr>
                <w:color w:val="000000"/>
              </w:rPr>
              <w:t>Socioeconomic Status</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TAC</w:t>
            </w:r>
          </w:p>
        </w:tc>
        <w:tc>
          <w:tcPr>
            <w:tcW w:w="6804" w:type="dxa"/>
            <w:vAlign w:val="center"/>
          </w:tcPr>
          <w:p w:rsidR="00BA6890" w:rsidRPr="00BC1144" w:rsidRDefault="00BA6890" w:rsidP="0052369A">
            <w:pPr>
              <w:pStyle w:val="BodyText"/>
              <w:spacing w:before="80"/>
              <w:ind w:left="227" w:right="6"/>
            </w:pPr>
            <w:r w:rsidRPr="00BC1144">
              <w:rPr>
                <w:color w:val="000000"/>
              </w:rPr>
              <w:t>Tertiary Admissions Centre</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TAFE</w:t>
            </w:r>
          </w:p>
        </w:tc>
        <w:tc>
          <w:tcPr>
            <w:tcW w:w="6804" w:type="dxa"/>
            <w:vAlign w:val="center"/>
          </w:tcPr>
          <w:p w:rsidR="00BA6890" w:rsidRPr="00BC1144" w:rsidRDefault="00BA6890" w:rsidP="0052369A">
            <w:pPr>
              <w:pStyle w:val="BodyText"/>
              <w:spacing w:before="80"/>
              <w:ind w:left="227" w:right="6"/>
            </w:pPr>
            <w:r w:rsidRPr="00BC1144">
              <w:rPr>
                <w:color w:val="000000"/>
              </w:rPr>
              <w:t>Technical and Further Education</w:t>
            </w:r>
          </w:p>
        </w:tc>
      </w:tr>
      <w:tr w:rsidR="00BA6890" w:rsidRPr="00BC1144" w:rsidTr="0052369A">
        <w:tc>
          <w:tcPr>
            <w:tcW w:w="1985" w:type="dxa"/>
            <w:vAlign w:val="center"/>
          </w:tcPr>
          <w:p w:rsidR="00BA6890" w:rsidRPr="00BC1144" w:rsidRDefault="00BA6890" w:rsidP="0052369A">
            <w:pPr>
              <w:pStyle w:val="BodyText"/>
              <w:spacing w:before="80"/>
              <w:ind w:right="6"/>
            </w:pPr>
            <w:r w:rsidRPr="00BC1144">
              <w:rPr>
                <w:color w:val="000000"/>
              </w:rPr>
              <w:t>VET</w:t>
            </w:r>
          </w:p>
        </w:tc>
        <w:tc>
          <w:tcPr>
            <w:tcW w:w="6804" w:type="dxa"/>
            <w:vAlign w:val="center"/>
          </w:tcPr>
          <w:p w:rsidR="00BA6890" w:rsidRPr="00BC1144" w:rsidRDefault="00BA6890" w:rsidP="0052369A">
            <w:pPr>
              <w:pStyle w:val="BodyText"/>
              <w:spacing w:before="80"/>
              <w:ind w:left="227" w:right="6"/>
            </w:pPr>
            <w:r w:rsidRPr="00BC1144">
              <w:rPr>
                <w:color w:val="000000"/>
              </w:rPr>
              <w:t>Vocational Education and Training</w:t>
            </w:r>
          </w:p>
        </w:tc>
      </w:tr>
    </w:tbl>
    <w:p w:rsidR="00BA6890" w:rsidRPr="00BC1144" w:rsidRDefault="00BA6890" w:rsidP="00BA6890">
      <w:pPr>
        <w:pStyle w:val="BodyText"/>
        <w:rPr>
          <w:rStyle w:val="CommentReference"/>
          <w:b w:val="0"/>
          <w:vanish w:val="0"/>
          <w:color w:val="auto"/>
          <w:sz w:val="24"/>
        </w:rPr>
      </w:pPr>
    </w:p>
    <w:p w:rsidR="00BA6890" w:rsidRPr="00BC1144" w:rsidRDefault="00BA6890" w:rsidP="00BA6890">
      <w:pPr>
        <w:pStyle w:val="BodyText"/>
        <w:rPr>
          <w:rStyle w:val="CommentReference"/>
          <w:b w:val="0"/>
          <w:vanish w:val="0"/>
          <w:color w:val="auto"/>
          <w:sz w:val="24"/>
        </w:rPr>
        <w:sectPr w:rsidR="00BA6890" w:rsidRPr="00BC1144" w:rsidSect="0052369A">
          <w:headerReference w:type="even" r:id="rId18"/>
          <w:headerReference w:type="default" r:id="rId19"/>
          <w:footerReference w:type="even" r:id="rId20"/>
          <w:footerReference w:type="default" r:id="rId21"/>
          <w:pgSz w:w="11907" w:h="16840" w:code="9"/>
          <w:pgMar w:top="1332" w:right="1304" w:bottom="1247" w:left="1814" w:header="1701" w:footer="397" w:gutter="0"/>
          <w:pgNumType w:fmt="lowerRoman"/>
          <w:cols w:space="720"/>
        </w:sectPr>
      </w:pPr>
    </w:p>
    <w:p w:rsidR="006E391F" w:rsidRPr="00BC1144" w:rsidRDefault="006E391F" w:rsidP="00336FA0">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6E391F" w:rsidRPr="00BC1144" w:rsidTr="00336FA0">
        <w:tc>
          <w:tcPr>
            <w:tcW w:w="6634" w:type="dxa"/>
            <w:tcBorders>
              <w:top w:val="single" w:sz="6" w:space="0" w:color="auto"/>
            </w:tcBorders>
          </w:tcPr>
          <w:p w:rsidR="006E391F" w:rsidRPr="00BC1144" w:rsidRDefault="006E391F" w:rsidP="00336FA0">
            <w:pPr>
              <w:pStyle w:val="PartDivider"/>
            </w:pPr>
          </w:p>
        </w:tc>
        <w:tc>
          <w:tcPr>
            <w:tcW w:w="2155" w:type="dxa"/>
            <w:tcBorders>
              <w:top w:val="single" w:sz="24" w:space="0" w:color="auto"/>
            </w:tcBorders>
          </w:tcPr>
          <w:p w:rsidR="006E391F" w:rsidRPr="00BC1144" w:rsidRDefault="006E391F" w:rsidP="00336FA0">
            <w:pPr>
              <w:pStyle w:val="PartDivider"/>
            </w:pPr>
          </w:p>
        </w:tc>
      </w:tr>
    </w:tbl>
    <w:p w:rsidR="006E391F" w:rsidRPr="00BC1144" w:rsidRDefault="006E391F" w:rsidP="00336FA0">
      <w:pPr>
        <w:pStyle w:val="PartDivider"/>
      </w:pPr>
    </w:p>
    <w:p w:rsidR="006E391F" w:rsidRPr="00BC1144" w:rsidRDefault="006E391F" w:rsidP="00336FA0">
      <w:pPr>
        <w:pStyle w:val="PartTitle"/>
      </w:pPr>
      <w:r w:rsidRPr="00BC1144">
        <w:t>Overview</w:t>
      </w:r>
    </w:p>
    <w:p w:rsidR="006E391F" w:rsidRPr="00CD4531" w:rsidRDefault="00CD4531" w:rsidP="00CD4531">
      <w:pPr>
        <w:pStyle w:val="Heading1"/>
        <w:rPr>
          <w:sz w:val="4"/>
          <w:szCs w:val="4"/>
        </w:rPr>
      </w:pPr>
      <w:r>
        <w:rPr>
          <w:color w:val="FFFFFF" w:themeColor="background1"/>
          <w:sz w:val="4"/>
          <w:szCs w:val="4"/>
        </w:rPr>
        <w:t>O</w:t>
      </w:r>
      <w:r w:rsidRPr="00CD4531">
        <w:rPr>
          <w:color w:val="FFFFFF" w:themeColor="background1"/>
          <w:sz w:val="4"/>
          <w:szCs w:val="4"/>
        </w:rPr>
        <w:t>verview</w:t>
      </w:r>
      <w:r w:rsidR="006E391F" w:rsidRPr="00CD4531">
        <w:rPr>
          <w:sz w:val="4"/>
          <w:szCs w:val="4"/>
        </w:rPr>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hideMark/>
          </w:tcPr>
          <w:p w:rsidR="006E391F" w:rsidRPr="00BC1144" w:rsidRDefault="006E391F" w:rsidP="00336FA0">
            <w:pPr>
              <w:pStyle w:val="BoxTitle"/>
            </w:pPr>
            <w:r w:rsidRPr="00BC1144">
              <w:lastRenderedPageBreak/>
              <w:t>Key points</w:t>
            </w:r>
          </w:p>
        </w:tc>
      </w:tr>
      <w:tr w:rsidR="006E391F" w:rsidRPr="00BC1144" w:rsidTr="00336FA0">
        <w:tc>
          <w:tcPr>
            <w:tcW w:w="5000" w:type="pct"/>
            <w:tcBorders>
              <w:top w:val="nil"/>
              <w:left w:val="nil"/>
              <w:bottom w:val="nil"/>
              <w:right w:val="nil"/>
            </w:tcBorders>
            <w:shd w:val="clear" w:color="auto" w:fill="F2F2F2"/>
            <w:hideMark/>
          </w:tcPr>
          <w:p w:rsidR="006E391F" w:rsidRPr="00BC1144" w:rsidRDefault="006E391F" w:rsidP="006E391F">
            <w:pPr>
              <w:pStyle w:val="BoxListBullet"/>
            </w:pPr>
            <w:r w:rsidRPr="00BC1144">
              <w:t xml:space="preserve">University education can be transformative. It is also costly in terms of forgone earnings, student debt and Commonwealth outlays, so it is important that students, taxpayers and the broader community benefit from the investment. </w:t>
            </w:r>
          </w:p>
          <w:p w:rsidR="006E391F" w:rsidRPr="00BC1144" w:rsidRDefault="006E391F" w:rsidP="00326E81">
            <w:pPr>
              <w:pStyle w:val="BoxListBullet"/>
              <w:spacing w:before="80"/>
            </w:pPr>
            <w:r w:rsidRPr="00BC1144">
              <w:t xml:space="preserve">The ‘demand driven system’ in </w:t>
            </w:r>
            <w:r w:rsidR="00326E81" w:rsidRPr="00BC1144">
              <w:t xml:space="preserve">place between </w:t>
            </w:r>
            <w:r w:rsidRPr="00BC1144">
              <w:t>2010</w:t>
            </w:r>
            <w:r w:rsidR="00326E81" w:rsidRPr="00BC1144">
              <w:t xml:space="preserve"> and 2017 was intended</w:t>
            </w:r>
            <w:r w:rsidRPr="00BC1144">
              <w:t xml:space="preserve"> to increase domestic student numbers and give under</w:t>
            </w:r>
            <w:r w:rsidRPr="00BC1144">
              <w:noBreakHyphen/>
              <w:t xml:space="preserve">represented groups greater access. The results </w:t>
            </w:r>
            <w:r w:rsidR="00326E81" w:rsidRPr="00BC1144">
              <w:t>were</w:t>
            </w:r>
            <w:r w:rsidRPr="00BC1144">
              <w:t xml:space="preserve"> mixed.</w:t>
            </w:r>
          </w:p>
          <w:p w:rsidR="006E391F" w:rsidRPr="00BC1144" w:rsidRDefault="006E391F" w:rsidP="00326E81">
            <w:pPr>
              <w:pStyle w:val="BoxListBullet"/>
              <w:spacing w:before="80"/>
            </w:pPr>
            <w:r w:rsidRPr="00BC1144">
              <w:t xml:space="preserve">It was certainly effective in increasing numbers: the share of young people that attended university by age 22 years increased from </w:t>
            </w:r>
            <w:r w:rsidR="00EF566F" w:rsidRPr="00BC1144">
              <w:t>53</w:t>
            </w:r>
            <w:r w:rsidRPr="00BC1144">
              <w:t xml:space="preserve"> per cent in 2010 to an estimated 60 per cent in 2016, based on data from the Longitudinal Surveys of Australian Youth. </w:t>
            </w:r>
          </w:p>
          <w:p w:rsidR="006E391F" w:rsidRPr="00BC1144" w:rsidRDefault="006E391F" w:rsidP="00326E81">
            <w:pPr>
              <w:pStyle w:val="BoxListBullet"/>
              <w:spacing w:before="80"/>
            </w:pPr>
            <w:r w:rsidRPr="00BC1144">
              <w:t xml:space="preserve">Multivariate regression analysis shows that the ‘additional students’ — those whose attendance can be ascribed to the expansion of the system — were drawn from many backgrounds. However, compared with other students, they typically had lower literacy and numeracy and a lower Australian Tertiary Admission Rank (most had an ATAR less than 70). </w:t>
            </w:r>
          </w:p>
          <w:p w:rsidR="006E391F" w:rsidRPr="00BC1144" w:rsidRDefault="006E391F" w:rsidP="00326E81">
            <w:pPr>
              <w:pStyle w:val="BoxListBullet"/>
              <w:spacing w:before="80"/>
            </w:pPr>
            <w:r w:rsidRPr="00BC1144">
              <w:t xml:space="preserve">Many of the additional students succeeded. About half of the additional students graduated by age 23 years (with many still studying). About half of those graduates </w:t>
            </w:r>
            <w:r w:rsidR="00EF566F" w:rsidRPr="00BC1144">
              <w:t>entered</w:t>
            </w:r>
            <w:r w:rsidRPr="00BC1144">
              <w:t xml:space="preserve"> managerial or professional occupations, outcomes that are similar to those of other graduates.</w:t>
            </w:r>
          </w:p>
          <w:p w:rsidR="006E391F" w:rsidRPr="00BC1144" w:rsidRDefault="006E391F" w:rsidP="00326E81">
            <w:pPr>
              <w:pStyle w:val="BoxListBullet"/>
              <w:spacing w:before="80"/>
            </w:pPr>
            <w:r w:rsidRPr="00BC1144">
              <w:t>However, people that enter university with lower literacy and numeracy and a lower ATAR drop out at higher rates. By age 23 years, 21 per cent of the additional students had left university without receiving a qualification compared with 12 per cent of other students.</w:t>
            </w:r>
          </w:p>
          <w:p w:rsidR="006E391F" w:rsidRPr="00BC1144" w:rsidRDefault="006E391F" w:rsidP="00326E81">
            <w:pPr>
              <w:pStyle w:val="BoxListBullet"/>
              <w:spacing w:before="80"/>
            </w:pPr>
            <w:r w:rsidRPr="00BC1144">
              <w:t>University participation increased within some under</w:t>
            </w:r>
            <w:r w:rsidRPr="00BC1144">
              <w:noBreakHyphen/>
              <w:t xml:space="preserve">represented </w:t>
            </w:r>
            <w:r w:rsidR="00EF566F" w:rsidRPr="00BC1144">
              <w:t xml:space="preserve">‘equity </w:t>
            </w:r>
            <w:r w:rsidRPr="00BC1144">
              <w:t>groups</w:t>
            </w:r>
            <w:r w:rsidR="00EF566F" w:rsidRPr="00BC1144">
              <w:t>’</w:t>
            </w:r>
            <w:r w:rsidRPr="00BC1144">
              <w:t>, but not others.</w:t>
            </w:r>
          </w:p>
          <w:p w:rsidR="006E391F" w:rsidRPr="00BC1144" w:rsidRDefault="006E391F" w:rsidP="00A449CB">
            <w:pPr>
              <w:pStyle w:val="BoxListBullet2"/>
              <w:spacing w:before="80"/>
            </w:pPr>
            <w:r w:rsidRPr="00BC1144">
              <w:t>School students from a low socioeconomic background and ‘first in family’ students were more likely to participate in higher education following the expansion in university places.</w:t>
            </w:r>
          </w:p>
          <w:p w:rsidR="006E391F" w:rsidRPr="00BC1144" w:rsidRDefault="006E391F" w:rsidP="00A449CB">
            <w:pPr>
              <w:pStyle w:val="BoxListBullet2"/>
              <w:spacing w:before="80"/>
            </w:pPr>
            <w:r w:rsidRPr="00BC1144">
              <w:t xml:space="preserve">However, the participation </w:t>
            </w:r>
            <w:r w:rsidRPr="00BC1144" w:rsidDel="001A1938">
              <w:t>‘gap</w:t>
            </w:r>
            <w:r w:rsidR="00326E81" w:rsidRPr="00BC1144">
              <w:t>s</w:t>
            </w:r>
            <w:r w:rsidRPr="00BC1144" w:rsidDel="001A1938">
              <w:t>’ (</w:t>
            </w:r>
            <w:r w:rsidR="00EF566F" w:rsidRPr="00BC1144">
              <w:t xml:space="preserve">compared to those not in the </w:t>
            </w:r>
            <w:r w:rsidRPr="00BC1144">
              <w:t>equity</w:t>
            </w:r>
            <w:r w:rsidRPr="00BC1144" w:rsidDel="001A1938">
              <w:t xml:space="preserve"> group) </w:t>
            </w:r>
            <w:r w:rsidRPr="00BC1144">
              <w:t xml:space="preserve">remain for Indigenous people </w:t>
            </w:r>
            <w:r w:rsidRPr="00BC1144" w:rsidDel="001A1938">
              <w:t>and for</w:t>
            </w:r>
            <w:r w:rsidRPr="00BC1144">
              <w:t xml:space="preserve"> people from regional or remote areas</w:t>
            </w:r>
            <w:r w:rsidR="00EF566F" w:rsidRPr="00BC1144">
              <w:t xml:space="preserve">, and </w:t>
            </w:r>
            <w:r w:rsidR="00EF566F" w:rsidRPr="00BC1144" w:rsidDel="001A1938">
              <w:t>may have widened</w:t>
            </w:r>
            <w:r w:rsidRPr="00BC1144">
              <w:t>.</w:t>
            </w:r>
          </w:p>
          <w:p w:rsidR="006E391F" w:rsidRPr="00BC1144" w:rsidRDefault="006E391F" w:rsidP="00326E81">
            <w:pPr>
              <w:pStyle w:val="BoxListBullet"/>
              <w:spacing w:before="80"/>
            </w:pPr>
            <w:r w:rsidRPr="00BC1144">
              <w:t xml:space="preserve">Despite the expansion, the level of participation among all these groups remains far lower than for people who do not come from disadvantaged backgrounds — a reflection of poorer </w:t>
            </w:r>
            <w:r w:rsidRPr="00BC1144">
              <w:rPr>
                <w:i/>
              </w:rPr>
              <w:t>average</w:t>
            </w:r>
            <w:r w:rsidRPr="00BC1144">
              <w:t xml:space="preserve"> school performance and a range of cultural and environmental factors. In the latter respect, an equity group student with a given level of academic ability is still significantly less likely to attend university than their non</w:t>
            </w:r>
            <w:r w:rsidRPr="00BC1144">
              <w:noBreakHyphen/>
              <w:t>equity equivalents.</w:t>
            </w:r>
          </w:p>
          <w:p w:rsidR="006E391F" w:rsidRPr="00BC1144" w:rsidRDefault="006E391F" w:rsidP="00326E81">
            <w:pPr>
              <w:pStyle w:val="BoxListBullet"/>
              <w:spacing w:before="80"/>
            </w:pPr>
            <w:r w:rsidRPr="00BC1144">
              <w:t>Overall, the demand driven system succeeded in increasing the number of students and made progress in improving equity of access. However, many are entering university ill</w:t>
            </w:r>
            <w:r w:rsidRPr="00BC1144">
              <w:noBreakHyphen/>
              <w:t>prepared and struggling academically. This study suggests some areas for further policy consideration:</w:t>
            </w:r>
          </w:p>
          <w:p w:rsidR="006E391F" w:rsidRPr="00BC1144" w:rsidRDefault="006E391F" w:rsidP="00A449CB">
            <w:pPr>
              <w:pStyle w:val="BoxListBullet2"/>
              <w:spacing w:before="80"/>
            </w:pPr>
            <w:r w:rsidRPr="00BC1144">
              <w:t>The school system has arguably not adapted to the role needed of it to prepare more young people to succeed at university, or more broadly to meet the growing demand in the Australian economy for complex and adaptable skills. Average literacy and numeracy of school children needs to rise to fill this role, reversing the sharp falls since 2003.</w:t>
            </w:r>
          </w:p>
          <w:p w:rsidR="006E391F" w:rsidRPr="00BC1144" w:rsidRDefault="006E391F" w:rsidP="00A449CB">
            <w:pPr>
              <w:pStyle w:val="BoxListBullet2"/>
              <w:spacing w:before="80"/>
            </w:pPr>
            <w:r w:rsidRPr="00BC1144">
              <w:t>Children growing up in regional or remote areas with the same academic ability as their metropolitan peers continue to be much less likely to attend university.</w:t>
            </w:r>
          </w:p>
          <w:p w:rsidR="006E391F" w:rsidRPr="00BC1144" w:rsidRDefault="006E391F" w:rsidP="00A449CB">
            <w:pPr>
              <w:pStyle w:val="BoxListBullet2"/>
              <w:spacing w:before="80"/>
            </w:pPr>
            <w:r w:rsidRPr="00BC1144">
              <w:t>The growing risk of students dropping out of university requires attention. On average, the additional students need greater academic support to succeed. While universities had strong incentives to expand student numbers, the incentives for remedial support are weak.</w:t>
            </w:r>
          </w:p>
          <w:p w:rsidR="006E391F" w:rsidRPr="00BC1144" w:rsidRDefault="006E391F" w:rsidP="00A449CB">
            <w:pPr>
              <w:pStyle w:val="BoxListBullet2"/>
              <w:spacing w:before="80"/>
            </w:pPr>
            <w:r w:rsidRPr="00BC1144">
              <w:t>University will not be the best option for many. Viable alternatives in employment and vocational education and training will ensure more young people succeed.</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hideMark/>
          </w:tcPr>
          <w:p w:rsidR="006E391F" w:rsidRPr="00BC1144" w:rsidRDefault="006E391F" w:rsidP="00336FA0">
            <w:pPr>
              <w:pStyle w:val="BoxSpaceBelow"/>
            </w:pPr>
          </w:p>
        </w:tc>
      </w:tr>
    </w:tbl>
    <w:p w:rsidR="006E391F" w:rsidRPr="00BC1144" w:rsidRDefault="006E391F" w:rsidP="00336FA0">
      <w:pPr>
        <w:pStyle w:val="BodyText"/>
      </w:pPr>
      <w:r w:rsidRPr="00BC1144">
        <w:lastRenderedPageBreak/>
        <w:t>University can be transformative. Most university students succeed academically and go on to rewarding careers. On average, they earn higher wages and are less likely to be unemployed — which means higher taxes and lower social security benefits — and they make the economy more innovative and adaptive.</w:t>
      </w:r>
    </w:p>
    <w:p w:rsidR="006E391F" w:rsidRPr="00BC1144" w:rsidRDefault="006E391F" w:rsidP="00336FA0">
      <w:pPr>
        <w:pStyle w:val="BodyText"/>
        <w:rPr>
          <w:spacing w:val="-4"/>
        </w:rPr>
      </w:pPr>
      <w:r w:rsidRPr="00BC1144">
        <w:rPr>
          <w:spacing w:val="-4"/>
        </w:rPr>
        <w:t>A well</w:t>
      </w:r>
      <w:r w:rsidRPr="00BC1144">
        <w:rPr>
          <w:spacing w:val="-4"/>
        </w:rPr>
        <w:noBreakHyphen/>
        <w:t xml:space="preserve">functioning higher education system should provide students with opportunities and empower them to make the choice </w:t>
      </w:r>
      <w:r w:rsidR="00EF566F" w:rsidRPr="00BC1144">
        <w:rPr>
          <w:spacing w:val="-4"/>
        </w:rPr>
        <w:t xml:space="preserve">of </w:t>
      </w:r>
      <w:r w:rsidRPr="00BC1144">
        <w:rPr>
          <w:spacing w:val="-4"/>
        </w:rPr>
        <w:t xml:space="preserve">whether or not to study. It should match students with suitable study opportunities and meet the needs of the labour market. It should be open to people regardless of their background. It should also encourage those who will benefit most from the many years spent acquiring a qualification and support students to succeed while at university, recognising that university education is costly to students and the public more generally. </w:t>
      </w:r>
    </w:p>
    <w:p w:rsidR="006E391F" w:rsidRPr="00BC1144" w:rsidRDefault="006E391F" w:rsidP="00336FA0">
      <w:pPr>
        <w:pStyle w:val="BodyText"/>
      </w:pPr>
      <w:r w:rsidRPr="00BC1144">
        <w:t>The Australian university system has evolved to meet these goals. Funding, pricing and institutional changes have slowly shifted the university system from the province of a small group of universities servicing a small</w:t>
      </w:r>
      <w:r w:rsidRPr="00BC1144" w:rsidDel="00E5322F">
        <w:t>, mainly male,</w:t>
      </w:r>
      <w:r w:rsidRPr="00BC1144">
        <w:t xml:space="preserve"> share of the population in the 1950s and 1960s, to a key pillar of the skills formation system. It now involves a large share of school graduates and, after Dawkins’ reforms, dozens of universities.</w:t>
      </w:r>
    </w:p>
    <w:p w:rsidR="006E391F" w:rsidRPr="00BC1144" w:rsidRDefault="006E391F" w:rsidP="00336FA0">
      <w:pPr>
        <w:pStyle w:val="BodyText"/>
      </w:pPr>
      <w:r w:rsidRPr="00BC1144">
        <w:t xml:space="preserve">The most recent significant expansion of university participation was due to the implementation of the ‘demand driven system’ from 2010 to 2017 (the result of recommendations made by the Bradley </w:t>
      </w:r>
      <w:r w:rsidRPr="00BC1144">
        <w:rPr>
          <w:i/>
        </w:rPr>
        <w:t>Review of Higher Education</w:t>
      </w:r>
      <w:r w:rsidRPr="00BC1144">
        <w:t>).</w:t>
      </w:r>
      <w:r w:rsidRPr="00BC1144">
        <w:rPr>
          <w:rStyle w:val="FootnoteReference"/>
        </w:rPr>
        <w:footnoteReference w:id="1"/>
      </w:r>
      <w:r w:rsidRPr="00BC1144">
        <w:t xml:space="preserve"> Fiscal constraints were no longer part of the rationing mechanism. The Australian Government removed caps on its support for most domestic undergraduate students. Everyone could attend university, limited only by the students’ willingness to invest their time and incur (concessional) debt, and universities’ admission requirements. The policy aimed to expand undergraduate education for domestic students and improve the equity of access for disadvantaged groups. The policy was underpinned by the view that investment in higher education was falling behind the growing need for university</w:t>
      </w:r>
      <w:r w:rsidRPr="00BC1144">
        <w:noBreakHyphen/>
        <w:t>educated workers in the Australian economy.</w:t>
      </w:r>
    </w:p>
    <w:p w:rsidR="006E391F" w:rsidRPr="00BC1144" w:rsidRDefault="006E391F" w:rsidP="00336FA0">
      <w:pPr>
        <w:pStyle w:val="BodyText"/>
      </w:pPr>
      <w:r w:rsidRPr="00BC1144">
        <w:t>An uncapped system has the virtue of letting students — who generally know their capabilities and lifetime aspirations better than government or universities — make choices about whether investing in university makes sense</w:t>
      </w:r>
      <w:r w:rsidR="00EF566F" w:rsidRPr="00BC1144">
        <w:t xml:space="preserve"> for them</w:t>
      </w:r>
      <w:r w:rsidRPr="00BC1144">
        <w:t xml:space="preserve">. It recognises that universities and governments are unable to accurately predict students’ future university outcomes. The most prominent basis for entry — the Australian Tertiary Admission Rank (ATAR) — is an imprecise indicator. A system that conservatively screens out students who would benefit from university attendance means that many with good prospects will be denied access under capped systems. The demand driven system also gave students a greater chance to try some university </w:t>
      </w:r>
      <w:r w:rsidR="00EF566F" w:rsidRPr="00BC1144">
        <w:t>study and learn whether it suited</w:t>
      </w:r>
      <w:r w:rsidRPr="00BC1144">
        <w:t xml:space="preserve"> their skills and aspirations.</w:t>
      </w:r>
    </w:p>
    <w:p w:rsidR="006E391F" w:rsidRPr="00BC1144" w:rsidRDefault="006E391F" w:rsidP="00336FA0">
      <w:pPr>
        <w:pStyle w:val="BodyText"/>
      </w:pPr>
      <w:r w:rsidRPr="00BC1144">
        <w:t xml:space="preserve">On the other hand, students only bear a share of the costs of university attendance and may have imperfect information about their likely success. So uncapped systems — where universities are funded based on how many students they enrol, rather than a fixed sum of money — face the risk of encouraging attendance by people who will not ultimately benefit, </w:t>
      </w:r>
      <w:r w:rsidRPr="00BC1144">
        <w:lastRenderedPageBreak/>
        <w:t>accompanied by student debt, diversion from superior educational options, forgone earnings from jobs that do not need a university qualification, and costs to taxpayers.</w:t>
      </w:r>
    </w:p>
    <w:p w:rsidR="006E391F" w:rsidRPr="00BC1144" w:rsidRDefault="006E391F" w:rsidP="00336FA0">
      <w:pPr>
        <w:pStyle w:val="quoteBodyText"/>
      </w:pPr>
      <w:r w:rsidRPr="00BC1144">
        <w:t>This study explores some of the costs and benefits of moving to a demand driven system by comparing access and student outcomes before and after the policy change.</w:t>
      </w:r>
    </w:p>
    <w:p w:rsidR="006E391F" w:rsidRPr="00BC1144" w:rsidRDefault="006E391F" w:rsidP="00336FA0">
      <w:pPr>
        <w:pStyle w:val="Heading2"/>
      </w:pPr>
      <w:bookmarkStart w:id="16" w:name="_Toc10805424"/>
      <w:r w:rsidRPr="00BC1144">
        <w:t>The Commission’s approach</w:t>
      </w:r>
      <w:bookmarkEnd w:id="16"/>
    </w:p>
    <w:p w:rsidR="006E391F" w:rsidRPr="00BC1144" w:rsidRDefault="006E391F" w:rsidP="00336FA0">
      <w:pPr>
        <w:pStyle w:val="BodyText"/>
      </w:pPr>
      <w:r w:rsidRPr="00BC1144">
        <w:t>This is a descriptive study. The study explores what happened to young Australians during the demand driven system using administrative, population and longitudinal data.</w:t>
      </w:r>
    </w:p>
    <w:p w:rsidR="006E391F" w:rsidRPr="00BC1144" w:rsidRDefault="006E391F" w:rsidP="00336FA0">
      <w:pPr>
        <w:pStyle w:val="BodyText"/>
        <w:keepNext/>
      </w:pPr>
      <w:r w:rsidRPr="00BC1144">
        <w:t>The study addresses two research questions:</w:t>
      </w:r>
    </w:p>
    <w:p w:rsidR="006E391F" w:rsidRPr="00BC1144" w:rsidRDefault="006E391F" w:rsidP="006E391F">
      <w:pPr>
        <w:pStyle w:val="ListNumber"/>
        <w:numPr>
          <w:ilvl w:val="0"/>
          <w:numId w:val="20"/>
        </w:numPr>
      </w:pPr>
      <w:r w:rsidRPr="00BC1144">
        <w:t>Who are the ‘additional students’ who enrolled in university under the demand driven system who would not have had the opportunity in earlier periods, and what are the academic and labour market outcomes they achieved?</w:t>
      </w:r>
    </w:p>
    <w:p w:rsidR="006E391F" w:rsidRPr="00BC1144" w:rsidRDefault="006E391F" w:rsidP="006E391F">
      <w:pPr>
        <w:pStyle w:val="ListNumber"/>
        <w:numPr>
          <w:ilvl w:val="0"/>
          <w:numId w:val="20"/>
        </w:numPr>
      </w:pPr>
      <w:r w:rsidRPr="00BC1144">
        <w:t>To what extent was the demand driven system more accessible to people from under</w:t>
      </w:r>
      <w:r w:rsidRPr="00BC1144">
        <w:noBreakHyphen/>
        <w:t>represented ‘equity groups’ (figure 1)? And what factors predict the under</w:t>
      </w:r>
      <w:r w:rsidRPr="00BC1144">
        <w:noBreakHyphen/>
        <w:t>representation of these groups?</w:t>
      </w:r>
    </w:p>
    <w:p w:rsidR="006E391F" w:rsidRPr="00BC1144" w:rsidRDefault="006E391F" w:rsidP="00336FA0">
      <w:pPr>
        <w:pStyle w:val="BodyText"/>
      </w:pPr>
      <w:r w:rsidRPr="00BC1144">
        <w:t xml:space="preserve">The study draws on a range of data, such as the Census of Population and Housing, administrative data sourced from the Department of Education and Training, and the Quality Indicators of Learning and Teaching dataset. The centrepiece of this study is an analysis of the Longitudinal Surveys of Australian Youth (LSAY). </w:t>
      </w:r>
      <w:r w:rsidR="00EF566F" w:rsidRPr="00BC1144">
        <w:t>The LSAY</w:t>
      </w:r>
      <w:r w:rsidRPr="00BC1144">
        <w:t xml:space="preserve"> provide</w:t>
      </w:r>
      <w:r w:rsidR="00EF566F" w:rsidRPr="00BC1144">
        <w:t>s</w:t>
      </w:r>
      <w:r w:rsidRPr="00BC1144">
        <w:t xml:space="preserve"> remarkably rich data on adolescents’ lives as they grow and enter adulth</w:t>
      </w:r>
      <w:r w:rsidR="00EF566F" w:rsidRPr="00BC1144">
        <w:t>ood, beginning at around age 15 </w:t>
      </w:r>
      <w:r w:rsidRPr="00BC1144">
        <w:t>years and tracking through to age 25 years. This includes objective measures of school achievement. Since 2003, the LSAY participants have sat the OECD Program of International Student Assessment (PISA) in literacy and numeracy. While the previously mentioned data sets provide population benchmarks, the detail in the LSAY provides the best estimates available about young Australians’ education decisions and the barriers they face to university access and success.</w:t>
      </w:r>
    </w:p>
    <w:p w:rsidR="006E391F" w:rsidRPr="00BC1144" w:rsidRDefault="006E391F" w:rsidP="00336FA0">
      <w:pPr>
        <w:pStyle w:val="BodyText"/>
      </w:pPr>
      <w:r w:rsidRPr="00BC1144">
        <w:t xml:space="preserve">Unlike many previous studies using the LSAY, this study draws comparisons </w:t>
      </w:r>
      <w:r w:rsidRPr="00BC1144">
        <w:rPr>
          <w:i/>
        </w:rPr>
        <w:t>across</w:t>
      </w:r>
      <w:r w:rsidRPr="00BC1144">
        <w:t xml:space="preserve"> cohorts. The focus is on the cohorts that enter the surveys at age 15 years in 2003, 2006 and 2009. The study considers determinants of their university participation by age 22 years — at the commencement of the demand driven system in 2010, and then in 2013 and 2016 respectively. It then follows students over time to assess their graduation rates and labour market transitions.</w:t>
      </w:r>
    </w:p>
    <w:p w:rsidR="006E391F" w:rsidRPr="00BC1144" w:rsidRDefault="006E391F" w:rsidP="00336FA0">
      <w:pPr>
        <w:pStyle w:val="BodyText"/>
      </w:pPr>
      <w:r w:rsidRPr="00BC1144">
        <w:t xml:space="preserve">The relatively abrupt change in the mechanism for determining university access provides a natural experiment. In some ways, this study is a simple before and after analysis. The mechanism for determining university access before 2010 allowed fewer people access; beginning in 2010, more people were given access to a university education. This study uses statistical analysis to identify, in a probabilistic way, the additional students and considers their academic and labour market outcomes. </w:t>
      </w:r>
    </w:p>
    <w:p w:rsidR="006E391F" w:rsidRPr="00BC1144" w:rsidRDefault="006E391F" w:rsidP="00336FA0">
      <w:pPr>
        <w:pStyle w:val="BodyText"/>
      </w:pPr>
      <w:r w:rsidRPr="00BC1144">
        <w:lastRenderedPageBreak/>
        <w:t>This study is not a policy evaluation of the demand driven system. It has made no attempt to weigh the benefits in terms of greater opportunity against the resource costs of expanding the system. Moreover, while the demand driven system contributed to a large change in the supply of domestic university places, other factors such as the youth labour market, technological change, problems in the vocational education and training system, skilled migration, and many other social and economic factors also affect who took up these places and the outcomes they achieved. Nevertheless, this study seeks to make a contribution by identifying who the additional students were under the demand driven system, without which it would be difficult (if not impossible) to make a rigorous assessment of the policy. It also highlights the connection between university success and school achievement (measured by literacy and numeracy at age 15 years) and the role that this achievement plays in explaining the persistent under</w:t>
      </w:r>
      <w:r w:rsidRPr="00BC1144">
        <w:noBreakHyphen/>
        <w:t>representation of equity groups.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1</w:t>
            </w:r>
            <w:r w:rsidRPr="00BC1144">
              <w:tab/>
              <w:t>What is an ‘equity group’?</w:t>
            </w:r>
          </w:p>
          <w:p w:rsidR="006E391F" w:rsidRPr="00BC1144" w:rsidRDefault="006E391F" w:rsidP="00336FA0">
            <w:pPr>
              <w:pStyle w:val="Subtitle"/>
              <w:rPr>
                <w:szCs w:val="20"/>
              </w:rPr>
            </w:pPr>
            <w:r w:rsidRPr="00BC1144">
              <w:rPr>
                <w:szCs w:val="20"/>
              </w:rPr>
              <w:t>Equity groups considered in this study</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1AD5D07A" wp14:editId="6B02CA86">
                        <wp:extent cx="5274945" cy="1795145"/>
                        <wp:effectExtent l="0" t="0" r="1905" b="0"/>
                        <wp:docPr id="8" name="Picture 8" descr="Figure 1 presents descriptions of the four equity groups considered in this study. Low SES refers to students in the lowest quartile in terms of socioeconomic status. First in family refers to people whose parents did not attend university. Regional or remote refers to people who grew up in a regional or remote area. Indigenous refers to people who identify as aboriginal or Torres Strait Is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945" cy="179514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ind w:left="0" w:firstLine="0"/>
      </w:pPr>
      <w:bookmarkStart w:id="17" w:name="_Toc10805425"/>
      <w:r w:rsidRPr="00BC1144">
        <w:t>New opportunities for many, though some ‘additional students’ fared poorly</w:t>
      </w:r>
      <w:bookmarkEnd w:id="17"/>
    </w:p>
    <w:p w:rsidR="006E391F" w:rsidRPr="00BC1144" w:rsidRDefault="006E391F" w:rsidP="00336FA0">
      <w:pPr>
        <w:pStyle w:val="BodyText"/>
      </w:pPr>
      <w:r w:rsidRPr="00BC1144">
        <w:t>The demand driven system had pronounced effects on Australians’ access to higher education. The transition to a demand driven system saw a progressive increase in the cap on Australian Government</w:t>
      </w:r>
      <w:r w:rsidRPr="00BC1144">
        <w:noBreakHyphen/>
        <w:t xml:space="preserve">supported domestic undergraduate places by 5 per cent in each of 2010 and 2011, followed by uncapped funding from 2012 for almost all fields of study. </w:t>
      </w:r>
    </w:p>
    <w:p w:rsidR="006E391F" w:rsidRPr="00BC1144" w:rsidRDefault="006E391F" w:rsidP="00336FA0">
      <w:pPr>
        <w:pStyle w:val="BodyText"/>
      </w:pPr>
      <w:r w:rsidRPr="00BC1144">
        <w:t xml:space="preserve">Overall, between 2009 and 2017, the number of domestic </w:t>
      </w:r>
      <w:r w:rsidR="00EF566F" w:rsidRPr="00BC1144">
        <w:t xml:space="preserve">bachelor degree </w:t>
      </w:r>
      <w:r w:rsidRPr="00BC1144">
        <w:t xml:space="preserve">students increased by one third (figure 2). The proportion of young people who enrolled in university has increased and a clear majority of Australians now attend university at some point by the age of 22 years. In step with the increase in enrolments, Australian Government expenditure </w:t>
      </w:r>
      <w:r w:rsidRPr="00BC1144">
        <w:lastRenderedPageBreak/>
        <w:t>(including deferred student contributions) increased in real terms from $6.4 billion in 2009 to $9.3 billion in 2017.</w:t>
      </w:r>
      <w:r w:rsidRPr="00BC1144">
        <w:rPr>
          <w:rStyle w:val="FootnoteReference"/>
        </w:rPr>
        <w:footnoteReference w:id="2"/>
      </w:r>
      <w:r w:rsidRPr="00BC1144">
        <w:t xml:space="preserve">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w:t>
            </w:r>
            <w:r w:rsidRPr="00BC1144">
              <w:tab/>
              <w:t>Enrolments grew during the demand driven system</w:t>
            </w:r>
          </w:p>
          <w:p w:rsidR="006E391F" w:rsidRPr="00BC1144" w:rsidRDefault="006E391F" w:rsidP="00336FA0">
            <w:pPr>
              <w:pStyle w:val="Subtitle"/>
            </w:pPr>
            <w:r w:rsidRPr="00BC1144">
              <w:t>Domestic bachelor degree students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5D9E5BE" wp14:editId="5A64878A">
                        <wp:extent cx="5402580" cy="2804160"/>
                        <wp:effectExtent l="0" t="0" r="7620" b="0"/>
                        <wp:docPr id="9" name="Picture 9" descr="Figure 1 shows bachelor degree enrolments for domestic students over the period 1989 to 2017. Overall, between 2009 and 2017 the number of domestic undergraduate students increased by one 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2580" cy="280416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rPr>
          <w:lang w:val="en"/>
        </w:rPr>
      </w:pPr>
      <w:r w:rsidRPr="00BC1144">
        <w:rPr>
          <w:lang w:val="en"/>
        </w:rPr>
        <w:t>The expansion in the number of Australian Government</w:t>
      </w:r>
      <w:r w:rsidRPr="00BC1144">
        <w:rPr>
          <w:lang w:val="en"/>
        </w:rPr>
        <w:noBreakHyphen/>
        <w:t>supported university places meant additional students had an opportunity to attend university during the demand driven system that they would not have had in earlier periods. These additional students come from a wide range of backgrounds, but are more likely to have certain traits than ‘other students’ (i.e. those that were not additional students). For example, the additional students are more likely to come from low socioeconomic families, study at public schools and grow up in metropolitan areas (figure 3).</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tab/>
              <w:t>Who are the additional students and how do they fare?</w:t>
            </w:r>
          </w:p>
          <w:p w:rsidR="006E391F" w:rsidRPr="00BC1144" w:rsidRDefault="006E391F" w:rsidP="00336FA0">
            <w:pPr>
              <w:pStyle w:val="Subtitle"/>
            </w:pPr>
            <w:r w:rsidRPr="00BC1144">
              <w:t>Characteristics and outcomes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882582"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extent cx="5400675" cy="6915150"/>
                        <wp:effectExtent l="0" t="0" r="9525" b="0"/>
                        <wp:docPr id="67" name="Picture 67" descr="Figure 3 is an infographic that shows the characteristics and academic and labour market outcomes of additional and other students. In this study, additional students are defined as students who would not have attended university before the demand driven system was introduced. Conversely other students refers to students who would have attended university before the demand driven system was introduced. On average, additional students are lower in terms of Australian Tertiary Admission Rank (ATAR) scores. They are also more likely to be from a low socioeconomic background, first in family to attend university, from a government school, to take some vocational education and training prior to university and more likely to study education, information technology or management and commerce courses than other students. They are less likely to attend a Group of Eight university and be from a regional or remote area than other students. By age 25 years, additional students are less likely to have completed university and more likely to have dropped out. Those who graduate are similarly likely to be employed full-time and working in a managerial or professional occupation. Additional student graduates do, however, earn slightly less than othe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691515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keepNext/>
        <w:keepLines/>
        <w:rPr>
          <w:lang w:val="en"/>
        </w:rPr>
      </w:pPr>
      <w:r w:rsidRPr="00BC1144">
        <w:rPr>
          <w:lang w:val="en"/>
        </w:rPr>
        <w:lastRenderedPageBreak/>
        <w:t>The most distinct feature of this group of additional students, compared with other university students, is that their school achievement was weaker. Prior to the demand driven system, ATAR scores were a primary mechanism for rationing places. While they remain important for entry by year 12 students and for many courses offered by Group of Eight universities, the most rapid growth in the system came from enrolments by students who had been out of school for a period into courses at non</w:t>
      </w:r>
      <w:r w:rsidRPr="00BC1144">
        <w:rPr>
          <w:lang w:val="en"/>
        </w:rPr>
        <w:noBreakHyphen/>
        <w:t xml:space="preserve">Group of Eight universities. Around two thirds of additional students have an ATAR below 70 or received no ATAR at all. These students also have poorer foundational skills of literacy and numeracy, as measured by PISA scores at age 15 years, which weakens their capacity to engage and succeed at university (figure 4).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4</w:t>
            </w:r>
            <w:r w:rsidRPr="00BC1144">
              <w:tab/>
              <w:t>More students are entering university poorly prepared</w:t>
            </w:r>
            <w:r w:rsidRPr="00BC1144">
              <w:rPr>
                <w:rStyle w:val="NoteLabel"/>
                <w:b/>
              </w:rPr>
              <w:t>a</w:t>
            </w:r>
          </w:p>
          <w:p w:rsidR="006E391F" w:rsidRPr="00BC1144" w:rsidRDefault="006E391F" w:rsidP="00EF566F">
            <w:pPr>
              <w:pStyle w:val="Subtitle"/>
            </w:pPr>
            <w:r w:rsidRPr="00BC1144">
              <w:t xml:space="preserve">Distribution of those </w:t>
            </w:r>
            <w:r w:rsidR="00EF566F" w:rsidRPr="00BC1144">
              <w:t>who</w:t>
            </w:r>
            <w:r w:rsidRPr="00BC1144">
              <w:t xml:space="preserve"> participate in university by age 22 years in 2016</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8504" w:type="dxa"/>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19A0AB5" wp14:editId="3F2C7B14">
                        <wp:extent cx="5400346" cy="2880153"/>
                        <wp:effectExtent l="0" t="0" r="0" b="0"/>
                        <wp:docPr id="7" name="Picture 7" descr="Figure 4 shows the distribution of OECD Programme for International Student Assessment (PISA) scores for other and additional students by age 22 years in 2016. While there is substantial overlap between the distributions, around 81 per cent of additional students had literacy and numeracy below the average level of other students at age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SA_OV.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PISA scores</w:t>
            </w:r>
            <w:r w:rsidRPr="00BC1144" w:rsidDel="00F44C9A">
              <w:t xml:space="preserve"> </w:t>
            </w:r>
            <w:r w:rsidRPr="00BC1144">
              <w:t>are scaled so that the OECD average is 500 and the standard deviation is 100 across all students tested in 32 countries when introduced in 2000.</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rPr>
          <w:lang w:val="en"/>
        </w:rPr>
      </w:pPr>
      <w:r w:rsidRPr="00BC1144">
        <w:rPr>
          <w:lang w:val="en"/>
        </w:rPr>
        <w:t xml:space="preserve">Additional students are less likely than other students to succeed academically. About 21 per cent of additional students drop out by age 23 years compared with about 12 per cent of other students, rates that for other students have been trending down over time (figure 5). While most students that drop out do so within two years of enrolment, there is a tail of students </w:t>
      </w:r>
      <w:r w:rsidR="00EF566F" w:rsidRPr="00BC1144">
        <w:rPr>
          <w:lang w:val="en"/>
        </w:rPr>
        <w:t>who</w:t>
      </w:r>
      <w:r w:rsidRPr="00BC1144">
        <w:rPr>
          <w:lang w:val="en"/>
        </w:rPr>
        <w:t xml:space="preserve"> attend for longer prior to dropping out. </w:t>
      </w:r>
      <w:r w:rsidR="00EF566F" w:rsidRPr="00BC1144">
        <w:rPr>
          <w:lang w:val="en"/>
        </w:rPr>
        <w:t>A</w:t>
      </w:r>
      <w:r w:rsidRPr="00BC1144">
        <w:rPr>
          <w:lang w:val="en"/>
        </w:rPr>
        <w:t>d</w:t>
      </w:r>
      <w:r w:rsidR="00EF566F" w:rsidRPr="00BC1144">
        <w:rPr>
          <w:lang w:val="en"/>
        </w:rPr>
        <w:t>ditional students that dropped out</w:t>
      </w:r>
      <w:r w:rsidRPr="00BC1144">
        <w:rPr>
          <w:lang w:val="en"/>
        </w:rPr>
        <w:t xml:space="preserve"> had an opportunity to experience university that would not have previously been available to them, and to take an informed decision on whether they are well suited to benefit from the experience. Nevertheless, it is an opportunity that came with costs, not least to the student. Students who drop out incur fee costs of $12 000 on average </w:t>
      </w:r>
      <w:r w:rsidR="0092626E" w:rsidRPr="00BC1144">
        <w:rPr>
          <w:szCs w:val="24"/>
        </w:rPr>
        <w:t>(Norton and Cherastidtham 2018)</w:t>
      </w:r>
      <w:r w:rsidRPr="00BC1144">
        <w:rPr>
          <w:lang w:val="en"/>
        </w:rPr>
        <w:t>, with the costs in terms of forgone earnings likely to be much greater.</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5</w:t>
            </w:r>
            <w:r w:rsidRPr="00BC1144">
              <w:tab/>
              <w:t>Additional students are more likely to drop out</w:t>
            </w:r>
          </w:p>
          <w:p w:rsidR="006E391F" w:rsidRPr="00BC1144" w:rsidRDefault="006E391F" w:rsidP="00336FA0">
            <w:pPr>
              <w:pStyle w:val="Subtitle"/>
            </w:pPr>
            <w:r w:rsidRPr="00BC1144">
              <w:t>Completion and drop</w:t>
            </w:r>
            <w:r w:rsidRPr="00BC1144">
              <w:noBreakHyphen/>
              <w:t>out rates by age 23 years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3"/>
            </w:tblGrid>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Degree completion rates</w:t>
                  </w:r>
                </w:p>
              </w:tc>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Drop</w:t>
                  </w:r>
                  <w:r w:rsidRPr="00BC1144">
                    <w:rPr>
                      <w:rFonts w:ascii="Arial" w:hAnsi="Arial" w:cs="Arial"/>
                      <w:sz w:val="18"/>
                      <w:szCs w:val="18"/>
                    </w:rPr>
                    <w:noBreakHyphen/>
                    <w:t>out rates</w:t>
                  </w:r>
                </w:p>
              </w:tc>
            </w:tr>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2C612B7" wp14:editId="2C44CD92">
                        <wp:extent cx="2697480" cy="2880360"/>
                        <wp:effectExtent l="0" t="0" r="7620" b="0"/>
                        <wp:docPr id="2" name="Picture 2" descr="Figure 5 shows completion and drop-out rates for additional and other students by age 23 years in 2014 and 2017. Additional students are substantially less likely to have completed university and dropped out at rates about 7 percentage points higher than othe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97480" cy="2880360"/>
                                </a:xfrm>
                                <a:prstGeom prst="rect">
                                  <a:avLst/>
                                </a:prstGeom>
                                <a:noFill/>
                                <a:ln>
                                  <a:noFill/>
                                </a:ln>
                              </pic:spPr>
                            </pic:pic>
                          </a:graphicData>
                        </a:graphic>
                      </wp:inline>
                    </w:drawing>
                  </w:r>
                </w:p>
              </w:tc>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F14F35A" wp14:editId="1F61D5DC">
                        <wp:extent cx="2697480" cy="2880360"/>
                        <wp:effectExtent l="0" t="0" r="7620" b="0"/>
                        <wp:docPr id="3" name="Picture 3" descr="Figure 5 shows completion and drop-out rates for additional and other students by age 23 years in 2014 and 2017. Additional students are substantially less likely to have completed university and dropped out at rates about 7 percentage points higher than othe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97480" cy="288036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rPr>
          <w:lang w:val="en"/>
        </w:rPr>
      </w:pPr>
      <w:r w:rsidRPr="00BC1144">
        <w:rPr>
          <w:lang w:val="en"/>
        </w:rPr>
        <w:t xml:space="preserve">For those </w:t>
      </w:r>
      <w:r w:rsidR="00EF566F" w:rsidRPr="00BC1144">
        <w:rPr>
          <w:lang w:val="en"/>
        </w:rPr>
        <w:t>who</w:t>
      </w:r>
      <w:r w:rsidRPr="00BC1144">
        <w:rPr>
          <w:lang w:val="en"/>
        </w:rPr>
        <w:t xml:space="preserve"> succeed academically, a university education remains a good investment. Around half of the additional students are in managerial or professional occupations by age 25 years, roles that generally would have been unavailable to them prior to the demand driven system. Nevertheless, additional students</w:t>
      </w:r>
      <w:r w:rsidR="00EF566F" w:rsidRPr="00BC1144">
        <w:rPr>
          <w:lang w:val="en"/>
        </w:rPr>
        <w:t xml:space="preserve"> who</w:t>
      </w:r>
      <w:r w:rsidRPr="00BC1144">
        <w:rPr>
          <w:lang w:val="en"/>
        </w:rPr>
        <w:t xml:space="preserve"> graduate face slightly less smooth labour market transitions. They are less likely to be in full</w:t>
      </w:r>
      <w:r w:rsidRPr="00BC1144">
        <w:rPr>
          <w:lang w:val="en"/>
        </w:rPr>
        <w:noBreakHyphen/>
        <w:t xml:space="preserve">time employment and have lower average weekly pay than other graduates or those </w:t>
      </w:r>
      <w:r w:rsidR="00153D58" w:rsidRPr="00BC1144">
        <w:rPr>
          <w:lang w:val="en"/>
        </w:rPr>
        <w:t>who</w:t>
      </w:r>
      <w:r w:rsidRPr="00BC1144">
        <w:rPr>
          <w:lang w:val="en"/>
        </w:rPr>
        <w:t xml:space="preserve"> never attended university at age 23 years. </w:t>
      </w:r>
      <w:r w:rsidR="00153D58" w:rsidRPr="00BC1144">
        <w:rPr>
          <w:lang w:val="en"/>
        </w:rPr>
        <w:t>However,</w:t>
      </w:r>
      <w:r w:rsidRPr="00BC1144">
        <w:rPr>
          <w:lang w:val="en"/>
        </w:rPr>
        <w:t xml:space="preserve"> </w:t>
      </w:r>
      <w:r w:rsidR="00153D58" w:rsidRPr="00BC1144">
        <w:rPr>
          <w:lang w:val="en"/>
        </w:rPr>
        <w:t xml:space="preserve">the </w:t>
      </w:r>
      <w:r w:rsidRPr="00BC1144">
        <w:rPr>
          <w:lang w:val="en"/>
        </w:rPr>
        <w:t>outcomes for graduates converge over time as they grow older and spend more time in the labour market. By age 25 years the remaining differences between these two groups are small. While average wages are similar for all groups in their early twenties, Census data show average earnings of graduates through their late twenties and thirties grows faster than those with trade qualifications or without post</w:t>
      </w:r>
      <w:r w:rsidRPr="00BC1144">
        <w:rPr>
          <w:lang w:val="en"/>
        </w:rPr>
        <w:noBreakHyphen/>
        <w:t>school qualifications, implying a significant lifetime earnings premium (albeit lower than during earlier decades).</w:t>
      </w:r>
    </w:p>
    <w:p w:rsidR="006E391F" w:rsidRPr="00BC1144" w:rsidRDefault="006E391F" w:rsidP="00336FA0">
      <w:pPr>
        <w:pStyle w:val="BodyText"/>
        <w:rPr>
          <w:lang w:val="en"/>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E391F" w:rsidRPr="00BC1144" w:rsidTr="00336FA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6E391F" w:rsidRPr="00BC1144" w:rsidRDefault="006E391F" w:rsidP="00336FA0">
            <w:pPr>
              <w:pStyle w:val="FindingTitle"/>
              <w:spacing w:before="120"/>
              <w:rPr>
                <w:noProof/>
              </w:rPr>
            </w:pPr>
            <w:r w:rsidRPr="00BC1144">
              <w:t>Finding 1</w:t>
            </w:r>
            <w:r w:rsidRPr="00BC1144">
              <w:rPr>
                <w:noProof/>
              </w:rPr>
              <w:t xml:space="preserve"> </w:t>
            </w:r>
          </w:p>
        </w:tc>
      </w:tr>
      <w:tr w:rsidR="006E391F" w:rsidRPr="00BC1144" w:rsidTr="00336FA0">
        <w:trPr>
          <w:cantSplit/>
        </w:trPr>
        <w:tc>
          <w:tcPr>
            <w:tcW w:w="5000" w:type="pct"/>
            <w:tcBorders>
              <w:top w:val="nil"/>
              <w:left w:val="nil"/>
              <w:bottom w:val="nil"/>
              <w:right w:val="nil"/>
            </w:tcBorders>
            <w:shd w:val="clear" w:color="auto" w:fill="F2F2F2"/>
            <w:tcMar>
              <w:left w:w="170" w:type="dxa"/>
              <w:right w:w="170" w:type="dxa"/>
            </w:tcMar>
          </w:tcPr>
          <w:p w:rsidR="006E391F" w:rsidRPr="00BC1144" w:rsidRDefault="006E391F" w:rsidP="00336FA0">
            <w:pPr>
              <w:pStyle w:val="Finding"/>
              <w:keepNext/>
            </w:pPr>
            <w:r w:rsidRPr="00BC1144">
              <w:t>The demand driven system significantly expanded access to university. The ‘additional students’ — those whose attendance can be ascribed to the expansion of the system — entered university with weaker literacy and numeracy than other students and were more likely to drop out. However, additional students that did graduate transitioned fairly well into the labour market.</w:t>
            </w:r>
          </w:p>
        </w:tc>
      </w:tr>
      <w:tr w:rsidR="006E391F" w:rsidRPr="00BC1144" w:rsidTr="00336FA0">
        <w:trPr>
          <w:cantSplit/>
        </w:trPr>
        <w:tc>
          <w:tcPr>
            <w:tcW w:w="5000" w:type="pct"/>
            <w:tcBorders>
              <w:top w:val="nil"/>
              <w:left w:val="nil"/>
              <w:bottom w:val="single" w:sz="6" w:space="0" w:color="78A22F"/>
              <w:right w:val="nil"/>
            </w:tcBorders>
            <w:shd w:val="clear" w:color="auto" w:fill="F2F2F2"/>
            <w:tcMar>
              <w:left w:w="170" w:type="dxa"/>
              <w:right w:w="170" w:type="dxa"/>
            </w:tcMar>
          </w:tcPr>
          <w:p w:rsidR="006E391F" w:rsidRPr="00BC1144" w:rsidRDefault="006E391F" w:rsidP="00336FA0">
            <w:pPr>
              <w:pStyle w:val="Space"/>
              <w:keepLines/>
            </w:pPr>
          </w:p>
        </w:tc>
      </w:tr>
      <w:tr w:rsidR="006E391F" w:rsidRPr="00BC1144" w:rsidTr="00336FA0">
        <w:trPr>
          <w:cantSplit/>
        </w:trPr>
        <w:tc>
          <w:tcPr>
            <w:tcW w:w="5000" w:type="pct"/>
            <w:tcBorders>
              <w:top w:val="single" w:sz="6" w:space="0" w:color="78A22F"/>
              <w:left w:val="nil"/>
              <w:bottom w:val="nil"/>
              <w:right w:val="nil"/>
            </w:tcBorders>
            <w:tcMar>
              <w:left w:w="170" w:type="dxa"/>
              <w:right w:w="170" w:type="dxa"/>
            </w:tcMar>
          </w:tcPr>
          <w:p w:rsidR="006E391F" w:rsidRPr="00BC1144" w:rsidRDefault="006E391F" w:rsidP="00336FA0">
            <w:pPr>
              <w:pStyle w:val="BoxSpaceBelow"/>
              <w:keepLines/>
            </w:pPr>
          </w:p>
        </w:tc>
      </w:tr>
    </w:tbl>
    <w:p w:rsidR="006E391F" w:rsidRPr="00BC1144" w:rsidRDefault="006E391F" w:rsidP="00336FA0">
      <w:pPr>
        <w:pStyle w:val="Heading2"/>
      </w:pPr>
      <w:bookmarkStart w:id="18" w:name="_Toc10805426"/>
      <w:r w:rsidRPr="00BC1144">
        <w:lastRenderedPageBreak/>
        <w:t>There was some progress in improving equity</w:t>
      </w:r>
      <w:bookmarkEnd w:id="18"/>
    </w:p>
    <w:p w:rsidR="006E391F" w:rsidRPr="00BC1144" w:rsidRDefault="006E391F" w:rsidP="00336FA0">
      <w:pPr>
        <w:pStyle w:val="BodyText"/>
      </w:pPr>
      <w:r w:rsidRPr="00BC1144">
        <w:t>Improving access is valuable in its own right. Few would argue for excluding young people from opportunities based on disadvantage or hardship due to circumstances beyond their control. That said, policy should aim to ensure access also leads to success. A goal in providing access to under</w:t>
      </w:r>
      <w:r w:rsidRPr="00BC1144">
        <w:noBreakHyphen/>
        <w:t xml:space="preserve">represented groups is to set young people onto a career path they could not otherwise have pursued, thereby helping to overcome the disadvantage they were exposed to during their youth. A useful heuristic is to consider three hurdles: gaining access; degree completion; and labour market transitions. </w:t>
      </w:r>
    </w:p>
    <w:p w:rsidR="006E391F" w:rsidRPr="00BC1144" w:rsidRDefault="006E391F" w:rsidP="00336FA0">
      <w:pPr>
        <w:pStyle w:val="Heading4"/>
      </w:pPr>
      <w:r w:rsidRPr="00BC1144">
        <w:t>Access</w:t>
      </w:r>
    </w:p>
    <w:p w:rsidR="006E391F" w:rsidRPr="00BC1144" w:rsidRDefault="006E391F" w:rsidP="00336FA0">
      <w:pPr>
        <w:pStyle w:val="BodyText"/>
      </w:pPr>
      <w:r w:rsidRPr="00BC1144">
        <w:t>Young Australians from disadvantaged backgrounds have long been under</w:t>
      </w:r>
      <w:r w:rsidRPr="00BC1144">
        <w:noBreakHyphen/>
        <w:t>represented at university. In the two decades prior to the demand driven system, progress on lifting enrolments of students from equity groups had been modest at best.</w:t>
      </w:r>
    </w:p>
    <w:p w:rsidR="006E391F" w:rsidRPr="00BC1144" w:rsidRDefault="006E391F" w:rsidP="00336FA0">
      <w:pPr>
        <w:pStyle w:val="BodyText"/>
      </w:pPr>
      <w:r w:rsidRPr="00BC1144">
        <w:t xml:space="preserve">The demand driven system lifted enrolments of some equity groups more than others. In comparison with the general student population, additional students were more likely to come from low socioeconomic backgrounds and from families where the parents had not attended university. For example, in 2016, around one third of additional students were from a low socioeconomic background compared with around 15 per cent of other students. This inflow of additional students changed the overall composition of the student body, but only to a limited degree because the additional students comprised a modest share of all university students. </w:t>
      </w:r>
    </w:p>
    <w:p w:rsidR="006E391F" w:rsidRPr="00BC1144" w:rsidRDefault="006E391F" w:rsidP="00336FA0">
      <w:pPr>
        <w:pStyle w:val="BodyText"/>
      </w:pPr>
      <w:r w:rsidRPr="00BC1144">
        <w:t xml:space="preserve">In contrast, the demand driven system did not stimulate increased participation rates </w:t>
      </w:r>
      <w:r w:rsidR="00153D58" w:rsidRPr="00BC1144">
        <w:t>for</w:t>
      </w:r>
      <w:r w:rsidRPr="00BC1144">
        <w:t xml:space="preserve"> young people from regional or remote areas or </w:t>
      </w:r>
      <w:r w:rsidR="00153D58" w:rsidRPr="00BC1144">
        <w:t>for</w:t>
      </w:r>
      <w:r w:rsidRPr="00BC1144">
        <w:t xml:space="preserve"> Indigenous people, though the latter finding does not take into account that Indigenous people often undertake university study at ages that are outside the scope of the dataset used in this study. For example, more than one third of Indigenous university students are aged over 30 years, compared with one quarter of non</w:t>
      </w:r>
      <w:r w:rsidRPr="00BC1144">
        <w:noBreakHyphen/>
        <w:t xml:space="preserve">Indigenous students. </w:t>
      </w:r>
    </w:p>
    <w:p w:rsidR="006E391F" w:rsidRPr="00BC1144" w:rsidRDefault="006E391F" w:rsidP="00336FA0">
      <w:pPr>
        <w:pStyle w:val="BodyText"/>
      </w:pPr>
      <w:r w:rsidRPr="00BC1144">
        <w:t xml:space="preserve">Some of these trends may have been expected, while others need to be unpacked. For example, the different outcomes for those growing up in regional or remote areas may reflect the substantial relocation costs they face and the relative ease of access for young people growing up in metropolitan areas near large university campuses (figure 6). The demand driven system, of itself, did not address these underlying </w:t>
      </w:r>
      <w:r w:rsidR="00153D58" w:rsidRPr="00BC1144">
        <w:t>barriers</w:t>
      </w:r>
      <w:r w:rsidRPr="00BC1144">
        <w:t>.</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6</w:t>
            </w:r>
            <w:r w:rsidRPr="00BC1144">
              <w:tab/>
              <w:t>Equity groups remain under</w:t>
            </w:r>
            <w:r w:rsidRPr="00BC1144">
              <w:noBreakHyphen/>
              <w:t>represented at university</w:t>
            </w:r>
          </w:p>
          <w:p w:rsidR="006E391F" w:rsidRPr="00BC1144" w:rsidRDefault="006E391F" w:rsidP="00336FA0">
            <w:pPr>
              <w:pStyle w:val="Subtitle"/>
            </w:pPr>
            <w:r w:rsidRPr="00BC1144">
              <w:t>Difference in university attendance rate</w:t>
            </w:r>
            <w:r w:rsidRPr="00BC1144" w:rsidDel="00CF0468">
              <w:t xml:space="preserve"> by</w:t>
            </w:r>
            <w:r w:rsidRPr="00BC1144">
              <w:t xml:space="preserve"> age 22 years (compared to non-equity groups) in 2016</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6BAB1DE" wp14:editId="4A89D68A">
                        <wp:extent cx="5401945" cy="2802255"/>
                        <wp:effectExtent l="0" t="0" r="8255" b="0"/>
                        <wp:docPr id="12" name="Picture 12" descr="Figure 6 shows the difference in attendance rates at university by age 22 years in 2016 for students across the four equity groups. People from low SES backgrounds are 18 percentage points less likely to attend university, regional or remote 19 percentage points, first in family 31 percentage points, and Indigenous 31 percentage points less likely to attend university than those not in an equit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1945" cy="280225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E391F" w:rsidRPr="00BC1144" w:rsidTr="00336FA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6E391F" w:rsidRPr="00BC1144" w:rsidRDefault="006E391F" w:rsidP="00336FA0">
            <w:pPr>
              <w:pStyle w:val="FindingTitle"/>
              <w:spacing w:before="120"/>
              <w:rPr>
                <w:noProof/>
              </w:rPr>
            </w:pPr>
            <w:r w:rsidRPr="00BC1144">
              <w:t>Finding 2</w:t>
            </w:r>
            <w:r w:rsidRPr="00BC1144">
              <w:rPr>
                <w:noProof/>
              </w:rPr>
              <w:t xml:space="preserve"> </w:t>
            </w:r>
          </w:p>
        </w:tc>
      </w:tr>
      <w:tr w:rsidR="006E391F" w:rsidRPr="00BC1144" w:rsidTr="00336FA0">
        <w:trPr>
          <w:cantSplit/>
        </w:trPr>
        <w:tc>
          <w:tcPr>
            <w:tcW w:w="5000" w:type="pct"/>
            <w:tcBorders>
              <w:top w:val="nil"/>
              <w:left w:val="nil"/>
              <w:bottom w:val="nil"/>
              <w:right w:val="nil"/>
            </w:tcBorders>
            <w:shd w:val="clear" w:color="auto" w:fill="F2F2F2"/>
            <w:tcMar>
              <w:left w:w="170" w:type="dxa"/>
              <w:right w:w="170" w:type="dxa"/>
            </w:tcMar>
          </w:tcPr>
          <w:p w:rsidR="006E391F" w:rsidRPr="00BC1144" w:rsidRDefault="006E391F" w:rsidP="00336FA0">
            <w:pPr>
              <w:pStyle w:val="Finding"/>
              <w:keepNext/>
            </w:pPr>
            <w:r w:rsidRPr="00BC1144">
              <w:t xml:space="preserve">University enrolment and participation rates of people whose parents did not attend university and those from low SES backgrounds increased strongly under the demand driven system. In contrast, while there has been some increase in enrolments for people from Indigenous or regional or remote backgrounds, overall participation rates for these groups do not appear to have improved, at least until age 22 years. </w:t>
            </w:r>
          </w:p>
        </w:tc>
      </w:tr>
      <w:tr w:rsidR="006E391F" w:rsidRPr="00BC1144" w:rsidTr="00336FA0">
        <w:trPr>
          <w:cantSplit/>
        </w:trPr>
        <w:tc>
          <w:tcPr>
            <w:tcW w:w="5000" w:type="pct"/>
            <w:tcBorders>
              <w:top w:val="nil"/>
              <w:left w:val="nil"/>
              <w:bottom w:val="single" w:sz="6" w:space="0" w:color="78A22F"/>
              <w:right w:val="nil"/>
            </w:tcBorders>
            <w:shd w:val="clear" w:color="auto" w:fill="F2F2F2"/>
            <w:tcMar>
              <w:left w:w="170" w:type="dxa"/>
              <w:right w:w="170" w:type="dxa"/>
            </w:tcMar>
          </w:tcPr>
          <w:p w:rsidR="006E391F" w:rsidRPr="00BC1144" w:rsidRDefault="006E391F" w:rsidP="00336FA0">
            <w:pPr>
              <w:pStyle w:val="Space"/>
              <w:keepLines/>
            </w:pPr>
          </w:p>
        </w:tc>
      </w:tr>
      <w:tr w:rsidR="006E391F" w:rsidRPr="00BC1144" w:rsidTr="00336FA0">
        <w:trPr>
          <w:cantSplit/>
        </w:trPr>
        <w:tc>
          <w:tcPr>
            <w:tcW w:w="5000" w:type="pct"/>
            <w:tcBorders>
              <w:top w:val="single" w:sz="6" w:space="0" w:color="78A22F"/>
              <w:left w:val="nil"/>
              <w:bottom w:val="nil"/>
              <w:right w:val="nil"/>
            </w:tcBorders>
            <w:tcMar>
              <w:left w:w="170" w:type="dxa"/>
              <w:right w:w="170" w:type="dxa"/>
            </w:tcMar>
          </w:tcPr>
          <w:p w:rsidR="006E391F" w:rsidRPr="00BC1144" w:rsidRDefault="006E391F" w:rsidP="00336FA0">
            <w:pPr>
              <w:pStyle w:val="BoxSpaceBelow"/>
              <w:keepLines/>
            </w:pPr>
          </w:p>
        </w:tc>
      </w:tr>
    </w:tbl>
    <w:p w:rsidR="006E391F" w:rsidRPr="00BC1144" w:rsidRDefault="006E391F" w:rsidP="00336FA0">
      <w:pPr>
        <w:pStyle w:val="BodyText"/>
      </w:pPr>
      <w:r w:rsidRPr="00BC1144">
        <w:t>Despite the increase in enrolments by some equity groups, all remain significantly under</w:t>
      </w:r>
      <w:r w:rsidRPr="00BC1144">
        <w:noBreakHyphen/>
        <w:t>represented at university. This study maps the effects of people’s various characteristics at age 15 years on university attendance by age 22 years and how that affects equity group participation. It shows that there are two different reasons that explain why gaps in attendance persist: school achievement; and a range of cultural and environmental factors effects that are difficult to identify individually.</w:t>
      </w:r>
    </w:p>
    <w:p w:rsidR="006E391F" w:rsidRPr="00BC1144" w:rsidRDefault="006E391F" w:rsidP="00336FA0">
      <w:pPr>
        <w:pStyle w:val="BodyText"/>
      </w:pPr>
      <w:r w:rsidRPr="00BC1144">
        <w:t>Proficiency in literacy and numeracy at age 15 years is the strongest predictor of whether an individual will attend university and a major explanation for the under</w:t>
      </w:r>
      <w:r w:rsidRPr="00BC1144">
        <w:noBreakHyphen/>
        <w:t>representation of children from low socioeconomic backgrounds or from families with parents who did not attend university (figure 7).</w:t>
      </w:r>
      <w:r w:rsidRPr="00BC1144">
        <w:rPr>
          <w:rStyle w:val="FootnoteReference"/>
        </w:rPr>
        <w:footnoteReference w:id="3"/>
      </w:r>
      <w:r w:rsidRPr="00BC1144">
        <w:t xml:space="preserve"> Literacy and numeracy are also relevant factors in explaining why Indigenous and regional or remote children are less likely to attend university. As such, </w:t>
      </w:r>
      <w:r w:rsidRPr="00BC1144">
        <w:lastRenderedPageBreak/>
        <w:t xml:space="preserve">recent </w:t>
      </w:r>
      <w:r w:rsidR="00153D58" w:rsidRPr="00BC1144">
        <w:t xml:space="preserve">large </w:t>
      </w:r>
      <w:r w:rsidRPr="00BC1144">
        <w:t xml:space="preserve">declines in literacy and numeracy scores among regional or remote school children are of particular concern.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7</w:t>
            </w:r>
            <w:r w:rsidRPr="00BC1144">
              <w:tab/>
              <w:t>Improving literacy and numeracy may reduce under</w:t>
            </w:r>
            <w:r w:rsidRPr="00BC1144">
              <w:noBreakHyphen/>
              <w:t>representation of equity groups at university</w:t>
            </w:r>
          </w:p>
          <w:p w:rsidR="006E391F" w:rsidRPr="00BC1144" w:rsidRDefault="006E391F" w:rsidP="00336FA0">
            <w:pPr>
              <w:pStyle w:val="Subtitle"/>
            </w:pPr>
            <w:r w:rsidRPr="00BC1144">
              <w:t>Share of participation gap explained by variations in PISA scores</w:t>
            </w:r>
            <w:r w:rsidRPr="00BC1144">
              <w:rPr>
                <w:rStyle w:val="NoteLabel"/>
                <w:b w:val="0"/>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0469744C" wp14:editId="3FE48D4E">
                        <wp:extent cx="5401945" cy="2878455"/>
                        <wp:effectExtent l="0" t="0" r="8255" b="0"/>
                        <wp:docPr id="6" name="Picture 6" descr="Figure 7 shows a key factor, literacy and numeracy measured by PISA scores, of the individual, family, school and neighbourhood level factors that explain the underrepresentation of equity groups at university.  The under-representation is explained by poorer school achievement, which is shown in this figure (especially so for Low SES students), and a range of cultural and environmental factors that are not shown in thi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 xml:space="preserve">a </w:t>
            </w:r>
            <w:r w:rsidRPr="00BC1144">
              <w:t>The gap is between equity group and non</w:t>
            </w:r>
            <w:r w:rsidRPr="00BC1144">
              <w:noBreakHyphen/>
              <w:t>equity group participation rates.</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 xml:space="preserve">Put differently, strong foundational skills in literacy and numeracy are a powerful protective factor for children growing up in equity groups </w:t>
      </w:r>
      <w:r w:rsidR="00153D58" w:rsidRPr="00BC1144">
        <w:t>or from</w:t>
      </w:r>
      <w:r w:rsidRPr="00BC1144">
        <w:t xml:space="preserve"> disadvantaged backgrounds. Those children that succeed in school and attain literacy and numeracy in the top quartile attend university at fairly similar rates regardless of their background. </w:t>
      </w:r>
      <w:r w:rsidR="00153D58" w:rsidRPr="00BC1144">
        <w:t>By contrast, c</w:t>
      </w:r>
      <w:r w:rsidRPr="00BC1144">
        <w:t>hildren from equity groups with literacy and numeracy in the bottom quartile are about half as likely to attend university as equivalently capable children from more privileged backgrounds.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E391F" w:rsidRPr="00BC1144" w:rsidTr="00336FA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6E391F" w:rsidRPr="00BC1144" w:rsidRDefault="006E391F" w:rsidP="00336FA0">
            <w:pPr>
              <w:pStyle w:val="FindingTitle"/>
              <w:spacing w:before="120"/>
              <w:rPr>
                <w:noProof/>
              </w:rPr>
            </w:pPr>
            <w:r w:rsidRPr="00BC1144">
              <w:t>Finding 3</w:t>
            </w:r>
            <w:r w:rsidRPr="00BC1144">
              <w:rPr>
                <w:noProof/>
              </w:rPr>
              <w:t xml:space="preserve"> </w:t>
            </w:r>
          </w:p>
        </w:tc>
      </w:tr>
      <w:tr w:rsidR="006E391F" w:rsidRPr="00BC1144" w:rsidTr="00336FA0">
        <w:trPr>
          <w:cantSplit/>
        </w:trPr>
        <w:tc>
          <w:tcPr>
            <w:tcW w:w="5000" w:type="pct"/>
            <w:tcBorders>
              <w:top w:val="nil"/>
              <w:left w:val="nil"/>
              <w:bottom w:val="nil"/>
              <w:right w:val="nil"/>
            </w:tcBorders>
            <w:shd w:val="clear" w:color="auto" w:fill="F2F2F2"/>
            <w:tcMar>
              <w:left w:w="170" w:type="dxa"/>
              <w:right w:w="170" w:type="dxa"/>
            </w:tcMar>
          </w:tcPr>
          <w:p w:rsidR="006E391F" w:rsidRPr="00BC1144" w:rsidRDefault="006E391F" w:rsidP="00336FA0">
            <w:pPr>
              <w:pStyle w:val="Finding"/>
              <w:keepNext/>
            </w:pPr>
            <w:r w:rsidRPr="00BC1144">
              <w:t>All equity groups remain heavily under</w:t>
            </w:r>
            <w:r w:rsidRPr="00BC1144">
              <w:noBreakHyphen/>
              <w:t>represented at universities. Poorer average literacy and numeracy within these groups, when compared with the broader population, is one important source of this under</w:t>
            </w:r>
            <w:r w:rsidRPr="00BC1144">
              <w:noBreakHyphen/>
              <w:t>representation. Conversely, for people growing up in disadvantage, strong development of these foundational skills greatly increases their likelihood of university attendance.</w:t>
            </w:r>
          </w:p>
        </w:tc>
      </w:tr>
      <w:tr w:rsidR="006E391F" w:rsidRPr="00BC1144" w:rsidTr="00336FA0">
        <w:trPr>
          <w:cantSplit/>
        </w:trPr>
        <w:tc>
          <w:tcPr>
            <w:tcW w:w="5000" w:type="pct"/>
            <w:tcBorders>
              <w:top w:val="nil"/>
              <w:left w:val="nil"/>
              <w:bottom w:val="single" w:sz="6" w:space="0" w:color="78A22F"/>
              <w:right w:val="nil"/>
            </w:tcBorders>
            <w:shd w:val="clear" w:color="auto" w:fill="F2F2F2"/>
            <w:tcMar>
              <w:left w:w="170" w:type="dxa"/>
              <w:right w:w="170" w:type="dxa"/>
            </w:tcMar>
          </w:tcPr>
          <w:p w:rsidR="006E391F" w:rsidRPr="00BC1144" w:rsidRDefault="006E391F" w:rsidP="00336FA0">
            <w:pPr>
              <w:pStyle w:val="Space"/>
              <w:keepLines/>
            </w:pPr>
          </w:p>
        </w:tc>
      </w:tr>
      <w:tr w:rsidR="006E391F" w:rsidRPr="00BC1144" w:rsidTr="00336FA0">
        <w:trPr>
          <w:cantSplit/>
        </w:trPr>
        <w:tc>
          <w:tcPr>
            <w:tcW w:w="5000" w:type="pct"/>
            <w:tcBorders>
              <w:top w:val="single" w:sz="6" w:space="0" w:color="78A22F"/>
              <w:left w:val="nil"/>
              <w:bottom w:val="nil"/>
              <w:right w:val="nil"/>
            </w:tcBorders>
            <w:tcMar>
              <w:left w:w="170" w:type="dxa"/>
              <w:right w:w="170" w:type="dxa"/>
            </w:tcMar>
          </w:tcPr>
          <w:p w:rsidR="006E391F" w:rsidRPr="00BC1144" w:rsidRDefault="006E391F" w:rsidP="00336FA0">
            <w:pPr>
              <w:pStyle w:val="BoxSpaceBelow"/>
              <w:keepLines/>
            </w:pPr>
          </w:p>
        </w:tc>
      </w:tr>
    </w:tbl>
    <w:p w:rsidR="006E391F" w:rsidRPr="00BC1144" w:rsidRDefault="006E391F" w:rsidP="00336FA0">
      <w:pPr>
        <w:pStyle w:val="Heading4"/>
      </w:pPr>
      <w:r w:rsidRPr="00BC1144">
        <w:lastRenderedPageBreak/>
        <w:t>Outcomes</w:t>
      </w:r>
    </w:p>
    <w:p w:rsidR="006E391F" w:rsidRPr="00BC1144" w:rsidRDefault="006E391F" w:rsidP="00336FA0">
      <w:pPr>
        <w:pStyle w:val="BodyText"/>
      </w:pPr>
      <w:r w:rsidRPr="00BC1144">
        <w:t>Students from equity groups also face challenges when they attend university, as they:</w:t>
      </w:r>
    </w:p>
    <w:p w:rsidR="006E391F" w:rsidRPr="00BC1144" w:rsidRDefault="006E391F" w:rsidP="00336FA0">
      <w:pPr>
        <w:pStyle w:val="ListBullet"/>
      </w:pPr>
      <w:r w:rsidRPr="00BC1144">
        <w:t>enter university with poorer literacy and numeracy on average than students from more advantaged backgrounds</w:t>
      </w:r>
    </w:p>
    <w:p w:rsidR="006E391F" w:rsidRPr="00BC1144" w:rsidRDefault="006E391F" w:rsidP="00336FA0">
      <w:pPr>
        <w:pStyle w:val="ListBullet"/>
      </w:pPr>
      <w:r w:rsidRPr="00BC1144">
        <w:t xml:space="preserve">commence university at an older age on average (having spent some time working after completing school) </w:t>
      </w:r>
    </w:p>
    <w:p w:rsidR="006E391F" w:rsidRPr="00BC1144" w:rsidRDefault="006E391F" w:rsidP="00336FA0">
      <w:pPr>
        <w:pStyle w:val="ListBullet"/>
      </w:pPr>
      <w:r w:rsidRPr="00BC1144">
        <w:t xml:space="preserve">are more likely to study part time and work while they study. </w:t>
      </w:r>
    </w:p>
    <w:p w:rsidR="006E391F" w:rsidRPr="00BC1144" w:rsidRDefault="006E391F" w:rsidP="00336FA0">
      <w:pPr>
        <w:pStyle w:val="BodyText"/>
      </w:pPr>
      <w:r w:rsidRPr="00BC1144">
        <w:t>All of these factors are correlated with higher non</w:t>
      </w:r>
      <w:r w:rsidRPr="00BC1144">
        <w:noBreakHyphen/>
        <w:t>completion rates, which explains why equity groups tend to have higher drop</w:t>
      </w:r>
      <w:r w:rsidR="00153D58" w:rsidRPr="00BC1144">
        <w:t>-</w:t>
      </w:r>
      <w:r w:rsidRPr="00BC1144">
        <w:t xml:space="preserve">out and lower completion rates than students from non-equity groups. </w:t>
      </w:r>
    </w:p>
    <w:p w:rsidR="006E391F" w:rsidRPr="00BC1144" w:rsidRDefault="006E391F" w:rsidP="00336FA0">
      <w:pPr>
        <w:pStyle w:val="BodyText"/>
      </w:pPr>
      <w:r w:rsidRPr="00BC1144">
        <w:t>Moreover, students from equity groups whose participation can be ascribed to the demand driven system have fared more poorly in terms of drop</w:t>
      </w:r>
      <w:r w:rsidRPr="00BC1144">
        <w:noBreakHyphen/>
        <w:t>out rates and completions than students from equity groups who would have gone to university in the absence of the demand driven system. For example, in 2017, drop</w:t>
      </w:r>
      <w:r w:rsidRPr="00BC1144">
        <w:noBreakHyphen/>
        <w:t>out rates for an additional student who was a member of at least one equity group were around 21 per cent compared with around 15 per cent for their equity group peers who would have gone to university in the absence of the demand driven system. Relative completion rates were even more starkly different — at 42 and 60 per cent respectively — reflecting that additional students from equity groups had entered university when older and had not yet completed their studies by age 23 years. Accordingly while the demand driven system increased access to students from some equity groups, it has so far led to relatively modest increases in the number of completions by such students.</w:t>
      </w:r>
    </w:p>
    <w:p w:rsidR="006E391F" w:rsidRPr="00BC1144" w:rsidRDefault="006E391F" w:rsidP="00336FA0">
      <w:pPr>
        <w:pStyle w:val="BodyText"/>
      </w:pPr>
      <w:r w:rsidRPr="00BC1144">
        <w:t xml:space="preserve">There is insufficient information to gauge the labour market outcomes of additional students from equity groups, but the evidence for </w:t>
      </w:r>
      <w:r w:rsidRPr="00BC1144">
        <w:rPr>
          <w:i/>
        </w:rPr>
        <w:t>all</w:t>
      </w:r>
      <w:r w:rsidRPr="00BC1144">
        <w:t xml:space="preserve"> students from equity groups is that those that graduate tend to have outcomes that are on par with graduates from non</w:t>
      </w:r>
      <w:r w:rsidRPr="00BC1144">
        <w:noBreakHyphen/>
        <w:t xml:space="preserve">equity groups. For example, nearly 60 per cent of low SES students who complete university are employed in managerial and professional </w:t>
      </w:r>
      <w:r w:rsidR="00153D58" w:rsidRPr="00BC1144">
        <w:t>occupations</w:t>
      </w:r>
      <w:r w:rsidRPr="00BC1144">
        <w:t>.</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E391F" w:rsidRPr="00BC1144" w:rsidTr="00336FA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6E391F" w:rsidRPr="00BC1144" w:rsidRDefault="006E391F" w:rsidP="00336FA0">
            <w:pPr>
              <w:pStyle w:val="FindingTitle"/>
              <w:spacing w:before="120"/>
              <w:rPr>
                <w:noProof/>
              </w:rPr>
            </w:pPr>
            <w:r w:rsidRPr="00BC1144">
              <w:t>Finding 4</w:t>
            </w:r>
          </w:p>
        </w:tc>
      </w:tr>
      <w:tr w:rsidR="006E391F" w:rsidRPr="00BC1144" w:rsidTr="00336FA0">
        <w:trPr>
          <w:cantSplit/>
        </w:trPr>
        <w:tc>
          <w:tcPr>
            <w:tcW w:w="5000" w:type="pct"/>
            <w:tcBorders>
              <w:top w:val="nil"/>
              <w:left w:val="nil"/>
              <w:bottom w:val="nil"/>
              <w:right w:val="nil"/>
            </w:tcBorders>
            <w:shd w:val="clear" w:color="auto" w:fill="F2F2F2"/>
            <w:tcMar>
              <w:left w:w="170" w:type="dxa"/>
              <w:right w:w="170" w:type="dxa"/>
            </w:tcMar>
          </w:tcPr>
          <w:p w:rsidR="006E391F" w:rsidRPr="00BC1144" w:rsidRDefault="006E391F" w:rsidP="00336FA0">
            <w:pPr>
              <w:pStyle w:val="Finding"/>
              <w:keepNext/>
            </w:pPr>
            <w:r w:rsidRPr="00BC1144">
              <w:t>While university access for people from low SES backgrounds improved during the demand driven system, some of the gains were given up due to higher drop</w:t>
            </w:r>
            <w:r w:rsidRPr="00BC1144">
              <w:noBreakHyphen/>
              <w:t>out rates and lower completion rates.</w:t>
            </w:r>
          </w:p>
        </w:tc>
      </w:tr>
      <w:tr w:rsidR="006E391F" w:rsidRPr="00BC1144" w:rsidTr="00336FA0">
        <w:trPr>
          <w:cantSplit/>
        </w:trPr>
        <w:tc>
          <w:tcPr>
            <w:tcW w:w="5000" w:type="pct"/>
            <w:tcBorders>
              <w:top w:val="nil"/>
              <w:left w:val="nil"/>
              <w:bottom w:val="single" w:sz="6" w:space="0" w:color="78A22F"/>
              <w:right w:val="nil"/>
            </w:tcBorders>
            <w:shd w:val="clear" w:color="auto" w:fill="F2F2F2"/>
            <w:tcMar>
              <w:left w:w="170" w:type="dxa"/>
              <w:right w:w="170" w:type="dxa"/>
            </w:tcMar>
          </w:tcPr>
          <w:p w:rsidR="006E391F" w:rsidRPr="00BC1144" w:rsidRDefault="006E391F" w:rsidP="00336FA0">
            <w:pPr>
              <w:pStyle w:val="Space"/>
              <w:keepLines/>
            </w:pPr>
          </w:p>
        </w:tc>
      </w:tr>
      <w:tr w:rsidR="006E391F" w:rsidRPr="00BC1144" w:rsidTr="00336FA0">
        <w:trPr>
          <w:cantSplit/>
        </w:trPr>
        <w:tc>
          <w:tcPr>
            <w:tcW w:w="5000" w:type="pct"/>
            <w:tcBorders>
              <w:top w:val="single" w:sz="6" w:space="0" w:color="78A22F"/>
              <w:left w:val="nil"/>
              <w:bottom w:val="nil"/>
              <w:right w:val="nil"/>
            </w:tcBorders>
            <w:tcMar>
              <w:left w:w="170" w:type="dxa"/>
              <w:right w:w="170" w:type="dxa"/>
            </w:tcMar>
          </w:tcPr>
          <w:p w:rsidR="006E391F" w:rsidRPr="00BC1144" w:rsidRDefault="006E391F" w:rsidP="00336FA0">
            <w:pPr>
              <w:pStyle w:val="BoxSpaceBelow"/>
              <w:keepLines/>
            </w:pPr>
          </w:p>
        </w:tc>
      </w:tr>
    </w:tbl>
    <w:p w:rsidR="006E391F" w:rsidRPr="00BC1144" w:rsidRDefault="006E391F" w:rsidP="00CC4DB6">
      <w:pPr>
        <w:pStyle w:val="Heading2"/>
      </w:pPr>
      <w:bookmarkStart w:id="19" w:name="_Toc10805427"/>
      <w:r w:rsidRPr="00BC1144">
        <w:lastRenderedPageBreak/>
        <w:t>Implications for policy</w:t>
      </w:r>
      <w:bookmarkEnd w:id="19"/>
    </w:p>
    <w:p w:rsidR="006E391F" w:rsidRPr="00BC1144" w:rsidRDefault="006E391F" w:rsidP="00CC4DB6">
      <w:pPr>
        <w:pStyle w:val="BodyText"/>
        <w:keepNext/>
      </w:pPr>
      <w:r w:rsidRPr="00BC1144">
        <w:t>Governments have many policy levers that affect higher education access and outcomes. They can:</w:t>
      </w:r>
    </w:p>
    <w:p w:rsidR="006E391F" w:rsidRPr="00BC1144" w:rsidRDefault="006E391F" w:rsidP="00CC4DB6">
      <w:pPr>
        <w:pStyle w:val="ListBullet"/>
        <w:keepNext/>
      </w:pPr>
      <w:r w:rsidRPr="00BC1144">
        <w:t>use their substantial control over the school sector to attempt to improve school achievement, particularly literacy and numeracy, noting this has proved difficult to achieve in the past</w:t>
      </w:r>
    </w:p>
    <w:p w:rsidR="006E391F" w:rsidRPr="00BC1144" w:rsidRDefault="006E391F" w:rsidP="00336FA0">
      <w:pPr>
        <w:pStyle w:val="ListBullet"/>
      </w:pPr>
      <w:r w:rsidRPr="00BC1144">
        <w:t>try to address the range of environmental and cultural factors that cultivate a learning environment at school and affect aspiration to attend university</w:t>
      </w:r>
    </w:p>
    <w:p w:rsidR="006E391F" w:rsidRPr="00BC1144" w:rsidRDefault="006E391F" w:rsidP="00336FA0">
      <w:pPr>
        <w:pStyle w:val="ListBullet"/>
      </w:pPr>
      <w:r w:rsidRPr="00BC1144">
        <w:t>expand (or reduce) access by relaxing (or tightening) caps on government-supported places</w:t>
      </w:r>
    </w:p>
    <w:p w:rsidR="006E391F" w:rsidRPr="00BC1144" w:rsidRDefault="006E391F" w:rsidP="00336FA0">
      <w:pPr>
        <w:pStyle w:val="ListBullet"/>
      </w:pPr>
      <w:r w:rsidRPr="00BC1144">
        <w:t>require, or provide incentives for universities to provide greater support to students while at university.</w:t>
      </w:r>
    </w:p>
    <w:p w:rsidR="006E391F" w:rsidRPr="00BC1144" w:rsidRDefault="006E391F" w:rsidP="00336FA0">
      <w:pPr>
        <w:pStyle w:val="BodyText"/>
      </w:pPr>
      <w:r w:rsidRPr="00BC1144">
        <w:t xml:space="preserve">The move to a demand driven system focussed on the third of these. This was supplemented by additional funding through the Higher Education Participation and Partnerships Program (HEPPP) for universities to raise the aspiration of disadvantaged children and to provide additional support services. </w:t>
      </w:r>
    </w:p>
    <w:p w:rsidR="006E391F" w:rsidRPr="00BC1144" w:rsidRDefault="006E391F" w:rsidP="00336FA0">
      <w:pPr>
        <w:pStyle w:val="BodyText"/>
      </w:pPr>
      <w:r w:rsidRPr="00BC1144">
        <w:t>The demand driven system had several advantages over previous policies that severely rationed access. A series of reviews prior to its introduction indicated that pre-determining the number of university places allowed insufficient flexibility to meet the changing needs of the economy.</w:t>
      </w:r>
    </w:p>
    <w:p w:rsidR="006E391F" w:rsidRPr="00BC1144" w:rsidRDefault="006E391F" w:rsidP="00336FA0">
      <w:pPr>
        <w:pStyle w:val="BodyText"/>
        <w:rPr>
          <w:spacing w:val="-2"/>
        </w:rPr>
      </w:pPr>
      <w:r w:rsidRPr="00BC1144">
        <w:rPr>
          <w:spacing w:val="-2"/>
        </w:rPr>
        <w:t>Overall, this study shows the demand driven system delivered substantial benefits in improving equity of access to some groups. It made higher education accessible to some students from disadvantaged backgrounds and it allowed the number of places to flex in response to changes in demand. More than 40 per cent of additional students attracted through the demand driven system had graduated by age 23 years, and these graduates eventually transitioned into managerial and professional careers at rates similar to other students.</w:t>
      </w:r>
    </w:p>
    <w:p w:rsidR="006E391F" w:rsidRPr="00BC1144" w:rsidRDefault="006E391F" w:rsidP="00336FA0">
      <w:pPr>
        <w:pStyle w:val="BodyText"/>
      </w:pPr>
      <w:r w:rsidRPr="00BC1144">
        <w:t>This assessment of the success of the system needs to be tempered, though, by noting that many of the additional students did not succeed academically. And despite growth in the system, equity groups remain substantially under</w:t>
      </w:r>
      <w:r w:rsidRPr="00BC1144">
        <w:noBreakHyphen/>
        <w:t>represented.</w:t>
      </w:r>
    </w:p>
    <w:p w:rsidR="006E391F" w:rsidRPr="00BC1144" w:rsidRDefault="006E391F" w:rsidP="00336FA0">
      <w:pPr>
        <w:pStyle w:val="BodyText"/>
      </w:pPr>
      <w:r w:rsidRPr="00BC1144">
        <w:t>Designing tertiary entrance arrangements is a vexed policy problem given the difficulties in identifying those most likely to benefit from a university education. Government can open the net wide for entry by allowing demand to lead the system. This approach maximises access, but increases fiscal costs and, for students ill</w:t>
      </w:r>
      <w:r w:rsidRPr="00BC1144">
        <w:noBreakHyphen/>
        <w:t xml:space="preserve">suited to higher education, can waste their time, build up debt and cause them to forgo alternative job or education options. Alternatively, government can make the net narrow by constraining the supply of places. However, the most readily available filtering techniques for universities to use are imprecise (school achievement measured by ATAR) and this study shows that in the past that approach has denied a higher education to people who would have benefited greatly from it </w:t>
      </w:r>
      <w:r w:rsidRPr="00BC1144">
        <w:lastRenderedPageBreak/>
        <w:t>(particularly disadvantaged groups, who may have fewer university</w:t>
      </w:r>
      <w:r w:rsidRPr="00BC1144">
        <w:noBreakHyphen/>
        <w:t>educated role models in their family</w:t>
      </w:r>
      <w:r w:rsidR="00153D58" w:rsidRPr="00BC1144">
        <w:t xml:space="preserve"> or</w:t>
      </w:r>
      <w:r w:rsidRPr="00BC1144">
        <w:t xml:space="preserve"> neighbourhood).</w:t>
      </w:r>
    </w:p>
    <w:p w:rsidR="006E391F" w:rsidRPr="00BC1144" w:rsidRDefault="006E391F" w:rsidP="00336FA0">
      <w:pPr>
        <w:pStyle w:val="BodyText"/>
      </w:pPr>
      <w:r w:rsidRPr="00BC1144">
        <w:t>The current freeze on university funding may provide the Australian Government some fiscal breathing room. However, the long</w:t>
      </w:r>
      <w:r w:rsidRPr="00BC1144">
        <w:noBreakHyphen/>
        <w:t xml:space="preserve">run pressure will be to continue to increase the size of the sector given that the historical shift towards jobs </w:t>
      </w:r>
      <w:r w:rsidR="00153D58" w:rsidRPr="00BC1144">
        <w:t>requiring</w:t>
      </w:r>
      <w:r w:rsidRPr="00BC1144">
        <w:t xml:space="preserve"> complex cognitive skills is unlikely to abate. Australian Government policy foreshadows, from 2020, a return to growth in the number of university students, with funding levels subject to universities meeting performance targets. In a system that continues to expand, some of the lessons from eight years under the demand driven system may be of value to future policy design. This study points to a range of areas in which policy settings should be considered.</w:t>
      </w:r>
    </w:p>
    <w:p w:rsidR="006E391F" w:rsidRPr="00BC1144" w:rsidRDefault="006E391F" w:rsidP="00336FA0">
      <w:pPr>
        <w:pStyle w:val="Heading4"/>
      </w:pPr>
      <w:r w:rsidRPr="00BC1144">
        <w:t xml:space="preserve">Improving foundational skills of students </w:t>
      </w:r>
    </w:p>
    <w:p w:rsidR="006E391F" w:rsidRPr="00BC1144" w:rsidRDefault="006E391F" w:rsidP="00336FA0">
      <w:pPr>
        <w:pStyle w:val="BodyText"/>
      </w:pPr>
      <w:r w:rsidRPr="00BC1144">
        <w:t>Many of the additional students at university are arriving academically ill</w:t>
      </w:r>
      <w:r w:rsidRPr="00BC1144">
        <w:noBreakHyphen/>
        <w:t>prepared. This suggests that the Australian school system has insufficiently adapted to the role needed of it to prepare larger numbers of young people to succeed at university. While the entire distribution of achievement on literacy and numeracy at school is declining,</w:t>
      </w:r>
      <w:r w:rsidRPr="00BC1144">
        <w:rPr>
          <w:rStyle w:val="FootnoteReference"/>
        </w:rPr>
        <w:footnoteReference w:id="4"/>
      </w:r>
      <w:r w:rsidRPr="00BC1144">
        <w:t xml:space="preserve"> an overall trend that should be of concern, this study suggests that the university prospects of children from equity groups may be particularly affected. </w:t>
      </w:r>
    </w:p>
    <w:p w:rsidR="006E391F" w:rsidRPr="00BC1144" w:rsidRDefault="006E391F" w:rsidP="00336FA0">
      <w:pPr>
        <w:pStyle w:val="BodyText"/>
      </w:pPr>
      <w:r w:rsidRPr="00BC1144">
        <w:t>Improving the preparation of university students requires raising the skills of school students. While governments have some capacity to influence the factors outside the school environment that affect literacy and numeracy, they have multiple levers affecting the functioning of schools. For example, teacher quality is a key driver of student outcomes and is influenced by policy decisions about accreditation of university teaching courses, recruitment practices for teachers, professional standards, teacher support, performance assessment, requirements to teach in field and for professional development, and teacher salary structures among other factors.</w:t>
      </w:r>
      <w:r w:rsidRPr="00BC1144" w:rsidDel="007D10AE">
        <w:t xml:space="preserve"> </w:t>
      </w:r>
      <w:r w:rsidRPr="00BC1144">
        <w:t xml:space="preserve">The evidence base for policy decisions to improve schools is still piecemeal, as is its use for making such decisions </w:t>
      </w:r>
      <w:r w:rsidR="0092626E" w:rsidRPr="00BC1144">
        <w:rPr>
          <w:szCs w:val="24"/>
        </w:rPr>
        <w:t>(PC 2016)</w:t>
      </w:r>
      <w:r w:rsidRPr="00BC1144">
        <w:t xml:space="preserve">, and experts often have divergent views about the best approaches. Nevertheless, some answers to the problems look promising </w:t>
      </w:r>
      <w:r w:rsidR="0092626E" w:rsidRPr="00BC1144">
        <w:rPr>
          <w:szCs w:val="24"/>
        </w:rPr>
        <w:t>(PC 2017)</w:t>
      </w:r>
      <w:r w:rsidRPr="00BC1144">
        <w:t xml:space="preserve">. </w:t>
      </w:r>
    </w:p>
    <w:p w:rsidR="006E391F" w:rsidRPr="00BC1144" w:rsidRDefault="006E391F" w:rsidP="00336FA0">
      <w:pPr>
        <w:pStyle w:val="BodyText"/>
        <w:rPr>
          <w:szCs w:val="24"/>
        </w:rPr>
      </w:pPr>
      <w:r w:rsidRPr="00BC1144">
        <w:t xml:space="preserve">Along with the benefits that would arise from having better prepared university students, improved schooling outcomes would have wider benefits. There is widespread acknowledgement that acquiring sound foundational skills in literacy and numeracy is essential to developing the skilled workforce the Australian economy will need. </w:t>
      </w:r>
    </w:p>
    <w:p w:rsidR="006E391F" w:rsidRPr="00BC1144" w:rsidRDefault="006E391F" w:rsidP="00336FA0">
      <w:pPr>
        <w:pStyle w:val="Heading4"/>
      </w:pPr>
      <w:r w:rsidRPr="00BC1144">
        <w:lastRenderedPageBreak/>
        <w:t xml:space="preserve">The continuing access issues for </w:t>
      </w:r>
      <w:r w:rsidR="00153D58" w:rsidRPr="00BC1144">
        <w:t xml:space="preserve">regional </w:t>
      </w:r>
      <w:r w:rsidRPr="00BC1144">
        <w:t xml:space="preserve">or </w:t>
      </w:r>
      <w:r w:rsidR="00153D58" w:rsidRPr="00BC1144">
        <w:t xml:space="preserve">remote </w:t>
      </w:r>
      <w:r w:rsidRPr="00BC1144">
        <w:t>students</w:t>
      </w:r>
    </w:p>
    <w:p w:rsidR="006E391F" w:rsidRPr="00BC1144" w:rsidRDefault="006E391F" w:rsidP="00336FA0">
      <w:pPr>
        <w:pStyle w:val="BodyText"/>
      </w:pPr>
      <w:r w:rsidRPr="00BC1144">
        <w:t>Children growing up in regional or remote areas with the same academic ability as their metropolitan peers continue to be much less likely to attend university. While the current study has not investigated the reasons in detail, it seems likely the high cost (both monetary and non</w:t>
      </w:r>
      <w:r w:rsidRPr="00BC1144">
        <w:noBreakHyphen/>
        <w:t xml:space="preserve">monetary) of moving to the cities where major university campuses are located is a significant, and perhaps increasing, barrier. The Commission </w:t>
      </w:r>
      <w:r w:rsidR="0092626E" w:rsidRPr="00BC1144">
        <w:rPr>
          <w:szCs w:val="24"/>
        </w:rPr>
        <w:t>(PC 2017)</w:t>
      </w:r>
      <w:r w:rsidRPr="00BC1144">
        <w:t xml:space="preserve"> has previously noted that cost</w:t>
      </w:r>
      <w:r w:rsidRPr="00BC1144">
        <w:noBreakHyphen/>
        <w:t xml:space="preserve">effective and flexible ways of delivering education may bring benefits, such as massive </w:t>
      </w:r>
      <w:r w:rsidR="00153D58" w:rsidRPr="00BC1144">
        <w:t xml:space="preserve">open </w:t>
      </w:r>
      <w:r w:rsidRPr="00BC1144">
        <w:t xml:space="preserve">online courses (MOOCs) if accompanied with appropriate accreditation. </w:t>
      </w:r>
    </w:p>
    <w:p w:rsidR="006E391F" w:rsidRPr="00BC1144" w:rsidRDefault="006E391F" w:rsidP="00336FA0">
      <w:pPr>
        <w:pStyle w:val="Heading4"/>
      </w:pPr>
      <w:r w:rsidRPr="00BC1144">
        <w:t>Retention rates for additional students</w:t>
      </w:r>
    </w:p>
    <w:p w:rsidR="006E391F" w:rsidRPr="00BC1144" w:rsidRDefault="006E391F" w:rsidP="00336FA0">
      <w:pPr>
        <w:pStyle w:val="BodyText"/>
      </w:pPr>
      <w:r w:rsidRPr="00BC1144">
        <w:t>Declining retention rates require attention. There are two elements of this: admissions processes and remedial support. Admitting a larger group of students inevitably makes it more difficult to assess ahead of time which students will flourish academically. During the demand</w:t>
      </w:r>
      <w:r w:rsidRPr="00BC1144">
        <w:noBreakHyphen/>
        <w:t xml:space="preserve">led period, this challenge became more acute for some universities than for others. For example, the Group of Eight universities expanded domestic enrolments less than </w:t>
      </w:r>
      <w:r w:rsidR="00153D58" w:rsidRPr="00BC1144">
        <w:t>other universities</w:t>
      </w:r>
      <w:r w:rsidRPr="00BC1144">
        <w:t xml:space="preserve"> and, to the extent they did, were able to do so in part by enrolling students that otherwise would have attended and succeeded at other universities. Higher drop</w:t>
      </w:r>
      <w:r w:rsidRPr="00BC1144">
        <w:noBreakHyphen/>
        <w:t xml:space="preserve">out rates outside the Group of Eight, and some variation across the sector, should have been expected. Nevertheless, the Higher Education Standards Panel </w:t>
      </w:r>
      <w:r w:rsidR="0092626E" w:rsidRPr="00BC1144">
        <w:t>(2016b)</w:t>
      </w:r>
      <w:r w:rsidRPr="00BC1144">
        <w:t xml:space="preserve"> noted that particularly severe problems emerged for three universities (Swinburne, Federation and Tasmania), while conversely the University of Notre Dame used effective admissions processes that led to low subsequent drop</w:t>
      </w:r>
      <w:r w:rsidRPr="00BC1144">
        <w:noBreakHyphen/>
        <w:t xml:space="preserve">out rates. </w:t>
      </w:r>
    </w:p>
    <w:p w:rsidR="006E391F" w:rsidRPr="00BC1144" w:rsidRDefault="006E391F" w:rsidP="00336FA0">
      <w:pPr>
        <w:pStyle w:val="BodyText"/>
      </w:pPr>
      <w:r w:rsidRPr="00BC1144">
        <w:t xml:space="preserve">The other challenge is remedial support for students that enter with weak or incomplete foundational skills. The current structure of the HEPPP provides additional funding to universities in proportion to the number of students they enrol from equity groups, in part to meet the cost of additional support needed to allow some students to succeed. The policy most likely further encourages enrolments, though whether it delivers higher quality and more appropriate support services for these students is difficult to know with the </w:t>
      </w:r>
      <w:r w:rsidR="00153D58" w:rsidRPr="00BC1144">
        <w:t>limited</w:t>
      </w:r>
      <w:r w:rsidRPr="00BC1144">
        <w:t xml:space="preserve"> evidence base available on the scheme. </w:t>
      </w:r>
    </w:p>
    <w:p w:rsidR="006E391F" w:rsidRPr="00BC1144" w:rsidRDefault="006E391F" w:rsidP="00336FA0">
      <w:pPr>
        <w:pStyle w:val="BodyText"/>
      </w:pPr>
      <w:r w:rsidRPr="00BC1144">
        <w:t>The incentives for universities to manage drop</w:t>
      </w:r>
      <w:r w:rsidRPr="00BC1144">
        <w:noBreakHyphen/>
        <w:t>out risks are weak. By and large, universities’ incentives are to enrol more students. In many courses (particularly those without a laboratory component), the incremental costs of enrolling an additional student are low compared with the per</w:t>
      </w:r>
      <w:r w:rsidRPr="00BC1144">
        <w:noBreakHyphen/>
        <w:t>student revenue. The surplus is typically used to cross</w:t>
      </w:r>
      <w:r w:rsidRPr="00BC1144">
        <w:noBreakHyphen/>
        <w:t>subsidise research, which is often seen within universities as their preeminent and high</w:t>
      </w:r>
      <w:r w:rsidRPr="00BC1144">
        <w:noBreakHyphen/>
        <w:t>status purpose. This imperative for growth has not necessarily aligned with the needs of the student, nor the needs of Australian society and the economy.</w:t>
      </w:r>
    </w:p>
    <w:p w:rsidR="006E391F" w:rsidRPr="00BC1144" w:rsidRDefault="006E391F" w:rsidP="00336FA0">
      <w:pPr>
        <w:pStyle w:val="BodyText"/>
      </w:pPr>
      <w:r w:rsidRPr="00BC1144">
        <w:t xml:space="preserve">There are many ways in which universities could be required to have more ‘skin in the game’ </w:t>
      </w:r>
      <w:r w:rsidR="0092626E" w:rsidRPr="00BC1144">
        <w:rPr>
          <w:szCs w:val="24"/>
        </w:rPr>
        <w:t>(PC 2017)</w:t>
      </w:r>
      <w:r w:rsidRPr="00BC1144">
        <w:t xml:space="preserve">. The Australian Government </w:t>
      </w:r>
      <w:r w:rsidR="0092626E" w:rsidRPr="00BC1144">
        <w:t>(2018)</w:t>
      </w:r>
      <w:r w:rsidRPr="00BC1144">
        <w:t xml:space="preserve"> is currently consulting on performance metrics to be tied to university funding, which may include measures of student outcomes (such as student satisfaction, full</w:t>
      </w:r>
      <w:r w:rsidRPr="00BC1144">
        <w:noBreakHyphen/>
        <w:t xml:space="preserve">time employment four months after graduation, and </w:t>
      </w:r>
      <w:r w:rsidRPr="00BC1144">
        <w:lastRenderedPageBreak/>
        <w:t xml:space="preserve">employer satisfaction), course completion, equity, and student repayment of higher education loans. Any performance metrics tied to funding would need to be designed carefully to reward universities for ‘adding value’ to their students. They would need to avoid unintended incentives in favour of passing students regardless of their performance or against accepting students from disadvantaged backgrounds (who this study shows may be less likely to complete despite having similar capability). </w:t>
      </w:r>
    </w:p>
    <w:p w:rsidR="006E391F" w:rsidRPr="00BC1144" w:rsidRDefault="006E391F" w:rsidP="00336FA0">
      <w:pPr>
        <w:pStyle w:val="BodyText"/>
      </w:pPr>
      <w:r w:rsidRPr="00BC1144">
        <w:t>Another way to improve university incentives would be to help students make well</w:t>
      </w:r>
      <w:r w:rsidRPr="00BC1144">
        <w:noBreakHyphen/>
        <w:t xml:space="preserve">informed choices and ‘vote with their feet’. The Commission </w:t>
      </w:r>
      <w:r w:rsidR="0092626E" w:rsidRPr="00BC1144">
        <w:rPr>
          <w:szCs w:val="24"/>
        </w:rPr>
        <w:t>(PC 2017)</w:t>
      </w:r>
      <w:r w:rsidRPr="00BC1144">
        <w:t xml:space="preserve"> previously recommended establishing a single portal for students to access comprehensive and up</w:t>
      </w:r>
      <w:r w:rsidRPr="00BC1144">
        <w:noBreakHyphen/>
        <w:t>to</w:t>
      </w:r>
      <w:r w:rsidRPr="00BC1144">
        <w:noBreakHyphen/>
        <w:t>date information about the areas of skills need</w:t>
      </w:r>
      <w:r w:rsidR="00153D58" w:rsidRPr="00BC1144">
        <w:t>ed</w:t>
      </w:r>
      <w:r w:rsidRPr="00BC1144">
        <w:t>, educational requirements of careers, the range of education institutions providing relevant qualifications, and measures of their performance including student experiences and outcomes. Well</w:t>
      </w:r>
      <w:r w:rsidRPr="00BC1144">
        <w:noBreakHyphen/>
        <w:t xml:space="preserve">informed consumers </w:t>
      </w:r>
      <w:r w:rsidR="00153D58" w:rsidRPr="00BC1144">
        <w:t>who</w:t>
      </w:r>
      <w:r w:rsidRPr="00BC1144">
        <w:t xml:space="preserve"> can vote with their feet would contribute to aligning better university incentives with the needs of the Australian economy. </w:t>
      </w:r>
    </w:p>
    <w:p w:rsidR="006E391F" w:rsidRPr="00BC1144" w:rsidRDefault="006E391F" w:rsidP="00336FA0">
      <w:pPr>
        <w:pStyle w:val="BodyText"/>
      </w:pPr>
      <w:r w:rsidRPr="00BC1144">
        <w:t xml:space="preserve">Consideration should also be given to strengthening course counselling for students that encourages them to ‘fail fast, fail cheap’. While a benefit of the demand driven system was that more students could try university and see whether they </w:t>
      </w:r>
      <w:r w:rsidR="00153D58" w:rsidRPr="00BC1144">
        <w:t>were</w:t>
      </w:r>
      <w:r w:rsidRPr="00BC1144">
        <w:t xml:space="preserve"> well suited for it, early exit of those that prove ill</w:t>
      </w:r>
      <w:r w:rsidRPr="00BC1144">
        <w:noBreakHyphen/>
        <w:t xml:space="preserve">suited, despite remedial support, will mitigate the ‘debt and regret’ problem </w:t>
      </w:r>
      <w:r w:rsidR="0092626E" w:rsidRPr="00BC1144">
        <w:rPr>
          <w:szCs w:val="24"/>
        </w:rPr>
        <w:t>(Norton and Cherastidtham 2018)</w:t>
      </w:r>
      <w:r w:rsidRPr="00BC1144">
        <w:t>.</w:t>
      </w:r>
    </w:p>
    <w:p w:rsidR="006E391F" w:rsidRPr="00BC1144" w:rsidRDefault="006E391F" w:rsidP="00336FA0">
      <w:pPr>
        <w:pStyle w:val="Heading4"/>
      </w:pPr>
      <w:r w:rsidRPr="00BC1144">
        <w:t>Providing young people a range of options</w:t>
      </w:r>
    </w:p>
    <w:p w:rsidR="006E391F" w:rsidRPr="00BC1144" w:rsidRDefault="006E391F" w:rsidP="00336FA0">
      <w:pPr>
        <w:pStyle w:val="BodyText"/>
      </w:pPr>
      <w:r w:rsidRPr="00BC1144">
        <w:t>Finally, university education is never going to be the best option for everyone. An economy that presents young people with a range of viable alternative options is likely to produce more consistently good outcomes. The other major alternatives to university — a job or vocational training — have been undermined by relative weakness in the youth labour market and deep</w:t>
      </w:r>
      <w:r w:rsidRPr="00BC1144">
        <w:noBreakHyphen/>
        <w:t>seated challenges in the vocational education and training sector (VET). In a different environment, more of those for whom university may not have been the best option may have pursued these alternatives. The policy imperative is to ensure a well</w:t>
      </w:r>
      <w:r w:rsidRPr="00BC1144">
        <w:noBreakHyphen/>
        <w:t>functioning youth labour market and VET sector.</w:t>
      </w:r>
    </w:p>
    <w:p w:rsidR="006E391F" w:rsidRPr="00BC1144" w:rsidRDefault="006E391F" w:rsidP="00336FA0">
      <w:pPr>
        <w:pStyle w:val="BodyText"/>
      </w:pPr>
      <w:r w:rsidRPr="00BC1144">
        <w:t>The above remarks do not only apply to the additional students attracted by the demand driven system. Foundational skills have been falling across the board. Even prior to the demand driven system, full</w:t>
      </w:r>
      <w:r w:rsidRPr="00BC1144">
        <w:noBreakHyphen/>
        <w:t>time employment rates were falling for graduates and unemployment rates were rising. Policy initiatives to remedy the deficiencies in the education system — school, VET and university — have benefits that flow well beyond those that were the target of the demand driven system. This study points to a range of areas in which, regardless of the university funding model, policy settings may be able to improve the effectiveness of the system.</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E391F" w:rsidRPr="00BC1144" w:rsidTr="00336FA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6E391F" w:rsidRPr="00BC1144" w:rsidRDefault="006E391F" w:rsidP="00336FA0">
            <w:pPr>
              <w:pStyle w:val="FindingTitle"/>
              <w:spacing w:before="120"/>
              <w:rPr>
                <w:noProof/>
              </w:rPr>
            </w:pPr>
            <w:r w:rsidRPr="00BC1144">
              <w:t>policy challenges</w:t>
            </w:r>
          </w:p>
        </w:tc>
      </w:tr>
      <w:tr w:rsidR="006E391F" w:rsidRPr="00BC1144" w:rsidTr="00336FA0">
        <w:trPr>
          <w:cantSplit/>
        </w:trPr>
        <w:tc>
          <w:tcPr>
            <w:tcW w:w="5000" w:type="pct"/>
            <w:tcBorders>
              <w:top w:val="nil"/>
              <w:left w:val="nil"/>
              <w:bottom w:val="nil"/>
              <w:right w:val="nil"/>
            </w:tcBorders>
            <w:shd w:val="clear" w:color="auto" w:fill="F2F2F2"/>
            <w:tcMar>
              <w:left w:w="170" w:type="dxa"/>
              <w:right w:w="170" w:type="dxa"/>
            </w:tcMar>
          </w:tcPr>
          <w:p w:rsidR="006E391F" w:rsidRPr="00BC1144" w:rsidRDefault="006E391F" w:rsidP="00336FA0">
            <w:pPr>
              <w:pStyle w:val="Finding"/>
              <w:keepNext/>
            </w:pPr>
            <w:r w:rsidRPr="00BC1144">
              <w:t xml:space="preserve">There are many policy challenges that emerge from the experiences </w:t>
            </w:r>
            <w:r w:rsidR="00153D58" w:rsidRPr="00BC1144">
              <w:t>during</w:t>
            </w:r>
            <w:r w:rsidRPr="00BC1144">
              <w:t xml:space="preserve"> the demand driven system.</w:t>
            </w:r>
          </w:p>
          <w:p w:rsidR="006E391F" w:rsidRPr="00BC1144" w:rsidRDefault="006E391F" w:rsidP="00336FA0">
            <w:pPr>
              <w:pStyle w:val="FindingBullet"/>
            </w:pPr>
            <w:r w:rsidRPr="00BC1144">
              <w:t xml:space="preserve">Governments need to address the generally declining levels of proficiency of students, and particularly the growing share of school students who perform poorly. However, beyond some obvious initiatives, the question is what detailed package of policy measures would be most likely to be effective in reversing the decline. </w:t>
            </w:r>
          </w:p>
          <w:p w:rsidR="006E391F" w:rsidRPr="00BC1144" w:rsidRDefault="006E391F" w:rsidP="00336FA0">
            <w:pPr>
              <w:pStyle w:val="FindingBullet"/>
            </w:pPr>
            <w:r w:rsidRPr="00BC1144">
              <w:t>University enrolment practices and student support can help student retention without relinquishing standards, but universities have relatively weak incentives to change their practices. Prescriptive government requirements for entry and student support would discourage innovation and ignore the variations in the groups going to different universities. On the other hand, while rewards for universities to increase their retention rates overcome the problems of prescription, they may inadvertently lower standards or discriminate against groups with higher average likelihoods of dropping out. Devising a workable incentive regime entails difficult design issues, and better measures of outcomes for students beyond retention alone.</w:t>
            </w:r>
          </w:p>
          <w:p w:rsidR="006E391F" w:rsidRPr="00BC1144" w:rsidRDefault="006E391F" w:rsidP="00336FA0">
            <w:pPr>
              <w:pStyle w:val="FindingBullet"/>
            </w:pPr>
            <w:r w:rsidRPr="00BC1144">
              <w:t xml:space="preserve">Improving access to university by remote or regional students has proved resistant to policy, and may require more innovative models for their involvement. </w:t>
            </w:r>
          </w:p>
          <w:p w:rsidR="006E391F" w:rsidRPr="00BC1144" w:rsidRDefault="006E391F" w:rsidP="00153D58">
            <w:pPr>
              <w:pStyle w:val="FindingBullet"/>
            </w:pPr>
            <w:r w:rsidRPr="00BC1144">
              <w:t>The university system is not a desirable destination for all people, but weaknesses in the youth labour market and the vocational education and training system have made the alternatives less attractive.</w:t>
            </w:r>
          </w:p>
        </w:tc>
      </w:tr>
      <w:tr w:rsidR="006E391F" w:rsidRPr="00BC1144" w:rsidTr="00336FA0">
        <w:trPr>
          <w:cantSplit/>
        </w:trPr>
        <w:tc>
          <w:tcPr>
            <w:tcW w:w="5000" w:type="pct"/>
            <w:tcBorders>
              <w:top w:val="nil"/>
              <w:left w:val="nil"/>
              <w:bottom w:val="single" w:sz="6" w:space="0" w:color="78A22F"/>
              <w:right w:val="nil"/>
            </w:tcBorders>
            <w:shd w:val="clear" w:color="auto" w:fill="F2F2F2"/>
            <w:tcMar>
              <w:left w:w="170" w:type="dxa"/>
              <w:right w:w="170" w:type="dxa"/>
            </w:tcMar>
          </w:tcPr>
          <w:p w:rsidR="006E391F" w:rsidRPr="00BC1144" w:rsidRDefault="006E391F" w:rsidP="00336FA0">
            <w:pPr>
              <w:pStyle w:val="Space"/>
              <w:keepLines/>
            </w:pPr>
          </w:p>
        </w:tc>
      </w:tr>
      <w:tr w:rsidR="006E391F" w:rsidRPr="00BC1144" w:rsidTr="00336FA0">
        <w:trPr>
          <w:cantSplit/>
        </w:trPr>
        <w:tc>
          <w:tcPr>
            <w:tcW w:w="5000" w:type="pct"/>
            <w:tcBorders>
              <w:top w:val="single" w:sz="6" w:space="0" w:color="78A22F"/>
              <w:left w:val="nil"/>
              <w:bottom w:val="nil"/>
              <w:right w:val="nil"/>
            </w:tcBorders>
            <w:tcMar>
              <w:left w:w="170" w:type="dxa"/>
              <w:right w:w="170" w:type="dxa"/>
            </w:tcMar>
          </w:tcPr>
          <w:p w:rsidR="006E391F" w:rsidRPr="00BC1144" w:rsidRDefault="006E391F" w:rsidP="00336FA0">
            <w:pPr>
              <w:pStyle w:val="BoxSpaceBelow"/>
              <w:keepLines/>
            </w:pPr>
          </w:p>
        </w:tc>
      </w:tr>
    </w:tbl>
    <w:p w:rsidR="006E391F" w:rsidRPr="00BC1144" w:rsidRDefault="006E391F" w:rsidP="00336FA0">
      <w:pPr>
        <w:pStyle w:val="BodyText"/>
      </w:pPr>
    </w:p>
    <w:p w:rsidR="006E391F" w:rsidRPr="00BC1144" w:rsidRDefault="006E391F" w:rsidP="006E391F">
      <w:pPr>
        <w:sectPr w:rsidR="006E391F" w:rsidRPr="00BC1144" w:rsidSect="001070F2">
          <w:headerReference w:type="even" r:id="rId30"/>
          <w:headerReference w:type="default" r:id="rId31"/>
          <w:footerReference w:type="even" r:id="rId32"/>
          <w:footerReference w:type="default" r:id="rId33"/>
          <w:headerReference w:type="first" r:id="rId34"/>
          <w:footerReference w:type="first" r:id="rId35"/>
          <w:pgSz w:w="11907" w:h="16840" w:code="9"/>
          <w:pgMar w:top="1985" w:right="1304" w:bottom="1247" w:left="1814" w:header="1701" w:footer="397" w:gutter="0"/>
          <w:pgNumType w:start="1" w:chapSep="period"/>
          <w:cols w:space="720"/>
          <w:titlePg/>
          <w:docGrid w:linePitch="326"/>
        </w:sectPr>
      </w:pPr>
    </w:p>
    <w:p w:rsidR="006E391F" w:rsidRPr="00BC1144" w:rsidRDefault="006E391F" w:rsidP="00336FA0">
      <w:pPr>
        <w:pStyle w:val="Heading1"/>
        <w:spacing w:before="0"/>
      </w:pPr>
      <w:bookmarkStart w:id="20" w:name="_Toc10805428"/>
      <w:r w:rsidRPr="00BC1144">
        <w:lastRenderedPageBreak/>
        <w:t>1</w:t>
      </w:r>
      <w:r w:rsidRPr="00BC1144">
        <w:tab/>
      </w:r>
      <w:bookmarkStart w:id="21" w:name="ChapterTitle"/>
      <w:r w:rsidRPr="00BC1144">
        <w:t>Introduction</w:t>
      </w:r>
      <w:bookmarkEnd w:id="21"/>
      <w:bookmarkEnd w:id="20"/>
    </w:p>
    <w:p w:rsidR="006E391F" w:rsidRPr="00BC1144" w:rsidRDefault="006E391F" w:rsidP="00336FA0">
      <w:pPr>
        <w:pStyle w:val="Heading2"/>
      </w:pPr>
      <w:bookmarkStart w:id="22" w:name="begin"/>
      <w:bookmarkStart w:id="23" w:name="_Toc10805429"/>
      <w:bookmarkEnd w:id="22"/>
      <w:r w:rsidRPr="00BC1144">
        <w:t>1.</w:t>
      </w:r>
      <w:r w:rsidRPr="00BC1144">
        <w:rPr>
          <w:noProof/>
        </w:rPr>
        <w:t>1</w:t>
      </w:r>
      <w:r w:rsidRPr="00BC1144">
        <w:tab/>
        <w:t>Why this study?</w:t>
      </w:r>
      <w:bookmarkEnd w:id="23"/>
      <w:r w:rsidRPr="00BC1144">
        <w:t xml:space="preserve"> </w:t>
      </w:r>
    </w:p>
    <w:p w:rsidR="006E391F" w:rsidRPr="00BC1144" w:rsidRDefault="006E391F" w:rsidP="00CC4DB6">
      <w:pPr>
        <w:pStyle w:val="BodyText"/>
        <w:spacing w:before="200"/>
      </w:pPr>
      <w:r w:rsidRPr="00BC1144">
        <w:t xml:space="preserve">Higher education is a pathway for many to rewarding careers and delivers broader benefits to the community. Graduates have higher labour force participation, employment rates and earnings — which for government also means that they pay more taxes and receive fewer social welfare payments on average. They are more adaptable as an economy changes and increase the productivity of those they work with </w:t>
      </w:r>
      <w:r w:rsidR="0092626E" w:rsidRPr="00BC1144">
        <w:rPr>
          <w:szCs w:val="24"/>
        </w:rPr>
        <w:t>(Becker 1962; Glaeser and Saiz 2003; OECD 2008)</w:t>
      </w:r>
      <w:r w:rsidRPr="00BC1144">
        <w:t>. The broad benefits of tertiary study and the difficulties students (particularly from less well</w:t>
      </w:r>
      <w:r w:rsidRPr="00BC1144">
        <w:noBreakHyphen/>
        <w:t>off families) face in funding their education have long been recognised as justifying a government role in funding and provision.</w:t>
      </w:r>
    </w:p>
    <w:p w:rsidR="006E391F" w:rsidRPr="00BC1144" w:rsidRDefault="006E391F" w:rsidP="00CC4DB6">
      <w:pPr>
        <w:pStyle w:val="BodyText"/>
        <w:spacing w:before="200"/>
      </w:pPr>
      <w:r w:rsidRPr="00BC1144">
        <w:t>Young people also have limited information about study opportunities and the careers they may lead to. Some grow up with fewer university-educated role models, which may discourage aspiration for higher education. Though not all people benefit from going to university, there is a role for government to help them make well</w:t>
      </w:r>
      <w:r w:rsidRPr="00BC1144">
        <w:noBreakHyphen/>
        <w:t xml:space="preserve">informed study decisions </w:t>
      </w:r>
      <w:r w:rsidR="0092626E" w:rsidRPr="00BC1144">
        <w:rPr>
          <w:szCs w:val="24"/>
        </w:rPr>
        <w:t>(PC 2017)</w:t>
      </w:r>
      <w:r w:rsidRPr="00BC1144">
        <w:t>.</w:t>
      </w:r>
    </w:p>
    <w:p w:rsidR="006E391F" w:rsidRPr="00BC1144" w:rsidRDefault="006E391F" w:rsidP="00CC4DB6">
      <w:pPr>
        <w:pStyle w:val="BodyText"/>
        <w:spacing w:before="200"/>
      </w:pPr>
      <w:r w:rsidRPr="00BC1144">
        <w:t>The introduction of the demand driven system was the most fundamental change in the Australian higher education system in two decades. Beginning with a step up in government</w:t>
      </w:r>
      <w:r w:rsidRPr="00BC1144">
        <w:noBreakHyphen/>
        <w:t xml:space="preserve">funded places in 2010 and 2011, from 2012 the demand driven system saw the government extend financial support — in the form of partial payment of course costs and income contingent loans to meet the remainder — to every domestic undergraduate student that universities chose to enrol. </w:t>
      </w:r>
    </w:p>
    <w:p w:rsidR="006E391F" w:rsidRPr="00BC1144" w:rsidRDefault="006E391F" w:rsidP="00CC4DB6">
      <w:pPr>
        <w:pStyle w:val="BodyText"/>
        <w:spacing w:before="200"/>
      </w:pPr>
      <w:r w:rsidRPr="00BC1144">
        <w:t>The demand driven system ceased at the end of 2017. The Australian Government has limited funding for 2018 and 2019 to the 2017 level. From 2020, the Australian Government intends to link future growth in nominal funding to performance targets for individual universities, with a maximum rate in line with growth in the 15</w:t>
      </w:r>
      <w:r w:rsidRPr="00BC1144">
        <w:noBreakHyphen/>
        <w:t xml:space="preserve">64 year old population </w:t>
      </w:r>
      <w:r w:rsidR="0092626E" w:rsidRPr="00BC1144">
        <w:rPr>
          <w:szCs w:val="24"/>
        </w:rPr>
        <w:t>(Australian Government 2017b, 2017a)</w:t>
      </w:r>
      <w:r w:rsidRPr="00BC1144">
        <w:t>.</w:t>
      </w:r>
    </w:p>
    <w:p w:rsidR="006E391F" w:rsidRPr="00BC1144" w:rsidRDefault="006E391F" w:rsidP="00CC4DB6">
      <w:pPr>
        <w:pStyle w:val="BodyText"/>
        <w:spacing w:before="200"/>
      </w:pPr>
      <w:r w:rsidRPr="00BC1144">
        <w:t>This study documents what happened during the demand driven system. It is largely a descriptive analysis, drawing on administrative and population data. The study also explores the extent to which the previous system gave access to various student groups, and considers some of the costs and benefits of moving to a demand driven system.</w:t>
      </w:r>
    </w:p>
    <w:p w:rsidR="006E391F" w:rsidRPr="00BC1144" w:rsidRDefault="006E391F" w:rsidP="00336FA0">
      <w:pPr>
        <w:pStyle w:val="BodyText"/>
      </w:pPr>
      <w:r w:rsidRPr="00BC1144">
        <w:t>The study seeks to address two research questions:</w:t>
      </w:r>
    </w:p>
    <w:p w:rsidR="006E391F" w:rsidRPr="00BC1144" w:rsidRDefault="006E391F" w:rsidP="00CC4DB6">
      <w:pPr>
        <w:pStyle w:val="ListNumber"/>
        <w:numPr>
          <w:ilvl w:val="0"/>
          <w:numId w:val="31"/>
        </w:numPr>
      </w:pPr>
      <w:r w:rsidRPr="00BC1144">
        <w:t>Who are the additional students who enrolled in university under the demand driven system who would not have had the opportunity in earlier periods, and what are the academic and labour market outcomes they achieved?</w:t>
      </w:r>
    </w:p>
    <w:p w:rsidR="006E391F" w:rsidRPr="00BC1144" w:rsidRDefault="006E391F" w:rsidP="00336FA0">
      <w:pPr>
        <w:pStyle w:val="ListNumber"/>
      </w:pPr>
      <w:r w:rsidRPr="00BC1144">
        <w:lastRenderedPageBreak/>
        <w:t>To what extent was the demand driven system more accessible to people from under</w:t>
      </w:r>
      <w:r w:rsidRPr="00BC1144">
        <w:noBreakHyphen/>
        <w:t xml:space="preserve">represented groups? And what factors explain why people from these ‘equity groups’ — Indigenous people, those from low socioeconomic backgrounds or whose parents did not attend university, and those from regional </w:t>
      </w:r>
      <w:r w:rsidR="0052369A" w:rsidRPr="00BC1144">
        <w:t>or</w:t>
      </w:r>
      <w:r w:rsidRPr="00BC1144">
        <w:t xml:space="preserve"> remote areas — remain under</w:t>
      </w:r>
      <w:r w:rsidRPr="00BC1144">
        <w:noBreakHyphen/>
        <w:t>represented?</w:t>
      </w:r>
    </w:p>
    <w:p w:rsidR="006E391F" w:rsidRPr="00BC1144" w:rsidRDefault="006E391F" w:rsidP="00336FA0">
      <w:pPr>
        <w:pStyle w:val="Heading2"/>
        <w:spacing w:before="480"/>
      </w:pPr>
      <w:bookmarkStart w:id="24" w:name="_Toc10805430"/>
      <w:r w:rsidRPr="00BC1144">
        <w:t>1.</w:t>
      </w:r>
      <w:r w:rsidRPr="00BC1144">
        <w:rPr>
          <w:noProof/>
        </w:rPr>
        <w:t>2</w:t>
      </w:r>
      <w:r w:rsidRPr="00BC1144">
        <w:tab/>
        <w:t xml:space="preserve">Setting the scene </w:t>
      </w:r>
      <w:r w:rsidRPr="00BC1144">
        <w:rPr>
          <w:rFonts w:cs="Arial"/>
        </w:rPr>
        <w:t>—</w:t>
      </w:r>
      <w:r w:rsidRPr="00BC1144">
        <w:t xml:space="preserve"> the evolution of Australian higher education policy</w:t>
      </w:r>
      <w:bookmarkEnd w:id="24"/>
    </w:p>
    <w:p w:rsidR="006E391F" w:rsidRPr="00BC1144" w:rsidRDefault="006E391F" w:rsidP="00336FA0">
      <w:pPr>
        <w:pStyle w:val="BodyText"/>
        <w:tabs>
          <w:tab w:val="left" w:pos="1134"/>
          <w:tab w:val="left" w:pos="1560"/>
        </w:tabs>
      </w:pPr>
      <w:r w:rsidRPr="00BC1144">
        <w:t>The Australian higher education system has expanded in phases, with each phase marked by different rules or rationing mechanisms — some highly restrictive, some permissive — that determined who can participate (figure 1.1). Each change in rules has shifted the balance between capability (as measured by relative performance at school, currently through the Australian Tertiary Admission Rank or ATAR) and funding as the basis for rationing places. In the 1950s and 1960s, the ability to pay tuition fees up front (often by students’ parents) was a large part of the rationing mechanism. Tuition fees were abolished in 1974 and by the mid</w:t>
      </w:r>
      <w:r w:rsidRPr="00BC1144">
        <w:noBreakHyphen/>
        <w:t>1980s student demand far outpaced the supply of places. Rising school completion rates and an increase in the number of 17</w:t>
      </w:r>
      <w:r w:rsidRPr="00BC1144">
        <w:noBreakHyphen/>
        <w:t>19 year olds intensified pressure on the system.</w:t>
      </w:r>
    </w:p>
    <w:p w:rsidR="001C0939" w:rsidRPr="00BC1144" w:rsidRDefault="001C0939" w:rsidP="001C0939">
      <w:pPr>
        <w:pStyle w:val="BodyText"/>
      </w:pPr>
      <w:r w:rsidRPr="00BC1144">
        <w:t xml:space="preserve">These pressures led to sweeping reforms, guided by the Dawkins white paper </w:t>
      </w:r>
      <w:r w:rsidR="0092626E" w:rsidRPr="00BC1144">
        <w:rPr>
          <w:szCs w:val="24"/>
        </w:rPr>
        <w:t>(Dawkins 1987)</w:t>
      </w:r>
      <w:r w:rsidRPr="00BC1144">
        <w:t>. The aim of the white paper was to enhance the ‘quality, diversity and equity of access’ to education while improving the ‘international competitiveness’ of Australian universities. To balance the fiscal burden of growing student numbers while maintaining access, Dawkins recommended introducing the Higher Education Contribution Scheme (HECS), an income</w:t>
      </w:r>
      <w:r w:rsidRPr="00BC1144">
        <w:noBreakHyphen/>
        <w:t>contingent government loan at a concessional interest rate.</w:t>
      </w:r>
    </w:p>
    <w:p w:rsidR="001C0939" w:rsidRPr="00BC1144" w:rsidRDefault="001C0939" w:rsidP="001C0939">
      <w:pPr>
        <w:pStyle w:val="BodyText"/>
      </w:pPr>
      <w:r w:rsidRPr="00BC1144">
        <w:t>Dawkins also identified six under</w:t>
      </w:r>
      <w:r w:rsidRPr="00BC1144">
        <w:noBreakHyphen/>
        <w:t xml:space="preserve">represented populations, termed ‘equity’ groups </w:t>
      </w:r>
      <w:r w:rsidR="0092626E" w:rsidRPr="00BC1144">
        <w:rPr>
          <w:szCs w:val="24"/>
        </w:rPr>
        <w:t>(Dawkins 1990)</w:t>
      </w:r>
      <w:r w:rsidRPr="00BC1144">
        <w:t xml:space="preserve"> — whose participation the Australian Government still tracks as partial metrics of the success of the university system. These were people:</w:t>
      </w:r>
    </w:p>
    <w:p w:rsidR="001C0939" w:rsidRPr="00BC1144" w:rsidRDefault="001C0939" w:rsidP="001C0939">
      <w:pPr>
        <w:pStyle w:val="ListNumber2"/>
        <w:numPr>
          <w:ilvl w:val="1"/>
          <w:numId w:val="20"/>
        </w:numPr>
      </w:pPr>
      <w:r w:rsidRPr="00BC1144">
        <w:t>who identify as Indigenous</w:t>
      </w:r>
    </w:p>
    <w:p w:rsidR="001C0939" w:rsidRPr="00BC1144" w:rsidRDefault="001C0939" w:rsidP="001C0939">
      <w:pPr>
        <w:pStyle w:val="ListNumber2"/>
        <w:numPr>
          <w:ilvl w:val="1"/>
          <w:numId w:val="20"/>
        </w:numPr>
      </w:pPr>
      <w:r w:rsidRPr="00BC1144">
        <w:t>from low SES (socioeconomic status) backgrounds</w:t>
      </w:r>
    </w:p>
    <w:p w:rsidR="001C0939" w:rsidRPr="00BC1144" w:rsidRDefault="001C0939" w:rsidP="001C0939">
      <w:pPr>
        <w:pStyle w:val="ListNumber2"/>
        <w:numPr>
          <w:ilvl w:val="1"/>
          <w:numId w:val="20"/>
        </w:numPr>
      </w:pPr>
      <w:r w:rsidRPr="00BC1144">
        <w:t xml:space="preserve">from regional </w:t>
      </w:r>
      <w:r w:rsidR="0052369A" w:rsidRPr="00BC1144">
        <w:t>or</w:t>
      </w:r>
      <w:r w:rsidRPr="00BC1144">
        <w:t xml:space="preserve"> remote areas</w:t>
      </w:r>
    </w:p>
    <w:p w:rsidR="001C0939" w:rsidRPr="00BC1144" w:rsidRDefault="001C0939" w:rsidP="001C0939">
      <w:pPr>
        <w:pStyle w:val="ListNumber2"/>
        <w:numPr>
          <w:ilvl w:val="1"/>
          <w:numId w:val="20"/>
        </w:numPr>
      </w:pPr>
      <w:r w:rsidRPr="00BC1144">
        <w:t>from non</w:t>
      </w:r>
      <w:r w:rsidRPr="00BC1144">
        <w:noBreakHyphen/>
        <w:t>English speaking backgrounds (NESB)</w:t>
      </w:r>
    </w:p>
    <w:p w:rsidR="001C0939" w:rsidRPr="00BC1144" w:rsidRDefault="001C0939" w:rsidP="001C0939">
      <w:pPr>
        <w:pStyle w:val="ListNumber2"/>
        <w:numPr>
          <w:ilvl w:val="1"/>
          <w:numId w:val="20"/>
        </w:numPr>
      </w:pPr>
      <w:r w:rsidRPr="00BC1144">
        <w:t>with a disability</w:t>
      </w:r>
    </w:p>
    <w:p w:rsidR="001C0939" w:rsidRPr="00BC1144" w:rsidRDefault="001C0939" w:rsidP="001C0939">
      <w:pPr>
        <w:pStyle w:val="ListNumber2"/>
        <w:numPr>
          <w:ilvl w:val="1"/>
          <w:numId w:val="20"/>
        </w:numPr>
      </w:pPr>
      <w:r w:rsidRPr="00BC1144">
        <w:t>who are women in non</w:t>
      </w:r>
      <w:r w:rsidRPr="00BC1144">
        <w:noBreakHyphen/>
        <w:t>traditional areas of study.</w:t>
      </w:r>
      <w:r w:rsidRPr="00BC1144">
        <w:rPr>
          <w:rStyle w:val="FootnoteReference"/>
        </w:rPr>
        <w:footnoteReference w:id="5"/>
      </w:r>
      <w:r w:rsidRPr="00BC1144">
        <w:t xml:space="preserve">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1.</w:t>
            </w:r>
            <w:r w:rsidRPr="00BC1144">
              <w:rPr>
                <w:b w:val="0"/>
                <w:noProof/>
              </w:rPr>
              <w:t>1</w:t>
            </w:r>
            <w:r w:rsidRPr="00BC1144">
              <w:tab/>
              <w:t>The demand driven system saw student numbers rise …</w:t>
            </w:r>
          </w:p>
          <w:p w:rsidR="006E391F" w:rsidRPr="00BC1144" w:rsidRDefault="006E391F" w:rsidP="00336FA0">
            <w:pPr>
              <w:pStyle w:val="Subtitle"/>
            </w:pPr>
            <w:r w:rsidRPr="00BC1144">
              <w:rPr>
                <w:sz w:val="22"/>
              </w:rPr>
              <w:t>Domestic undergraduate enrolments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E877D30" wp14:editId="63469303">
                        <wp:extent cx="5401945" cy="3242945"/>
                        <wp:effectExtent l="0" t="0" r="8255" b="0"/>
                        <wp:docPr id="4" name="Picture 4" descr="Figure 1.1 shows the number of domestic undergraduate students enrolled at Australian universities from 1950 to 2017. Enrolments have consistently increased over this time, with clear series breaks where policy changed. University fees were abolished and teachers’ colleges integrated in 1974; income-contingent loans were introduced following the Dawkins Review in 1989; loans for full-fee paying students were introduced following the Nelson Review in 2005; and the demand driven system was introduced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1945" cy="324294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rPr>
                <w:szCs w:val="18"/>
              </w:rPr>
              <w:t xml:space="preserve"> Data from 1950 to 1988 include students enrolled in sub</w:t>
            </w:r>
            <w:r w:rsidRPr="00BC1144">
              <w:rPr>
                <w:szCs w:val="18"/>
              </w:rPr>
              <w:noBreakHyphen/>
              <w:t>bachelor degrees and international students; data from 1989 are for domestic bachelor degree students. The increase in 1974 reflects the integration of teachers’ colleges into the higher education system and the elimination of university fees.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w:t>
            </w:r>
            <w:r w:rsidRPr="00BC1144">
              <w:rPr>
                <w:i/>
              </w:rPr>
              <w:t xml:space="preserve"> </w:t>
            </w:r>
            <w:r w:rsidRPr="00BC1144">
              <w:t xml:space="preserve">DET </w:t>
            </w:r>
            <w:r w:rsidR="0092626E" w:rsidRPr="00BC1144">
              <w:rPr>
                <w:rFonts w:cs="Arial"/>
              </w:rPr>
              <w:t>(2008, 2018b)</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 xml:space="preserve">The reforms placed the onus of improving equity of access largely on the universities themselves </w:t>
      </w:r>
      <w:r w:rsidR="0092626E" w:rsidRPr="00BC1144">
        <w:rPr>
          <w:szCs w:val="24"/>
        </w:rPr>
        <w:t>(Dawkins 1990)</w:t>
      </w:r>
      <w:r w:rsidRPr="00BC1144">
        <w:t>. This study considers the first three of these groups, as well as ‘first in family’ students whose parents did not attend university.</w:t>
      </w:r>
      <w:r w:rsidRPr="00BC1144">
        <w:rPr>
          <w:rStyle w:val="FootnoteReference"/>
        </w:rPr>
        <w:footnoteReference w:id="6"/>
      </w:r>
      <w:r w:rsidRPr="00BC1144">
        <w:t xml:space="preserve"> </w:t>
      </w:r>
    </w:p>
    <w:p w:rsidR="006E391F" w:rsidRPr="00BC1144" w:rsidRDefault="006E391F" w:rsidP="00336FA0">
      <w:pPr>
        <w:pStyle w:val="BodyText"/>
        <w:spacing w:before="200"/>
      </w:pPr>
      <w:r w:rsidRPr="00BC1144">
        <w:t>Following the Dawkins reforms, the total number of government</w:t>
      </w:r>
      <w:r w:rsidRPr="00BC1144">
        <w:noBreakHyphen/>
        <w:t>supported places grew at a rate determined by the Australian Government, with quotas allocated to each university. Universities received capped funding amounts according to the quotas, which specified the distribution of government</w:t>
      </w:r>
      <w:r w:rsidRPr="00BC1144">
        <w:noBreakHyphen/>
        <w:t xml:space="preserve">supported places between field of study ‘funding clusters’, which the government defines. </w:t>
      </w:r>
    </w:p>
    <w:p w:rsidR="006E391F" w:rsidRPr="00BC1144" w:rsidRDefault="006E391F" w:rsidP="00336FA0">
      <w:pPr>
        <w:pStyle w:val="BodyText"/>
        <w:spacing w:before="200"/>
      </w:pPr>
      <w:r w:rsidRPr="00BC1144">
        <w:t>While participation by most equity groups rose, the gap with non</w:t>
      </w:r>
      <w:r w:rsidRPr="00BC1144">
        <w:noBreakHyphen/>
        <w:t xml:space="preserve">equity groups did not close meaningfully. This was observed in both the ‘West Review’ </w:t>
      </w:r>
      <w:r w:rsidR="0092626E" w:rsidRPr="00BC1144">
        <w:rPr>
          <w:szCs w:val="24"/>
        </w:rPr>
        <w:t>(West 1998)</w:t>
      </w:r>
      <w:r w:rsidRPr="00BC1144">
        <w:t xml:space="preserve"> and the </w:t>
      </w:r>
      <w:r w:rsidR="0052369A" w:rsidRPr="00BC1144">
        <w:t>‘</w:t>
      </w:r>
      <w:r w:rsidRPr="00BC1144">
        <w:t>Nelson Review</w:t>
      </w:r>
      <w:r w:rsidR="0052369A" w:rsidRPr="00BC1144">
        <w:t>’</w:t>
      </w:r>
      <w:r w:rsidRPr="00BC1144">
        <w:t xml:space="preserve"> </w:t>
      </w:r>
      <w:r w:rsidR="0092626E" w:rsidRPr="00BC1144">
        <w:rPr>
          <w:szCs w:val="24"/>
        </w:rPr>
        <w:t>(Nelson 2002)</w:t>
      </w:r>
      <w:r w:rsidRPr="00BC1144">
        <w:t xml:space="preserve">, and motivated their recommendations. Further, it became clear that the system did not align well the supply of places with the demand for skilled workers in the </w:t>
      </w:r>
      <w:r w:rsidRPr="00BC1144">
        <w:lastRenderedPageBreak/>
        <w:t xml:space="preserve">economy. Instead of flexing with the demand of capable potential students, supply tended to respond with a lag, evident in a volatile offer rate from year to year (figure 1.2). </w:t>
      </w:r>
    </w:p>
    <w:p w:rsidR="00336FA0" w:rsidRPr="00BC1144" w:rsidRDefault="00336FA0" w:rsidP="00336FA0">
      <w:pPr>
        <w:pStyle w:val="BodyText"/>
        <w:spacing w:before="200"/>
      </w:pPr>
      <w:r w:rsidRPr="00BC1144">
        <w:t>The Nelson Review also gave prominence to greater access to university, including an emphasis on an expansion of full</w:t>
      </w:r>
      <w:r w:rsidRPr="00BC1144">
        <w:noBreakHyphen/>
        <w:t xml:space="preserve">fee-paying places </w:t>
      </w:r>
      <w:r w:rsidR="0092626E" w:rsidRPr="00BC1144">
        <w:rPr>
          <w:szCs w:val="24"/>
        </w:rPr>
        <w:t>(Nelson 2002)</w:t>
      </w:r>
      <w:r w:rsidRPr="00BC1144">
        <w:t>. Following the review, the Australian Government made loans available to full</w:t>
      </w:r>
      <w:r w:rsidRPr="00BC1144">
        <w:noBreakHyphen/>
        <w:t>fee</w:t>
      </w:r>
      <w:r w:rsidRPr="00BC1144">
        <w:noBreakHyphen/>
        <w:t>paying students and allowed universities to enrol larger numbers of them, while also raising the contributions paid by government</w:t>
      </w:r>
      <w:r w:rsidRPr="00BC1144">
        <w:noBreakHyphen/>
        <w:t>supported students. The changes did not appreciably raise equity of access and played only a limited role in meeting demand, with full</w:t>
      </w:r>
      <w:r w:rsidRPr="00BC1144">
        <w:noBreakHyphen/>
        <w:t>fee-paying places never accounting for more than 3 per cent of domestic undergraduate enrolments in public universities.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1.</w:t>
            </w:r>
            <w:r w:rsidRPr="00BC1144">
              <w:rPr>
                <w:b w:val="0"/>
                <w:noProof/>
              </w:rPr>
              <w:t>2</w:t>
            </w:r>
            <w:r w:rsidRPr="00BC1144">
              <w:tab/>
              <w:t>… and saw supply adjust in step with demand</w:t>
            </w:r>
          </w:p>
          <w:p w:rsidR="006E391F" w:rsidRPr="00BC1144" w:rsidRDefault="006E391F" w:rsidP="00336FA0">
            <w:pPr>
              <w:pStyle w:val="Subtitle"/>
            </w:pPr>
            <w:r w:rsidRPr="00BC1144">
              <w:t>Applications and offers, 2001</w:t>
            </w:r>
            <w:r w:rsidRPr="00BC1144">
              <w:noBreakHyphen/>
              <w:t>2018</w:t>
            </w:r>
            <w:r w:rsidR="00882582"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32D1B65A" wp14:editId="324D7609">
                        <wp:extent cx="5396230" cy="2881630"/>
                        <wp:effectExtent l="0" t="0" r="0" b="0"/>
                        <wp:docPr id="23" name="Picture 23" descr="Figure 1.2 shows the number of bachelor degree applications, offers and the offer rate from 2001 to 2017. The offer rate is proportion of applications to bachelor degrees that resulted in an offer. The offer rate increased in 2005, started to fall in 2007 (as the number of applications increased significantly), and started to increase again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96230" cy="288163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Offer rate is the proportion of applications to bachelor degrees that resulted in an offer. </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DET </w:t>
            </w:r>
            <w:r w:rsidR="0092626E" w:rsidRPr="00BC1144">
              <w:rPr>
                <w:rFonts w:cs="Arial"/>
              </w:rPr>
              <w:t>(2013c, 2014a, 2018d)</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spacing w:before="360"/>
      </w:pPr>
      <w:bookmarkStart w:id="25" w:name="_Toc10805431"/>
      <w:r w:rsidRPr="00BC1144">
        <w:t>Higher education since the Bradley Review</w:t>
      </w:r>
      <w:bookmarkEnd w:id="25"/>
    </w:p>
    <w:p w:rsidR="006E391F" w:rsidRPr="00BC1144" w:rsidRDefault="006E391F" w:rsidP="00336FA0">
      <w:pPr>
        <w:pStyle w:val="BodyText"/>
        <w:spacing w:before="200"/>
        <w:rPr>
          <w:spacing w:val="-2"/>
        </w:rPr>
      </w:pPr>
      <w:r w:rsidRPr="00BC1144">
        <w:rPr>
          <w:spacing w:val="-2"/>
        </w:rPr>
        <w:t xml:space="preserve">It was against this history of substantial, but patchy, policy success that the Australian Government commissioned the 2008 </w:t>
      </w:r>
      <w:r w:rsidRPr="00BC1144">
        <w:rPr>
          <w:i/>
          <w:spacing w:val="-2"/>
        </w:rPr>
        <w:t>Review of Australian Higher Education</w:t>
      </w:r>
      <w:r w:rsidRPr="00BC1144">
        <w:rPr>
          <w:spacing w:val="-2"/>
        </w:rPr>
        <w:t xml:space="preserve"> (the ‘Bradley Review’), with a terms of reference that allowed it to consider nearly all aspects of the system. </w:t>
      </w:r>
    </w:p>
    <w:p w:rsidR="006E391F" w:rsidRPr="00BC1144" w:rsidRDefault="006E391F" w:rsidP="00336FA0">
      <w:pPr>
        <w:pStyle w:val="BodyText"/>
        <w:spacing w:before="200"/>
      </w:pPr>
      <w:r w:rsidRPr="00BC1144">
        <w:t>The Bradley Review contended that non</w:t>
      </w:r>
      <w:r w:rsidRPr="00BC1144">
        <w:noBreakHyphen/>
        <w:t>government funding sources (including full</w:t>
      </w:r>
      <w:r w:rsidRPr="00BC1144">
        <w:noBreakHyphen/>
        <w:t>fee</w:t>
      </w:r>
      <w:r w:rsidRPr="00BC1144">
        <w:noBreakHyphen/>
        <w:t>paying students) were inadequate to maintain a quality system and meet projected shortages of university</w:t>
      </w:r>
      <w:r w:rsidRPr="00BC1144">
        <w:noBreakHyphen/>
        <w:t xml:space="preserve">educated people </w:t>
      </w:r>
      <w:r w:rsidR="0092626E" w:rsidRPr="00BC1144">
        <w:rPr>
          <w:szCs w:val="24"/>
        </w:rPr>
        <w:t>(Access Economics 2008)</w:t>
      </w:r>
      <w:r w:rsidRPr="00BC1144">
        <w:t>.</w:t>
      </w:r>
    </w:p>
    <w:p w:rsidR="006E391F" w:rsidRPr="00BC1144" w:rsidRDefault="006E391F" w:rsidP="00336FA0">
      <w:pPr>
        <w:pStyle w:val="BodyText"/>
        <w:spacing w:before="200"/>
      </w:pPr>
      <w:r w:rsidRPr="00BC1144">
        <w:t>The Review’s most important recommendation was to uncap the number of government</w:t>
      </w:r>
      <w:r w:rsidRPr="00BC1144">
        <w:noBreakHyphen/>
        <w:t xml:space="preserve">supported places to increase total student numbers and support greater equity </w:t>
      </w:r>
      <w:r w:rsidRPr="00BC1144">
        <w:lastRenderedPageBreak/>
        <w:t>of access. It recommended long</w:t>
      </w:r>
      <w:r w:rsidRPr="00BC1144">
        <w:noBreakHyphen/>
        <w:t>term targets on overall participation and equity. The goals were that:</w:t>
      </w:r>
    </w:p>
    <w:p w:rsidR="006E391F" w:rsidRPr="00BC1144" w:rsidRDefault="006E391F" w:rsidP="00336FA0">
      <w:pPr>
        <w:pStyle w:val="ListBullet"/>
      </w:pPr>
      <w:r w:rsidRPr="00BC1144">
        <w:t>40 per cent of 25 to 34 year old Australians should hold a bachelor’s degree by 2025, from a base of about 30 per cent in 2008</w:t>
      </w:r>
    </w:p>
    <w:p w:rsidR="006E391F" w:rsidRPr="00BC1144" w:rsidRDefault="006E391F" w:rsidP="00336FA0">
      <w:pPr>
        <w:pStyle w:val="ListBullet"/>
      </w:pPr>
      <w:r w:rsidRPr="00BC1144">
        <w:t xml:space="preserve">20 per cent of higher education places should be held by people in the lowest SES quartile by 2020, compared to participation shares that have long hovered around 15 per cent. </w:t>
      </w:r>
    </w:p>
    <w:p w:rsidR="006E391F" w:rsidRPr="00BC1144" w:rsidRDefault="006E391F" w:rsidP="00336FA0">
      <w:pPr>
        <w:pStyle w:val="BodyText"/>
      </w:pPr>
      <w:r w:rsidRPr="00BC1144">
        <w:t xml:space="preserve">The Australian Government largely implemented these recommendations. </w:t>
      </w:r>
      <w:r w:rsidRPr="00BC1144">
        <w:rPr>
          <w:rFonts w:eastAsiaTheme="minorHAnsi"/>
        </w:rPr>
        <w:t>Following a phase</w:t>
      </w:r>
      <w:r w:rsidRPr="00BC1144">
        <w:rPr>
          <w:rFonts w:eastAsiaTheme="minorHAnsi"/>
        </w:rPr>
        <w:noBreakHyphen/>
        <w:t>in period in 2010 and 2011, government</w:t>
      </w:r>
      <w:r w:rsidRPr="00BC1144">
        <w:rPr>
          <w:rFonts w:eastAsiaTheme="minorHAnsi"/>
        </w:rPr>
        <w:noBreakHyphen/>
        <w:t>supported undergraduate student places in most courses were uncapped.</w:t>
      </w:r>
      <w:r w:rsidRPr="00BC1144">
        <w:rPr>
          <w:rStyle w:val="FootnoteReference"/>
          <w:rFonts w:eastAsiaTheme="minorHAnsi"/>
        </w:rPr>
        <w:footnoteReference w:id="7"/>
      </w:r>
      <w:r w:rsidRPr="00BC1144">
        <w:rPr>
          <w:rFonts w:eastAsiaTheme="minorHAnsi"/>
        </w:rPr>
        <w:t xml:space="preserve"> </w:t>
      </w:r>
      <w:r w:rsidRPr="00BC1144">
        <w:t xml:space="preserve">The demand driven system saw university access expand substantially. The number of domestic bachelor degree students rose from 577 000 in 2009 to 769 000 in 2017. To put this in context, this increase of 191 000 students during this period compares with an increase of only 74 000 during the preceding 8 year period. </w:t>
      </w:r>
    </w:p>
    <w:p w:rsidR="006E391F" w:rsidRPr="00BC1144" w:rsidRDefault="006E391F" w:rsidP="00336FA0">
      <w:pPr>
        <w:pStyle w:val="BodyText"/>
      </w:pPr>
      <w:r w:rsidRPr="00BC1144">
        <w:t>Improved equity of access was an important goal of the demand driven system. Uncapping of undergraduate places was supported by other policies specifically targeting equity of access. Such measures included financial incentives for universities to enrol and retain disadvantaged groups, funding for support or equipment (for example, for disability), information to university staff on inclusive practices, scholarships targeted at disadvantaged groups, ‘regional study hubs’ to</w:t>
      </w:r>
      <w:r w:rsidR="0052369A" w:rsidRPr="00BC1144">
        <w:t xml:space="preserve"> facilitate distance education,</w:t>
      </w:r>
      <w:r w:rsidRPr="00BC1144">
        <w:t xml:space="preserve"> and annual mission</w:t>
      </w:r>
      <w:r w:rsidRPr="00BC1144">
        <w:noBreakHyphen/>
        <w:t>based compacts between each university and the Australian Government. The largest additional program was the Higher Education Partici</w:t>
      </w:r>
      <w:r w:rsidR="0052369A" w:rsidRPr="00BC1144">
        <w:t>pation and Partnerships Program (</w:t>
      </w:r>
      <w:r w:rsidRPr="00BC1144">
        <w:t>HEPPP</w:t>
      </w:r>
      <w:r w:rsidR="0052369A" w:rsidRPr="00BC1144">
        <w:t>)</w:t>
      </w:r>
      <w:r w:rsidRPr="00BC1144">
        <w:t xml:space="preserve"> (box 1.1).</w:t>
      </w:r>
    </w:p>
    <w:p w:rsidR="001C0939" w:rsidRPr="00BC1144" w:rsidRDefault="001C0939" w:rsidP="001C0939">
      <w:pPr>
        <w:pStyle w:val="BodyText"/>
        <w:rPr>
          <w:rFonts w:eastAsiaTheme="minorHAnsi"/>
        </w:rPr>
      </w:pPr>
      <w:r w:rsidRPr="00BC1144">
        <w:rPr>
          <w:rFonts w:eastAsiaTheme="minorHAnsi"/>
        </w:rPr>
        <w:t>There have been few comprehensive reviews of higher education policy following the introduction of the demand driven system. The most wide</w:t>
      </w:r>
      <w:r w:rsidRPr="00BC1144">
        <w:rPr>
          <w:rFonts w:eastAsiaTheme="minorHAnsi"/>
        </w:rPr>
        <w:noBreakHyphen/>
        <w:t xml:space="preserve">ranging review, undertaken in 2014 by David Kemp and Andrew Norton </w:t>
      </w:r>
      <w:r w:rsidR="0092626E" w:rsidRPr="00BC1144">
        <w:t>(2014)</w:t>
      </w:r>
      <w:r w:rsidRPr="00BC1144">
        <w:rPr>
          <w:rFonts w:eastAsiaTheme="minorHAnsi"/>
        </w:rPr>
        <w:t xml:space="preserve">, found that the system had allowed a substantial increase in the number of students, including those from equity groups. On the other hand, they found that more students were entering poorly prepared and at considerable risk of not completing their courses, and that attrition rates were high for students entering with low ATARs. </w:t>
      </w:r>
    </w:p>
    <w:p w:rsidR="00CC4DB6" w:rsidRPr="00BC1144" w:rsidRDefault="00CC4DB6" w:rsidP="00CC4DB6">
      <w:pPr>
        <w:pStyle w:val="BoxSpaceAbove"/>
        <w:rPr>
          <w:rFonts w:eastAsiaTheme="minorHAnsi"/>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1.</w:t>
            </w:r>
            <w:r w:rsidRPr="00BC1144">
              <w:rPr>
                <w:b w:val="0"/>
                <w:noProof/>
              </w:rPr>
              <w:t>1</w:t>
            </w:r>
            <w:r w:rsidRPr="00BC1144">
              <w:tab/>
              <w:t>Higher Education Participation and Partnerships Program</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 xml:space="preserve">The Higher Education Participation and Partnerships Program (HEPPP), established in 2010, aims to ensure that Australians from low SES backgrounds who have the ability to study at university have the opportunity to do so </w:t>
            </w:r>
            <w:r w:rsidR="0092626E" w:rsidRPr="00BC1144">
              <w:rPr>
                <w:rFonts w:cs="Arial"/>
                <w:szCs w:val="24"/>
              </w:rPr>
              <w:t>(Acil Allen Consulting 2017)</w:t>
            </w:r>
            <w:r w:rsidRPr="00BC1144">
              <w:t>. The HEPPP consists of three components, each with differing objectives and funding arrangements.</w:t>
            </w:r>
          </w:p>
          <w:p w:rsidR="006E391F" w:rsidRPr="00BC1144" w:rsidRDefault="006E391F" w:rsidP="006E391F">
            <w:pPr>
              <w:pStyle w:val="BoxListNumber"/>
              <w:numPr>
                <w:ilvl w:val="0"/>
                <w:numId w:val="22"/>
              </w:numPr>
            </w:pPr>
            <w:r w:rsidRPr="00BC1144">
              <w:t>The</w:t>
            </w:r>
            <w:r w:rsidRPr="00BC1144">
              <w:rPr>
                <w:i/>
              </w:rPr>
              <w:t xml:space="preserve"> Participation component </w:t>
            </w:r>
            <w:r w:rsidRPr="00BC1144">
              <w:t>aims to increase the participation of current and prospective domestic students from low SES backgrounds in accredited undergraduate qualifications, and support the retention and success of those students.</w:t>
            </w:r>
          </w:p>
          <w:p w:rsidR="006E391F" w:rsidRPr="00BC1144" w:rsidRDefault="006E391F" w:rsidP="006E391F">
            <w:pPr>
              <w:pStyle w:val="BoxListNumber"/>
              <w:numPr>
                <w:ilvl w:val="0"/>
                <w:numId w:val="22"/>
              </w:numPr>
            </w:pPr>
            <w:r w:rsidRPr="00BC1144">
              <w:t>The</w:t>
            </w:r>
            <w:r w:rsidRPr="00BC1144">
              <w:rPr>
                <w:i/>
              </w:rPr>
              <w:t xml:space="preserve"> Partnerships component</w:t>
            </w:r>
            <w:r w:rsidRPr="00BC1144">
              <w:t xml:space="preserve"> aims to increase the aspirations and capacity of people from low SES backgrounds to participate in higher education through effective outreach and partnerships with primary and secondary schools, vocational education and training providers, other universities, </w:t>
            </w:r>
            <w:r w:rsidR="0052369A" w:rsidRPr="00BC1144">
              <w:t xml:space="preserve">state and territory </w:t>
            </w:r>
            <w:r w:rsidRPr="00BC1144">
              <w:t>governments and other external stakeholder groups.</w:t>
            </w:r>
          </w:p>
          <w:p w:rsidR="006E391F" w:rsidRPr="00BC1144" w:rsidRDefault="006E391F" w:rsidP="006E391F">
            <w:pPr>
              <w:pStyle w:val="BoxListNumber"/>
              <w:numPr>
                <w:ilvl w:val="0"/>
                <w:numId w:val="22"/>
              </w:numPr>
            </w:pPr>
            <w:r w:rsidRPr="00BC1144">
              <w:t>The</w:t>
            </w:r>
            <w:r w:rsidRPr="00BC1144">
              <w:rPr>
                <w:i/>
              </w:rPr>
              <w:t xml:space="preserve"> National Priorities Pool</w:t>
            </w:r>
            <w:r w:rsidRPr="00BC1144">
              <w:rPr>
                <w:b/>
                <w:i/>
              </w:rPr>
              <w:t xml:space="preserve"> </w:t>
            </w:r>
            <w:r w:rsidRPr="00BC1144">
              <w:t xml:space="preserve">aims to increase the effectiveness of the implementation of the HEPPP nationally and at an institutional level. </w:t>
            </w:r>
          </w:p>
          <w:p w:rsidR="006E391F" w:rsidRPr="00BC1144" w:rsidRDefault="006E391F" w:rsidP="00336FA0">
            <w:pPr>
              <w:pStyle w:val="Box"/>
            </w:pPr>
            <w:r w:rsidRPr="00BC1144">
              <w:t xml:space="preserve">Between 2010 and 2015, there were 2679 projects undertaken across 37 universities. Most of the HEPPP funding pool (about $800 million) was allocated to the participation and partnership components. More than 40 per cent of funds were targeted at assisting low SES students transition into, engage with and progress at university. About 40 per cent of projects involved outreach and work with external partners, usually schools, focused on raising students’ aspirations and academic preparation </w:t>
            </w:r>
            <w:r w:rsidR="0092626E" w:rsidRPr="00BC1144">
              <w:rPr>
                <w:rFonts w:cs="Arial"/>
                <w:szCs w:val="24"/>
              </w:rPr>
              <w:t>(Acil Allen Consulting 2017)</w:t>
            </w:r>
            <w:r w:rsidRPr="00BC1144">
              <w:t>. Since 2013, funding allocations per university have been allotted based on the share of low SES students enrolled at each university. Prior to 2013, about a quarter of total HEPPP funding was allocated through grants processes.</w:t>
            </w:r>
          </w:p>
          <w:p w:rsidR="006E391F" w:rsidRPr="00BC1144" w:rsidRDefault="006E391F" w:rsidP="00336FA0">
            <w:pPr>
              <w:pStyle w:val="Box"/>
            </w:pPr>
            <w:r w:rsidRPr="00BC1144">
              <w:t>While there has been some improvement in equity of access over this period, there has been little evaluation of the HEPPP projects, so it is difficult to untangle the effect of the program from that of the demand driven system and other policy changes. Inadequate data is the obstacle:</w:t>
            </w:r>
          </w:p>
          <w:p w:rsidR="006E391F" w:rsidRPr="00BC1144" w:rsidRDefault="006E391F" w:rsidP="00336FA0">
            <w:pPr>
              <w:pStyle w:val="BoxQuote"/>
            </w:pPr>
            <w:r w:rsidRPr="00BC1144">
              <w:t>The data that would allow the separation of the impact of the HEPPP on these trends from the impact due to the co</w:t>
            </w:r>
            <w:r w:rsidRPr="00BC1144">
              <w:noBreakHyphen/>
              <w:t xml:space="preserve">introduction of the demand driven system, or from the impact due to other government programs and societal changes, are not available. As such, while it is likely that the HEPPP is contributing to the increase in applications and enrolments, the extent of this impact is not able to be quantified. </w:t>
            </w:r>
            <w:r w:rsidR="0092626E" w:rsidRPr="00BC1144">
              <w:rPr>
                <w:rFonts w:cs="Arial"/>
                <w:sz w:val="20"/>
                <w:szCs w:val="24"/>
              </w:rPr>
              <w:t>(Acil Allen Consulting 2017, p. xvi)</w:t>
            </w:r>
            <w:r w:rsidRPr="00BC1144">
              <w:t xml:space="preserve"> </w:t>
            </w:r>
          </w:p>
          <w:p w:rsidR="006E391F" w:rsidRPr="00BC1144" w:rsidRDefault="006E391F" w:rsidP="00336FA0">
            <w:pPr>
              <w:pStyle w:val="Box"/>
            </w:pPr>
            <w:r w:rsidRPr="00BC1144">
              <w:t xml:space="preserve">It is also hard from the available evidence to know whether aspiration to attend university should be a target of policy. It is clear that school students that aspire to university at age 15 years are more likely to attend at later ages </w:t>
            </w:r>
            <w:r w:rsidR="0092626E" w:rsidRPr="00BC1144">
              <w:rPr>
                <w:rFonts w:cs="Arial"/>
                <w:szCs w:val="24"/>
              </w:rPr>
              <w:t>(Homel and Ryan 2014; Johnston et al. 2014)</w:t>
            </w:r>
            <w:r w:rsidRPr="00BC1144">
              <w:t>. Whether aspiration is the main barrier to equity group participation is less clear</w:t>
            </w:r>
            <w:r w:rsidR="0052369A" w:rsidRPr="00BC1144">
              <w:t>.</w:t>
            </w:r>
            <w:r w:rsidRPr="00BC1144">
              <w:t xml:space="preserve"> Large scale surveys (prior to the introduction of the HEPPP) show that aspirations to attend university among students from low socioeconomic and regional areas substantially exceeded participation rates </w:t>
            </w:r>
            <w:r w:rsidR="0092626E" w:rsidRPr="00BC1144">
              <w:rPr>
                <w:rFonts w:cs="Arial"/>
                <w:szCs w:val="24"/>
              </w:rPr>
              <w:t>(Bowden and Doughney 2012; Gale and Parker 2013)</w:t>
            </w:r>
            <w:r w:rsidRPr="00BC1144">
              <w:t>. And, again, there is not yet good evidence whether HEPPP activities raise aspiration of school students that are well</w:t>
            </w:r>
            <w:r w:rsidRPr="00BC1144">
              <w:noBreakHyphen/>
              <w:t>suited to university study and who go on to succeed academically.</w:t>
            </w:r>
          </w:p>
          <w:p w:rsidR="006E391F" w:rsidRPr="00BC1144" w:rsidRDefault="006E391F" w:rsidP="00336FA0">
            <w:pPr>
              <w:pStyle w:val="Box"/>
            </w:pPr>
            <w:r w:rsidRPr="00BC1144">
              <w:t>The untied nature of funding to universities that enrol more students from low SES backgrounds is also an unusual feature of the HEPPP. While it provides universities an incentive to enrol more of these students, again there has been no high quality evaluation of whether and how this funding is being spent to support these students and the effect on their academic success. Indeed, the current study illustrates high drop</w:t>
            </w:r>
            <w:r w:rsidRPr="00BC1144">
              <w:noBreakHyphen/>
              <w:t>out rates for these additional students (chapter 2).</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1C0939" w:rsidRPr="00BC1144" w:rsidRDefault="001C0939" w:rsidP="001C0939">
      <w:pPr>
        <w:pStyle w:val="BodyText"/>
        <w:rPr>
          <w:rFonts w:eastAsiaTheme="minorHAnsi"/>
        </w:rPr>
      </w:pPr>
      <w:r w:rsidRPr="00BC1144">
        <w:rPr>
          <w:rFonts w:eastAsiaTheme="minorHAnsi"/>
        </w:rPr>
        <w:lastRenderedPageBreak/>
        <w:t>Other assessments have focused on specific groups. One such review emphasised early intervention in order to, over time, eliminate the under</w:t>
      </w:r>
      <w:r w:rsidRPr="00BC1144">
        <w:rPr>
          <w:rFonts w:eastAsiaTheme="minorHAnsi"/>
        </w:rPr>
        <w:noBreakHyphen/>
        <w:t xml:space="preserve">representation of Indigenous students at university </w:t>
      </w:r>
      <w:r w:rsidR="0092626E" w:rsidRPr="00BC1144">
        <w:rPr>
          <w:szCs w:val="24"/>
        </w:rPr>
        <w:t>(Behrendt 2012)</w:t>
      </w:r>
      <w:r w:rsidRPr="00BC1144">
        <w:rPr>
          <w:rFonts w:eastAsiaTheme="minorHAnsi"/>
        </w:rPr>
        <w:t xml:space="preserve">. It recommended that HEPPP projects aimed at Indigenous people should strengthen academic skills in mathematics and science in primary and early secondary school — a policy approach that is in line with the findings of this study. It also recommended a funding model that would support students undertaking enabling courses prior to university study, and once at university, an onus on faculties to provide tutoring, mentoring and connections with the professional world. </w:t>
      </w:r>
    </w:p>
    <w:p w:rsidR="001C0939" w:rsidRPr="00BC1144" w:rsidRDefault="001C0939" w:rsidP="001C0939">
      <w:pPr>
        <w:pStyle w:val="BodyText"/>
      </w:pPr>
      <w:r w:rsidRPr="00BC1144">
        <w:rPr>
          <w:rFonts w:eastAsiaTheme="minorHAnsi"/>
        </w:rPr>
        <w:t>For many students in regional, rural and remote areas, ‘university in place’ is widely seen as an unattainable option and</w:t>
      </w:r>
      <w:r w:rsidR="0052369A" w:rsidRPr="00BC1144">
        <w:rPr>
          <w:rFonts w:eastAsiaTheme="minorHAnsi"/>
        </w:rPr>
        <w:t>,</w:t>
      </w:r>
      <w:r w:rsidRPr="00BC1144">
        <w:rPr>
          <w:rFonts w:eastAsiaTheme="minorHAnsi"/>
        </w:rPr>
        <w:t xml:space="preserve"> accordingly, policy has tried to make moving to universities easier. A recent review </w:t>
      </w:r>
      <w:r w:rsidR="0092626E" w:rsidRPr="00BC1144">
        <w:rPr>
          <w:szCs w:val="24"/>
        </w:rPr>
        <w:t>(Halsey 2018)</w:t>
      </w:r>
      <w:r w:rsidRPr="00BC1144">
        <w:rPr>
          <w:rFonts w:eastAsiaTheme="minorHAnsi"/>
        </w:rPr>
        <w:t xml:space="preserve"> argued that existing government policies were not sufficient to meet the additional costs of relocation for students in these areas and that it will also be necessary to raise school achievement. More subtly, the review concluded that advice and information available about professional careers was ‘thin’ in regional and remote areas, which may hamper the development of an aspiration to attend university.</w:t>
      </w:r>
    </w:p>
    <w:p w:rsidR="006E391F" w:rsidRPr="00BC1144" w:rsidRDefault="006E391F" w:rsidP="00336FA0">
      <w:pPr>
        <w:pStyle w:val="Heading2"/>
      </w:pPr>
      <w:bookmarkStart w:id="26" w:name="_Toc10805432"/>
      <w:r w:rsidRPr="00BC1144">
        <w:t>1.</w:t>
      </w:r>
      <w:r w:rsidRPr="00BC1144">
        <w:rPr>
          <w:noProof/>
        </w:rPr>
        <w:t>3</w:t>
      </w:r>
      <w:r w:rsidRPr="00BC1144">
        <w:tab/>
        <w:t>What this study does</w:t>
      </w:r>
      <w:bookmarkEnd w:id="26"/>
    </w:p>
    <w:p w:rsidR="006E391F" w:rsidRPr="00BC1144" w:rsidRDefault="006E391F" w:rsidP="00336FA0">
      <w:pPr>
        <w:pStyle w:val="BodyText"/>
      </w:pPr>
      <w:r w:rsidRPr="00BC1144">
        <w:t>This study describes the available data on higher education access and outcomes during the demand driven system and compares it with the previous period to shed some light on the impacts of the system. It draws on aggregate data from the ABS Census of Population and Housing and Department of Education and Training administrative data collections. However, the centrepiece of the analysis is based on the Longitudinal Surveys of Australian Youth (LSAY). Analytically, the paper makes two main contributions.</w:t>
      </w:r>
    </w:p>
    <w:p w:rsidR="006E391F" w:rsidRPr="00BC1144" w:rsidRDefault="006E391F" w:rsidP="00336FA0">
      <w:pPr>
        <w:pStyle w:val="BodyText"/>
      </w:pPr>
      <w:r w:rsidRPr="00BC1144">
        <w:t>First, the study identifies the characteristics of people at age 15 years that explain whether, or not, they attend university. The focus is on four ‘equity groups’: Indigenous students, those from low socioeconomic backgrounds, those from regional and remote areas, and those that are ‘first in family’ students (those whose parents did not complete university). These results improve on administrative estimates of participation because they trace an individual back to the age of 15 years and assess the socioeconomic and geographic position they grew up in. The analysis then disaggregates differences between equity group and non</w:t>
      </w:r>
      <w:r w:rsidRPr="00BC1144">
        <w:noBreakHyphen/>
        <w:t>equity group participation rates into average contributions of a range of factors including an individual’s literacy and numeracy at age 15 years, and characteristics of their family, school and local region, as described in table 1.1.</w:t>
      </w:r>
    </w:p>
    <w:p w:rsidR="006E391F" w:rsidRPr="00BC1144" w:rsidRDefault="006E391F" w:rsidP="00336FA0">
      <w:pPr>
        <w:pStyle w:val="BodyText"/>
      </w:pPr>
      <w:r w:rsidRPr="00BC1144">
        <w:t xml:space="preserve">Second, the study uses this analysis to identify the types of students who were most responsive to the demand driven system — those who went to university after the system changed who would not have gone otherwise. We call these the ‘additional’ students. This was achieved by identifying those for whom the probability of attending university </w:t>
      </w:r>
      <w:r w:rsidRPr="00BC1144">
        <w:rPr>
          <w:i/>
        </w:rPr>
        <w:t>increased</w:t>
      </w:r>
      <w:r w:rsidRPr="00BC1144">
        <w:t xml:space="preserve"> the most after 2010 (chapter 2).</w:t>
      </w:r>
    </w:p>
    <w:p w:rsidR="006E391F" w:rsidRPr="00BC1144" w:rsidRDefault="006E391F" w:rsidP="00336FA0">
      <w:pPr>
        <w:pStyle w:val="BodyText"/>
      </w:pPr>
      <w:r w:rsidRPr="00BC1144">
        <w:lastRenderedPageBreak/>
        <w:t>There was no presumption that they were the lowest qualified university students in the group. Nevertheless, we find that most of the additional students either finished school with an ATAR less than 70 or did not receive an ATAR. We then track their outcomes including degree completion, progression to post</w:t>
      </w:r>
      <w:r w:rsidRPr="00BC1144">
        <w:noBreakHyphen/>
        <w:t>graduate study, full</w:t>
      </w:r>
      <w:r w:rsidRPr="00BC1144">
        <w:noBreakHyphen/>
        <w:t>time employment after graduation, employment in managerial or professional occupations (which are typically considered to be those for which a university education is necessary), and unemployment. The study also considers whether graduates say they are satisfied with their careers and whether their jobs use their skills.</w:t>
      </w:r>
    </w:p>
    <w:p w:rsidR="006E391F" w:rsidRPr="00BC1144" w:rsidRDefault="006E391F" w:rsidP="00336FA0">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1.1</w:t>
            </w:r>
            <w:r w:rsidRPr="00BC1144">
              <w:tab/>
              <w:t>Explanators of university attendance used in this study</w:t>
            </w:r>
          </w:p>
        </w:tc>
      </w:tr>
      <w:tr w:rsidR="006E391F" w:rsidRPr="00BC1144" w:rsidTr="00336FA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3120"/>
              <w:gridCol w:w="5385"/>
            </w:tblGrid>
            <w:tr w:rsidR="006E391F" w:rsidRPr="00BC1144" w:rsidTr="00336FA0">
              <w:trPr>
                <w:tblHeader/>
              </w:trPr>
              <w:tc>
                <w:tcPr>
                  <w:tcW w:w="183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Grouping</w:t>
                  </w:r>
                </w:p>
              </w:tc>
              <w:tc>
                <w:tcPr>
                  <w:tcW w:w="3166" w:type="pct"/>
                  <w:tcBorders>
                    <w:top w:val="single" w:sz="6" w:space="0" w:color="BFBFBF"/>
                    <w:bottom w:val="single" w:sz="6" w:space="0" w:color="BFBFBF"/>
                  </w:tcBorders>
                </w:tcPr>
                <w:p w:rsidR="006E391F" w:rsidRPr="00BC1144" w:rsidRDefault="006E391F" w:rsidP="00336FA0">
                  <w:pPr>
                    <w:pStyle w:val="TableColumnHeading"/>
                    <w:jc w:val="left"/>
                  </w:pPr>
                  <w:r w:rsidRPr="00BC1144">
                    <w:t>Variables</w:t>
                  </w:r>
                </w:p>
              </w:tc>
            </w:tr>
            <w:tr w:rsidR="006E391F" w:rsidRPr="00BC1144" w:rsidTr="00CC4DB6">
              <w:tc>
                <w:tcPr>
                  <w:tcW w:w="1834"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School achievement</w:t>
                  </w:r>
                </w:p>
              </w:tc>
              <w:tc>
                <w:tcPr>
                  <w:tcW w:w="3166"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Reading and numeracy tests (at age 15 years in 1995 and 1998)</w:t>
                  </w:r>
                </w:p>
                <w:p w:rsidR="006E391F" w:rsidRPr="00BC1144" w:rsidRDefault="006E391F" w:rsidP="00336FA0">
                  <w:pPr>
                    <w:pStyle w:val="TableUnitsRow"/>
                    <w:jc w:val="left"/>
                  </w:pPr>
                  <w:r w:rsidRPr="00BC1144">
                    <w:t>OECD Program for International Student Assessment (PISA) score on literacy and numeracy (at age 15 years in 2003, 2006, 2009)</w:t>
                  </w:r>
                </w:p>
              </w:tc>
            </w:tr>
            <w:tr w:rsidR="006E391F" w:rsidRPr="00BC1144" w:rsidTr="00336FA0">
              <w:tc>
                <w:tcPr>
                  <w:tcW w:w="1834" w:type="pct"/>
                </w:tcPr>
                <w:p w:rsidR="006E391F" w:rsidRPr="00BC1144" w:rsidRDefault="006E391F" w:rsidP="00336FA0">
                  <w:pPr>
                    <w:pStyle w:val="TableBodyText"/>
                    <w:jc w:val="left"/>
                  </w:pPr>
                  <w:r w:rsidRPr="00BC1144">
                    <w:t>Family characteristics</w:t>
                  </w:r>
                </w:p>
              </w:tc>
              <w:tc>
                <w:tcPr>
                  <w:tcW w:w="3166" w:type="pct"/>
                </w:tcPr>
                <w:p w:rsidR="006E391F" w:rsidRPr="00BC1144" w:rsidRDefault="006E391F" w:rsidP="00336FA0">
                  <w:pPr>
                    <w:pStyle w:val="TableBodyText"/>
                    <w:jc w:val="left"/>
                  </w:pPr>
                  <w:r w:rsidRPr="00BC1144">
                    <w:t>Parental occupation</w:t>
                  </w:r>
                </w:p>
                <w:p w:rsidR="006E391F" w:rsidRPr="00BC1144" w:rsidRDefault="006E391F" w:rsidP="00336FA0">
                  <w:pPr>
                    <w:pStyle w:val="TableBodyText"/>
                    <w:jc w:val="left"/>
                  </w:pPr>
                  <w:r w:rsidRPr="00BC1144">
                    <w:t>Parental education</w:t>
                  </w:r>
                </w:p>
                <w:p w:rsidR="006E391F" w:rsidRPr="00BC1144" w:rsidRDefault="006E391F" w:rsidP="00336FA0">
                  <w:pPr>
                    <w:pStyle w:val="TableBodyText"/>
                    <w:jc w:val="left"/>
                  </w:pPr>
                  <w:r w:rsidRPr="00BC1144">
                    <w:t>Non</w:t>
                  </w:r>
                  <w:r w:rsidRPr="00BC1144">
                    <w:noBreakHyphen/>
                    <w:t>English speaking background</w:t>
                  </w:r>
                </w:p>
              </w:tc>
            </w:tr>
            <w:tr w:rsidR="006E391F" w:rsidRPr="00BC1144" w:rsidTr="00CC4DB6">
              <w:tc>
                <w:tcPr>
                  <w:tcW w:w="1834" w:type="pct"/>
                  <w:shd w:val="clear" w:color="auto" w:fill="F2F2F2" w:themeFill="background1" w:themeFillShade="F2"/>
                </w:tcPr>
                <w:p w:rsidR="006E391F" w:rsidRPr="00BC1144" w:rsidRDefault="006E391F" w:rsidP="00336FA0">
                  <w:pPr>
                    <w:pStyle w:val="TableBodyText"/>
                    <w:jc w:val="left"/>
                  </w:pPr>
                  <w:r w:rsidRPr="00BC1144">
                    <w:t>School characteristics</w:t>
                  </w:r>
                </w:p>
              </w:tc>
              <w:tc>
                <w:tcPr>
                  <w:tcW w:w="3166" w:type="pct"/>
                  <w:shd w:val="clear" w:color="auto" w:fill="F2F2F2" w:themeFill="background1" w:themeFillShade="F2"/>
                </w:tcPr>
                <w:p w:rsidR="006E391F" w:rsidRPr="00BC1144" w:rsidRDefault="006E391F" w:rsidP="00336FA0">
                  <w:pPr>
                    <w:pStyle w:val="TableBodyText"/>
                    <w:jc w:val="left"/>
                  </w:pPr>
                  <w:r w:rsidRPr="00BC1144">
                    <w:t>School sector</w:t>
                  </w:r>
                </w:p>
                <w:p w:rsidR="006E391F" w:rsidRPr="00BC1144" w:rsidRDefault="006E391F" w:rsidP="00336FA0">
                  <w:pPr>
                    <w:pStyle w:val="TableBodyText"/>
                    <w:jc w:val="left"/>
                  </w:pPr>
                  <w:r w:rsidRPr="00BC1144">
                    <w:t>Parental occupation of classmates</w:t>
                  </w:r>
                </w:p>
              </w:tc>
            </w:tr>
            <w:tr w:rsidR="006E391F" w:rsidRPr="00BC1144" w:rsidTr="00336FA0">
              <w:tc>
                <w:tcPr>
                  <w:tcW w:w="1834" w:type="pct"/>
                  <w:shd w:val="clear" w:color="auto" w:fill="auto"/>
                </w:tcPr>
                <w:p w:rsidR="006E391F" w:rsidRPr="00BC1144" w:rsidRDefault="006E391F" w:rsidP="00336FA0">
                  <w:pPr>
                    <w:pStyle w:val="TableBodyText"/>
                    <w:jc w:val="left"/>
                  </w:pPr>
                  <w:r w:rsidRPr="00BC1144">
                    <w:t>Neighbourhood characteristics</w:t>
                  </w:r>
                </w:p>
              </w:tc>
              <w:tc>
                <w:tcPr>
                  <w:tcW w:w="3166" w:type="pct"/>
                </w:tcPr>
                <w:p w:rsidR="006E391F" w:rsidRPr="00BC1144" w:rsidRDefault="006E391F" w:rsidP="00336FA0">
                  <w:pPr>
                    <w:pStyle w:val="TableBodyText"/>
                    <w:jc w:val="left"/>
                  </w:pPr>
                  <w:r w:rsidRPr="00BC1144">
                    <w:t>Socio</w:t>
                  </w:r>
                  <w:r w:rsidRPr="00BC1144">
                    <w:noBreakHyphen/>
                    <w:t>Economic Indexes for Areas (SEIFA) index of Education and Occupation (at the postcode level)</w:t>
                  </w:r>
                </w:p>
              </w:tc>
            </w:tr>
            <w:tr w:rsidR="006E391F" w:rsidRPr="00BC1144" w:rsidTr="00CC4DB6">
              <w:tc>
                <w:tcPr>
                  <w:tcW w:w="1834" w:type="pct"/>
                  <w:shd w:val="clear" w:color="auto" w:fill="F2F2F2" w:themeFill="background1" w:themeFillShade="F2"/>
                </w:tcPr>
                <w:p w:rsidR="006E391F" w:rsidRPr="00BC1144" w:rsidRDefault="006E391F" w:rsidP="00336FA0">
                  <w:pPr>
                    <w:pStyle w:val="TableBodyText"/>
                    <w:jc w:val="left"/>
                  </w:pPr>
                  <w:r w:rsidRPr="00BC1144">
                    <w:t>Geographic characteristics</w:t>
                  </w:r>
                </w:p>
              </w:tc>
              <w:tc>
                <w:tcPr>
                  <w:tcW w:w="3166" w:type="pct"/>
                  <w:shd w:val="clear" w:color="auto" w:fill="F2F2F2" w:themeFill="background1" w:themeFillShade="F2"/>
                </w:tcPr>
                <w:p w:rsidR="006E391F" w:rsidRPr="00BC1144" w:rsidRDefault="006E391F" w:rsidP="00336FA0">
                  <w:pPr>
                    <w:pStyle w:val="TableBodyText"/>
                    <w:jc w:val="left"/>
                  </w:pPr>
                  <w:r w:rsidRPr="00BC1144">
                    <w:t>Regional and remote status</w:t>
                  </w:r>
                </w:p>
              </w:tc>
            </w:tr>
            <w:tr w:rsidR="006E391F" w:rsidRPr="00BC1144" w:rsidTr="00336FA0">
              <w:tc>
                <w:tcPr>
                  <w:tcW w:w="1834" w:type="pct"/>
                  <w:tcBorders>
                    <w:bottom w:val="single" w:sz="6" w:space="0" w:color="BFBFBF"/>
                  </w:tcBorders>
                  <w:shd w:val="clear" w:color="auto" w:fill="auto"/>
                </w:tcPr>
                <w:p w:rsidR="006E391F" w:rsidRPr="00BC1144" w:rsidRDefault="006E391F" w:rsidP="00336FA0">
                  <w:pPr>
                    <w:pStyle w:val="TableBodyText"/>
                    <w:jc w:val="left"/>
                  </w:pPr>
                  <w:r w:rsidRPr="00BC1144">
                    <w:t>Other</w:t>
                  </w:r>
                </w:p>
              </w:tc>
              <w:tc>
                <w:tcPr>
                  <w:tcW w:w="3166" w:type="pct"/>
                  <w:tcBorders>
                    <w:bottom w:val="single" w:sz="6" w:space="0" w:color="BFBFBF"/>
                  </w:tcBorders>
                </w:tcPr>
                <w:p w:rsidR="006E391F" w:rsidRPr="00BC1144" w:rsidRDefault="006E391F" w:rsidP="00336FA0">
                  <w:pPr>
                    <w:pStyle w:val="TableBodyText"/>
                    <w:jc w:val="left"/>
                  </w:pPr>
                  <w:r w:rsidRPr="00BC1144">
                    <w:t>Indigenous status</w:t>
                  </w:r>
                </w:p>
                <w:p w:rsidR="006E391F" w:rsidRPr="00BC1144" w:rsidRDefault="006E391F" w:rsidP="00336FA0">
                  <w:pPr>
                    <w:pStyle w:val="TableBodyText"/>
                    <w:jc w:val="left"/>
                  </w:pPr>
                  <w:r w:rsidRPr="00BC1144">
                    <w:t>State or Territory</w:t>
                  </w:r>
                </w:p>
                <w:p w:rsidR="006E391F" w:rsidRPr="00BC1144" w:rsidRDefault="006E391F" w:rsidP="00336FA0">
                  <w:pPr>
                    <w:pStyle w:val="TableBodyText"/>
                    <w:jc w:val="left"/>
                  </w:pPr>
                  <w:r w:rsidRPr="00BC1144">
                    <w:t>School attendance in year 12</w:t>
                  </w:r>
                </w:p>
                <w:p w:rsidR="006E391F" w:rsidRPr="00BC1144" w:rsidRDefault="006E391F" w:rsidP="00336FA0">
                  <w:pPr>
                    <w:pStyle w:val="TableBodyText"/>
                    <w:jc w:val="left"/>
                  </w:pPr>
                  <w:r w:rsidRPr="00BC1144">
                    <w:t>Hours worked in year 12</w:t>
                  </w:r>
                </w:p>
                <w:p w:rsidR="006E391F" w:rsidRPr="00BC1144" w:rsidRDefault="006E391F" w:rsidP="00336FA0">
                  <w:pPr>
                    <w:pStyle w:val="TableBodyText"/>
                    <w:jc w:val="left"/>
                  </w:pPr>
                  <w:r w:rsidRPr="00BC1144">
                    <w:t>Number of books in the home</w:t>
                  </w:r>
                </w:p>
                <w:p w:rsidR="006E391F" w:rsidRPr="00BC1144" w:rsidRDefault="006E391F" w:rsidP="00336FA0">
                  <w:pPr>
                    <w:pStyle w:val="TableBodyText"/>
                    <w:jc w:val="left"/>
                  </w:pPr>
                  <w:r w:rsidRPr="00BC1144">
                    <w:t>Gender</w:t>
                  </w:r>
                </w:p>
              </w:tc>
            </w:tr>
          </w:tbl>
          <w:p w:rsidR="006E391F" w:rsidRPr="00BC1144" w:rsidRDefault="006E391F" w:rsidP="00336FA0">
            <w:pPr>
              <w:pStyle w:val="Box"/>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27" w:name="_Toc10805433"/>
      <w:r w:rsidRPr="00BC1144">
        <w:t>1.</w:t>
      </w:r>
      <w:r w:rsidRPr="00BC1144">
        <w:rPr>
          <w:noProof/>
        </w:rPr>
        <w:t>4</w:t>
      </w:r>
      <w:r w:rsidRPr="00BC1144">
        <w:tab/>
        <w:t>Terminology</w:t>
      </w:r>
      <w:bookmarkEnd w:id="27"/>
    </w:p>
    <w:p w:rsidR="006E391F" w:rsidRPr="00BC1144" w:rsidRDefault="006E391F" w:rsidP="00336FA0">
      <w:pPr>
        <w:pStyle w:val="BodyText"/>
      </w:pPr>
      <w:r w:rsidRPr="00BC1144">
        <w:t>This study presents results from analysis of five cohorts of the LSAY. Each cohort includes 10</w:t>
      </w:r>
      <w:r w:rsidRPr="00BC1144">
        <w:noBreakHyphen/>
        <w:t>15 000 young Australians. They commence in the survey at an age of about 15 years by sitting tests of literacy and numeracy and answering questions about their background and experiences at school. This study considers whether they attend university by age 22 years and then considers academic and labour market outcomes at the ages of 23 and 25 years. Figure 1.3 sets out each step in this timeline. Results in this paper are labelled by the year in which the data are observed, rather than by the year the cohort commenced in the survey.</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1.</w:t>
            </w:r>
            <w:r w:rsidRPr="00BC1144">
              <w:rPr>
                <w:b w:val="0"/>
                <w:noProof/>
              </w:rPr>
              <w:t>3</w:t>
            </w:r>
            <w:r w:rsidRPr="00BC1144">
              <w:tab/>
              <w:t>LSAY Cohorts, waves and years</w:t>
            </w:r>
            <w:r w:rsidRPr="00BC1144">
              <w:rPr>
                <w:rStyle w:val="NoteLabel"/>
                <w:b/>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128A0569" wp14:editId="3617AD05">
                        <wp:extent cx="5435600" cy="2743200"/>
                        <wp:effectExtent l="0" t="0" r="0" b="0"/>
                        <wp:docPr id="1" name="Picture 1" descr="Figure 1.3 is a diagram that shows in which years survey participants in each LSAY cohort attend university and the years in which their labour market outcomes are ass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0" cy="274320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Each LSAY cohort consists of a sample of young Australians and follows them annually from when they are 15 years old (or in Year 9 as was the case for 1995 and 1998 cohorts) for the next 10 years.</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While much of the analysis is set out in a descriptive way, presenting our best estimates of who attended university and what explains the under</w:t>
      </w:r>
      <w:r w:rsidRPr="00BC1144">
        <w:noBreakHyphen/>
        <w:t>representation of equity groups, the analysis of graduation rates and labour market outcomes in chapter 2 seeks to be more precise by presenting confidence intervals around key outcomes. In chapter 2, we use the term ‘significant’ to indicate that the differences in outcomes achieved by different groups are statistically significant, in the sense that there is less than a 5 per cent chance of obtaining similar results by chance. On the other hand, we use the term ‘somewhat’ in cases where the results tell a story about outcomes based on the weight of the best evidence available, but the difference may still be due to chance.</w:t>
      </w:r>
    </w:p>
    <w:p w:rsidR="006E391F" w:rsidRPr="00BC1144" w:rsidRDefault="006E391F" w:rsidP="00336FA0">
      <w:pPr>
        <w:pStyle w:val="Heading2"/>
      </w:pPr>
      <w:bookmarkStart w:id="28" w:name="_Toc10805434"/>
      <w:r w:rsidRPr="00BC1144">
        <w:t>1.</w:t>
      </w:r>
      <w:r w:rsidRPr="00BC1144">
        <w:rPr>
          <w:noProof/>
        </w:rPr>
        <w:t>5</w:t>
      </w:r>
      <w:r w:rsidRPr="00BC1144">
        <w:tab/>
        <w:t>Caveats to the findings</w:t>
      </w:r>
      <w:bookmarkEnd w:id="28"/>
    </w:p>
    <w:p w:rsidR="006E391F" w:rsidRPr="00BC1144" w:rsidRDefault="006E391F" w:rsidP="00336FA0">
      <w:pPr>
        <w:pStyle w:val="BodyText"/>
      </w:pPr>
      <w:r w:rsidRPr="00BC1144">
        <w:t>The quality of any analysis depends upon the underlying data and the analytical techniques used (appendix B).</w:t>
      </w:r>
    </w:p>
    <w:p w:rsidR="006E391F" w:rsidRPr="00BC1144" w:rsidRDefault="006E391F" w:rsidP="00336FA0">
      <w:pPr>
        <w:pStyle w:val="BodyText"/>
      </w:pPr>
      <w:r w:rsidRPr="00BC1144">
        <w:t xml:space="preserve">While the LSAY is a rich dataset for policy analysis, it also has limitations. Foremost among these is attrition from the sample: each successive year, students fail to respond to follow ups and </w:t>
      </w:r>
      <w:r w:rsidR="0052369A" w:rsidRPr="00BC1144">
        <w:t>leave</w:t>
      </w:r>
      <w:r w:rsidRPr="00BC1144">
        <w:t xml:space="preserve"> the sample, such t</w:t>
      </w:r>
      <w:r w:rsidR="0052369A" w:rsidRPr="00BC1144">
        <w:t xml:space="preserve">hat by age 25 years about three </w:t>
      </w:r>
      <w:r w:rsidRPr="00BC1144">
        <w:t>quarters of the sample has been lost. Attrition rates are higher for some groups of interest to this study (such as Indigenous people and those from low SES backgrounds) and those remaining in the sample need to be given greater weight to produce average university participation rates and other statistics that are representative of the population as a whole.</w:t>
      </w:r>
    </w:p>
    <w:p w:rsidR="006E391F" w:rsidRPr="00BC1144" w:rsidRDefault="006E391F" w:rsidP="00336FA0">
      <w:pPr>
        <w:pStyle w:val="BodyText"/>
      </w:pPr>
      <w:r w:rsidRPr="00BC1144">
        <w:lastRenderedPageBreak/>
        <w:t>After weighting, the university participation rates for equity groups calculated from LSAY were found to be broadly consistent with the aggregate data. Nonetheless, results for Indigenous students are less reliable than other groups because of high non</w:t>
      </w:r>
      <w:r w:rsidRPr="00BC1144">
        <w:noBreakHyphen/>
        <w:t>response to key questions and very high sample attrition rates.</w:t>
      </w:r>
    </w:p>
    <w:p w:rsidR="006E391F" w:rsidRPr="00BC1144" w:rsidRDefault="006E391F" w:rsidP="00336FA0">
      <w:pPr>
        <w:pStyle w:val="BodyText"/>
      </w:pPr>
      <w:r w:rsidRPr="00BC1144">
        <w:t>A further concern is that attrition from the LSAY sample may be correlated with university participation and labour market outcomes in a manner unrelated to these demographic characteristics, and so may bias the results in an unknown direction. For example, the LSAY sample may reflect a higher (or indeed lower) university attendance rate for equity groups on average than what is observed in the population even after controlling for the observable characteristics.</w:t>
      </w:r>
    </w:p>
    <w:p w:rsidR="006E391F" w:rsidRPr="00BC1144" w:rsidRDefault="006E391F" w:rsidP="00336FA0">
      <w:pPr>
        <w:pStyle w:val="BodyText"/>
      </w:pPr>
      <w:r w:rsidRPr="00BC1144">
        <w:t xml:space="preserve">Another limitation of this study is that, due to the design of the LSAY, it only considers young people. The students considered in this study are tracked only to age 23 years in the most recently available LSAY data (LSAY will follow them to age 25 years). At this age, most university students have only recently graduated, many are still studying and not all of the lifetime benefits and opportunity costs have materialised. As such, the analysis in this paper discusses labour market transitions only in early adulthood and makes no assertions about returns to education over the full course of a working life. Further, members of equity groups, particularly Indigenous people (box 1.2), attend university at a later age on average than the rest of the population, and this study was unable to assess changes in university participation at later ages. </w:t>
      </w:r>
    </w:p>
    <w:p w:rsidR="006E391F" w:rsidRPr="00BC1144" w:rsidRDefault="006E391F" w:rsidP="00336FA0">
      <w:pPr>
        <w:pStyle w:val="BodyText"/>
      </w:pPr>
      <w:r w:rsidRPr="00BC1144">
        <w:t>In terms of the analytical technique, much of the quantitative analysis is based on multivariate regression and associated decomposition methods. As with any statistical analysis, different models produce slightly different results. The robustness of key results to alternative model specifications is set out in appendix B.</w:t>
      </w:r>
    </w:p>
    <w:p w:rsidR="006E391F" w:rsidRPr="00BC1144" w:rsidRDefault="006E391F" w:rsidP="00336FA0">
      <w:pPr>
        <w:pStyle w:val="BodyText"/>
      </w:pPr>
      <w:r w:rsidRPr="00BC1144">
        <w:t>A final, and important, caveat is that this study is not a cost</w:t>
      </w:r>
      <w:r w:rsidRPr="00BC1144">
        <w:noBreakHyphen/>
        <w:t>benefit analysis of the demand driven system. The study does not estimate the costs of the system, enumerate its value for additional students and society as a whole, or fully control for other factors apart from the demand driven system that affected the demand and take</w:t>
      </w:r>
      <w:r w:rsidRPr="00BC1144">
        <w:noBreakHyphen/>
        <w:t>up of university places. In the latter case, the demand driven system contributed to a large change in the supply of university place. But other factors such as macroeconomic conditions affecting the youth labour market, technological change and skilled migration also affected who took up these places and the outcomes they achieved.</w:t>
      </w:r>
    </w:p>
    <w:p w:rsidR="006E391F" w:rsidRPr="00BC1144" w:rsidRDefault="006E391F" w:rsidP="00CC4DB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1.</w:t>
            </w:r>
            <w:r w:rsidRPr="00BC1144">
              <w:rPr>
                <w:b w:val="0"/>
                <w:noProof/>
              </w:rPr>
              <w:t>2</w:t>
            </w:r>
            <w:r w:rsidRPr="00BC1144">
              <w:tab/>
              <w:t>Indigenous people attain degrees at older ages</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Indigenous university students are older, on average, than non</w:t>
            </w:r>
            <w:r w:rsidRPr="00BC1144">
              <w:noBreakHyphen/>
              <w:t>Indigenous students (figure below). More than one third of Indigenous university students are aged over 30 years, compared with one quarter of non</w:t>
            </w:r>
            <w:r w:rsidRPr="00BC1144">
              <w:noBreakHyphen/>
              <w:t xml:space="preserve">Indigenous students </w:t>
            </w:r>
            <w:r w:rsidR="0092626E" w:rsidRPr="00BC1144">
              <w:rPr>
                <w:rFonts w:cs="Arial"/>
                <w:szCs w:val="24"/>
              </w:rPr>
              <w:t>(Venn and Crawford 2016)</w:t>
            </w:r>
            <w:r w:rsidRPr="00BC1144">
              <w:t xml:space="preserve">. Among other reasons, this reflects a higher proportion of students following vocational pathways to university and greater caring responsibilities at younger ages, particularly for women </w:t>
            </w:r>
            <w:r w:rsidR="0092626E" w:rsidRPr="00BC1144">
              <w:rPr>
                <w:rFonts w:cs="Arial"/>
                <w:szCs w:val="24"/>
              </w:rPr>
              <w:t>(Crawford and Biddle 2015; Venn and Crawford 2016)</w:t>
            </w:r>
            <w:r w:rsidRPr="00BC1144">
              <w:t>. The analysis of the LSAY data in this study only considers equity group university access and participation up to age 22 years. As a result, it does not reflect the relatively higher Indigenous access and attendance rates at older ages that the age</w:t>
            </w:r>
            <w:r w:rsidRPr="00BC1144">
              <w:noBreakHyphen/>
              <w:t xml:space="preserve">adjusted aggregate data show (appendix A). </w:t>
            </w:r>
          </w:p>
          <w:p w:rsidR="006E391F" w:rsidRPr="00BC1144" w:rsidRDefault="006E391F" w:rsidP="00336FA0">
            <w:pPr>
              <w:pStyle w:val="Box"/>
              <w:rPr>
                <w:b/>
              </w:rPr>
            </w:pPr>
            <w:r w:rsidRPr="00BC1144">
              <w:rPr>
                <w:b/>
                <w:bCs/>
                <w:color w:val="292929"/>
                <w:lang w:val="en"/>
              </w:rPr>
              <w:t>Figure:</w:t>
            </w:r>
            <w:r w:rsidRPr="00BC1144">
              <w:rPr>
                <w:b/>
              </w:rPr>
              <w:t xml:space="preserve"> Age profiles of Indigenous and non</w:t>
            </w:r>
            <w:r w:rsidRPr="00BC1144">
              <w:rPr>
                <w:b/>
              </w:rPr>
              <w:noBreakHyphen/>
              <w:t>Indigenous students attending university, 2016</w:t>
            </w:r>
          </w:p>
          <w:p w:rsidR="006E391F" w:rsidRPr="00BC1144" w:rsidRDefault="006E391F" w:rsidP="00336FA0">
            <w:pPr>
              <w:pStyle w:val="Box"/>
            </w:pPr>
            <w:r w:rsidRPr="00BC1144">
              <w:rPr>
                <w:noProof/>
              </w:rPr>
              <w:drawing>
                <wp:inline distT="0" distB="0" distL="0" distR="0" wp14:anchorId="74FA1F29" wp14:editId="795686B6">
                  <wp:extent cx="5399405" cy="2874010"/>
                  <wp:effectExtent l="0" t="0" r="0" b="2540"/>
                  <wp:docPr id="5" name="Picture 5" descr="The figure in box A.1 shows the age profile (by 5 year age brackets starting at age 15) of indigenous and non-indigenous students attending university in 2016. More Indigenous students attend university at older ages than non-Indigenous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99405" cy="2874010"/>
                          </a:xfrm>
                          <a:prstGeom prst="rect">
                            <a:avLst/>
                          </a:prstGeom>
                          <a:noFill/>
                          <a:ln>
                            <a:noFill/>
                          </a:ln>
                        </pic:spPr>
                      </pic:pic>
                    </a:graphicData>
                  </a:graphic>
                </wp:inline>
              </w:drawing>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92626E">
            <w:pPr>
              <w:pStyle w:val="BoxSource"/>
            </w:pPr>
            <w:r w:rsidRPr="00BC1144">
              <w:rPr>
                <w:i/>
              </w:rPr>
              <w:t>Source</w:t>
            </w:r>
            <w:r w:rsidRPr="00BC1144">
              <w:t xml:space="preserve">: Venn and Crawford </w:t>
            </w:r>
            <w:r w:rsidR="0092626E" w:rsidRPr="00BC1144">
              <w:rPr>
                <w:rFonts w:cs="Arial"/>
                <w:sz w:val="20"/>
              </w:rPr>
              <w:t>(2016)</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6E391F">
      <w:pPr>
        <w:sectPr w:rsidR="006E391F" w:rsidRPr="00BC1144" w:rsidSect="006E391F">
          <w:headerReference w:type="even" r:id="rId40"/>
          <w:headerReference w:type="default" r:id="rId41"/>
          <w:footerReference w:type="even" r:id="rId42"/>
          <w:footerReference w:type="default" r:id="rId43"/>
          <w:type w:val="oddPage"/>
          <w:pgSz w:w="11907" w:h="16840" w:code="9"/>
          <w:pgMar w:top="1985" w:right="1304" w:bottom="1247" w:left="1814" w:header="1701" w:footer="397" w:gutter="0"/>
          <w:pgNumType w:chapSep="period"/>
          <w:cols w:space="720"/>
          <w:docGrid w:linePitch="326"/>
        </w:sectPr>
      </w:pPr>
    </w:p>
    <w:p w:rsidR="006E391F" w:rsidRPr="00BC1144" w:rsidRDefault="006E391F" w:rsidP="00344F80">
      <w:pPr>
        <w:pStyle w:val="Heading1"/>
        <w:spacing w:after="960"/>
      </w:pPr>
      <w:bookmarkStart w:id="29" w:name="_Toc10805435"/>
      <w:r w:rsidRPr="00BC1144">
        <w:lastRenderedPageBreak/>
        <w:t>2</w:t>
      </w:r>
      <w:r w:rsidRPr="00BC1144">
        <w:tab/>
        <w:t>Growth in the higher education system</w:t>
      </w:r>
      <w:bookmarkEnd w:id="29"/>
    </w:p>
    <w:p w:rsidR="006E391F" w:rsidRPr="00BC1144" w:rsidRDefault="006E39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t>Key points</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44F80">
            <w:pPr>
              <w:pStyle w:val="KeyPointsListBullet"/>
              <w:spacing w:before="80" w:after="80"/>
              <w:rPr>
                <w:spacing w:val="-2"/>
              </w:rPr>
            </w:pPr>
            <w:r w:rsidRPr="00BC1144">
              <w:rPr>
                <w:spacing w:val="-2"/>
              </w:rPr>
              <w:t>Under the expanded higher education system, caps on government support for most domestic undergraduate students were removed and universities adapted their admissions processes. These changes facilitated an inflow of students who were previously restricted based on their Australian Tertiary Admission Rank (ATAR).</w:t>
            </w:r>
          </w:p>
          <w:p w:rsidR="006E391F" w:rsidRPr="00BC1144" w:rsidRDefault="006E391F" w:rsidP="00344F80">
            <w:pPr>
              <w:pStyle w:val="KeyPointsListBullet"/>
              <w:spacing w:before="80" w:after="80"/>
            </w:pPr>
            <w:r w:rsidRPr="00BC1144">
              <w:t>To understand the effects of these changes, it is necessary to focus on those ‘additional students’ that would not have attended university prior to the demand driven system.</w:t>
            </w:r>
          </w:p>
          <w:p w:rsidR="0052369A" w:rsidRPr="00BC1144" w:rsidRDefault="006E391F" w:rsidP="00344F80">
            <w:pPr>
              <w:pStyle w:val="KeyPointsListBullet"/>
              <w:spacing w:before="80" w:after="80"/>
              <w:rPr>
                <w:spacing w:val="-2"/>
              </w:rPr>
            </w:pPr>
            <w:r w:rsidRPr="00BC1144">
              <w:rPr>
                <w:spacing w:val="-2"/>
              </w:rPr>
              <w:t>While the additional students come from all walks of life, they typically perform</w:t>
            </w:r>
            <w:r w:rsidR="0052369A" w:rsidRPr="00BC1144">
              <w:rPr>
                <w:spacing w:val="-2"/>
              </w:rPr>
              <w:t xml:space="preserve"> more poorly</w:t>
            </w:r>
            <w:r w:rsidRPr="00BC1144">
              <w:rPr>
                <w:spacing w:val="-2"/>
              </w:rPr>
              <w:t xml:space="preserve"> in terms of literacy and numeracy (based on testing at age 15 years) and have lower ATAR scores (most less than 70) than other students. </w:t>
            </w:r>
          </w:p>
          <w:p w:rsidR="006E391F" w:rsidRPr="00BC1144" w:rsidRDefault="006E391F" w:rsidP="0052369A">
            <w:pPr>
              <w:pStyle w:val="KeyPointsListBullet2"/>
            </w:pPr>
            <w:r w:rsidRPr="00BC1144">
              <w:t>They are also somewhat more likely to study management and commerce, information technology and teachi</w:t>
            </w:r>
            <w:r w:rsidR="00DC5BB6" w:rsidRPr="00BC1144">
              <w:t>ng degrees than other students.</w:t>
            </w:r>
          </w:p>
          <w:p w:rsidR="006E391F" w:rsidRPr="00BC1144" w:rsidRDefault="006E391F" w:rsidP="00344F80">
            <w:pPr>
              <w:pStyle w:val="KeyPointsListBullet"/>
              <w:spacing w:before="80" w:after="80"/>
            </w:pPr>
            <w:r w:rsidRPr="00BC1144">
              <w:t xml:space="preserve">Additional students underperform </w:t>
            </w:r>
            <w:r w:rsidR="0052369A" w:rsidRPr="00BC1144">
              <w:t xml:space="preserve">academically </w:t>
            </w:r>
            <w:r w:rsidRPr="00BC1144">
              <w:t>relative to other students.</w:t>
            </w:r>
            <w:r w:rsidR="0052369A" w:rsidRPr="00BC1144">
              <w:t xml:space="preserve"> They</w:t>
            </w:r>
            <w:r w:rsidRPr="00BC1144">
              <w:t xml:space="preserve"> drop out at rates 57 to 70 per cent higher than other students (drop</w:t>
            </w:r>
            <w:r w:rsidRPr="00BC1144">
              <w:noBreakHyphen/>
              <w:t xml:space="preserve">out rates for other students have been trending down over time). </w:t>
            </w:r>
          </w:p>
          <w:p w:rsidR="006E391F" w:rsidRPr="00BC1144" w:rsidRDefault="006E391F" w:rsidP="00344F80">
            <w:pPr>
              <w:pStyle w:val="KeyPointsListBullet"/>
              <w:spacing w:before="80" w:after="80"/>
            </w:pPr>
            <w:r w:rsidRPr="00BC1144">
              <w:t>Those additional students that do graduate face less smooth labour market transitions. At age 23 years, they are less likely to be in full</w:t>
            </w:r>
            <w:r w:rsidRPr="00BC1144">
              <w:noBreakHyphen/>
              <w:t xml:space="preserve">time employment (especially in professional or managerial occupations) and have lower average weekly pay than other gradates or those that </w:t>
            </w:r>
            <w:r w:rsidR="0052369A" w:rsidRPr="00BC1144">
              <w:t>did not attend</w:t>
            </w:r>
            <w:r w:rsidRPr="00BC1144">
              <w:t xml:space="preserve"> university.</w:t>
            </w:r>
          </w:p>
          <w:p w:rsidR="006E391F" w:rsidRPr="00BC1144" w:rsidRDefault="006E391F" w:rsidP="00336FA0">
            <w:pPr>
              <w:pStyle w:val="KeyPointsListBullet2"/>
            </w:pPr>
            <w:r w:rsidRPr="00BC1144">
              <w:t>However, these gaps in employment and earnings tend to narrow as additional students grow older and spend more time in the labour market, and largely vanish by age 25 years.</w:t>
            </w:r>
          </w:p>
          <w:p w:rsidR="006E391F" w:rsidRPr="00BC1144" w:rsidRDefault="006E391F" w:rsidP="00344F80">
            <w:pPr>
              <w:pStyle w:val="KeyPointsListBullet"/>
              <w:spacing w:before="80" w:after="80"/>
            </w:pPr>
            <w:r w:rsidRPr="00BC1144">
              <w:t>Neither students, university administrators nor bureaucrats can be certain who will benefit from higher education. Some student attrition is unavoidable as people learn whether they are we</w:t>
            </w:r>
            <w:r w:rsidR="0052369A" w:rsidRPr="00BC1144">
              <w:t xml:space="preserve">ll </w:t>
            </w:r>
            <w:r w:rsidRPr="00BC1144">
              <w:t>suited to university education. Nevertheless, there is a cost to students in terms of forgone earnings, accumulated debt and out</w:t>
            </w:r>
            <w:r w:rsidRPr="00BC1144">
              <w:noBreakHyphen/>
              <w:t>of</w:t>
            </w:r>
            <w:r w:rsidRPr="00BC1144">
              <w:noBreakHyphen/>
              <w:t xml:space="preserve">pocket expenses, as well as </w:t>
            </w:r>
            <w:r w:rsidR="00326E81" w:rsidRPr="00BC1144">
              <w:t xml:space="preserve">a </w:t>
            </w:r>
            <w:r w:rsidRPr="00BC1144">
              <w:t>cost to the public due to the government subsidy. This suggests a role for greater support for students to either build the skills required to succeed or exit early.</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44F80">
      <w:pPr>
        <w:pStyle w:val="Heading2"/>
        <w:keepNext w:val="0"/>
        <w:widowControl w:val="0"/>
      </w:pPr>
      <w:bookmarkStart w:id="30" w:name="_Toc10805436"/>
      <w:r w:rsidRPr="00BC1144">
        <w:t>2.</w:t>
      </w:r>
      <w:r w:rsidRPr="00BC1144">
        <w:rPr>
          <w:noProof/>
        </w:rPr>
        <w:t>1</w:t>
      </w:r>
      <w:r w:rsidRPr="00BC1144">
        <w:tab/>
        <w:t>Evolving admissions processes under the demand driven system</w:t>
      </w:r>
      <w:bookmarkEnd w:id="30"/>
    </w:p>
    <w:p w:rsidR="006E391F" w:rsidRPr="00BC1144" w:rsidRDefault="006E391F" w:rsidP="00344F80">
      <w:pPr>
        <w:pStyle w:val="BodyText"/>
        <w:widowControl w:val="0"/>
        <w:tabs>
          <w:tab w:val="left" w:pos="851"/>
        </w:tabs>
      </w:pPr>
      <w:r w:rsidRPr="00BC1144">
        <w:t>Universities have adapted their admissions practices over time to facilitate an increase in student numbers. Overall, cut</w:t>
      </w:r>
      <w:r w:rsidRPr="00BC1144">
        <w:noBreakHyphen/>
        <w:t xml:space="preserve">off scores for year 12 applicants have tended to decline over time and all universities have taken steps to broaden the information and experiences they consider. Direct applicants to university, the vast majority of whom are not current year 12 </w:t>
      </w:r>
      <w:r w:rsidRPr="00BC1144">
        <w:lastRenderedPageBreak/>
        <w:t>students, more than doubled between 2009 and 2017, while applicants via tertiary admissions centres (the traditional route of year 12 admission) grew by 17 per cent over the same period. These changes, designed</w:t>
      </w:r>
      <w:r w:rsidRPr="00BC1144" w:rsidDel="00A33DEA">
        <w:t xml:space="preserve"> to</w:t>
      </w:r>
      <w:r w:rsidRPr="00BC1144">
        <w:t xml:space="preserve"> increase overall student numbers and support greater equity, are largely in step with the intent of the Australian Government at the time the demand driven system was introduced </w:t>
      </w:r>
      <w:r w:rsidR="0092626E" w:rsidRPr="00BC1144">
        <w:rPr>
          <w:szCs w:val="24"/>
        </w:rPr>
        <w:t>(Australian Government 2009)</w:t>
      </w:r>
      <w:r w:rsidRPr="00BC1144">
        <w:t>.</w:t>
      </w:r>
    </w:p>
    <w:p w:rsidR="006E391F" w:rsidRPr="00BC1144" w:rsidRDefault="006E391F" w:rsidP="00336FA0">
      <w:pPr>
        <w:pStyle w:val="BodyText"/>
      </w:pPr>
      <w:r w:rsidRPr="00BC1144">
        <w:t>ATAR remains important for year 12 applicants and for entry into the most selective courses. While applicants with low ATAR scores are more likely to be admitted than they were prior to the demand driven system, universities still make relatively few offers to students with very low ATARs. In 2017, about 30 per cent of accepted offers by school leavers were to students with an ATAR of 70 or less and only about 6 per cent of accepted offers to school leavers were to students with an ATAR of 50 or less (figure 2.1). Thus, school achievement remains an important determinant of school leavers’ prospects of getting into university.</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w:t>
            </w:r>
            <w:r w:rsidRPr="00BC1144">
              <w:rPr>
                <w:b w:val="0"/>
                <w:noProof/>
              </w:rPr>
              <w:t>1</w:t>
            </w:r>
            <w:r w:rsidRPr="00BC1144">
              <w:tab/>
              <w:t>School students with high ATARs still dominate year 12 acceptances</w:t>
            </w:r>
          </w:p>
          <w:p w:rsidR="006E391F" w:rsidRPr="00BC1144" w:rsidRDefault="006E391F" w:rsidP="00336FA0">
            <w:pPr>
              <w:pStyle w:val="Subtitle"/>
            </w:pPr>
            <w:r w:rsidRPr="00BC1144">
              <w:t>Share of accepted offers by ATAR band</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6572FD6" wp14:editId="4D56B365">
                        <wp:extent cx="5401945" cy="2522855"/>
                        <wp:effectExtent l="0" t="0" r="8255" b="0"/>
                        <wp:docPr id="18" name="Picture 18" descr="Figure 2.1 shows the share of total acceptances for people with ATAR scores less than 70 and less that 50 from 2004 to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1945" cy="252285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ATAR data presented here are only for students applying for undergraduate study at university directly after year 12. Other applicants may have obtained an ATAR, but the data are not published by the Department of Education and Training.</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DET </w:t>
            </w:r>
            <w:r w:rsidR="0092626E" w:rsidRPr="00BC1144">
              <w:rPr>
                <w:rFonts w:cs="Arial"/>
              </w:rPr>
              <w:t>(2013d, 2013f, 2013h, 2013j, 2013l, 2013n, 2014b, 2015c, 2016e, 2017b, 2018f)</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1C0939" w:rsidRPr="00BC1144" w:rsidRDefault="001C0939" w:rsidP="001C0939">
      <w:pPr>
        <w:pStyle w:val="BodyText"/>
        <w:spacing w:before="200"/>
      </w:pPr>
      <w:r w:rsidRPr="00BC1144">
        <w:t>Admissions based on ATAR are relatively simple and transparent. On the other hand, many have criticised ATAR as a good indicator of likely university success. While high ATAR students, on average, achieve higher academic outcomes and lower drop</w:t>
      </w:r>
      <w:r w:rsidRPr="00BC1144">
        <w:noBreakHyphen/>
        <w:t xml:space="preserve">out rates than lower ATAR students, there is substantial variance around these average outcomes, especially so for low-ATAR students (discussed later). Low ATAR scores may particularly act as a barrier to university entry for students with academic promise who come from disadvantaged backgrounds or experienced hardship during their schooling because of circumstances beyond their control </w:t>
      </w:r>
      <w:r w:rsidR="0092626E" w:rsidRPr="00BC1144">
        <w:rPr>
          <w:szCs w:val="24"/>
        </w:rPr>
        <w:t>(Cardak and Ryan 2009)</w:t>
      </w:r>
      <w:r w:rsidRPr="00BC1144">
        <w:t>.</w:t>
      </w:r>
    </w:p>
    <w:p w:rsidR="006E391F" w:rsidRPr="00BC1144" w:rsidRDefault="006E391F" w:rsidP="001C0939">
      <w:pPr>
        <w:pStyle w:val="BodyText"/>
        <w:tabs>
          <w:tab w:val="left" w:pos="851"/>
        </w:tabs>
        <w:spacing w:before="200"/>
      </w:pPr>
      <w:r w:rsidRPr="00BC1144">
        <w:lastRenderedPageBreak/>
        <w:t xml:space="preserve">While criteria used vary from university to university and course to course, all universities have broadened the basis on which they admit students to better recognise experience in addition to, or instead of, school completion (box 2.1). Applications based on vocational education qualifications or experience grew over the period from 2010 to 2014 before subsiding in line with the declining enrolments in the Vocational Education and Training (VET) sector. More students are also moving between courses and universities, with admission on the basis of previous higher education study </w:t>
      </w:r>
      <w:r w:rsidR="0092626E" w:rsidRPr="00BC1144">
        <w:rPr>
          <w:szCs w:val="24"/>
        </w:rPr>
        <w:t>(Pilcher and Torii 2018)</w:t>
      </w:r>
      <w:r w:rsidRPr="00BC1144">
        <w:t xml:space="preserve">. There are also some indications that the rising complexity of entry pathways means that prospective students face increasing difficulties in understanding the full range of study options and opportunities available </w:t>
      </w:r>
      <w:r w:rsidR="0092626E" w:rsidRPr="00BC1144">
        <w:rPr>
          <w:szCs w:val="24"/>
        </w:rPr>
        <w:t>(DET 2016b)</w:t>
      </w:r>
      <w:r w:rsidRPr="00BC1144">
        <w:t xml:space="preserve">. </w:t>
      </w:r>
    </w:p>
    <w:p w:rsidR="006E391F" w:rsidRPr="00BC1144" w:rsidRDefault="006E39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pPr>
              <w:pStyle w:val="BoxTitle"/>
            </w:pPr>
            <w:r w:rsidRPr="00BC1144">
              <w:rPr>
                <w:b w:val="0"/>
              </w:rPr>
              <w:t>Box 2.</w:t>
            </w:r>
            <w:r w:rsidRPr="00BC1144">
              <w:rPr>
                <w:b w:val="0"/>
                <w:noProof/>
              </w:rPr>
              <w:t>1</w:t>
            </w:r>
            <w:r w:rsidRPr="00BC1144">
              <w:tab/>
              <w:t>Some examples of changes in admissions processes</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While every university has made changes to admissions processes, a handful of examples are:</w:t>
            </w:r>
          </w:p>
          <w:p w:rsidR="006E391F" w:rsidRPr="00BC1144" w:rsidRDefault="006E391F" w:rsidP="00336FA0">
            <w:pPr>
              <w:pStyle w:val="BoxListBullet"/>
            </w:pPr>
            <w:r w:rsidRPr="00BC1144">
              <w:t>Curtin, Edith Cowan and Murdoch Universities and the University of Western Australia all offer short</w:t>
            </w:r>
            <w:r w:rsidRPr="00BC1144">
              <w:noBreakHyphen/>
              <w:t>term preparation courses for undergraduate degrees requiring ATARs of about 70</w:t>
            </w:r>
          </w:p>
          <w:p w:rsidR="006E391F" w:rsidRPr="00BC1144" w:rsidRDefault="006E391F" w:rsidP="00336FA0">
            <w:pPr>
              <w:pStyle w:val="BoxListBullet"/>
            </w:pPr>
            <w:r w:rsidRPr="00BC1144">
              <w:t>Australian Catholic University and Notre Dame University typically recognise church and community involvement as well as academic pre</w:t>
            </w:r>
            <w:r w:rsidRPr="00BC1144">
              <w:noBreakHyphen/>
              <w:t>requisites</w:t>
            </w:r>
          </w:p>
          <w:p w:rsidR="006E391F" w:rsidRPr="00BC1144" w:rsidRDefault="006E391F" w:rsidP="00336FA0">
            <w:pPr>
              <w:pStyle w:val="BoxListBullet"/>
            </w:pPr>
            <w:r w:rsidRPr="00BC1144">
              <w:t>Monash University provides entry into select courses based on completing a Diploma of Tertiary Studies and participating in access programs</w:t>
            </w:r>
          </w:p>
          <w:p w:rsidR="006E391F" w:rsidRPr="00BC1144" w:rsidRDefault="006E391F" w:rsidP="00336FA0">
            <w:pPr>
              <w:pStyle w:val="BoxListBullet"/>
            </w:pPr>
            <w:r w:rsidRPr="00BC1144">
              <w:t>University of Technology Sydney recognises work experience for select courses and, similar to other universities, also provides preparation courses as well as ongoing academic support</w:t>
            </w:r>
          </w:p>
          <w:p w:rsidR="006E391F" w:rsidRPr="00BC1144" w:rsidRDefault="006E391F" w:rsidP="00336FA0">
            <w:pPr>
              <w:pStyle w:val="BoxListBullet"/>
            </w:pPr>
            <w:r w:rsidRPr="00BC1144">
              <w:t xml:space="preserve">University of Wollongong provides a free, one year university preparation program to students who experienced hardship during their secondary school education </w:t>
            </w:r>
            <w:r w:rsidRPr="00BC1144">
              <w:rPr>
                <w:rFonts w:hint="eastAsia"/>
              </w:rPr>
              <w:t>and</w:t>
            </w:r>
            <w:r w:rsidRPr="00BC1144">
              <w:t xml:space="preserve"> either did not receive an ATAR or did not get the ATAR score they hoped for. All students who successfully complete the program are guaranteed entry into a University of Wollongong bachelor degree.</w:t>
            </w:r>
          </w:p>
          <w:p w:rsidR="006E391F" w:rsidRPr="00BC1144" w:rsidRDefault="006E391F" w:rsidP="00336FA0">
            <w:pPr>
              <w:pStyle w:val="BoxListBullet"/>
            </w:pPr>
            <w:r w:rsidRPr="00BC1144">
              <w:t>Melbourne University provides entry into select courses for those with no relevant school qualifications based on completing a Diploma in General Studies or Technical and Further Education (TAFE) courses along with other tertiary aptitude tests.</w:t>
            </w:r>
          </w:p>
          <w:p w:rsidR="006E391F" w:rsidRPr="00BC1144" w:rsidRDefault="006E391F" w:rsidP="0092626E">
            <w:pPr>
              <w:pStyle w:val="Box"/>
            </w:pPr>
            <w:r w:rsidRPr="00BC1144">
              <w:t xml:space="preserve">The University of Notre Dame’s admissions processes are sometimes presented as an example of good practice </w:t>
            </w:r>
            <w:r w:rsidR="0092626E" w:rsidRPr="00BC1144">
              <w:rPr>
                <w:rFonts w:cs="Arial"/>
                <w:szCs w:val="24"/>
              </w:rPr>
              <w:t>(DET 2016b; PC 2017)</w:t>
            </w:r>
            <w:r w:rsidRPr="00BC1144">
              <w:t xml:space="preserve">. It only accepts direct applicants and considers features of a prospective student’s performance beyond their ATAR, including a student’s personal statement on why they want to study at the University. Taking account of differences in the student body, the University has student attrition rates comparable to the Group of Eight </w:t>
            </w:r>
            <w:r w:rsidR="0092626E" w:rsidRPr="00BC1144">
              <w:rPr>
                <w:rFonts w:cs="Arial"/>
                <w:szCs w:val="24"/>
              </w:rPr>
              <w:t>(DET 2016b, p. 38)</w:t>
            </w:r>
            <w:r w:rsidRPr="00BC1144">
              <w:t xml:space="preserve"> and, across all Australian universities, the second highest student assessment of the quality of the entire educational experience </w:t>
            </w:r>
            <w:r w:rsidR="0092626E" w:rsidRPr="00BC1144">
              <w:rPr>
                <w:rFonts w:cs="Arial"/>
                <w:szCs w:val="24"/>
              </w:rPr>
              <w:t>(Social Research Centre 2019b)</w:t>
            </w:r>
            <w:r w:rsidRPr="00BC1144">
              <w:t>.</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1C0939" w:rsidRPr="00BC1144" w:rsidRDefault="001C0939" w:rsidP="001C0939">
      <w:pPr>
        <w:pStyle w:val="Heading2"/>
      </w:pPr>
      <w:bookmarkStart w:id="31" w:name="_Toc10805437"/>
      <w:r w:rsidRPr="00BC1144">
        <w:t>2.</w:t>
      </w:r>
      <w:r w:rsidRPr="00BC1144">
        <w:rPr>
          <w:noProof/>
        </w:rPr>
        <w:t>2</w:t>
      </w:r>
      <w:r w:rsidRPr="00BC1144">
        <w:tab/>
        <w:t>Who are the additional students?</w:t>
      </w:r>
      <w:bookmarkEnd w:id="31"/>
    </w:p>
    <w:p w:rsidR="001C0939" w:rsidRPr="00BC1144" w:rsidRDefault="001C0939" w:rsidP="001C0939">
      <w:pPr>
        <w:pStyle w:val="BodyText"/>
      </w:pPr>
      <w:r w:rsidRPr="00BC1144">
        <w:t xml:space="preserve">The overall increase in domestic enrolments has meant that some young people have attended university in recent years who would not have had the opportunity during the previous decade. Identifying these ‘additional students’ is not straightforward. The approach in this study is to rely on the probabilities of attending university predicted based on </w:t>
      </w:r>
      <w:r w:rsidRPr="00BC1144">
        <w:lastRenderedPageBreak/>
        <w:t>observable student characteristics. Those who attended university during the demand driven system are split, probabilistically, into two groups — ‘additional students’ and ‘other students’. Those whose probabilities of attending increased the most since the demand driven system was introduced are more heavily represented in the ‘additional students’ group (box 2.2 provides greater detail).</w:t>
      </w:r>
    </w:p>
    <w:p w:rsidR="001C0939" w:rsidRPr="00BC1144" w:rsidRDefault="001C0939" w:rsidP="001C093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0939" w:rsidRPr="00BC1144" w:rsidTr="00DC5BB6">
        <w:trPr>
          <w:tblHeader/>
        </w:trPr>
        <w:tc>
          <w:tcPr>
            <w:tcW w:w="5000" w:type="pct"/>
            <w:tcBorders>
              <w:top w:val="single" w:sz="6" w:space="0" w:color="78A22F"/>
              <w:left w:val="nil"/>
              <w:bottom w:val="nil"/>
              <w:right w:val="nil"/>
            </w:tcBorders>
            <w:shd w:val="clear" w:color="auto" w:fill="F2F2F2"/>
          </w:tcPr>
          <w:p w:rsidR="001C0939" w:rsidRPr="00BC1144" w:rsidRDefault="001C0939" w:rsidP="00DC5BB6">
            <w:pPr>
              <w:pStyle w:val="BoxTitle"/>
            </w:pPr>
            <w:r w:rsidRPr="00BC1144">
              <w:rPr>
                <w:b w:val="0"/>
              </w:rPr>
              <w:t>Box 2.2</w:t>
            </w:r>
            <w:r w:rsidRPr="00BC1144">
              <w:tab/>
              <w:t>Estimating additional students</w:t>
            </w:r>
          </w:p>
        </w:tc>
      </w:tr>
      <w:tr w:rsidR="001C0939" w:rsidRPr="00BC1144" w:rsidTr="00DC5BB6">
        <w:tc>
          <w:tcPr>
            <w:tcW w:w="5000" w:type="pct"/>
            <w:tcBorders>
              <w:top w:val="nil"/>
              <w:left w:val="nil"/>
              <w:bottom w:val="nil"/>
              <w:right w:val="nil"/>
            </w:tcBorders>
            <w:shd w:val="clear" w:color="auto" w:fill="F2F2F2"/>
          </w:tcPr>
          <w:p w:rsidR="001C0939" w:rsidRPr="00BC1144" w:rsidRDefault="001C0939" w:rsidP="00DC5BB6">
            <w:pPr>
              <w:pStyle w:val="Box"/>
            </w:pPr>
            <w:r w:rsidRPr="00BC1144">
              <w:t>Additional students are identified by comparing predicted probabilities of university participation at two points in time (during the demand driven system, compared with a counterfactual at the start of the demand driven system).</w:t>
            </w:r>
          </w:p>
          <w:p w:rsidR="001C0939" w:rsidRPr="00BC1144" w:rsidRDefault="001C0939" w:rsidP="00DC5BB6">
            <w:pPr>
              <w:pStyle w:val="Box"/>
            </w:pPr>
            <w:r w:rsidRPr="00BC1144">
              <w:t>Every person in the dataset has different characteristics, like school achievement and family background. The introduction of the demand driven system and other social and economic changes mean that the importance of these different characteristics for predicting university participation changed over time. For example, a high ATAR became a less important predictor of university attendance.</w:t>
            </w:r>
          </w:p>
          <w:p w:rsidR="001C0939" w:rsidRPr="00BC1144" w:rsidRDefault="001C0939" w:rsidP="00DC5BB6">
            <w:pPr>
              <w:pStyle w:val="Box"/>
            </w:pPr>
            <w:r w:rsidRPr="00BC1144">
              <w:t>Multivariate regressions are used to predict each person’s likelihood of university attendance based on their characteristics and LSAY cohort. Then, by applying the model coefficients from those aged 22 years in 2010, the counterfactual predicted probability is calculated for each person in the later groups aged 22 years in 2013 and 2016. These probabilities are then used to calculate the probability that a person who attended university was an ‘additional student’ or an ‘other student’. The calculation used is shown in the table below.</w:t>
            </w:r>
          </w:p>
          <w:p w:rsidR="001C0939" w:rsidRPr="00BC1144" w:rsidRDefault="001C0939" w:rsidP="00DC5BB6">
            <w:pPr>
              <w:pStyle w:val="Box"/>
            </w:pPr>
            <w:r w:rsidRPr="00BC1144">
              <w:t xml:space="preserve">To understand how the calculation works, consider someone who attended university by age 22 years in 2016 and whose estimated probability of attendance is the same or smaller using the 2016 model coefficients compared with the 2010 coefficients. This suggests that the demand driven system did not increase their probability of attendance and they are assigned a zero probability of being an additional student. In contrast, a university student in the 2016 cohort whose probability of attending university is higher than the counterfactual probability may well be an additional student. Those whose probability of attending increased the most are </w:t>
            </w:r>
            <w:r w:rsidR="009C195B" w:rsidRPr="00BC1144">
              <w:t>considered more</w:t>
            </w:r>
            <w:r w:rsidRPr="00BC1144">
              <w:t xml:space="preserve"> likely to be additional students.</w:t>
            </w:r>
          </w:p>
          <w:p w:rsidR="001C0939" w:rsidRPr="00BC1144" w:rsidRDefault="001C0939" w:rsidP="00DC5BB6">
            <w:pPr>
              <w:pStyle w:val="Box"/>
            </w:pPr>
            <w:r w:rsidRPr="00BC1144">
              <w:t>That is, university students in the 2013 and 2016 datasets are assigned a weight that they were additional students and a weight that they were other students. Robustness of results to alternative assumptions is presented in appendix B.</w:t>
            </w:r>
          </w:p>
          <w:p w:rsidR="001C0939" w:rsidRPr="00BC1144" w:rsidRDefault="001C0939" w:rsidP="00DC5BB6">
            <w:pPr>
              <w:pStyle w:val="BoxHeading1"/>
              <w:spacing w:after="120"/>
            </w:pPr>
            <w:r w:rsidRPr="00BC1144">
              <w:t>Calculation of additional students</w:t>
            </w:r>
          </w:p>
          <w:p w:rsidR="001C0939" w:rsidRPr="00BC1144" w:rsidRDefault="001C0939" w:rsidP="00DC5BB6">
            <w:pPr>
              <w:pStyle w:val="Subtitle"/>
              <w:ind w:left="0"/>
              <w:jc w:val="both"/>
            </w:pPr>
            <w:r w:rsidRPr="00BC1144">
              <w:t>Example: 2016 university attendance compared with a 2010 counterfactual</w:t>
            </w:r>
          </w:p>
          <w:tbl>
            <w:tblPr>
              <w:tblW w:w="5000" w:type="pct"/>
              <w:tblCellMar>
                <w:top w:w="28" w:type="dxa"/>
                <w:left w:w="0" w:type="dxa"/>
                <w:right w:w="0" w:type="dxa"/>
              </w:tblCellMar>
              <w:tblLook w:val="0000" w:firstRow="0" w:lastRow="0" w:firstColumn="0" w:lastColumn="0" w:noHBand="0" w:noVBand="0"/>
            </w:tblPr>
            <w:tblGrid>
              <w:gridCol w:w="2553"/>
              <w:gridCol w:w="1560"/>
              <w:gridCol w:w="1842"/>
              <w:gridCol w:w="1415"/>
              <w:gridCol w:w="1135"/>
            </w:tblGrid>
            <w:tr w:rsidR="001C0939" w:rsidRPr="00BC1144" w:rsidTr="00DC5BB6">
              <w:trPr>
                <w:tblHeader/>
              </w:trPr>
              <w:tc>
                <w:tcPr>
                  <w:tcW w:w="1500" w:type="pct"/>
                  <w:tcBorders>
                    <w:top w:val="single" w:sz="6" w:space="0" w:color="BFBFBF"/>
                    <w:bottom w:val="single" w:sz="6" w:space="0" w:color="BFBFBF"/>
                  </w:tcBorders>
                  <w:shd w:val="clear" w:color="auto" w:fill="auto"/>
                  <w:tcMar>
                    <w:top w:w="28" w:type="dxa"/>
                  </w:tcMar>
                </w:tcPr>
                <w:p w:rsidR="001C0939" w:rsidRPr="00BC1144" w:rsidRDefault="001C0939" w:rsidP="00DC5BB6">
                  <w:pPr>
                    <w:pStyle w:val="TableColumnHeading"/>
                    <w:jc w:val="left"/>
                  </w:pPr>
                  <w:r w:rsidRPr="00BC1144">
                    <w:t>Observed status</w:t>
                  </w:r>
                </w:p>
              </w:tc>
              <w:tc>
                <w:tcPr>
                  <w:tcW w:w="917" w:type="pct"/>
                  <w:tcBorders>
                    <w:top w:val="single" w:sz="6" w:space="0" w:color="BFBFBF"/>
                    <w:bottom w:val="single" w:sz="6" w:space="0" w:color="BFBFBF"/>
                  </w:tcBorders>
                </w:tcPr>
                <w:p w:rsidR="001C0939" w:rsidRPr="00BC1144" w:rsidRDefault="001C0939" w:rsidP="00DC5BB6">
                  <w:pPr>
                    <w:pStyle w:val="TableColumnHeading"/>
                  </w:pPr>
                  <w:r w:rsidRPr="00BC1144">
                    <w:t>Propensity score</w:t>
                  </w:r>
                </w:p>
              </w:tc>
              <w:tc>
                <w:tcPr>
                  <w:tcW w:w="1083" w:type="pct"/>
                  <w:tcBorders>
                    <w:top w:val="single" w:sz="6" w:space="0" w:color="BFBFBF"/>
                    <w:bottom w:val="single" w:sz="6" w:space="0" w:color="BFBFBF"/>
                  </w:tcBorders>
                </w:tcPr>
                <w:p w:rsidR="001C0939" w:rsidRPr="00BC1144" w:rsidRDefault="001C0939" w:rsidP="00DC5BB6">
                  <w:pPr>
                    <w:pStyle w:val="TableColumnHeading"/>
                  </w:pPr>
                  <w:r w:rsidRPr="00BC1144">
                    <w:t>Additional students</w:t>
                  </w:r>
                </w:p>
              </w:tc>
              <w:tc>
                <w:tcPr>
                  <w:tcW w:w="832" w:type="pct"/>
                  <w:tcBorders>
                    <w:top w:val="single" w:sz="6" w:space="0" w:color="BFBFBF"/>
                    <w:bottom w:val="single" w:sz="6" w:space="0" w:color="BFBFBF"/>
                  </w:tcBorders>
                  <w:shd w:val="clear" w:color="auto" w:fill="auto"/>
                  <w:tcMar>
                    <w:top w:w="28" w:type="dxa"/>
                  </w:tcMar>
                </w:tcPr>
                <w:p w:rsidR="001C0939" w:rsidRPr="00BC1144" w:rsidRDefault="001C0939" w:rsidP="00DC5BB6">
                  <w:pPr>
                    <w:pStyle w:val="TableColumnHeading"/>
                  </w:pPr>
                  <w:r w:rsidRPr="00BC1144">
                    <w:t>Other students</w:t>
                  </w:r>
                </w:p>
              </w:tc>
              <w:tc>
                <w:tcPr>
                  <w:tcW w:w="667" w:type="pct"/>
                  <w:tcBorders>
                    <w:top w:val="single" w:sz="6" w:space="0" w:color="BFBFBF"/>
                    <w:bottom w:val="single" w:sz="6" w:space="0" w:color="BFBFBF"/>
                  </w:tcBorders>
                  <w:shd w:val="clear" w:color="auto" w:fill="auto"/>
                  <w:tcMar>
                    <w:top w:w="28" w:type="dxa"/>
                  </w:tcMar>
                </w:tcPr>
                <w:p w:rsidR="001C0939" w:rsidRPr="00BC1144" w:rsidRDefault="001C0939" w:rsidP="00DC5BB6">
                  <w:pPr>
                    <w:pStyle w:val="TableColumnHeading"/>
                    <w:ind w:right="28"/>
                  </w:pPr>
                  <w:r w:rsidRPr="00BC1144">
                    <w:t>Not attend</w:t>
                  </w:r>
                </w:p>
              </w:tc>
            </w:tr>
            <w:tr w:rsidR="001C0939" w:rsidRPr="00BC1144" w:rsidTr="00DC5BB6">
              <w:tc>
                <w:tcPr>
                  <w:tcW w:w="1500" w:type="pct"/>
                  <w:vMerge w:val="restart"/>
                  <w:tcBorders>
                    <w:top w:val="single" w:sz="6" w:space="0" w:color="BFBFBF"/>
                  </w:tcBorders>
                </w:tcPr>
                <w:p w:rsidR="001C0939" w:rsidRPr="00BC1144" w:rsidRDefault="001C0939" w:rsidP="00DC5BB6">
                  <w:pPr>
                    <w:pStyle w:val="TableUnitsRow"/>
                    <w:jc w:val="left"/>
                  </w:pPr>
                  <w:r w:rsidRPr="00BC1144">
                    <w:t>Attended university in 2016</w:t>
                  </w:r>
                </w:p>
              </w:tc>
              <w:tc>
                <w:tcPr>
                  <w:tcW w:w="917" w:type="pct"/>
                  <w:tcBorders>
                    <w:top w:val="single" w:sz="6" w:space="0" w:color="BFBFBF"/>
                  </w:tcBorders>
                </w:tcPr>
                <w:p w:rsidR="001C0939" w:rsidRPr="00BC1144" w:rsidRDefault="00EF7456" w:rsidP="00DC5BB6">
                  <w:pPr>
                    <w:pStyle w:val="TableUnitsRow"/>
                    <w:rPr>
                      <w:rFonts w:ascii="Times New Roman" w:hAnsi="Times New Roman"/>
                    </w:rPr>
                  </w:pPr>
                  <m:oMathPara>
                    <m:oMathParaPr>
                      <m:jc m:val="right"/>
                    </m:oMathParaPr>
                    <m:oMath>
                      <m:sSub>
                        <m:sSubPr>
                          <m:ctrlPr>
                            <w:rPr>
                              <w:rFonts w:ascii="Cambria Math" w:hAnsi="Cambria Math"/>
                              <w:i/>
                            </w:rPr>
                          </m:ctrlPr>
                        </m:sSubPr>
                        <m:e>
                          <m:r>
                            <w:rPr>
                              <w:rFonts w:ascii="Cambria Math" w:hAnsi="Cambria Math"/>
                            </w:rPr>
                            <m:t>P</m:t>
                          </m:r>
                        </m:e>
                        <m:sub>
                          <m:r>
                            <w:rPr>
                              <w:rFonts w:ascii="Cambria Math" w:hAnsi="Cambria Math"/>
                            </w:rPr>
                            <m:t>2016</m:t>
                          </m:r>
                        </m:sub>
                      </m:sSub>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2010</m:t>
                          </m:r>
                        </m:sub>
                      </m:sSub>
                    </m:oMath>
                  </m:oMathPara>
                </w:p>
              </w:tc>
              <w:tc>
                <w:tcPr>
                  <w:tcW w:w="1083" w:type="pct"/>
                  <w:tcBorders>
                    <w:top w:val="single" w:sz="6" w:space="0" w:color="BFBFBF"/>
                  </w:tcBorders>
                </w:tcPr>
                <w:p w:rsidR="001C0939" w:rsidRPr="00BC1144" w:rsidRDefault="001C0939" w:rsidP="00DC5BB6">
                  <w:pPr>
                    <w:pStyle w:val="TableUnitsRow"/>
                  </w:pPr>
                  <w:r w:rsidRPr="00BC1144">
                    <w:t>0</w:t>
                  </w:r>
                </w:p>
              </w:tc>
              <w:tc>
                <w:tcPr>
                  <w:tcW w:w="832" w:type="pct"/>
                  <w:tcBorders>
                    <w:top w:val="single" w:sz="6" w:space="0" w:color="BFBFBF"/>
                  </w:tcBorders>
                </w:tcPr>
                <w:p w:rsidR="001C0939" w:rsidRPr="00BC1144" w:rsidRDefault="001C0939" w:rsidP="00DC5BB6">
                  <w:pPr>
                    <w:pStyle w:val="TableUnitsRow"/>
                  </w:pPr>
                  <w:r w:rsidRPr="00BC1144">
                    <w:t>1</w:t>
                  </w:r>
                </w:p>
              </w:tc>
              <w:tc>
                <w:tcPr>
                  <w:tcW w:w="667" w:type="pct"/>
                  <w:tcBorders>
                    <w:top w:val="single" w:sz="6" w:space="0" w:color="BFBFBF"/>
                  </w:tcBorders>
                </w:tcPr>
                <w:p w:rsidR="001C0939" w:rsidRPr="00BC1144" w:rsidRDefault="001C0939" w:rsidP="00DC5BB6">
                  <w:pPr>
                    <w:pStyle w:val="TableUnitsRow"/>
                    <w:ind w:right="28"/>
                  </w:pPr>
                  <w:r w:rsidRPr="00BC1144">
                    <w:t>0</w:t>
                  </w:r>
                </w:p>
              </w:tc>
            </w:tr>
            <w:tr w:rsidR="001C0939" w:rsidRPr="00BC1144" w:rsidTr="00DC5BB6">
              <w:tc>
                <w:tcPr>
                  <w:tcW w:w="1500" w:type="pct"/>
                  <w:vMerge/>
                </w:tcPr>
                <w:p w:rsidR="001C0939" w:rsidRPr="00BC1144" w:rsidRDefault="001C0939" w:rsidP="00DC5BB6">
                  <w:pPr>
                    <w:pStyle w:val="TableBodyText"/>
                    <w:jc w:val="left"/>
                  </w:pPr>
                </w:p>
              </w:tc>
              <w:tc>
                <w:tcPr>
                  <w:tcW w:w="917" w:type="pct"/>
                </w:tcPr>
                <w:p w:rsidR="001C0939" w:rsidRPr="00BC1144" w:rsidRDefault="00EF7456" w:rsidP="00DC5BB6">
                  <w:pPr>
                    <w:pStyle w:val="TableBodyText"/>
                  </w:pPr>
                  <m:oMathPara>
                    <m:oMathParaPr>
                      <m:jc m:val="right"/>
                    </m:oMathParaPr>
                    <m:oMath>
                      <m:sSub>
                        <m:sSubPr>
                          <m:ctrlPr>
                            <w:rPr>
                              <w:rFonts w:ascii="Cambria Math" w:hAnsi="Cambria Math"/>
                              <w:i/>
                            </w:rPr>
                          </m:ctrlPr>
                        </m:sSubPr>
                        <m:e>
                          <m:r>
                            <w:rPr>
                              <w:rFonts w:ascii="Cambria Math" w:hAnsi="Cambria Math"/>
                            </w:rPr>
                            <m:t>P</m:t>
                          </m:r>
                        </m:e>
                        <m:sub>
                          <m:r>
                            <w:rPr>
                              <w:rFonts w:ascii="Cambria Math" w:hAnsi="Cambria Math"/>
                            </w:rPr>
                            <m:t>2016</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2010</m:t>
                          </m:r>
                        </m:sub>
                      </m:sSub>
                    </m:oMath>
                  </m:oMathPara>
                </w:p>
              </w:tc>
              <w:tc>
                <w:tcPr>
                  <w:tcW w:w="1083" w:type="pct"/>
                </w:tcPr>
                <w:p w:rsidR="001C0939" w:rsidRPr="00BC1144" w:rsidRDefault="00EF7456" w:rsidP="00DC5BB6">
                  <w:pPr>
                    <w:pStyle w:val="TableBodyText"/>
                  </w:pPr>
                  <m:oMathPara>
                    <m:oMathParaPr>
                      <m:jc m:val="right"/>
                    </m:oMathParaPr>
                    <m:oMath>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2016</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2010</m:t>
                                  </m:r>
                                </m:sub>
                              </m:sSub>
                            </m:e>
                          </m:d>
                        </m:num>
                        <m:den>
                          <m:sSub>
                            <m:sSubPr>
                              <m:ctrlPr>
                                <w:rPr>
                                  <w:rFonts w:ascii="Cambria Math" w:hAnsi="Cambria Math"/>
                                  <w:i/>
                                </w:rPr>
                              </m:ctrlPr>
                            </m:sSubPr>
                            <m:e>
                              <m:r>
                                <w:rPr>
                                  <w:rFonts w:ascii="Cambria Math" w:hAnsi="Cambria Math"/>
                                </w:rPr>
                                <m:t>P</m:t>
                              </m:r>
                            </m:e>
                            <m:sub>
                              <m:r>
                                <w:rPr>
                                  <w:rFonts w:ascii="Cambria Math" w:hAnsi="Cambria Math"/>
                                </w:rPr>
                                <m:t>2016</m:t>
                              </m:r>
                            </m:sub>
                          </m:sSub>
                        </m:den>
                      </m:f>
                    </m:oMath>
                  </m:oMathPara>
                </w:p>
              </w:tc>
              <w:tc>
                <w:tcPr>
                  <w:tcW w:w="832" w:type="pct"/>
                </w:tcPr>
                <w:p w:rsidR="001C0939" w:rsidRPr="00BC1144" w:rsidRDefault="00EF7456" w:rsidP="00DC5BB6">
                  <w:pPr>
                    <w:pStyle w:val="TableBodyText"/>
                  </w:pPr>
                  <m:oMathPara>
                    <m:oMathParaPr>
                      <m:jc m:val="right"/>
                    </m:oMathParaPr>
                    <m:oMath>
                      <m:f>
                        <m:fPr>
                          <m:type m:val="lin"/>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2010</m:t>
                              </m:r>
                            </m:sub>
                          </m:sSub>
                        </m:num>
                        <m:den>
                          <m:sSub>
                            <m:sSubPr>
                              <m:ctrlPr>
                                <w:rPr>
                                  <w:rFonts w:ascii="Cambria Math" w:hAnsi="Cambria Math"/>
                                  <w:i/>
                                </w:rPr>
                              </m:ctrlPr>
                            </m:sSubPr>
                            <m:e>
                              <m:r>
                                <w:rPr>
                                  <w:rFonts w:ascii="Cambria Math" w:hAnsi="Cambria Math"/>
                                </w:rPr>
                                <m:t>P</m:t>
                              </m:r>
                            </m:e>
                            <m:sub>
                              <m:r>
                                <w:rPr>
                                  <w:rFonts w:ascii="Cambria Math" w:hAnsi="Cambria Math"/>
                                </w:rPr>
                                <m:t>2016</m:t>
                              </m:r>
                            </m:sub>
                          </m:sSub>
                        </m:den>
                      </m:f>
                    </m:oMath>
                  </m:oMathPara>
                </w:p>
              </w:tc>
              <w:tc>
                <w:tcPr>
                  <w:tcW w:w="667" w:type="pct"/>
                </w:tcPr>
                <w:p w:rsidR="001C0939" w:rsidRPr="00BC1144" w:rsidRDefault="001C0939" w:rsidP="00DC5BB6">
                  <w:pPr>
                    <w:pStyle w:val="TableBodyText"/>
                    <w:ind w:right="28"/>
                  </w:pPr>
                  <w:r w:rsidRPr="00BC1144">
                    <w:t>0</w:t>
                  </w:r>
                </w:p>
              </w:tc>
            </w:tr>
            <w:tr w:rsidR="001C0939" w:rsidRPr="00BC1144" w:rsidTr="00DC5BB6">
              <w:tc>
                <w:tcPr>
                  <w:tcW w:w="1500" w:type="pct"/>
                  <w:tcBorders>
                    <w:bottom w:val="single" w:sz="6" w:space="0" w:color="BFBFBF"/>
                  </w:tcBorders>
                  <w:shd w:val="clear" w:color="auto" w:fill="auto"/>
                </w:tcPr>
                <w:p w:rsidR="001C0939" w:rsidRPr="00BC1144" w:rsidRDefault="001C0939" w:rsidP="00DC5BB6">
                  <w:pPr>
                    <w:pStyle w:val="TableBodyText"/>
                    <w:ind w:right="-1"/>
                    <w:jc w:val="left"/>
                    <w:rPr>
                      <w:spacing w:val="-4"/>
                    </w:rPr>
                  </w:pPr>
                  <w:r w:rsidRPr="00BC1144">
                    <w:rPr>
                      <w:spacing w:val="-4"/>
                    </w:rPr>
                    <w:t>Did not attend university in 2016</w:t>
                  </w:r>
                </w:p>
              </w:tc>
              <w:tc>
                <w:tcPr>
                  <w:tcW w:w="917" w:type="pct"/>
                  <w:tcBorders>
                    <w:bottom w:val="single" w:sz="6" w:space="0" w:color="BFBFBF"/>
                  </w:tcBorders>
                </w:tcPr>
                <w:p w:rsidR="001C0939" w:rsidRPr="00BC1144" w:rsidRDefault="001C0939" w:rsidP="00DC5BB6">
                  <w:pPr>
                    <w:pStyle w:val="TableBodyText"/>
                  </w:pPr>
                  <w:r w:rsidRPr="00BC1144">
                    <w:t>n.a.</w:t>
                  </w:r>
                </w:p>
              </w:tc>
              <w:tc>
                <w:tcPr>
                  <w:tcW w:w="1083" w:type="pct"/>
                  <w:tcBorders>
                    <w:bottom w:val="single" w:sz="6" w:space="0" w:color="BFBFBF"/>
                  </w:tcBorders>
                </w:tcPr>
                <w:p w:rsidR="001C0939" w:rsidRPr="00BC1144" w:rsidRDefault="001C0939" w:rsidP="00DC5BB6">
                  <w:pPr>
                    <w:pStyle w:val="TableBodyText"/>
                  </w:pPr>
                  <w:r w:rsidRPr="00BC1144">
                    <w:t>0</w:t>
                  </w:r>
                </w:p>
              </w:tc>
              <w:tc>
                <w:tcPr>
                  <w:tcW w:w="832" w:type="pct"/>
                  <w:tcBorders>
                    <w:bottom w:val="single" w:sz="6" w:space="0" w:color="BFBFBF"/>
                  </w:tcBorders>
                  <w:shd w:val="clear" w:color="auto" w:fill="auto"/>
                </w:tcPr>
                <w:p w:rsidR="001C0939" w:rsidRPr="00BC1144" w:rsidRDefault="001C0939" w:rsidP="00DC5BB6">
                  <w:pPr>
                    <w:pStyle w:val="TableBodyText"/>
                  </w:pPr>
                  <w:r w:rsidRPr="00BC1144">
                    <w:t>0</w:t>
                  </w:r>
                </w:p>
              </w:tc>
              <w:tc>
                <w:tcPr>
                  <w:tcW w:w="667" w:type="pct"/>
                  <w:tcBorders>
                    <w:bottom w:val="single" w:sz="6" w:space="0" w:color="BFBFBF"/>
                  </w:tcBorders>
                  <w:shd w:val="clear" w:color="auto" w:fill="auto"/>
                </w:tcPr>
                <w:p w:rsidR="001C0939" w:rsidRPr="00BC1144" w:rsidRDefault="001C0939" w:rsidP="00DC5BB6">
                  <w:pPr>
                    <w:pStyle w:val="TableBodyText"/>
                    <w:ind w:right="28"/>
                  </w:pPr>
                  <w:r w:rsidRPr="00BC1144">
                    <w:t>1</w:t>
                  </w:r>
                </w:p>
              </w:tc>
            </w:tr>
          </w:tbl>
          <w:p w:rsidR="001C0939" w:rsidRPr="00BC1144" w:rsidRDefault="001C0939" w:rsidP="00DC5BB6">
            <w:pPr>
              <w:pStyle w:val="Box"/>
            </w:pPr>
          </w:p>
        </w:tc>
      </w:tr>
      <w:tr w:rsidR="001C0939" w:rsidRPr="00BC1144" w:rsidTr="00DC5BB6">
        <w:tc>
          <w:tcPr>
            <w:tcW w:w="5000" w:type="pct"/>
            <w:tcBorders>
              <w:top w:val="nil"/>
              <w:left w:val="nil"/>
              <w:bottom w:val="single" w:sz="6" w:space="0" w:color="78A22F"/>
              <w:right w:val="nil"/>
            </w:tcBorders>
            <w:shd w:val="clear" w:color="auto" w:fill="F2F2F2"/>
          </w:tcPr>
          <w:p w:rsidR="001C0939" w:rsidRPr="00BC1144" w:rsidRDefault="001C0939" w:rsidP="00DC5BB6">
            <w:pPr>
              <w:pStyle w:val="Box"/>
              <w:spacing w:before="0" w:line="120" w:lineRule="exact"/>
            </w:pPr>
          </w:p>
        </w:tc>
      </w:tr>
      <w:tr w:rsidR="001C0939" w:rsidRPr="00BC1144" w:rsidTr="00DC5BB6">
        <w:tc>
          <w:tcPr>
            <w:tcW w:w="5000" w:type="pct"/>
            <w:tcBorders>
              <w:top w:val="single" w:sz="6" w:space="0" w:color="78A22F"/>
              <w:left w:val="nil"/>
              <w:bottom w:val="nil"/>
              <w:right w:val="nil"/>
            </w:tcBorders>
          </w:tcPr>
          <w:p w:rsidR="001C0939" w:rsidRPr="00BC1144" w:rsidRDefault="001C0939" w:rsidP="00DC5BB6">
            <w:pPr>
              <w:pStyle w:val="BoxSpaceBelow"/>
            </w:pPr>
          </w:p>
        </w:tc>
      </w:tr>
    </w:tbl>
    <w:p w:rsidR="001C0939" w:rsidRPr="00BC1144" w:rsidRDefault="001C0939" w:rsidP="001C0939">
      <w:pPr>
        <w:pStyle w:val="BodyText"/>
      </w:pPr>
      <w:r w:rsidRPr="00BC1144">
        <w:t xml:space="preserve">Additional students differ from other students in a number of ways — for example they are more likely to have attended a government school — and come from a diverse set of backgrounds (discussed in more detail in chapter 3). Perhaps the clearest difference is that additional students have lower ATAR </w:t>
      </w:r>
      <w:r w:rsidR="009C195B" w:rsidRPr="00BC1144">
        <w:t xml:space="preserve">scores </w:t>
      </w:r>
      <w:r w:rsidRPr="00BC1144">
        <w:t xml:space="preserve">on </w:t>
      </w:r>
      <w:r w:rsidR="009C195B" w:rsidRPr="00BC1144">
        <w:t xml:space="preserve">average (figure 2.2). About two </w:t>
      </w:r>
      <w:r w:rsidRPr="00BC1144">
        <w:t xml:space="preserve">thirds of </w:t>
      </w:r>
      <w:r w:rsidRPr="00BC1144">
        <w:lastRenderedPageBreak/>
        <w:t>additional students had an ATAR below 70 or received no ATAR at all, compared with about 30 per cent of other students (in both 2013 and 2016). Additional students commenced university at somewhat older ages on average and about 30 per cent of additional students took some vocational</w:t>
      </w:r>
      <w:r w:rsidRPr="00BC1144" w:rsidDel="00DB28C2">
        <w:t xml:space="preserve"> </w:t>
      </w:r>
      <w:r w:rsidRPr="00BC1144">
        <w:t>education and training prior to commencement (about three times the share of other students). These patterns are not surprising because admissions processes have become less focused on students’ tertiary entrance rankings.</w:t>
      </w:r>
    </w:p>
    <w:p w:rsidR="00344F80" w:rsidRPr="00BC1144" w:rsidRDefault="00344F80" w:rsidP="00344F8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4F80" w:rsidRPr="00BC1144" w:rsidTr="00355490">
        <w:trPr>
          <w:tblHeader/>
        </w:trPr>
        <w:tc>
          <w:tcPr>
            <w:tcW w:w="5000" w:type="pct"/>
            <w:tcBorders>
              <w:top w:val="single" w:sz="6" w:space="0" w:color="78A22F"/>
              <w:left w:val="nil"/>
              <w:bottom w:val="nil"/>
              <w:right w:val="nil"/>
            </w:tcBorders>
            <w:shd w:val="clear" w:color="auto" w:fill="auto"/>
          </w:tcPr>
          <w:p w:rsidR="00344F80" w:rsidRPr="00BC1144" w:rsidRDefault="00344F80" w:rsidP="00355490">
            <w:pPr>
              <w:pStyle w:val="FigureTitle"/>
              <w:rPr>
                <w:rStyle w:val="NoteLabel"/>
                <w:b/>
              </w:rPr>
            </w:pPr>
            <w:r w:rsidRPr="00BC1144">
              <w:rPr>
                <w:b w:val="0"/>
              </w:rPr>
              <w:t>Figure 2.</w:t>
            </w:r>
            <w:r w:rsidRPr="00BC1144">
              <w:rPr>
                <w:b w:val="0"/>
                <w:noProof/>
              </w:rPr>
              <w:t>2</w:t>
            </w:r>
            <w:r w:rsidRPr="00BC1144">
              <w:tab/>
              <w:t>Additional students have lower school achievement than other students, though distributions overlap considerably</w:t>
            </w:r>
            <w:r w:rsidRPr="00BC1144">
              <w:rPr>
                <w:rStyle w:val="NoteLabel"/>
                <w:b/>
              </w:rPr>
              <w:t>a</w:t>
            </w:r>
          </w:p>
          <w:p w:rsidR="00344F80" w:rsidRPr="00BC1144" w:rsidRDefault="00344F80" w:rsidP="00355490">
            <w:pPr>
              <w:pStyle w:val="Subtitle"/>
            </w:pPr>
            <w:r w:rsidRPr="00BC1144">
              <w:t>Per cent of total students</w:t>
            </w:r>
          </w:p>
        </w:tc>
      </w:tr>
      <w:tr w:rsidR="00344F80" w:rsidRPr="00BC1144" w:rsidTr="0035549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44F80" w:rsidRPr="00BC1144" w:rsidTr="00355490">
              <w:trPr>
                <w:tblHeader/>
                <w:jc w:val="center"/>
              </w:trPr>
              <w:tc>
                <w:tcPr>
                  <w:tcW w:w="5000" w:type="pct"/>
                  <w:tcBorders>
                    <w:top w:val="nil"/>
                    <w:bottom w:val="nil"/>
                  </w:tcBorders>
                </w:tcPr>
                <w:p w:rsidR="00344F80" w:rsidRPr="00BC1144" w:rsidRDefault="00344F80" w:rsidP="0035549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12D5D97" wp14:editId="746C53A7">
                        <wp:extent cx="5400346" cy="2880153"/>
                        <wp:effectExtent l="0" t="0" r="0" b="0"/>
                        <wp:docPr id="10" name="Picture 10" descr="Figure 2.2 shows the distribution of literacy and numeracy scores and ATAR scores for additional students and other students aged 22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_2_2.em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344F80" w:rsidRPr="00BC1144" w:rsidRDefault="00344F80" w:rsidP="00355490">
            <w:pPr>
              <w:pStyle w:val="Figure"/>
            </w:pPr>
          </w:p>
        </w:tc>
      </w:tr>
      <w:tr w:rsidR="00344F80" w:rsidRPr="00BC1144" w:rsidTr="00355490">
        <w:tc>
          <w:tcPr>
            <w:tcW w:w="5000" w:type="pct"/>
            <w:tcBorders>
              <w:top w:val="nil"/>
              <w:left w:val="nil"/>
              <w:bottom w:val="nil"/>
              <w:right w:val="nil"/>
            </w:tcBorders>
            <w:shd w:val="clear" w:color="auto" w:fill="auto"/>
          </w:tcPr>
          <w:p w:rsidR="00344F80" w:rsidRPr="00BC1144" w:rsidRDefault="00344F80" w:rsidP="00355490">
            <w:pPr>
              <w:pStyle w:val="Note"/>
            </w:pPr>
            <w:r w:rsidRPr="00BC1144">
              <w:rPr>
                <w:rStyle w:val="NoteLabel"/>
              </w:rPr>
              <w:t>a</w:t>
            </w:r>
            <w:r w:rsidRPr="00BC1144">
              <w:t xml:space="preserve"> Literacy and numeracy (PISA) scores are scaled so that the OECD average is 500 and the standard deviation is 100 across all students tested in 32 countries when introduced in 2000. Students that did not receive an ATAR score are not shown in the ATAR distribution. Queensland Overall Position (OP) scores are converted to equivalent ATAR values. The average ATAR score for all year 12 students is usually about 70. If all students who enrolled in secondary education were to complete ATAR assessments, then the average ATAR would be 50 </w:t>
            </w:r>
            <w:r w:rsidRPr="00BC1144">
              <w:rPr>
                <w:rFonts w:cs="Arial"/>
                <w:szCs w:val="24"/>
              </w:rPr>
              <w:t>(Talent 100 2018; UAC 2019)</w:t>
            </w:r>
            <w:r w:rsidRPr="00BC1144">
              <w:t xml:space="preserve">. The lowest reported ATAR is 30. </w:t>
            </w:r>
          </w:p>
        </w:tc>
      </w:tr>
      <w:tr w:rsidR="00344F80" w:rsidRPr="00BC1144" w:rsidTr="00355490">
        <w:tc>
          <w:tcPr>
            <w:tcW w:w="5000" w:type="pct"/>
            <w:tcBorders>
              <w:top w:val="nil"/>
              <w:left w:val="nil"/>
              <w:bottom w:val="nil"/>
              <w:right w:val="nil"/>
            </w:tcBorders>
            <w:shd w:val="clear" w:color="auto" w:fill="auto"/>
          </w:tcPr>
          <w:p w:rsidR="00344F80" w:rsidRPr="00BC1144" w:rsidRDefault="00344F80" w:rsidP="00355490">
            <w:pPr>
              <w:pStyle w:val="Source"/>
            </w:pPr>
            <w:r w:rsidRPr="00BC1144">
              <w:rPr>
                <w:i/>
              </w:rPr>
              <w:t>Source</w:t>
            </w:r>
            <w:r w:rsidRPr="00BC1144">
              <w:t>: Productivity Commission estimates based on LSAY.</w:t>
            </w:r>
          </w:p>
        </w:tc>
      </w:tr>
      <w:tr w:rsidR="00344F80" w:rsidRPr="00BC1144" w:rsidTr="00355490">
        <w:tc>
          <w:tcPr>
            <w:tcW w:w="5000" w:type="pct"/>
            <w:tcBorders>
              <w:top w:val="nil"/>
              <w:left w:val="nil"/>
              <w:bottom w:val="single" w:sz="6" w:space="0" w:color="78A22F"/>
              <w:right w:val="nil"/>
            </w:tcBorders>
            <w:shd w:val="clear" w:color="auto" w:fill="auto"/>
          </w:tcPr>
          <w:p w:rsidR="00344F80" w:rsidRPr="00BC1144" w:rsidRDefault="00344F80" w:rsidP="00355490">
            <w:pPr>
              <w:pStyle w:val="Figurespace"/>
            </w:pPr>
          </w:p>
        </w:tc>
      </w:tr>
      <w:tr w:rsidR="00344F80" w:rsidRPr="00BC1144" w:rsidTr="00355490">
        <w:tc>
          <w:tcPr>
            <w:tcW w:w="5000" w:type="pct"/>
            <w:tcBorders>
              <w:top w:val="single" w:sz="6" w:space="0" w:color="78A22F"/>
              <w:left w:val="nil"/>
              <w:bottom w:val="nil"/>
              <w:right w:val="nil"/>
            </w:tcBorders>
          </w:tcPr>
          <w:p w:rsidR="00344F80" w:rsidRPr="00BC1144" w:rsidRDefault="00344F80" w:rsidP="00355490">
            <w:pPr>
              <w:pStyle w:val="BoxSpaceBelow"/>
            </w:pPr>
          </w:p>
        </w:tc>
      </w:tr>
    </w:tbl>
    <w:p w:rsidR="006E391F" w:rsidRPr="00BC1144" w:rsidRDefault="006E391F" w:rsidP="00336FA0">
      <w:pPr>
        <w:pStyle w:val="BodyText"/>
      </w:pPr>
      <w:r w:rsidRPr="00BC1144">
        <w:t>Low ATAR scores also affect the university that additional students attend and the courses that they take. Almost all (89 per cent) additional students attended non</w:t>
      </w:r>
      <w:r w:rsidRPr="00BC1144">
        <w:noBreakHyphen/>
        <w:t>Group of Eight Universities (box 2.3). Additional students are also somewhat more likely to undertake education, information technology or management and commerce courses, and are less likely to undertake engineering or natural and physical sciences courses.</w:t>
      </w:r>
    </w:p>
    <w:p w:rsidR="006E391F" w:rsidRPr="00BC1144" w:rsidRDefault="006E391F" w:rsidP="00336FA0">
      <w:pPr>
        <w:pStyle w:val="BodyText"/>
      </w:pPr>
      <w:r w:rsidRPr="00BC1144">
        <w:t xml:space="preserve">Another important difference between these groups is that the additional students have, on average, weaker foundational skills in literacy and numeracy. While there is substantial overlap between the distributions, about 81 per cent of additional students had literacy and numeracy below the average level of other students at age 15 years. Together with the </w:t>
      </w:r>
      <w:r w:rsidRPr="00BC1144">
        <w:lastRenderedPageBreak/>
        <w:t>long</w:t>
      </w:r>
      <w:r w:rsidRPr="00BC1144">
        <w:noBreakHyphen/>
        <w:t>term decline in literacy and numeracy of Australian school students, this means that far more students are entering university ill</w:t>
      </w:r>
      <w:r w:rsidRPr="00BC1144">
        <w:noBreakHyphen/>
        <w:t>prepared than was the case prior to the demand driven system.</w:t>
      </w:r>
    </w:p>
    <w:p w:rsidR="006E391F" w:rsidRPr="00BC1144" w:rsidRDefault="006E39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2.3</w:t>
            </w:r>
            <w:r w:rsidRPr="00BC1144">
              <w:tab/>
              <w:t>Few of the additional students attended the Group of Eight</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While some universities took on more additional students as a proportion of their total student numbers, only 4 per cent of the students who commenced their studies at Group of Eight (Go8) universities in 2016 were additional students. What appears to have occurred is that during the demand driven system the Go8 expanded their enrolments more slowly overall than some other universities and were able to take some of the best students that otherwise would have enrolled elsewhere in the system. As such, most of the adjustment in the system — adapting admissions processes and student support services to suit an intake from more varied backgrounds — occurred in universities outside the Go8.</w:t>
            </w:r>
          </w:p>
          <w:p w:rsidR="006E391F" w:rsidRPr="00BC1144" w:rsidRDefault="006E391F" w:rsidP="00336FA0">
            <w:pPr>
              <w:pStyle w:val="FigureTitle"/>
            </w:pPr>
            <w:r w:rsidRPr="00BC1144">
              <w:t>Additional student commencements by university network</w:t>
            </w:r>
            <w:r w:rsidRPr="00BC1144">
              <w:rPr>
                <w:rStyle w:val="NoteLabel"/>
                <w:b/>
              </w:rPr>
              <w:t>a</w:t>
            </w:r>
          </w:p>
          <w:p w:rsidR="006E391F" w:rsidRPr="00BC1144" w:rsidRDefault="006E391F" w:rsidP="00336FA0">
            <w:pPr>
              <w:pStyle w:val="Subtitle"/>
              <w:ind w:left="0"/>
              <w:jc w:val="both"/>
            </w:pPr>
            <w:r w:rsidRPr="00BC1144">
              <w:t>Per cent of total student commencements by age 22 years in 2016</w:t>
            </w:r>
          </w:p>
          <w:p w:rsidR="006E391F" w:rsidRPr="00BC1144" w:rsidRDefault="006E391F" w:rsidP="00336FA0">
            <w:pPr>
              <w:pStyle w:val="Box"/>
            </w:pPr>
            <w:r w:rsidRPr="00BC1144">
              <w:rPr>
                <w:noProof/>
              </w:rPr>
              <w:drawing>
                <wp:inline distT="0" distB="0" distL="0" distR="0" wp14:anchorId="3FD1C832" wp14:editId="2389BC7B">
                  <wp:extent cx="5400346" cy="2880153"/>
                  <wp:effectExtent l="0" t="0" r="0" b="0"/>
                  <wp:docPr id="14" name="Picture 14" descr="The figure in Box 2.3 shows the per cent of total student commencements by age 22 years in 2016, by additional and other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_box_2_3.em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Note"/>
            </w:pPr>
            <w:r w:rsidRPr="00BC1144">
              <w:rPr>
                <w:rStyle w:val="NoteLabel"/>
              </w:rPr>
              <w:t>a</w:t>
            </w:r>
            <w:r w:rsidRPr="00BC1144">
              <w:t xml:space="preserve"> ATN is Australian Technology Network, RUN is Regional Universities Network, IRU is Innovative Research Universities, Other is all other universities (appendix B). Growth in domestic undergraduate commencements increased by about 43 per cent and 12 percent for non</w:t>
            </w:r>
            <w:r w:rsidRPr="00BC1144">
              <w:noBreakHyphen/>
              <w:t>Group of Eight and Group of Eight universities respectively over the period 2009–2017.</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32" w:name="_Toc10805438"/>
      <w:r w:rsidRPr="00BC1144">
        <w:lastRenderedPageBreak/>
        <w:t>2.</w:t>
      </w:r>
      <w:r w:rsidRPr="00BC1144">
        <w:rPr>
          <w:noProof/>
        </w:rPr>
        <w:t>3</w:t>
      </w:r>
      <w:r w:rsidRPr="00BC1144">
        <w:tab/>
        <w:t>How do the additional students perform at university and in the labour market?</w:t>
      </w:r>
      <w:bookmarkEnd w:id="32"/>
    </w:p>
    <w:p w:rsidR="006E391F" w:rsidRPr="00BC1144" w:rsidRDefault="006E391F" w:rsidP="00336FA0">
      <w:pPr>
        <w:pStyle w:val="Heading3"/>
        <w:spacing w:before="280"/>
      </w:pPr>
      <w:bookmarkStart w:id="33" w:name="_Toc10805439"/>
      <w:r w:rsidRPr="00BC1144">
        <w:t>Additional students are more likely to drop out</w:t>
      </w:r>
      <w:bookmarkEnd w:id="33"/>
    </w:p>
    <w:p w:rsidR="006E391F" w:rsidRPr="00BC1144" w:rsidRDefault="006E391F" w:rsidP="00336FA0">
      <w:pPr>
        <w:pStyle w:val="BodyText"/>
      </w:pPr>
      <w:r w:rsidRPr="00BC1144">
        <w:t>The clearest trend in the data is that additional students are dropping out of university at rates higher than other students, with this differential increasing over the course of the demand driven system (figure 2.3). By age 23 years, additional students in 2014 were 7 percentage points more likely to drop out of their degree than other students (a 57 per cent higher rate), with this gap widening to 8.5 percentage points in 2017 (a 70 per cent higher rate).</w:t>
      </w:r>
    </w:p>
    <w:p w:rsidR="009B6733" w:rsidRPr="00BC1144" w:rsidRDefault="009B6733" w:rsidP="009B673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2.3</w:t>
            </w:r>
            <w:r w:rsidRPr="00BC1144">
              <w:tab/>
              <w:t>Additional students are more likely to drop out</w:t>
            </w:r>
          </w:p>
          <w:p w:rsidR="006E391F" w:rsidRPr="00BC1144" w:rsidRDefault="006E391F" w:rsidP="00336FA0">
            <w:pPr>
              <w:pStyle w:val="Subtitle"/>
            </w:pPr>
            <w:r w:rsidRPr="00BC1144">
              <w:t>Drop</w:t>
            </w:r>
            <w:r w:rsidRPr="00BC1144">
              <w:noBreakHyphen/>
              <w:t>out rate by age 23 years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7664D76" wp14:editId="0532FB3F">
                        <wp:extent cx="5402580" cy="2880360"/>
                        <wp:effectExtent l="0" t="0" r="7620" b="0"/>
                        <wp:docPr id="20" name="Picture 20" descr="Figure 2.3 shows drop-out rates by age 23 years in both 2014 and 2016 for additional and othe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Ratio of students who drop</w:t>
            </w:r>
            <w:r w:rsidR="009C195B" w:rsidRPr="00BC1144">
              <w:t>ped</w:t>
            </w:r>
            <w:r w:rsidRPr="00BC1144">
              <w:t xml:space="preserve"> out by age 23 years to students enrolled by age 22 years. </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1C0939" w:rsidRPr="00BC1144" w:rsidRDefault="006E391F" w:rsidP="001C0939">
      <w:pPr>
        <w:pStyle w:val="BodyText"/>
      </w:pPr>
      <w:r w:rsidRPr="00BC1144">
        <w:t>The gap in degree completion rates by age 23 years between additional students and other students is larger still. This is because, on average, additional students commence at older ages and are more likely to study part time, which means many are still studying at age 23 years. Of those who do complete their bachelor degree, additional students are approximately 3 percentage points less likely than other students to undertake additional university study (figure 2.4).</w:t>
      </w:r>
      <w:r w:rsidR="001C0939" w:rsidRPr="00BC1144">
        <w:t xml:space="preserve"> </w:t>
      </w:r>
    </w:p>
    <w:p w:rsidR="001C0939" w:rsidRPr="00BC1144" w:rsidRDefault="001C0939" w:rsidP="00344F80">
      <w:pPr>
        <w:pStyle w:val="BodyText"/>
        <w:keepNext/>
        <w:keepLines/>
      </w:pPr>
      <w:r w:rsidRPr="00BC1144">
        <w:lastRenderedPageBreak/>
        <w:t xml:space="preserve">While dropping out of university is not always a bad outcome — students who drop out often report learning useful skills and developing lasting friendships and connections </w:t>
      </w:r>
      <w:r w:rsidR="0092626E" w:rsidRPr="00BC1144">
        <w:rPr>
          <w:szCs w:val="24"/>
        </w:rPr>
        <w:t>(Norton and Cherastidtham 2018)</w:t>
      </w:r>
      <w:r w:rsidRPr="00BC1144">
        <w:t xml:space="preserve"> — time spent at university is costly in terms of forgone wages and both private and public tuition costs (box 2.4). These costs can be minimised by dropping out quickly. The data show that most students drop out in less than 2 years, though there is a tail that spend longer enrolled before dropping out (figure 2.5).</w:t>
      </w:r>
      <w:r w:rsidRPr="00BC1144">
        <w:rPr>
          <w:rStyle w:val="FootnoteReference"/>
        </w:rPr>
        <w:footnoteReference w:id="8"/>
      </w:r>
    </w:p>
    <w:p w:rsidR="006E391F" w:rsidRPr="00BC1144" w:rsidRDefault="006E391F" w:rsidP="00344F80">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44F80">
            <w:pPr>
              <w:pStyle w:val="FigureTitle"/>
            </w:pPr>
            <w:r w:rsidRPr="00BC1144">
              <w:rPr>
                <w:b w:val="0"/>
              </w:rPr>
              <w:t>Figure 2.4</w:t>
            </w:r>
            <w:r w:rsidRPr="00BC1144">
              <w:tab/>
              <w:t>Additional students are less likely to complete university and undertake further study</w:t>
            </w:r>
            <w:r w:rsidRPr="00BC1144">
              <w:rPr>
                <w:rStyle w:val="NoteLabel"/>
                <w:b/>
              </w:rPr>
              <w:t>a</w:t>
            </w:r>
          </w:p>
          <w:p w:rsidR="006E391F" w:rsidRPr="00BC1144" w:rsidRDefault="006E391F" w:rsidP="00344F80">
            <w:pPr>
              <w:pStyle w:val="Subtitle"/>
            </w:pPr>
            <w:r w:rsidRPr="00BC1144">
              <w:t>Academic outcomes at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44F80">
                  <w:pPr>
                    <w:pStyle w:val="Figure"/>
                    <w:keepLines/>
                    <w:spacing w:before="0" w:after="0"/>
                    <w:rPr>
                      <w:rFonts w:ascii="Arial" w:hAnsi="Arial" w:cs="Arial"/>
                      <w:sz w:val="18"/>
                      <w:szCs w:val="18"/>
                    </w:rPr>
                  </w:pPr>
                  <w:r w:rsidRPr="00BC1144">
                    <w:rPr>
                      <w:rFonts w:ascii="Arial" w:hAnsi="Arial" w:cs="Arial"/>
                      <w:noProof/>
                      <w:sz w:val="18"/>
                      <w:szCs w:val="18"/>
                    </w:rPr>
                    <w:drawing>
                      <wp:inline distT="0" distB="0" distL="0" distR="0" wp14:anchorId="2A5ABF90" wp14:editId="273B1A3A">
                        <wp:extent cx="5400346" cy="2880153"/>
                        <wp:effectExtent l="0" t="0" r="0" b="0"/>
                        <wp:docPr id="22" name="Picture 22" descr="Figure 2.4 shows the proportion of additional and other students that have completed, dropped out, are undertaking their bachelor level degree and those who have completed their bachelor and are undertaking additional study at age 23 years in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_plot_a.em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44F80">
            <w:pPr>
              <w:pStyle w:val="Figure"/>
              <w:keepLines/>
              <w:spacing w:before="0" w:after="0"/>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44F80">
            <w:pPr>
              <w:pStyle w:val="Note"/>
              <w:keepNext/>
            </w:pPr>
            <w:r w:rsidRPr="00BC1144">
              <w:rPr>
                <w:rStyle w:val="NoteLabel"/>
              </w:rPr>
              <w:t>a</w:t>
            </w:r>
            <w:r w:rsidRPr="00BC1144">
              <w:t xml:space="preserve"> Black bars reflect 95 per cent confidence intervals. Additional study captures people who completed a bachelor level degree, and at any point prior to 2017 commenced another degree at a bachelor level or higher.</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44F80">
            <w:pPr>
              <w:pStyle w:val="Source"/>
              <w:keepNext/>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44F80">
            <w:pPr>
              <w:pStyle w:val="Figurespace"/>
              <w:keepLines/>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44F80">
            <w:pPr>
              <w:pStyle w:val="BoxSpaceBelow"/>
              <w:keepNext/>
              <w:keepLines/>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lastRenderedPageBreak/>
              <w:t>Figure 2.5</w:t>
            </w:r>
            <w:r w:rsidRPr="00BC1144">
              <w:tab/>
              <w:t>Most students who drop out do so within 2 years</w:t>
            </w:r>
            <w:r w:rsidRPr="00BC1144">
              <w:rPr>
                <w:rStyle w:val="NoteLabel"/>
                <w:b/>
              </w:rPr>
              <w:t>a</w:t>
            </w:r>
          </w:p>
          <w:p w:rsidR="006E391F" w:rsidRPr="00BC1144" w:rsidRDefault="006E391F" w:rsidP="00336FA0">
            <w:pPr>
              <w:pStyle w:val="Subtitle"/>
            </w:pPr>
            <w:r w:rsidRPr="00BC1144">
              <w:t>Time at university for students who dropped out by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1C0939">
                  <w:pPr>
                    <w:pStyle w:val="Figure"/>
                    <w:spacing w:before="0" w:after="0"/>
                    <w:rPr>
                      <w:rFonts w:ascii="Arial" w:hAnsi="Arial" w:cs="Arial"/>
                      <w:sz w:val="18"/>
                      <w:szCs w:val="18"/>
                    </w:rPr>
                  </w:pPr>
                  <w:r w:rsidRPr="00BC1144">
                    <w:rPr>
                      <w:rFonts w:ascii="Arial" w:hAnsi="Arial" w:cs="Arial"/>
                      <w:noProof/>
                      <w:sz w:val="18"/>
                      <w:szCs w:val="18"/>
                    </w:rPr>
                    <w:drawing>
                      <wp:inline distT="0" distB="0" distL="0" distR="0" wp14:anchorId="1A66A8AE" wp14:editId="54C3CF85">
                        <wp:extent cx="5398770" cy="2331720"/>
                        <wp:effectExtent l="0" t="0" r="0" b="0"/>
                        <wp:docPr id="16" name="Picture 16" descr="Figure 2.5 shows the time spent at studying at university before dropping for students aged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_4_4.em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401653" cy="2332965"/>
                                </a:xfrm>
                                <a:prstGeom prst="rect">
                                  <a:avLst/>
                                </a:prstGeom>
                              </pic:spPr>
                            </pic:pic>
                          </a:graphicData>
                        </a:graphic>
                      </wp:inline>
                    </w:drawing>
                  </w:r>
                </w:p>
              </w:tc>
            </w:tr>
          </w:tbl>
          <w:p w:rsidR="006E391F" w:rsidRPr="00BC1144" w:rsidRDefault="006E391F" w:rsidP="001C0939">
            <w:pPr>
              <w:pStyle w:val="Figure"/>
              <w:spacing w:before="0" w:after="0"/>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‘1 year’ refers to students that reported studying in at least one survey wave prior to dropping out. ‘2 years’ refers to students that reported studying in two survey waves prior to dropping out etc. Time at university before dropping out is similar for additional students and other students.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2.4</w:t>
            </w:r>
            <w:r w:rsidRPr="00BC1144">
              <w:tab/>
              <w:t>Waste in the system?</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 xml:space="preserve">Time spent at university is beneficial for some students who drop out. For example, about 45 per cent who do not complete their degree say that if they had their time over again, they would still begin their degree </w:t>
            </w:r>
            <w:r w:rsidR="0092626E" w:rsidRPr="00BC1144">
              <w:rPr>
                <w:rFonts w:cs="Arial"/>
                <w:szCs w:val="24"/>
              </w:rPr>
              <w:t>(Norton and Cherastidtham 2018)</w:t>
            </w:r>
            <w:r w:rsidRPr="00BC1144">
              <w:t xml:space="preserve">. Nonetheless, on average, those that leave without obtaining a degree receive minimal financial benefits for the subjects they have completed. Rather, there is a ‘jump’ in additional lifetime earnings after the completion and accreditation of the degree — this is known as the ‘sheepskin’ effect </w:t>
            </w:r>
            <w:r w:rsidR="0092626E" w:rsidRPr="00BC1144">
              <w:rPr>
                <w:rFonts w:cs="Arial"/>
                <w:szCs w:val="24"/>
              </w:rPr>
              <w:t>(Herault and Zakirova 2013; Hungerford and Solon 1987; Jaeger and Page 1996)</w:t>
            </w:r>
            <w:r w:rsidRPr="00BC1144">
              <w:t>.</w:t>
            </w:r>
          </w:p>
          <w:p w:rsidR="006E391F" w:rsidRPr="00BC1144" w:rsidRDefault="006E391F" w:rsidP="00336FA0">
            <w:pPr>
              <w:pStyle w:val="Box"/>
            </w:pPr>
            <w:r w:rsidRPr="00BC1144">
              <w:t xml:space="preserve">Time spent at university is also costly, and many leave with ‘debt and regret’. Research by the Grattan Institute </w:t>
            </w:r>
            <w:r w:rsidR="0092626E" w:rsidRPr="00BC1144">
              <w:rPr>
                <w:rFonts w:cs="Arial"/>
                <w:szCs w:val="24"/>
              </w:rPr>
              <w:t>(Norton and Cherastidtham 2018)</w:t>
            </w:r>
            <w:r w:rsidRPr="00BC1144">
              <w:t xml:space="preserve"> shows that for students who drop out:</w:t>
            </w:r>
          </w:p>
          <w:p w:rsidR="006E391F" w:rsidRPr="00BC1144" w:rsidRDefault="006E391F" w:rsidP="00336FA0">
            <w:pPr>
              <w:pStyle w:val="BoxListBullet"/>
            </w:pPr>
            <w:r w:rsidRPr="00BC1144">
              <w:t>almost 40 per cent would not begin their degree again knowing what they know now</w:t>
            </w:r>
          </w:p>
          <w:p w:rsidR="006E391F" w:rsidRPr="00BC1144" w:rsidRDefault="006E391F" w:rsidP="00336FA0">
            <w:pPr>
              <w:pStyle w:val="BoxListBullet"/>
            </w:pPr>
            <w:r w:rsidRPr="00BC1144">
              <w:t>about one third believe they received no benefits from their course</w:t>
            </w:r>
          </w:p>
          <w:p w:rsidR="006E391F" w:rsidRPr="00BC1144" w:rsidRDefault="006E391F" w:rsidP="00336FA0">
            <w:pPr>
              <w:pStyle w:val="BoxListBullet"/>
            </w:pPr>
            <w:r w:rsidRPr="00BC1144">
              <w:t>nearly two thirds believe they would have been better off if they had finished.</w:t>
            </w:r>
          </w:p>
          <w:p w:rsidR="006E391F" w:rsidRPr="00BC1144" w:rsidRDefault="006E391F" w:rsidP="00336FA0">
            <w:pPr>
              <w:pStyle w:val="Box"/>
            </w:pPr>
            <w:r w:rsidRPr="00BC1144">
              <w:t>While most students who drop out pay or borrow less than $10 000 and exit the system swiftly, a significant minority (about 20 per cent) persist for longer durations and spend in excess of $20 000. On average, students who drop out incur costs of about $12 000. The value of their time in terms of forgone earnings is also substantial.</w:t>
            </w:r>
          </w:p>
          <w:p w:rsidR="006E391F" w:rsidRPr="00BC1144" w:rsidRDefault="006E391F" w:rsidP="00336FA0">
            <w:pPr>
              <w:pStyle w:val="Box"/>
            </w:pPr>
            <w:r w:rsidRPr="00BC1144">
              <w:t>Together, these results present a mixed picture. On the one hand,</w:t>
            </w:r>
            <w:r w:rsidRPr="00BC1144" w:rsidDel="001F7EFE">
              <w:t xml:space="preserve"> </w:t>
            </w:r>
            <w:r w:rsidRPr="00BC1144">
              <w:t>some students who discover university is not for them and leave quickly can still obtain some benefits, while also reducing the costs of fees and the forgone opportunities in work or other more appropriate types of education (that is, alternatives to university). On the other hand, a large number of students say they regret their enrolment and accumulation of large debts.</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pPr>
      <w:bookmarkStart w:id="34" w:name="_Toc10805440"/>
      <w:r w:rsidRPr="00BC1144">
        <w:lastRenderedPageBreak/>
        <w:t>Those who do graduate have less smooth initial labour market transitions …</w:t>
      </w:r>
      <w:bookmarkEnd w:id="34"/>
    </w:p>
    <w:p w:rsidR="006E391F" w:rsidRPr="00BC1144" w:rsidRDefault="006E391F" w:rsidP="00336FA0">
      <w:pPr>
        <w:pStyle w:val="BodyText"/>
      </w:pPr>
      <w:r w:rsidRPr="00BC1144">
        <w:t>Additional students who complete university are somewhat less likely to be employed full time at age 23 years and are more likely to be in part</w:t>
      </w:r>
      <w:r w:rsidRPr="00BC1144">
        <w:noBreakHyphen/>
        <w:t xml:space="preserve">time work than other graduates, people who dropped out or who </w:t>
      </w:r>
      <w:r w:rsidR="009C195B" w:rsidRPr="00BC1144">
        <w:t>did not</w:t>
      </w:r>
      <w:r w:rsidRPr="00BC1144">
        <w:t xml:space="preserve"> attend university (figure 2.6). This last point appears counterintuitive because additional students generally have higher school achievement than those who </w:t>
      </w:r>
      <w:r w:rsidR="009C195B" w:rsidRPr="00BC1144">
        <w:t>did not</w:t>
      </w:r>
      <w:r w:rsidRPr="00BC1144">
        <w:t xml:space="preserve"> attend, a characteristic normally correlated with success in the labour market. The likely reason — though conjectural — is that outcomes for full</w:t>
      </w:r>
      <w:r w:rsidRPr="00BC1144">
        <w:noBreakHyphen/>
        <w:t xml:space="preserve">time work reflect the shorter durations in the labour market of additional students compared with those who dropped out or </w:t>
      </w:r>
      <w:r w:rsidR="009C195B" w:rsidRPr="00BC1144">
        <w:t>did not attend</w:t>
      </w:r>
      <w:r w:rsidRPr="00BC1144">
        <w:t xml:space="preserve"> university. More time allows people a better chance to find a full</w:t>
      </w:r>
      <w:r w:rsidRPr="00BC1144">
        <w:noBreakHyphen/>
        <w:t>time job that exploits their skills, a point that is consistent with the findings on outcomes at age 25 years for the various groups (see below).</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2.6</w:t>
            </w:r>
            <w:r w:rsidRPr="00BC1144">
              <w:tab/>
              <w:t>Additional students who complete university have somewhat poorer labour market transitions</w:t>
            </w:r>
            <w:r w:rsidRPr="00BC1144">
              <w:rPr>
                <w:rStyle w:val="NoteLabel"/>
                <w:b/>
              </w:rPr>
              <w:t>a</w:t>
            </w:r>
          </w:p>
          <w:p w:rsidR="006E391F" w:rsidRPr="00BC1144" w:rsidRDefault="006E391F" w:rsidP="00336FA0">
            <w:pPr>
              <w:pStyle w:val="Subtitle"/>
            </w:pPr>
            <w:r w:rsidRPr="00BC1144">
              <w:t>Labour force status at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986F073" wp14:editId="62C9557A">
                        <wp:extent cx="5400346" cy="2880153"/>
                        <wp:effectExtent l="0" t="0" r="0" b="0"/>
                        <wp:docPr id="24" name="Picture 24" descr="Figure 2.6 shows the proportion of graduates employed in full-time work, part-time work, are unemployed or not in the labour force,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_plot_b.emf"/>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Labour market outcomes for other and additional students are presented only for those that graduate and are not undertaking additional study — and thus does not take into account the higher drop</w:t>
            </w:r>
            <w:r w:rsidRPr="00BC1144">
              <w:noBreakHyphen/>
              <w:t>out rates among additional students. The average delay between graduating and providing information about labour market outcomes was (at 1.5 years) the same for additional and other students. Students who dropped out may have been either additional or other students.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 xml:space="preserve">The fact that additional students’ </w:t>
      </w:r>
      <w:r w:rsidRPr="00BC1144">
        <w:rPr>
          <w:i/>
        </w:rPr>
        <w:t>hourly</w:t>
      </w:r>
      <w:r w:rsidRPr="00BC1144">
        <w:t xml:space="preserve"> wage rate is equivalent to non</w:t>
      </w:r>
      <w:r w:rsidRPr="00BC1144">
        <w:noBreakHyphen/>
        <w:t xml:space="preserve">attenders (and higher than students who drop out), despite their shorter duration in the labour market, is also consistent with their generally greater levels of literacy and numeracy (figure 2.7). In that </w:t>
      </w:r>
      <w:r w:rsidRPr="00BC1144">
        <w:lastRenderedPageBreak/>
        <w:t>case, their lower weekly wages is a symptom of temporary underemployment, rather than of failure in the higher education system.</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2.7</w:t>
            </w:r>
            <w:r w:rsidRPr="00BC1144">
              <w:tab/>
              <w:t>Additional students earn somewhat less than other graduates</w:t>
            </w:r>
            <w:r w:rsidRPr="00BC1144">
              <w:rPr>
                <w:rStyle w:val="NoteLabel"/>
                <w:b/>
              </w:rPr>
              <w:t>a</w:t>
            </w:r>
          </w:p>
          <w:p w:rsidR="006E391F" w:rsidRPr="00BC1144" w:rsidRDefault="006E391F" w:rsidP="00336FA0">
            <w:pPr>
              <w:pStyle w:val="Subtitle"/>
            </w:pPr>
            <w:r w:rsidRPr="00BC1144">
              <w:t>Weekly pay and decomposition at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2834"/>
              <w:gridCol w:w="2835"/>
              <w:gridCol w:w="2836"/>
            </w:tblGrid>
            <w:tr w:rsidR="006E391F" w:rsidRPr="00BC1144" w:rsidTr="00336FA0">
              <w:trPr>
                <w:tblHeader/>
                <w:jc w:val="center"/>
              </w:trPr>
              <w:tc>
                <w:tcPr>
                  <w:tcW w:w="1665" w:type="pct"/>
                  <w:tcBorders>
                    <w:top w:val="nil"/>
                    <w:bottom w:val="nil"/>
                  </w:tcBorders>
                </w:tcPr>
                <w:p w:rsidR="006E391F" w:rsidRPr="00BC1144" w:rsidRDefault="006E391F" w:rsidP="006E391F">
                  <w:pPr>
                    <w:pStyle w:val="Figure"/>
                    <w:numPr>
                      <w:ilvl w:val="0"/>
                      <w:numId w:val="23"/>
                    </w:numPr>
                    <w:rPr>
                      <w:rFonts w:ascii="Arial" w:hAnsi="Arial" w:cs="Arial"/>
                      <w:noProof/>
                      <w:sz w:val="18"/>
                      <w:szCs w:val="18"/>
                    </w:rPr>
                  </w:pPr>
                  <w:r w:rsidRPr="00BC1144">
                    <w:rPr>
                      <w:rFonts w:ascii="Arial" w:hAnsi="Arial" w:cs="Arial"/>
                      <w:noProof/>
                      <w:sz w:val="18"/>
                      <w:szCs w:val="18"/>
                    </w:rPr>
                    <w:t>Average weekly pay</w:t>
                  </w:r>
                </w:p>
              </w:tc>
              <w:tc>
                <w:tcPr>
                  <w:tcW w:w="1667" w:type="pct"/>
                  <w:tcBorders>
                    <w:top w:val="nil"/>
                    <w:bottom w:val="nil"/>
                  </w:tcBorders>
                </w:tcPr>
                <w:p w:rsidR="006E391F" w:rsidRPr="00BC1144" w:rsidRDefault="006E391F" w:rsidP="006E391F">
                  <w:pPr>
                    <w:pStyle w:val="Figure"/>
                    <w:numPr>
                      <w:ilvl w:val="0"/>
                      <w:numId w:val="23"/>
                    </w:numPr>
                    <w:rPr>
                      <w:rFonts w:ascii="Arial" w:hAnsi="Arial" w:cs="Arial"/>
                      <w:noProof/>
                      <w:sz w:val="18"/>
                      <w:szCs w:val="18"/>
                    </w:rPr>
                  </w:pPr>
                  <w:r w:rsidRPr="00BC1144">
                    <w:rPr>
                      <w:rFonts w:ascii="Arial" w:hAnsi="Arial" w:cs="Arial"/>
                      <w:noProof/>
                      <w:sz w:val="18"/>
                      <w:szCs w:val="18"/>
                    </w:rPr>
                    <w:t>Average hourly wage</w:t>
                  </w:r>
                </w:p>
              </w:tc>
              <w:tc>
                <w:tcPr>
                  <w:tcW w:w="1667" w:type="pct"/>
                  <w:tcBorders>
                    <w:top w:val="nil"/>
                    <w:bottom w:val="nil"/>
                  </w:tcBorders>
                </w:tcPr>
                <w:p w:rsidR="006E391F" w:rsidRPr="00BC1144" w:rsidRDefault="006E391F" w:rsidP="006E391F">
                  <w:pPr>
                    <w:pStyle w:val="Figure"/>
                    <w:numPr>
                      <w:ilvl w:val="0"/>
                      <w:numId w:val="23"/>
                    </w:numPr>
                    <w:rPr>
                      <w:rFonts w:ascii="Arial" w:hAnsi="Arial" w:cs="Arial"/>
                      <w:noProof/>
                      <w:sz w:val="18"/>
                      <w:szCs w:val="18"/>
                    </w:rPr>
                  </w:pPr>
                  <w:r w:rsidRPr="00BC1144">
                    <w:rPr>
                      <w:rFonts w:ascii="Arial" w:hAnsi="Arial" w:cs="Arial"/>
                      <w:noProof/>
                      <w:sz w:val="18"/>
                      <w:szCs w:val="18"/>
                    </w:rPr>
                    <w:t>Average hours worked</w:t>
                  </w:r>
                </w:p>
              </w:tc>
            </w:tr>
            <w:tr w:rsidR="006E391F" w:rsidRPr="00BC1144" w:rsidTr="00336FA0">
              <w:trPr>
                <w:tblHeader/>
                <w:jc w:val="center"/>
              </w:trPr>
              <w:tc>
                <w:tcPr>
                  <w:tcW w:w="1665" w:type="pct"/>
                  <w:tcBorders>
                    <w:top w:val="nil"/>
                    <w:bottom w:val="nil"/>
                  </w:tcBorders>
                </w:tcPr>
                <w:p w:rsidR="006E391F" w:rsidRPr="00BC1144" w:rsidRDefault="006E391F" w:rsidP="00336FA0">
                  <w:pPr>
                    <w:pStyle w:val="Figure"/>
                    <w:spacing w:before="60" w:after="60"/>
                    <w:rPr>
                      <w:noProof/>
                    </w:rPr>
                  </w:pPr>
                  <w:r w:rsidRPr="00BC1144">
                    <w:rPr>
                      <w:noProof/>
                    </w:rPr>
                    <w:drawing>
                      <wp:inline distT="0" distB="0" distL="0" distR="0" wp14:anchorId="7C5F8DA9" wp14:editId="69E74B29">
                        <wp:extent cx="1799878" cy="1442670"/>
                        <wp:effectExtent l="0" t="0" r="0" b="0"/>
                        <wp:docPr id="27" name="Picture 27" descr="Figure 2.7 shows the average weekly pay, average hourly wage and average hours worked of university graduates,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I_plot_e.em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799878" cy="1442670"/>
                                </a:xfrm>
                                <a:prstGeom prst="rect">
                                  <a:avLst/>
                                </a:prstGeom>
                              </pic:spPr>
                            </pic:pic>
                          </a:graphicData>
                        </a:graphic>
                      </wp:inline>
                    </w:drawing>
                  </w:r>
                </w:p>
              </w:tc>
              <w:tc>
                <w:tcPr>
                  <w:tcW w:w="1667" w:type="pct"/>
                  <w:tcBorders>
                    <w:top w:val="nil"/>
                    <w:bottom w:val="nil"/>
                  </w:tcBorders>
                </w:tcPr>
                <w:p w:rsidR="006E391F" w:rsidRPr="00BC1144" w:rsidRDefault="006E391F" w:rsidP="00336FA0">
                  <w:pPr>
                    <w:pStyle w:val="Figure"/>
                    <w:spacing w:before="60" w:after="60"/>
                    <w:rPr>
                      <w:noProof/>
                    </w:rPr>
                  </w:pPr>
                  <w:r w:rsidRPr="00BC1144">
                    <w:rPr>
                      <w:noProof/>
                    </w:rPr>
                    <w:drawing>
                      <wp:inline distT="0" distB="0" distL="0" distR="0" wp14:anchorId="724D846E" wp14:editId="1EE1B6ED">
                        <wp:extent cx="1799878" cy="1442670"/>
                        <wp:effectExtent l="0" t="0" r="0" b="0"/>
                        <wp:docPr id="29" name="Picture 29" descr="Figure 2.7 shows the average weekly pay, average hourly wage and average hours worked of university graduates,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I_plot_f.emf"/>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99878" cy="1442670"/>
                                </a:xfrm>
                                <a:prstGeom prst="rect">
                                  <a:avLst/>
                                </a:prstGeom>
                              </pic:spPr>
                            </pic:pic>
                          </a:graphicData>
                        </a:graphic>
                      </wp:inline>
                    </w:drawing>
                  </w:r>
                </w:p>
              </w:tc>
              <w:tc>
                <w:tcPr>
                  <w:tcW w:w="1667" w:type="pct"/>
                  <w:tcBorders>
                    <w:top w:val="nil"/>
                    <w:bottom w:val="nil"/>
                  </w:tcBorders>
                </w:tcPr>
                <w:p w:rsidR="006E391F" w:rsidRPr="00BC1144" w:rsidRDefault="006E391F" w:rsidP="00336FA0">
                  <w:pPr>
                    <w:pStyle w:val="Figure"/>
                    <w:spacing w:before="60" w:after="60"/>
                    <w:rPr>
                      <w:noProof/>
                    </w:rPr>
                  </w:pPr>
                  <w:r w:rsidRPr="00BC1144">
                    <w:rPr>
                      <w:noProof/>
                    </w:rPr>
                    <w:drawing>
                      <wp:inline distT="0" distB="0" distL="0" distR="0" wp14:anchorId="55FE6C36" wp14:editId="2889928B">
                        <wp:extent cx="1799878" cy="1442670"/>
                        <wp:effectExtent l="0" t="0" r="0" b="0"/>
                        <wp:docPr id="30" name="Picture 30" descr="Figure 2.7 shows the average weekly pay, average hourly wage and average hours worked of university graduates,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I_plot_g.emf"/>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799878" cy="1442670"/>
                                </a:xfrm>
                                <a:prstGeom prst="rect">
                                  <a:avLst/>
                                </a:prstGeom>
                              </pic:spPr>
                            </pic:pic>
                          </a:graphicData>
                        </a:graphic>
                      </wp:inline>
                    </w:drawing>
                  </w:r>
                </w:p>
              </w:tc>
            </w:tr>
            <w:tr w:rsidR="006E391F" w:rsidRPr="00BC1144" w:rsidTr="00336FA0">
              <w:trPr>
                <w:tblHeader/>
                <w:jc w:val="center"/>
              </w:trPr>
              <w:tc>
                <w:tcPr>
                  <w:tcW w:w="5000" w:type="pct"/>
                  <w:gridSpan w:val="3"/>
                  <w:tcBorders>
                    <w:top w:val="nil"/>
                    <w:bottom w:val="nil"/>
                  </w:tcBorders>
                </w:tcPr>
                <w:p w:rsidR="006E391F" w:rsidRPr="00BC1144" w:rsidRDefault="006E391F" w:rsidP="00336FA0">
                  <w:pPr>
                    <w:pStyle w:val="Figure"/>
                    <w:spacing w:before="60" w:after="60"/>
                  </w:pPr>
                  <w:r w:rsidRPr="00BC1144">
                    <w:rPr>
                      <w:noProof/>
                    </w:rPr>
                    <w:drawing>
                      <wp:inline distT="0" distB="0" distL="0" distR="0" wp14:anchorId="39A445B8" wp14:editId="5DDB4359">
                        <wp:extent cx="5274945" cy="144145"/>
                        <wp:effectExtent l="0" t="0" r="1905" b="8255"/>
                        <wp:docPr id="21" name="Picture 21" descr="Figure 2.7 shows the average weekly pay, average hourly wage and average hours worked of university graduates,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74945" cy="14414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 xml:space="preserve">a </w:t>
            </w:r>
            <w:r w:rsidRPr="00BC1144">
              <w:t>Additional students and other students in this chart are those who completed their bachelor degree and are not undertaking additional study. Students who dropped out may have been either additional or other students. Average weekly pay and average hourly wage are often left unreported in the LSAY. In an attempt to account for non</w:t>
            </w:r>
            <w:r w:rsidRPr="00BC1144">
              <w:noBreakHyphen/>
              <w:t xml:space="preserve">random reporting of these variables a new set of attrition weights have been calculated and applied to our analysis (appendix B). Because of this adjustment, there are slight discrepancies between the average hourly wage derived by dividing average weekly pay by average hours worked and reported wages. </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sectPr w:rsidR="006E391F" w:rsidRPr="00BC1144" w:rsidSect="006E391F">
          <w:headerReference w:type="even" r:id="rId55"/>
          <w:headerReference w:type="default" r:id="rId56"/>
          <w:footerReference w:type="even" r:id="rId57"/>
          <w:footerReference w:type="default" r:id="rId58"/>
          <w:type w:val="oddPage"/>
          <w:pgSz w:w="11907" w:h="16840" w:code="9"/>
          <w:pgMar w:top="1985" w:right="1304" w:bottom="1247" w:left="1814" w:header="1701" w:footer="397" w:gutter="0"/>
          <w:pgNumType w:chapSep="period"/>
          <w:cols w:space="720"/>
          <w:docGrid w:linePitch="326"/>
        </w:sectPr>
      </w:pPr>
      <w:r w:rsidRPr="00BC1144">
        <w:rPr>
          <w:rStyle w:val="BodyTextChar"/>
        </w:rPr>
        <w:t xml:space="preserve">Additional students are also somewhat less likely </w:t>
      </w:r>
      <w:r w:rsidR="009C195B" w:rsidRPr="00BC1144">
        <w:rPr>
          <w:rStyle w:val="BodyTextChar"/>
        </w:rPr>
        <w:t>than other students</w:t>
      </w:r>
      <w:r w:rsidRPr="00BC1144">
        <w:rPr>
          <w:rStyle w:val="BodyTextChar"/>
        </w:rPr>
        <w:t xml:space="preserve"> </w:t>
      </w:r>
      <w:r w:rsidR="009C195B" w:rsidRPr="00BC1144">
        <w:rPr>
          <w:rStyle w:val="BodyTextChar"/>
        </w:rPr>
        <w:t xml:space="preserve">to </w:t>
      </w:r>
      <w:r w:rsidRPr="00BC1144">
        <w:rPr>
          <w:rStyle w:val="BodyTextChar"/>
        </w:rPr>
        <w:t>enter managerial or professional occupations after graduation and somewhat more likely to be dissatisfied with their employment outcomes. Overall, about 50 per cent of additional students were employed in managerial and professional occupations while about 56 per cent of other students were in these occupations (figure 2.8). In contrast, less than 20 per cent of students who drop out and 15 per cent of non</w:t>
      </w:r>
      <w:r w:rsidRPr="00BC1144">
        <w:rPr>
          <w:rStyle w:val="BodyTextChar"/>
        </w:rPr>
        <w:noBreakHyphen/>
        <w:t>attenders are employed in these occupations — they are instead more likely to be in skilled trades or other occupations.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2.8</w:t>
            </w:r>
            <w:r w:rsidRPr="00BC1144">
              <w:tab/>
              <w:t>Additional students are somewhat less likely to gain employment in a professional occupation than other graduates</w:t>
            </w:r>
            <w:r w:rsidRPr="00BC1144">
              <w:rPr>
                <w:rStyle w:val="NoteLabel"/>
                <w:b/>
              </w:rPr>
              <w:t>a</w:t>
            </w:r>
          </w:p>
          <w:p w:rsidR="006E391F" w:rsidRPr="00BC1144" w:rsidRDefault="006E391F" w:rsidP="00336FA0">
            <w:pPr>
              <w:pStyle w:val="Subtitle"/>
            </w:pPr>
            <w:r w:rsidRPr="00BC1144">
              <w:t>Occupation at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B3BFF0C" wp14:editId="1B476C2C">
                        <wp:extent cx="8532495" cy="3272790"/>
                        <wp:effectExtent l="0" t="0" r="0" b="0"/>
                        <wp:docPr id="13" name="Picture 13" descr="Figure 2.8 shows the proportion of university graduates employed across 10 occupational categories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I_plot_c.e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8532495" cy="3272790"/>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Additional students and other students in this chart are those who completed their bachelor degree and are not undertaking additional study. Students who dropped out may have been either additional or other students. A professional or managerial occupation is described as requiring a bachelor level degree or higher (more than 5 years of relevant experience may be a substitute to the formal qualification). Of those listed as ‘managers’, the majority (in particular of students who dropped out) are working in managerial roles in retail and hospitality. This suggests that managerial occupations may not be the best indicator of degree utilisation for 23 year olds. A full description of occupation categories can be found on the Australian Bureau of Statistics (ABS) website under ANZSCO definitions.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rPr>
          <w:trHeight w:val="57"/>
        </w:trPr>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sectPr w:rsidR="006E391F" w:rsidRPr="00BC1144" w:rsidSect="006E391F">
          <w:headerReference w:type="even" r:id="rId60"/>
          <w:headerReference w:type="default" r:id="rId61"/>
          <w:footerReference w:type="even" r:id="rId62"/>
          <w:footerReference w:type="default" r:id="rId63"/>
          <w:pgSz w:w="16840" w:h="11907" w:orient="landscape" w:code="9"/>
          <w:pgMar w:top="1814" w:right="1985" w:bottom="1304" w:left="1418" w:header="1701" w:footer="567" w:gutter="0"/>
          <w:pgNumType w:chapSep="period"/>
          <w:cols w:space="720"/>
          <w:docGrid w:linePitch="326"/>
        </w:sectPr>
      </w:pPr>
    </w:p>
    <w:p w:rsidR="006E391F" w:rsidRPr="00BC1144" w:rsidRDefault="006E391F" w:rsidP="00336FA0">
      <w:pPr>
        <w:pStyle w:val="BodyText"/>
      </w:pPr>
      <w:r w:rsidRPr="00BC1144">
        <w:lastRenderedPageBreak/>
        <w:t>Given the degree of imprecision in the results, we cannot make robust claims about subjective aspects of post</w:t>
      </w:r>
      <w:r w:rsidRPr="00BC1144">
        <w:noBreakHyphen/>
        <w:t>education outcomes. However, the weight of evidence suggests that students who drop out fare worse because they have poorer outcomes across all three dimensions of subjective job quality (satisfaction, career prospects and utilisation of skills). Additional students who complete their degrees do better than those who drop out, but not by much (figure 2.9).</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2.9</w:t>
            </w:r>
            <w:r w:rsidRPr="00BC1144">
              <w:tab/>
              <w:t>Additional students are somewhat less satisfied with their career path than other graduates</w:t>
            </w:r>
            <w:r w:rsidRPr="00BC1144">
              <w:rPr>
                <w:rStyle w:val="NoteLabel"/>
                <w:b/>
              </w:rPr>
              <w:t>a</w:t>
            </w:r>
          </w:p>
          <w:p w:rsidR="006E391F" w:rsidRPr="00BC1144" w:rsidRDefault="006E391F" w:rsidP="00336FA0">
            <w:pPr>
              <w:pStyle w:val="Subtitle"/>
            </w:pPr>
            <w:r w:rsidRPr="00BC1144">
              <w:t>Job quality at 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44F80">
                  <w:pPr>
                    <w:pStyle w:val="Figure"/>
                    <w:rPr>
                      <w:rFonts w:ascii="Arial" w:hAnsi="Arial" w:cs="Arial"/>
                      <w:sz w:val="18"/>
                      <w:szCs w:val="18"/>
                    </w:rPr>
                  </w:pPr>
                  <w:r w:rsidRPr="00BC1144">
                    <w:rPr>
                      <w:rFonts w:ascii="Arial" w:hAnsi="Arial" w:cs="Arial"/>
                      <w:noProof/>
                      <w:sz w:val="18"/>
                      <w:szCs w:val="18"/>
                    </w:rPr>
                    <w:drawing>
                      <wp:inline distT="0" distB="0" distL="0" distR="0" wp14:anchorId="711FE2C1" wp14:editId="3761D832">
                        <wp:extent cx="5400346" cy="2880153"/>
                        <wp:effectExtent l="0" t="0" r="0" b="0"/>
                        <wp:docPr id="19" name="Picture 19" descr="Figure 2.9 shows the proportion of university graduates that report not utilising their skills at work, being dissatisfied with their career path and being dissatisfied with their work in general, by additional students, other students, non-attendees and dropouts at age 23 year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_plot_d.emf"/>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44F8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Additional students and other students in this chart are those who completed their bachelor degree and are not undertaking additional study. Students who dropped out may have been either additional or other students. LSAY participants were asked to report on subjective measures of job satisfaction on a scale from zero to ten, where zero means very dissatisfied and ten means very satisfied. Students who reported a value lower than five are recorded as being not satisfied. A similar pattern emerges when using average scores as the key metric. Career path satisfaction was established from a ‘yes/no’ response. </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44F80">
      <w:pPr>
        <w:pStyle w:val="Heading3"/>
        <w:keepLines/>
      </w:pPr>
      <w:bookmarkStart w:id="35" w:name="_Toc10805441"/>
      <w:r w:rsidRPr="00BC1144">
        <w:lastRenderedPageBreak/>
        <w:t>… by age 25 years, drop</w:t>
      </w:r>
      <w:r w:rsidRPr="00BC1144">
        <w:noBreakHyphen/>
        <w:t>out rates diverge further but graduate outcomes become more similar</w:t>
      </w:r>
      <w:bookmarkEnd w:id="35"/>
    </w:p>
    <w:p w:rsidR="006E391F" w:rsidRPr="00BC1144" w:rsidRDefault="006E391F" w:rsidP="00344F80">
      <w:pPr>
        <w:pStyle w:val="BodyText"/>
        <w:keepNext/>
        <w:keepLines/>
      </w:pPr>
      <w:r w:rsidRPr="00BC1144">
        <w:t>While there is a larger share of additional students still studying at age 23 years and many of these ultimately drop out of university, those who graduate achieve similar labour market outcomes to other students as they settle further into their career. By age 25 years, there is no significant difference in full</w:t>
      </w:r>
      <w:r w:rsidRPr="00BC1144">
        <w:noBreakHyphen/>
        <w:t xml:space="preserve">time employment rates, and the share of graduates in managerial </w:t>
      </w:r>
      <w:r w:rsidR="009C195B" w:rsidRPr="00BC1144">
        <w:t>or</w:t>
      </w:r>
      <w:r w:rsidRPr="00BC1144">
        <w:t xml:space="preserve"> professional roles is similar to other students (further results are presented in appendix B).</w:t>
      </w:r>
      <w:r w:rsidRPr="00BC1144">
        <w:rPr>
          <w:rStyle w:val="FootnoteReference"/>
        </w:rPr>
        <w:footnoteReference w:id="9"/>
      </w:r>
    </w:p>
    <w:p w:rsidR="006E391F" w:rsidRPr="00BC1144" w:rsidRDefault="006E391F" w:rsidP="00344F80">
      <w:pPr>
        <w:pStyle w:val="BodyText"/>
        <w:keepNext/>
        <w:keepLines/>
      </w:pPr>
      <w:r w:rsidRPr="00BC1144">
        <w:t>However, it is notable that VET attendees also have very good, and sometimes better, labour market outcomes than university attendees — at least by age 25 years — suggesting that VET should not be overlooked as a career pathway (box 2.5).</w:t>
      </w:r>
    </w:p>
    <w:p w:rsidR="001C0939" w:rsidRPr="00BC1144" w:rsidRDefault="001C0939" w:rsidP="001C0939">
      <w:pPr>
        <w:pStyle w:val="Heading3"/>
      </w:pPr>
      <w:bookmarkStart w:id="36" w:name="_Toc10805442"/>
      <w:r w:rsidRPr="00BC1144">
        <w:t>Some risk factors are clear, though many are not</w:t>
      </w:r>
      <w:bookmarkEnd w:id="36"/>
      <w:r w:rsidRPr="00BC1144">
        <w:t xml:space="preserve"> </w:t>
      </w:r>
    </w:p>
    <w:p w:rsidR="001C0939" w:rsidRPr="00BC1144" w:rsidRDefault="001C0939" w:rsidP="001C0939">
      <w:pPr>
        <w:pStyle w:val="BodyText"/>
      </w:pPr>
      <w:r w:rsidRPr="00BC1144">
        <w:t>While many of the factors predicting university and labour market outcomes are unobservable, there are some common factors underpinning such outcomes, regardless of whether a student is additional or otherwise.</w:t>
      </w:r>
    </w:p>
    <w:p w:rsidR="001C0939" w:rsidRPr="00BC1144" w:rsidRDefault="001C0939" w:rsidP="001C0939">
      <w:pPr>
        <w:pStyle w:val="BodyText"/>
      </w:pPr>
      <w:r w:rsidRPr="00BC1144">
        <w:t>Students in the bottom half of the literacy and numeracy distribution (based on PISA scores) dropped out at rates about 50 per cent higher than students who ranked in the top quartile, while low ATAR students (with scores of 0</w:t>
      </w:r>
      <w:r w:rsidRPr="00BC1144">
        <w:noBreakHyphen/>
        <w:t>60) dropped out at rates about three times that of high ATAR students (80</w:t>
      </w:r>
      <w:r w:rsidRPr="00BC1144">
        <w:noBreakHyphen/>
        <w:t>100) (figure 2.10). High drop</w:t>
      </w:r>
      <w:r w:rsidRPr="00BC1144">
        <w:noBreakHyphen/>
        <w:t>out rates are also observed for students who study part time. A lower proportion of graduates from these groups transition into managerial or professional roles, a gap that has widened in recent years for low ATAR and part</w:t>
      </w:r>
      <w:r w:rsidRPr="00BC1144">
        <w:noBreakHyphen/>
        <w:t>time students. These results do not suggest that universities should restrict or limit entry for such students. Students that study part time, for example, often choose to do so based on external commitments to family or work. The results do, however, point to the need for universities to provide additional support and monitoring for such students.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2.5</w:t>
            </w:r>
            <w:r w:rsidRPr="00BC1144">
              <w:tab/>
              <w:t>Matching VET students to university students</w:t>
            </w:r>
          </w:p>
        </w:tc>
      </w:tr>
      <w:tr w:rsidR="006E391F" w:rsidRPr="00BC1144" w:rsidTr="00336FA0">
        <w:trPr>
          <w:tblHeader/>
        </w:trPr>
        <w:tc>
          <w:tcPr>
            <w:tcW w:w="5000" w:type="pct"/>
            <w:tcBorders>
              <w:top w:val="nil"/>
              <w:left w:val="nil"/>
              <w:bottom w:val="nil"/>
              <w:right w:val="nil"/>
            </w:tcBorders>
            <w:shd w:val="clear" w:color="auto" w:fill="F2F2F2"/>
          </w:tcPr>
          <w:p w:rsidR="006E391F" w:rsidRPr="00BC1144" w:rsidRDefault="006E391F" w:rsidP="00336FA0">
            <w:pPr>
              <w:pStyle w:val="Box"/>
            </w:pPr>
            <w:r w:rsidRPr="00BC1144">
              <w:t>The comparative labour market outcomes for students of the VET system versus the university sector will reflect two factors — the causal impact of each sector on outcomes, and the impacts that arise from the differences in the traits of the people who choose to go to the different sectors. Failing to control for the latter can provide misleading indications of the ‘value added’ of each sector.</w:t>
            </w:r>
          </w:p>
          <w:p w:rsidR="006E391F" w:rsidRPr="00BC1144" w:rsidRDefault="006E391F" w:rsidP="00336FA0">
            <w:pPr>
              <w:pStyle w:val="Box"/>
            </w:pPr>
            <w:r w:rsidRPr="00BC1144">
              <w:t>The technical problem is to find pairs of people with the same traits, but who have gone through the two different systems, and assess the differences in their outcomes. To address this problem, the following analysis implements propensity score matching. The characteristics of VET and university students before and after matching are presented in appendix B; table 10.</w:t>
            </w:r>
          </w:p>
          <w:p w:rsidR="006E391F" w:rsidRPr="00BC1144" w:rsidRDefault="006E391F" w:rsidP="00336FA0">
            <w:pPr>
              <w:pStyle w:val="Box"/>
            </w:pPr>
            <w:r w:rsidRPr="00BC1144">
              <w:t>There are a number of limitations of propensity score matching. Not all students are able to be matched, so our analysis is not applicable to the full spectrum of VET or university students, but only students that had a reasonable probability of transitioning from year 12 to either university or VET. Those students who can be matched will still differ from their matched counterpart in terms of unobserved characteristics — such as social supports, personal drive or many other aspects that we cannot measure — which has the potential to bias the results.</w:t>
            </w:r>
          </w:p>
          <w:p w:rsidR="006E391F" w:rsidRPr="00BC1144" w:rsidRDefault="006E391F" w:rsidP="00336FA0">
            <w:pPr>
              <w:pStyle w:val="Box"/>
            </w:pPr>
            <w:r w:rsidRPr="00BC1144">
              <w:t>With these caveats in mind, comparisons across the matched groups shows that, at age 25 years, a higher proportion of VET students were working full time and on average they earned more than their matched counterparts that attended university, with these gaps growing between 2013 and 2016. However, a likely explanation of the higher VET wage premium at age 25 years is that, on the one hand, VET graduates are more likely to have been working longer and progressed in their career, and on the other, university graduates have not yet been able to exploit the steeper wage returns from experience (appendix A, figure A.</w:t>
            </w:r>
            <w:r w:rsidR="009C195B" w:rsidRPr="00BC1144">
              <w:t>7</w:t>
            </w:r>
            <w:r w:rsidRPr="00BC1144">
              <w:t>).</w:t>
            </w:r>
          </w:p>
          <w:p w:rsidR="006E391F" w:rsidRPr="00BC1144" w:rsidRDefault="006E391F" w:rsidP="00336FA0">
            <w:pPr>
              <w:pStyle w:val="BoxHeading1"/>
            </w:pPr>
            <w:r w:rsidRPr="00BC1144">
              <w:t>Outcomes</w:t>
            </w:r>
            <w:r w:rsidRPr="00BC1144">
              <w:rPr>
                <w:rStyle w:val="NoteLabel"/>
                <w:b/>
              </w:rPr>
              <w:t>a</w:t>
            </w:r>
          </w:p>
          <w:tbl>
            <w:tblPr>
              <w:tblW w:w="5000" w:type="pct"/>
              <w:tblCellMar>
                <w:top w:w="28" w:type="dxa"/>
                <w:left w:w="0" w:type="dxa"/>
                <w:right w:w="0" w:type="dxa"/>
              </w:tblCellMar>
              <w:tblLook w:val="0000" w:firstRow="0" w:lastRow="0" w:firstColumn="0" w:lastColumn="0" w:noHBand="0" w:noVBand="0"/>
            </w:tblPr>
            <w:tblGrid>
              <w:gridCol w:w="2657"/>
              <w:gridCol w:w="1461"/>
              <w:gridCol w:w="1463"/>
              <w:gridCol w:w="1463"/>
              <w:gridCol w:w="1461"/>
            </w:tblGrid>
            <w:tr w:rsidR="006E391F" w:rsidRPr="00BC1144" w:rsidTr="00336FA0">
              <w:trPr>
                <w:trHeight w:val="248"/>
                <w:tblHeader/>
              </w:trPr>
              <w:tc>
                <w:tcPr>
                  <w:tcW w:w="1562" w:type="pct"/>
                  <w:tcBorders>
                    <w:top w:val="single" w:sz="6" w:space="0" w:color="BFBFBF"/>
                    <w:bottom w:val="single" w:sz="6" w:space="0" w:color="BFBFBF"/>
                  </w:tcBorders>
                  <w:shd w:val="clear" w:color="auto" w:fill="auto"/>
                  <w:tcMar>
                    <w:top w:w="28" w:type="dxa"/>
                  </w:tcMar>
                  <w:vAlign w:val="bottom"/>
                </w:tcPr>
                <w:p w:rsidR="006E391F" w:rsidRPr="00BC1144" w:rsidRDefault="006E391F" w:rsidP="00336FA0">
                  <w:pPr>
                    <w:pStyle w:val="TableColumnHeading"/>
                    <w:jc w:val="left"/>
                  </w:pPr>
                  <w:r w:rsidRPr="00BC1144">
                    <w:t>Outcomes Measure</w:t>
                  </w:r>
                </w:p>
              </w:tc>
              <w:tc>
                <w:tcPr>
                  <w:tcW w:w="1719" w:type="pct"/>
                  <w:gridSpan w:val="2"/>
                  <w:tcBorders>
                    <w:top w:val="single" w:sz="6" w:space="0" w:color="BFBFBF"/>
                    <w:bottom w:val="single" w:sz="6" w:space="0" w:color="BFBFBF"/>
                  </w:tcBorders>
                  <w:vAlign w:val="bottom"/>
                </w:tcPr>
                <w:p w:rsidR="006E391F" w:rsidRPr="00BC1144" w:rsidRDefault="006E391F" w:rsidP="00336FA0">
                  <w:pPr>
                    <w:pStyle w:val="TableColumnHeading"/>
                  </w:pPr>
                  <w:r w:rsidRPr="00BC1144">
                    <w:t>2013</w:t>
                  </w:r>
                </w:p>
              </w:tc>
              <w:tc>
                <w:tcPr>
                  <w:tcW w:w="1719" w:type="pct"/>
                  <w:gridSpan w:val="2"/>
                  <w:tcBorders>
                    <w:top w:val="single" w:sz="6" w:space="0" w:color="BFBFBF"/>
                    <w:bottom w:val="single" w:sz="6" w:space="0" w:color="BFBFBF"/>
                  </w:tcBorders>
                  <w:vAlign w:val="bottom"/>
                </w:tcPr>
                <w:p w:rsidR="006E391F" w:rsidRPr="00BC1144" w:rsidRDefault="006E391F" w:rsidP="00336FA0">
                  <w:pPr>
                    <w:pStyle w:val="TableColumnHeading"/>
                    <w:ind w:right="28"/>
                  </w:pPr>
                  <w:r w:rsidRPr="00BC1144">
                    <w:t xml:space="preserve">2016 </w:t>
                  </w:r>
                </w:p>
              </w:tc>
            </w:tr>
            <w:tr w:rsidR="006E391F" w:rsidRPr="00BC1144" w:rsidTr="00336FA0">
              <w:trPr>
                <w:tblHeader/>
              </w:trPr>
              <w:tc>
                <w:tcPr>
                  <w:tcW w:w="1562" w:type="pct"/>
                  <w:tcBorders>
                    <w:top w:val="single" w:sz="6" w:space="0" w:color="BFBFBF"/>
                  </w:tcBorders>
                  <w:shd w:val="clear" w:color="auto" w:fill="auto"/>
                  <w:tcMar>
                    <w:top w:w="28" w:type="dxa"/>
                  </w:tcMar>
                  <w:vAlign w:val="bottom"/>
                </w:tcPr>
                <w:p w:rsidR="006E391F" w:rsidRPr="00BC1144" w:rsidRDefault="006E391F" w:rsidP="00336FA0">
                  <w:pPr>
                    <w:pStyle w:val="TableColumnHeading"/>
                    <w:jc w:val="left"/>
                  </w:pPr>
                </w:p>
              </w:tc>
              <w:tc>
                <w:tcPr>
                  <w:tcW w:w="859" w:type="pct"/>
                  <w:tcBorders>
                    <w:top w:val="single" w:sz="6" w:space="0" w:color="BFBFBF"/>
                  </w:tcBorders>
                  <w:vAlign w:val="bottom"/>
                </w:tcPr>
                <w:p w:rsidR="006E391F" w:rsidRPr="00BC1144" w:rsidRDefault="006E391F" w:rsidP="00336FA0">
                  <w:pPr>
                    <w:pStyle w:val="TableColumnHeading"/>
                  </w:pPr>
                  <w:r w:rsidRPr="00BC1144">
                    <w:t>VET</w:t>
                  </w:r>
                </w:p>
              </w:tc>
              <w:tc>
                <w:tcPr>
                  <w:tcW w:w="860" w:type="pct"/>
                  <w:tcBorders>
                    <w:top w:val="single" w:sz="6" w:space="0" w:color="BFBFBF"/>
                  </w:tcBorders>
                  <w:vAlign w:val="bottom"/>
                </w:tcPr>
                <w:p w:rsidR="006E391F" w:rsidRPr="00BC1144" w:rsidRDefault="006E391F" w:rsidP="00336FA0">
                  <w:pPr>
                    <w:pStyle w:val="TableColumnHeading"/>
                    <w:ind w:right="28"/>
                  </w:pPr>
                  <w:r w:rsidRPr="00BC1144">
                    <w:t>University</w:t>
                  </w:r>
                </w:p>
              </w:tc>
              <w:tc>
                <w:tcPr>
                  <w:tcW w:w="860" w:type="pct"/>
                  <w:tcBorders>
                    <w:top w:val="single" w:sz="6" w:space="0" w:color="BFBFBF"/>
                  </w:tcBorders>
                  <w:vAlign w:val="bottom"/>
                </w:tcPr>
                <w:p w:rsidR="006E391F" w:rsidRPr="00BC1144" w:rsidRDefault="006E391F" w:rsidP="00336FA0">
                  <w:pPr>
                    <w:pStyle w:val="TableColumnHeading"/>
                    <w:ind w:right="28"/>
                  </w:pPr>
                  <w:r w:rsidRPr="00BC1144">
                    <w:t>VET</w:t>
                  </w:r>
                </w:p>
              </w:tc>
              <w:tc>
                <w:tcPr>
                  <w:tcW w:w="859" w:type="pct"/>
                  <w:tcBorders>
                    <w:top w:val="single" w:sz="6" w:space="0" w:color="BFBFBF"/>
                  </w:tcBorders>
                  <w:shd w:val="clear" w:color="auto" w:fill="auto"/>
                  <w:tcMar>
                    <w:top w:w="28" w:type="dxa"/>
                  </w:tcMar>
                  <w:vAlign w:val="bottom"/>
                </w:tcPr>
                <w:p w:rsidR="006E391F" w:rsidRPr="00BC1144" w:rsidRDefault="006E391F" w:rsidP="00336FA0">
                  <w:pPr>
                    <w:pStyle w:val="TableColumnHeading"/>
                    <w:ind w:right="28"/>
                  </w:pPr>
                  <w:r w:rsidRPr="00BC1144">
                    <w:t>University</w:t>
                  </w:r>
                </w:p>
              </w:tc>
            </w:tr>
            <w:tr w:rsidR="006E391F" w:rsidRPr="00BC1144" w:rsidTr="00336FA0">
              <w:tc>
                <w:tcPr>
                  <w:tcW w:w="1562" w:type="pct"/>
                  <w:vAlign w:val="bottom"/>
                </w:tcPr>
                <w:p w:rsidR="006E391F" w:rsidRPr="00BC1144" w:rsidRDefault="006E391F" w:rsidP="00336FA0">
                  <w:pPr>
                    <w:pStyle w:val="TableBodyText"/>
                    <w:jc w:val="left"/>
                  </w:pPr>
                  <w:r w:rsidRPr="00BC1144">
                    <w:t>Full</w:t>
                  </w:r>
                  <w:r w:rsidRPr="00BC1144">
                    <w:noBreakHyphen/>
                    <w:t>time work</w:t>
                  </w:r>
                </w:p>
              </w:tc>
              <w:tc>
                <w:tcPr>
                  <w:tcW w:w="859" w:type="pct"/>
                  <w:vAlign w:val="bottom"/>
                </w:tcPr>
                <w:p w:rsidR="006E391F" w:rsidRPr="00BC1144" w:rsidRDefault="006E391F" w:rsidP="00336FA0">
                  <w:pPr>
                    <w:pStyle w:val="TableBodyText"/>
                  </w:pPr>
                  <w:r w:rsidRPr="00BC1144">
                    <w:t>81</w:t>
                  </w:r>
                </w:p>
              </w:tc>
              <w:tc>
                <w:tcPr>
                  <w:tcW w:w="860" w:type="pct"/>
                  <w:vAlign w:val="bottom"/>
                </w:tcPr>
                <w:p w:rsidR="006E391F" w:rsidRPr="00BC1144" w:rsidRDefault="006E391F" w:rsidP="00336FA0">
                  <w:pPr>
                    <w:pStyle w:val="TableBodyText"/>
                  </w:pPr>
                  <w:r w:rsidRPr="00BC1144">
                    <w:t>77</w:t>
                  </w:r>
                </w:p>
              </w:tc>
              <w:tc>
                <w:tcPr>
                  <w:tcW w:w="860" w:type="pct"/>
                  <w:vAlign w:val="bottom"/>
                </w:tcPr>
                <w:p w:rsidR="006E391F" w:rsidRPr="00BC1144" w:rsidRDefault="006E391F" w:rsidP="00336FA0">
                  <w:pPr>
                    <w:pStyle w:val="TableBodyText"/>
                  </w:pPr>
                  <w:r w:rsidRPr="00BC1144">
                    <w:t>82</w:t>
                  </w:r>
                </w:p>
              </w:tc>
              <w:tc>
                <w:tcPr>
                  <w:tcW w:w="859" w:type="pct"/>
                  <w:vAlign w:val="bottom"/>
                </w:tcPr>
                <w:p w:rsidR="006E391F" w:rsidRPr="00BC1144" w:rsidRDefault="006E391F" w:rsidP="00336FA0">
                  <w:pPr>
                    <w:pStyle w:val="TableBodyText"/>
                  </w:pPr>
                  <w:r w:rsidRPr="00BC1144">
                    <w:t>72</w:t>
                  </w:r>
                </w:p>
              </w:tc>
            </w:tr>
            <w:tr w:rsidR="006E391F" w:rsidRPr="00BC1144" w:rsidTr="00336FA0">
              <w:tc>
                <w:tcPr>
                  <w:tcW w:w="1562" w:type="pct"/>
                  <w:vAlign w:val="bottom"/>
                </w:tcPr>
                <w:p w:rsidR="006E391F" w:rsidRPr="00BC1144" w:rsidRDefault="006E391F" w:rsidP="00336FA0">
                  <w:pPr>
                    <w:pStyle w:val="TableBodyText"/>
                    <w:jc w:val="left"/>
                  </w:pPr>
                  <w:r w:rsidRPr="00BC1144">
                    <w:t>Part</w:t>
                  </w:r>
                  <w:r w:rsidRPr="00BC1144">
                    <w:noBreakHyphen/>
                    <w:t>time work</w:t>
                  </w:r>
                </w:p>
              </w:tc>
              <w:tc>
                <w:tcPr>
                  <w:tcW w:w="859" w:type="pct"/>
                  <w:vAlign w:val="bottom"/>
                </w:tcPr>
                <w:p w:rsidR="006E391F" w:rsidRPr="00BC1144" w:rsidRDefault="006E391F" w:rsidP="00336FA0">
                  <w:pPr>
                    <w:pStyle w:val="TableBodyText"/>
                  </w:pPr>
                  <w:r w:rsidRPr="00BC1144">
                    <w:t>15</w:t>
                  </w:r>
                </w:p>
              </w:tc>
              <w:tc>
                <w:tcPr>
                  <w:tcW w:w="860" w:type="pct"/>
                  <w:vAlign w:val="bottom"/>
                </w:tcPr>
                <w:p w:rsidR="006E391F" w:rsidRPr="00BC1144" w:rsidRDefault="006E391F" w:rsidP="00336FA0">
                  <w:pPr>
                    <w:pStyle w:val="TableBodyText"/>
                  </w:pPr>
                  <w:r w:rsidRPr="00BC1144">
                    <w:t>19</w:t>
                  </w:r>
                </w:p>
              </w:tc>
              <w:tc>
                <w:tcPr>
                  <w:tcW w:w="860" w:type="pct"/>
                  <w:vAlign w:val="bottom"/>
                </w:tcPr>
                <w:p w:rsidR="006E391F" w:rsidRPr="00BC1144" w:rsidRDefault="006E391F" w:rsidP="00336FA0">
                  <w:pPr>
                    <w:pStyle w:val="TableBodyText"/>
                  </w:pPr>
                  <w:r w:rsidRPr="00BC1144">
                    <w:t>14</w:t>
                  </w:r>
                </w:p>
              </w:tc>
              <w:tc>
                <w:tcPr>
                  <w:tcW w:w="859" w:type="pct"/>
                  <w:vAlign w:val="bottom"/>
                </w:tcPr>
                <w:p w:rsidR="006E391F" w:rsidRPr="00BC1144" w:rsidRDefault="006E391F" w:rsidP="00336FA0">
                  <w:pPr>
                    <w:pStyle w:val="TableBodyText"/>
                  </w:pPr>
                  <w:r w:rsidRPr="00BC1144">
                    <w:t>25</w:t>
                  </w:r>
                </w:p>
              </w:tc>
            </w:tr>
            <w:tr w:rsidR="006E391F" w:rsidRPr="00BC1144" w:rsidTr="00336FA0">
              <w:tc>
                <w:tcPr>
                  <w:tcW w:w="1562" w:type="pct"/>
                  <w:vAlign w:val="bottom"/>
                </w:tcPr>
                <w:p w:rsidR="006E391F" w:rsidRPr="00BC1144" w:rsidRDefault="006E391F" w:rsidP="00336FA0">
                  <w:pPr>
                    <w:pStyle w:val="TableBodyText"/>
                    <w:jc w:val="left"/>
                  </w:pPr>
                  <w:r w:rsidRPr="00BC1144">
                    <w:t>Unemployed</w:t>
                  </w:r>
                </w:p>
              </w:tc>
              <w:tc>
                <w:tcPr>
                  <w:tcW w:w="859" w:type="pct"/>
                  <w:vAlign w:val="bottom"/>
                </w:tcPr>
                <w:p w:rsidR="006E391F" w:rsidRPr="00BC1144" w:rsidRDefault="006E391F" w:rsidP="00336FA0">
                  <w:pPr>
                    <w:pStyle w:val="TableBodyText"/>
                  </w:pPr>
                  <w:r w:rsidRPr="00BC1144">
                    <w:t>3</w:t>
                  </w:r>
                </w:p>
              </w:tc>
              <w:tc>
                <w:tcPr>
                  <w:tcW w:w="860" w:type="pct"/>
                  <w:vAlign w:val="bottom"/>
                </w:tcPr>
                <w:p w:rsidR="006E391F" w:rsidRPr="00BC1144" w:rsidRDefault="006E391F" w:rsidP="00336FA0">
                  <w:pPr>
                    <w:pStyle w:val="TableBodyText"/>
                  </w:pPr>
                  <w:r w:rsidRPr="00BC1144">
                    <w:t>2</w:t>
                  </w:r>
                </w:p>
              </w:tc>
              <w:tc>
                <w:tcPr>
                  <w:tcW w:w="860" w:type="pct"/>
                  <w:vAlign w:val="bottom"/>
                </w:tcPr>
                <w:p w:rsidR="006E391F" w:rsidRPr="00BC1144" w:rsidRDefault="006E391F" w:rsidP="00336FA0">
                  <w:pPr>
                    <w:pStyle w:val="TableBodyText"/>
                  </w:pPr>
                  <w:r w:rsidRPr="00BC1144">
                    <w:t>2</w:t>
                  </w:r>
                </w:p>
              </w:tc>
              <w:tc>
                <w:tcPr>
                  <w:tcW w:w="859" w:type="pct"/>
                  <w:vAlign w:val="bottom"/>
                </w:tcPr>
                <w:p w:rsidR="006E391F" w:rsidRPr="00BC1144" w:rsidRDefault="006E391F" w:rsidP="00336FA0">
                  <w:pPr>
                    <w:pStyle w:val="TableBodyText"/>
                  </w:pPr>
                  <w:r w:rsidRPr="00BC1144">
                    <w:t>2</w:t>
                  </w:r>
                </w:p>
              </w:tc>
            </w:tr>
            <w:tr w:rsidR="006E391F" w:rsidRPr="00BC1144" w:rsidTr="00336FA0">
              <w:tc>
                <w:tcPr>
                  <w:tcW w:w="1562" w:type="pct"/>
                  <w:vAlign w:val="bottom"/>
                </w:tcPr>
                <w:p w:rsidR="006E391F" w:rsidRPr="00BC1144" w:rsidRDefault="006E391F" w:rsidP="00336FA0">
                  <w:pPr>
                    <w:pStyle w:val="TableBodyText"/>
                    <w:jc w:val="left"/>
                  </w:pPr>
                  <w:r w:rsidRPr="00BC1144">
                    <w:t>Manager or professional</w:t>
                  </w:r>
                </w:p>
              </w:tc>
              <w:tc>
                <w:tcPr>
                  <w:tcW w:w="859" w:type="pct"/>
                  <w:vAlign w:val="bottom"/>
                </w:tcPr>
                <w:p w:rsidR="006E391F" w:rsidRPr="00BC1144" w:rsidRDefault="006E391F" w:rsidP="00336FA0">
                  <w:pPr>
                    <w:pStyle w:val="TableBodyText"/>
                  </w:pPr>
                  <w:r w:rsidRPr="00BC1144">
                    <w:t>18</w:t>
                  </w:r>
                </w:p>
              </w:tc>
              <w:tc>
                <w:tcPr>
                  <w:tcW w:w="860" w:type="pct"/>
                  <w:vAlign w:val="bottom"/>
                </w:tcPr>
                <w:p w:rsidR="006E391F" w:rsidRPr="00BC1144" w:rsidRDefault="006E391F" w:rsidP="00336FA0">
                  <w:pPr>
                    <w:pStyle w:val="TableBodyText"/>
                  </w:pPr>
                  <w:r w:rsidRPr="00BC1144">
                    <w:t>63</w:t>
                  </w:r>
                </w:p>
              </w:tc>
              <w:tc>
                <w:tcPr>
                  <w:tcW w:w="860" w:type="pct"/>
                  <w:vAlign w:val="bottom"/>
                </w:tcPr>
                <w:p w:rsidR="006E391F" w:rsidRPr="00BC1144" w:rsidRDefault="006E391F" w:rsidP="00336FA0">
                  <w:pPr>
                    <w:pStyle w:val="TableBodyText"/>
                  </w:pPr>
                  <w:r w:rsidRPr="00BC1144">
                    <w:t>16</w:t>
                  </w:r>
                </w:p>
              </w:tc>
              <w:tc>
                <w:tcPr>
                  <w:tcW w:w="859" w:type="pct"/>
                  <w:vAlign w:val="bottom"/>
                </w:tcPr>
                <w:p w:rsidR="006E391F" w:rsidRPr="00BC1144" w:rsidRDefault="006E391F" w:rsidP="00336FA0">
                  <w:pPr>
                    <w:pStyle w:val="TableBodyText"/>
                  </w:pPr>
                  <w:r w:rsidRPr="00BC1144">
                    <w:t>52</w:t>
                  </w:r>
                </w:p>
              </w:tc>
            </w:tr>
            <w:tr w:rsidR="006E391F" w:rsidRPr="00BC1144" w:rsidTr="00336FA0">
              <w:tc>
                <w:tcPr>
                  <w:tcW w:w="1562" w:type="pct"/>
                  <w:vAlign w:val="bottom"/>
                </w:tcPr>
                <w:p w:rsidR="006E391F" w:rsidRPr="00BC1144" w:rsidRDefault="006E391F" w:rsidP="00336FA0">
                  <w:pPr>
                    <w:pStyle w:val="TableBodyText"/>
                    <w:jc w:val="left"/>
                  </w:pPr>
                  <w:r w:rsidRPr="00BC1144">
                    <w:t>Technical or trade work</w:t>
                  </w:r>
                </w:p>
              </w:tc>
              <w:tc>
                <w:tcPr>
                  <w:tcW w:w="859" w:type="pct"/>
                  <w:vAlign w:val="bottom"/>
                </w:tcPr>
                <w:p w:rsidR="006E391F" w:rsidRPr="00BC1144" w:rsidRDefault="006E391F" w:rsidP="00336FA0">
                  <w:pPr>
                    <w:pStyle w:val="TableBodyText"/>
                  </w:pPr>
                  <w:r w:rsidRPr="00BC1144">
                    <w:t>22</w:t>
                  </w:r>
                </w:p>
              </w:tc>
              <w:tc>
                <w:tcPr>
                  <w:tcW w:w="860" w:type="pct"/>
                  <w:vAlign w:val="bottom"/>
                </w:tcPr>
                <w:p w:rsidR="006E391F" w:rsidRPr="00BC1144" w:rsidRDefault="006E391F" w:rsidP="00336FA0">
                  <w:pPr>
                    <w:pStyle w:val="TableBodyText"/>
                  </w:pPr>
                  <w:r w:rsidRPr="00BC1144">
                    <w:t>3</w:t>
                  </w:r>
                </w:p>
              </w:tc>
              <w:tc>
                <w:tcPr>
                  <w:tcW w:w="860" w:type="pct"/>
                  <w:vAlign w:val="bottom"/>
                </w:tcPr>
                <w:p w:rsidR="006E391F" w:rsidRPr="00BC1144" w:rsidRDefault="006E391F" w:rsidP="00336FA0">
                  <w:pPr>
                    <w:pStyle w:val="TableBodyText"/>
                  </w:pPr>
                  <w:r w:rsidRPr="00BC1144">
                    <w:t>30</w:t>
                  </w:r>
                </w:p>
              </w:tc>
              <w:tc>
                <w:tcPr>
                  <w:tcW w:w="859" w:type="pct"/>
                  <w:vAlign w:val="bottom"/>
                </w:tcPr>
                <w:p w:rsidR="006E391F" w:rsidRPr="00BC1144" w:rsidRDefault="006E391F" w:rsidP="00336FA0">
                  <w:pPr>
                    <w:pStyle w:val="TableBodyText"/>
                  </w:pPr>
                  <w:r w:rsidRPr="00BC1144">
                    <w:t>7</w:t>
                  </w:r>
                </w:p>
              </w:tc>
            </w:tr>
            <w:tr w:rsidR="006E391F" w:rsidRPr="00BC1144" w:rsidTr="00336FA0">
              <w:tc>
                <w:tcPr>
                  <w:tcW w:w="1562" w:type="pct"/>
                  <w:tcBorders>
                    <w:bottom w:val="single" w:sz="6" w:space="0" w:color="BFBFBF"/>
                  </w:tcBorders>
                  <w:shd w:val="clear" w:color="auto" w:fill="auto"/>
                  <w:vAlign w:val="bottom"/>
                </w:tcPr>
                <w:p w:rsidR="006E391F" w:rsidRPr="00BC1144" w:rsidRDefault="006E391F" w:rsidP="00336FA0">
                  <w:pPr>
                    <w:pStyle w:val="TableBodyText"/>
                    <w:jc w:val="left"/>
                  </w:pPr>
                  <w:r w:rsidRPr="00BC1144">
                    <w:t>Average weekly earnings</w:t>
                  </w:r>
                </w:p>
              </w:tc>
              <w:tc>
                <w:tcPr>
                  <w:tcW w:w="859" w:type="pct"/>
                  <w:tcBorders>
                    <w:bottom w:val="single" w:sz="6" w:space="0" w:color="BFBFBF"/>
                  </w:tcBorders>
                  <w:vAlign w:val="bottom"/>
                </w:tcPr>
                <w:p w:rsidR="006E391F" w:rsidRPr="00BC1144" w:rsidRDefault="006E391F" w:rsidP="00336FA0">
                  <w:pPr>
                    <w:pStyle w:val="TableBodyText"/>
                  </w:pPr>
                  <w:r w:rsidRPr="00BC1144">
                    <w:t xml:space="preserve">$1168 </w:t>
                  </w:r>
                </w:p>
              </w:tc>
              <w:tc>
                <w:tcPr>
                  <w:tcW w:w="860" w:type="pct"/>
                  <w:tcBorders>
                    <w:bottom w:val="single" w:sz="6" w:space="0" w:color="BFBFBF"/>
                  </w:tcBorders>
                  <w:vAlign w:val="bottom"/>
                </w:tcPr>
                <w:p w:rsidR="006E391F" w:rsidRPr="00BC1144" w:rsidRDefault="006E391F" w:rsidP="00336FA0">
                  <w:pPr>
                    <w:pStyle w:val="TableBodyText"/>
                  </w:pPr>
                  <w:r w:rsidRPr="00BC1144">
                    <w:t xml:space="preserve">$1085 </w:t>
                  </w:r>
                </w:p>
              </w:tc>
              <w:tc>
                <w:tcPr>
                  <w:tcW w:w="860" w:type="pct"/>
                  <w:tcBorders>
                    <w:bottom w:val="single" w:sz="6" w:space="0" w:color="BFBFBF"/>
                  </w:tcBorders>
                  <w:vAlign w:val="bottom"/>
                </w:tcPr>
                <w:p w:rsidR="006E391F" w:rsidRPr="00BC1144" w:rsidRDefault="006E391F" w:rsidP="00336FA0">
                  <w:pPr>
                    <w:pStyle w:val="TableBodyText"/>
                  </w:pPr>
                  <w:r w:rsidRPr="00BC1144">
                    <w:t xml:space="preserve">$1310 </w:t>
                  </w:r>
                </w:p>
              </w:tc>
              <w:tc>
                <w:tcPr>
                  <w:tcW w:w="859" w:type="pct"/>
                  <w:tcBorders>
                    <w:bottom w:val="single" w:sz="6" w:space="0" w:color="BFBFBF"/>
                  </w:tcBorders>
                  <w:shd w:val="clear" w:color="auto" w:fill="auto"/>
                  <w:vAlign w:val="bottom"/>
                </w:tcPr>
                <w:p w:rsidR="006E391F" w:rsidRPr="00BC1144" w:rsidRDefault="006E391F" w:rsidP="00336FA0">
                  <w:pPr>
                    <w:pStyle w:val="TableBodyText"/>
                  </w:pPr>
                  <w:r w:rsidRPr="00BC1144">
                    <w:t xml:space="preserve">$1108 </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Source"/>
              <w:rPr>
                <w:i/>
              </w:rPr>
            </w:pPr>
            <w:r w:rsidRPr="00BC1144">
              <w:rPr>
                <w:rStyle w:val="NoteLabel"/>
              </w:rPr>
              <w:t>a</w:t>
            </w:r>
            <w:r w:rsidRPr="00BC1144">
              <w:t xml:space="preserve"> VET includes all sub bachelor level qualifications, including those provided by a university. The analysis excludes students who enrolled in both a VET course and university degree, those who are still undertaking study at age 25 years, and those who did not receive an ATAR.</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2.10</w:t>
            </w:r>
            <w:r w:rsidRPr="00BC1144">
              <w:tab/>
              <w:t>Students with low school achievement or those who study part time have poorer outcomes</w:t>
            </w:r>
          </w:p>
          <w:p w:rsidR="006E391F" w:rsidRPr="00BC1144" w:rsidRDefault="006E391F" w:rsidP="00336FA0">
            <w:pPr>
              <w:pStyle w:val="Subtitle"/>
            </w:pPr>
            <w:r w:rsidRPr="00BC1144">
              <w:t>Drop</w:t>
            </w:r>
            <w:r w:rsidRPr="00BC1144">
              <w:noBreakHyphen/>
              <w:t>out rates and employment in managerial or professional work at age 23 years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3"/>
            </w:tblGrid>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b/>
                      <w:noProof/>
                      <w:sz w:val="18"/>
                      <w:szCs w:val="18"/>
                    </w:rPr>
                  </w:pPr>
                  <w:r w:rsidRPr="00BC1144">
                    <w:rPr>
                      <w:rFonts w:ascii="Arial" w:hAnsi="Arial" w:cs="Arial"/>
                      <w:b/>
                      <w:noProof/>
                      <w:sz w:val="18"/>
                      <w:szCs w:val="18"/>
                    </w:rPr>
                    <w:t>Drop</w:t>
                  </w:r>
                  <w:r w:rsidRPr="00BC1144">
                    <w:rPr>
                      <w:rFonts w:ascii="Arial" w:hAnsi="Arial" w:cs="Arial"/>
                      <w:b/>
                      <w:noProof/>
                      <w:sz w:val="18"/>
                      <w:szCs w:val="18"/>
                    </w:rPr>
                    <w:noBreakHyphen/>
                    <w:t>out rates (all university students)</w:t>
                  </w:r>
                </w:p>
              </w:tc>
              <w:tc>
                <w:tcPr>
                  <w:tcW w:w="2500" w:type="pct"/>
                  <w:tcBorders>
                    <w:top w:val="nil"/>
                    <w:bottom w:val="nil"/>
                  </w:tcBorders>
                </w:tcPr>
                <w:p w:rsidR="006E391F" w:rsidRPr="00BC1144" w:rsidRDefault="006E391F" w:rsidP="00336FA0">
                  <w:pPr>
                    <w:pStyle w:val="Figure"/>
                    <w:spacing w:before="60" w:after="60"/>
                    <w:rPr>
                      <w:rFonts w:ascii="Arial" w:hAnsi="Arial" w:cs="Arial"/>
                      <w:b/>
                      <w:noProof/>
                      <w:sz w:val="18"/>
                      <w:szCs w:val="18"/>
                    </w:rPr>
                  </w:pPr>
                  <w:r w:rsidRPr="00BC1144">
                    <w:rPr>
                      <w:rFonts w:ascii="Arial" w:hAnsi="Arial" w:cs="Arial"/>
                      <w:b/>
                      <w:noProof/>
                      <w:sz w:val="18"/>
                      <w:szCs w:val="18"/>
                    </w:rPr>
                    <w:t>Managerial or professional work (graduates)</w:t>
                  </w:r>
                </w:p>
              </w:tc>
            </w:tr>
            <w:tr w:rsidR="006E391F" w:rsidRPr="00BC1144" w:rsidTr="00336FA0">
              <w:trPr>
                <w:tblHeader/>
                <w:jc w:val="center"/>
              </w:trPr>
              <w:tc>
                <w:tcPr>
                  <w:tcW w:w="5000" w:type="pct"/>
                  <w:gridSpan w:val="2"/>
                  <w:tcBorders>
                    <w:top w:val="nil"/>
                    <w:bottom w:val="nil"/>
                  </w:tcBorders>
                </w:tcPr>
                <w:p w:rsidR="006E391F" w:rsidRPr="00BC1144" w:rsidRDefault="006E391F" w:rsidP="00336FA0">
                  <w:pPr>
                    <w:pStyle w:val="Figure"/>
                    <w:spacing w:before="60" w:after="60"/>
                    <w:rPr>
                      <w:rFonts w:ascii="Arial" w:hAnsi="Arial" w:cs="Arial"/>
                      <w:noProof/>
                      <w:sz w:val="18"/>
                      <w:szCs w:val="18"/>
                    </w:rPr>
                  </w:pPr>
                  <w:r w:rsidRPr="00BC1144">
                    <w:rPr>
                      <w:rFonts w:ascii="Arial" w:hAnsi="Arial" w:cs="Arial"/>
                      <w:noProof/>
                      <w:sz w:val="18"/>
                      <w:szCs w:val="18"/>
                    </w:rPr>
                    <w:t>Literacy and numeracy</w:t>
                  </w:r>
                  <w:r w:rsidRPr="00BC1144">
                    <w:rPr>
                      <w:rStyle w:val="NoteLabel"/>
                      <w:b w:val="0"/>
                    </w:rPr>
                    <w:t>a</w:t>
                  </w:r>
                </w:p>
              </w:tc>
            </w:tr>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09AAECF5" wp14:editId="1EF5E093">
                        <wp:extent cx="2520315" cy="1438910"/>
                        <wp:effectExtent l="0" t="0" r="0" b="8890"/>
                        <wp:docPr id="25" name="Picture 25"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5043884" wp14:editId="583D3936">
                        <wp:extent cx="2520315" cy="1438910"/>
                        <wp:effectExtent l="0" t="0" r="0" b="8890"/>
                        <wp:docPr id="26" name="Picture 26"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r>
            <w:tr w:rsidR="006E391F" w:rsidRPr="00BC1144" w:rsidTr="00336FA0">
              <w:trPr>
                <w:tblHeader/>
                <w:jc w:val="center"/>
              </w:trPr>
              <w:tc>
                <w:tcPr>
                  <w:tcW w:w="5000" w:type="pct"/>
                  <w:gridSpan w:val="2"/>
                  <w:tcBorders>
                    <w:top w:val="nil"/>
                    <w:bottom w:val="nil"/>
                  </w:tcBorders>
                </w:tcPr>
                <w:p w:rsidR="006E391F" w:rsidRPr="00BC1144" w:rsidRDefault="006E391F" w:rsidP="00336FA0">
                  <w:pPr>
                    <w:pStyle w:val="Figure"/>
                    <w:spacing w:before="60" w:after="60"/>
                    <w:rPr>
                      <w:rFonts w:ascii="Arial" w:hAnsi="Arial" w:cs="Arial"/>
                      <w:noProof/>
                      <w:sz w:val="18"/>
                      <w:szCs w:val="18"/>
                    </w:rPr>
                  </w:pPr>
                  <w:r w:rsidRPr="00BC1144">
                    <w:rPr>
                      <w:rFonts w:ascii="Arial" w:hAnsi="Arial" w:cs="Arial"/>
                      <w:noProof/>
                      <w:sz w:val="18"/>
                      <w:szCs w:val="18"/>
                    </w:rPr>
                    <w:t>ATAR</w:t>
                  </w:r>
                </w:p>
              </w:tc>
            </w:tr>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7AE93AB" wp14:editId="0150CBF8">
                        <wp:extent cx="2520315" cy="1438910"/>
                        <wp:effectExtent l="0" t="0" r="0" b="8890"/>
                        <wp:docPr id="28" name="Picture 28"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70FE9D3" wp14:editId="53FFAFE9">
                        <wp:extent cx="2520315" cy="1438910"/>
                        <wp:effectExtent l="0" t="0" r="0" b="8890"/>
                        <wp:docPr id="31" name="Picture 31"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r>
            <w:tr w:rsidR="006E391F" w:rsidRPr="00BC1144" w:rsidTr="00336FA0">
              <w:trPr>
                <w:tblHeader/>
                <w:jc w:val="center"/>
              </w:trPr>
              <w:tc>
                <w:tcPr>
                  <w:tcW w:w="5000" w:type="pct"/>
                  <w:gridSpan w:val="2"/>
                  <w:tcBorders>
                    <w:top w:val="nil"/>
                    <w:bottom w:val="nil"/>
                  </w:tcBorders>
                </w:tcPr>
                <w:p w:rsidR="006E391F" w:rsidRPr="00BC1144" w:rsidRDefault="006E391F" w:rsidP="00336FA0">
                  <w:pPr>
                    <w:pStyle w:val="Figure"/>
                    <w:spacing w:before="60" w:after="60"/>
                    <w:rPr>
                      <w:rFonts w:ascii="Arial" w:hAnsi="Arial" w:cs="Arial"/>
                      <w:noProof/>
                      <w:sz w:val="18"/>
                      <w:szCs w:val="18"/>
                    </w:rPr>
                  </w:pPr>
                  <w:r w:rsidRPr="00BC1144">
                    <w:rPr>
                      <w:rFonts w:ascii="Arial" w:hAnsi="Arial" w:cs="Arial"/>
                      <w:noProof/>
                      <w:sz w:val="18"/>
                      <w:szCs w:val="18"/>
                    </w:rPr>
                    <w:t>Study status</w:t>
                  </w:r>
                  <w:r w:rsidRPr="00BC1144">
                    <w:rPr>
                      <w:rStyle w:val="NoteLabel"/>
                      <w:b w:val="0"/>
                    </w:rPr>
                    <w:t>b</w:t>
                  </w:r>
                </w:p>
              </w:tc>
            </w:tr>
            <w:tr w:rsidR="006E391F" w:rsidRPr="00BC1144" w:rsidTr="00336FA0">
              <w:trPr>
                <w:tblHeader/>
                <w:jc w:val="center"/>
              </w:trPr>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37538AA" wp14:editId="6FC64563">
                        <wp:extent cx="2520315" cy="1438910"/>
                        <wp:effectExtent l="0" t="0" r="0" b="8890"/>
                        <wp:docPr id="11" name="Picture 11"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c>
                <w:tcPr>
                  <w:tcW w:w="25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6F034D5" wp14:editId="4D5942B6">
                        <wp:extent cx="2520315" cy="1438910"/>
                        <wp:effectExtent l="0" t="0" r="0" b="8890"/>
                        <wp:docPr id="17" name="Picture 17" descr="Figure 2.10 shows the proportion of students that drop out, and the proportion of graduates that enter managerial and professional work by literacy and numeracy, ATAR bands and full-time/part-time study status at age 23 years from 2003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20315" cy="143891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Student achievement in terms of literacy and numeracy scores is based on testing in numeracy and literacy at age 15 years. ‘Lower’ refers to people in the bottom two quartiles, ‘middle’ refers to people in second top quartile, ‘upper’ refers to people in the top quartile. The bottom two achievement quartiles were combined due to the small number of students entering university from the bottom quartile. </w:t>
            </w:r>
            <w:r w:rsidRPr="00BC1144">
              <w:rPr>
                <w:rStyle w:val="NoteLabel"/>
              </w:rPr>
              <w:t>b</w:t>
            </w:r>
            <w:r w:rsidRPr="00BC1144">
              <w:t xml:space="preserve"> ‘Part</w:t>
            </w:r>
            <w:r w:rsidRPr="00BC1144">
              <w:noBreakHyphen/>
              <w:t>time’ refers to students that enrol into part</w:t>
            </w:r>
            <w:r w:rsidRPr="00BC1144">
              <w:noBreakHyphen/>
              <w:t>time study at any point during their degree.</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37" w:name="_Toc10805443"/>
      <w:r w:rsidRPr="00BC1144">
        <w:lastRenderedPageBreak/>
        <w:t>2.</w:t>
      </w:r>
      <w:r w:rsidRPr="00BC1144">
        <w:rPr>
          <w:noProof/>
        </w:rPr>
        <w:t>4</w:t>
      </w:r>
      <w:r w:rsidRPr="00BC1144">
        <w:tab/>
        <w:t>Summing up</w:t>
      </w:r>
      <w:bookmarkEnd w:id="37"/>
    </w:p>
    <w:p w:rsidR="006E391F" w:rsidRPr="00BC1144" w:rsidRDefault="006E391F" w:rsidP="00336FA0">
      <w:pPr>
        <w:pStyle w:val="BodyText"/>
      </w:pPr>
      <w:r w:rsidRPr="00BC1144">
        <w:t>The demand driven system saw an influx of additional students who would not have had the opportunity to study in previous periods. The results show how difficult it is to design an admissions process, regardless of the university funding model. People do not have ‘University is good for me’ stamped on their foreheads. Neither aspiring students, university administrators, nor bureaucrats can be certain who will benefit from higher education. As such, it is not surprising that many additional students have achieved academic and labour market success. Nor is it surprising that more of the additional students have failed to graduate and fared poorly.</w:t>
      </w:r>
    </w:p>
    <w:p w:rsidR="006E391F" w:rsidRPr="00BC1144" w:rsidRDefault="006E391F" w:rsidP="00336FA0">
      <w:pPr>
        <w:pStyle w:val="BodyText"/>
      </w:pPr>
      <w:r w:rsidRPr="00BC1144">
        <w:t>The expansion of the system has allowed a somewhat more diverse suite of students to aspire to attend university. In doing so, no doubt, it has made admissions processes more difficult for universities. Some universities have borne more of this challenge. Almost all of the additional students have attended universities outside of the Group of Eight. Of course, Group of Eight universities also expanded over this period, but at a slower rate and they had the advantage of enrolling students that otherwise would have attended other universities. The students whose futures were most difficult to judge in advance attended other universities, and as such it should be expected that the expansion of the system would disproportionately increase drop</w:t>
      </w:r>
      <w:r w:rsidRPr="00BC1144">
        <w:noBreakHyphen/>
        <w:t>out rates at these universities.</w:t>
      </w:r>
    </w:p>
    <w:p w:rsidR="006E391F" w:rsidRPr="00BC1144" w:rsidRDefault="006E391F" w:rsidP="00336FA0">
      <w:pPr>
        <w:pStyle w:val="BodyText"/>
      </w:pPr>
      <w:r w:rsidRPr="00BC1144">
        <w:t xml:space="preserve">Nevertheless, </w:t>
      </w:r>
      <w:r w:rsidR="009C195B" w:rsidRPr="00BC1144">
        <w:t>a smaller</w:t>
      </w:r>
      <w:r w:rsidRPr="00BC1144">
        <w:t xml:space="preserve"> proportion of additional students are </w:t>
      </w:r>
      <w:r w:rsidR="009C195B" w:rsidRPr="00BC1144">
        <w:t>completing university,</w:t>
      </w:r>
      <w:r w:rsidRPr="00BC1144">
        <w:t xml:space="preserve"> and </w:t>
      </w:r>
      <w:r w:rsidR="009C195B" w:rsidRPr="00BC1144">
        <w:t>those who drop out face</w:t>
      </w:r>
      <w:r w:rsidRPr="00BC1144">
        <w:t xml:space="preserve"> poorer outcomes than other students across multiple dimensions of job quality (satisfaction, career prospects and utilisation of skills). Although these outcomes could be reduced by tightening entry requirements again, other measures may be better targeted — including more guidance prior to university entry about whether the university system is a sensible destination for the person, improvement in pre</w:t>
      </w:r>
      <w:r w:rsidRPr="00BC1144">
        <w:noBreakHyphen/>
        <w:t>university foundational skills, and early support for students struggling with their university study. An efficient system should also assist those students who discover that university education is not useful to them to exit swiftly, mitigating the costs associated with university fees, forgone earnings in jobs not requiring a university qualification, and delayed options to acquire skills through other, more suitable forms of education and training.</w:t>
      </w:r>
    </w:p>
    <w:p w:rsidR="006E391F" w:rsidRPr="00BC1144" w:rsidRDefault="006E391F" w:rsidP="006E391F">
      <w:pPr>
        <w:sectPr w:rsidR="006E391F" w:rsidRPr="00BC1144" w:rsidSect="00BC1144">
          <w:headerReference w:type="even" r:id="rId71"/>
          <w:headerReference w:type="default" r:id="rId72"/>
          <w:footerReference w:type="even" r:id="rId73"/>
          <w:footerReference w:type="default" r:id="rId74"/>
          <w:type w:val="oddPage"/>
          <w:pgSz w:w="11907" w:h="16840" w:code="9"/>
          <w:pgMar w:top="1985" w:right="1304" w:bottom="1247" w:left="1814" w:header="1701" w:footer="397" w:gutter="0"/>
          <w:pgNumType w:chapSep="period"/>
          <w:cols w:space="720"/>
          <w:docGrid w:linePitch="326"/>
        </w:sectPr>
      </w:pPr>
    </w:p>
    <w:p w:rsidR="006E391F" w:rsidRPr="00BC1144" w:rsidRDefault="006E391F" w:rsidP="00336FA0">
      <w:pPr>
        <w:pStyle w:val="Heading1"/>
        <w:spacing w:before="0"/>
      </w:pPr>
      <w:bookmarkStart w:id="38" w:name="_Toc10805444"/>
      <w:r w:rsidRPr="00BC1144">
        <w:lastRenderedPageBreak/>
        <w:t>3</w:t>
      </w:r>
      <w:r w:rsidRPr="00BC1144">
        <w:tab/>
        <w:t>Equity of access and outcomes during the demand driven system</w:t>
      </w:r>
      <w:bookmarkEnd w:id="38"/>
      <w:r w:rsidRPr="00BC1144">
        <w:t xml:space="preserve">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hideMark/>
          </w:tcPr>
          <w:p w:rsidR="006E391F" w:rsidRPr="00BC1144" w:rsidRDefault="006E391F">
            <w:pPr>
              <w:pStyle w:val="BoxTitle"/>
            </w:pPr>
            <w:r w:rsidRPr="00BC1144">
              <w:t>Key points</w:t>
            </w:r>
          </w:p>
        </w:tc>
      </w:tr>
      <w:tr w:rsidR="006E391F" w:rsidRPr="00BC1144" w:rsidTr="00336FA0">
        <w:tc>
          <w:tcPr>
            <w:tcW w:w="5000" w:type="pct"/>
            <w:tcBorders>
              <w:top w:val="nil"/>
              <w:left w:val="nil"/>
              <w:bottom w:val="nil"/>
              <w:right w:val="nil"/>
            </w:tcBorders>
            <w:shd w:val="clear" w:color="auto" w:fill="F2F2F2"/>
            <w:hideMark/>
          </w:tcPr>
          <w:p w:rsidR="006E391F" w:rsidRPr="00BC1144" w:rsidRDefault="006E391F" w:rsidP="006E391F">
            <w:pPr>
              <w:pStyle w:val="KeyPointsListBullet"/>
              <w:spacing w:after="160"/>
            </w:pPr>
            <w:r w:rsidRPr="00BC1144">
              <w:t>While university attendance increased substantially under the demand driven system, growth among equity groups has been uneven.</w:t>
            </w:r>
          </w:p>
          <w:p w:rsidR="006E391F" w:rsidRPr="00BC1144" w:rsidRDefault="006E391F" w:rsidP="006E391F">
            <w:pPr>
              <w:pStyle w:val="KeyPointsListBullet2"/>
            </w:pPr>
            <w:r w:rsidRPr="00BC1144">
              <w:t>Young people from a low socioeconomic status (SES) background and ‘first in family’ students were more likely to participate in higher education following the expansion.</w:t>
            </w:r>
          </w:p>
          <w:p w:rsidR="006E391F" w:rsidRPr="00BC1144" w:rsidRDefault="006E391F" w:rsidP="006E391F">
            <w:pPr>
              <w:pStyle w:val="KeyPointsListBullet2"/>
            </w:pPr>
            <w:r w:rsidRPr="00BC1144">
              <w:t>However, there was little evidence of improved participation for young Indigenous people and people from a regional or remote location.</w:t>
            </w:r>
          </w:p>
          <w:p w:rsidR="006E391F" w:rsidRPr="00BC1144" w:rsidRDefault="006E391F" w:rsidP="006E391F">
            <w:pPr>
              <w:pStyle w:val="KeyPointsListBullet"/>
              <w:spacing w:after="160"/>
            </w:pPr>
            <w:r w:rsidRPr="00BC1144">
              <w:t>These four equity groups remain heavily under-represented at university and this gap can be explained partly by low levels of foundational skills in literacy and numeracy.</w:t>
            </w:r>
          </w:p>
          <w:p w:rsidR="006E391F" w:rsidRPr="00BC1144" w:rsidRDefault="006E391F" w:rsidP="006E391F">
            <w:pPr>
              <w:pStyle w:val="KeyPointsListBullet2"/>
            </w:pPr>
            <w:r w:rsidRPr="00BC1144">
              <w:t>Measured by OECD PISA scores, these are the most important predictor of the under</w:t>
            </w:r>
            <w:r w:rsidRPr="00BC1144">
              <w:noBreakHyphen/>
              <w:t>representation of low SES and ‘first in family’ students, and they play a role in the under</w:t>
            </w:r>
            <w:r w:rsidRPr="00BC1144">
              <w:noBreakHyphen/>
              <w:t>representation of regional or remote and Indigenous students.</w:t>
            </w:r>
          </w:p>
          <w:p w:rsidR="006E391F" w:rsidRPr="00BC1144" w:rsidRDefault="006E391F" w:rsidP="006E391F">
            <w:pPr>
              <w:pStyle w:val="KeyPointsListBullet2"/>
            </w:pPr>
            <w:r w:rsidRPr="00BC1144">
              <w:t>Conversely, children who develop strong literacy and numeracy go on to attend university at high rates, regardless of whether they are part of an equity group.</w:t>
            </w:r>
          </w:p>
          <w:p w:rsidR="006E391F" w:rsidRPr="00BC1144" w:rsidRDefault="006E391F" w:rsidP="006E391F">
            <w:pPr>
              <w:pStyle w:val="KeyPointsListBullet"/>
              <w:spacing w:after="160"/>
            </w:pPr>
            <w:r w:rsidRPr="00BC1144">
              <w:t xml:space="preserve">A range of other </w:t>
            </w:r>
            <w:r w:rsidR="009C195B" w:rsidRPr="00BC1144">
              <w:t>indicators</w:t>
            </w:r>
            <w:r w:rsidRPr="00BC1144">
              <w:t xml:space="preserve"> of disadvantage also contribute</w:t>
            </w:r>
            <w:r w:rsidR="009C195B" w:rsidRPr="00BC1144">
              <w:t xml:space="preserve"> to the gap,</w:t>
            </w:r>
            <w:r w:rsidRPr="00BC1144">
              <w:t xml:space="preserve"> such as school and neighbourhood characteristics, though the effects can be difficult to identify individually.</w:t>
            </w:r>
          </w:p>
          <w:p w:rsidR="006E391F" w:rsidRPr="00BC1144" w:rsidRDefault="006E391F" w:rsidP="006E391F">
            <w:pPr>
              <w:pStyle w:val="KeyPointsListBullet2"/>
            </w:pPr>
            <w:r w:rsidRPr="00BC1144">
              <w:t>Distance from a university campus remains a clear barrier for regional or remote students, who are less likely to attend than similarly capable metropolitan students.</w:t>
            </w:r>
          </w:p>
          <w:p w:rsidR="006E391F" w:rsidRPr="00BC1144" w:rsidRDefault="006E391F" w:rsidP="006E391F">
            <w:pPr>
              <w:pStyle w:val="KeyPointsListBullet"/>
              <w:spacing w:after="160"/>
            </w:pPr>
            <w:r w:rsidRPr="00BC1144">
              <w:t xml:space="preserve">Improved access for low SES and first in family students would be somewhat hollow if not accompanied by academic and labour market success. Here, the results are mixed. </w:t>
            </w:r>
          </w:p>
          <w:p w:rsidR="006E391F" w:rsidRPr="00BC1144" w:rsidRDefault="006E391F" w:rsidP="006E391F">
            <w:pPr>
              <w:pStyle w:val="KeyPointsListBullet2"/>
            </w:pPr>
            <w:r w:rsidRPr="00BC1144">
              <w:t>Students from equity groups are more likely to drop out of university than others, which likely reflects lower school achievement as well as part</w:t>
            </w:r>
            <w:r w:rsidRPr="00BC1144">
              <w:noBreakHyphen/>
              <w:t>time study.</w:t>
            </w:r>
          </w:p>
          <w:p w:rsidR="006E391F" w:rsidRPr="00BC1144" w:rsidRDefault="006E391F" w:rsidP="006E391F">
            <w:pPr>
              <w:pStyle w:val="KeyPointsListBullet2"/>
            </w:pPr>
            <w:r w:rsidRPr="00BC1144">
              <w:t xml:space="preserve">Nonetheless, those who succeed at university and graduate — regardless of equity group membership — generally succeed in labour market transitions. Graduates from equity groups frequently transition into managerial and professional roles. </w:t>
            </w:r>
          </w:p>
          <w:p w:rsidR="006E391F" w:rsidRPr="00BC1144" w:rsidRDefault="006E391F" w:rsidP="006E391F">
            <w:pPr>
              <w:pStyle w:val="KeyPointsListBullet"/>
              <w:spacing w:after="160"/>
            </w:pPr>
            <w:r w:rsidRPr="00BC1144">
              <w:t>These findings suggest three conclusions:</w:t>
            </w:r>
          </w:p>
          <w:p w:rsidR="006E391F" w:rsidRPr="00BC1144" w:rsidRDefault="006E391F" w:rsidP="006E391F">
            <w:pPr>
              <w:pStyle w:val="KeyPointsListBullet2"/>
            </w:pPr>
            <w:r w:rsidRPr="00BC1144">
              <w:t>Development of strong literacy and numeracy not only provides economy</w:t>
            </w:r>
            <w:r w:rsidRPr="00BC1144">
              <w:noBreakHyphen/>
              <w:t xml:space="preserve">wide efficiency dividends, but are powerful equalisers for children growing up with disadvantage. </w:t>
            </w:r>
          </w:p>
          <w:p w:rsidR="006E391F" w:rsidRPr="00BC1144" w:rsidRDefault="006E391F" w:rsidP="006E391F">
            <w:pPr>
              <w:pStyle w:val="KeyPointsListBullet2"/>
            </w:pPr>
            <w:r w:rsidRPr="00BC1144">
              <w:t xml:space="preserve">Those who grew up far away from a university campus benefited little from the expansion. </w:t>
            </w:r>
          </w:p>
          <w:p w:rsidR="006E391F" w:rsidRPr="00BC1144" w:rsidRDefault="006E391F" w:rsidP="006E391F">
            <w:pPr>
              <w:pStyle w:val="KeyPointsListBullet2"/>
            </w:pPr>
            <w:r w:rsidRPr="00BC1144">
              <w:t>The high drop</w:t>
            </w:r>
            <w:r w:rsidRPr="00BC1144">
              <w:noBreakHyphen/>
              <w:t>out rate for young people from disadvantaged backgrounds suggests more should be done to support these students to succeed academically. There is a private and social benefit in doing so, as they will likely be set on a path to better economic prospects.</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pPr>
              <w:pStyle w:val="Box"/>
              <w:spacing w:before="0" w:line="120" w:lineRule="exact"/>
            </w:pPr>
          </w:p>
        </w:tc>
      </w:tr>
      <w:tr w:rsidR="006E391F" w:rsidRPr="00BC1144" w:rsidTr="00336FA0">
        <w:tc>
          <w:tcPr>
            <w:tcW w:w="5000" w:type="pct"/>
            <w:tcBorders>
              <w:top w:val="single" w:sz="6" w:space="0" w:color="78A22F"/>
              <w:left w:val="nil"/>
              <w:bottom w:val="nil"/>
              <w:right w:val="nil"/>
            </w:tcBorders>
            <w:hideMark/>
          </w:tcPr>
          <w:p w:rsidR="006E391F" w:rsidRPr="00BC1144" w:rsidRDefault="006E391F">
            <w:pPr>
              <w:pStyle w:val="BoxSpaceBelow"/>
            </w:pPr>
          </w:p>
        </w:tc>
      </w:tr>
    </w:tbl>
    <w:p w:rsidR="006E391F" w:rsidRPr="00BC1144" w:rsidRDefault="006E391F" w:rsidP="00336FA0">
      <w:pPr>
        <w:pStyle w:val="BodyText"/>
      </w:pPr>
      <w:r w:rsidRPr="00BC1144">
        <w:lastRenderedPageBreak/>
        <w:t xml:space="preserve">Though improving access is valuable in its own right, policy should aim to ensure access also leads to success. A useful heuristic is to consider three hurdles: gaining access; degree completion; and labour market transitions (figure 3.1). </w:t>
      </w:r>
    </w:p>
    <w:p w:rsidR="006E391F" w:rsidRPr="00BC1144" w:rsidRDefault="006E391F" w:rsidP="00336FA0">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1</w:t>
            </w:r>
            <w:r w:rsidRPr="00BC1144">
              <w:tab/>
              <w:t>Equity groups face three hurdles to success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086"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250"/>
            </w:tblGrid>
            <w:tr w:rsidR="006E391F" w:rsidRPr="00BC1144" w:rsidTr="00336FA0">
              <w:trPr>
                <w:trHeight w:val="1906"/>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Cs w:val="24"/>
                    </w:rPr>
                  </w:pPr>
                  <w:r w:rsidRPr="00BC1144">
                    <w:rPr>
                      <w:rFonts w:ascii="Arial" w:hAnsi="Arial" w:cs="Arial"/>
                      <w:noProof/>
                      <w:szCs w:val="24"/>
                    </w:rPr>
                    <w:drawing>
                      <wp:inline distT="0" distB="0" distL="0" distR="0" wp14:anchorId="1548BD8A" wp14:editId="333DF3F9">
                        <wp:extent cx="5198745" cy="1350335"/>
                        <wp:effectExtent l="19050" t="0" r="20955" b="0"/>
                        <wp:docPr id="32" name="Diagram 32" descr="&#10;Figure 3.1 shows the three hurdles that disadvantaged groups face: university access, academic success and labour market transition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DC5BB6">
            <w:pPr>
              <w:pStyle w:val="BoxSpaceBelow"/>
            </w:pPr>
          </w:p>
        </w:tc>
      </w:tr>
    </w:tbl>
    <w:p w:rsidR="006E391F" w:rsidRPr="00BC1144" w:rsidRDefault="006E391F" w:rsidP="00336FA0">
      <w:pPr>
        <w:pStyle w:val="Heading2"/>
      </w:pPr>
      <w:bookmarkStart w:id="39" w:name="_Toc10805445"/>
      <w:r w:rsidRPr="00BC1144">
        <w:t>3.</w:t>
      </w:r>
      <w:r w:rsidRPr="00BC1144">
        <w:rPr>
          <w:noProof/>
        </w:rPr>
        <w:t>1</w:t>
      </w:r>
      <w:r w:rsidRPr="00BC1144">
        <w:tab/>
        <w:t>University access</w:t>
      </w:r>
      <w:bookmarkEnd w:id="39"/>
    </w:p>
    <w:p w:rsidR="006E391F" w:rsidRPr="00BC1144" w:rsidRDefault="006E391F" w:rsidP="00DC5BB6">
      <w:pPr>
        <w:pStyle w:val="Heading3"/>
        <w:spacing w:before="280"/>
      </w:pPr>
      <w:bookmarkStart w:id="40" w:name="_Toc10805446"/>
      <w:r w:rsidRPr="00BC1144">
        <w:t>Improvements in equity group participation were uneven</w:t>
      </w:r>
      <w:bookmarkEnd w:id="40"/>
    </w:p>
    <w:p w:rsidR="006E391F" w:rsidRPr="00BC1144" w:rsidRDefault="006E391F" w:rsidP="00336FA0">
      <w:pPr>
        <w:pStyle w:val="BodyText"/>
      </w:pPr>
      <w:r w:rsidRPr="00BC1144">
        <w:t>More Australian school students have gone to university since the introduction of the demand driven system. Overall, the Longitudinal Surveys of Australian Youth (LSAY) data indicate that the proportion of young people attending uni</w:t>
      </w:r>
      <w:r w:rsidR="00B3244E" w:rsidRPr="00BC1144">
        <w:t>versity at some point by age 22 </w:t>
      </w:r>
      <w:r w:rsidRPr="00BC1144">
        <w:t>years increased from 53 per cent in 2010 to 60 per cent in 2016.</w:t>
      </w:r>
    </w:p>
    <w:p w:rsidR="006E391F" w:rsidRPr="00BC1144" w:rsidRDefault="006E391F" w:rsidP="00336FA0">
      <w:pPr>
        <w:pStyle w:val="BodyText"/>
      </w:pPr>
      <w:r w:rsidRPr="00BC1144">
        <w:t>However, the story for the four equity groups examined in this study is nuanced (figure 3.2), and depends on the definition and age profile of equity groups examined (box 3.1).</w:t>
      </w:r>
    </w:p>
    <w:p w:rsidR="001420B1" w:rsidRPr="00BC1144" w:rsidRDefault="001420B1" w:rsidP="001420B1">
      <w:pPr>
        <w:pStyle w:val="BodyText"/>
      </w:pPr>
      <w:r w:rsidRPr="00BC1144">
        <w:t>Two of the four groups experienced an increase in university participation rates since 2010 — those from low SES backgrounds and first in family students (those whose parents do not have a degree). However, because participation rates also increased for the rest of the population, the extent of under</w:t>
      </w:r>
      <w:r w:rsidRPr="00BC1144">
        <w:noBreakHyphen/>
        <w:t>representation</w:t>
      </w:r>
      <w:r w:rsidRPr="00BC1144" w:rsidDel="009F54CD">
        <w:t xml:space="preserve"> </w:t>
      </w:r>
      <w:r w:rsidRPr="00BC1144">
        <w:t>(the ‘gap’, in terms of percentage points) only narrowed for those from low SES backgrounds. University participation of young people from Indigenous and regional or remote backgrounds changed little over the 2010 to 2016 period. This implies greater under</w:t>
      </w:r>
      <w:r w:rsidRPr="00BC1144">
        <w:noBreakHyphen/>
        <w:t>representation at university for these three latter groups, given increased university participation by other young people.</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3.</w:t>
            </w:r>
            <w:r w:rsidRPr="00BC1144">
              <w:rPr>
                <w:b w:val="0"/>
                <w:noProof/>
              </w:rPr>
              <w:t>1</w:t>
            </w:r>
            <w:r w:rsidRPr="00BC1144">
              <w:tab/>
              <w:t>Equity groups and university participation in the Longitudinal Surveys of Australian Youth</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While the centrepiece of this analysis is data from the LSAY, there are some important differences in definitions between it and other data sources.</w:t>
            </w:r>
          </w:p>
          <w:p w:rsidR="006E391F" w:rsidRPr="00BC1144" w:rsidRDefault="006E391F" w:rsidP="00336FA0">
            <w:pPr>
              <w:pStyle w:val="Box"/>
            </w:pPr>
            <w:r w:rsidRPr="00BC1144">
              <w:t xml:space="preserve">For example, the Australian Government Department of Education and Training (DET) publishes statistics on domestic student admissions and attendance. It also tracks participation by the six equity groups identified by Dawkins </w:t>
            </w:r>
            <w:r w:rsidR="0092626E" w:rsidRPr="00BC1144">
              <w:rPr>
                <w:rFonts w:cs="Arial"/>
              </w:rPr>
              <w:t>(1990)</w:t>
            </w:r>
            <w:r w:rsidRPr="00BC1144">
              <w:t xml:space="preserve"> </w:t>
            </w:r>
            <w:r w:rsidRPr="00BC1144">
              <w:rPr>
                <w:rFonts w:cstheme="minorHAnsi"/>
              </w:rPr>
              <w:t>—</w:t>
            </w:r>
            <w:r w:rsidRPr="00BC1144">
              <w:t xml:space="preserve"> students from a low socioeconomic background, regional or remote students, Indigenous students, students from a non</w:t>
            </w:r>
            <w:r w:rsidRPr="00BC1144">
              <w:noBreakHyphen/>
              <w:t>English speaking background, students with a disability, and women in non</w:t>
            </w:r>
            <w:r w:rsidRPr="00BC1144">
              <w:noBreakHyphen/>
              <w:t>traditional areas of study. Those statistics are based on administrative data reported by higher education institutions. The data available from the LSAY used in this study are generally closely aligned with the statistics reported by DET, but have the advantage that it is possible to follow each student through time (its longitudinal aspect). The two data sets are compared in the table below.</w:t>
            </w:r>
          </w:p>
          <w:p w:rsidR="006E391F" w:rsidRPr="00BC1144" w:rsidRDefault="006E391F" w:rsidP="00336FA0">
            <w:pPr>
              <w:pStyle w:val="Box"/>
              <w:spacing w:before="0" w:line="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3255"/>
              <w:gridCol w:w="3677"/>
            </w:tblGrid>
            <w:tr w:rsidR="006E391F" w:rsidRPr="00BC1144" w:rsidTr="00336FA0">
              <w:tc>
                <w:tcPr>
                  <w:tcW w:w="1573" w:type="dxa"/>
                  <w:tcBorders>
                    <w:top w:val="single" w:sz="4" w:space="0" w:color="BFBFBF"/>
                    <w:bottom w:val="single" w:sz="4" w:space="0" w:color="BFBFBF"/>
                  </w:tcBorders>
                </w:tcPr>
                <w:p w:rsidR="006E391F" w:rsidRPr="00BC1144" w:rsidRDefault="006E391F" w:rsidP="00DC5BB6">
                  <w:pPr>
                    <w:pStyle w:val="Box"/>
                    <w:spacing w:before="80" w:after="80"/>
                    <w:rPr>
                      <w:b/>
                    </w:rPr>
                  </w:pPr>
                  <w:r w:rsidRPr="00BC1144">
                    <w:rPr>
                      <w:b/>
                    </w:rPr>
                    <w:t>Attribute</w:t>
                  </w:r>
                </w:p>
              </w:tc>
              <w:tc>
                <w:tcPr>
                  <w:tcW w:w="3255" w:type="dxa"/>
                  <w:tcBorders>
                    <w:top w:val="single" w:sz="4" w:space="0" w:color="BFBFBF"/>
                    <w:bottom w:val="single" w:sz="4" w:space="0" w:color="BFBFBF"/>
                  </w:tcBorders>
                </w:tcPr>
                <w:p w:rsidR="006E391F" w:rsidRPr="00BC1144" w:rsidRDefault="006E391F" w:rsidP="00DC5BB6">
                  <w:pPr>
                    <w:pStyle w:val="Box"/>
                    <w:spacing w:before="80" w:after="80"/>
                    <w:rPr>
                      <w:b/>
                    </w:rPr>
                  </w:pPr>
                  <w:r w:rsidRPr="00BC1144">
                    <w:rPr>
                      <w:b/>
                    </w:rPr>
                    <w:t>DET statistics</w:t>
                  </w:r>
                </w:p>
              </w:tc>
              <w:tc>
                <w:tcPr>
                  <w:tcW w:w="3677" w:type="dxa"/>
                  <w:tcBorders>
                    <w:top w:val="single" w:sz="4" w:space="0" w:color="BFBFBF"/>
                    <w:bottom w:val="single" w:sz="4" w:space="0" w:color="BFBFBF"/>
                  </w:tcBorders>
                </w:tcPr>
                <w:p w:rsidR="006E391F" w:rsidRPr="00BC1144" w:rsidRDefault="006E391F" w:rsidP="00DC5BB6">
                  <w:pPr>
                    <w:pStyle w:val="Box"/>
                    <w:spacing w:before="80" w:after="80"/>
                    <w:rPr>
                      <w:b/>
                    </w:rPr>
                  </w:pPr>
                  <w:r w:rsidRPr="00BC1144">
                    <w:rPr>
                      <w:b/>
                    </w:rPr>
                    <w:t>This study’s use of the LSAY survey</w:t>
                  </w:r>
                </w:p>
              </w:tc>
            </w:tr>
            <w:tr w:rsidR="006E391F" w:rsidRPr="00BC1144" w:rsidTr="00336FA0">
              <w:tc>
                <w:tcPr>
                  <w:tcW w:w="1573" w:type="dxa"/>
                  <w:tcBorders>
                    <w:top w:val="single" w:sz="4" w:space="0" w:color="BFBFBF"/>
                  </w:tcBorders>
                  <w:shd w:val="clear" w:color="auto" w:fill="D9D9D9" w:themeFill="background1" w:themeFillShade="D9"/>
                </w:tcPr>
                <w:p w:rsidR="006E391F" w:rsidRPr="00BC1144" w:rsidRDefault="006E391F" w:rsidP="00DC5BB6">
                  <w:pPr>
                    <w:pStyle w:val="Box"/>
                    <w:spacing w:before="0"/>
                    <w:jc w:val="left"/>
                  </w:pPr>
                  <w:r w:rsidRPr="00BC1144">
                    <w:t>Sample size</w:t>
                  </w:r>
                </w:p>
              </w:tc>
              <w:tc>
                <w:tcPr>
                  <w:tcW w:w="3255" w:type="dxa"/>
                  <w:tcBorders>
                    <w:top w:val="single" w:sz="4" w:space="0" w:color="BFBFBF"/>
                  </w:tcBorders>
                  <w:shd w:val="clear" w:color="auto" w:fill="D9D9D9" w:themeFill="background1" w:themeFillShade="D9"/>
                </w:tcPr>
                <w:p w:rsidR="006E391F" w:rsidRPr="00BC1144" w:rsidRDefault="006E391F" w:rsidP="00336FA0">
                  <w:pPr>
                    <w:pStyle w:val="Box"/>
                    <w:spacing w:before="0"/>
                    <w:jc w:val="left"/>
                  </w:pPr>
                  <w:r w:rsidRPr="00BC1144">
                    <w:t>Census of enrolments.</w:t>
                  </w:r>
                </w:p>
              </w:tc>
              <w:tc>
                <w:tcPr>
                  <w:tcW w:w="3677" w:type="dxa"/>
                  <w:tcBorders>
                    <w:top w:val="single" w:sz="4" w:space="0" w:color="BFBFBF"/>
                  </w:tcBorders>
                  <w:shd w:val="clear" w:color="auto" w:fill="D9D9D9" w:themeFill="background1" w:themeFillShade="D9"/>
                </w:tcPr>
                <w:p w:rsidR="006E391F" w:rsidRPr="00BC1144" w:rsidRDefault="006E391F" w:rsidP="00336FA0">
                  <w:pPr>
                    <w:pStyle w:val="Box"/>
                    <w:spacing w:before="0"/>
                    <w:jc w:val="left"/>
                  </w:pPr>
                  <w:r w:rsidRPr="00BC1144">
                    <w:t>Survey of approximately 14 000 students each cohort.</w:t>
                  </w:r>
                </w:p>
              </w:tc>
            </w:tr>
            <w:tr w:rsidR="006E391F" w:rsidRPr="00BC1144" w:rsidTr="00336FA0">
              <w:tc>
                <w:tcPr>
                  <w:tcW w:w="1573" w:type="dxa"/>
                </w:tcPr>
                <w:p w:rsidR="006E391F" w:rsidRPr="00BC1144" w:rsidRDefault="006E391F" w:rsidP="00DC5BB6">
                  <w:pPr>
                    <w:pStyle w:val="Box"/>
                    <w:spacing w:before="0"/>
                    <w:jc w:val="left"/>
                  </w:pPr>
                  <w:r w:rsidRPr="00BC1144">
                    <w:t>Source</w:t>
                  </w:r>
                </w:p>
              </w:tc>
              <w:tc>
                <w:tcPr>
                  <w:tcW w:w="3255" w:type="dxa"/>
                </w:tcPr>
                <w:p w:rsidR="006E391F" w:rsidRPr="00BC1144" w:rsidRDefault="006E391F" w:rsidP="00336FA0">
                  <w:pPr>
                    <w:pStyle w:val="Box"/>
                    <w:spacing w:before="0"/>
                    <w:jc w:val="left"/>
                  </w:pPr>
                  <w:r w:rsidRPr="00BC1144">
                    <w:t>University enrolment data.</w:t>
                  </w:r>
                </w:p>
              </w:tc>
              <w:tc>
                <w:tcPr>
                  <w:tcW w:w="3677" w:type="dxa"/>
                </w:tcPr>
                <w:p w:rsidR="006E391F" w:rsidRPr="00BC1144" w:rsidRDefault="006E391F" w:rsidP="00336FA0">
                  <w:pPr>
                    <w:pStyle w:val="Box"/>
                    <w:spacing w:before="0"/>
                    <w:jc w:val="left"/>
                  </w:pPr>
                  <w:r w:rsidRPr="00BC1144">
                    <w:t>Self</w:t>
                  </w:r>
                  <w:r w:rsidRPr="00BC1144">
                    <w:noBreakHyphen/>
                    <w:t>completed questionnaires.</w:t>
                  </w:r>
                </w:p>
              </w:tc>
            </w:tr>
            <w:tr w:rsidR="006E391F" w:rsidRPr="00BC1144" w:rsidTr="00336FA0">
              <w:tc>
                <w:tcPr>
                  <w:tcW w:w="1573" w:type="dxa"/>
                  <w:shd w:val="clear" w:color="auto" w:fill="D9D9D9" w:themeFill="background1" w:themeFillShade="D9"/>
                </w:tcPr>
                <w:p w:rsidR="006E391F" w:rsidRPr="00BC1144" w:rsidRDefault="006E391F" w:rsidP="00DC5BB6">
                  <w:pPr>
                    <w:pStyle w:val="Box"/>
                    <w:spacing w:before="0"/>
                    <w:jc w:val="left"/>
                  </w:pPr>
                  <w:r w:rsidRPr="00BC1144">
                    <w:t>Student type scope</w:t>
                  </w:r>
                </w:p>
              </w:tc>
              <w:tc>
                <w:tcPr>
                  <w:tcW w:w="3255" w:type="dxa"/>
                  <w:shd w:val="clear" w:color="auto" w:fill="D9D9D9" w:themeFill="background1" w:themeFillShade="D9"/>
                </w:tcPr>
                <w:p w:rsidR="006E391F" w:rsidRPr="00BC1144" w:rsidRDefault="006E391F" w:rsidP="00336FA0">
                  <w:pPr>
                    <w:pStyle w:val="Box"/>
                    <w:spacing w:before="0"/>
                    <w:jc w:val="left"/>
                  </w:pPr>
                  <w:r w:rsidRPr="00BC1144">
                    <w:t>‘Domestic’ university students defined mainly by citizenship or permanent residency.</w:t>
                  </w:r>
                </w:p>
              </w:tc>
              <w:tc>
                <w:tcPr>
                  <w:tcW w:w="3677" w:type="dxa"/>
                  <w:shd w:val="clear" w:color="auto" w:fill="D9D9D9" w:themeFill="background1" w:themeFillShade="D9"/>
                </w:tcPr>
                <w:p w:rsidR="006E391F" w:rsidRPr="00BC1144" w:rsidRDefault="006E391F" w:rsidP="00336FA0">
                  <w:pPr>
                    <w:pStyle w:val="Box"/>
                    <w:spacing w:before="0"/>
                    <w:jc w:val="left"/>
                  </w:pPr>
                  <w:r w:rsidRPr="00BC1144">
                    <w:t>All students in Australian schools at age 15 years are assumed to be eligible to be treated as domestic university students.</w:t>
                  </w:r>
                </w:p>
              </w:tc>
            </w:tr>
            <w:tr w:rsidR="006E391F" w:rsidRPr="00BC1144" w:rsidTr="00336FA0">
              <w:tc>
                <w:tcPr>
                  <w:tcW w:w="1573" w:type="dxa"/>
                  <w:shd w:val="clear" w:color="auto" w:fill="auto"/>
                </w:tcPr>
                <w:p w:rsidR="006E391F" w:rsidRPr="00BC1144" w:rsidRDefault="006E391F" w:rsidP="00DC5BB6">
                  <w:pPr>
                    <w:pStyle w:val="Box"/>
                    <w:spacing w:before="0"/>
                    <w:jc w:val="left"/>
                  </w:pPr>
                  <w:r w:rsidRPr="00BC1144">
                    <w:t>Student age scope</w:t>
                  </w:r>
                </w:p>
              </w:tc>
              <w:tc>
                <w:tcPr>
                  <w:tcW w:w="3255" w:type="dxa"/>
                  <w:shd w:val="clear" w:color="auto" w:fill="auto"/>
                </w:tcPr>
                <w:p w:rsidR="006E391F" w:rsidRPr="00BC1144" w:rsidRDefault="006E391F" w:rsidP="00336FA0">
                  <w:pPr>
                    <w:pStyle w:val="Box"/>
                    <w:spacing w:before="0"/>
                    <w:jc w:val="left"/>
                  </w:pPr>
                  <w:r w:rsidRPr="00BC1144">
                    <w:t>University attendance is for a single year of age.</w:t>
                  </w:r>
                </w:p>
              </w:tc>
              <w:tc>
                <w:tcPr>
                  <w:tcW w:w="3677" w:type="dxa"/>
                  <w:shd w:val="clear" w:color="auto" w:fill="auto"/>
                </w:tcPr>
                <w:p w:rsidR="006E391F" w:rsidRPr="00BC1144" w:rsidRDefault="006E391F" w:rsidP="00336FA0">
                  <w:pPr>
                    <w:pStyle w:val="Box"/>
                    <w:spacing w:before="0"/>
                    <w:jc w:val="left"/>
                  </w:pPr>
                  <w:r w:rsidRPr="00BC1144">
                    <w:t>University attendance for cohorts of people at any point between the ages 15 and 22 years.</w:t>
                  </w:r>
                </w:p>
              </w:tc>
            </w:tr>
            <w:tr w:rsidR="006E391F" w:rsidRPr="00BC1144" w:rsidTr="00336FA0">
              <w:tc>
                <w:tcPr>
                  <w:tcW w:w="1573" w:type="dxa"/>
                  <w:shd w:val="clear" w:color="auto" w:fill="D9D9D9" w:themeFill="background1" w:themeFillShade="D9"/>
                </w:tcPr>
                <w:p w:rsidR="006E391F" w:rsidRPr="00BC1144" w:rsidRDefault="006E391F" w:rsidP="00DC5BB6">
                  <w:pPr>
                    <w:pStyle w:val="Box"/>
                    <w:spacing w:before="0"/>
                    <w:jc w:val="left"/>
                  </w:pPr>
                  <w:r w:rsidRPr="00BC1144">
                    <w:t>Location</w:t>
                  </w:r>
                </w:p>
              </w:tc>
              <w:tc>
                <w:tcPr>
                  <w:tcW w:w="3255" w:type="dxa"/>
                  <w:shd w:val="clear" w:color="auto" w:fill="D9D9D9" w:themeFill="background1" w:themeFillShade="D9"/>
                </w:tcPr>
                <w:p w:rsidR="006E391F" w:rsidRPr="00BC1144" w:rsidRDefault="006E391F" w:rsidP="00336FA0">
                  <w:pPr>
                    <w:pStyle w:val="Box"/>
                    <w:spacing w:before="0"/>
                    <w:jc w:val="left"/>
                  </w:pPr>
                  <w:r w:rsidRPr="00BC1144">
                    <w:t>Regional or remote status coded based on permanent (i.e. out of semester) address.</w:t>
                  </w:r>
                </w:p>
              </w:tc>
              <w:tc>
                <w:tcPr>
                  <w:tcW w:w="3677" w:type="dxa"/>
                  <w:shd w:val="clear" w:color="auto" w:fill="D9D9D9" w:themeFill="background1" w:themeFillShade="D9"/>
                </w:tcPr>
                <w:p w:rsidR="006E391F" w:rsidRPr="00BC1144" w:rsidRDefault="006E391F" w:rsidP="00DC5BB6">
                  <w:pPr>
                    <w:pStyle w:val="Box"/>
                    <w:spacing w:before="0"/>
                    <w:jc w:val="left"/>
                  </w:pPr>
                  <w:r w:rsidRPr="00BC1144">
                    <w:t>Regional or remote status coded based on place of residence at age 15</w:t>
                  </w:r>
                  <w:r w:rsidR="00DC5BB6" w:rsidRPr="00BC1144">
                    <w:t> </w:t>
                  </w:r>
                  <w:r w:rsidRPr="00BC1144">
                    <w:t>years.</w:t>
                  </w:r>
                </w:p>
              </w:tc>
            </w:tr>
            <w:tr w:rsidR="006E391F" w:rsidRPr="00BC1144" w:rsidTr="00C92EBF">
              <w:tc>
                <w:tcPr>
                  <w:tcW w:w="1573" w:type="dxa"/>
                  <w:shd w:val="clear" w:color="auto" w:fill="auto"/>
                </w:tcPr>
                <w:p w:rsidR="006E391F" w:rsidRPr="00BC1144" w:rsidDel="002C0260" w:rsidRDefault="006E391F" w:rsidP="00DC5BB6">
                  <w:pPr>
                    <w:pStyle w:val="Box"/>
                    <w:spacing w:before="0"/>
                    <w:jc w:val="left"/>
                  </w:pPr>
                  <w:r w:rsidRPr="00BC1144">
                    <w:t>Socioeconomic status</w:t>
                  </w:r>
                </w:p>
              </w:tc>
              <w:tc>
                <w:tcPr>
                  <w:tcW w:w="3255" w:type="dxa"/>
                  <w:shd w:val="clear" w:color="auto" w:fill="auto"/>
                </w:tcPr>
                <w:p w:rsidR="006E391F" w:rsidRPr="00BC1144" w:rsidRDefault="006E391F" w:rsidP="00336FA0">
                  <w:pPr>
                    <w:pStyle w:val="Box"/>
                    <w:spacing w:before="0"/>
                    <w:jc w:val="left"/>
                  </w:pPr>
                  <w:r w:rsidRPr="00BC1144">
                    <w:t>Coded based on permanent address linked to the Australian Bureau of Statistics Socio</w:t>
                  </w:r>
                  <w:r w:rsidRPr="00BC1144">
                    <w:noBreakHyphen/>
                    <w:t>Economic Indexes for Areas Index of Education and Occupation.</w:t>
                  </w:r>
                </w:p>
              </w:tc>
              <w:tc>
                <w:tcPr>
                  <w:tcW w:w="3677" w:type="dxa"/>
                  <w:shd w:val="clear" w:color="auto" w:fill="auto"/>
                </w:tcPr>
                <w:p w:rsidR="006E391F" w:rsidRPr="00BC1144" w:rsidRDefault="006E391F" w:rsidP="00336FA0">
                  <w:pPr>
                    <w:pStyle w:val="Box"/>
                    <w:spacing w:before="0"/>
                    <w:jc w:val="left"/>
                  </w:pPr>
                  <w:r w:rsidRPr="00BC1144">
                    <w:t>Coded based on the highest ranking parental occupation (using ANU3 score in 1995 and 1998 and International Standard Classification of Occupations score in 2003, 2006 and 2009).</w:t>
                  </w:r>
                </w:p>
              </w:tc>
            </w:tr>
            <w:tr w:rsidR="006E391F" w:rsidRPr="00BC1144" w:rsidTr="00C92EBF">
              <w:tc>
                <w:tcPr>
                  <w:tcW w:w="1573" w:type="dxa"/>
                  <w:tcBorders>
                    <w:bottom w:val="single" w:sz="6" w:space="0" w:color="BFBFBF"/>
                  </w:tcBorders>
                  <w:shd w:val="clear" w:color="auto" w:fill="D9D9D9" w:themeFill="background1" w:themeFillShade="D9"/>
                </w:tcPr>
                <w:p w:rsidR="006E391F" w:rsidRPr="00BC1144" w:rsidRDefault="006E391F" w:rsidP="00336FA0">
                  <w:pPr>
                    <w:pStyle w:val="Box"/>
                    <w:spacing w:before="0"/>
                  </w:pPr>
                  <w:r w:rsidRPr="00BC1144">
                    <w:t>First in family</w:t>
                  </w:r>
                </w:p>
              </w:tc>
              <w:tc>
                <w:tcPr>
                  <w:tcW w:w="3255" w:type="dxa"/>
                  <w:tcBorders>
                    <w:bottom w:val="single" w:sz="6" w:space="0" w:color="BFBFBF"/>
                  </w:tcBorders>
                  <w:shd w:val="clear" w:color="auto" w:fill="D9D9D9" w:themeFill="background1" w:themeFillShade="D9"/>
                </w:tcPr>
                <w:p w:rsidR="006E391F" w:rsidRPr="00BC1144" w:rsidRDefault="006E391F" w:rsidP="00336FA0">
                  <w:pPr>
                    <w:pStyle w:val="Box"/>
                    <w:spacing w:before="0"/>
                    <w:jc w:val="left"/>
                  </w:pPr>
                  <w:r w:rsidRPr="00BC1144">
                    <w:t>First in family not included.</w:t>
                  </w:r>
                </w:p>
              </w:tc>
              <w:tc>
                <w:tcPr>
                  <w:tcW w:w="3677" w:type="dxa"/>
                  <w:tcBorders>
                    <w:bottom w:val="single" w:sz="6" w:space="0" w:color="BFBFBF"/>
                  </w:tcBorders>
                  <w:shd w:val="clear" w:color="auto" w:fill="D9D9D9" w:themeFill="background1" w:themeFillShade="D9"/>
                </w:tcPr>
                <w:p w:rsidR="006E391F" w:rsidRPr="00BC1144" w:rsidRDefault="006E391F" w:rsidP="00C92EBF">
                  <w:pPr>
                    <w:pStyle w:val="Box"/>
                    <w:spacing w:before="0" w:after="40"/>
                    <w:jc w:val="left"/>
                  </w:pPr>
                  <w:r w:rsidRPr="00BC1144">
                    <w:t>First in family coded based on whether or not either parent has a university degree.</w:t>
                  </w:r>
                </w:p>
              </w:tc>
            </w:tr>
          </w:tbl>
          <w:p w:rsidR="006E391F" w:rsidRPr="00BC1144" w:rsidRDefault="006E391F" w:rsidP="00DC5BB6">
            <w:pPr>
              <w:pStyle w:val="Box"/>
              <w:spacing w:after="40"/>
            </w:pPr>
            <w:r w:rsidRPr="00BC1144">
              <w:t>Inevitably, there are some differences in university participation rates across the two data sets though these differences are quite modest. For example, the number of university students from ages 18 to 22 years in the 2009 LSAY cohort (after applying population weights) were between 3 and 14 per cent higher than the corresponding single year of age student numbers based on administrative data.</w:t>
            </w:r>
            <w:r w:rsidRPr="00BC1144" w:rsidDel="00287A15">
              <w:t xml:space="preserve"> </w:t>
            </w:r>
            <w:r w:rsidRPr="00BC1144">
              <w:t>These higher student numbers may reflect the LSAY sample design (for example, differences over what constitutes a domestic student) or attrition (as students with the lowest literacy and numeracy generally attrit, an effect that is not completely addressed through reweighting of the sample).</w:t>
            </w: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p>
    <w:p w:rsidR="006E391F" w:rsidRPr="00BC1144" w:rsidRDefault="006E391F" w:rsidP="00336FA0">
      <w:pPr>
        <w:pStyle w:val="BoxSpaceAbove"/>
      </w:pPr>
      <w:r w:rsidRPr="00BC1144" w:rsidDel="007D41F7">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2</w:t>
            </w:r>
            <w:r w:rsidRPr="00BC1144">
              <w:tab/>
              <w:t>University participation by age 22 years</w:t>
            </w:r>
          </w:p>
          <w:p w:rsidR="006E391F" w:rsidRPr="00BC1144" w:rsidRDefault="006E391F" w:rsidP="00336FA0">
            <w:pPr>
              <w:pStyle w:val="Subtitle"/>
            </w:pPr>
            <w:r w:rsidRPr="00BC1144">
              <w:t>Participation rates by equity group</w:t>
            </w:r>
            <w:r w:rsidRPr="00BC1144">
              <w:rPr>
                <w:rStyle w:val="NoteLabel"/>
                <w:b w:val="0"/>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0A75F48" wp14:editId="5FFF3AED">
                        <wp:extent cx="5400346" cy="2880153"/>
                        <wp:effectExtent l="0" t="0" r="0" b="0"/>
                        <wp:docPr id="33" name="Picture 33" descr="Figure 3.2 shows university participation rates for indigenous, low socioeconomic status, regional or remote, first in family and non-equity group students by age 22 years in 2010, 2013 and 2016. University participation for indigenous or regional remote people was relatively unchanged between 2010 and 2016. First in family people experienced a modest improvement, while low socioeconomic status and people not from an equity group experienced the most significant increases in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3_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The ‘no equity group’ category consists of those individuals who are non</w:t>
            </w:r>
            <w:r w:rsidRPr="00BC1144">
              <w:noBreakHyphen/>
              <w:t xml:space="preserve">Indigenous, from a metropolitan location, from the top three SES quartiles and who are not first in family. </w:t>
            </w:r>
            <w:r w:rsidRPr="00BC1144">
              <w:rPr>
                <w:rStyle w:val="NoteLabel"/>
              </w:rPr>
              <w:t>b</w:t>
            </w:r>
            <w:r w:rsidRPr="00BC1144">
              <w:t xml:space="preserve"> Participation is defined as the share of school students from that equity group who responded that they were studying a bachelor degree at any point up to the 8</w:t>
            </w:r>
            <w:r w:rsidRPr="00BC1144">
              <w:rPr>
                <w:vertAlign w:val="superscript"/>
              </w:rPr>
              <w:t>th</w:t>
            </w:r>
            <w:r w:rsidRPr="00BC1144">
              <w:t xml:space="preserve"> wave of the cohort, which is up to approximately age 22 years.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These trends flowed through to modest changes in the overall composition of university students as a group (table 3.1). There were increases in the share of students from some equity groups (low SES, first in family, Indigenous), but a decline in the share of students from regional or remote areas. Overall, the proportion of students from any of these four equity groups declined slightly over the period. These patterns reflect changes in both participation rates and the size of these groups in the population.</w:t>
      </w:r>
      <w:r w:rsidRPr="00BC1144">
        <w:rPr>
          <w:rStyle w:val="FootnoteReference"/>
        </w:rPr>
        <w:footnoteReference w:id="10"/>
      </w:r>
      <w:r w:rsidRPr="00BC1144">
        <w:t xml:space="preserve"> </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lastRenderedPageBreak/>
              <w:t>Table 3.</w:t>
            </w:r>
            <w:r w:rsidRPr="00BC1144">
              <w:rPr>
                <w:b w:val="0"/>
                <w:noProof/>
              </w:rPr>
              <w:t>1</w:t>
            </w:r>
            <w:r w:rsidRPr="00BC1144">
              <w:tab/>
              <w:t>The equity group composition of university students</w:t>
            </w:r>
          </w:p>
          <w:p w:rsidR="006E391F" w:rsidRPr="00BC1144" w:rsidRDefault="006E391F" w:rsidP="00336FA0">
            <w:pPr>
              <w:pStyle w:val="TableBodyText"/>
              <w:spacing w:after="80" w:line="200" w:lineRule="exact"/>
              <w:ind w:left="1474" w:right="0"/>
              <w:jc w:val="left"/>
            </w:pPr>
            <w:r w:rsidRPr="00BC1144">
              <w:rPr>
                <w:rFonts w:eastAsiaTheme="minorHAnsi" w:cstheme="minorBidi"/>
                <w:sz w:val="20"/>
                <w:szCs w:val="22"/>
                <w:lang w:eastAsia="en-US"/>
              </w:rPr>
              <w:t>Share of those who attended university by age 22 years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842"/>
              <w:gridCol w:w="2126"/>
              <w:gridCol w:w="2126"/>
            </w:tblGrid>
            <w:tr w:rsidR="006E391F" w:rsidRPr="00BC1144" w:rsidTr="00336FA0">
              <w:trPr>
                <w:tblHeader/>
              </w:trPr>
              <w:tc>
                <w:tcPr>
                  <w:tcW w:w="1417"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Equity group</w:t>
                  </w:r>
                </w:p>
              </w:tc>
              <w:tc>
                <w:tcPr>
                  <w:tcW w:w="1083" w:type="pct"/>
                  <w:tcBorders>
                    <w:top w:val="single" w:sz="6" w:space="0" w:color="BFBFBF"/>
                    <w:bottom w:val="single" w:sz="6" w:space="0" w:color="BFBFBF"/>
                  </w:tcBorders>
                </w:tcPr>
                <w:p w:rsidR="006E391F" w:rsidRPr="00BC1144" w:rsidRDefault="006E391F" w:rsidP="00336FA0">
                  <w:pPr>
                    <w:pStyle w:val="TableColumnHeading"/>
                  </w:pPr>
                  <w:r w:rsidRPr="00BC1144">
                    <w:t>All students</w:t>
                  </w:r>
                  <w:r w:rsidRPr="00BC1144">
                    <w:br/>
                    <w:t xml:space="preserve"> 2010</w:t>
                  </w:r>
                </w:p>
              </w:tc>
              <w:tc>
                <w:tcPr>
                  <w:tcW w:w="125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Additional students</w:t>
                  </w:r>
                  <w:r w:rsidRPr="00BC1144">
                    <w:br/>
                    <w:t>2016</w:t>
                  </w:r>
                </w:p>
              </w:tc>
              <w:tc>
                <w:tcPr>
                  <w:tcW w:w="125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All students</w:t>
                  </w:r>
                  <w:r w:rsidRPr="00BC1144">
                    <w:br/>
                    <w:t xml:space="preserve"> 2016</w:t>
                  </w:r>
                </w:p>
              </w:tc>
            </w:tr>
            <w:tr w:rsidR="006E391F" w:rsidRPr="00BC1144" w:rsidTr="00336FA0">
              <w:tc>
                <w:tcPr>
                  <w:tcW w:w="1417" w:type="pct"/>
                  <w:tcBorders>
                    <w:top w:val="single" w:sz="6" w:space="0" w:color="BFBFBF"/>
                  </w:tcBorders>
                  <w:shd w:val="clear" w:color="auto" w:fill="auto"/>
                </w:tcPr>
                <w:p w:rsidR="006E391F" w:rsidRPr="00BC1144" w:rsidRDefault="006E391F" w:rsidP="00336FA0">
                  <w:pPr>
                    <w:pStyle w:val="TableUnitsRow"/>
                    <w:jc w:val="left"/>
                  </w:pPr>
                </w:p>
              </w:tc>
              <w:tc>
                <w:tcPr>
                  <w:tcW w:w="1083" w:type="pct"/>
                  <w:tcBorders>
                    <w:top w:val="single" w:sz="6" w:space="0" w:color="BFBFBF"/>
                  </w:tcBorders>
                  <w:shd w:val="clear" w:color="auto" w:fill="auto"/>
                </w:tcPr>
                <w:p w:rsidR="006E391F" w:rsidRPr="00BC1144" w:rsidRDefault="006E391F" w:rsidP="00336FA0">
                  <w:pPr>
                    <w:pStyle w:val="TableUnitsRow"/>
                  </w:pPr>
                  <w:r w:rsidRPr="00BC1144">
                    <w:t>%</w:t>
                  </w:r>
                </w:p>
              </w:tc>
              <w:tc>
                <w:tcPr>
                  <w:tcW w:w="1250" w:type="pct"/>
                  <w:tcBorders>
                    <w:top w:val="single" w:sz="6" w:space="0" w:color="BFBFBF"/>
                  </w:tcBorders>
                  <w:shd w:val="clear" w:color="auto" w:fill="auto"/>
                </w:tcPr>
                <w:p w:rsidR="006E391F" w:rsidRPr="00BC1144" w:rsidRDefault="006E391F" w:rsidP="00336FA0">
                  <w:pPr>
                    <w:pStyle w:val="TableUnitsRow"/>
                  </w:pPr>
                  <w:r w:rsidRPr="00BC1144">
                    <w:t>%</w:t>
                  </w:r>
                </w:p>
              </w:tc>
              <w:tc>
                <w:tcPr>
                  <w:tcW w:w="1250" w:type="pct"/>
                  <w:tcBorders>
                    <w:top w:val="single" w:sz="6" w:space="0" w:color="BFBFBF"/>
                  </w:tcBorders>
                  <w:shd w:val="clear" w:color="auto" w:fill="auto"/>
                </w:tcPr>
                <w:p w:rsidR="006E391F" w:rsidRPr="00BC1144" w:rsidRDefault="006E391F" w:rsidP="00336FA0">
                  <w:pPr>
                    <w:pStyle w:val="TableUnitsRow"/>
                  </w:pPr>
                  <w:r w:rsidRPr="00BC1144">
                    <w:t>%</w:t>
                  </w:r>
                </w:p>
              </w:tc>
            </w:tr>
            <w:tr w:rsidR="006E391F" w:rsidRPr="00BC1144" w:rsidTr="001420B1">
              <w:tc>
                <w:tcPr>
                  <w:tcW w:w="1417" w:type="pct"/>
                  <w:tcBorders>
                    <w:top w:val="single" w:sz="6" w:space="0" w:color="BFBFBF"/>
                  </w:tcBorders>
                  <w:shd w:val="clear" w:color="auto" w:fill="D9D9D9" w:themeFill="background1" w:themeFillShade="D9"/>
                </w:tcPr>
                <w:p w:rsidR="006E391F" w:rsidRPr="00BC1144" w:rsidRDefault="006E391F" w:rsidP="00336FA0">
                  <w:pPr>
                    <w:pStyle w:val="TableBodyText"/>
                    <w:jc w:val="left"/>
                  </w:pPr>
                  <w:r w:rsidRPr="00BC1144">
                    <w:t>First in family</w:t>
                  </w:r>
                </w:p>
              </w:tc>
              <w:tc>
                <w:tcPr>
                  <w:tcW w:w="1083" w:type="pct"/>
                  <w:tcBorders>
                    <w:top w:val="single" w:sz="6" w:space="0" w:color="BFBFBF"/>
                  </w:tcBorders>
                  <w:shd w:val="clear" w:color="auto" w:fill="D9D9D9" w:themeFill="background1" w:themeFillShade="D9"/>
                </w:tcPr>
                <w:p w:rsidR="006E391F" w:rsidRPr="00BC1144" w:rsidRDefault="006E391F" w:rsidP="00336FA0">
                  <w:pPr>
                    <w:pStyle w:val="TableBodyText"/>
                  </w:pPr>
                  <w:r w:rsidRPr="00BC1144">
                    <w:t>45.7</w:t>
                  </w:r>
                </w:p>
              </w:tc>
              <w:tc>
                <w:tcPr>
                  <w:tcW w:w="1250" w:type="pct"/>
                  <w:tcBorders>
                    <w:top w:val="single" w:sz="6" w:space="0" w:color="BFBFBF"/>
                  </w:tcBorders>
                  <w:shd w:val="clear" w:color="auto" w:fill="D9D9D9" w:themeFill="background1" w:themeFillShade="D9"/>
                </w:tcPr>
                <w:p w:rsidR="006E391F" w:rsidRPr="00BC1144" w:rsidRDefault="006E391F" w:rsidP="00336FA0">
                  <w:pPr>
                    <w:pStyle w:val="TableUnitsRow"/>
                  </w:pPr>
                  <w:r w:rsidRPr="00BC1144">
                    <w:t>64.6</w:t>
                  </w:r>
                </w:p>
              </w:tc>
              <w:tc>
                <w:tcPr>
                  <w:tcW w:w="1250" w:type="pct"/>
                  <w:tcBorders>
                    <w:top w:val="single" w:sz="6" w:space="0" w:color="BFBFBF"/>
                  </w:tcBorders>
                  <w:shd w:val="clear" w:color="auto" w:fill="D9D9D9" w:themeFill="background1" w:themeFillShade="D9"/>
                </w:tcPr>
                <w:p w:rsidR="006E391F" w:rsidRPr="00BC1144" w:rsidRDefault="006E391F" w:rsidP="00336FA0">
                  <w:pPr>
                    <w:pStyle w:val="TableUnitsRow"/>
                  </w:pPr>
                  <w:r w:rsidRPr="00BC1144">
                    <w:t>46.9</w:t>
                  </w:r>
                </w:p>
              </w:tc>
            </w:tr>
            <w:tr w:rsidR="006E391F" w:rsidRPr="00BC1144" w:rsidTr="00336FA0">
              <w:tc>
                <w:tcPr>
                  <w:tcW w:w="1417" w:type="pct"/>
                </w:tcPr>
                <w:p w:rsidR="006E391F" w:rsidRPr="00BC1144" w:rsidRDefault="006E391F" w:rsidP="00336FA0">
                  <w:pPr>
                    <w:pStyle w:val="TableBodyText"/>
                    <w:jc w:val="left"/>
                  </w:pPr>
                  <w:r w:rsidRPr="00BC1144">
                    <w:t>Regional or remote</w:t>
                  </w:r>
                </w:p>
              </w:tc>
              <w:tc>
                <w:tcPr>
                  <w:tcW w:w="1083" w:type="pct"/>
                </w:tcPr>
                <w:p w:rsidR="006E391F" w:rsidRPr="00BC1144" w:rsidRDefault="006E391F" w:rsidP="00336FA0">
                  <w:pPr>
                    <w:pStyle w:val="TableBodyText"/>
                  </w:pPr>
                  <w:r w:rsidRPr="00BC1144">
                    <w:t>27.2</w:t>
                  </w:r>
                </w:p>
              </w:tc>
              <w:tc>
                <w:tcPr>
                  <w:tcW w:w="1250" w:type="pct"/>
                </w:tcPr>
                <w:p w:rsidR="006E391F" w:rsidRPr="00BC1144" w:rsidRDefault="006E391F" w:rsidP="00336FA0">
                  <w:pPr>
                    <w:pStyle w:val="TableBodyText"/>
                  </w:pPr>
                  <w:r w:rsidRPr="00BC1144">
                    <w:t>17.7</w:t>
                  </w:r>
                </w:p>
              </w:tc>
              <w:tc>
                <w:tcPr>
                  <w:tcW w:w="1250" w:type="pct"/>
                </w:tcPr>
                <w:p w:rsidR="006E391F" w:rsidRPr="00BC1144" w:rsidRDefault="006E391F" w:rsidP="00336FA0">
                  <w:pPr>
                    <w:pStyle w:val="TableBodyText"/>
                  </w:pPr>
                  <w:r w:rsidRPr="00BC1144">
                    <w:t>24.4</w:t>
                  </w:r>
                </w:p>
              </w:tc>
            </w:tr>
            <w:tr w:rsidR="006E391F" w:rsidRPr="00BC1144" w:rsidTr="001420B1">
              <w:tc>
                <w:tcPr>
                  <w:tcW w:w="1417" w:type="pct"/>
                  <w:shd w:val="clear" w:color="auto" w:fill="D9D9D9" w:themeFill="background1" w:themeFillShade="D9"/>
                </w:tcPr>
                <w:p w:rsidR="006E391F" w:rsidRPr="00BC1144" w:rsidRDefault="006E391F" w:rsidP="00336FA0">
                  <w:pPr>
                    <w:pStyle w:val="TableBodyText"/>
                    <w:jc w:val="left"/>
                  </w:pPr>
                  <w:r w:rsidRPr="00BC1144">
                    <w:t>Low socioeconomic status</w:t>
                  </w:r>
                </w:p>
              </w:tc>
              <w:tc>
                <w:tcPr>
                  <w:tcW w:w="1083" w:type="pct"/>
                  <w:shd w:val="clear" w:color="auto" w:fill="D9D9D9" w:themeFill="background1" w:themeFillShade="D9"/>
                </w:tcPr>
                <w:p w:rsidR="006E391F" w:rsidRPr="00BC1144" w:rsidRDefault="006E391F" w:rsidP="00336FA0">
                  <w:pPr>
                    <w:pStyle w:val="TableBodyText"/>
                  </w:pPr>
                  <w:r w:rsidRPr="00BC1144">
                    <w:t>15.6</w:t>
                  </w:r>
                </w:p>
              </w:tc>
              <w:tc>
                <w:tcPr>
                  <w:tcW w:w="1250" w:type="pct"/>
                  <w:shd w:val="clear" w:color="auto" w:fill="D9D9D9" w:themeFill="background1" w:themeFillShade="D9"/>
                </w:tcPr>
                <w:p w:rsidR="006E391F" w:rsidRPr="00BC1144" w:rsidRDefault="006E391F" w:rsidP="00336FA0">
                  <w:pPr>
                    <w:pStyle w:val="TableBodyText"/>
                  </w:pPr>
                  <w:r w:rsidRPr="00BC1144">
                    <w:t>32.3</w:t>
                  </w:r>
                </w:p>
              </w:tc>
              <w:tc>
                <w:tcPr>
                  <w:tcW w:w="1250" w:type="pct"/>
                  <w:shd w:val="clear" w:color="auto" w:fill="D9D9D9" w:themeFill="background1" w:themeFillShade="D9"/>
                </w:tcPr>
                <w:p w:rsidR="006E391F" w:rsidRPr="00BC1144" w:rsidRDefault="006E391F" w:rsidP="00336FA0">
                  <w:pPr>
                    <w:pStyle w:val="TableBodyText"/>
                  </w:pPr>
                  <w:r w:rsidRPr="00BC1144">
                    <w:t>16.0</w:t>
                  </w:r>
                </w:p>
              </w:tc>
            </w:tr>
            <w:tr w:rsidR="006E391F" w:rsidRPr="00BC1144" w:rsidTr="00336FA0">
              <w:tc>
                <w:tcPr>
                  <w:tcW w:w="1417" w:type="pct"/>
                </w:tcPr>
                <w:p w:rsidR="006E391F" w:rsidRPr="00BC1144" w:rsidRDefault="006E391F" w:rsidP="00336FA0">
                  <w:pPr>
                    <w:pStyle w:val="TableBodyText"/>
                    <w:jc w:val="left"/>
                  </w:pPr>
                  <w:r w:rsidRPr="00BC1144">
                    <w:t>Indigenous</w:t>
                  </w:r>
                </w:p>
              </w:tc>
              <w:tc>
                <w:tcPr>
                  <w:tcW w:w="1083" w:type="pct"/>
                </w:tcPr>
                <w:p w:rsidR="006E391F" w:rsidRPr="00BC1144" w:rsidRDefault="006E391F" w:rsidP="00336FA0">
                  <w:pPr>
                    <w:pStyle w:val="TableBodyText"/>
                  </w:pPr>
                  <w:r w:rsidRPr="00BC1144">
                    <w:t>1.0</w:t>
                  </w:r>
                </w:p>
              </w:tc>
              <w:tc>
                <w:tcPr>
                  <w:tcW w:w="1250" w:type="pct"/>
                </w:tcPr>
                <w:p w:rsidR="006E391F" w:rsidRPr="00BC1144" w:rsidRDefault="006E391F" w:rsidP="00336FA0">
                  <w:pPr>
                    <w:pStyle w:val="TableBodyText"/>
                  </w:pPr>
                  <w:r w:rsidRPr="00BC1144">
                    <w:t>1.6</w:t>
                  </w:r>
                </w:p>
              </w:tc>
              <w:tc>
                <w:tcPr>
                  <w:tcW w:w="1250" w:type="pct"/>
                </w:tcPr>
                <w:p w:rsidR="006E391F" w:rsidRPr="00BC1144" w:rsidRDefault="006E391F" w:rsidP="00336FA0">
                  <w:pPr>
                    <w:pStyle w:val="TableBodyText"/>
                  </w:pPr>
                  <w:r w:rsidRPr="00BC1144">
                    <w:t>1.2</w:t>
                  </w:r>
                </w:p>
              </w:tc>
            </w:tr>
            <w:tr w:rsidR="006E391F" w:rsidRPr="00BC1144" w:rsidTr="001420B1">
              <w:tc>
                <w:tcPr>
                  <w:tcW w:w="1417" w:type="pct"/>
                  <w:tcBorders>
                    <w:bottom w:val="single" w:sz="6" w:space="0" w:color="BFBFBF"/>
                  </w:tcBorders>
                  <w:shd w:val="clear" w:color="auto" w:fill="D9D9D9" w:themeFill="background1" w:themeFillShade="D9"/>
                </w:tcPr>
                <w:p w:rsidR="006E391F" w:rsidRPr="00BC1144" w:rsidRDefault="006E391F" w:rsidP="00336FA0">
                  <w:pPr>
                    <w:pStyle w:val="TableBodyText"/>
                    <w:jc w:val="left"/>
                  </w:pPr>
                  <w:r w:rsidRPr="00BC1144">
                    <w:t>No equity group</w:t>
                  </w:r>
                </w:p>
              </w:tc>
              <w:tc>
                <w:tcPr>
                  <w:tcW w:w="1083" w:type="pct"/>
                  <w:tcBorders>
                    <w:bottom w:val="single" w:sz="6" w:space="0" w:color="BFBFBF"/>
                  </w:tcBorders>
                  <w:shd w:val="clear" w:color="auto" w:fill="D9D9D9" w:themeFill="background1" w:themeFillShade="D9"/>
                </w:tcPr>
                <w:p w:rsidR="006E391F" w:rsidRPr="00BC1144" w:rsidRDefault="006E391F" w:rsidP="00336FA0">
                  <w:pPr>
                    <w:pStyle w:val="TableBodyText"/>
                  </w:pPr>
                  <w:r w:rsidRPr="00BC1144">
                    <w:t>39.0</w:t>
                  </w:r>
                </w:p>
              </w:tc>
              <w:tc>
                <w:tcPr>
                  <w:tcW w:w="1250" w:type="pct"/>
                  <w:tcBorders>
                    <w:bottom w:val="single" w:sz="6" w:space="0" w:color="BFBFBF"/>
                  </w:tcBorders>
                  <w:shd w:val="clear" w:color="auto" w:fill="D9D9D9" w:themeFill="background1" w:themeFillShade="D9"/>
                </w:tcPr>
                <w:p w:rsidR="006E391F" w:rsidRPr="00BC1144" w:rsidRDefault="006E391F" w:rsidP="00336FA0">
                  <w:pPr>
                    <w:pStyle w:val="TableBodyText"/>
                  </w:pPr>
                  <w:r w:rsidRPr="00BC1144">
                    <w:t>27.0</w:t>
                  </w:r>
                </w:p>
              </w:tc>
              <w:tc>
                <w:tcPr>
                  <w:tcW w:w="1250" w:type="pct"/>
                  <w:tcBorders>
                    <w:bottom w:val="single" w:sz="6" w:space="0" w:color="BFBFBF"/>
                  </w:tcBorders>
                  <w:shd w:val="clear" w:color="auto" w:fill="D9D9D9" w:themeFill="background1" w:themeFillShade="D9"/>
                </w:tcPr>
                <w:p w:rsidR="006E391F" w:rsidRPr="00BC1144" w:rsidRDefault="006E391F" w:rsidP="00336FA0">
                  <w:pPr>
                    <w:pStyle w:val="TableBodyText"/>
                  </w:pPr>
                  <w:r w:rsidRPr="00BC1144">
                    <w:t>40.3</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w:t>
            </w:r>
            <w:r w:rsidRPr="00BC1144">
              <w:rPr>
                <w:spacing w:val="-4"/>
              </w:rPr>
              <w:t>Students may be members of more than one equity group. Data reflect both changes in shares of these groups in the population and changes in participation rates. Additional students are those students who attended as a result of the expansion in university places following the introduction of the demand driven system.</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rFonts w:eastAsiaTheme="minorHAnsi" w:cstheme="minorBidi"/>
                <w:i/>
                <w:lang w:eastAsia="en-US"/>
              </w:rPr>
              <w:t>Source</w:t>
            </w:r>
            <w:r w:rsidRPr="00BC1144">
              <w:rPr>
                <w:rFonts w:eastAsiaTheme="minorHAnsi" w:cstheme="minorBidi"/>
                <w:lang w:eastAsia="en-US"/>
              </w:rPr>
              <w:t>:</w:t>
            </w:r>
            <w:r w:rsidRPr="00BC1144">
              <w:t xml:space="preserve">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41" w:name="_Toc10805447"/>
      <w:r w:rsidRPr="00BC1144">
        <w:t>3.</w:t>
      </w:r>
      <w:r w:rsidRPr="00BC1144">
        <w:rPr>
          <w:noProof/>
        </w:rPr>
        <w:t>2</w:t>
      </w:r>
      <w:r w:rsidRPr="00BC1144">
        <w:tab/>
        <w:t>What explains the remaining gaps in equity group access?</w:t>
      </w:r>
      <w:bookmarkEnd w:id="41"/>
    </w:p>
    <w:p w:rsidR="006E391F" w:rsidRPr="00BC1144" w:rsidRDefault="006E391F" w:rsidP="00E827E9">
      <w:pPr>
        <w:pStyle w:val="BodyText"/>
        <w:spacing w:before="200"/>
      </w:pPr>
      <w:r w:rsidRPr="00BC1144">
        <w:t>The decision to attend university is affected by a range of characteristics such as a student’s achievement at school, the norms of the local community, family and peers, proximity to a campus, and financial considerations. In turn, differences in the typical characteristics of equity groups affect their university participation rates and may contribute to their relative under</w:t>
      </w:r>
      <w:r w:rsidRPr="00BC1144">
        <w:noBreakHyphen/>
        <w:t>representation.</w:t>
      </w:r>
    </w:p>
    <w:p w:rsidR="006E391F" w:rsidRPr="00BC1144" w:rsidRDefault="006E391F" w:rsidP="00E827E9">
      <w:pPr>
        <w:pStyle w:val="BodyText"/>
        <w:spacing w:before="200"/>
      </w:pPr>
      <w:r w:rsidRPr="00BC1144">
        <w:t>Here, we explain the under</w:t>
      </w:r>
      <w:r w:rsidRPr="00BC1144">
        <w:noBreakHyphen/>
        <w:t xml:space="preserve">representation of the equity groups compared with the rest of the population by decomposing the gaps in participation into portions explained by various student characteristics. </w:t>
      </w:r>
    </w:p>
    <w:p w:rsidR="006E391F" w:rsidRPr="00BC1144" w:rsidRDefault="006E391F" w:rsidP="00E827E9">
      <w:pPr>
        <w:pStyle w:val="Heading3"/>
        <w:spacing w:before="360"/>
      </w:pPr>
      <w:bookmarkStart w:id="42" w:name="_Toc10805448"/>
      <w:r w:rsidRPr="00BC1144">
        <w:t>Understanding our decompositions</w:t>
      </w:r>
      <w:bookmarkEnd w:id="42"/>
    </w:p>
    <w:p w:rsidR="006E391F" w:rsidRPr="00BC1144" w:rsidRDefault="006E391F" w:rsidP="00E827E9">
      <w:pPr>
        <w:pStyle w:val="BodyText"/>
        <w:spacing w:before="200"/>
      </w:pPr>
      <w:r w:rsidRPr="00BC1144">
        <w:t>To compare across the cohorts easily, decompositions are displayed as stacked bar charts (figures 3.4 and 3.8), while further detail is provided in appendix B (tables B.6 to B.9). To aid with their interpretation, consider the decomposition results for students from low SES backgrounds in 2010 (figure 3.3).</w:t>
      </w:r>
    </w:p>
    <w:p w:rsidR="006E391F" w:rsidRPr="00BC1144" w:rsidRDefault="006E391F" w:rsidP="00E827E9">
      <w:pPr>
        <w:pStyle w:val="ListBullet"/>
        <w:spacing w:before="100"/>
      </w:pPr>
      <w:r w:rsidRPr="00BC1144">
        <w:t xml:space="preserve">The leftmost bar (light blue) shows the actual university participation rate (37 per cent) for people from a low SES background (referred to as the equity group participation rate in subsequent charts). </w:t>
      </w:r>
    </w:p>
    <w:p w:rsidR="006E391F" w:rsidRPr="00BC1144" w:rsidRDefault="006E391F" w:rsidP="00E827E9">
      <w:pPr>
        <w:pStyle w:val="ListBullet"/>
        <w:spacing w:before="100"/>
      </w:pPr>
      <w:r w:rsidRPr="00BC1144">
        <w:t>The rightmost bar (multi</w:t>
      </w:r>
      <w:r w:rsidRPr="00BC1144">
        <w:noBreakHyphen/>
        <w:t>coloured) shows the participation rate (58 per cent) for people not from a low SES background.</w:t>
      </w:r>
    </w:p>
    <w:p w:rsidR="006E391F" w:rsidRPr="00BC1144" w:rsidRDefault="006E391F" w:rsidP="00E827E9">
      <w:pPr>
        <w:pStyle w:val="ListBullet"/>
        <w:spacing w:before="100"/>
      </w:pPr>
      <w:r w:rsidRPr="00BC1144">
        <w:t>The other coloured bars show the contribution of a variety of factors (for example the characteristics of a student’s school) that explain the under</w:t>
      </w:r>
      <w:r w:rsidRPr="00BC1144">
        <w:noBreakHyphen/>
        <w:t xml:space="preserve">representation of low SES </w:t>
      </w:r>
      <w:r w:rsidRPr="00BC1144">
        <w:lastRenderedPageBreak/>
        <w:t>people at university. Together, the contribution of these factors sum to the 21 percentage point gap between the participation rate of people from low SES backgrounds compared with the rest of the population.</w:t>
      </w:r>
    </w:p>
    <w:p w:rsidR="006E391F" w:rsidRPr="00BC1144" w:rsidRDefault="006E391F" w:rsidP="00E827E9">
      <w:pPr>
        <w:pStyle w:val="ListBullet"/>
        <w:spacing w:before="100"/>
      </w:pPr>
      <w:r w:rsidRPr="00BC1144">
        <w:t>The component labelled ‘group effect’ is the contribution to the gap made solely by being a member of the equity group after controlling for all of the other observable differences between groups in individual, family, school, neighbourhood and geographic characteristics. For example, the group effect for low SES includes any unobserved factors associated with being low SES, which could include discrimination, lower family pressures to go to university, or the role of income constraints on the affordability of university participation.</w:t>
      </w:r>
      <w:r w:rsidRPr="00BC1144">
        <w:rPr>
          <w:rStyle w:val="FootnoteReference"/>
        </w:rPr>
        <w:footnoteReference w:id="11"/>
      </w:r>
      <w:r w:rsidRPr="00BC1144">
        <w:t xml:space="preserve"> </w:t>
      </w:r>
    </w:p>
    <w:p w:rsidR="006E391F" w:rsidRPr="00BC1144" w:rsidRDefault="006E391F" w:rsidP="00E827E9">
      <w:pPr>
        <w:pStyle w:val="ListBullet"/>
        <w:spacing w:before="100"/>
      </w:pPr>
      <w:r w:rsidRPr="00BC1144">
        <w:t>The component labelled ‘other’ includes contributions from characteristics such as gender, state and hours worked while attending school.</w:t>
      </w:r>
    </w:p>
    <w:p w:rsidR="006E391F" w:rsidRPr="00BC1144" w:rsidRDefault="006E391F" w:rsidP="00E827E9">
      <w:pPr>
        <w:pStyle w:val="ListBullet"/>
        <w:spacing w:before="100"/>
      </w:pPr>
      <w:r w:rsidRPr="00BC1144">
        <w:t xml:space="preserve">A negative value in a decomposition means that the component contributes toward </w:t>
      </w:r>
      <w:r w:rsidRPr="00BC1144">
        <w:rPr>
          <w:i/>
        </w:rPr>
        <w:t>closing</w:t>
      </w:r>
      <w:r w:rsidRPr="00BC1144">
        <w:t xml:space="preserve"> the participation gap for that group. For example, the negative value for the group effect in 2016 for people from a low SES background (figure 3.4) implies that, after controlling for their other characteristics, such people are </w:t>
      </w:r>
      <w:r w:rsidRPr="00BC1144">
        <w:rPr>
          <w:i/>
        </w:rPr>
        <w:t>more</w:t>
      </w:r>
      <w:r w:rsidRPr="00BC1144">
        <w:t xml:space="preserve"> likely to go to university than the rest of the population. </w:t>
      </w:r>
    </w:p>
    <w:p w:rsidR="007D1AB6" w:rsidRPr="00BC1144" w:rsidRDefault="007D1AB6" w:rsidP="007D1AB6">
      <w:pPr>
        <w:pStyle w:val="BodyText"/>
      </w:pPr>
      <w:r w:rsidRPr="00BC1144">
        <w:t xml:space="preserve">Poor literacy and numeracy, measured by PISA scores, is the single most important characteristic associated with lower university participation by equity groups (figure 3.4). The education level of students’ parents, where students go to school and the neighbourhood they live in are important too, but to a lesser degree. </w:t>
      </w:r>
    </w:p>
    <w:p w:rsidR="007D1AB6" w:rsidRPr="00BC1144" w:rsidRDefault="007D1AB6" w:rsidP="007D1AB6">
      <w:pPr>
        <w:pStyle w:val="BodyText"/>
      </w:pPr>
      <w:r w:rsidRPr="00BC1144">
        <w:t>Membership of an equity group after controlling for all of these other factors — identified in the charts as ‘group’ contributions — remains a substantial barrier to participation in some cases. Having parents who did not attend university remains a barrier, while growing up in a regional or remote area or being Indigenous may present an increasing barrier. These patterns are discussed in more detail below.</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420B1" w:rsidRPr="00BC1144" w:rsidTr="00DC5BB6">
        <w:trPr>
          <w:tblHeader/>
        </w:trPr>
        <w:tc>
          <w:tcPr>
            <w:tcW w:w="5000" w:type="pct"/>
            <w:tcBorders>
              <w:top w:val="single" w:sz="6" w:space="0" w:color="78A22F"/>
              <w:left w:val="nil"/>
              <w:bottom w:val="nil"/>
              <w:right w:val="nil"/>
            </w:tcBorders>
            <w:shd w:val="clear" w:color="auto" w:fill="auto"/>
          </w:tcPr>
          <w:p w:rsidR="001420B1" w:rsidRPr="00BC1144" w:rsidRDefault="001420B1" w:rsidP="0036372B">
            <w:pPr>
              <w:pStyle w:val="FigureTitle"/>
              <w:keepNext w:val="0"/>
              <w:keepLines w:val="0"/>
              <w:widowControl w:val="0"/>
            </w:pPr>
            <w:r w:rsidRPr="00BC1144">
              <w:rPr>
                <w:b w:val="0"/>
              </w:rPr>
              <w:lastRenderedPageBreak/>
              <w:t>Figure 3.</w:t>
            </w:r>
            <w:r w:rsidRPr="00BC1144">
              <w:rPr>
                <w:b w:val="0"/>
                <w:noProof/>
              </w:rPr>
              <w:t>3</w:t>
            </w:r>
            <w:r w:rsidRPr="00BC1144">
              <w:tab/>
              <w:t>How to interpret the decomposition charts</w:t>
            </w:r>
          </w:p>
        </w:tc>
      </w:tr>
      <w:tr w:rsidR="001420B1" w:rsidRPr="00BC1144" w:rsidTr="00DC5BB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1420B1" w:rsidRPr="00BC1144" w:rsidTr="00DC5BB6">
              <w:trPr>
                <w:tblHeader/>
                <w:jc w:val="center"/>
              </w:trPr>
              <w:tc>
                <w:tcPr>
                  <w:tcW w:w="5000" w:type="pct"/>
                  <w:tcBorders>
                    <w:top w:val="nil"/>
                    <w:bottom w:val="nil"/>
                  </w:tcBorders>
                </w:tcPr>
                <w:p w:rsidR="001420B1" w:rsidRPr="00BC1144" w:rsidRDefault="001420B1" w:rsidP="0036372B">
                  <w:pPr>
                    <w:pStyle w:val="Figure"/>
                    <w:keepNext w:val="0"/>
                    <w:widowControl w:val="0"/>
                    <w:spacing w:before="0" w:after="0"/>
                    <w:rPr>
                      <w:rFonts w:ascii="Arial" w:hAnsi="Arial" w:cs="Arial"/>
                      <w:sz w:val="18"/>
                      <w:szCs w:val="18"/>
                    </w:rPr>
                  </w:pPr>
                  <w:r w:rsidRPr="00BC1144">
                    <w:rPr>
                      <w:rFonts w:ascii="Arial" w:hAnsi="Arial" w:cs="Arial"/>
                      <w:noProof/>
                      <w:sz w:val="18"/>
                      <w:szCs w:val="18"/>
                    </w:rPr>
                    <w:drawing>
                      <wp:inline distT="0" distB="0" distL="0" distR="0" wp14:anchorId="3F1C80C2" wp14:editId="43845DA1">
                        <wp:extent cx="5402580" cy="2880360"/>
                        <wp:effectExtent l="0" t="0" r="7620" b="0"/>
                        <wp:docPr id="34" name="Picture 34" descr="Figure 3.3 shows presents an example of how to interpret a decomposition of differences in university attendance. The difference in participation rates between low socioeconomic status students and students from non-low socioeconomic status backgrounds can be explained by a range of individual, family, school and neighbourhood level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rsidR="001420B1" w:rsidRPr="00BC1144" w:rsidRDefault="001420B1" w:rsidP="0036372B">
            <w:pPr>
              <w:pStyle w:val="Figure"/>
              <w:keepNext w:val="0"/>
              <w:widowControl w:val="0"/>
              <w:spacing w:before="0" w:after="0"/>
            </w:pPr>
          </w:p>
        </w:tc>
      </w:tr>
      <w:tr w:rsidR="001420B1" w:rsidRPr="00BC1144" w:rsidTr="00DC5BB6">
        <w:tc>
          <w:tcPr>
            <w:tcW w:w="5000" w:type="pct"/>
            <w:tcBorders>
              <w:top w:val="nil"/>
              <w:left w:val="nil"/>
              <w:bottom w:val="single" w:sz="6" w:space="0" w:color="78A22F"/>
              <w:right w:val="nil"/>
            </w:tcBorders>
            <w:shd w:val="clear" w:color="auto" w:fill="auto"/>
          </w:tcPr>
          <w:p w:rsidR="001420B1" w:rsidRPr="00BC1144" w:rsidRDefault="001420B1" w:rsidP="0036372B">
            <w:pPr>
              <w:pStyle w:val="Figurespace"/>
              <w:keepNext w:val="0"/>
              <w:widowControl w:val="0"/>
            </w:pPr>
          </w:p>
        </w:tc>
      </w:tr>
      <w:tr w:rsidR="001420B1" w:rsidRPr="00BC1144" w:rsidTr="00DC5BB6">
        <w:tc>
          <w:tcPr>
            <w:tcW w:w="5000" w:type="pct"/>
            <w:tcBorders>
              <w:top w:val="single" w:sz="6" w:space="0" w:color="78A22F"/>
              <w:left w:val="nil"/>
              <w:bottom w:val="nil"/>
              <w:right w:val="nil"/>
            </w:tcBorders>
          </w:tcPr>
          <w:p w:rsidR="001420B1" w:rsidRPr="00BC1144" w:rsidRDefault="001420B1" w:rsidP="0036372B">
            <w:pPr>
              <w:pStyle w:val="BoxSpaceBelow"/>
              <w:widowControl w:val="0"/>
            </w:pPr>
          </w:p>
        </w:tc>
      </w:tr>
    </w:tbl>
    <w:p w:rsidR="0036372B" w:rsidRPr="00BC1144" w:rsidRDefault="0036372B" w:rsidP="0036372B">
      <w:pPr>
        <w:pStyle w:val="Heading3"/>
      </w:pPr>
      <w:bookmarkStart w:id="43" w:name="_Toc10805449"/>
      <w:r w:rsidRPr="00BC1144">
        <w:t>Poor school achievement explains part of the equity group participation gap</w:t>
      </w:r>
      <w:bookmarkEnd w:id="43"/>
    </w:p>
    <w:p w:rsidR="0036372B" w:rsidRPr="00BC1144" w:rsidRDefault="0036372B" w:rsidP="007D1AB6">
      <w:pPr>
        <w:pStyle w:val="BodyText"/>
        <w:widowControl w:val="0"/>
        <w:spacing w:before="200"/>
      </w:pPr>
      <w:r w:rsidRPr="00BC1144">
        <w:t>Literacy and numeracy at age 15 years, measured by PISA scores, explain half of the under</w:t>
      </w:r>
      <w:r w:rsidRPr="00BC1144">
        <w:noBreakHyphen/>
        <w:t>representation of low SES students, about one third of the under</w:t>
      </w:r>
      <w:r w:rsidRPr="00BC1144">
        <w:noBreakHyphen/>
        <w:t>representation for first in family and Indigenous students, and about 20 per cent of the under</w:t>
      </w:r>
      <w:r w:rsidRPr="00BC1144">
        <w:noBreakHyphen/>
        <w:t>representation of regional or remote students in 2016 (figure 3.4).</w:t>
      </w:r>
    </w:p>
    <w:p w:rsidR="006E391F" w:rsidRPr="00BC1144" w:rsidRDefault="0036372B" w:rsidP="007D1AB6">
      <w:pPr>
        <w:pStyle w:val="BodyText"/>
        <w:widowControl w:val="0"/>
        <w:spacing w:before="200"/>
      </w:pPr>
      <w:r w:rsidRPr="00BC1144">
        <w:t>Overall, Australian students’ literacy and numeracy declined between 2003 and 2015, but the rate of decline has been more rapid for some equity groups, particularly regional or remote school students (figure 3.5). Declining literacy and numeracy scores explain some of the growing gap in university participation between equity and non</w:t>
      </w:r>
      <w:r w:rsidRPr="00BC1144">
        <w:noBreakHyphen/>
        <w:t>equity groups, and is partly why regional or remote students have not made gains in university participation since the introductio</w:t>
      </w:r>
      <w:r w:rsidR="00E827E9" w:rsidRPr="00BC1144">
        <w:t xml:space="preserve">n of the demand driven system.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4</w:t>
            </w:r>
            <w:r w:rsidRPr="00BC1144">
              <w:tab/>
              <w:t>Decomposition of differences in university attendance by equity group</w:t>
            </w:r>
            <w:r w:rsidRPr="00BC1144">
              <w:rPr>
                <w:rStyle w:val="NoteLabel"/>
                <w:b/>
              </w:rPr>
              <w:t>a</w:t>
            </w:r>
          </w:p>
          <w:p w:rsidR="006E391F" w:rsidRPr="00BC1144" w:rsidRDefault="006E391F" w:rsidP="00336FA0">
            <w:pPr>
              <w:pStyle w:val="Subtitle"/>
            </w:pPr>
            <w:r w:rsidRPr="00BC1144">
              <w:t>Group average participation rates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E827E9">
                  <w:pPr>
                    <w:pStyle w:val="Figure"/>
                    <w:keepNext w:val="0"/>
                    <w:widowControl w:val="0"/>
                    <w:spacing w:before="0" w:after="0"/>
                    <w:rPr>
                      <w:rFonts w:ascii="Arial" w:hAnsi="Arial" w:cs="Arial"/>
                      <w:sz w:val="18"/>
                      <w:szCs w:val="18"/>
                    </w:rPr>
                  </w:pPr>
                  <w:r w:rsidRPr="00BC1144">
                    <w:rPr>
                      <w:rFonts w:ascii="Arial" w:hAnsi="Arial" w:cs="Arial"/>
                      <w:noProof/>
                      <w:sz w:val="18"/>
                      <w:szCs w:val="18"/>
                    </w:rPr>
                    <w:drawing>
                      <wp:inline distT="0" distB="0" distL="0" distR="0" wp14:anchorId="54B59135" wp14:editId="540D6B23">
                        <wp:extent cx="5400346" cy="6480390"/>
                        <wp:effectExtent l="0" t="0" r="0" b="0"/>
                        <wp:docPr id="35" name="Picture 35" descr="Figure 3.4 shows decompositions of differences in university attendance for low socioeconomic status, first in family, regional or remote and indigenous students in 2010, 2013 and 2016. Under-representation at university of low socioeconomic, first in family and indigenous people is explained, in large part, by PISA scores. The ‘unexplained’ component is also particularly significant for first in family, indigenous and regional or remote people. The remaining gaps, which are not insignificant, are explained by a combination of family characteristics, neighbourhood characteristics, school characteristics, geographic characteristics and other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3_4.emf"/>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400346" cy="6480390"/>
                                </a:xfrm>
                                <a:prstGeom prst="rect">
                                  <a:avLst/>
                                </a:prstGeom>
                              </pic:spPr>
                            </pic:pic>
                          </a:graphicData>
                        </a:graphic>
                      </wp:inline>
                    </w:drawing>
                  </w:r>
                </w:p>
              </w:tc>
            </w:tr>
          </w:tbl>
          <w:p w:rsidR="006E391F" w:rsidRPr="00BC1144" w:rsidRDefault="006E391F" w:rsidP="00E827E9">
            <w:pPr>
              <w:pStyle w:val="Figure"/>
              <w:keepNext w:val="0"/>
              <w:widowControl w:val="0"/>
              <w:spacing w:before="0" w:after="0"/>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Family characteristics comprise educational attainment and occupation; school characteristics comprise school sector and the SES of the school; geographic characteristics are based on ABS classifications for ‘regionality’ or remoteness; neighbourhood characteristics are based on the ABS Socio</w:t>
            </w:r>
            <w:r w:rsidR="00B3244E" w:rsidRPr="00BC1144">
              <w:t>-</w:t>
            </w:r>
            <w:r w:rsidRPr="00BC1144">
              <w:t>economic Indexes for Areas Index of Education and Occupation (more detail in appendix B). The rest of the population participation rate is for the population not in that equity group.</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E827E9">
            <w:pPr>
              <w:pStyle w:val="Figurespace"/>
              <w:keepNext w:val="0"/>
              <w:widowControl w:val="0"/>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E827E9">
            <w:pPr>
              <w:pStyle w:val="BoxSpaceBelow"/>
              <w:widowControl w:val="0"/>
            </w:pPr>
          </w:p>
        </w:tc>
      </w:tr>
    </w:tbl>
    <w:p w:rsidR="006E391F" w:rsidRPr="00BC1144" w:rsidRDefault="006E391F" w:rsidP="00E827E9">
      <w:pPr>
        <w:pStyle w:val="BoxSpaceAbove"/>
        <w:keepNext w:val="0"/>
        <w:widowControl w:val="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5</w:t>
            </w:r>
            <w:r w:rsidRPr="00BC1144">
              <w:tab/>
              <w:t>Literacy and numeracy of school students is falling</w:t>
            </w:r>
          </w:p>
          <w:p w:rsidR="006E391F" w:rsidRPr="00BC1144" w:rsidRDefault="006E391F" w:rsidP="00336FA0">
            <w:pPr>
              <w:pStyle w:val="Subtitle"/>
            </w:pPr>
            <w:r w:rsidRPr="00BC1144">
              <w:t>Average of PISA score for reading and mathematics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1E6AAF91" wp14:editId="7DDE0186">
                        <wp:extent cx="5400346" cy="2880153"/>
                        <wp:effectExtent l="0" t="0" r="0" b="0"/>
                        <wp:docPr id="36" name="Picture 36" descr="Figure 3.5 shows average PISA scores (based on reading and mathematics) for indigenous, low socioeconomic status, regional or remote, first in family and non-equity group students in 2003, 2006, 2009 and 2015. PISA scores have fallen across all of the groups shown, but most rapidly for regional or remote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_3_4.emf"/>
                                <pic:cNvPicPr/>
                              </pic:nvPicPr>
                              <pic:blipFill>
                                <a:blip r:embed="rId83"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A PISA score of 500 corresponds to the average score across OECD member countries in 2000, the first year the test was conducted.</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7D1AB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6</w:t>
            </w:r>
            <w:r w:rsidRPr="00BC1144">
              <w:tab/>
              <w:t>University attendance by literacy and numeracy quartile</w:t>
            </w:r>
          </w:p>
          <w:p w:rsidR="006E391F" w:rsidRPr="00BC1144" w:rsidRDefault="006E391F" w:rsidP="00336FA0">
            <w:pPr>
              <w:pStyle w:val="Subtitle"/>
            </w:pPr>
            <w:r w:rsidRPr="00BC1144">
              <w:t>Attendance by age 22 years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EB5513B" wp14:editId="6CFA2730">
                        <wp:extent cx="5400346" cy="2880153"/>
                        <wp:effectExtent l="0" t="0" r="0" b="0"/>
                        <wp:docPr id="37" name="Picture 37" descr="Figure 3.6 shows university attendance by age 22 years for indigenous, low socioeconomic status, regional or remote, first in family and non-equity group students, by PISA quartiles in 2010 and 2016. In the top PISA quartile, equity groups are similarly likely to attend university to the rest of the population. However, for all other PISA quartiles, members of equity groups are substantially less likely to go 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_3_5.emf"/>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pPr>
              <w:pStyle w:val="Note"/>
            </w:pPr>
            <w:r w:rsidRPr="00BC1144">
              <w:rPr>
                <w:rStyle w:val="NoteLabel"/>
              </w:rPr>
              <w:t>a</w:t>
            </w:r>
            <w:r w:rsidRPr="00BC1144">
              <w:t xml:space="preserve"> High achievers are those students in the top quartile for literacy and numeracy based on their PISA scores and low achievers are those in the bottom quartile. Note that group representation in these quartiles varies. For example, there are relatively few students from equity groups in the highest quartile and relatively few students that are not from equity groups in the lowest quartile. The </w:t>
            </w:r>
            <w:r w:rsidR="00B3244E" w:rsidRPr="00BC1144">
              <w:t xml:space="preserve">Indigenous </w:t>
            </w:r>
            <w:r w:rsidRPr="00BC1144">
              <w:t>group in particular is based on a small sample and therefore results for that group should be treated with caution.</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pPr>
      <w:bookmarkStart w:id="44" w:name="_Toc10805450"/>
      <w:r w:rsidRPr="00BC1144">
        <w:t>The ‘tyranny of distance’ is also a barrier for regional or remote students</w:t>
      </w:r>
      <w:bookmarkEnd w:id="44"/>
    </w:p>
    <w:p w:rsidR="006E391F" w:rsidRPr="00BC1144" w:rsidRDefault="006E391F" w:rsidP="00336FA0">
      <w:pPr>
        <w:pStyle w:val="BodyText"/>
      </w:pPr>
      <w:r w:rsidRPr="00BC1144">
        <w:t xml:space="preserve">School students who live in regional or remote areas are much less likely to attend university than students who grow up in metropolitan areas. Some of this difference is explained by lower school achievement and by peer effects. However, these characteristics only partly explain the lower participation rates of regional or remote school students. Moreover, there is a growing gap between students of the same background and capability based solely on whether they grew up in a regional or remote area or in a metropolitan area (bottom left panel of figure 3.4). </w:t>
      </w:r>
    </w:p>
    <w:p w:rsidR="006E391F" w:rsidRPr="00BC1144" w:rsidRDefault="006E391F" w:rsidP="00336FA0">
      <w:pPr>
        <w:pStyle w:val="BodyText"/>
      </w:pPr>
      <w:r w:rsidRPr="00BC1144">
        <w:t>Distance from a campus — with the concomitant costs of relocation and forgone opportunity to live with family (box 3.2) — appears to explain some of the under</w:t>
      </w:r>
      <w:r w:rsidRPr="00BC1144">
        <w:noBreakHyphen/>
        <w:t>representation of this group. School students who live more than 40 kilometres from a university campus are considerably less likely to go to university than school studen</w:t>
      </w:r>
      <w:r w:rsidR="00B3244E" w:rsidRPr="00BC1144">
        <w:t>ts who live in closer proximity;</w:t>
      </w:r>
      <w:r w:rsidRPr="00BC1144">
        <w:t xml:space="preserve"> and this gap widened since the introduction of the demand driven system, even for high achieving students (figure 3.7).</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rPr>
                <w:vertAlign w:val="superscript"/>
              </w:rPr>
            </w:pPr>
            <w:r w:rsidRPr="00BC1144">
              <w:rPr>
                <w:b w:val="0"/>
              </w:rPr>
              <w:t>Figure 3.</w:t>
            </w:r>
            <w:r w:rsidRPr="00BC1144">
              <w:rPr>
                <w:b w:val="0"/>
                <w:noProof/>
              </w:rPr>
              <w:t>7</w:t>
            </w:r>
            <w:r w:rsidRPr="00BC1144">
              <w:tab/>
              <w:t>Attendance rates at university by distance to a university campus</w:t>
            </w:r>
            <w:r w:rsidRPr="00BC1144">
              <w:rPr>
                <w:rStyle w:val="NoteLabel"/>
                <w:b/>
              </w:rPr>
              <w:t>a</w:t>
            </w:r>
          </w:p>
          <w:p w:rsidR="006E391F" w:rsidRPr="00BC1144" w:rsidRDefault="006E391F" w:rsidP="00336FA0">
            <w:pPr>
              <w:pStyle w:val="Subtitle"/>
            </w:pPr>
            <w:r w:rsidRPr="00BC1144">
              <w:t>By age 22 years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140F2A40" wp14:editId="24D48F46">
                        <wp:extent cx="5400346" cy="2880153"/>
                        <wp:effectExtent l="0" t="0" r="0" b="0"/>
                        <wp:docPr id="38" name="Picture 38" descr="Figure 3.7 shows attendance rates at university by age 22 years, by distance to a university campus in their final year of school in in 2010, 2013, 2016. Those over 40 kilometres from a university campus are less likely to attend university than people under 40 kilometres from a university campus. The gap has grown since 2010. The story remains true, with a smaller gap in participation, for high PISA scor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3_6_new.emf"/>
                                <pic:cNvPicPr/>
                              </pic:nvPicPr>
                              <pic:blipFill>
                                <a:blip r:embed="rId85"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Geodesic distance from a major university campus in the last year of school, estimated from postcode level data. High achievers are those students in the top quartile for literacy and numeracy based on PISA scores. Data are for attendance by age 22 years in 2010 (2003 cohort), 2013 (2006 cohort) and 2016 (2009 cohort).</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F2F2F2"/>
          </w:tcPr>
          <w:p w:rsidR="006E391F" w:rsidRPr="00BC1144" w:rsidRDefault="006E391F" w:rsidP="00336FA0">
            <w:pPr>
              <w:pStyle w:val="BoxTitle"/>
            </w:pPr>
            <w:r w:rsidRPr="00BC1144">
              <w:rPr>
                <w:b w:val="0"/>
              </w:rPr>
              <w:t>Box 3.</w:t>
            </w:r>
            <w:r w:rsidRPr="00BC1144">
              <w:rPr>
                <w:b w:val="0"/>
                <w:noProof/>
              </w:rPr>
              <w:t>2</w:t>
            </w:r>
            <w:r w:rsidRPr="00BC1144">
              <w:tab/>
              <w:t>The financial burden facing regional or remote students</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
            </w:pPr>
            <w:r w:rsidRPr="00BC1144">
              <w:t>The cost of relocating may be a growing factor in regional or remote students’ decisions to attend university. Regional or remote school students who attend university are more likely to move after finishing school and before commencing university, and those that do move end up further away from their support networks than their metropolitan counterparts. For university students from a regional or remote location, between 16 and 26 per cent (across the three cohorts) reported they changed postcodes between their last year of school and their first year of university, compared with 5 to 9 per cent of university students from metropolitan locations. On average, regional or remote students who moved were 80 to 130 kilometres away from where they lived in year 12, compared with 13 to 20 kilometres for metropolitan school students. This means that they may be a long distance from family and support networks.</w:t>
            </w:r>
          </w:p>
          <w:p w:rsidR="006E391F" w:rsidRPr="00BC1144" w:rsidRDefault="006E391F" w:rsidP="00336FA0">
            <w:pPr>
              <w:pStyle w:val="Box"/>
            </w:pPr>
            <w:r w:rsidRPr="00BC1144">
              <w:t>Moving for university also comes with additional financial burdens. First</w:t>
            </w:r>
            <w:r w:rsidR="00B3244E" w:rsidRPr="00BC1144">
              <w:t>-</w:t>
            </w:r>
            <w:r w:rsidRPr="00BC1144">
              <w:t xml:space="preserve">year university students who remain in the same postcode (including those who live with or board with their parents) face lower accommodation costs than those who move. </w:t>
            </w:r>
            <w:r w:rsidR="00B3244E" w:rsidRPr="00BC1144">
              <w:t>Accommodation costs for first-</w:t>
            </w:r>
            <w:r w:rsidRPr="00BC1144">
              <w:t>year university students have also risen in recent years. In 2016, students who moved from regional or remote to metropolitan areas typically paid $749 per month (median payment) for accommodation, compared with $478 in 2010 — an increase of 55 per cent.</w:t>
            </w:r>
          </w:p>
          <w:p w:rsidR="006E391F" w:rsidRPr="00BC1144" w:rsidRDefault="006E391F" w:rsidP="005B1B34">
            <w:pPr>
              <w:pStyle w:val="BoxHeading1"/>
            </w:pPr>
            <w:r w:rsidRPr="00BC1144">
              <w:t>Movements and costs faced by first year university students</w:t>
            </w:r>
          </w:p>
          <w:p w:rsidR="006E391F" w:rsidRPr="00BC1144" w:rsidRDefault="006E391F" w:rsidP="005B1B34">
            <w:pPr>
              <w:pStyle w:val="Box"/>
              <w:spacing w:before="80"/>
              <w:jc w:val="left"/>
            </w:pPr>
            <w:r w:rsidRPr="00BC1144">
              <w:t>Domestic students who had attended university by age 22 years</w:t>
            </w:r>
            <w:r w:rsidRPr="00BC1144">
              <w:rPr>
                <w:rStyle w:val="NoteLabel"/>
              </w:rPr>
              <w:t>a</w:t>
            </w:r>
          </w:p>
          <w:p w:rsidR="006E391F" w:rsidRPr="00BC1144" w:rsidRDefault="006E391F" w:rsidP="00336FA0">
            <w:pPr>
              <w:pStyle w:val="Box"/>
            </w:pPr>
            <w:r w:rsidRPr="00BC1144">
              <w:rPr>
                <w:rFonts w:cs="Arial"/>
                <w:noProof/>
                <w:sz w:val="18"/>
                <w:szCs w:val="18"/>
              </w:rPr>
              <w:drawing>
                <wp:inline distT="0" distB="0" distL="0" distR="0" wp14:anchorId="64273D53" wp14:editId="5068838D">
                  <wp:extent cx="5400346" cy="2880153"/>
                  <wp:effectExtent l="0" t="0" r="0" b="0"/>
                  <wp:docPr id="39" name="Picture 39" descr="The figure in box 3.2 shows for the periods 2010, 2013, 2016, relocation rates for students that attended university (for metropolitan and regional and remote students) and median housing costs for students that did/ did not relocate to attend university. Regional and remote people are far more likely to have to relocate to attend university than metropolit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box_3_2.emf"/>
                          <pic:cNvPicPr/>
                        </pic:nvPicPr>
                        <pic:blipFill>
                          <a:blip r:embed="rId86"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B3244E">
            <w:pPr>
              <w:pStyle w:val="BoxSource"/>
              <w:rPr>
                <w:i/>
              </w:rPr>
            </w:pPr>
            <w:r w:rsidRPr="00BC1144">
              <w:rPr>
                <w:rStyle w:val="NoteLabel"/>
              </w:rPr>
              <w:t>a</w:t>
            </w:r>
            <w:r w:rsidRPr="00BC1144">
              <w:t xml:space="preserve"> Whether or not someone moved (between their last year of school and their first year of university) is approximated by whether their postcode changed, as data on their exact address </w:t>
            </w:r>
            <w:r w:rsidR="00B3244E" w:rsidRPr="00BC1144">
              <w:t>were</w:t>
            </w:r>
            <w:r w:rsidRPr="00BC1144">
              <w:t xml:space="preserve"> not available.</w:t>
            </w:r>
            <w:r w:rsidRPr="00BC1144">
              <w:rPr>
                <w:rStyle w:val="NoteLabel"/>
              </w:rPr>
              <w:t xml:space="preserve"> </w:t>
            </w:r>
            <w:r w:rsidRPr="00BC1144">
              <w:t>Housing costs refer to board, rent or mortgage repayments.</w:t>
            </w:r>
          </w:p>
        </w:tc>
      </w:tr>
      <w:tr w:rsidR="006E391F" w:rsidRPr="00BC1144" w:rsidTr="00336FA0">
        <w:tc>
          <w:tcPr>
            <w:tcW w:w="5000" w:type="pct"/>
            <w:tcBorders>
              <w:top w:val="nil"/>
              <w:left w:val="nil"/>
              <w:bottom w:val="nil"/>
              <w:right w:val="nil"/>
            </w:tcBorders>
            <w:shd w:val="clear" w:color="auto" w:fill="F2F2F2"/>
          </w:tcPr>
          <w:p w:rsidR="006E391F" w:rsidRPr="00BC1144" w:rsidRDefault="006E391F" w:rsidP="00336FA0">
            <w:pPr>
              <w:pStyle w:val="Box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F2F2F2"/>
          </w:tcPr>
          <w:p w:rsidR="006E391F" w:rsidRPr="00BC1144" w:rsidRDefault="006E391F">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pPr>
      <w:bookmarkStart w:id="45" w:name="_Toc10805451"/>
      <w:r w:rsidRPr="00BC1144">
        <w:lastRenderedPageBreak/>
        <w:t>School, neighbourhood and geographic characteristics matter, but to a lesser extent</w:t>
      </w:r>
      <w:bookmarkEnd w:id="45"/>
    </w:p>
    <w:p w:rsidR="006E391F" w:rsidRPr="00BC1144" w:rsidRDefault="006E391F" w:rsidP="00336FA0">
      <w:pPr>
        <w:pStyle w:val="BodyText"/>
      </w:pPr>
      <w:r w:rsidRPr="00BC1144">
        <w:t>The importance of school, neighbourhood and geographic characteristics may reflect the influence of peers or differences in the quality of education. School characteristics explain between 7 and 13 per cent of equity groups’ under</w:t>
      </w:r>
      <w:r w:rsidRPr="00BC1144">
        <w:noBreakHyphen/>
        <w:t>representation in 2016, while neighbourhood characteristics explain between 5 and 15 per cent and geographic characteristics explain between 2 and 5 per cent. Of the school characteristics, both the average SES of the peer group and the school sector (public, Catholic, independent) affect students’ attendance at university, although the school sector appears to be slightly more significant.</w:t>
      </w:r>
    </w:p>
    <w:p w:rsidR="006E391F" w:rsidRPr="00BC1144" w:rsidRDefault="006E391F" w:rsidP="00336FA0">
      <w:pPr>
        <w:pStyle w:val="BodyText"/>
      </w:pPr>
      <w:r w:rsidRPr="00BC1144">
        <w:t>The other characteristics identified in this study explain the remaining under</w:t>
      </w:r>
      <w:r w:rsidRPr="00BC1144">
        <w:noBreakHyphen/>
        <w:t>representation of equity groups. Not attempting year 12 or working longer hours while in year 12 (part of ‘other’ characteristics) are important for some equity groups — particularly for first in family but also for those from a low SES background.</w:t>
      </w:r>
    </w:p>
    <w:p w:rsidR="006E391F" w:rsidRPr="00BC1144" w:rsidRDefault="006E391F" w:rsidP="00336FA0">
      <w:pPr>
        <w:pStyle w:val="Heading3"/>
        <w:rPr>
          <w:spacing w:val="-4"/>
        </w:rPr>
      </w:pPr>
      <w:bookmarkStart w:id="46" w:name="_Toc10805452"/>
      <w:r w:rsidRPr="00BC1144">
        <w:rPr>
          <w:spacing w:val="-4"/>
        </w:rPr>
        <w:t>Equity groups are more under</w:t>
      </w:r>
      <w:r w:rsidRPr="00BC1144">
        <w:rPr>
          <w:spacing w:val="-4"/>
        </w:rPr>
        <w:noBreakHyphen/>
        <w:t>represented at Group of Eight universities</w:t>
      </w:r>
      <w:bookmarkEnd w:id="46"/>
    </w:p>
    <w:p w:rsidR="006E391F" w:rsidRPr="00BC1144" w:rsidRDefault="006E391F" w:rsidP="00336FA0">
      <w:pPr>
        <w:pStyle w:val="BodyText"/>
      </w:pPr>
      <w:r w:rsidRPr="00BC1144">
        <w:t>The under</w:t>
      </w:r>
      <w:r w:rsidRPr="00BC1144">
        <w:noBreakHyphen/>
        <w:t>representation of the low SES, regional or remote and first in family equity groups is most pronounced at Group of Eight (Go8) universities. Figure 3.8 shows the gap in attendance and the factors that explain the under</w:t>
      </w:r>
      <w:r w:rsidRPr="00BC1144">
        <w:noBreakHyphen/>
        <w:t>representation of equity groups at Go8 and non</w:t>
      </w:r>
      <w:r w:rsidRPr="00BC1144">
        <w:noBreakHyphen/>
        <w:t>Go8 universities. The Go8 disproportionately enrol students with high literacy and numeracy, through selection that often requires high ATAR scores. The consequence is that people from low SES backgrounds, first in family students and regional or remote students are under</w:t>
      </w:r>
      <w:r w:rsidRPr="00BC1144">
        <w:noBreakHyphen/>
        <w:t>represented in the university system almost entirely because they are under</w:t>
      </w:r>
      <w:r w:rsidRPr="00BC1144">
        <w:noBreakHyphen/>
        <w:t>represented at Go8 universities. Indigenous students, on the other hand, are under</w:t>
      </w:r>
      <w:r w:rsidRPr="00BC1144">
        <w:noBreakHyphen/>
        <w:t>represented at both Go8 and other universities.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8</w:t>
            </w:r>
            <w:r w:rsidRPr="00BC1144">
              <w:tab/>
              <w:t>Decomposition of differences in university participation rates by equity group and type of university</w:t>
            </w:r>
          </w:p>
          <w:p w:rsidR="006E391F" w:rsidRPr="00BC1144" w:rsidRDefault="006E391F" w:rsidP="00336FA0">
            <w:pPr>
              <w:pStyle w:val="Subtitle"/>
            </w:pPr>
            <w:r w:rsidRPr="00BC1144">
              <w:t>Attendance by age 22 years in 2016</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E827E9">
                  <w:pPr>
                    <w:pStyle w:val="Figure"/>
                    <w:spacing w:before="0" w:after="0"/>
                    <w:rPr>
                      <w:rFonts w:ascii="Arial" w:hAnsi="Arial" w:cs="Arial"/>
                      <w:sz w:val="18"/>
                      <w:szCs w:val="18"/>
                    </w:rPr>
                  </w:pPr>
                  <w:r w:rsidRPr="00BC1144">
                    <w:rPr>
                      <w:rFonts w:ascii="Arial" w:hAnsi="Arial" w:cs="Arial"/>
                      <w:noProof/>
                      <w:sz w:val="18"/>
                      <w:szCs w:val="18"/>
                    </w:rPr>
                    <w:drawing>
                      <wp:inline distT="0" distB="0" distL="0" distR="0" wp14:anchorId="50D1F34A" wp14:editId="69695740">
                        <wp:extent cx="5400346" cy="6843418"/>
                        <wp:effectExtent l="0" t="0" r="0" b="0"/>
                        <wp:docPr id="40" name="Picture 40" descr="Figure 3.8 shows decompositions of differences in university attendance by age 22 years at group of eight universities for low socioeconomic status, first in family, regional or remote and indigenous students in 2010, 2013 and 2016. Equity groups are far more under-represented at Group of Eight Universities than non-Group of Eight Univers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_3_8.emf"/>
                                <pic:cNvPicPr/>
                              </pic:nvPicPr>
                              <pic:blipFill>
                                <a:blip r:embed="rId87" cstate="print">
                                  <a:extLst>
                                    <a:ext uri="{28A0092B-C50C-407E-A947-70E740481C1C}">
                                      <a14:useLocalDpi xmlns:a14="http://schemas.microsoft.com/office/drawing/2010/main" val="0"/>
                                    </a:ext>
                                  </a:extLst>
                                </a:blip>
                                <a:stretch>
                                  <a:fillRect/>
                                </a:stretch>
                              </pic:blipFill>
                              <pic:spPr>
                                <a:xfrm>
                                  <a:off x="0" y="0"/>
                                  <a:ext cx="5400346" cy="6843418"/>
                                </a:xfrm>
                                <a:prstGeom prst="rect">
                                  <a:avLst/>
                                </a:prstGeom>
                              </pic:spPr>
                            </pic:pic>
                          </a:graphicData>
                        </a:graphic>
                      </wp:inline>
                    </w:drawing>
                  </w:r>
                </w:p>
              </w:tc>
            </w:tr>
          </w:tbl>
          <w:p w:rsidR="006E391F" w:rsidRPr="00BC1144" w:rsidRDefault="006E391F" w:rsidP="00E827E9">
            <w:pPr>
              <w:pStyle w:val="Figure"/>
              <w:spacing w:before="0" w:after="0"/>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E827E9">
            <w:pPr>
              <w:pStyle w:val="Figurespace"/>
              <w:keepNext w:val="0"/>
              <w:widowControl w:val="0"/>
            </w:pPr>
          </w:p>
        </w:tc>
      </w:tr>
    </w:tbl>
    <w:p w:rsidR="006E391F" w:rsidRPr="00BC1144" w:rsidRDefault="006E391F" w:rsidP="00E827E9">
      <w:pPr>
        <w:pStyle w:val="Heading2"/>
        <w:keepNext w:val="0"/>
        <w:widowControl w:val="0"/>
      </w:pPr>
      <w:bookmarkStart w:id="47" w:name="_Toc10805453"/>
      <w:r w:rsidRPr="00BC1144">
        <w:lastRenderedPageBreak/>
        <w:t>3.</w:t>
      </w:r>
      <w:r w:rsidRPr="00BC1144">
        <w:rPr>
          <w:noProof/>
        </w:rPr>
        <w:t>3</w:t>
      </w:r>
      <w:r w:rsidRPr="00BC1144">
        <w:tab/>
        <w:t>Academic outcomes</w:t>
      </w:r>
      <w:bookmarkEnd w:id="47"/>
      <w:r w:rsidRPr="00BC1144">
        <w:t xml:space="preserve"> </w:t>
      </w:r>
    </w:p>
    <w:p w:rsidR="006E391F" w:rsidRPr="00BC1144" w:rsidRDefault="006E391F" w:rsidP="00336FA0">
      <w:pPr>
        <w:pStyle w:val="BodyText"/>
      </w:pPr>
      <w:r w:rsidRPr="00BC1144">
        <w:t>University can be a difficult place to succeed for people entering with weaker foundational skills and school achievement, or with little prior experience or exposure through peers and family members. It can also be difficult while juggling work and family commitments. As observed in figure 2.10, part</w:t>
      </w:r>
      <w:r w:rsidRPr="00BC1144">
        <w:noBreakHyphen/>
        <w:t>time study, low literacy and numeracy, and low ATAR scores are strong predictors of higher drop</w:t>
      </w:r>
      <w:r w:rsidRPr="00BC1144">
        <w:noBreakHyphen/>
        <w:t>out rates compared with other students.</w:t>
      </w:r>
    </w:p>
    <w:p w:rsidR="006E391F" w:rsidRPr="00BC1144" w:rsidRDefault="006E391F" w:rsidP="00336FA0">
      <w:pPr>
        <w:pStyle w:val="BodyText"/>
      </w:pPr>
      <w:r w:rsidRPr="00BC1144">
        <w:t xml:space="preserve">These challenges confront students from equity groups more often than those not from equity groups. Students from equity groups were 36 per cent more likely to study part time in their commencing year, have lower levels of literacy and numeracy on average, and were more likely not </w:t>
      </w:r>
      <w:r w:rsidR="009F0813" w:rsidRPr="00BC1144">
        <w:t xml:space="preserve">to </w:t>
      </w:r>
      <w:r w:rsidRPr="00BC1144">
        <w:t>have an ATAR score than students from non</w:t>
      </w:r>
      <w:r w:rsidRPr="00BC1144">
        <w:noBreakHyphen/>
        <w:t>equity groups.</w:t>
      </w:r>
      <w:r w:rsidRPr="00BC1144" w:rsidDel="00463627">
        <w:rPr>
          <w:rStyle w:val="FootnoteReference"/>
        </w:rPr>
        <w:t xml:space="preserve"> </w:t>
      </w:r>
      <w:r w:rsidRPr="00BC1144">
        <w:t xml:space="preserve"> In part due to these factors, students from equity groups have lower degree completion rates than non</w:t>
      </w:r>
      <w:r w:rsidRPr="00BC1144">
        <w:noBreakHyphen/>
        <w:t xml:space="preserve">equity students (figure 3.9).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9</w:t>
            </w:r>
            <w:r w:rsidRPr="00BC1144">
              <w:tab/>
              <w:t>Drop</w:t>
            </w:r>
            <w:r w:rsidRPr="00BC1144">
              <w:noBreakHyphen/>
              <w:t>out rates are higher for students from equity groups</w:t>
            </w:r>
          </w:p>
          <w:p w:rsidR="006E391F" w:rsidRPr="00BC1144" w:rsidRDefault="006E391F" w:rsidP="00336FA0">
            <w:pPr>
              <w:pStyle w:val="Subtitle"/>
            </w:pPr>
            <w:r w:rsidRPr="00BC1144">
              <w:t>Share of people attending university by age 22 years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568831DC" wp14:editId="41EDA2A9">
                        <wp:extent cx="5402580" cy="2880360"/>
                        <wp:effectExtent l="0" t="0" r="7620" b="0"/>
                        <wp:docPr id="41" name="Picture 41" descr="Figure 3.9 shows the proportion of students dropping out of university by age 23 years for indigenous, low socioeconomic status, regional or remote, first in family and non-equity group students over the period 2004 to 2017. Dropout rates are higher for all equity groups than they are for the rest of th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r w:rsidRPr="00BC1144">
                    <w:rPr>
                      <w:rFonts w:ascii="Arial" w:hAnsi="Arial" w:cs="Arial"/>
                      <w:sz w:val="18"/>
                      <w:szCs w:val="18"/>
                    </w:rPr>
                    <w:t xml:space="preserve"> </w:t>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w:t>
            </w:r>
            <w:r w:rsidRPr="00BC1144">
              <w:rPr>
                <w:spacing w:val="-2"/>
              </w:rPr>
              <w:t>Drop-out rates measured at age 23</w:t>
            </w:r>
            <w:r w:rsidR="009F0813" w:rsidRPr="00BC1144">
              <w:rPr>
                <w:spacing w:val="-2"/>
              </w:rPr>
              <w:t xml:space="preserve"> years</w:t>
            </w:r>
            <w:r w:rsidRPr="00BC1144">
              <w:rPr>
                <w:spacing w:val="-2"/>
              </w:rPr>
              <w:t>. Estimates for Indigenous people are variable due to small sample size.</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 xml:space="preserve">Taking the trends in degree completion into account, there has only been a modest overall increase in degree attainment of people of low SES background by age 23 years (figure 3.10). This is despite the strong increase in </w:t>
      </w:r>
      <w:r w:rsidR="009F0813" w:rsidRPr="00BC1144">
        <w:t xml:space="preserve">their </w:t>
      </w:r>
      <w:r w:rsidRPr="00BC1144">
        <w:t xml:space="preserve">university participation. However, it is difficult to draw strong conclusions. Young people are taking </w:t>
      </w:r>
      <w:r w:rsidR="009F0813" w:rsidRPr="00BC1144">
        <w:t xml:space="preserve">longer </w:t>
      </w:r>
      <w:r w:rsidRPr="00BC1144">
        <w:t xml:space="preserve">to complete a bachelor degree and this is reflected in the increased percentage of people still undertaking study at age 23 years in 2017 (the most recent data available). Many of these students will </w:t>
      </w:r>
      <w:r w:rsidRPr="00BC1144">
        <w:lastRenderedPageBreak/>
        <w:t>go on to graduate, although data tracking earlier cohorts through to age 25 years suggests that many will also ultimately drop out.</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10</w:t>
            </w:r>
            <w:r w:rsidRPr="00BC1144">
              <w:tab/>
              <w:t>Bachelor degree attainment by equity group</w:t>
            </w:r>
            <w:r w:rsidRPr="00BC1144">
              <w:rPr>
                <w:rStyle w:val="NoteLabel"/>
                <w:b/>
              </w:rPr>
              <w:t>a</w:t>
            </w:r>
            <w:r w:rsidR="005B1B34" w:rsidRPr="00BC1144">
              <w:rPr>
                <w:rStyle w:val="NoteLabel"/>
                <w:b/>
              </w:rPr>
              <w:t>,</w:t>
            </w:r>
            <w:r w:rsidRPr="00BC1144">
              <w:rPr>
                <w:rStyle w:val="NoteLabel"/>
                <w:b/>
              </w:rPr>
              <w:t>b</w:t>
            </w:r>
          </w:p>
          <w:p w:rsidR="006E391F" w:rsidRPr="00BC1144" w:rsidRDefault="006E391F" w:rsidP="005B1B34">
            <w:pPr>
              <w:pStyle w:val="Subtitle"/>
            </w:pPr>
            <w:r w:rsidRPr="00BC1144">
              <w:t>Per cent of equity group population at age 23 years</w:t>
            </w:r>
            <w:r w:rsidRPr="00BC1144">
              <w:rPr>
                <w:rStyle w:val="NoteLabel"/>
              </w:rPr>
              <w:t>c</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3A77B33" wp14:editId="2B2E5049">
                        <wp:extent cx="5400346" cy="2880153"/>
                        <wp:effectExtent l="0" t="0" r="0" b="0"/>
                        <wp:docPr id="42" name="Picture 42" descr="Figure 3.10 shows the proportion of university students that completed, dropped out or are still undertaking university at age 23 years by equity group in 2011 and 2017. For low socioeconomic and first in family, university completion rates have grown far less than university attendance rates, which is due to a combination of higher rates of people still undertaking at age 22 and higher dropout rates amongst thes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3_10.emf"/>
                                <pic:cNvPicPr/>
                              </pic:nvPicPr>
                              <pic:blipFill>
                                <a:blip r:embed="rId89"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 xml:space="preserve">a </w:t>
            </w:r>
            <w:r w:rsidRPr="00BC1144">
              <w:t>The sum of the three components shown — dropped out, undertaking and complete — is equal to the university participation rates at age 22 years (figure 3.2).</w:t>
            </w:r>
            <w:r w:rsidRPr="00BC1144">
              <w:rPr>
                <w:rStyle w:val="NoteLabel"/>
              </w:rPr>
              <w:t xml:space="preserve"> b </w:t>
            </w:r>
            <w:r w:rsidRPr="00BC1144">
              <w:t>Due to small sample sizes and high rates of survey attrition, the Indigenous figures should be treated with caution.</w:t>
            </w:r>
            <w:r w:rsidRPr="00BC1144">
              <w:rPr>
                <w:rStyle w:val="NoteLabel"/>
              </w:rPr>
              <w:t xml:space="preserve"> c</w:t>
            </w:r>
            <w:r w:rsidRPr="00BC1144">
              <w:t xml:space="preserve"> University participation is measured at age 22 years (reflecting whether they ever attended by that age). Outcomes are measured at age 23 years.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 xml:space="preserve">The difficulties faced by people from equity groups </w:t>
      </w:r>
      <w:r w:rsidR="009F0813" w:rsidRPr="00BC1144">
        <w:t>were</w:t>
      </w:r>
      <w:r w:rsidRPr="00BC1144">
        <w:t xml:space="preserve"> compounded if they were also additional students (table 3.2). Additional students from equity groups have even lower school achievement and are more likely to study part time than other students from these equity groups. In particular, 36 per cent of additional students from an equity group have no ATAR score at all, compared with 20 per cent of additional students who are not part of any equity group. </w:t>
      </w:r>
    </w:p>
    <w:p w:rsidR="006E391F" w:rsidRPr="00BC1144" w:rsidRDefault="006E391F" w:rsidP="00336FA0">
      <w:pPr>
        <w:pStyle w:val="BodyText"/>
      </w:pPr>
      <w:r w:rsidRPr="00BC1144">
        <w:t>However, drop</w:t>
      </w:r>
      <w:r w:rsidRPr="00BC1144">
        <w:noBreakHyphen/>
        <w:t>out rates are similar for additional students, regardless of equity group membership. This might reflect differences in fields of study chosen by these groups. It could also change as additional students progress in their studies (a third of them were still studying at age 23 years).</w:t>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3.</w:t>
            </w:r>
            <w:r w:rsidRPr="00BC1144">
              <w:rPr>
                <w:b w:val="0"/>
                <w:noProof/>
              </w:rPr>
              <w:t>2</w:t>
            </w:r>
            <w:r w:rsidRPr="00BC1144">
              <w:tab/>
              <w:t>Student attributes and outcomes, by equity group status</w:t>
            </w:r>
            <w:r w:rsidRPr="00BC1144">
              <w:rPr>
                <w:rStyle w:val="NoteLabel"/>
              </w:rPr>
              <w:t>a</w:t>
            </w:r>
          </w:p>
          <w:p w:rsidR="006E391F" w:rsidRPr="00BC1144" w:rsidRDefault="006E391F" w:rsidP="00336FA0">
            <w:pPr>
              <w:pStyle w:val="Subtitle"/>
            </w:pPr>
            <w:r w:rsidRPr="00BC1144">
              <w:t>By age 23 years in 2017 (shares of student groups)</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6E391F" w:rsidRPr="00BC1144" w:rsidTr="00336FA0">
              <w:trPr>
                <w:tblHeader/>
              </w:trPr>
              <w:tc>
                <w:tcPr>
                  <w:tcW w:w="1251"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Variable</w:t>
                  </w:r>
                </w:p>
              </w:tc>
              <w:tc>
                <w:tcPr>
                  <w:tcW w:w="1250" w:type="pct"/>
                  <w:tcBorders>
                    <w:top w:val="single" w:sz="6" w:space="0" w:color="BFBFBF"/>
                    <w:bottom w:val="single" w:sz="6" w:space="0" w:color="BFBFBF"/>
                  </w:tcBorders>
                </w:tcPr>
                <w:p w:rsidR="006E391F" w:rsidRPr="00BC1144" w:rsidRDefault="006E391F" w:rsidP="00336FA0">
                  <w:pPr>
                    <w:pStyle w:val="TableColumnHeading"/>
                    <w:jc w:val="left"/>
                  </w:pPr>
                  <w:r w:rsidRPr="00BC1144">
                    <w:t>Equity group</w:t>
                  </w:r>
                </w:p>
              </w:tc>
              <w:tc>
                <w:tcPr>
                  <w:tcW w:w="125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Additional students</w:t>
                  </w:r>
                </w:p>
                <w:p w:rsidR="006E391F" w:rsidRPr="00BC1144" w:rsidRDefault="006E391F" w:rsidP="00336FA0">
                  <w:pPr>
                    <w:pStyle w:val="TableColumnHeading"/>
                  </w:pPr>
                  <w:r w:rsidRPr="00BC1144">
                    <w:t>%</w:t>
                  </w:r>
                </w:p>
              </w:tc>
              <w:tc>
                <w:tcPr>
                  <w:tcW w:w="1249"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Other students</w:t>
                  </w:r>
                </w:p>
                <w:p w:rsidR="006E391F" w:rsidRPr="00BC1144" w:rsidRDefault="006E391F" w:rsidP="00336FA0">
                  <w:pPr>
                    <w:pStyle w:val="TableColumnHeading"/>
                    <w:ind w:right="28"/>
                  </w:pPr>
                  <w:r w:rsidRPr="00BC1144">
                    <w:t>%</w:t>
                  </w:r>
                </w:p>
              </w:tc>
            </w:tr>
            <w:tr w:rsidR="006E391F" w:rsidRPr="00BC1144" w:rsidTr="005B1B34">
              <w:tc>
                <w:tcPr>
                  <w:tcW w:w="1251" w:type="pct"/>
                  <w:shd w:val="clear" w:color="auto" w:fill="E5F1D0" w:themeFill="accent1" w:themeFillTint="33"/>
                </w:tcPr>
                <w:p w:rsidR="006E391F" w:rsidRPr="00BC1144" w:rsidRDefault="006E391F" w:rsidP="00336FA0">
                  <w:pPr>
                    <w:pStyle w:val="TableBodyText"/>
                    <w:jc w:val="left"/>
                    <w:rPr>
                      <w:b/>
                    </w:rPr>
                  </w:pPr>
                  <w:r w:rsidRPr="00BC1144">
                    <w:rPr>
                      <w:b/>
                    </w:rPr>
                    <w:t>Student attributes</w:t>
                  </w:r>
                </w:p>
              </w:tc>
              <w:tc>
                <w:tcPr>
                  <w:tcW w:w="1250" w:type="pct"/>
                  <w:tcBorders>
                    <w:bottom w:val="single" w:sz="4" w:space="0" w:color="BFBFBF" w:themeColor="background1" w:themeShade="BF"/>
                  </w:tcBorders>
                  <w:shd w:val="clear" w:color="auto" w:fill="E5F1D0" w:themeFill="accent1" w:themeFillTint="33"/>
                </w:tcPr>
                <w:p w:rsidR="006E391F" w:rsidRPr="00BC1144" w:rsidRDefault="006E391F" w:rsidP="00336FA0">
                  <w:pPr>
                    <w:pStyle w:val="TableBodyText"/>
                    <w:jc w:val="left"/>
                    <w:rPr>
                      <w:b/>
                    </w:rPr>
                  </w:pPr>
                </w:p>
              </w:tc>
              <w:tc>
                <w:tcPr>
                  <w:tcW w:w="1250" w:type="pct"/>
                  <w:tcBorders>
                    <w:bottom w:val="single" w:sz="4" w:space="0" w:color="BFBFBF" w:themeColor="background1" w:themeShade="BF"/>
                  </w:tcBorders>
                  <w:shd w:val="clear" w:color="auto" w:fill="E5F1D0" w:themeFill="accent1" w:themeFillTint="33"/>
                </w:tcPr>
                <w:p w:rsidR="006E391F" w:rsidRPr="00BC1144" w:rsidRDefault="006E391F" w:rsidP="00336FA0">
                  <w:pPr>
                    <w:pStyle w:val="TableBodyText"/>
                    <w:rPr>
                      <w:b/>
                    </w:rPr>
                  </w:pPr>
                </w:p>
              </w:tc>
              <w:tc>
                <w:tcPr>
                  <w:tcW w:w="1249" w:type="pct"/>
                  <w:tcBorders>
                    <w:bottom w:val="single" w:sz="4" w:space="0" w:color="BFBFBF" w:themeColor="background1" w:themeShade="BF"/>
                  </w:tcBorders>
                  <w:shd w:val="clear" w:color="auto" w:fill="E5F1D0" w:themeFill="accent1" w:themeFillTint="33"/>
                </w:tcPr>
                <w:p w:rsidR="006E391F" w:rsidRPr="00BC1144" w:rsidRDefault="006E391F" w:rsidP="00336FA0">
                  <w:pPr>
                    <w:pStyle w:val="TableBodyText"/>
                    <w:ind w:right="28"/>
                    <w:rPr>
                      <w:b/>
                    </w:rPr>
                  </w:pPr>
                </w:p>
              </w:tc>
            </w:tr>
            <w:tr w:rsidR="006E391F" w:rsidRPr="00BC1144" w:rsidTr="00336FA0">
              <w:tc>
                <w:tcPr>
                  <w:tcW w:w="1251" w:type="pct"/>
                  <w:vMerge w:val="restart"/>
                  <w:shd w:val="clear" w:color="auto" w:fill="auto"/>
                </w:tcPr>
                <w:p w:rsidR="006E391F" w:rsidRPr="00BC1144" w:rsidRDefault="006E391F" w:rsidP="00336FA0">
                  <w:pPr>
                    <w:pStyle w:val="TableBodyText"/>
                    <w:jc w:val="left"/>
                  </w:pPr>
                  <w:r w:rsidRPr="00BC1144">
                    <w:t xml:space="preserve">No ATAR score </w:t>
                  </w:r>
                </w:p>
              </w:tc>
              <w:tc>
                <w:tcPr>
                  <w:tcW w:w="1250" w:type="pct"/>
                  <w:tcBorders>
                    <w:top w:val="single" w:sz="4" w:space="0" w:color="BFBFBF" w:themeColor="background1" w:themeShade="BF"/>
                    <w:bottom w:val="single" w:sz="6" w:space="0" w:color="BFBFBF"/>
                  </w:tcBorders>
                </w:tcPr>
                <w:p w:rsidR="006E391F" w:rsidRPr="00BC1144" w:rsidRDefault="006E391F" w:rsidP="00336FA0">
                  <w:pPr>
                    <w:pStyle w:val="TableBodyText"/>
                    <w:jc w:val="left"/>
                  </w:pPr>
                  <w:r w:rsidRPr="00BC1144">
                    <w:t>Low SES</w:t>
                  </w:r>
                </w:p>
              </w:tc>
              <w:tc>
                <w:tcPr>
                  <w:tcW w:w="1250" w:type="pct"/>
                  <w:tcBorders>
                    <w:top w:val="single" w:sz="4" w:space="0" w:color="BFBFBF" w:themeColor="background1" w:themeShade="BF"/>
                    <w:bottom w:val="single" w:sz="6" w:space="0" w:color="BFBFBF"/>
                  </w:tcBorders>
                  <w:shd w:val="clear" w:color="auto" w:fill="auto"/>
                </w:tcPr>
                <w:p w:rsidR="006E391F" w:rsidRPr="00BC1144" w:rsidRDefault="006E391F" w:rsidP="00336FA0">
                  <w:pPr>
                    <w:pStyle w:val="TableBodyText"/>
                  </w:pPr>
                  <w:r w:rsidRPr="00BC1144">
                    <w:t>42</w:t>
                  </w:r>
                </w:p>
              </w:tc>
              <w:tc>
                <w:tcPr>
                  <w:tcW w:w="1249" w:type="pct"/>
                  <w:tcBorders>
                    <w:top w:val="single" w:sz="4" w:space="0" w:color="BFBFBF" w:themeColor="background1" w:themeShade="BF"/>
                    <w:bottom w:val="single" w:sz="6" w:space="0" w:color="BFBFBF"/>
                  </w:tcBorders>
                  <w:shd w:val="clear" w:color="auto" w:fill="auto"/>
                </w:tcPr>
                <w:p w:rsidR="006E391F" w:rsidRPr="00BC1144" w:rsidRDefault="006E391F" w:rsidP="00336FA0">
                  <w:pPr>
                    <w:pStyle w:val="TableBodyText"/>
                    <w:ind w:right="28"/>
                  </w:pPr>
                  <w:r w:rsidRPr="00BC1144">
                    <w:t>11</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35</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9</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34</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7</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36</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8</w:t>
                  </w:r>
                </w:p>
              </w:tc>
            </w:tr>
            <w:tr w:rsidR="006E391F" w:rsidRPr="00BC1144" w:rsidTr="00336FA0">
              <w:tc>
                <w:tcPr>
                  <w:tcW w:w="1251" w:type="pct"/>
                  <w:vMerge/>
                  <w:tcBorders>
                    <w:bottom w:val="single" w:sz="6" w:space="0" w:color="BFBFBF"/>
                  </w:tcBorders>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20</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3</w:t>
                  </w:r>
                </w:p>
              </w:tc>
            </w:tr>
            <w:tr w:rsidR="006E391F" w:rsidRPr="00BC1144" w:rsidTr="00336FA0">
              <w:tc>
                <w:tcPr>
                  <w:tcW w:w="1251" w:type="pct"/>
                  <w:vMerge w:val="restart"/>
                  <w:shd w:val="clear" w:color="auto" w:fill="auto"/>
                </w:tcPr>
                <w:p w:rsidR="006E391F" w:rsidRPr="00BC1144" w:rsidRDefault="006E391F" w:rsidP="00336FA0">
                  <w:pPr>
                    <w:pStyle w:val="TableBodyText"/>
                    <w:jc w:val="left"/>
                  </w:pPr>
                  <w:r w:rsidRPr="00BC1144">
                    <w:t>Part</w:t>
                  </w:r>
                  <w:r w:rsidRPr="00BC1144">
                    <w:noBreakHyphen/>
                    <w:t>time student in first year of university</w:t>
                  </w:r>
                </w:p>
              </w:tc>
              <w:tc>
                <w:tcPr>
                  <w:tcW w:w="1250" w:type="pct"/>
                  <w:tcBorders>
                    <w:bottom w:val="single" w:sz="6" w:space="0" w:color="BFBFBF"/>
                  </w:tcBorders>
                </w:tcPr>
                <w:p w:rsidR="006E391F" w:rsidRPr="00BC1144" w:rsidRDefault="006E391F" w:rsidP="00336FA0">
                  <w:pPr>
                    <w:pStyle w:val="TableBodyText"/>
                    <w:jc w:val="left"/>
                  </w:pPr>
                  <w:r w:rsidRPr="00BC1144">
                    <w:t>Low SES</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24</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8</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12</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5</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15</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5</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13</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5</w:t>
                  </w:r>
                </w:p>
              </w:tc>
            </w:tr>
            <w:tr w:rsidR="006E391F" w:rsidRPr="00BC1144" w:rsidTr="00336FA0">
              <w:tc>
                <w:tcPr>
                  <w:tcW w:w="1251" w:type="pct"/>
                  <w:vMerge/>
                  <w:tcBorders>
                    <w:bottom w:val="single" w:sz="6" w:space="0" w:color="BFBFBF"/>
                  </w:tcBorders>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6</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3</w:t>
                  </w:r>
                </w:p>
              </w:tc>
            </w:tr>
            <w:tr w:rsidR="006E391F" w:rsidRPr="00BC1144" w:rsidTr="00336FA0">
              <w:tc>
                <w:tcPr>
                  <w:tcW w:w="1251" w:type="pct"/>
                  <w:vMerge w:val="restart"/>
                  <w:shd w:val="clear" w:color="auto" w:fill="auto"/>
                </w:tcPr>
                <w:p w:rsidR="006E391F" w:rsidRPr="00BC1144" w:rsidRDefault="006E391F" w:rsidP="00336FA0">
                  <w:pPr>
                    <w:pStyle w:val="TableBodyText"/>
                    <w:jc w:val="left"/>
                  </w:pPr>
                  <w:r w:rsidRPr="00BC1144">
                    <w:t>Worked in first year of university</w:t>
                  </w:r>
                </w:p>
              </w:tc>
              <w:tc>
                <w:tcPr>
                  <w:tcW w:w="1250" w:type="pct"/>
                  <w:tcBorders>
                    <w:bottom w:val="single" w:sz="6" w:space="0" w:color="BFBFBF"/>
                  </w:tcBorders>
                </w:tcPr>
                <w:p w:rsidR="006E391F" w:rsidRPr="00BC1144" w:rsidRDefault="006E391F" w:rsidP="00336FA0">
                  <w:pPr>
                    <w:pStyle w:val="TableBodyText"/>
                    <w:jc w:val="left"/>
                  </w:pPr>
                  <w:r w:rsidRPr="00BC1144">
                    <w:t>Low SES</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60</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57</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70</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70</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63</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59</w:t>
                  </w:r>
                </w:p>
              </w:tc>
            </w:tr>
            <w:tr w:rsidR="006E391F" w:rsidRPr="00BC1144" w:rsidTr="00336FA0">
              <w:tc>
                <w:tcPr>
                  <w:tcW w:w="1251" w:type="pct"/>
                  <w:vMerge/>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69</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67</w:t>
                  </w:r>
                </w:p>
              </w:tc>
            </w:tr>
            <w:tr w:rsidR="006E391F" w:rsidRPr="00BC1144" w:rsidTr="005B1B34">
              <w:tc>
                <w:tcPr>
                  <w:tcW w:w="1251" w:type="pct"/>
                  <w:vMerge/>
                  <w:tcBorders>
                    <w:bottom w:val="single" w:sz="6" w:space="0" w:color="BFBFBF"/>
                  </w:tcBorders>
                  <w:shd w:val="clear" w:color="auto" w:fill="auto"/>
                </w:tcPr>
                <w:p w:rsidR="006E391F" w:rsidRPr="00BC1144" w:rsidRDefault="006E391F" w:rsidP="00336FA0">
                  <w:pPr>
                    <w:pStyle w:val="TableBodyText"/>
                    <w:jc w:val="left"/>
                  </w:pPr>
                </w:p>
              </w:tc>
              <w:tc>
                <w:tcPr>
                  <w:tcW w:w="1250" w:type="pct"/>
                  <w:tcBorders>
                    <w:bottom w:val="single" w:sz="6" w:space="0" w:color="BFBFBF"/>
                  </w:tcBorders>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tcPr>
                <w:p w:rsidR="006E391F" w:rsidRPr="00BC1144" w:rsidRDefault="006E391F" w:rsidP="00336FA0">
                  <w:pPr>
                    <w:pStyle w:val="TableBodyText"/>
                  </w:pPr>
                  <w:r w:rsidRPr="00BC1144">
                    <w:t>68</w:t>
                  </w:r>
                </w:p>
              </w:tc>
              <w:tc>
                <w:tcPr>
                  <w:tcW w:w="1249" w:type="pct"/>
                  <w:tcBorders>
                    <w:bottom w:val="single" w:sz="6" w:space="0" w:color="BFBFBF"/>
                  </w:tcBorders>
                  <w:shd w:val="clear" w:color="auto" w:fill="auto"/>
                </w:tcPr>
                <w:p w:rsidR="006E391F" w:rsidRPr="00BC1144" w:rsidRDefault="006E391F" w:rsidP="00336FA0">
                  <w:pPr>
                    <w:pStyle w:val="TableBodyText"/>
                    <w:ind w:right="28"/>
                  </w:pPr>
                  <w:r w:rsidRPr="00BC1144">
                    <w:t>68</w:t>
                  </w:r>
                </w:p>
              </w:tc>
            </w:tr>
            <w:tr w:rsidR="006E391F" w:rsidRPr="00BC1144" w:rsidTr="005B1B34">
              <w:tc>
                <w:tcPr>
                  <w:tcW w:w="1251" w:type="pct"/>
                  <w:tcBorders>
                    <w:top w:val="single" w:sz="6" w:space="0" w:color="BFBFBF"/>
                  </w:tcBorders>
                  <w:shd w:val="clear" w:color="auto" w:fill="E5F1D0" w:themeFill="accent1" w:themeFillTint="33"/>
                </w:tcPr>
                <w:p w:rsidR="006E391F" w:rsidRPr="00BC1144" w:rsidRDefault="006E391F" w:rsidP="00336FA0">
                  <w:pPr>
                    <w:pStyle w:val="TableBodyText"/>
                    <w:jc w:val="left"/>
                  </w:pPr>
                  <w:r w:rsidRPr="00BC1144">
                    <w:rPr>
                      <w:b/>
                    </w:rPr>
                    <w:t>Outcomes</w:t>
                  </w:r>
                </w:p>
              </w:tc>
              <w:tc>
                <w:tcPr>
                  <w:tcW w:w="1250" w:type="pct"/>
                  <w:tcBorders>
                    <w:bottom w:val="single" w:sz="6" w:space="0" w:color="BFBFBF"/>
                  </w:tcBorders>
                  <w:shd w:val="clear" w:color="auto" w:fill="E5F1D0" w:themeFill="accent1" w:themeFillTint="33"/>
                </w:tcPr>
                <w:p w:rsidR="006E391F" w:rsidRPr="00BC1144" w:rsidRDefault="006E391F" w:rsidP="00336FA0">
                  <w:pPr>
                    <w:pStyle w:val="TableBodyText"/>
                    <w:jc w:val="left"/>
                  </w:pPr>
                </w:p>
              </w:tc>
              <w:tc>
                <w:tcPr>
                  <w:tcW w:w="1250" w:type="pct"/>
                  <w:tcBorders>
                    <w:bottom w:val="single" w:sz="6" w:space="0" w:color="BFBFBF"/>
                  </w:tcBorders>
                  <w:shd w:val="clear" w:color="auto" w:fill="E5F1D0" w:themeFill="accent1" w:themeFillTint="33"/>
                </w:tcPr>
                <w:p w:rsidR="006E391F" w:rsidRPr="00BC1144" w:rsidRDefault="006E391F" w:rsidP="00336FA0">
                  <w:pPr>
                    <w:pStyle w:val="TableBodyText"/>
                  </w:pPr>
                </w:p>
              </w:tc>
              <w:tc>
                <w:tcPr>
                  <w:tcW w:w="1249" w:type="pct"/>
                  <w:tcBorders>
                    <w:bottom w:val="single" w:sz="6" w:space="0" w:color="BFBFBF"/>
                  </w:tcBorders>
                  <w:shd w:val="clear" w:color="auto" w:fill="E5F1D0" w:themeFill="accent1" w:themeFillTint="33"/>
                </w:tcPr>
                <w:p w:rsidR="006E391F" w:rsidRPr="00BC1144" w:rsidRDefault="006E391F" w:rsidP="00336FA0">
                  <w:pPr>
                    <w:pStyle w:val="TableBodyText"/>
                    <w:ind w:right="28"/>
                  </w:pPr>
                </w:p>
              </w:tc>
            </w:tr>
            <w:tr w:rsidR="006E391F" w:rsidRPr="00BC1144" w:rsidTr="005B1B34">
              <w:tc>
                <w:tcPr>
                  <w:tcW w:w="1251" w:type="pct"/>
                  <w:vMerge w:val="restart"/>
                  <w:shd w:val="clear" w:color="auto" w:fill="auto"/>
                </w:tcPr>
                <w:p w:rsidR="006E391F" w:rsidRPr="00BC1144" w:rsidRDefault="006E391F" w:rsidP="00336FA0">
                  <w:pPr>
                    <w:pStyle w:val="TableBodyText"/>
                    <w:jc w:val="left"/>
                    <w:rPr>
                      <w:b/>
                    </w:rPr>
                  </w:pPr>
                  <w:r w:rsidRPr="00BC1144">
                    <w:t>Completion rate</w:t>
                  </w:r>
                </w:p>
              </w:tc>
              <w:tc>
                <w:tcPr>
                  <w:tcW w:w="1250" w:type="pct"/>
                  <w:tcBorders>
                    <w:bottom w:val="single" w:sz="6" w:space="0" w:color="BFBFBF"/>
                  </w:tcBorders>
                  <w:vAlign w:val="bottom"/>
                </w:tcPr>
                <w:p w:rsidR="006E391F" w:rsidRPr="00BC1144" w:rsidRDefault="006E391F" w:rsidP="00336FA0">
                  <w:pPr>
                    <w:pStyle w:val="TableBodyText"/>
                    <w:jc w:val="left"/>
                  </w:pPr>
                  <w:r w:rsidRPr="00BC1144">
                    <w:t>Low SES</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42</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58</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42</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60</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41</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61</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42</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60</w:t>
                  </w:r>
                </w:p>
              </w:tc>
            </w:tr>
            <w:tr w:rsidR="006E391F" w:rsidRPr="00BC1144" w:rsidTr="00336FA0">
              <w:tc>
                <w:tcPr>
                  <w:tcW w:w="1251" w:type="pct"/>
                  <w:vMerge/>
                  <w:tcBorders>
                    <w:bottom w:val="single" w:sz="6" w:space="0" w:color="BFBFBF"/>
                  </w:tcBorders>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51</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68</w:t>
                  </w:r>
                </w:p>
              </w:tc>
            </w:tr>
            <w:tr w:rsidR="006E391F" w:rsidRPr="00BC1144" w:rsidTr="00336FA0">
              <w:tc>
                <w:tcPr>
                  <w:tcW w:w="1251" w:type="pct"/>
                  <w:vMerge w:val="restart"/>
                  <w:shd w:val="clear" w:color="auto" w:fill="auto"/>
                </w:tcPr>
                <w:p w:rsidR="006E391F" w:rsidRPr="00BC1144" w:rsidRDefault="006E391F" w:rsidP="00336FA0">
                  <w:pPr>
                    <w:pStyle w:val="TableBodyText"/>
                    <w:jc w:val="left"/>
                  </w:pPr>
                  <w:r w:rsidRPr="00BC1144">
                    <w:t>Drop</w:t>
                  </w:r>
                  <w:r w:rsidRPr="00BC1144">
                    <w:noBreakHyphen/>
                    <w:t>out rate</w:t>
                  </w:r>
                </w:p>
              </w:tc>
              <w:tc>
                <w:tcPr>
                  <w:tcW w:w="1250" w:type="pct"/>
                  <w:tcBorders>
                    <w:bottom w:val="single" w:sz="6" w:space="0" w:color="BFBFBF"/>
                  </w:tcBorders>
                  <w:vAlign w:val="bottom"/>
                </w:tcPr>
                <w:p w:rsidR="006E391F" w:rsidRPr="00BC1144" w:rsidRDefault="006E391F" w:rsidP="00336FA0">
                  <w:pPr>
                    <w:pStyle w:val="TableBodyText"/>
                    <w:jc w:val="left"/>
                  </w:pPr>
                  <w:r w:rsidRPr="00BC1144">
                    <w:t>Low SES</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19</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18</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23</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16</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25</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17</w:t>
                  </w:r>
                </w:p>
              </w:tc>
            </w:tr>
            <w:tr w:rsidR="006E391F" w:rsidRPr="00BC1144" w:rsidTr="00336FA0">
              <w:tc>
                <w:tcPr>
                  <w:tcW w:w="1251" w:type="pct"/>
                  <w:vMerge/>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21</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15</w:t>
                  </w:r>
                </w:p>
              </w:tc>
            </w:tr>
            <w:tr w:rsidR="006E391F" w:rsidRPr="00BC1144" w:rsidTr="00336FA0">
              <w:tc>
                <w:tcPr>
                  <w:tcW w:w="1251" w:type="pct"/>
                  <w:vMerge/>
                  <w:tcBorders>
                    <w:bottom w:val="single" w:sz="6" w:space="0" w:color="BFBFBF"/>
                  </w:tcBorders>
                  <w:shd w:val="clear" w:color="auto" w:fill="auto"/>
                  <w:vAlign w:val="bottom"/>
                </w:tcPr>
                <w:p w:rsidR="006E391F" w:rsidRPr="00BC1144" w:rsidRDefault="006E391F" w:rsidP="00336FA0">
                  <w:pPr>
                    <w:pStyle w:val="TableBodyText"/>
                    <w:jc w:val="left"/>
                  </w:pPr>
                </w:p>
              </w:tc>
              <w:tc>
                <w:tcPr>
                  <w:tcW w:w="1250" w:type="pct"/>
                  <w:tcBorders>
                    <w:bottom w:val="single" w:sz="6" w:space="0" w:color="BFBFBF"/>
                  </w:tcBorders>
                  <w:vAlign w:val="bottom"/>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20</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8</w:t>
                  </w:r>
                </w:p>
              </w:tc>
            </w:tr>
            <w:tr w:rsidR="006E391F" w:rsidRPr="00BC1144" w:rsidTr="00336FA0">
              <w:tc>
                <w:tcPr>
                  <w:tcW w:w="1251" w:type="pct"/>
                  <w:vMerge w:val="restart"/>
                  <w:shd w:val="clear" w:color="auto" w:fill="auto"/>
                </w:tcPr>
                <w:p w:rsidR="006E391F" w:rsidRPr="00BC1144" w:rsidRDefault="006E391F" w:rsidP="00336FA0">
                  <w:pPr>
                    <w:pStyle w:val="TableUnitsRow"/>
                    <w:jc w:val="left"/>
                  </w:pPr>
                  <w:r w:rsidRPr="00BC1144">
                    <w:t>Still undertaking</w:t>
                  </w:r>
                </w:p>
              </w:tc>
              <w:tc>
                <w:tcPr>
                  <w:tcW w:w="1250" w:type="pct"/>
                  <w:tcBorders>
                    <w:bottom w:val="single" w:sz="6" w:space="0" w:color="BFBFBF"/>
                  </w:tcBorders>
                  <w:vAlign w:val="bottom"/>
                </w:tcPr>
                <w:p w:rsidR="006E391F" w:rsidRPr="00BC1144" w:rsidRDefault="006E391F" w:rsidP="00336FA0">
                  <w:pPr>
                    <w:pStyle w:val="TableBodyText"/>
                    <w:jc w:val="left"/>
                  </w:pPr>
                  <w:r w:rsidRPr="00BC1144">
                    <w:t>Low SES</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39</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24</w:t>
                  </w:r>
                </w:p>
              </w:tc>
            </w:tr>
            <w:tr w:rsidR="006E391F" w:rsidRPr="00BC1144" w:rsidTr="00336FA0">
              <w:tc>
                <w:tcPr>
                  <w:tcW w:w="1251" w:type="pct"/>
                  <w:vMerge/>
                  <w:shd w:val="clear" w:color="auto" w:fill="auto"/>
                  <w:vAlign w:val="bottom"/>
                </w:tcPr>
                <w:p w:rsidR="006E391F" w:rsidRPr="00BC1144" w:rsidRDefault="006E391F" w:rsidP="00336FA0">
                  <w:pPr>
                    <w:pStyle w:val="TableUnitsRow"/>
                  </w:pPr>
                </w:p>
              </w:tc>
              <w:tc>
                <w:tcPr>
                  <w:tcW w:w="1250" w:type="pct"/>
                  <w:tcBorders>
                    <w:bottom w:val="single" w:sz="6" w:space="0" w:color="BFBFBF"/>
                  </w:tcBorders>
                  <w:vAlign w:val="bottom"/>
                </w:tcPr>
                <w:p w:rsidR="006E391F" w:rsidRPr="00BC1144" w:rsidRDefault="006E391F" w:rsidP="00336FA0">
                  <w:pPr>
                    <w:pStyle w:val="TableBodyText"/>
                    <w:jc w:val="left"/>
                  </w:pPr>
                  <w:r w:rsidRPr="00BC1144">
                    <w:t>First in family</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35</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25</w:t>
                  </w:r>
                </w:p>
              </w:tc>
            </w:tr>
            <w:tr w:rsidR="006E391F" w:rsidRPr="00BC1144" w:rsidTr="00336FA0">
              <w:tc>
                <w:tcPr>
                  <w:tcW w:w="1251" w:type="pct"/>
                  <w:vMerge/>
                  <w:shd w:val="clear" w:color="auto" w:fill="auto"/>
                  <w:vAlign w:val="bottom"/>
                </w:tcPr>
                <w:p w:rsidR="006E391F" w:rsidRPr="00BC1144" w:rsidRDefault="006E391F" w:rsidP="00336FA0">
                  <w:pPr>
                    <w:pStyle w:val="TableUnitsRow"/>
                  </w:pPr>
                </w:p>
              </w:tc>
              <w:tc>
                <w:tcPr>
                  <w:tcW w:w="1250" w:type="pct"/>
                  <w:tcBorders>
                    <w:bottom w:val="single" w:sz="6" w:space="0" w:color="BFBFBF"/>
                  </w:tcBorders>
                  <w:vAlign w:val="bottom"/>
                </w:tcPr>
                <w:p w:rsidR="006E391F" w:rsidRPr="00BC1144" w:rsidRDefault="006E391F" w:rsidP="00336FA0">
                  <w:pPr>
                    <w:pStyle w:val="TableBodyText"/>
                    <w:jc w:val="left"/>
                  </w:pPr>
                  <w:r w:rsidRPr="00BC1144">
                    <w:t>Regional or remote</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34</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22</w:t>
                  </w:r>
                </w:p>
              </w:tc>
            </w:tr>
            <w:tr w:rsidR="006E391F" w:rsidRPr="00BC1144" w:rsidTr="00336FA0">
              <w:tc>
                <w:tcPr>
                  <w:tcW w:w="1251" w:type="pct"/>
                  <w:vMerge/>
                  <w:shd w:val="clear" w:color="auto" w:fill="auto"/>
                  <w:vAlign w:val="bottom"/>
                </w:tcPr>
                <w:p w:rsidR="006E391F" w:rsidRPr="00BC1144" w:rsidRDefault="006E391F" w:rsidP="00336FA0">
                  <w:pPr>
                    <w:pStyle w:val="TableUnitsRow"/>
                  </w:pPr>
                </w:p>
              </w:tc>
              <w:tc>
                <w:tcPr>
                  <w:tcW w:w="1250" w:type="pct"/>
                  <w:tcBorders>
                    <w:bottom w:val="single" w:sz="6" w:space="0" w:color="BFBFBF"/>
                  </w:tcBorders>
                  <w:vAlign w:val="bottom"/>
                </w:tcPr>
                <w:p w:rsidR="006E391F" w:rsidRPr="00BC1144" w:rsidRDefault="006E391F" w:rsidP="00336FA0">
                  <w:pPr>
                    <w:pStyle w:val="TableBodyText"/>
                    <w:jc w:val="left"/>
                  </w:pPr>
                  <w:r w:rsidRPr="00BC1144">
                    <w:t>Any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37</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25</w:t>
                  </w:r>
                </w:p>
              </w:tc>
            </w:tr>
            <w:tr w:rsidR="006E391F" w:rsidRPr="00BC1144" w:rsidTr="00336FA0">
              <w:tc>
                <w:tcPr>
                  <w:tcW w:w="1251" w:type="pct"/>
                  <w:vMerge/>
                  <w:tcBorders>
                    <w:bottom w:val="single" w:sz="6" w:space="0" w:color="BFBFBF"/>
                  </w:tcBorders>
                  <w:shd w:val="clear" w:color="auto" w:fill="auto"/>
                  <w:vAlign w:val="bottom"/>
                </w:tcPr>
                <w:p w:rsidR="006E391F" w:rsidRPr="00BC1144" w:rsidRDefault="006E391F" w:rsidP="00336FA0">
                  <w:pPr>
                    <w:pStyle w:val="TableUnitsRow"/>
                  </w:pPr>
                </w:p>
              </w:tc>
              <w:tc>
                <w:tcPr>
                  <w:tcW w:w="1250" w:type="pct"/>
                  <w:tcBorders>
                    <w:bottom w:val="single" w:sz="6" w:space="0" w:color="BFBFBF"/>
                  </w:tcBorders>
                  <w:vAlign w:val="bottom"/>
                </w:tcPr>
                <w:p w:rsidR="006E391F" w:rsidRPr="00BC1144" w:rsidRDefault="006E391F" w:rsidP="00336FA0">
                  <w:pPr>
                    <w:pStyle w:val="TableBodyText"/>
                    <w:jc w:val="left"/>
                  </w:pPr>
                  <w:r w:rsidRPr="00BC1144">
                    <w:t>No equity group</w:t>
                  </w:r>
                </w:p>
              </w:tc>
              <w:tc>
                <w:tcPr>
                  <w:tcW w:w="1250" w:type="pct"/>
                  <w:tcBorders>
                    <w:bottom w:val="single" w:sz="6" w:space="0" w:color="BFBFBF"/>
                  </w:tcBorders>
                  <w:shd w:val="clear" w:color="auto" w:fill="auto"/>
                  <w:vAlign w:val="bottom"/>
                </w:tcPr>
                <w:p w:rsidR="006E391F" w:rsidRPr="00BC1144" w:rsidRDefault="006E391F" w:rsidP="00336FA0">
                  <w:pPr>
                    <w:pStyle w:val="TableBodyText"/>
                  </w:pPr>
                  <w:r w:rsidRPr="00BC1144">
                    <w:t>29</w:t>
                  </w:r>
                </w:p>
              </w:tc>
              <w:tc>
                <w:tcPr>
                  <w:tcW w:w="1249"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t>24</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The Indigenous equity group is not separately shown due to small sample sizes and unreliability of estimates. Indigenous students are included in the ‘any equity group’ category.</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48" w:name="_Toc10805454"/>
      <w:r w:rsidRPr="00BC1144">
        <w:lastRenderedPageBreak/>
        <w:t>3.</w:t>
      </w:r>
      <w:r w:rsidRPr="00BC1144">
        <w:rPr>
          <w:noProof/>
        </w:rPr>
        <w:t>4</w:t>
      </w:r>
      <w:r w:rsidRPr="00BC1144">
        <w:tab/>
        <w:t>Labour market transitions</w:t>
      </w:r>
      <w:bookmarkEnd w:id="48"/>
    </w:p>
    <w:p w:rsidR="006E391F" w:rsidRPr="00BC1144" w:rsidRDefault="006E391F" w:rsidP="00336FA0">
      <w:pPr>
        <w:pStyle w:val="BodyText"/>
      </w:pPr>
      <w:r w:rsidRPr="00BC1144">
        <w:t>One measure of a successful labour market transition is commencement in a managerial or professional occupation. These are generally considered to be roles in which a university education (or equivalent experience) is needed.</w:t>
      </w:r>
    </w:p>
    <w:p w:rsidR="006E391F" w:rsidRPr="00BC1144" w:rsidRDefault="006E391F" w:rsidP="00336FA0">
      <w:pPr>
        <w:pStyle w:val="BodyText"/>
      </w:pPr>
      <w:r w:rsidRPr="00BC1144">
        <w:t>Equity groups are less represented in these occupations than non</w:t>
      </w:r>
      <w:r w:rsidRPr="00BC1144">
        <w:noBreakHyphen/>
        <w:t xml:space="preserve">equity groups (the top panel of figure 3.11). Moreover, this pattern is persistent. From 2011 to 2017, the relative importance of these occupations among the population of 23 year olds was generally stable for </w:t>
      </w:r>
      <w:r w:rsidRPr="00BC1144">
        <w:rPr>
          <w:i/>
        </w:rPr>
        <w:t>all</w:t>
      </w:r>
      <w:r w:rsidRPr="00BC1144">
        <w:t xml:space="preserve"> groups, including non</w:t>
      </w:r>
      <w:r w:rsidRPr="00BC1144">
        <w:noBreakHyphen/>
        <w:t>equity groups.</w:t>
      </w:r>
      <w:r w:rsidRPr="00BC1144">
        <w:rPr>
          <w:rStyle w:val="FootnoteReference"/>
        </w:rPr>
        <w:footnoteReference w:id="12"/>
      </w:r>
    </w:p>
    <w:p w:rsidR="009F0813" w:rsidRPr="00BC1144" w:rsidRDefault="006E391F" w:rsidP="00336FA0">
      <w:pPr>
        <w:pStyle w:val="BodyText"/>
      </w:pPr>
      <w:r w:rsidRPr="00BC1144">
        <w:t>The prime reason for the under</w:t>
      </w:r>
      <w:r w:rsidRPr="00BC1144">
        <w:noBreakHyphen/>
        <w:t xml:space="preserve">representation of equity groups in managerial and professional occupations is that there has been little progress in degree completion, compared to the rest of the population not in that equity group. The reasons for this lack of progress varied between equity groups. </w:t>
      </w:r>
    </w:p>
    <w:p w:rsidR="006E391F" w:rsidRPr="00BC1144" w:rsidRDefault="006E391F" w:rsidP="00336FA0">
      <w:pPr>
        <w:pStyle w:val="BodyText"/>
      </w:pPr>
      <w:r w:rsidRPr="00BC1144">
        <w:t xml:space="preserve">For some, it was the first hurdle: access. This study finds little improvement in access for young Indigenous or regional or remote students. </w:t>
      </w:r>
    </w:p>
    <w:p w:rsidR="006E391F" w:rsidRPr="00BC1144" w:rsidRDefault="006E391F" w:rsidP="00336FA0">
      <w:pPr>
        <w:pStyle w:val="BodyText"/>
      </w:pPr>
      <w:r w:rsidRPr="00BC1144">
        <w:t>For others, it was the second hurdle: academic outcomes. For example, while the rate of university participation of people from low SES backgrounds increased sharply, this has yet to flow through to degree completion to a material extent. To visualise this, consider 100 young people from low SES backgrounds (table 3.3). In 2010, 36 of them attended university by age 22 years, whereas in 2016, 46 of them attended by age 22 years. But of these ten extra students, only two had graduated by age 23 years — three had dropped out of university, while five were still studying and so their outcomes are yet to be determined. Notwithstanding that some were still studying, the rising drop</w:t>
      </w:r>
      <w:r w:rsidRPr="00BC1144">
        <w:noBreakHyphen/>
        <w:t>out rate for people from low SES backgrounds offset some of the gain in access.</w:t>
      </w:r>
    </w:p>
    <w:p w:rsidR="006E391F" w:rsidRPr="00BC1144" w:rsidRDefault="006E391F" w:rsidP="00336FA0">
      <w:pPr>
        <w:pStyle w:val="BodyText"/>
      </w:pPr>
      <w:r w:rsidRPr="00BC1144">
        <w:t xml:space="preserve">There is little evidence, however, that equity groups struggle at the third hurdle: labour market transitions. Graduates from all equity groups achieve high rates of transition into managerial and professional roles by age 23 years (the bottom panel of figure 3.10).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11</w:t>
            </w:r>
            <w:r w:rsidRPr="00BC1144">
              <w:tab/>
              <w:t>Among graduates, there are far smaller differences in occupational outcomes</w:t>
            </w:r>
          </w:p>
          <w:p w:rsidR="006E391F" w:rsidRPr="00BC1144" w:rsidRDefault="006E391F" w:rsidP="00336FA0">
            <w:pPr>
              <w:pStyle w:val="Subtitle"/>
            </w:pPr>
            <w:r w:rsidRPr="00BC1144">
              <w:t>Prevalence rates of working in managerial and professional occupations at age 23 years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13EE028" wp14:editId="20EF36BF">
                        <wp:extent cx="5400346" cy="4680306"/>
                        <wp:effectExtent l="0" t="0" r="0" b="0"/>
                        <wp:docPr id="43" name="Picture 43" descr="Figure 3.11 shows the proportion indigenous, low socioeconomic status, regional or remote, first in family and non-equity group students employed in managerial or professional occupations. This data is presented separately for all survey participants and those who have graduated university at age 23 years over the period 2004 to 2017. In aggregate, equity groups are considerably under-represented in managerial and professional occupations. However, amongst university graduates, they are similarly represented in managerial and professional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3_10.emf"/>
                                <pic:cNvPicPr/>
                              </pic:nvPicPr>
                              <pic:blipFill>
                                <a:blip r:embed="rId90" cstate="print">
                                  <a:extLst>
                                    <a:ext uri="{28A0092B-C50C-407E-A947-70E740481C1C}">
                                      <a14:useLocalDpi xmlns:a14="http://schemas.microsoft.com/office/drawing/2010/main" val="0"/>
                                    </a:ext>
                                  </a:extLst>
                                </a:blip>
                                <a:stretch>
                                  <a:fillRect/>
                                </a:stretch>
                              </pic:blipFill>
                              <pic:spPr>
                                <a:xfrm>
                                  <a:off x="0" y="0"/>
                                  <a:ext cx="5400346" cy="4680306"/>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The data relate to all survey participants at age 23 years. A professional and managerial occupation is described as requiring a bachelor level degree or higher (more than 5 years of relevant experience may be a substitute to the formal qualification). A full description of occupation categories can be found on the ABS website under ANZSCO definitions. Results for Indigenous people should be interpreted carefully due to the small sample size.</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dyText"/>
      </w:pPr>
    </w:p>
    <w:p w:rsidR="006E391F" w:rsidRPr="00BC1144" w:rsidRDefault="006E391F">
      <w:pPr>
        <w:pStyle w:val="BodyText"/>
        <w:sectPr w:rsidR="006E391F" w:rsidRPr="00BC1144" w:rsidSect="00987993">
          <w:headerReference w:type="even" r:id="rId91"/>
          <w:headerReference w:type="default" r:id="rId92"/>
          <w:footerReference w:type="even" r:id="rId93"/>
          <w:footerReference w:type="default" r:id="rId94"/>
          <w:pgSz w:w="11907" w:h="16840" w:code="9"/>
          <w:pgMar w:top="1985" w:right="1304" w:bottom="1418" w:left="1814" w:header="1701" w:footer="397" w:gutter="0"/>
          <w:pgNumType w:chapSep="period"/>
          <w:cols w:space="720"/>
          <w:docGrid w:linePitch="326"/>
        </w:sectPr>
      </w:pP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3.</w:t>
            </w:r>
            <w:r w:rsidRPr="00BC1144">
              <w:rPr>
                <w:b w:val="0"/>
                <w:noProof/>
              </w:rPr>
              <w:t>3</w:t>
            </w:r>
            <w:r w:rsidRPr="00BC1144">
              <w:tab/>
              <w:t>University participation, completion and outcomes</w:t>
            </w:r>
            <w:r w:rsidRPr="00BC1144">
              <w:rPr>
                <w:rStyle w:val="NoteLabel"/>
                <w:b/>
              </w:rPr>
              <w:t>a</w:t>
            </w:r>
          </w:p>
          <w:p w:rsidR="006E391F" w:rsidRPr="00BC1144" w:rsidRDefault="006E391F" w:rsidP="00336FA0">
            <w:pPr>
              <w:pStyle w:val="Subtitle"/>
            </w:pPr>
            <w:r w:rsidRPr="00BC1144">
              <w:t>Share of group</w:t>
            </w:r>
          </w:p>
        </w:tc>
      </w:tr>
      <w:tr w:rsidR="006E391F" w:rsidRPr="00BC1144" w:rsidTr="00336FA0">
        <w:tc>
          <w:tcPr>
            <w:tcW w:w="5000" w:type="pct"/>
            <w:tcBorders>
              <w:top w:val="nil"/>
              <w:left w:val="nil"/>
              <w:bottom w:val="nil"/>
              <w:right w:val="nil"/>
            </w:tcBorders>
            <w:shd w:val="clear" w:color="auto" w:fill="auto"/>
          </w:tcPr>
          <w:tbl>
            <w:tblPr>
              <w:tblW w:w="13325" w:type="dxa"/>
              <w:tblCellMar>
                <w:top w:w="28" w:type="dxa"/>
                <w:left w:w="0" w:type="dxa"/>
                <w:right w:w="0" w:type="dxa"/>
              </w:tblCellMar>
              <w:tblLook w:val="0000" w:firstRow="0" w:lastRow="0" w:firstColumn="0" w:lastColumn="0" w:noHBand="0" w:noVBand="0"/>
            </w:tblPr>
            <w:tblGrid>
              <w:gridCol w:w="675"/>
              <w:gridCol w:w="2197"/>
              <w:gridCol w:w="2269"/>
              <w:gridCol w:w="1637"/>
              <w:gridCol w:w="1637"/>
              <w:gridCol w:w="1637"/>
              <w:gridCol w:w="1637"/>
              <w:gridCol w:w="1636"/>
            </w:tblGrid>
            <w:tr w:rsidR="006E391F" w:rsidRPr="00BC1144" w:rsidTr="00336FA0">
              <w:trPr>
                <w:tblHeader/>
              </w:trPr>
              <w:tc>
                <w:tcPr>
                  <w:tcW w:w="253"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Year</w:t>
                  </w:r>
                </w:p>
              </w:tc>
              <w:tc>
                <w:tcPr>
                  <w:tcW w:w="824" w:type="pct"/>
                  <w:tcBorders>
                    <w:top w:val="single" w:sz="6" w:space="0" w:color="BFBFBF"/>
                    <w:bottom w:val="single" w:sz="6" w:space="0" w:color="BFBFBF"/>
                  </w:tcBorders>
                </w:tcPr>
                <w:p w:rsidR="006E391F" w:rsidRPr="00BC1144" w:rsidRDefault="006E391F" w:rsidP="00336FA0">
                  <w:pPr>
                    <w:pStyle w:val="TableColumnHeading"/>
                    <w:jc w:val="left"/>
                  </w:pPr>
                  <w:r w:rsidRPr="00BC1144">
                    <w:t>Stage</w:t>
                  </w:r>
                </w:p>
              </w:tc>
              <w:tc>
                <w:tcPr>
                  <w:tcW w:w="851"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Result</w:t>
                  </w:r>
                </w:p>
              </w:tc>
              <w:tc>
                <w:tcPr>
                  <w:tcW w:w="61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Low SES</w:t>
                  </w:r>
                </w:p>
              </w:tc>
              <w:tc>
                <w:tcPr>
                  <w:tcW w:w="614" w:type="pct"/>
                  <w:tcBorders>
                    <w:top w:val="single" w:sz="6" w:space="0" w:color="BFBFBF"/>
                    <w:bottom w:val="single" w:sz="6" w:space="0" w:color="BFBFBF"/>
                  </w:tcBorders>
                </w:tcPr>
                <w:p w:rsidR="006E391F" w:rsidRPr="00BC1144" w:rsidRDefault="006E391F" w:rsidP="00336FA0">
                  <w:pPr>
                    <w:pStyle w:val="TableColumnHeading"/>
                    <w:ind w:right="28"/>
                  </w:pPr>
                  <w:r w:rsidRPr="00BC1144">
                    <w:t>First in family</w:t>
                  </w:r>
                </w:p>
              </w:tc>
              <w:tc>
                <w:tcPr>
                  <w:tcW w:w="614" w:type="pct"/>
                  <w:tcBorders>
                    <w:top w:val="single" w:sz="6" w:space="0" w:color="BFBFBF"/>
                    <w:bottom w:val="single" w:sz="6" w:space="0" w:color="BFBFBF"/>
                  </w:tcBorders>
                </w:tcPr>
                <w:p w:rsidR="006E391F" w:rsidRPr="00BC1144" w:rsidRDefault="006E391F" w:rsidP="00336FA0">
                  <w:pPr>
                    <w:pStyle w:val="TableColumnHeading"/>
                    <w:ind w:right="28"/>
                  </w:pPr>
                  <w:r w:rsidRPr="00BC1144">
                    <w:t>Indigenous</w:t>
                  </w:r>
                </w:p>
              </w:tc>
              <w:tc>
                <w:tcPr>
                  <w:tcW w:w="614" w:type="pct"/>
                  <w:tcBorders>
                    <w:top w:val="single" w:sz="6" w:space="0" w:color="BFBFBF"/>
                    <w:bottom w:val="single" w:sz="6" w:space="0" w:color="BFBFBF"/>
                  </w:tcBorders>
                </w:tcPr>
                <w:p w:rsidR="006E391F" w:rsidRPr="00BC1144" w:rsidRDefault="006E391F" w:rsidP="00336FA0">
                  <w:pPr>
                    <w:pStyle w:val="TableColumnHeading"/>
                    <w:ind w:right="28"/>
                  </w:pPr>
                  <w:r w:rsidRPr="00BC1144">
                    <w:t>Regional or remote</w:t>
                  </w:r>
                </w:p>
              </w:tc>
              <w:tc>
                <w:tcPr>
                  <w:tcW w:w="614" w:type="pct"/>
                  <w:tcBorders>
                    <w:top w:val="single" w:sz="6" w:space="0" w:color="BFBFBF"/>
                    <w:bottom w:val="single" w:sz="6" w:space="0" w:color="BFBFBF"/>
                  </w:tcBorders>
                </w:tcPr>
                <w:p w:rsidR="006E391F" w:rsidRPr="00BC1144" w:rsidRDefault="006E391F" w:rsidP="00336FA0">
                  <w:pPr>
                    <w:pStyle w:val="TableColumnHeading"/>
                    <w:ind w:right="28"/>
                  </w:pPr>
                  <w:r w:rsidRPr="00BC1144">
                    <w:t>No equity group</w:t>
                  </w:r>
                </w:p>
              </w:tc>
            </w:tr>
            <w:tr w:rsidR="006E391F" w:rsidRPr="00BC1144" w:rsidTr="00336FA0">
              <w:tc>
                <w:tcPr>
                  <w:tcW w:w="253" w:type="pct"/>
                  <w:tcBorders>
                    <w:top w:val="single" w:sz="6" w:space="0" w:color="BFBFBF"/>
                  </w:tcBorders>
                </w:tcPr>
                <w:p w:rsidR="006E391F" w:rsidRPr="00BC1144" w:rsidRDefault="006E391F" w:rsidP="00336FA0">
                  <w:pPr>
                    <w:pStyle w:val="TableUnitsRow"/>
                    <w:jc w:val="left"/>
                  </w:pPr>
                </w:p>
              </w:tc>
              <w:tc>
                <w:tcPr>
                  <w:tcW w:w="824" w:type="pct"/>
                  <w:tcBorders>
                    <w:top w:val="single" w:sz="6" w:space="0" w:color="BFBFBF"/>
                  </w:tcBorders>
                </w:tcPr>
                <w:p w:rsidR="006E391F" w:rsidRPr="00BC1144" w:rsidRDefault="006E391F" w:rsidP="00336FA0">
                  <w:pPr>
                    <w:pStyle w:val="TableUnitsRow"/>
                    <w:jc w:val="left"/>
                  </w:pPr>
                </w:p>
              </w:tc>
              <w:tc>
                <w:tcPr>
                  <w:tcW w:w="851" w:type="pct"/>
                  <w:tcBorders>
                    <w:top w:val="single" w:sz="6" w:space="0" w:color="BFBFBF"/>
                  </w:tcBorders>
                </w:tcPr>
                <w:p w:rsidR="006E391F" w:rsidRPr="00BC1144" w:rsidRDefault="006E391F" w:rsidP="00336FA0">
                  <w:pPr>
                    <w:pStyle w:val="TableUnitsRow"/>
                    <w:jc w:val="left"/>
                  </w:pPr>
                </w:p>
              </w:tc>
              <w:tc>
                <w:tcPr>
                  <w:tcW w:w="614" w:type="pct"/>
                  <w:tcBorders>
                    <w:top w:val="single" w:sz="6" w:space="0" w:color="BFBFBF"/>
                  </w:tcBorders>
                  <w:vAlign w:val="bottom"/>
                </w:tcPr>
                <w:p w:rsidR="006E391F" w:rsidRPr="00BC1144" w:rsidRDefault="006E391F" w:rsidP="00336FA0">
                  <w:pPr>
                    <w:pStyle w:val="TableBodyText"/>
                    <w:ind w:right="28"/>
                  </w:pPr>
                  <w:r w:rsidRPr="00BC1144">
                    <w:t>%</w:t>
                  </w:r>
                </w:p>
              </w:tc>
              <w:tc>
                <w:tcPr>
                  <w:tcW w:w="614" w:type="pct"/>
                  <w:tcBorders>
                    <w:top w:val="single" w:sz="6" w:space="0" w:color="BFBFBF"/>
                  </w:tcBorders>
                  <w:vAlign w:val="bottom"/>
                </w:tcPr>
                <w:p w:rsidR="006E391F" w:rsidRPr="00BC1144" w:rsidRDefault="006E391F" w:rsidP="00336FA0">
                  <w:pPr>
                    <w:pStyle w:val="TableBodyText"/>
                    <w:ind w:right="28"/>
                  </w:pPr>
                  <w:r w:rsidRPr="00BC1144">
                    <w:t>%</w:t>
                  </w:r>
                </w:p>
              </w:tc>
              <w:tc>
                <w:tcPr>
                  <w:tcW w:w="614" w:type="pct"/>
                  <w:tcBorders>
                    <w:top w:val="single" w:sz="6" w:space="0" w:color="BFBFBF"/>
                  </w:tcBorders>
                  <w:vAlign w:val="bottom"/>
                </w:tcPr>
                <w:p w:rsidR="006E391F" w:rsidRPr="00BC1144" w:rsidRDefault="006E391F" w:rsidP="00336FA0">
                  <w:pPr>
                    <w:pStyle w:val="TableBodyText"/>
                    <w:ind w:right="28"/>
                  </w:pPr>
                  <w:r w:rsidRPr="00BC1144">
                    <w:t>%</w:t>
                  </w:r>
                </w:p>
              </w:tc>
              <w:tc>
                <w:tcPr>
                  <w:tcW w:w="614" w:type="pct"/>
                  <w:tcBorders>
                    <w:top w:val="single" w:sz="6" w:space="0" w:color="BFBFBF"/>
                  </w:tcBorders>
                  <w:vAlign w:val="bottom"/>
                </w:tcPr>
                <w:p w:rsidR="006E391F" w:rsidRPr="00BC1144" w:rsidRDefault="006E391F" w:rsidP="00336FA0">
                  <w:pPr>
                    <w:pStyle w:val="TableBodyText"/>
                    <w:ind w:right="28"/>
                  </w:pPr>
                  <w:r w:rsidRPr="00BC1144">
                    <w:t>%</w:t>
                  </w:r>
                </w:p>
              </w:tc>
              <w:tc>
                <w:tcPr>
                  <w:tcW w:w="614" w:type="pct"/>
                  <w:tcBorders>
                    <w:top w:val="single" w:sz="6" w:space="0" w:color="BFBFBF"/>
                  </w:tcBorders>
                  <w:vAlign w:val="bottom"/>
                </w:tcPr>
                <w:p w:rsidR="006E391F" w:rsidRPr="00BC1144" w:rsidRDefault="006E391F" w:rsidP="00336FA0">
                  <w:pPr>
                    <w:pStyle w:val="TableBodyText"/>
                    <w:ind w:right="28"/>
                  </w:pPr>
                  <w:r w:rsidRPr="00BC1144">
                    <w:t>%</w:t>
                  </w:r>
                </w:p>
              </w:tc>
            </w:tr>
            <w:tr w:rsidR="006E391F" w:rsidRPr="00BC1144" w:rsidTr="00336FA0">
              <w:tc>
                <w:tcPr>
                  <w:tcW w:w="253" w:type="pct"/>
                </w:tcPr>
                <w:p w:rsidR="006E391F" w:rsidRPr="00BC1144" w:rsidRDefault="006E391F" w:rsidP="00336FA0">
                  <w:pPr>
                    <w:pStyle w:val="TableBodyText"/>
                    <w:jc w:val="left"/>
                  </w:pPr>
                  <w:r w:rsidRPr="00BC1144">
                    <w:t>2010</w:t>
                  </w:r>
                </w:p>
              </w:tc>
              <w:tc>
                <w:tcPr>
                  <w:tcW w:w="824" w:type="pct"/>
                </w:tcPr>
                <w:p w:rsidR="006E391F" w:rsidRPr="00BC1144" w:rsidRDefault="006E391F" w:rsidP="00336FA0">
                  <w:pPr>
                    <w:pStyle w:val="TableBodyText"/>
                    <w:jc w:val="left"/>
                  </w:pPr>
                  <w:r w:rsidRPr="00BC1144">
                    <w:t>University participation</w:t>
                  </w:r>
                </w:p>
              </w:tc>
              <w:tc>
                <w:tcPr>
                  <w:tcW w:w="851" w:type="pct"/>
                </w:tcPr>
                <w:p w:rsidR="006E391F" w:rsidRPr="00BC1144" w:rsidRDefault="006E391F" w:rsidP="00336FA0">
                  <w:pPr>
                    <w:pStyle w:val="TableBodyText"/>
                    <w:jc w:val="left"/>
                  </w:pPr>
                  <w:r w:rsidRPr="00BC1144">
                    <w:t>Attended university</w:t>
                  </w:r>
                </w:p>
              </w:tc>
              <w:tc>
                <w:tcPr>
                  <w:tcW w:w="614" w:type="pct"/>
                  <w:vAlign w:val="bottom"/>
                </w:tcPr>
                <w:p w:rsidR="006E391F" w:rsidRPr="00BC1144" w:rsidRDefault="006E391F" w:rsidP="00336FA0">
                  <w:pPr>
                    <w:pStyle w:val="TableBodyText"/>
                    <w:ind w:right="28"/>
                  </w:pPr>
                  <w:r w:rsidRPr="00BC1144">
                    <w:t>36</w:t>
                  </w:r>
                </w:p>
              </w:tc>
              <w:tc>
                <w:tcPr>
                  <w:tcW w:w="614" w:type="pct"/>
                  <w:vAlign w:val="bottom"/>
                </w:tcPr>
                <w:p w:rsidR="006E391F" w:rsidRPr="00BC1144" w:rsidRDefault="006E391F" w:rsidP="00336FA0">
                  <w:pPr>
                    <w:pStyle w:val="TableBodyText"/>
                    <w:ind w:right="28"/>
                  </w:pPr>
                  <w:r w:rsidRPr="00BC1144">
                    <w:t>41</w:t>
                  </w:r>
                </w:p>
              </w:tc>
              <w:tc>
                <w:tcPr>
                  <w:tcW w:w="614" w:type="pct"/>
                  <w:vAlign w:val="bottom"/>
                </w:tcPr>
                <w:p w:rsidR="006E391F" w:rsidRPr="00BC1144" w:rsidRDefault="006E391F" w:rsidP="00336FA0">
                  <w:pPr>
                    <w:pStyle w:val="TableBodyText"/>
                    <w:ind w:right="28"/>
                  </w:pPr>
                  <w:r w:rsidRPr="00BC1144">
                    <w:t>29</w:t>
                  </w:r>
                </w:p>
              </w:tc>
              <w:tc>
                <w:tcPr>
                  <w:tcW w:w="614" w:type="pct"/>
                  <w:vAlign w:val="bottom"/>
                </w:tcPr>
                <w:p w:rsidR="006E391F" w:rsidRPr="00BC1144" w:rsidRDefault="006E391F" w:rsidP="00336FA0">
                  <w:pPr>
                    <w:pStyle w:val="TableBodyText"/>
                    <w:ind w:right="28"/>
                  </w:pPr>
                  <w:r w:rsidRPr="00BC1144">
                    <w:t>47</w:t>
                  </w:r>
                </w:p>
              </w:tc>
              <w:tc>
                <w:tcPr>
                  <w:tcW w:w="614" w:type="pct"/>
                  <w:vAlign w:val="bottom"/>
                </w:tcPr>
                <w:p w:rsidR="006E391F" w:rsidRPr="00BC1144" w:rsidRDefault="006E391F" w:rsidP="00336FA0">
                  <w:pPr>
                    <w:pStyle w:val="TableBodyText"/>
                    <w:ind w:right="28"/>
                  </w:pPr>
                  <w:r w:rsidRPr="00BC1144">
                    <w:t>73</w:t>
                  </w:r>
                </w:p>
              </w:tc>
            </w:tr>
            <w:tr w:rsidR="006E391F" w:rsidRPr="00BC1144" w:rsidTr="00336FA0">
              <w:tc>
                <w:tcPr>
                  <w:tcW w:w="253" w:type="pct"/>
                </w:tcPr>
                <w:p w:rsidR="006E391F" w:rsidRPr="00BC1144" w:rsidRDefault="006E391F" w:rsidP="00336FA0">
                  <w:pPr>
                    <w:pStyle w:val="TableBodyText"/>
                    <w:jc w:val="left"/>
                  </w:pPr>
                  <w:r w:rsidRPr="00BC1144">
                    <w:t>2011</w:t>
                  </w:r>
                </w:p>
              </w:tc>
              <w:tc>
                <w:tcPr>
                  <w:tcW w:w="824" w:type="pct"/>
                </w:tcPr>
                <w:p w:rsidR="006E391F" w:rsidRPr="00BC1144" w:rsidRDefault="006E391F" w:rsidP="00336FA0">
                  <w:pPr>
                    <w:pStyle w:val="TableBodyText"/>
                    <w:jc w:val="left"/>
                  </w:pPr>
                  <w:r w:rsidRPr="00BC1144">
                    <w:t>Academic outcomes</w:t>
                  </w:r>
                </w:p>
              </w:tc>
              <w:tc>
                <w:tcPr>
                  <w:tcW w:w="851" w:type="pct"/>
                </w:tcPr>
                <w:p w:rsidR="006E391F" w:rsidRPr="00BC1144" w:rsidRDefault="006E391F" w:rsidP="00336FA0">
                  <w:pPr>
                    <w:pStyle w:val="TableBodyText"/>
                    <w:jc w:val="left"/>
                  </w:pPr>
                  <w:r w:rsidRPr="00BC1144">
                    <w:t>Completed degree</w:t>
                  </w:r>
                </w:p>
              </w:tc>
              <w:tc>
                <w:tcPr>
                  <w:tcW w:w="614" w:type="pct"/>
                  <w:vAlign w:val="bottom"/>
                </w:tcPr>
                <w:p w:rsidR="006E391F" w:rsidRPr="00BC1144" w:rsidRDefault="006E391F" w:rsidP="00336FA0">
                  <w:pPr>
                    <w:pStyle w:val="TableBodyText"/>
                    <w:ind w:right="28"/>
                  </w:pPr>
                  <w:r w:rsidRPr="00BC1144">
                    <w:t>24</w:t>
                  </w:r>
                </w:p>
              </w:tc>
              <w:tc>
                <w:tcPr>
                  <w:tcW w:w="614" w:type="pct"/>
                  <w:vAlign w:val="bottom"/>
                </w:tcPr>
                <w:p w:rsidR="006E391F" w:rsidRPr="00BC1144" w:rsidRDefault="006E391F" w:rsidP="00336FA0">
                  <w:pPr>
                    <w:pStyle w:val="TableBodyText"/>
                    <w:ind w:right="28"/>
                  </w:pPr>
                  <w:r w:rsidRPr="00BC1144">
                    <w:t>26</w:t>
                  </w:r>
                </w:p>
              </w:tc>
              <w:tc>
                <w:tcPr>
                  <w:tcW w:w="614" w:type="pct"/>
                  <w:vAlign w:val="bottom"/>
                </w:tcPr>
                <w:p w:rsidR="006E391F" w:rsidRPr="00BC1144" w:rsidRDefault="006E391F" w:rsidP="00336FA0">
                  <w:pPr>
                    <w:pStyle w:val="TableBodyText"/>
                    <w:ind w:right="28"/>
                  </w:pPr>
                  <w:r w:rsidRPr="00BC1144">
                    <w:t>12</w:t>
                  </w:r>
                </w:p>
              </w:tc>
              <w:tc>
                <w:tcPr>
                  <w:tcW w:w="614" w:type="pct"/>
                  <w:vAlign w:val="bottom"/>
                </w:tcPr>
                <w:p w:rsidR="006E391F" w:rsidRPr="00BC1144" w:rsidRDefault="006E391F" w:rsidP="00336FA0">
                  <w:pPr>
                    <w:pStyle w:val="TableBodyText"/>
                    <w:ind w:right="28"/>
                  </w:pPr>
                  <w:r w:rsidRPr="00BC1144">
                    <w:t>28</w:t>
                  </w:r>
                </w:p>
              </w:tc>
              <w:tc>
                <w:tcPr>
                  <w:tcW w:w="614" w:type="pct"/>
                  <w:vAlign w:val="bottom"/>
                </w:tcPr>
                <w:p w:rsidR="006E391F" w:rsidRPr="00BC1144" w:rsidRDefault="006E391F" w:rsidP="00336FA0">
                  <w:pPr>
                    <w:pStyle w:val="TableBodyText"/>
                    <w:ind w:right="28"/>
                  </w:pPr>
                  <w:r w:rsidRPr="00BC1144">
                    <w:t>50</w:t>
                  </w:r>
                </w:p>
              </w:tc>
            </w:tr>
            <w:tr w:rsidR="006E391F" w:rsidRPr="00BC1144" w:rsidTr="00336FA0">
              <w:tc>
                <w:tcPr>
                  <w:tcW w:w="253" w:type="pct"/>
                </w:tcPr>
                <w:p w:rsidR="006E391F" w:rsidRPr="00BC1144" w:rsidRDefault="006E391F" w:rsidP="00336FA0">
                  <w:pPr>
                    <w:pStyle w:val="TableBodyText"/>
                    <w:jc w:val="left"/>
                  </w:pPr>
                </w:p>
              </w:tc>
              <w:tc>
                <w:tcPr>
                  <w:tcW w:w="824" w:type="pct"/>
                </w:tcPr>
                <w:p w:rsidR="006E391F" w:rsidRPr="00BC1144" w:rsidRDefault="006E391F" w:rsidP="00336FA0">
                  <w:pPr>
                    <w:pStyle w:val="TableBodyText"/>
                    <w:jc w:val="left"/>
                  </w:pPr>
                </w:p>
              </w:tc>
              <w:tc>
                <w:tcPr>
                  <w:tcW w:w="851" w:type="pct"/>
                </w:tcPr>
                <w:p w:rsidR="006E391F" w:rsidRPr="00BC1144" w:rsidRDefault="006E391F" w:rsidP="00336FA0">
                  <w:pPr>
                    <w:pStyle w:val="TableBodyText"/>
                    <w:jc w:val="left"/>
                  </w:pPr>
                  <w:r w:rsidRPr="00BC1144">
                    <w:t>Still undertaking</w:t>
                  </w:r>
                </w:p>
              </w:tc>
              <w:tc>
                <w:tcPr>
                  <w:tcW w:w="614" w:type="pct"/>
                  <w:vAlign w:val="bottom"/>
                </w:tcPr>
                <w:p w:rsidR="006E391F" w:rsidRPr="00BC1144" w:rsidRDefault="006E391F" w:rsidP="00336FA0">
                  <w:pPr>
                    <w:pStyle w:val="TableBodyText"/>
                    <w:ind w:right="28"/>
                  </w:pPr>
                  <w:r w:rsidRPr="00BC1144">
                    <w:t>7</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10</w:t>
                  </w:r>
                </w:p>
              </w:tc>
              <w:tc>
                <w:tcPr>
                  <w:tcW w:w="614" w:type="pct"/>
                  <w:vAlign w:val="bottom"/>
                </w:tcPr>
                <w:p w:rsidR="006E391F" w:rsidRPr="00BC1144" w:rsidRDefault="006E391F" w:rsidP="00336FA0">
                  <w:pPr>
                    <w:pStyle w:val="TableBodyText"/>
                    <w:ind w:right="28"/>
                  </w:pPr>
                  <w:r w:rsidRPr="00BC1144">
                    <w:t>16</w:t>
                  </w:r>
                </w:p>
              </w:tc>
            </w:tr>
            <w:tr w:rsidR="006E391F" w:rsidRPr="00BC1144" w:rsidTr="00336FA0">
              <w:tc>
                <w:tcPr>
                  <w:tcW w:w="253" w:type="pct"/>
                </w:tcPr>
                <w:p w:rsidR="006E391F" w:rsidRPr="00BC1144" w:rsidRDefault="006E391F" w:rsidP="00336FA0">
                  <w:pPr>
                    <w:pStyle w:val="TableBodyText"/>
                    <w:jc w:val="left"/>
                  </w:pPr>
                </w:p>
              </w:tc>
              <w:tc>
                <w:tcPr>
                  <w:tcW w:w="824" w:type="pct"/>
                </w:tcPr>
                <w:p w:rsidR="006E391F" w:rsidRPr="00BC1144" w:rsidRDefault="006E391F" w:rsidP="00336FA0">
                  <w:pPr>
                    <w:pStyle w:val="TableBodyText"/>
                    <w:jc w:val="left"/>
                  </w:pPr>
                </w:p>
              </w:tc>
              <w:tc>
                <w:tcPr>
                  <w:tcW w:w="851" w:type="pct"/>
                </w:tcPr>
                <w:p w:rsidR="006E391F" w:rsidRPr="00BC1144" w:rsidRDefault="006E391F" w:rsidP="00336FA0">
                  <w:pPr>
                    <w:pStyle w:val="TableBodyText"/>
                    <w:jc w:val="left"/>
                  </w:pPr>
                  <w:r w:rsidRPr="00BC1144">
                    <w:t>Dropped out</w:t>
                  </w:r>
                </w:p>
              </w:tc>
              <w:tc>
                <w:tcPr>
                  <w:tcW w:w="614" w:type="pct"/>
                  <w:vAlign w:val="bottom"/>
                </w:tcPr>
                <w:p w:rsidR="006E391F" w:rsidRPr="00BC1144" w:rsidRDefault="006E391F" w:rsidP="00336FA0">
                  <w:pPr>
                    <w:pStyle w:val="TableBodyText"/>
                    <w:ind w:right="28"/>
                  </w:pPr>
                  <w:r w:rsidRPr="00BC1144">
                    <w:t>6</w:t>
                  </w:r>
                </w:p>
              </w:tc>
              <w:tc>
                <w:tcPr>
                  <w:tcW w:w="614" w:type="pct"/>
                  <w:vAlign w:val="bottom"/>
                </w:tcPr>
                <w:p w:rsidR="006E391F" w:rsidRPr="00BC1144" w:rsidRDefault="006E391F" w:rsidP="00336FA0">
                  <w:pPr>
                    <w:pStyle w:val="TableBodyText"/>
                    <w:ind w:right="28"/>
                  </w:pPr>
                  <w:r w:rsidRPr="00BC1144">
                    <w:t>7</w:t>
                  </w:r>
                </w:p>
              </w:tc>
              <w:tc>
                <w:tcPr>
                  <w:tcW w:w="614" w:type="pct"/>
                  <w:vAlign w:val="bottom"/>
                </w:tcPr>
                <w:p w:rsidR="006E391F" w:rsidRPr="00BC1144" w:rsidRDefault="006E391F" w:rsidP="00336FA0">
                  <w:pPr>
                    <w:pStyle w:val="TableBodyText"/>
                    <w:ind w:right="28"/>
                  </w:pPr>
                  <w:r w:rsidRPr="00BC1144">
                    <w:t>9</w:t>
                  </w:r>
                </w:p>
              </w:tc>
              <w:tc>
                <w:tcPr>
                  <w:tcW w:w="614" w:type="pct"/>
                  <w:vAlign w:val="bottom"/>
                </w:tcPr>
                <w:p w:rsidR="006E391F" w:rsidRPr="00BC1144" w:rsidRDefault="006E391F" w:rsidP="00336FA0">
                  <w:pPr>
                    <w:pStyle w:val="TableBodyText"/>
                    <w:ind w:right="28"/>
                  </w:pPr>
                  <w:r w:rsidRPr="00BC1144">
                    <w:t>9</w:t>
                  </w:r>
                </w:p>
              </w:tc>
              <w:tc>
                <w:tcPr>
                  <w:tcW w:w="614" w:type="pct"/>
                  <w:vAlign w:val="bottom"/>
                </w:tcPr>
                <w:p w:rsidR="006E391F" w:rsidRPr="00BC1144" w:rsidRDefault="006E391F" w:rsidP="00336FA0">
                  <w:pPr>
                    <w:pStyle w:val="TableBodyText"/>
                    <w:ind w:right="28"/>
                  </w:pPr>
                  <w:r w:rsidRPr="00BC1144">
                    <w:t>7</w:t>
                  </w:r>
                </w:p>
              </w:tc>
            </w:tr>
            <w:tr w:rsidR="006E391F" w:rsidRPr="00BC1144" w:rsidTr="00336FA0">
              <w:tc>
                <w:tcPr>
                  <w:tcW w:w="253" w:type="pct"/>
                </w:tcPr>
                <w:p w:rsidR="006E391F" w:rsidRPr="00BC1144" w:rsidRDefault="006E391F" w:rsidP="00336FA0">
                  <w:pPr>
                    <w:pStyle w:val="TableBodyText"/>
                    <w:jc w:val="left"/>
                  </w:pPr>
                  <w:r w:rsidRPr="00BC1144">
                    <w:t>2011</w:t>
                  </w:r>
                </w:p>
              </w:tc>
              <w:tc>
                <w:tcPr>
                  <w:tcW w:w="824" w:type="pct"/>
                </w:tcPr>
                <w:p w:rsidR="006E391F" w:rsidRPr="00BC1144" w:rsidRDefault="006E391F" w:rsidP="00336FA0">
                  <w:pPr>
                    <w:pStyle w:val="TableBodyText"/>
                    <w:jc w:val="left"/>
                  </w:pPr>
                  <w:r w:rsidRPr="00BC1144">
                    <w:t>Labour market transitions</w:t>
                  </w:r>
                </w:p>
              </w:tc>
              <w:tc>
                <w:tcPr>
                  <w:tcW w:w="851" w:type="pct"/>
                </w:tcPr>
                <w:p w:rsidR="006E391F" w:rsidRPr="00BC1144" w:rsidRDefault="006E391F" w:rsidP="00336FA0">
                  <w:pPr>
                    <w:pStyle w:val="TableBodyText"/>
                    <w:jc w:val="left"/>
                  </w:pPr>
                  <w:r w:rsidRPr="00BC1144">
                    <w:t>Manager or professional</w:t>
                  </w:r>
                </w:p>
              </w:tc>
              <w:tc>
                <w:tcPr>
                  <w:tcW w:w="614" w:type="pct"/>
                  <w:vAlign w:val="bottom"/>
                </w:tcPr>
                <w:p w:rsidR="006E391F" w:rsidRPr="00BC1144" w:rsidRDefault="006E391F" w:rsidP="00336FA0">
                  <w:pPr>
                    <w:pStyle w:val="TableBodyText"/>
                    <w:ind w:right="28"/>
                  </w:pPr>
                  <w:r w:rsidRPr="00BC1144">
                    <w:t>13</w:t>
                  </w:r>
                </w:p>
              </w:tc>
              <w:tc>
                <w:tcPr>
                  <w:tcW w:w="614" w:type="pct"/>
                  <w:vAlign w:val="bottom"/>
                </w:tcPr>
                <w:p w:rsidR="006E391F" w:rsidRPr="00BC1144" w:rsidRDefault="006E391F" w:rsidP="00336FA0">
                  <w:pPr>
                    <w:pStyle w:val="TableBodyText"/>
                    <w:ind w:right="28"/>
                  </w:pPr>
                  <w:r w:rsidRPr="00BC1144">
                    <w:t>15</w:t>
                  </w:r>
                </w:p>
              </w:tc>
              <w:tc>
                <w:tcPr>
                  <w:tcW w:w="614" w:type="pct"/>
                  <w:vAlign w:val="bottom"/>
                </w:tcPr>
                <w:p w:rsidR="006E391F" w:rsidRPr="00BC1144" w:rsidRDefault="006E391F" w:rsidP="00336FA0">
                  <w:pPr>
                    <w:pStyle w:val="TableBodyText"/>
                    <w:ind w:right="28"/>
                  </w:pPr>
                  <w:r w:rsidRPr="00BC1144">
                    <w:t>7</w:t>
                  </w:r>
                </w:p>
              </w:tc>
              <w:tc>
                <w:tcPr>
                  <w:tcW w:w="614" w:type="pct"/>
                  <w:vAlign w:val="bottom"/>
                </w:tcPr>
                <w:p w:rsidR="006E391F" w:rsidRPr="00BC1144" w:rsidRDefault="006E391F" w:rsidP="00336FA0">
                  <w:pPr>
                    <w:pStyle w:val="TableBodyText"/>
                    <w:ind w:right="28"/>
                  </w:pPr>
                  <w:r w:rsidRPr="00BC1144">
                    <w:t>17</w:t>
                  </w:r>
                </w:p>
              </w:tc>
              <w:tc>
                <w:tcPr>
                  <w:tcW w:w="614" w:type="pct"/>
                  <w:vAlign w:val="bottom"/>
                </w:tcPr>
                <w:p w:rsidR="006E391F" w:rsidRPr="00BC1144" w:rsidRDefault="006E391F" w:rsidP="00336FA0">
                  <w:pPr>
                    <w:pStyle w:val="TableBodyText"/>
                    <w:ind w:right="28"/>
                  </w:pPr>
                  <w:r w:rsidRPr="00BC1144">
                    <w:t>27</w:t>
                  </w:r>
                </w:p>
              </w:tc>
            </w:tr>
            <w:tr w:rsidR="006E391F" w:rsidRPr="00BC1144" w:rsidTr="00336FA0">
              <w:tc>
                <w:tcPr>
                  <w:tcW w:w="253" w:type="pct"/>
                </w:tcPr>
                <w:p w:rsidR="006E391F" w:rsidRPr="00BC1144" w:rsidRDefault="006E391F" w:rsidP="00336FA0">
                  <w:pPr>
                    <w:pStyle w:val="TableBodyText"/>
                    <w:jc w:val="left"/>
                  </w:pPr>
                </w:p>
              </w:tc>
              <w:tc>
                <w:tcPr>
                  <w:tcW w:w="824" w:type="pct"/>
                </w:tcPr>
                <w:p w:rsidR="006E391F" w:rsidRPr="00BC1144" w:rsidRDefault="006E391F" w:rsidP="00336FA0">
                  <w:pPr>
                    <w:pStyle w:val="TableBodyText"/>
                    <w:jc w:val="left"/>
                  </w:pPr>
                </w:p>
              </w:tc>
              <w:tc>
                <w:tcPr>
                  <w:tcW w:w="851" w:type="pct"/>
                </w:tcPr>
                <w:p w:rsidR="006E391F" w:rsidRPr="00BC1144" w:rsidRDefault="006E391F" w:rsidP="00336FA0">
                  <w:pPr>
                    <w:pStyle w:val="TableBodyText"/>
                    <w:jc w:val="left"/>
                  </w:pPr>
                </w:p>
              </w:tc>
              <w:tc>
                <w:tcPr>
                  <w:tcW w:w="614" w:type="pct"/>
                  <w:vAlign w:val="bottom"/>
                </w:tcPr>
                <w:p w:rsidR="006E391F" w:rsidRPr="00BC1144" w:rsidRDefault="006E391F" w:rsidP="00336FA0">
                  <w:pPr>
                    <w:pStyle w:val="TableBodyText"/>
                    <w:ind w:right="28"/>
                  </w:pPr>
                </w:p>
              </w:tc>
              <w:tc>
                <w:tcPr>
                  <w:tcW w:w="614" w:type="pct"/>
                  <w:vAlign w:val="bottom"/>
                </w:tcPr>
                <w:p w:rsidR="006E391F" w:rsidRPr="00BC1144" w:rsidRDefault="006E391F" w:rsidP="00336FA0">
                  <w:pPr>
                    <w:pStyle w:val="TableBodyText"/>
                    <w:ind w:right="28"/>
                  </w:pPr>
                </w:p>
              </w:tc>
              <w:tc>
                <w:tcPr>
                  <w:tcW w:w="614" w:type="pct"/>
                  <w:vAlign w:val="bottom"/>
                </w:tcPr>
                <w:p w:rsidR="006E391F" w:rsidRPr="00BC1144" w:rsidRDefault="006E391F" w:rsidP="00336FA0">
                  <w:pPr>
                    <w:pStyle w:val="TableBodyText"/>
                    <w:ind w:right="28"/>
                  </w:pPr>
                </w:p>
              </w:tc>
              <w:tc>
                <w:tcPr>
                  <w:tcW w:w="614" w:type="pct"/>
                  <w:vAlign w:val="bottom"/>
                </w:tcPr>
                <w:p w:rsidR="006E391F" w:rsidRPr="00BC1144" w:rsidRDefault="006E391F" w:rsidP="00336FA0">
                  <w:pPr>
                    <w:pStyle w:val="TableBodyText"/>
                    <w:ind w:right="28"/>
                  </w:pPr>
                </w:p>
              </w:tc>
              <w:tc>
                <w:tcPr>
                  <w:tcW w:w="614" w:type="pct"/>
                  <w:vAlign w:val="bottom"/>
                </w:tcPr>
                <w:p w:rsidR="006E391F" w:rsidRPr="00BC1144" w:rsidRDefault="006E391F" w:rsidP="00336FA0">
                  <w:pPr>
                    <w:pStyle w:val="TableBodyText"/>
                    <w:ind w:right="28"/>
                  </w:pPr>
                </w:p>
              </w:tc>
            </w:tr>
            <w:tr w:rsidR="006E391F" w:rsidRPr="00BC1144" w:rsidTr="00336FA0">
              <w:tc>
                <w:tcPr>
                  <w:tcW w:w="253" w:type="pct"/>
                </w:tcPr>
                <w:p w:rsidR="006E391F" w:rsidRPr="00BC1144" w:rsidRDefault="006E391F" w:rsidP="00336FA0">
                  <w:pPr>
                    <w:pStyle w:val="TableBodyText"/>
                    <w:jc w:val="left"/>
                  </w:pPr>
                  <w:r w:rsidRPr="00BC1144">
                    <w:t>2016</w:t>
                  </w:r>
                </w:p>
              </w:tc>
              <w:tc>
                <w:tcPr>
                  <w:tcW w:w="824" w:type="pct"/>
                </w:tcPr>
                <w:p w:rsidR="006E391F" w:rsidRPr="00BC1144" w:rsidRDefault="006E391F" w:rsidP="00336FA0">
                  <w:pPr>
                    <w:pStyle w:val="TableBodyText"/>
                    <w:jc w:val="left"/>
                  </w:pPr>
                  <w:r w:rsidRPr="00BC1144">
                    <w:t>University participation</w:t>
                  </w:r>
                </w:p>
              </w:tc>
              <w:tc>
                <w:tcPr>
                  <w:tcW w:w="851" w:type="pct"/>
                </w:tcPr>
                <w:p w:rsidR="006E391F" w:rsidRPr="00BC1144" w:rsidRDefault="006E391F" w:rsidP="00336FA0">
                  <w:pPr>
                    <w:pStyle w:val="TableBodyText"/>
                    <w:jc w:val="left"/>
                  </w:pPr>
                  <w:r w:rsidRPr="00BC1144">
                    <w:t>Attended university</w:t>
                  </w:r>
                </w:p>
              </w:tc>
              <w:tc>
                <w:tcPr>
                  <w:tcW w:w="614" w:type="pct"/>
                  <w:vAlign w:val="bottom"/>
                </w:tcPr>
                <w:p w:rsidR="006E391F" w:rsidRPr="00BC1144" w:rsidRDefault="006E391F" w:rsidP="00336FA0">
                  <w:pPr>
                    <w:pStyle w:val="TableBodyText"/>
                    <w:ind w:right="28"/>
                  </w:pPr>
                  <w:r w:rsidRPr="00BC1144">
                    <w:t>46</w:t>
                  </w:r>
                </w:p>
              </w:tc>
              <w:tc>
                <w:tcPr>
                  <w:tcW w:w="614" w:type="pct"/>
                  <w:vAlign w:val="bottom"/>
                </w:tcPr>
                <w:p w:rsidR="006E391F" w:rsidRPr="00BC1144" w:rsidRDefault="006E391F" w:rsidP="00336FA0">
                  <w:pPr>
                    <w:pStyle w:val="TableBodyText"/>
                    <w:ind w:right="28"/>
                  </w:pPr>
                  <w:r w:rsidRPr="00BC1144">
                    <w:t>47</w:t>
                  </w:r>
                </w:p>
              </w:tc>
              <w:tc>
                <w:tcPr>
                  <w:tcW w:w="614" w:type="pct"/>
                  <w:vAlign w:val="bottom"/>
                </w:tcPr>
                <w:p w:rsidR="006E391F" w:rsidRPr="00BC1144" w:rsidRDefault="006E391F" w:rsidP="00336FA0">
                  <w:pPr>
                    <w:pStyle w:val="TableBodyText"/>
                    <w:ind w:right="28"/>
                  </w:pPr>
                  <w:r w:rsidRPr="00BC1144">
                    <w:t>29</w:t>
                  </w:r>
                </w:p>
              </w:tc>
              <w:tc>
                <w:tcPr>
                  <w:tcW w:w="614" w:type="pct"/>
                  <w:vAlign w:val="bottom"/>
                </w:tcPr>
                <w:p w:rsidR="006E391F" w:rsidRPr="00BC1144" w:rsidRDefault="006E391F" w:rsidP="00336FA0">
                  <w:pPr>
                    <w:pStyle w:val="TableBodyText"/>
                    <w:ind w:right="28"/>
                  </w:pPr>
                  <w:r w:rsidRPr="00BC1144">
                    <w:t>47</w:t>
                  </w:r>
                </w:p>
              </w:tc>
              <w:tc>
                <w:tcPr>
                  <w:tcW w:w="614" w:type="pct"/>
                  <w:vAlign w:val="bottom"/>
                </w:tcPr>
                <w:p w:rsidR="006E391F" w:rsidRPr="00BC1144" w:rsidRDefault="006E391F" w:rsidP="00336FA0">
                  <w:pPr>
                    <w:pStyle w:val="TableBodyText"/>
                    <w:ind w:right="28"/>
                  </w:pPr>
                  <w:r w:rsidRPr="00BC1144">
                    <w:t>83</w:t>
                  </w:r>
                </w:p>
              </w:tc>
            </w:tr>
            <w:tr w:rsidR="006E391F" w:rsidRPr="00BC1144" w:rsidTr="00336FA0">
              <w:tc>
                <w:tcPr>
                  <w:tcW w:w="253" w:type="pct"/>
                </w:tcPr>
                <w:p w:rsidR="006E391F" w:rsidRPr="00BC1144" w:rsidRDefault="006E391F" w:rsidP="00336FA0">
                  <w:pPr>
                    <w:pStyle w:val="TableBodyText"/>
                    <w:jc w:val="left"/>
                  </w:pPr>
                  <w:r w:rsidRPr="00BC1144">
                    <w:t>2017</w:t>
                  </w:r>
                </w:p>
              </w:tc>
              <w:tc>
                <w:tcPr>
                  <w:tcW w:w="824" w:type="pct"/>
                </w:tcPr>
                <w:p w:rsidR="006E391F" w:rsidRPr="00BC1144" w:rsidRDefault="006E391F" w:rsidP="00336FA0">
                  <w:pPr>
                    <w:pStyle w:val="TableBodyText"/>
                    <w:jc w:val="left"/>
                  </w:pPr>
                  <w:r w:rsidRPr="00BC1144">
                    <w:t>University outcome</w:t>
                  </w:r>
                </w:p>
              </w:tc>
              <w:tc>
                <w:tcPr>
                  <w:tcW w:w="851" w:type="pct"/>
                </w:tcPr>
                <w:p w:rsidR="006E391F" w:rsidRPr="00BC1144" w:rsidRDefault="006E391F" w:rsidP="00336FA0">
                  <w:pPr>
                    <w:pStyle w:val="TableBodyText"/>
                    <w:jc w:val="left"/>
                  </w:pPr>
                  <w:r w:rsidRPr="00BC1144">
                    <w:t>Completed degree</w:t>
                  </w:r>
                </w:p>
              </w:tc>
              <w:tc>
                <w:tcPr>
                  <w:tcW w:w="614" w:type="pct"/>
                  <w:vAlign w:val="bottom"/>
                </w:tcPr>
                <w:p w:rsidR="006E391F" w:rsidRPr="00BC1144" w:rsidRDefault="006E391F" w:rsidP="00336FA0">
                  <w:pPr>
                    <w:pStyle w:val="TableBodyText"/>
                    <w:ind w:right="28"/>
                  </w:pPr>
                  <w:r w:rsidRPr="00BC1144">
                    <w:t>26</w:t>
                  </w:r>
                </w:p>
              </w:tc>
              <w:tc>
                <w:tcPr>
                  <w:tcW w:w="614" w:type="pct"/>
                  <w:vAlign w:val="bottom"/>
                </w:tcPr>
                <w:p w:rsidR="006E391F" w:rsidRPr="00BC1144" w:rsidRDefault="006E391F" w:rsidP="00336FA0">
                  <w:pPr>
                    <w:pStyle w:val="TableBodyText"/>
                    <w:ind w:right="28"/>
                  </w:pPr>
                  <w:r w:rsidRPr="00BC1144">
                    <w:t>27</w:t>
                  </w:r>
                </w:p>
              </w:tc>
              <w:tc>
                <w:tcPr>
                  <w:tcW w:w="614" w:type="pct"/>
                  <w:vAlign w:val="bottom"/>
                </w:tcPr>
                <w:p w:rsidR="006E391F" w:rsidRPr="00BC1144" w:rsidRDefault="006E391F" w:rsidP="00336FA0">
                  <w:pPr>
                    <w:pStyle w:val="TableBodyText"/>
                    <w:ind w:right="28"/>
                  </w:pPr>
                  <w:r w:rsidRPr="00BC1144">
                    <w:t>16</w:t>
                  </w:r>
                </w:p>
              </w:tc>
              <w:tc>
                <w:tcPr>
                  <w:tcW w:w="614" w:type="pct"/>
                  <w:vAlign w:val="bottom"/>
                </w:tcPr>
                <w:p w:rsidR="006E391F" w:rsidRPr="00BC1144" w:rsidRDefault="006E391F" w:rsidP="00336FA0">
                  <w:pPr>
                    <w:pStyle w:val="TableBodyText"/>
                    <w:ind w:right="28"/>
                  </w:pPr>
                  <w:r w:rsidRPr="00BC1144">
                    <w:t>28</w:t>
                  </w:r>
                </w:p>
              </w:tc>
              <w:tc>
                <w:tcPr>
                  <w:tcW w:w="614" w:type="pct"/>
                  <w:vAlign w:val="bottom"/>
                </w:tcPr>
                <w:p w:rsidR="006E391F" w:rsidRPr="00BC1144" w:rsidRDefault="006E391F" w:rsidP="00336FA0">
                  <w:pPr>
                    <w:pStyle w:val="TableBodyText"/>
                    <w:ind w:right="28"/>
                  </w:pPr>
                  <w:r w:rsidRPr="00BC1144">
                    <w:t>56</w:t>
                  </w:r>
                </w:p>
              </w:tc>
            </w:tr>
            <w:tr w:rsidR="006E391F" w:rsidRPr="00BC1144" w:rsidTr="00336FA0">
              <w:tc>
                <w:tcPr>
                  <w:tcW w:w="253" w:type="pct"/>
                </w:tcPr>
                <w:p w:rsidR="006E391F" w:rsidRPr="00BC1144" w:rsidRDefault="006E391F" w:rsidP="00336FA0">
                  <w:pPr>
                    <w:pStyle w:val="TableBodyText"/>
                    <w:jc w:val="left"/>
                  </w:pPr>
                </w:p>
              </w:tc>
              <w:tc>
                <w:tcPr>
                  <w:tcW w:w="824" w:type="pct"/>
                </w:tcPr>
                <w:p w:rsidR="006E391F" w:rsidRPr="00BC1144" w:rsidRDefault="006E391F" w:rsidP="00336FA0">
                  <w:pPr>
                    <w:pStyle w:val="TableBodyText"/>
                    <w:jc w:val="left"/>
                  </w:pPr>
                </w:p>
              </w:tc>
              <w:tc>
                <w:tcPr>
                  <w:tcW w:w="851" w:type="pct"/>
                </w:tcPr>
                <w:p w:rsidR="006E391F" w:rsidRPr="00BC1144" w:rsidRDefault="006E391F" w:rsidP="00336FA0">
                  <w:pPr>
                    <w:pStyle w:val="TableBodyText"/>
                    <w:jc w:val="left"/>
                  </w:pPr>
                  <w:r w:rsidRPr="00BC1144">
                    <w:t>Still undertaking</w:t>
                  </w:r>
                </w:p>
              </w:tc>
              <w:tc>
                <w:tcPr>
                  <w:tcW w:w="614" w:type="pct"/>
                  <w:vAlign w:val="bottom"/>
                </w:tcPr>
                <w:p w:rsidR="006E391F" w:rsidRPr="00BC1144" w:rsidRDefault="006E391F" w:rsidP="00336FA0">
                  <w:pPr>
                    <w:pStyle w:val="TableBodyText"/>
                    <w:ind w:right="28"/>
                  </w:pPr>
                  <w:r w:rsidRPr="00BC1144">
                    <w:t>12</w:t>
                  </w:r>
                </w:p>
              </w:tc>
              <w:tc>
                <w:tcPr>
                  <w:tcW w:w="614" w:type="pct"/>
                  <w:vAlign w:val="bottom"/>
                </w:tcPr>
                <w:p w:rsidR="006E391F" w:rsidRPr="00BC1144" w:rsidRDefault="006E391F" w:rsidP="00336FA0">
                  <w:pPr>
                    <w:pStyle w:val="TableBodyText"/>
                    <w:ind w:right="28"/>
                  </w:pPr>
                  <w:r w:rsidRPr="00BC1144">
                    <w:t>12</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11</w:t>
                  </w:r>
                </w:p>
              </w:tc>
              <w:tc>
                <w:tcPr>
                  <w:tcW w:w="614" w:type="pct"/>
                  <w:vAlign w:val="bottom"/>
                </w:tcPr>
                <w:p w:rsidR="006E391F" w:rsidRPr="00BC1144" w:rsidRDefault="006E391F" w:rsidP="00336FA0">
                  <w:pPr>
                    <w:pStyle w:val="TableBodyText"/>
                    <w:ind w:right="28"/>
                  </w:pPr>
                  <w:r w:rsidRPr="00BC1144">
                    <w:t>20</w:t>
                  </w:r>
                </w:p>
              </w:tc>
            </w:tr>
            <w:tr w:rsidR="006E391F" w:rsidRPr="00BC1144" w:rsidTr="00336FA0">
              <w:tc>
                <w:tcPr>
                  <w:tcW w:w="253" w:type="pct"/>
                </w:tcPr>
                <w:p w:rsidR="006E391F" w:rsidRPr="00BC1144" w:rsidRDefault="006E391F" w:rsidP="00336FA0">
                  <w:pPr>
                    <w:pStyle w:val="TableBodyText"/>
                    <w:jc w:val="left"/>
                  </w:pPr>
                </w:p>
              </w:tc>
              <w:tc>
                <w:tcPr>
                  <w:tcW w:w="824" w:type="pct"/>
                </w:tcPr>
                <w:p w:rsidR="006E391F" w:rsidRPr="00BC1144" w:rsidRDefault="006E391F" w:rsidP="00336FA0">
                  <w:pPr>
                    <w:pStyle w:val="TableBodyText"/>
                    <w:jc w:val="left"/>
                  </w:pPr>
                </w:p>
              </w:tc>
              <w:tc>
                <w:tcPr>
                  <w:tcW w:w="851" w:type="pct"/>
                </w:tcPr>
                <w:p w:rsidR="006E391F" w:rsidRPr="00BC1144" w:rsidRDefault="006E391F" w:rsidP="00336FA0">
                  <w:pPr>
                    <w:pStyle w:val="TableBodyText"/>
                    <w:jc w:val="left"/>
                  </w:pPr>
                  <w:r w:rsidRPr="00BC1144">
                    <w:t>Dropped out</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5</w:t>
                  </w:r>
                </w:p>
              </w:tc>
              <w:tc>
                <w:tcPr>
                  <w:tcW w:w="614" w:type="pct"/>
                  <w:vAlign w:val="bottom"/>
                </w:tcPr>
                <w:p w:rsidR="006E391F" w:rsidRPr="00BC1144" w:rsidRDefault="006E391F" w:rsidP="00336FA0">
                  <w:pPr>
                    <w:pStyle w:val="TableBodyText"/>
                    <w:ind w:right="28"/>
                  </w:pPr>
                  <w:r w:rsidRPr="00BC1144">
                    <w:t>8</w:t>
                  </w:r>
                </w:p>
              </w:tc>
              <w:tc>
                <w:tcPr>
                  <w:tcW w:w="614" w:type="pct"/>
                  <w:vAlign w:val="bottom"/>
                </w:tcPr>
                <w:p w:rsidR="006E391F" w:rsidRPr="00BC1144" w:rsidRDefault="006E391F" w:rsidP="00336FA0">
                  <w:pPr>
                    <w:pStyle w:val="TableBodyText"/>
                    <w:ind w:right="28"/>
                  </w:pPr>
                  <w:r w:rsidRPr="00BC1144">
                    <w:t>8</w:t>
                  </w:r>
                </w:p>
              </w:tc>
            </w:tr>
            <w:tr w:rsidR="006E391F" w:rsidRPr="00BC1144" w:rsidTr="00336FA0">
              <w:tc>
                <w:tcPr>
                  <w:tcW w:w="253" w:type="pct"/>
                  <w:tcBorders>
                    <w:bottom w:val="single" w:sz="6" w:space="0" w:color="BFBFBF"/>
                  </w:tcBorders>
                  <w:shd w:val="clear" w:color="auto" w:fill="auto"/>
                </w:tcPr>
                <w:p w:rsidR="006E391F" w:rsidRPr="00BC1144" w:rsidRDefault="006E391F" w:rsidP="00336FA0">
                  <w:pPr>
                    <w:pStyle w:val="TableBodyText"/>
                    <w:jc w:val="left"/>
                  </w:pPr>
                  <w:r w:rsidRPr="00BC1144">
                    <w:t>2017</w:t>
                  </w:r>
                </w:p>
              </w:tc>
              <w:tc>
                <w:tcPr>
                  <w:tcW w:w="824" w:type="pct"/>
                  <w:tcBorders>
                    <w:bottom w:val="single" w:sz="6" w:space="0" w:color="BFBFBF"/>
                  </w:tcBorders>
                </w:tcPr>
                <w:p w:rsidR="006E391F" w:rsidRPr="00BC1144" w:rsidRDefault="006E391F" w:rsidP="00336FA0">
                  <w:pPr>
                    <w:pStyle w:val="TableBodyText"/>
                    <w:jc w:val="left"/>
                  </w:pPr>
                  <w:r w:rsidRPr="00BC1144">
                    <w:t>Labour market transitions</w:t>
                  </w:r>
                </w:p>
              </w:tc>
              <w:tc>
                <w:tcPr>
                  <w:tcW w:w="851" w:type="pct"/>
                  <w:tcBorders>
                    <w:bottom w:val="single" w:sz="6" w:space="0" w:color="BFBFBF"/>
                  </w:tcBorders>
                  <w:shd w:val="clear" w:color="auto" w:fill="auto"/>
                </w:tcPr>
                <w:p w:rsidR="006E391F" w:rsidRPr="00BC1144" w:rsidRDefault="006E391F" w:rsidP="00336FA0">
                  <w:pPr>
                    <w:pStyle w:val="TableBodyText"/>
                    <w:jc w:val="left"/>
                  </w:pPr>
                  <w:r w:rsidRPr="00BC1144">
                    <w:t>Manager or professional</w:t>
                  </w:r>
                </w:p>
              </w:tc>
              <w:tc>
                <w:tcPr>
                  <w:tcW w:w="614" w:type="pct"/>
                  <w:tcBorders>
                    <w:bottom w:val="single" w:sz="6" w:space="0" w:color="BFBFBF"/>
                  </w:tcBorders>
                  <w:shd w:val="clear" w:color="auto" w:fill="auto"/>
                </w:tcPr>
                <w:p w:rsidR="006E391F" w:rsidRPr="00BC1144" w:rsidRDefault="006E391F" w:rsidP="00336FA0">
                  <w:pPr>
                    <w:pStyle w:val="TableBodyText"/>
                    <w:ind w:right="28"/>
                  </w:pPr>
                  <w:r w:rsidRPr="00BC1144">
                    <w:t>13</w:t>
                  </w:r>
                </w:p>
              </w:tc>
              <w:tc>
                <w:tcPr>
                  <w:tcW w:w="614" w:type="pct"/>
                  <w:tcBorders>
                    <w:bottom w:val="single" w:sz="6" w:space="0" w:color="BFBFBF"/>
                  </w:tcBorders>
                </w:tcPr>
                <w:p w:rsidR="006E391F" w:rsidRPr="00BC1144" w:rsidRDefault="006E391F" w:rsidP="00336FA0">
                  <w:pPr>
                    <w:pStyle w:val="TableBodyText"/>
                    <w:ind w:right="28"/>
                  </w:pPr>
                  <w:r w:rsidRPr="00BC1144">
                    <w:t>14</w:t>
                  </w:r>
                </w:p>
              </w:tc>
              <w:tc>
                <w:tcPr>
                  <w:tcW w:w="614" w:type="pct"/>
                  <w:tcBorders>
                    <w:bottom w:val="single" w:sz="6" w:space="0" w:color="BFBFBF"/>
                  </w:tcBorders>
                </w:tcPr>
                <w:p w:rsidR="006E391F" w:rsidRPr="00BC1144" w:rsidRDefault="006E391F" w:rsidP="00336FA0">
                  <w:pPr>
                    <w:pStyle w:val="TableBodyText"/>
                    <w:ind w:right="28"/>
                  </w:pPr>
                  <w:r w:rsidRPr="00BC1144">
                    <w:t>11</w:t>
                  </w:r>
                </w:p>
              </w:tc>
              <w:tc>
                <w:tcPr>
                  <w:tcW w:w="614" w:type="pct"/>
                  <w:tcBorders>
                    <w:bottom w:val="single" w:sz="6" w:space="0" w:color="BFBFBF"/>
                  </w:tcBorders>
                </w:tcPr>
                <w:p w:rsidR="006E391F" w:rsidRPr="00BC1144" w:rsidRDefault="006E391F" w:rsidP="00336FA0">
                  <w:pPr>
                    <w:pStyle w:val="TableBodyText"/>
                    <w:ind w:right="28"/>
                  </w:pPr>
                  <w:r w:rsidRPr="00BC1144">
                    <w:t>17</w:t>
                  </w:r>
                </w:p>
              </w:tc>
              <w:tc>
                <w:tcPr>
                  <w:tcW w:w="614" w:type="pct"/>
                  <w:tcBorders>
                    <w:bottom w:val="single" w:sz="6" w:space="0" w:color="BFBFBF"/>
                  </w:tcBorders>
                </w:tcPr>
                <w:p w:rsidR="006E391F" w:rsidRPr="00BC1144" w:rsidRDefault="006E391F" w:rsidP="00336FA0">
                  <w:pPr>
                    <w:pStyle w:val="TableBodyText"/>
                    <w:ind w:right="28"/>
                  </w:pPr>
                  <w:r w:rsidRPr="00BC1144">
                    <w:t>30</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Data are for two cohorts who were aged 22 years in 2010 or 2016, and 23 years in 2011 or 2017. Labour market outcomes shown are only for those individuals who have completed a bachelor degree. Some of those individuals may be undertaking postgraduate studies. Components may not sum to totals due to rounding. Survey attrition weights in wave 8 (age 22 years) have been applied for internal consistency within the table. The university outcome</w:t>
            </w:r>
            <w:r w:rsidR="009F0813" w:rsidRPr="00BC1144">
              <w:t>s</w:t>
            </w:r>
            <w:r w:rsidRPr="00BC1144">
              <w:t xml:space="preserve"> and labour market transitions data in this table may differ slightly from those reported in figures 3.11 and 3.12 which use wave 9 (age 23 years) survey attrition weights.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rPr>
          <w:trHeight w:val="53"/>
        </w:trPr>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dyText"/>
        <w:sectPr w:rsidR="006E391F" w:rsidRPr="00BC1144" w:rsidSect="006E391F">
          <w:headerReference w:type="even" r:id="rId95"/>
          <w:headerReference w:type="default" r:id="rId96"/>
          <w:footerReference w:type="even" r:id="rId97"/>
          <w:footerReference w:type="default" r:id="rId98"/>
          <w:pgSz w:w="16840" w:h="11907" w:orient="landscape" w:code="9"/>
          <w:pgMar w:top="1814" w:right="1985" w:bottom="1304" w:left="1418" w:header="1701" w:footer="567" w:gutter="0"/>
          <w:pgNumType w:chapSep="period"/>
          <w:cols w:space="720"/>
          <w:docGrid w:linePitch="326"/>
        </w:sectPr>
      </w:pPr>
    </w:p>
    <w:p w:rsidR="006E391F" w:rsidRPr="00BC1144" w:rsidRDefault="006E391F" w:rsidP="006C2DA0">
      <w:pPr>
        <w:pStyle w:val="Heading2"/>
        <w:spacing w:before="360"/>
      </w:pPr>
      <w:bookmarkStart w:id="49" w:name="_Toc10805455"/>
      <w:r w:rsidRPr="00BC1144">
        <w:lastRenderedPageBreak/>
        <w:t>3.</w:t>
      </w:r>
      <w:r w:rsidRPr="00BC1144">
        <w:rPr>
          <w:noProof/>
        </w:rPr>
        <w:t>5</w:t>
      </w:r>
      <w:r w:rsidRPr="00BC1144">
        <w:tab/>
        <w:t>Summing up</w:t>
      </w:r>
      <w:bookmarkEnd w:id="49"/>
    </w:p>
    <w:p w:rsidR="006E391F" w:rsidRPr="00BC1144" w:rsidRDefault="006E391F" w:rsidP="00336FA0">
      <w:pPr>
        <w:pStyle w:val="BodyText"/>
        <w:rPr>
          <w:rFonts w:eastAsiaTheme="minorHAnsi"/>
          <w:b/>
        </w:rPr>
      </w:pPr>
      <w:r w:rsidRPr="00BC1144">
        <w:rPr>
          <w:rFonts w:eastAsiaTheme="minorHAnsi"/>
        </w:rPr>
        <w:t>During the demand driven system, there was strong growth in participation by young people from low SES backgrounds and first in family students, with less evidence of improvement in participation by people from Indigenous backgrounds or regional or remote backgrounds.</w:t>
      </w:r>
    </w:p>
    <w:p w:rsidR="006E391F" w:rsidRPr="00BC1144" w:rsidRDefault="006E391F" w:rsidP="00336FA0">
      <w:pPr>
        <w:pStyle w:val="BodyText"/>
      </w:pPr>
      <w:r w:rsidRPr="00BC1144">
        <w:t>Yet, even for the first two groups, the policy success has been limited in two ways: they remain heavily under</w:t>
      </w:r>
      <w:r w:rsidRPr="00BC1144">
        <w:noBreakHyphen/>
        <w:t>represented at university; and they are less likely to complete their degrees by age 23 years.</w:t>
      </w:r>
    </w:p>
    <w:p w:rsidR="006E391F" w:rsidRPr="00BC1144" w:rsidRDefault="006E391F" w:rsidP="00336FA0">
      <w:pPr>
        <w:pStyle w:val="BodyText"/>
        <w:rPr>
          <w:rFonts w:eastAsiaTheme="minorHAnsi"/>
        </w:rPr>
      </w:pPr>
      <w:r w:rsidRPr="00BC1144">
        <w:rPr>
          <w:rFonts w:eastAsiaTheme="minorHAnsi"/>
        </w:rPr>
        <w:t>The under</w:t>
      </w:r>
      <w:r w:rsidRPr="00BC1144">
        <w:rPr>
          <w:rFonts w:eastAsiaTheme="minorHAnsi"/>
        </w:rPr>
        <w:noBreakHyphen/>
        <w:t>representation of equity groups at university reflects many factors. Among these, lower school achievement is one of the most important explanations, although the extent of its importance varies across the equity groups.</w:t>
      </w:r>
    </w:p>
    <w:p w:rsidR="006E391F" w:rsidRPr="00BC1144" w:rsidRDefault="006E391F" w:rsidP="00336FA0">
      <w:pPr>
        <w:pStyle w:val="BodyText"/>
        <w:rPr>
          <w:rFonts w:eastAsiaTheme="minorHAnsi"/>
        </w:rPr>
      </w:pPr>
      <w:r w:rsidRPr="00BC1144">
        <w:rPr>
          <w:rFonts w:eastAsiaTheme="minorHAnsi"/>
        </w:rPr>
        <w:t>This is good news. Foundational skills like literacy and numeracy through childhood and adolescence can be improved by education policy (PC 2017). This study shows that raising literacy and numeracy is not only important for aggregate labour market outcomes, but it is also critical for the equality of opportunity across Australians growing up in different circumstances.</w:t>
      </w:r>
    </w:p>
    <w:p w:rsidR="006E391F" w:rsidRPr="00BC1144" w:rsidRDefault="006E391F" w:rsidP="00336FA0">
      <w:pPr>
        <w:pStyle w:val="BodyText"/>
        <w:rPr>
          <w:rFonts w:eastAsiaTheme="minorHAnsi"/>
          <w:spacing w:val="-2"/>
        </w:rPr>
      </w:pPr>
      <w:r w:rsidRPr="00BC1144">
        <w:rPr>
          <w:rFonts w:eastAsiaTheme="minorHAnsi"/>
          <w:spacing w:val="-2"/>
        </w:rPr>
        <w:t>On the other hand, it is clear that there are also barriers to higher education associated with individual, family, school, region and neighbourhood characteristics. In particular, people who are Indigenous, do not have a university educated parent, or have grown up in a regional or remote location are less likely to attend university for any given level of literacy and numeracy.</w:t>
      </w:r>
    </w:p>
    <w:p w:rsidR="006E391F" w:rsidRPr="00BC1144" w:rsidRDefault="006E391F" w:rsidP="00336FA0">
      <w:pPr>
        <w:pStyle w:val="BodyText"/>
        <w:rPr>
          <w:rFonts w:eastAsiaTheme="minorHAnsi"/>
        </w:rPr>
      </w:pPr>
      <w:r w:rsidRPr="00BC1144">
        <w:rPr>
          <w:rFonts w:eastAsiaTheme="minorHAnsi"/>
        </w:rPr>
        <w:t>These barriers to participation may prove harder to lower. But here, too, education is a great equaliser. Students from equity groups with high literacy and numeracy attend university at rates similar to peers of equal capability from more advantaged backgrounds. Similarly, students from equity groups that graduate successfully from university do as well as students not from equity groups in terms of labour market outcomes to age 23 years. This highlights the critical importance of developing sound foundational skills at school, and support to succeed at university.</w:t>
      </w:r>
    </w:p>
    <w:p w:rsidR="006E391F" w:rsidRPr="00BC1144" w:rsidRDefault="006E391F" w:rsidP="00336FA0">
      <w:pPr>
        <w:pStyle w:val="BodyText"/>
      </w:pPr>
      <w:r w:rsidRPr="00BC1144">
        <w:t>University completion also remains a hurdle for people from equity groups and one which in some cases appears to have gotten higher, not lower, during the demand driven system. For example, despite the substantial increase in university attendance among people from a low SES background, changes in degree completion have been relatively modest (figure 3.12). The evidence suggests that some are performing poorly academically and — though conjectural — this may be because they are more likely to enter university ill</w:t>
      </w:r>
      <w:r w:rsidRPr="00BC1144">
        <w:noBreakHyphen/>
        <w:t>prepared an</w:t>
      </w:r>
      <w:r w:rsidR="009F0813" w:rsidRPr="00BC1144">
        <w:t xml:space="preserve">d are more likely to study part </w:t>
      </w:r>
      <w:r w:rsidRPr="00BC1144">
        <w:t>time. Universities are well placed to assist students to overcome these challenges.</w:t>
      </w:r>
    </w:p>
    <w:p w:rsidR="006E391F" w:rsidRPr="00BC1144" w:rsidRDefault="006E391F" w:rsidP="00336FA0">
      <w:pPr>
        <w:pStyle w:val="BodyText"/>
      </w:pPr>
      <w:r w:rsidRPr="00BC1144">
        <w:t xml:space="preserve">Yet, while universities faced strong incentives to increase enrolments in the demand driven system, the incentives to support students to achieve academic outcomes are weaker. The Higher Education Participation and Partnerships Program provides additional funding to </w:t>
      </w:r>
      <w:r w:rsidRPr="00BC1144">
        <w:lastRenderedPageBreak/>
        <w:t>universities that take students from low SES backgrounds for the purpose of supporting their development. Universities choose how to deploy these funds and in practice it supports a myriad of different programs. Their efficacy has not been evaluated at a program level. This study at a system level at least suggests two hypotheses: that the additional funding has been used ineffectively; or that it has proved insufficient to meet the needs of students from disadvantaged backgrounds. Possibly both hypotheses are true.</w:t>
      </w:r>
    </w:p>
    <w:p w:rsidR="006E391F" w:rsidRPr="00BC1144" w:rsidRDefault="006E391F" w:rsidP="00336FA0">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3.</w:t>
            </w:r>
            <w:r w:rsidRPr="00BC1144">
              <w:rPr>
                <w:b w:val="0"/>
                <w:noProof/>
              </w:rPr>
              <w:t>12</w:t>
            </w:r>
            <w:r w:rsidRPr="00BC1144">
              <w:tab/>
              <w:t>How high are the hurdles?</w:t>
            </w:r>
          </w:p>
          <w:p w:rsidR="006E391F" w:rsidRPr="00BC1144" w:rsidRDefault="006E391F" w:rsidP="00336FA0">
            <w:pPr>
              <w:pStyle w:val="Subtitle"/>
            </w:pPr>
            <w:r w:rsidRPr="00BC1144">
              <w:t>… for people from a low SES background</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6DA0CBE6" wp14:editId="4FB9A668">
                        <wp:extent cx="5401945" cy="3369945"/>
                        <wp:effectExtent l="0" t="0" r="8255" b="1905"/>
                        <wp:docPr id="44" name="Picture 44" descr="Figure 8 is an infographic that shows a runner jumping over three hurdles: Attendance, completion and professional work. 46 per cent of students from low SES backgrounds now attend university, up from 36 per cent in 2010. Some of the gain in low SES participation has been given up by rising drop-our rates. Of those who complete university, 58 per cent of low SES students transition into managerial or profession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01945" cy="3369945"/>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p>
    <w:p w:rsidR="006E391F" w:rsidRPr="00BC1144" w:rsidRDefault="006E391F" w:rsidP="006E391F">
      <w:pPr>
        <w:sectPr w:rsidR="006E391F" w:rsidRPr="00BC1144" w:rsidSect="00BC1144">
          <w:headerReference w:type="even" r:id="rId100"/>
          <w:headerReference w:type="default" r:id="rId101"/>
          <w:footerReference w:type="even" r:id="rId102"/>
          <w:footerReference w:type="default" r:id="rId103"/>
          <w:type w:val="evenPage"/>
          <w:pgSz w:w="11907" w:h="16840" w:code="9"/>
          <w:pgMar w:top="1985" w:right="1304" w:bottom="1247" w:left="1814" w:header="1701" w:footer="397" w:gutter="0"/>
          <w:pgNumType w:chapSep="period"/>
          <w:cols w:space="720"/>
          <w:docGrid w:linePitch="326"/>
        </w:sectPr>
      </w:pPr>
    </w:p>
    <w:p w:rsidR="006E391F" w:rsidRPr="00BC1144" w:rsidRDefault="006E391F" w:rsidP="003E7C02">
      <w:pPr>
        <w:pStyle w:val="Heading1"/>
      </w:pPr>
      <w:bookmarkStart w:id="50" w:name="_AppendixNotByChapter"/>
      <w:bookmarkEnd w:id="50"/>
      <w:r w:rsidRPr="00BC1144">
        <w:lastRenderedPageBreak/>
        <w:t>A</w:t>
      </w:r>
      <w:r w:rsidRPr="00BC1144">
        <w:tab/>
        <w:t>A snapshot from aggregate data</w:t>
      </w:r>
    </w:p>
    <w:p w:rsidR="006E391F" w:rsidRPr="00BC1144" w:rsidRDefault="006E391F" w:rsidP="00336FA0">
      <w:pPr>
        <w:pStyle w:val="BodyText"/>
        <w:rPr>
          <w:rFonts w:eastAsiaTheme="minorHAnsi"/>
        </w:rPr>
      </w:pPr>
      <w:r w:rsidRPr="00BC1144">
        <w:rPr>
          <w:rFonts w:eastAsiaTheme="minorHAnsi"/>
        </w:rPr>
        <w:t xml:space="preserve">Information based on administrative data collected by the Department of Education and Training, the ABS and other surveys provide a useful context for the longitudinal data analysis elsewhere in this report and act as an independent check on the reliability of some of the key patterns identified by the LSAY. However, the administrative data tell a less rich story than information from LSAY. This is because these data are not longitudinal and contain less information about students’ characteristics, which are important for uncovering the reasons for student participation and outcomes. </w:t>
      </w:r>
    </w:p>
    <w:p w:rsidR="006E391F" w:rsidRPr="00BC1144" w:rsidRDefault="006E391F" w:rsidP="00336FA0">
      <w:pPr>
        <w:pStyle w:val="Heading2"/>
      </w:pPr>
      <w:bookmarkStart w:id="51" w:name="_Toc10805456"/>
      <w:r w:rsidRPr="00BC1144">
        <w:t>A.</w:t>
      </w:r>
      <w:r w:rsidRPr="00BC1144">
        <w:rPr>
          <w:noProof/>
        </w:rPr>
        <w:t>1</w:t>
      </w:r>
      <w:r w:rsidRPr="00BC1144">
        <w:tab/>
        <w:t>What do aggregate data tell us about access?</w:t>
      </w:r>
      <w:bookmarkEnd w:id="51"/>
    </w:p>
    <w:p w:rsidR="006E391F" w:rsidRPr="00BC1144" w:rsidRDefault="006E391F" w:rsidP="005B1B34">
      <w:pPr>
        <w:pStyle w:val="Heading3"/>
        <w:spacing w:before="280"/>
      </w:pPr>
      <w:bookmarkStart w:id="52" w:name="_Toc10805457"/>
      <w:r w:rsidRPr="00BC1144">
        <w:t>Growth in access has been uneven and gaps remain</w:t>
      </w:r>
      <w:bookmarkEnd w:id="52"/>
    </w:p>
    <w:p w:rsidR="006E391F" w:rsidRPr="00BC1144" w:rsidRDefault="006E391F" w:rsidP="00336FA0">
      <w:pPr>
        <w:pStyle w:val="BodyText"/>
      </w:pPr>
      <w:r w:rsidRPr="00BC1144">
        <w:t>The substantial expansion of the system saw the number of commencements from all equity groups rise from 2009 to 2017 (figure A.1). However, the growth in commencements across equity groups has been uneven, with Indigenous and low</w:t>
      </w:r>
      <w:r w:rsidRPr="00BC1144">
        <w:noBreakHyphen/>
        <w:t xml:space="preserve">SES experiencing the highest rate of growth and students from remote areas experiencing the lowest rate of growth. </w:t>
      </w:r>
    </w:p>
    <w:p w:rsidR="006E391F" w:rsidRPr="00BC1144" w:rsidRDefault="006E391F" w:rsidP="00336FA0">
      <w:pPr>
        <w:pStyle w:val="BodyText"/>
      </w:pPr>
      <w:r w:rsidRPr="00BC1144">
        <w:t xml:space="preserve">These growth rates do not take account of different rates of population growth among the each group. Moreover, a crude participation rate based on the number of commencements as a share of the relevant group population can be misleading because university participation varies by age. For example, it would be possible for one equity group to have the same participation rates for each age, but for the crude participation rate to be different because one group had an older age structure than the other. Adjusting crude rates for differences in age structures avoids this problem (as explained in appendix B) and shows that while around 1.2 per cent of the Australian population enrol in an undergraduate degree each year, the rate among equity groups is much lower (figure A.2). Indigenous people enrol at around one half this rate while, remote students are even less likely to enrol. </w:t>
      </w:r>
    </w:p>
    <w:p w:rsidR="006E391F" w:rsidRPr="00BC1144" w:rsidRDefault="006E391F" w:rsidP="00336FA0">
      <w:pPr>
        <w:pStyle w:val="BodyText"/>
      </w:pPr>
      <w:r w:rsidRPr="00BC1144">
        <w:t>This suggests there remains room for progress in equity groups’ access despite the overall growth in the system. Such groups have an inherent capability similar to others, but are held back by factors amenable to policy influence — like schooling, aspiration, isolation and discrimination.</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1</w:t>
            </w:r>
            <w:r w:rsidRPr="00BC1144">
              <w:tab/>
              <w:t>Commencements grew for all groups</w:t>
            </w:r>
            <w:r w:rsidRPr="00BC1144">
              <w:rPr>
                <w:rStyle w:val="NoteLabel"/>
                <w:b/>
                <w:szCs w:val="18"/>
              </w:rPr>
              <w:t>a</w:t>
            </w:r>
          </w:p>
          <w:p w:rsidR="006E391F" w:rsidRPr="00BC1144" w:rsidRDefault="006E391F" w:rsidP="00336FA0">
            <w:pPr>
              <w:pStyle w:val="Subtitle"/>
            </w:pPr>
            <w:r w:rsidRPr="00BC1144">
              <w:t>Domestic undergraduate commencements, 1996–2017 (2009 =100)</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7C" wp14:editId="2DEA517D">
                        <wp:extent cx="5389245" cy="2881630"/>
                        <wp:effectExtent l="0" t="0" r="1905" b="0"/>
                        <wp:docPr id="45" name="Picture 45" descr="Figure A.1 shows domestic undergraduate commencements over the period 1996 to 2017, indexed based on 2009 data. Domestic undergraduate commencements increased across all equity groups, particularly since the demand driven system was intro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89245" cy="288163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w:t>
            </w:r>
            <w:r w:rsidRPr="00BC1144">
              <w:rPr>
                <w:szCs w:val="18"/>
              </w:rPr>
              <w:t>Low SES measure based on 2006, 2011 and 2016 SEIFA postcode measure</w:t>
            </w:r>
            <w:r w:rsidRPr="00BC1144">
              <w:t xml:space="preserve">. </w:t>
            </w:r>
            <w:r w:rsidRPr="00BC1144">
              <w:rPr>
                <w:szCs w:val="18"/>
              </w:rPr>
              <w:t>Regional &amp; remote measure uses 2011 ASGS and 2016 ASGS bases, with MCEETYA growth rates applied 2001 to 2006, and RRMA growth rates applied 1996 to 2000. ‘Domestic undergraduate’ includes courses that lead to the award of a diploma, advanced diploma, associate degree or a bachelor degree (pass, honours or graduate entry).</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DET </w:t>
            </w:r>
            <w:r w:rsidR="0092626E" w:rsidRPr="00BC1144">
              <w:rPr>
                <w:rFonts w:cs="Arial"/>
              </w:rPr>
              <w:t>(2013b, 2015a, 2018c, 2019)</w:t>
            </w:r>
            <w:r w:rsidRPr="00BC1144">
              <w:t xml:space="preserve">. </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rPr>
                <w:rStyle w:val="NoteLabel"/>
              </w:rPr>
            </w:pPr>
            <w:r w:rsidRPr="00BC1144">
              <w:rPr>
                <w:b w:val="0"/>
              </w:rPr>
              <w:t>Figure A.</w:t>
            </w:r>
            <w:r w:rsidRPr="00BC1144">
              <w:rPr>
                <w:b w:val="0"/>
                <w:noProof/>
              </w:rPr>
              <w:t>2</w:t>
            </w:r>
            <w:r w:rsidRPr="00BC1144">
              <w:tab/>
              <w:t>But equity groups remain heavily under</w:t>
            </w:r>
            <w:r w:rsidRPr="00BC1144">
              <w:noBreakHyphen/>
              <w:t>represented</w:t>
            </w:r>
            <w:r w:rsidRPr="00BC1144">
              <w:rPr>
                <w:rStyle w:val="NoteLabel"/>
                <w:b/>
                <w:position w:val="10"/>
              </w:rPr>
              <w:t>a,b</w:t>
            </w:r>
          </w:p>
          <w:p w:rsidR="006E391F" w:rsidRPr="00BC1144" w:rsidRDefault="006E391F" w:rsidP="00336FA0">
            <w:pPr>
              <w:pStyle w:val="Subtitle"/>
            </w:pPr>
            <w:r w:rsidRPr="00BC1144">
              <w:t>Age</w:t>
            </w:r>
            <w:r w:rsidRPr="00BC1144">
              <w:noBreakHyphen/>
              <w:t>adjusted rates, 1996</w:t>
            </w:r>
            <w:r w:rsidRPr="00BC1144">
              <w:noBreakHyphen/>
              <w:t>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Commencements as a share of equity group population</w:t>
                  </w:r>
                </w:p>
              </w:tc>
            </w:tr>
            <w:tr w:rsidR="006E391F" w:rsidRPr="00BC1144" w:rsidTr="00336FA0">
              <w:trPr>
                <w:tblHeader/>
                <w:jc w:val="center"/>
              </w:trPr>
              <w:tc>
                <w:tcPr>
                  <w:tcW w:w="5000" w:type="pct"/>
                  <w:tcBorders>
                    <w:top w:val="nil"/>
                    <w:bottom w:val="nil"/>
                  </w:tcBorders>
                </w:tcPr>
                <w:p w:rsidR="006E391F" w:rsidRPr="00BC1144" w:rsidRDefault="006E391F" w:rsidP="006C2DA0">
                  <w:pPr>
                    <w:pStyle w:val="Figure"/>
                    <w:spacing w:before="0" w:after="0"/>
                    <w:rPr>
                      <w:rFonts w:ascii="Arial" w:hAnsi="Arial" w:cs="Arial"/>
                      <w:sz w:val="18"/>
                      <w:szCs w:val="18"/>
                    </w:rPr>
                  </w:pPr>
                  <w:r w:rsidRPr="00BC1144">
                    <w:rPr>
                      <w:rFonts w:ascii="Arial" w:hAnsi="Arial" w:cs="Arial"/>
                      <w:noProof/>
                      <w:sz w:val="18"/>
                      <w:szCs w:val="18"/>
                    </w:rPr>
                    <w:drawing>
                      <wp:inline distT="0" distB="0" distL="0" distR="0" wp14:anchorId="2DEA517E" wp14:editId="2DEA517F">
                        <wp:extent cx="5402580" cy="2880360"/>
                        <wp:effectExtent l="0" t="0" r="7620" b="0"/>
                        <wp:docPr id="46" name="Picture 46" descr="Figure A.2 shows, by equity groups, commencements as a share of equity group population and commencement rates relative to the Australian population over the period 1996 to 2016. Even though commencements increased across all equity groups, they did so at varying rates. The low SES equity group showed the fastest growth in commencements as a proportion of the total low SES population, whereas Indigenous and remote equity groups showed the slowest growth in comme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Commencement rate relative to the Australian population</w:t>
                  </w:r>
                  <w:r w:rsidRPr="00BC1144">
                    <w:rPr>
                      <w:rStyle w:val="NoteLabel"/>
                    </w:rPr>
                    <w:t>c</w:t>
                  </w:r>
                </w:p>
              </w:tc>
            </w:tr>
            <w:tr w:rsidR="006E391F" w:rsidRPr="00BC1144" w:rsidTr="00336FA0">
              <w:trPr>
                <w:tblHeader/>
                <w:jc w:val="center"/>
              </w:trPr>
              <w:tc>
                <w:tcPr>
                  <w:tcW w:w="5000" w:type="pct"/>
                  <w:tcBorders>
                    <w:top w:val="nil"/>
                    <w:bottom w:val="nil"/>
                  </w:tcBorders>
                </w:tcPr>
                <w:p w:rsidR="006E391F" w:rsidRPr="00BC1144" w:rsidRDefault="006E391F" w:rsidP="006C2DA0">
                  <w:pPr>
                    <w:pStyle w:val="Figure"/>
                    <w:spacing w:before="0" w:after="0"/>
                    <w:rPr>
                      <w:rFonts w:ascii="Arial" w:hAnsi="Arial" w:cs="Arial"/>
                      <w:sz w:val="18"/>
                      <w:szCs w:val="18"/>
                    </w:rPr>
                  </w:pPr>
                  <w:r w:rsidRPr="00BC1144">
                    <w:rPr>
                      <w:rFonts w:ascii="Arial" w:hAnsi="Arial" w:cs="Arial"/>
                      <w:noProof/>
                      <w:sz w:val="18"/>
                      <w:szCs w:val="18"/>
                    </w:rPr>
                    <w:drawing>
                      <wp:inline distT="0" distB="0" distL="0" distR="0" wp14:anchorId="2DEA5180" wp14:editId="2DEA5181">
                        <wp:extent cx="5396230" cy="2881630"/>
                        <wp:effectExtent l="0" t="0" r="0" b="0"/>
                        <wp:docPr id="47" name="Picture 47" descr="Figure A.2 shows, by equity groups, commencements as a share of equity group population and commencement rates relative to the Australian population over the period 1996 to 2016. Even though commencements increased across all equity groups, they did so at varying rates. The low SES equity group showed the fastest growth in commencements as a proportion of the total low SES population, whereas Indigenous and remote equity groups showed the slowest growth in comme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96230" cy="2881630"/>
                                </a:xfrm>
                                <a:prstGeom prst="rect">
                                  <a:avLst/>
                                </a:prstGeom>
                                <a:noFill/>
                                <a:ln>
                                  <a:noFill/>
                                </a:ln>
                              </pic:spPr>
                            </pic:pic>
                          </a:graphicData>
                        </a:graphic>
                      </wp:inline>
                    </w:drawing>
                  </w:r>
                  <w:r w:rsidRPr="00BC1144" w:rsidDel="007E24ED">
                    <w:rPr>
                      <w:rFonts w:ascii="Arial" w:hAnsi="Arial" w:cs="Arial"/>
                      <w:sz w:val="18"/>
                      <w:szCs w:val="18"/>
                    </w:rPr>
                    <w:t xml:space="preserve"> </w:t>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Data are the number of commencing domestic undergraduate students adjusted to take account of the different age distributions of the groups. ‘</w:t>
            </w:r>
            <w:r w:rsidRPr="00BC1144">
              <w:rPr>
                <w:szCs w:val="18"/>
              </w:rPr>
              <w:t>Domestic undergraduate’ includes courses that lead to the award of a diploma, advanced diploma, associate degree or a bachelor degree.</w:t>
            </w:r>
            <w:r w:rsidRPr="00BC1144">
              <w:t xml:space="preserve"> </w:t>
            </w:r>
            <w:r w:rsidRPr="00BC1144">
              <w:rPr>
                <w:rStyle w:val="NoteLabel"/>
              </w:rPr>
              <w:t>b</w:t>
            </w:r>
            <w:r w:rsidRPr="00BC1144">
              <w:t xml:space="preserve"> Age adjustments apply proxy measures for international students by equity group. Details on the age adjustment methodology are at appendix B, section B.9.</w:t>
            </w:r>
            <w:r w:rsidRPr="00BC1144">
              <w:rPr>
                <w:rStyle w:val="NoteLabel"/>
              </w:rPr>
              <w:t>c</w:t>
            </w:r>
            <w:r w:rsidRPr="00BC1144">
              <w:t>Relative access ratios show commencements as a share of age</w:t>
            </w:r>
            <w:r w:rsidRPr="00BC1144">
              <w:noBreakHyphen/>
              <w:t xml:space="preserve">adjusted equity group populations measured relative to commencements as a share in the general population. A ratio of 100 means that the group has an equal opportunity for access as Australians as a whole. </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w:t>
            </w:r>
            <w:r w:rsidRPr="00BC1144">
              <w:rPr>
                <w:i/>
              </w:rPr>
              <w:t xml:space="preserve"> </w:t>
            </w:r>
            <w:r w:rsidRPr="00BC1144">
              <w:rPr>
                <w:spacing w:val="-2"/>
              </w:rPr>
              <w:t xml:space="preserve">DET </w:t>
            </w:r>
            <w:r w:rsidR="0092626E" w:rsidRPr="00BC1144">
              <w:rPr>
                <w:rFonts w:cs="Arial"/>
                <w:spacing w:val="-2"/>
              </w:rPr>
              <w:t>(2013b, 2013a, 2015a, 2016a, 2016c, 2018c, 2019)</w:t>
            </w:r>
            <w:r w:rsidRPr="00BC1144">
              <w:rPr>
                <w:spacing w:val="-2"/>
              </w:rPr>
              <w:t xml:space="preserve">, ABS </w:t>
            </w:r>
            <w:r w:rsidR="0092626E" w:rsidRPr="00BC1144">
              <w:rPr>
                <w:rFonts w:cs="Arial"/>
                <w:spacing w:val="-2"/>
              </w:rPr>
              <w:t>(2006b, 2011b, 2016g, 2016c, 2016b)</w:t>
            </w:r>
            <w:r w:rsidRPr="00BC1144">
              <w:rPr>
                <w:spacing w:val="-2"/>
              </w:rPr>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pPr>
      <w:bookmarkStart w:id="53" w:name="_Toc10805458"/>
      <w:r w:rsidRPr="00BC1144">
        <w:lastRenderedPageBreak/>
        <w:t>Universities have changed admissions practices, but ATAR remains important for year 12 applicants</w:t>
      </w:r>
      <w:bookmarkEnd w:id="53"/>
    </w:p>
    <w:p w:rsidR="006E391F" w:rsidRPr="00BC1144" w:rsidRDefault="006E391F" w:rsidP="005B1B34">
      <w:pPr>
        <w:pStyle w:val="Heading4"/>
        <w:spacing w:before="240"/>
      </w:pPr>
      <w:r w:rsidRPr="00BC1144">
        <w:t>A more diverse pool of applicants</w:t>
      </w:r>
    </w:p>
    <w:p w:rsidR="006E391F" w:rsidRPr="00BC1144" w:rsidRDefault="006E391F" w:rsidP="006C2DA0">
      <w:pPr>
        <w:pStyle w:val="BodyText"/>
        <w:spacing w:before="200"/>
      </w:pPr>
      <w:r w:rsidRPr="00BC1144">
        <w:t xml:space="preserve">The growth in higher education access has also been accompanied by shifts in admission practices over time and expansion of the pool of potential applicants for courses. Though ATAR remains important for school leavers, more students are being admitted now through direct applications to universities, rather than through centralised tertiary admissions centres, and the criteria used vary from university to university and course to course. </w:t>
      </w:r>
    </w:p>
    <w:p w:rsidR="006E391F" w:rsidRPr="00BC1144" w:rsidRDefault="006E391F" w:rsidP="006C2DA0">
      <w:pPr>
        <w:pStyle w:val="BodyText"/>
        <w:tabs>
          <w:tab w:val="left" w:pos="851"/>
        </w:tabs>
        <w:spacing w:before="200"/>
      </w:pPr>
      <w:r w:rsidRPr="00BC1144">
        <w:t xml:space="preserve">The characteristics of university entrants have also changed significantly (table A.1). The number of applications based on experience in work or other forms of education in addition to, or instead of, school completion has grown rapidly. Direct applicants to university, the vast majority of whom are not current year 12 students, more than doubled between 2009 and 2017. In contrast, year 12 applicants via Tertiary Admissions Centres (the traditional route of year 12 admission) grew by only 17 per cent over the same period. </w:t>
      </w:r>
    </w:p>
    <w:p w:rsidR="006C2DA0" w:rsidRPr="00BC1144" w:rsidRDefault="006C2DA0" w:rsidP="006C2DA0">
      <w:pPr>
        <w:pStyle w:val="Heading2"/>
        <w:spacing w:before="480"/>
      </w:pPr>
      <w:bookmarkStart w:id="54" w:name="_Toc10805459"/>
      <w:r w:rsidRPr="00BC1144">
        <w:t>A.</w:t>
      </w:r>
      <w:r w:rsidRPr="00BC1144">
        <w:rPr>
          <w:noProof/>
        </w:rPr>
        <w:t>2</w:t>
      </w:r>
      <w:r w:rsidRPr="00BC1144">
        <w:tab/>
        <w:t>How are students faring at university?</w:t>
      </w:r>
      <w:bookmarkEnd w:id="54"/>
    </w:p>
    <w:p w:rsidR="006C2DA0" w:rsidRPr="00BC1144" w:rsidRDefault="006C2DA0" w:rsidP="005B1B34">
      <w:pPr>
        <w:pStyle w:val="Heading3"/>
        <w:spacing w:before="280"/>
      </w:pPr>
      <w:bookmarkStart w:id="55" w:name="_Toc10805460"/>
      <w:r w:rsidRPr="00BC1144">
        <w:t>Academic outcomes vary by group and time</w:t>
      </w:r>
      <w:bookmarkEnd w:id="55"/>
    </w:p>
    <w:p w:rsidR="006C2DA0" w:rsidRPr="00BC1144" w:rsidRDefault="006C2DA0" w:rsidP="006C2DA0">
      <w:pPr>
        <w:pStyle w:val="BodyText"/>
        <w:spacing w:before="200"/>
        <w:rPr>
          <w:szCs w:val="24"/>
          <w:lang w:val="en"/>
        </w:rPr>
      </w:pPr>
      <w:r w:rsidRPr="00BC1144">
        <w:rPr>
          <w:szCs w:val="24"/>
          <w:lang w:val="en"/>
        </w:rPr>
        <w:t>University drop</w:t>
      </w:r>
      <w:r w:rsidRPr="00BC1144">
        <w:rPr>
          <w:szCs w:val="24"/>
          <w:lang w:val="en"/>
        </w:rPr>
        <w:noBreakHyphen/>
        <w:t>out and completion rates vary considerably across different groups. Members of equity groups, including students that are Indigenous, or grew up in regional and remote areas or from low SES backgrounds have much lower completion rates and higher drop</w:t>
      </w:r>
      <w:r w:rsidRPr="00BC1144">
        <w:rPr>
          <w:szCs w:val="24"/>
          <w:lang w:val="en"/>
        </w:rPr>
        <w:noBreakHyphen/>
        <w:t>out rates.</w:t>
      </w:r>
      <w:r w:rsidRPr="00BC1144">
        <w:rPr>
          <w:rStyle w:val="FootnoteReference"/>
          <w:szCs w:val="24"/>
          <w:lang w:val="en"/>
        </w:rPr>
        <w:footnoteReference w:id="13"/>
      </w:r>
    </w:p>
    <w:p w:rsidR="006C2DA0" w:rsidRPr="00BC1144" w:rsidRDefault="006C2DA0" w:rsidP="006C2DA0">
      <w:pPr>
        <w:pStyle w:val="BodyText"/>
        <w:spacing w:before="200"/>
      </w:pPr>
      <w:r w:rsidRPr="00BC1144">
        <w:rPr>
          <w:szCs w:val="24"/>
          <w:lang w:val="en"/>
        </w:rPr>
        <w:t>However, the results for equity students need to be interpreted carefully because the same student can be classified into more than one group (for example, low SES and remote). Accordingly, causally attributing a higher drop</w:t>
      </w:r>
      <w:r w:rsidRPr="00BC1144">
        <w:rPr>
          <w:szCs w:val="24"/>
          <w:lang w:val="en"/>
        </w:rPr>
        <w:noBreakHyphen/>
        <w:t xml:space="preserve">out rate to one classification (say remoteness) may really reflect some other student trait (such as SES status). For example, there is some evidence that once other factors that can increase the risk of dropping out have been controlled for, there is little difference in completion risks between students from major cities and regional or remote areas </w:t>
      </w:r>
      <w:r w:rsidR="0092626E" w:rsidRPr="00BC1144">
        <w:rPr>
          <w:szCs w:val="24"/>
        </w:rPr>
        <w:t>(Norton and Cherastidtham 2018)</w:t>
      </w:r>
      <w:r w:rsidRPr="00BC1144">
        <w:rPr>
          <w:szCs w:val="24"/>
          <w:lang w:val="en"/>
        </w:rPr>
        <w:t>.</w:t>
      </w:r>
      <w:r w:rsidRPr="00BC1144">
        <w:t xml:space="preserve"> </w:t>
      </w:r>
    </w:p>
    <w:p w:rsidR="006C2DA0" w:rsidRPr="00BC1144" w:rsidRDefault="006C2DA0" w:rsidP="006C2DA0">
      <w:pPr>
        <w:pStyle w:val="BodyText"/>
        <w:spacing w:before="200"/>
      </w:pPr>
      <w:r w:rsidRPr="00BC1144">
        <w:rPr>
          <w:szCs w:val="24"/>
          <w:lang w:val="en"/>
        </w:rPr>
        <w:t xml:space="preserve">There has been a sustained downward trend in degree completions for most student groups (figure </w:t>
      </w:r>
      <w:r w:rsidRPr="00BC1144">
        <w:t>A.3</w:t>
      </w:r>
      <w:r w:rsidRPr="00BC1144">
        <w:rPr>
          <w:szCs w:val="24"/>
          <w:lang w:val="en"/>
        </w:rPr>
        <w:t>). Drop</w:t>
      </w:r>
      <w:r w:rsidRPr="00BC1144">
        <w:rPr>
          <w:szCs w:val="24"/>
          <w:lang w:val="en"/>
        </w:rPr>
        <w:noBreakHyphen/>
        <w:t>out rates also generally rose after commencement of the demand driven system in 2010, though the degree to which this has occurred may be exaggerated because drop</w:t>
      </w:r>
      <w:r w:rsidRPr="00BC1144">
        <w:rPr>
          <w:szCs w:val="24"/>
          <w:lang w:val="en"/>
        </w:rPr>
        <w:noBreakHyphen/>
        <w:t xml:space="preserve">out rates prior to 2010 may have been artificially low due to poor alternative labour market prospects for young people in the aftermath of the global financial crisis. </w:t>
      </w:r>
    </w:p>
    <w:p w:rsidR="006C2DA0" w:rsidRPr="00BC1144" w:rsidRDefault="006C2DA0" w:rsidP="006C2DA0">
      <w:pPr>
        <w:pStyle w:val="BodyText"/>
        <w:spacing w:before="200"/>
      </w:pPr>
      <w:r w:rsidRPr="00BC1144">
        <w:rPr>
          <w:lang w:val="en"/>
        </w:rPr>
        <w:lastRenderedPageBreak/>
        <w:t xml:space="preserve">The trends above partly reflect the increase in the number of students entering with a lower ATAR and those studying part time. Students with an ATAR below 60 are about half as likely to complete an undergraduate degree within four years as those with an ATAR of 90 or more (figure </w:t>
      </w:r>
      <w:r w:rsidRPr="00BC1144">
        <w:t>A.4</w:t>
      </w:r>
      <w:r w:rsidRPr="00BC1144">
        <w:rPr>
          <w:lang w:val="en"/>
        </w:rPr>
        <w:t xml:space="preserve">). </w:t>
      </w:r>
      <w:r w:rsidRPr="00BC1144">
        <w:rPr>
          <w:szCs w:val="24"/>
          <w:lang w:val="en"/>
        </w:rPr>
        <w:t>Completion rates have also been falling for groups entering with an ATAR of between 60 and 90 and for non</w:t>
      </w:r>
      <w:r w:rsidRPr="00BC1144">
        <w:rPr>
          <w:szCs w:val="24"/>
          <w:lang w:val="en"/>
        </w:rPr>
        <w:noBreakHyphen/>
        <w:t xml:space="preserve">year-12 entrants. Studying part time is </w:t>
      </w:r>
      <w:r w:rsidRPr="00BC1144">
        <w:rPr>
          <w:lang w:val="en"/>
        </w:rPr>
        <w:t xml:space="preserve">also </w:t>
      </w:r>
      <w:r w:rsidRPr="00BC1144">
        <w:rPr>
          <w:szCs w:val="24"/>
          <w:lang w:val="en"/>
        </w:rPr>
        <w:t xml:space="preserve">a strong predictor of dropping out, which some have argued is due to students’ responsibilities at work and home </w:t>
      </w:r>
      <w:r w:rsidR="0092626E" w:rsidRPr="00BC1144">
        <w:rPr>
          <w:szCs w:val="24"/>
        </w:rPr>
        <w:t>(Norton and Cherastidtham 2018)</w:t>
      </w:r>
      <w:r w:rsidRPr="00BC1144">
        <w:rPr>
          <w:szCs w:val="24"/>
          <w:lang w:val="en"/>
        </w:rPr>
        <w:t>.</w:t>
      </w:r>
      <w:r w:rsidRPr="00BC1144">
        <w:rPr>
          <w:rStyle w:val="FootnoteReference"/>
          <w:szCs w:val="24"/>
          <w:lang w:val="en"/>
        </w:rPr>
        <w:footnoteReference w:id="14"/>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6C2DA0">
            <w:pPr>
              <w:pStyle w:val="TableTitle"/>
              <w:spacing w:before="60"/>
            </w:pPr>
            <w:r w:rsidRPr="00BC1144">
              <w:rPr>
                <w:b w:val="0"/>
              </w:rPr>
              <w:t>Table A.</w:t>
            </w:r>
            <w:r w:rsidRPr="00BC1144">
              <w:rPr>
                <w:b w:val="0"/>
                <w:noProof/>
              </w:rPr>
              <w:t>1</w:t>
            </w:r>
            <w:r w:rsidRPr="00BC1144">
              <w:tab/>
              <w:t>A more diverse pool of applicants</w:t>
            </w:r>
          </w:p>
          <w:p w:rsidR="006E391F" w:rsidRPr="00BC1144" w:rsidRDefault="006E391F" w:rsidP="00336FA0">
            <w:pPr>
              <w:pStyle w:val="Subtitle"/>
            </w:pPr>
            <w:r w:rsidRPr="00BC1144">
              <w:t>Applicants by admissions pathway and prior education experience (‘000s)</w:t>
            </w:r>
            <w:r w:rsidR="00882582" w:rsidRPr="00BC1144">
              <w:rPr>
                <w:rStyle w:val="NoteLabel"/>
              </w:rPr>
              <w:t>a</w:t>
            </w:r>
          </w:p>
        </w:tc>
      </w:tr>
      <w:tr w:rsidR="006E391F" w:rsidRPr="00BC1144" w:rsidTr="00336FA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940"/>
              <w:gridCol w:w="1355"/>
              <w:gridCol w:w="777"/>
              <w:gridCol w:w="777"/>
              <w:gridCol w:w="777"/>
              <w:gridCol w:w="777"/>
              <w:gridCol w:w="777"/>
              <w:gridCol w:w="778"/>
              <w:gridCol w:w="778"/>
              <w:gridCol w:w="769"/>
            </w:tblGrid>
            <w:tr w:rsidR="006E391F" w:rsidRPr="00BC1144" w:rsidTr="00A73E56">
              <w:trPr>
                <w:tblHeader/>
              </w:trPr>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jc w:val="left"/>
                  </w:pPr>
                </w:p>
              </w:tc>
              <w:tc>
                <w:tcPr>
                  <w:tcW w:w="694"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jc w:val="left"/>
                  </w:pPr>
                </w:p>
              </w:tc>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pPr>
                  <w:r w:rsidRPr="00BC1144">
                    <w:rPr>
                      <w:bCs/>
                    </w:rPr>
                    <w:t>2010</w:t>
                  </w:r>
                </w:p>
              </w:tc>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pPr>
                  <w:r w:rsidRPr="00BC1144">
                    <w:rPr>
                      <w:bCs/>
                    </w:rPr>
                    <w:t>2011</w:t>
                  </w:r>
                </w:p>
              </w:tc>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pPr>
                  <w:r w:rsidRPr="00BC1144">
                    <w:rPr>
                      <w:bCs/>
                    </w:rPr>
                    <w:t>2012</w:t>
                  </w:r>
                </w:p>
              </w:tc>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pPr>
                  <w:r w:rsidRPr="00BC1144">
                    <w:rPr>
                      <w:bCs/>
                    </w:rPr>
                    <w:t>2013</w:t>
                  </w:r>
                </w:p>
              </w:tc>
              <w:tc>
                <w:tcPr>
                  <w:tcW w:w="479" w:type="pct"/>
                  <w:tcBorders>
                    <w:top w:val="single" w:sz="6" w:space="0" w:color="BFBFBF"/>
                    <w:bottom w:val="single" w:sz="6" w:space="0" w:color="BFBFBF"/>
                  </w:tcBorders>
                  <w:shd w:val="clear" w:color="auto" w:fill="F2F2F2" w:themeFill="background1" w:themeFillShade="F2"/>
                  <w:tcMar>
                    <w:top w:w="28" w:type="dxa"/>
                  </w:tcMar>
                  <w:vAlign w:val="bottom"/>
                </w:tcPr>
                <w:p w:rsidR="006E391F" w:rsidRPr="00BC1144" w:rsidRDefault="006E391F" w:rsidP="00336FA0">
                  <w:pPr>
                    <w:pStyle w:val="TableColumnHeading"/>
                  </w:pPr>
                  <w:r w:rsidRPr="00BC1144">
                    <w:rPr>
                      <w:bCs/>
                    </w:rPr>
                    <w:t>2014</w:t>
                  </w:r>
                </w:p>
              </w:tc>
              <w:tc>
                <w:tcPr>
                  <w:tcW w:w="479" w:type="pct"/>
                  <w:tcBorders>
                    <w:top w:val="single" w:sz="6" w:space="0" w:color="BFBFBF"/>
                    <w:bottom w:val="single" w:sz="6" w:space="0" w:color="BFBFBF"/>
                  </w:tcBorders>
                  <w:shd w:val="clear" w:color="auto" w:fill="F2F2F2" w:themeFill="background1" w:themeFillShade="F2"/>
                  <w:vAlign w:val="bottom"/>
                </w:tcPr>
                <w:p w:rsidR="006E391F" w:rsidRPr="00BC1144" w:rsidRDefault="006E391F" w:rsidP="00336FA0">
                  <w:pPr>
                    <w:pStyle w:val="TableColumnHeading"/>
                  </w:pPr>
                  <w:r w:rsidRPr="00BC1144">
                    <w:rPr>
                      <w:bCs/>
                    </w:rPr>
                    <w:t>2015</w:t>
                  </w:r>
                </w:p>
              </w:tc>
              <w:tc>
                <w:tcPr>
                  <w:tcW w:w="479" w:type="pct"/>
                  <w:tcBorders>
                    <w:top w:val="single" w:sz="6" w:space="0" w:color="BFBFBF"/>
                    <w:bottom w:val="single" w:sz="6" w:space="0" w:color="BFBFBF"/>
                  </w:tcBorders>
                  <w:shd w:val="clear" w:color="auto" w:fill="F2F2F2" w:themeFill="background1" w:themeFillShade="F2"/>
                  <w:tcMar>
                    <w:top w:w="28" w:type="dxa"/>
                  </w:tcMar>
                  <w:vAlign w:val="bottom"/>
                </w:tcPr>
                <w:p w:rsidR="006E391F" w:rsidRPr="00BC1144" w:rsidRDefault="006E391F" w:rsidP="00336FA0">
                  <w:pPr>
                    <w:pStyle w:val="TableColumnHeading"/>
                  </w:pPr>
                  <w:r w:rsidRPr="00BC1144">
                    <w:rPr>
                      <w:bCs/>
                    </w:rPr>
                    <w:t>2016</w:t>
                  </w:r>
                </w:p>
              </w:tc>
              <w:tc>
                <w:tcPr>
                  <w:tcW w:w="474" w:type="pct"/>
                  <w:tcBorders>
                    <w:top w:val="single" w:sz="6" w:space="0" w:color="BFBFBF"/>
                    <w:bottom w:val="single" w:sz="6" w:space="0" w:color="BFBFBF"/>
                    <w:right w:val="single" w:sz="12" w:space="0" w:color="FFFFFF" w:themeColor="background1"/>
                  </w:tcBorders>
                  <w:shd w:val="clear" w:color="auto" w:fill="F2F2F2" w:themeFill="background1" w:themeFillShade="F2"/>
                  <w:tcMar>
                    <w:top w:w="28" w:type="dxa"/>
                  </w:tcMar>
                  <w:vAlign w:val="bottom"/>
                </w:tcPr>
                <w:p w:rsidR="006E391F" w:rsidRPr="00BC1144" w:rsidRDefault="006E391F" w:rsidP="00336FA0">
                  <w:pPr>
                    <w:pStyle w:val="TableColumnHeading"/>
                    <w:ind w:right="28"/>
                  </w:pPr>
                  <w:r w:rsidRPr="00BC1144">
                    <w:rPr>
                      <w:bCs/>
                    </w:rPr>
                    <w:t>2017</w:t>
                  </w:r>
                </w:p>
              </w:tc>
            </w:tr>
            <w:tr w:rsidR="006E391F" w:rsidRPr="00BC1144" w:rsidTr="00A73E56">
              <w:trPr>
                <w:tblHeader/>
              </w:trPr>
              <w:tc>
                <w:tcPr>
                  <w:tcW w:w="479" w:type="pct"/>
                  <w:tcBorders>
                    <w:top w:val="single" w:sz="6" w:space="0" w:color="BFBFBF"/>
                  </w:tcBorders>
                  <w:shd w:val="clear" w:color="auto" w:fill="F2F2F2" w:themeFill="background1" w:themeFillShade="F2"/>
                  <w:vAlign w:val="center"/>
                </w:tcPr>
                <w:p w:rsidR="006E391F" w:rsidRPr="00BC1144" w:rsidRDefault="006E391F" w:rsidP="00336FA0">
                  <w:pPr>
                    <w:pStyle w:val="TableUnitsRow"/>
                  </w:pPr>
                </w:p>
              </w:tc>
              <w:tc>
                <w:tcPr>
                  <w:tcW w:w="694" w:type="pct"/>
                  <w:tcBorders>
                    <w:top w:val="single" w:sz="6" w:space="0" w:color="BFBFBF"/>
                    <w:right w:val="single" w:sz="4" w:space="0" w:color="BFBFBF"/>
                  </w:tcBorders>
                  <w:shd w:val="clear" w:color="auto" w:fill="auto"/>
                  <w:vAlign w:val="bottom"/>
                </w:tcPr>
                <w:p w:rsidR="006E391F" w:rsidRPr="00BC1144" w:rsidRDefault="006E391F" w:rsidP="00336FA0">
                  <w:pPr>
                    <w:pStyle w:val="TableUnitsRow"/>
                  </w:pPr>
                </w:p>
              </w:tc>
              <w:tc>
                <w:tcPr>
                  <w:tcW w:w="479" w:type="pct"/>
                  <w:tcBorders>
                    <w:top w:val="single" w:sz="6" w:space="0" w:color="BFBFBF"/>
                    <w:left w:val="single" w:sz="4" w:space="0" w:color="BFBFBF"/>
                  </w:tcBorders>
                  <w:shd w:val="clear" w:color="auto" w:fill="auto"/>
                  <w:vAlign w:val="bottom"/>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Mar>
                    <w:top w:w="28" w:type="dxa"/>
                  </w:tcMar>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Pr>
                <w:p w:rsidR="006E391F" w:rsidRPr="00BC1144" w:rsidRDefault="006E391F" w:rsidP="00336FA0">
                  <w:pPr>
                    <w:pStyle w:val="TableUnitsRow"/>
                    <w:rPr>
                      <w:spacing w:val="-2"/>
                    </w:rPr>
                  </w:pPr>
                  <w:r w:rsidRPr="00BC1144">
                    <w:rPr>
                      <w:spacing w:val="-2"/>
                    </w:rPr>
                    <w:t>‘000</w:t>
                  </w:r>
                </w:p>
              </w:tc>
              <w:tc>
                <w:tcPr>
                  <w:tcW w:w="479" w:type="pct"/>
                  <w:tcBorders>
                    <w:top w:val="single" w:sz="6" w:space="0" w:color="BFBFBF"/>
                  </w:tcBorders>
                  <w:shd w:val="clear" w:color="auto" w:fill="auto"/>
                  <w:tcMar>
                    <w:top w:w="28" w:type="dxa"/>
                  </w:tcMar>
                </w:tcPr>
                <w:p w:rsidR="006E391F" w:rsidRPr="00BC1144" w:rsidRDefault="006E391F" w:rsidP="00336FA0">
                  <w:pPr>
                    <w:pStyle w:val="TableUnitsRow"/>
                    <w:rPr>
                      <w:spacing w:val="-2"/>
                    </w:rPr>
                  </w:pPr>
                  <w:r w:rsidRPr="00BC1144">
                    <w:rPr>
                      <w:spacing w:val="-2"/>
                    </w:rPr>
                    <w:t>‘000</w:t>
                  </w:r>
                </w:p>
              </w:tc>
              <w:tc>
                <w:tcPr>
                  <w:tcW w:w="474" w:type="pct"/>
                  <w:tcBorders>
                    <w:top w:val="single" w:sz="6" w:space="0" w:color="BFBFBF"/>
                    <w:right w:val="single" w:sz="12" w:space="0" w:color="FFFFFF" w:themeColor="background1"/>
                  </w:tcBorders>
                  <w:shd w:val="clear" w:color="auto" w:fill="auto"/>
                  <w:tcMar>
                    <w:top w:w="28" w:type="dxa"/>
                  </w:tcMar>
                </w:tcPr>
                <w:p w:rsidR="006E391F" w:rsidRPr="00BC1144" w:rsidRDefault="006E391F" w:rsidP="00336FA0">
                  <w:pPr>
                    <w:pStyle w:val="TableUnitsRow"/>
                    <w:rPr>
                      <w:spacing w:val="-2"/>
                    </w:rPr>
                  </w:pPr>
                  <w:r w:rsidRPr="00BC1144">
                    <w:rPr>
                      <w:spacing w:val="-2"/>
                    </w:rPr>
                    <w:t>‘000</w:t>
                  </w:r>
                </w:p>
              </w:tc>
            </w:tr>
            <w:tr w:rsidR="006E391F" w:rsidRPr="00BC1144" w:rsidTr="006C2DA0">
              <w:trPr>
                <w:tblHeader/>
              </w:trPr>
              <w:tc>
                <w:tcPr>
                  <w:tcW w:w="479" w:type="pct"/>
                  <w:vMerge w:val="restart"/>
                  <w:shd w:val="clear" w:color="auto" w:fill="F2F2F2" w:themeFill="background1" w:themeFillShade="F2"/>
                  <w:vAlign w:val="center"/>
                </w:tcPr>
                <w:p w:rsidR="006E391F" w:rsidRPr="00BC1144" w:rsidRDefault="006E391F" w:rsidP="00336FA0">
                  <w:pPr>
                    <w:pStyle w:val="TableColumnHeading"/>
                    <w:jc w:val="left"/>
                    <w:rPr>
                      <w:i w:val="0"/>
                    </w:rPr>
                  </w:pPr>
                  <w:r w:rsidRPr="00BC1144">
                    <w:rPr>
                      <w:rFonts w:cs="Arial"/>
                      <w:b/>
                      <w:bCs/>
                      <w:i w:val="0"/>
                      <w:color w:val="000000"/>
                      <w:szCs w:val="18"/>
                    </w:rPr>
                    <w:t>TAC</w:t>
                  </w:r>
                </w:p>
              </w:tc>
              <w:tc>
                <w:tcPr>
                  <w:tcW w:w="694" w:type="pct"/>
                  <w:tcBorders>
                    <w:right w:val="single" w:sz="4" w:space="0" w:color="BFBFBF"/>
                  </w:tcBorders>
                  <w:shd w:val="clear" w:color="auto" w:fill="auto"/>
                  <w:vAlign w:val="bottom"/>
                </w:tcPr>
                <w:p w:rsidR="006E391F" w:rsidRPr="00BC1144" w:rsidRDefault="006E391F" w:rsidP="00336FA0">
                  <w:pPr>
                    <w:pStyle w:val="TableColumnHeading"/>
                    <w:jc w:val="left"/>
                    <w:rPr>
                      <w:i w:val="0"/>
                    </w:rPr>
                  </w:pPr>
                  <w:r w:rsidRPr="00BC1144">
                    <w:rPr>
                      <w:i w:val="0"/>
                    </w:rPr>
                    <w:t>Year 12 applicants</w:t>
                  </w:r>
                </w:p>
              </w:tc>
              <w:tc>
                <w:tcPr>
                  <w:tcW w:w="479" w:type="pct"/>
                  <w:tcBorders>
                    <w:left w:val="single" w:sz="4" w:space="0" w:color="BFBFBF"/>
                  </w:tcBorders>
                  <w:shd w:val="clear" w:color="auto" w:fill="auto"/>
                  <w:vAlign w:val="bottom"/>
                </w:tcPr>
                <w:p w:rsidR="006E391F" w:rsidRPr="00BC1144" w:rsidRDefault="006E391F" w:rsidP="00336FA0">
                  <w:pPr>
                    <w:pStyle w:val="TableColumnHeading"/>
                    <w:rPr>
                      <w:i w:val="0"/>
                    </w:rPr>
                  </w:pPr>
                  <w:r w:rsidRPr="00BC1144">
                    <w:rPr>
                      <w:i w:val="0"/>
                      <w:spacing w:val="-2"/>
                    </w:rPr>
                    <w:t>137.5</w:t>
                  </w:r>
                </w:p>
              </w:tc>
              <w:tc>
                <w:tcPr>
                  <w:tcW w:w="479" w:type="pct"/>
                  <w:shd w:val="clear" w:color="auto" w:fill="auto"/>
                  <w:vAlign w:val="bottom"/>
                </w:tcPr>
                <w:p w:rsidR="006E391F" w:rsidRPr="00BC1144" w:rsidRDefault="006E391F" w:rsidP="00336FA0">
                  <w:pPr>
                    <w:pStyle w:val="TableColumnHeading"/>
                    <w:rPr>
                      <w:i w:val="0"/>
                    </w:rPr>
                  </w:pPr>
                  <w:r w:rsidRPr="00BC1144">
                    <w:rPr>
                      <w:i w:val="0"/>
                      <w:spacing w:val="-2"/>
                    </w:rPr>
                    <w:t>142.3</w:t>
                  </w:r>
                </w:p>
              </w:tc>
              <w:tc>
                <w:tcPr>
                  <w:tcW w:w="479" w:type="pct"/>
                  <w:shd w:val="clear" w:color="auto" w:fill="auto"/>
                  <w:vAlign w:val="bottom"/>
                </w:tcPr>
                <w:p w:rsidR="006E391F" w:rsidRPr="00BC1144" w:rsidRDefault="006E391F" w:rsidP="00336FA0">
                  <w:pPr>
                    <w:pStyle w:val="TableColumnHeading"/>
                    <w:rPr>
                      <w:i w:val="0"/>
                    </w:rPr>
                  </w:pPr>
                  <w:r w:rsidRPr="00BC1144">
                    <w:rPr>
                      <w:i w:val="0"/>
                      <w:spacing w:val="-2"/>
                    </w:rPr>
                    <w:t>147.6</w:t>
                  </w:r>
                </w:p>
              </w:tc>
              <w:tc>
                <w:tcPr>
                  <w:tcW w:w="479" w:type="pct"/>
                  <w:shd w:val="clear" w:color="auto" w:fill="auto"/>
                  <w:vAlign w:val="bottom"/>
                </w:tcPr>
                <w:p w:rsidR="006E391F" w:rsidRPr="00BC1144" w:rsidRDefault="006E391F" w:rsidP="00336FA0">
                  <w:pPr>
                    <w:pStyle w:val="TableColumnHeading"/>
                    <w:rPr>
                      <w:i w:val="0"/>
                    </w:rPr>
                  </w:pPr>
                  <w:r w:rsidRPr="00BC1144">
                    <w:rPr>
                      <w:i w:val="0"/>
                      <w:spacing w:val="-2"/>
                    </w:rPr>
                    <w:t>151.0</w:t>
                  </w:r>
                </w:p>
              </w:tc>
              <w:tc>
                <w:tcPr>
                  <w:tcW w:w="479" w:type="pct"/>
                  <w:shd w:val="clear" w:color="auto" w:fill="auto"/>
                  <w:tcMar>
                    <w:top w:w="28" w:type="dxa"/>
                  </w:tcMar>
                  <w:vAlign w:val="bottom"/>
                </w:tcPr>
                <w:p w:rsidR="006E391F" w:rsidRPr="00BC1144" w:rsidRDefault="006E391F" w:rsidP="00336FA0">
                  <w:pPr>
                    <w:pStyle w:val="TableColumnHeading"/>
                    <w:rPr>
                      <w:i w:val="0"/>
                    </w:rPr>
                  </w:pPr>
                  <w:r w:rsidRPr="00BC1144">
                    <w:rPr>
                      <w:i w:val="0"/>
                      <w:spacing w:val="-2"/>
                    </w:rPr>
                    <w:t>151.6</w:t>
                  </w:r>
                </w:p>
              </w:tc>
              <w:tc>
                <w:tcPr>
                  <w:tcW w:w="479" w:type="pct"/>
                  <w:shd w:val="clear" w:color="auto" w:fill="auto"/>
                  <w:vAlign w:val="bottom"/>
                </w:tcPr>
                <w:p w:rsidR="006E391F" w:rsidRPr="00BC1144" w:rsidRDefault="006E391F" w:rsidP="00336FA0">
                  <w:pPr>
                    <w:pStyle w:val="TableColumnHeading"/>
                    <w:rPr>
                      <w:i w:val="0"/>
                    </w:rPr>
                  </w:pPr>
                  <w:r w:rsidRPr="00BC1144">
                    <w:rPr>
                      <w:i w:val="0"/>
                      <w:spacing w:val="-2"/>
                    </w:rPr>
                    <w:t>140.9</w:t>
                  </w:r>
                </w:p>
              </w:tc>
              <w:tc>
                <w:tcPr>
                  <w:tcW w:w="479" w:type="pct"/>
                  <w:shd w:val="clear" w:color="auto" w:fill="auto"/>
                  <w:tcMar>
                    <w:top w:w="28" w:type="dxa"/>
                  </w:tcMar>
                  <w:vAlign w:val="bottom"/>
                </w:tcPr>
                <w:p w:rsidR="006E391F" w:rsidRPr="00BC1144" w:rsidRDefault="006E391F" w:rsidP="00336FA0">
                  <w:pPr>
                    <w:pStyle w:val="TableColumnHeading"/>
                    <w:rPr>
                      <w:i w:val="0"/>
                    </w:rPr>
                  </w:pPr>
                  <w:r w:rsidRPr="00BC1144">
                    <w:rPr>
                      <w:i w:val="0"/>
                      <w:spacing w:val="-2"/>
                    </w:rPr>
                    <w:t>156.0</w:t>
                  </w:r>
                </w:p>
              </w:tc>
              <w:tc>
                <w:tcPr>
                  <w:tcW w:w="474" w:type="pct"/>
                  <w:tcBorders>
                    <w:right w:val="single" w:sz="12" w:space="0" w:color="FFFFFF" w:themeColor="background1"/>
                  </w:tcBorders>
                  <w:shd w:val="clear" w:color="auto" w:fill="auto"/>
                  <w:tcMar>
                    <w:top w:w="28" w:type="dxa"/>
                  </w:tcMar>
                  <w:vAlign w:val="bottom"/>
                </w:tcPr>
                <w:p w:rsidR="006E391F" w:rsidRPr="00BC1144" w:rsidRDefault="006E391F" w:rsidP="00336FA0">
                  <w:pPr>
                    <w:pStyle w:val="TableColumnHeading"/>
                    <w:ind w:right="28"/>
                    <w:rPr>
                      <w:i w:val="0"/>
                    </w:rPr>
                  </w:pPr>
                  <w:r w:rsidRPr="00BC1144">
                    <w:rPr>
                      <w:i w:val="0"/>
                      <w:spacing w:val="-2"/>
                    </w:rPr>
                    <w:t>155.6</w:t>
                  </w:r>
                </w:p>
              </w:tc>
            </w:tr>
            <w:tr w:rsidR="006E391F" w:rsidRPr="00BC1144" w:rsidTr="006C2DA0">
              <w:trPr>
                <w:tblHeader/>
              </w:trPr>
              <w:tc>
                <w:tcPr>
                  <w:tcW w:w="479" w:type="pct"/>
                  <w:vMerge/>
                  <w:tcBorders>
                    <w:top w:val="nil"/>
                    <w:bottom w:val="single" w:sz="12" w:space="0" w:color="FFFFFF" w:themeColor="background1"/>
                  </w:tcBorders>
                  <w:shd w:val="clear" w:color="auto" w:fill="F2F2F2" w:themeFill="background1" w:themeFillShade="F2"/>
                  <w:vAlign w:val="center"/>
                </w:tcPr>
                <w:p w:rsidR="006E391F" w:rsidRPr="00BC1144" w:rsidRDefault="006E391F" w:rsidP="00336FA0">
                  <w:pPr>
                    <w:pStyle w:val="TableColumnHeading"/>
                    <w:jc w:val="left"/>
                    <w:rPr>
                      <w:i w:val="0"/>
                    </w:rPr>
                  </w:pPr>
                </w:p>
              </w:tc>
              <w:tc>
                <w:tcPr>
                  <w:tcW w:w="694" w:type="pct"/>
                  <w:tcBorders>
                    <w:top w:val="nil"/>
                    <w:right w:val="single" w:sz="4" w:space="0" w:color="BFBFBF"/>
                  </w:tcBorders>
                  <w:shd w:val="clear" w:color="auto" w:fill="F2F2F2" w:themeFill="background1" w:themeFillShade="F2"/>
                  <w:vAlign w:val="bottom"/>
                </w:tcPr>
                <w:p w:rsidR="006E391F" w:rsidRPr="00BC1144" w:rsidRDefault="006E391F" w:rsidP="00336FA0">
                  <w:pPr>
                    <w:pStyle w:val="TableColumnHeading"/>
                    <w:jc w:val="left"/>
                    <w:rPr>
                      <w:i w:val="0"/>
                    </w:rPr>
                  </w:pPr>
                  <w:r w:rsidRPr="00BC1144">
                    <w:rPr>
                      <w:i w:val="0"/>
                    </w:rPr>
                    <w:t>Non</w:t>
                  </w:r>
                  <w:r w:rsidRPr="00BC1144">
                    <w:rPr>
                      <w:i w:val="0"/>
                    </w:rPr>
                    <w:noBreakHyphen/>
                    <w:t>year-12 applicants</w:t>
                  </w:r>
                </w:p>
              </w:tc>
              <w:tc>
                <w:tcPr>
                  <w:tcW w:w="479" w:type="pct"/>
                  <w:tcBorders>
                    <w:top w:val="nil"/>
                    <w:left w:val="single" w:sz="4" w:space="0" w:color="BFBFBF"/>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129.5</w:t>
                  </w:r>
                </w:p>
              </w:tc>
              <w:tc>
                <w:tcPr>
                  <w:tcW w:w="479" w:type="pct"/>
                  <w:tcBorders>
                    <w:top w:val="nil"/>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124.9</w:t>
                  </w:r>
                </w:p>
              </w:tc>
              <w:tc>
                <w:tcPr>
                  <w:tcW w:w="479" w:type="pct"/>
                  <w:tcBorders>
                    <w:top w:val="nil"/>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125.6</w:t>
                  </w:r>
                </w:p>
              </w:tc>
              <w:tc>
                <w:tcPr>
                  <w:tcW w:w="479" w:type="pct"/>
                  <w:tcBorders>
                    <w:top w:val="nil"/>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124.4</w:t>
                  </w:r>
                </w:p>
              </w:tc>
              <w:tc>
                <w:tcPr>
                  <w:tcW w:w="479" w:type="pct"/>
                  <w:tcBorders>
                    <w:top w:val="nil"/>
                  </w:tcBorders>
                  <w:shd w:val="clear" w:color="auto" w:fill="F2F2F2" w:themeFill="background1" w:themeFillShade="F2"/>
                  <w:tcMar>
                    <w:top w:w="28" w:type="dxa"/>
                  </w:tcMar>
                  <w:vAlign w:val="bottom"/>
                </w:tcPr>
                <w:p w:rsidR="006E391F" w:rsidRPr="00BC1144" w:rsidRDefault="006E391F" w:rsidP="00336FA0">
                  <w:pPr>
                    <w:pStyle w:val="TableColumnHeading"/>
                    <w:rPr>
                      <w:i w:val="0"/>
                    </w:rPr>
                  </w:pPr>
                  <w:r w:rsidRPr="00BC1144">
                    <w:rPr>
                      <w:i w:val="0"/>
                      <w:spacing w:val="-2"/>
                    </w:rPr>
                    <w:t>123.8</w:t>
                  </w:r>
                </w:p>
              </w:tc>
              <w:tc>
                <w:tcPr>
                  <w:tcW w:w="479" w:type="pct"/>
                  <w:tcBorders>
                    <w:top w:val="nil"/>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115.3</w:t>
                  </w:r>
                </w:p>
              </w:tc>
              <w:tc>
                <w:tcPr>
                  <w:tcW w:w="479" w:type="pct"/>
                  <w:tcBorders>
                    <w:top w:val="nil"/>
                  </w:tcBorders>
                  <w:shd w:val="clear" w:color="auto" w:fill="F2F2F2" w:themeFill="background1" w:themeFillShade="F2"/>
                  <w:tcMar>
                    <w:top w:w="28" w:type="dxa"/>
                  </w:tcMar>
                  <w:vAlign w:val="bottom"/>
                </w:tcPr>
                <w:p w:rsidR="006E391F" w:rsidRPr="00BC1144" w:rsidRDefault="006E391F" w:rsidP="00336FA0">
                  <w:pPr>
                    <w:pStyle w:val="TableColumnHeading"/>
                    <w:rPr>
                      <w:i w:val="0"/>
                    </w:rPr>
                  </w:pPr>
                  <w:r w:rsidRPr="00BC1144">
                    <w:rPr>
                      <w:i w:val="0"/>
                      <w:spacing w:val="-2"/>
                    </w:rPr>
                    <w:t>118.2</w:t>
                  </w:r>
                </w:p>
              </w:tc>
              <w:tc>
                <w:tcPr>
                  <w:tcW w:w="474" w:type="pct"/>
                  <w:tcBorders>
                    <w:top w:val="nil"/>
                    <w:right w:val="single" w:sz="12" w:space="0" w:color="FFFFFF" w:themeColor="background1"/>
                  </w:tcBorders>
                  <w:shd w:val="clear" w:color="auto" w:fill="F2F2F2" w:themeFill="background1" w:themeFillShade="F2"/>
                  <w:tcMar>
                    <w:top w:w="28" w:type="dxa"/>
                  </w:tcMar>
                  <w:vAlign w:val="bottom"/>
                </w:tcPr>
                <w:p w:rsidR="006E391F" w:rsidRPr="00BC1144" w:rsidRDefault="006E391F" w:rsidP="00336FA0">
                  <w:pPr>
                    <w:pStyle w:val="TableColumnHeading"/>
                    <w:ind w:right="28"/>
                    <w:rPr>
                      <w:i w:val="0"/>
                    </w:rPr>
                  </w:pPr>
                  <w:r w:rsidRPr="00BC1144">
                    <w:rPr>
                      <w:i w:val="0"/>
                      <w:spacing w:val="-2"/>
                    </w:rPr>
                    <w:t>112.3</w:t>
                  </w:r>
                </w:p>
              </w:tc>
            </w:tr>
            <w:tr w:rsidR="006E391F" w:rsidRPr="00BC1144" w:rsidTr="006C2DA0">
              <w:trPr>
                <w:tblHeader/>
              </w:trPr>
              <w:tc>
                <w:tcPr>
                  <w:tcW w:w="479" w:type="pct"/>
                  <w:tcBorders>
                    <w:top w:val="single" w:sz="12" w:space="0" w:color="FFFFFF" w:themeColor="background1"/>
                    <w:bottom w:val="single" w:sz="12" w:space="0" w:color="FFFFFF" w:themeColor="background1"/>
                  </w:tcBorders>
                  <w:shd w:val="clear" w:color="auto" w:fill="F2F2F2" w:themeFill="background1" w:themeFillShade="F2"/>
                  <w:vAlign w:val="center"/>
                </w:tcPr>
                <w:p w:rsidR="006E391F" w:rsidRPr="00BC1144" w:rsidRDefault="006E391F" w:rsidP="00336FA0">
                  <w:pPr>
                    <w:pStyle w:val="TableColumnHeading"/>
                    <w:jc w:val="left"/>
                    <w:rPr>
                      <w:i w:val="0"/>
                    </w:rPr>
                  </w:pPr>
                  <w:r w:rsidRPr="00BC1144">
                    <w:rPr>
                      <w:rFonts w:cs="Arial"/>
                      <w:b/>
                      <w:bCs/>
                      <w:i w:val="0"/>
                      <w:color w:val="000000"/>
                      <w:szCs w:val="18"/>
                    </w:rPr>
                    <w:t>Direct</w:t>
                  </w:r>
                </w:p>
              </w:tc>
              <w:tc>
                <w:tcPr>
                  <w:tcW w:w="694" w:type="pct"/>
                  <w:tcBorders>
                    <w:right w:val="single" w:sz="4" w:space="0" w:color="BFBFBF"/>
                  </w:tcBorders>
                  <w:shd w:val="clear" w:color="auto" w:fill="FFFFFF" w:themeFill="background1"/>
                  <w:vAlign w:val="bottom"/>
                </w:tcPr>
                <w:p w:rsidR="006E391F" w:rsidRPr="00BC1144" w:rsidRDefault="006E391F" w:rsidP="00336FA0">
                  <w:pPr>
                    <w:pStyle w:val="TableColumnHeading"/>
                    <w:jc w:val="left"/>
                    <w:rPr>
                      <w:i w:val="0"/>
                    </w:rPr>
                  </w:pPr>
                  <w:r w:rsidRPr="00BC1144">
                    <w:rPr>
                      <w:i w:val="0"/>
                    </w:rPr>
                    <w:t>Total direct</w:t>
                  </w:r>
                </w:p>
              </w:tc>
              <w:tc>
                <w:tcPr>
                  <w:tcW w:w="479" w:type="pct"/>
                  <w:tcBorders>
                    <w:left w:val="single" w:sz="4" w:space="0" w:color="BFBFBF"/>
                  </w:tcBorders>
                  <w:shd w:val="clear" w:color="auto" w:fill="FFFFFF" w:themeFill="background1"/>
                  <w:vAlign w:val="bottom"/>
                </w:tcPr>
                <w:p w:rsidR="006E391F" w:rsidRPr="00BC1144" w:rsidRDefault="006E391F" w:rsidP="00336FA0">
                  <w:pPr>
                    <w:pStyle w:val="TableColumnHeading"/>
                    <w:rPr>
                      <w:i w:val="0"/>
                    </w:rPr>
                  </w:pPr>
                  <w:r w:rsidRPr="00BC1144">
                    <w:rPr>
                      <w:i w:val="0"/>
                      <w:spacing w:val="-2"/>
                    </w:rPr>
                    <w:t>60.7</w:t>
                  </w:r>
                </w:p>
              </w:tc>
              <w:tc>
                <w:tcPr>
                  <w:tcW w:w="479" w:type="pct"/>
                  <w:shd w:val="clear" w:color="auto" w:fill="FFFFFF" w:themeFill="background1"/>
                  <w:vAlign w:val="bottom"/>
                </w:tcPr>
                <w:p w:rsidR="006E391F" w:rsidRPr="00BC1144" w:rsidRDefault="006E391F" w:rsidP="00336FA0">
                  <w:pPr>
                    <w:pStyle w:val="TableColumnHeading"/>
                    <w:rPr>
                      <w:i w:val="0"/>
                    </w:rPr>
                  </w:pPr>
                  <w:r w:rsidRPr="00BC1144">
                    <w:rPr>
                      <w:i w:val="0"/>
                      <w:spacing w:val="-2"/>
                    </w:rPr>
                    <w:t>68.9</w:t>
                  </w:r>
                </w:p>
              </w:tc>
              <w:tc>
                <w:tcPr>
                  <w:tcW w:w="479" w:type="pct"/>
                  <w:shd w:val="clear" w:color="auto" w:fill="FFFFFF" w:themeFill="background1"/>
                  <w:vAlign w:val="bottom"/>
                </w:tcPr>
                <w:p w:rsidR="006E391F" w:rsidRPr="00BC1144" w:rsidRDefault="006E391F" w:rsidP="00336FA0">
                  <w:pPr>
                    <w:pStyle w:val="TableColumnHeading"/>
                    <w:rPr>
                      <w:i w:val="0"/>
                    </w:rPr>
                  </w:pPr>
                  <w:r w:rsidRPr="00BC1144">
                    <w:rPr>
                      <w:i w:val="0"/>
                      <w:spacing w:val="-2"/>
                    </w:rPr>
                    <w:t>76.8</w:t>
                  </w:r>
                </w:p>
              </w:tc>
              <w:tc>
                <w:tcPr>
                  <w:tcW w:w="479" w:type="pct"/>
                  <w:shd w:val="clear" w:color="auto" w:fill="FFFFFF" w:themeFill="background1"/>
                  <w:vAlign w:val="bottom"/>
                </w:tcPr>
                <w:p w:rsidR="006E391F" w:rsidRPr="00BC1144" w:rsidRDefault="006E391F" w:rsidP="00336FA0">
                  <w:pPr>
                    <w:pStyle w:val="TableColumnHeading"/>
                    <w:rPr>
                      <w:i w:val="0"/>
                    </w:rPr>
                  </w:pPr>
                  <w:r w:rsidRPr="00BC1144">
                    <w:rPr>
                      <w:i w:val="0"/>
                      <w:spacing w:val="-2"/>
                    </w:rPr>
                    <w:t>82.9</w:t>
                  </w:r>
                </w:p>
              </w:tc>
              <w:tc>
                <w:tcPr>
                  <w:tcW w:w="479" w:type="pct"/>
                  <w:shd w:val="clear" w:color="auto" w:fill="FFFFFF" w:themeFill="background1"/>
                  <w:tcMar>
                    <w:top w:w="28" w:type="dxa"/>
                  </w:tcMar>
                  <w:vAlign w:val="bottom"/>
                </w:tcPr>
                <w:p w:rsidR="006E391F" w:rsidRPr="00BC1144" w:rsidRDefault="006E391F" w:rsidP="00336FA0">
                  <w:pPr>
                    <w:pStyle w:val="TableColumnHeading"/>
                    <w:rPr>
                      <w:i w:val="0"/>
                    </w:rPr>
                  </w:pPr>
                  <w:r w:rsidRPr="00BC1144">
                    <w:rPr>
                      <w:i w:val="0"/>
                      <w:spacing w:val="-2"/>
                    </w:rPr>
                    <w:t>89.7</w:t>
                  </w:r>
                </w:p>
              </w:tc>
              <w:tc>
                <w:tcPr>
                  <w:tcW w:w="479" w:type="pct"/>
                  <w:shd w:val="clear" w:color="auto" w:fill="FFFFFF" w:themeFill="background1"/>
                  <w:vAlign w:val="bottom"/>
                </w:tcPr>
                <w:p w:rsidR="006E391F" w:rsidRPr="00BC1144" w:rsidRDefault="006E391F" w:rsidP="00336FA0">
                  <w:pPr>
                    <w:pStyle w:val="TableColumnHeading"/>
                    <w:rPr>
                      <w:i w:val="0"/>
                    </w:rPr>
                  </w:pPr>
                  <w:r w:rsidRPr="00BC1144">
                    <w:rPr>
                      <w:i w:val="0"/>
                      <w:spacing w:val="-2"/>
                    </w:rPr>
                    <w:t>103.3</w:t>
                  </w:r>
                </w:p>
              </w:tc>
              <w:tc>
                <w:tcPr>
                  <w:tcW w:w="479" w:type="pct"/>
                  <w:shd w:val="clear" w:color="auto" w:fill="FFFFFF" w:themeFill="background1"/>
                  <w:tcMar>
                    <w:top w:w="28" w:type="dxa"/>
                  </w:tcMar>
                  <w:vAlign w:val="bottom"/>
                </w:tcPr>
                <w:p w:rsidR="006E391F" w:rsidRPr="00BC1144" w:rsidRDefault="006E391F" w:rsidP="00336FA0">
                  <w:pPr>
                    <w:pStyle w:val="TableColumnHeading"/>
                    <w:rPr>
                      <w:i w:val="0"/>
                    </w:rPr>
                  </w:pPr>
                  <w:r w:rsidRPr="00BC1144">
                    <w:rPr>
                      <w:i w:val="0"/>
                      <w:spacing w:val="-2"/>
                    </w:rPr>
                    <w:t>120.6</w:t>
                  </w:r>
                </w:p>
              </w:tc>
              <w:tc>
                <w:tcPr>
                  <w:tcW w:w="474" w:type="pct"/>
                  <w:tcBorders>
                    <w:right w:val="single" w:sz="12" w:space="0" w:color="FFFFFF" w:themeColor="background1"/>
                  </w:tcBorders>
                  <w:shd w:val="clear" w:color="auto" w:fill="FFFFFF" w:themeFill="background1"/>
                  <w:tcMar>
                    <w:top w:w="28" w:type="dxa"/>
                  </w:tcMar>
                  <w:vAlign w:val="bottom"/>
                </w:tcPr>
                <w:p w:rsidR="006E391F" w:rsidRPr="00BC1144" w:rsidRDefault="006E391F" w:rsidP="00336FA0">
                  <w:pPr>
                    <w:pStyle w:val="TableColumnHeading"/>
                    <w:ind w:right="28"/>
                    <w:rPr>
                      <w:i w:val="0"/>
                    </w:rPr>
                  </w:pPr>
                  <w:r w:rsidRPr="00BC1144">
                    <w:rPr>
                      <w:i w:val="0"/>
                      <w:spacing w:val="-2"/>
                    </w:rPr>
                    <w:t>131.6</w:t>
                  </w:r>
                </w:p>
              </w:tc>
            </w:tr>
            <w:tr w:rsidR="006E391F" w:rsidRPr="00BC1144" w:rsidTr="006C2DA0">
              <w:trPr>
                <w:trHeight w:val="584"/>
                <w:tblHeader/>
              </w:trPr>
              <w:tc>
                <w:tcPr>
                  <w:tcW w:w="479" w:type="pct"/>
                  <w:vMerge w:val="restart"/>
                  <w:tcBorders>
                    <w:top w:val="single" w:sz="12" w:space="0" w:color="FFFFFF" w:themeColor="background1"/>
                  </w:tcBorders>
                  <w:shd w:val="clear" w:color="auto" w:fill="F2F2F2" w:themeFill="background1" w:themeFillShade="F2"/>
                  <w:vAlign w:val="center"/>
                </w:tcPr>
                <w:p w:rsidR="006E391F" w:rsidRPr="00BC1144" w:rsidRDefault="006E391F" w:rsidP="00336FA0">
                  <w:pPr>
                    <w:pStyle w:val="TableColumnHeading"/>
                    <w:jc w:val="left"/>
                    <w:rPr>
                      <w:i w:val="0"/>
                    </w:rPr>
                  </w:pPr>
                  <w:r w:rsidRPr="00BC1144">
                    <w:rPr>
                      <w:rFonts w:cs="Arial"/>
                      <w:b/>
                      <w:bCs/>
                      <w:i w:val="0"/>
                      <w:color w:val="000000"/>
                      <w:szCs w:val="18"/>
                    </w:rPr>
                    <w:t>Of non</w:t>
                  </w:r>
                  <w:r w:rsidRPr="00BC1144">
                    <w:rPr>
                      <w:rFonts w:cs="Arial"/>
                      <w:b/>
                      <w:bCs/>
                      <w:i w:val="0"/>
                      <w:color w:val="000000"/>
                      <w:szCs w:val="18"/>
                    </w:rPr>
                    <w:noBreakHyphen/>
                    <w:t>year-12 TAC and direct app’s</w:t>
                  </w:r>
                </w:p>
              </w:tc>
              <w:tc>
                <w:tcPr>
                  <w:tcW w:w="694" w:type="pct"/>
                  <w:tcBorders>
                    <w:right w:val="single" w:sz="4" w:space="0" w:color="BFBFBF"/>
                  </w:tcBorders>
                  <w:shd w:val="clear" w:color="auto" w:fill="F2F2F2" w:themeFill="background1" w:themeFillShade="F2"/>
                  <w:vAlign w:val="bottom"/>
                </w:tcPr>
                <w:p w:rsidR="006E391F" w:rsidRPr="00BC1144" w:rsidRDefault="006E391F" w:rsidP="00336FA0">
                  <w:pPr>
                    <w:pStyle w:val="TableColumnHeading"/>
                    <w:jc w:val="left"/>
                    <w:rPr>
                      <w:i w:val="0"/>
                    </w:rPr>
                  </w:pPr>
                  <w:r w:rsidRPr="00BC1144">
                    <w:rPr>
                      <w:i w:val="0"/>
                    </w:rPr>
                    <w:t>Complete postgraduate</w:t>
                  </w:r>
                </w:p>
              </w:tc>
              <w:tc>
                <w:tcPr>
                  <w:tcW w:w="479" w:type="pct"/>
                  <w:tcBorders>
                    <w:left w:val="single" w:sz="4" w:space="0" w:color="BFBFBF"/>
                  </w:tcBorders>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4.3</w:t>
                  </w:r>
                </w:p>
              </w:tc>
              <w:tc>
                <w:tcPr>
                  <w:tcW w:w="479" w:type="pct"/>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4.3</w:t>
                  </w:r>
                </w:p>
              </w:tc>
              <w:tc>
                <w:tcPr>
                  <w:tcW w:w="479" w:type="pct"/>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5.0</w:t>
                  </w:r>
                </w:p>
              </w:tc>
              <w:tc>
                <w:tcPr>
                  <w:tcW w:w="479" w:type="pct"/>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5.7</w:t>
                  </w:r>
                </w:p>
              </w:tc>
              <w:tc>
                <w:tcPr>
                  <w:tcW w:w="479" w:type="pct"/>
                  <w:shd w:val="clear" w:color="auto" w:fill="F2F2F2" w:themeFill="background1" w:themeFillShade="F2"/>
                  <w:tcMar>
                    <w:top w:w="28" w:type="dxa"/>
                  </w:tcMar>
                  <w:vAlign w:val="bottom"/>
                </w:tcPr>
                <w:p w:rsidR="006E391F" w:rsidRPr="00BC1144" w:rsidRDefault="006E391F" w:rsidP="00336FA0">
                  <w:pPr>
                    <w:pStyle w:val="TableColumnHeading"/>
                    <w:rPr>
                      <w:i w:val="0"/>
                    </w:rPr>
                  </w:pPr>
                  <w:r w:rsidRPr="00BC1144">
                    <w:rPr>
                      <w:i w:val="0"/>
                      <w:spacing w:val="-2"/>
                    </w:rPr>
                    <w:t>6.4</w:t>
                  </w:r>
                </w:p>
              </w:tc>
              <w:tc>
                <w:tcPr>
                  <w:tcW w:w="479" w:type="pct"/>
                  <w:shd w:val="clear" w:color="auto" w:fill="F2F2F2" w:themeFill="background1" w:themeFillShade="F2"/>
                  <w:vAlign w:val="bottom"/>
                </w:tcPr>
                <w:p w:rsidR="006E391F" w:rsidRPr="00BC1144" w:rsidRDefault="006E391F" w:rsidP="00336FA0">
                  <w:pPr>
                    <w:pStyle w:val="TableColumnHeading"/>
                    <w:rPr>
                      <w:i w:val="0"/>
                    </w:rPr>
                  </w:pPr>
                  <w:r w:rsidRPr="00BC1144">
                    <w:rPr>
                      <w:i w:val="0"/>
                      <w:spacing w:val="-2"/>
                    </w:rPr>
                    <w:t>6.9</w:t>
                  </w:r>
                </w:p>
              </w:tc>
              <w:tc>
                <w:tcPr>
                  <w:tcW w:w="479" w:type="pct"/>
                  <w:shd w:val="clear" w:color="auto" w:fill="F2F2F2" w:themeFill="background1" w:themeFillShade="F2"/>
                  <w:tcMar>
                    <w:top w:w="28" w:type="dxa"/>
                  </w:tcMar>
                  <w:vAlign w:val="bottom"/>
                </w:tcPr>
                <w:p w:rsidR="006E391F" w:rsidRPr="00BC1144" w:rsidRDefault="006E391F" w:rsidP="00336FA0">
                  <w:pPr>
                    <w:pStyle w:val="TableColumnHeading"/>
                    <w:rPr>
                      <w:i w:val="0"/>
                    </w:rPr>
                  </w:pPr>
                  <w:r w:rsidRPr="00BC1144">
                    <w:rPr>
                      <w:i w:val="0"/>
                      <w:spacing w:val="-2"/>
                    </w:rPr>
                    <w:t>7.0</w:t>
                  </w:r>
                </w:p>
              </w:tc>
              <w:tc>
                <w:tcPr>
                  <w:tcW w:w="474" w:type="pct"/>
                  <w:tcBorders>
                    <w:right w:val="single" w:sz="12" w:space="0" w:color="FFFFFF" w:themeColor="background1"/>
                  </w:tcBorders>
                  <w:shd w:val="clear" w:color="auto" w:fill="F2F2F2" w:themeFill="background1" w:themeFillShade="F2"/>
                  <w:tcMar>
                    <w:top w:w="28" w:type="dxa"/>
                  </w:tcMar>
                  <w:vAlign w:val="bottom"/>
                </w:tcPr>
                <w:p w:rsidR="006E391F" w:rsidRPr="00BC1144" w:rsidRDefault="006E391F" w:rsidP="00336FA0">
                  <w:pPr>
                    <w:pStyle w:val="TableColumnHeading"/>
                    <w:ind w:right="28"/>
                    <w:rPr>
                      <w:i w:val="0"/>
                    </w:rPr>
                  </w:pPr>
                  <w:r w:rsidRPr="00BC1144">
                    <w:rPr>
                      <w:i w:val="0"/>
                      <w:spacing w:val="-2"/>
                    </w:rPr>
                    <w:t>7.1</w:t>
                  </w:r>
                </w:p>
              </w:tc>
            </w:tr>
            <w:tr w:rsidR="006E391F" w:rsidRPr="00BC1144" w:rsidTr="006C2DA0">
              <w:tc>
                <w:tcPr>
                  <w:tcW w:w="479" w:type="pct"/>
                  <w:vMerge/>
                  <w:tcBorders>
                    <w:top w:val="nil"/>
                  </w:tcBorders>
                  <w:shd w:val="clear" w:color="auto" w:fill="F2F2F2" w:themeFill="background1" w:themeFillShade="F2"/>
                  <w:vAlign w:val="center"/>
                </w:tcPr>
                <w:p w:rsidR="006E391F" w:rsidRPr="00BC1144" w:rsidRDefault="006E391F" w:rsidP="00336FA0">
                  <w:pPr>
                    <w:pStyle w:val="TableUnitsRow"/>
                    <w:jc w:val="left"/>
                  </w:pPr>
                </w:p>
              </w:tc>
              <w:tc>
                <w:tcPr>
                  <w:tcW w:w="694" w:type="pct"/>
                  <w:tcBorders>
                    <w:top w:val="nil"/>
                    <w:right w:val="single" w:sz="4" w:space="0" w:color="BFBFBF"/>
                  </w:tcBorders>
                  <w:shd w:val="clear" w:color="auto" w:fill="auto"/>
                  <w:vAlign w:val="bottom"/>
                </w:tcPr>
                <w:p w:rsidR="006E391F" w:rsidRPr="00BC1144" w:rsidRDefault="006E391F" w:rsidP="00336FA0">
                  <w:pPr>
                    <w:pStyle w:val="TableUnitsRow"/>
                    <w:jc w:val="left"/>
                  </w:pPr>
                  <w:r w:rsidRPr="00BC1144">
                    <w:t>Complete bachelor</w:t>
                  </w:r>
                </w:p>
              </w:tc>
              <w:tc>
                <w:tcPr>
                  <w:tcW w:w="479" w:type="pct"/>
                  <w:tcBorders>
                    <w:top w:val="nil"/>
                    <w:left w:val="single" w:sz="4" w:space="0" w:color="BFBFBF"/>
                  </w:tcBorders>
                  <w:shd w:val="clear" w:color="auto" w:fill="auto"/>
                  <w:vAlign w:val="bottom"/>
                </w:tcPr>
                <w:p w:rsidR="006E391F" w:rsidRPr="00BC1144" w:rsidRDefault="006E391F" w:rsidP="00336FA0">
                  <w:pPr>
                    <w:pStyle w:val="TableUnitsRow"/>
                  </w:pPr>
                  <w:r w:rsidRPr="00BC1144">
                    <w:rPr>
                      <w:spacing w:val="-2"/>
                    </w:rPr>
                    <w:t>19.8</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19.9</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22.6</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24.7</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25.4</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27.6</w:t>
                  </w:r>
                </w:p>
              </w:tc>
              <w:tc>
                <w:tcPr>
                  <w:tcW w:w="479" w:type="pct"/>
                  <w:tcBorders>
                    <w:top w:val="nil"/>
                  </w:tcBorders>
                  <w:shd w:val="clear" w:color="auto" w:fill="auto"/>
                  <w:vAlign w:val="bottom"/>
                </w:tcPr>
                <w:p w:rsidR="006E391F" w:rsidRPr="00BC1144" w:rsidRDefault="006E391F" w:rsidP="00336FA0">
                  <w:pPr>
                    <w:pStyle w:val="TableUnitsRow"/>
                  </w:pPr>
                  <w:r w:rsidRPr="00BC1144">
                    <w:rPr>
                      <w:spacing w:val="-2"/>
                    </w:rPr>
                    <w:t>27.3</w:t>
                  </w:r>
                </w:p>
              </w:tc>
              <w:tc>
                <w:tcPr>
                  <w:tcW w:w="474" w:type="pct"/>
                  <w:tcBorders>
                    <w:top w:val="nil"/>
                    <w:right w:val="single" w:sz="12" w:space="0" w:color="FFFFFF" w:themeColor="background1"/>
                  </w:tcBorders>
                  <w:shd w:val="clear" w:color="auto" w:fill="auto"/>
                  <w:vAlign w:val="bottom"/>
                </w:tcPr>
                <w:p w:rsidR="006E391F" w:rsidRPr="00BC1144" w:rsidRDefault="006E391F" w:rsidP="00336FA0">
                  <w:pPr>
                    <w:pStyle w:val="TableUnitsRow"/>
                    <w:ind w:right="28"/>
                  </w:pPr>
                  <w:r w:rsidRPr="00BC1144">
                    <w:rPr>
                      <w:spacing w:val="-2"/>
                    </w:rPr>
                    <w:t>26.9</w:t>
                  </w:r>
                </w:p>
              </w:tc>
            </w:tr>
            <w:tr w:rsidR="006E391F" w:rsidRPr="00BC1144" w:rsidTr="006C2DA0">
              <w:tc>
                <w:tcPr>
                  <w:tcW w:w="479" w:type="pct"/>
                  <w:vMerge/>
                  <w:tcBorders>
                    <w:top w:val="nil"/>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right w:val="single" w:sz="4" w:space="0" w:color="BFBFBF"/>
                  </w:tcBorders>
                  <w:shd w:val="clear" w:color="auto" w:fill="F2F2F2" w:themeFill="background1" w:themeFillShade="F2"/>
                  <w:vAlign w:val="bottom"/>
                </w:tcPr>
                <w:p w:rsidR="006E391F" w:rsidRPr="00BC1144" w:rsidRDefault="006E391F" w:rsidP="00336FA0">
                  <w:pPr>
                    <w:pStyle w:val="TableBodyText"/>
                    <w:jc w:val="left"/>
                  </w:pPr>
                  <w:r w:rsidRPr="00BC1144">
                    <w:t>Complete sub</w:t>
                  </w:r>
                  <w:r w:rsidRPr="00BC1144">
                    <w:noBreakHyphen/>
                    <w:t>degree</w:t>
                  </w:r>
                </w:p>
              </w:tc>
              <w:tc>
                <w:tcPr>
                  <w:tcW w:w="479" w:type="pct"/>
                  <w:tcBorders>
                    <w:top w:val="nil"/>
                    <w:left w:val="single" w:sz="4" w:space="0" w:color="BFBFBF"/>
                  </w:tcBorders>
                  <w:shd w:val="clear" w:color="auto" w:fill="F2F2F2" w:themeFill="background1" w:themeFillShade="F2"/>
                  <w:vAlign w:val="bottom"/>
                </w:tcPr>
                <w:p w:rsidR="006E391F" w:rsidRPr="00BC1144" w:rsidRDefault="006E391F" w:rsidP="00336FA0">
                  <w:pPr>
                    <w:pStyle w:val="TableBodyText"/>
                  </w:pPr>
                  <w:r w:rsidRPr="00BC1144">
                    <w:rPr>
                      <w:spacing w:val="-2"/>
                    </w:rPr>
                    <w:t>7.1</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6.4</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7.1</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7.5</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8.1</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7.6</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7.5</w:t>
                  </w:r>
                </w:p>
              </w:tc>
              <w:tc>
                <w:tcPr>
                  <w:tcW w:w="474" w:type="pct"/>
                  <w:tcBorders>
                    <w:top w:val="nil"/>
                    <w:right w:val="single" w:sz="12" w:space="0" w:color="FFFFFF" w:themeColor="background1"/>
                  </w:tcBorders>
                  <w:shd w:val="clear" w:color="auto" w:fill="F2F2F2" w:themeFill="background1" w:themeFillShade="F2"/>
                  <w:vAlign w:val="bottom"/>
                </w:tcPr>
                <w:p w:rsidR="006E391F" w:rsidRPr="00BC1144" w:rsidRDefault="006E391F" w:rsidP="00336FA0">
                  <w:pPr>
                    <w:pStyle w:val="TableBodyText"/>
                    <w:ind w:right="28"/>
                  </w:pPr>
                  <w:r w:rsidRPr="00BC1144">
                    <w:rPr>
                      <w:spacing w:val="-2"/>
                    </w:rPr>
                    <w:t>7.3</w:t>
                  </w:r>
                </w:p>
              </w:tc>
            </w:tr>
            <w:tr w:rsidR="006E391F" w:rsidRPr="00BC1144" w:rsidTr="006C2DA0">
              <w:tc>
                <w:tcPr>
                  <w:tcW w:w="479" w:type="pct"/>
                  <w:vMerge/>
                  <w:tcBorders>
                    <w:top w:val="nil"/>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right w:val="single" w:sz="4" w:space="0" w:color="BFBFBF"/>
                  </w:tcBorders>
                  <w:shd w:val="clear" w:color="auto" w:fill="auto"/>
                  <w:vAlign w:val="bottom"/>
                </w:tcPr>
                <w:p w:rsidR="006E391F" w:rsidRPr="00BC1144" w:rsidRDefault="006E391F" w:rsidP="00336FA0">
                  <w:pPr>
                    <w:pStyle w:val="TableBodyText"/>
                    <w:jc w:val="left"/>
                  </w:pPr>
                  <w:r w:rsidRPr="00BC1144">
                    <w:t>Incomplete higher education</w:t>
                  </w:r>
                </w:p>
              </w:tc>
              <w:tc>
                <w:tcPr>
                  <w:tcW w:w="479" w:type="pct"/>
                  <w:tcBorders>
                    <w:top w:val="nil"/>
                    <w:left w:val="single" w:sz="4" w:space="0" w:color="BFBFBF"/>
                  </w:tcBorders>
                  <w:shd w:val="clear" w:color="auto" w:fill="auto"/>
                  <w:vAlign w:val="bottom"/>
                </w:tcPr>
                <w:p w:rsidR="006E391F" w:rsidRPr="00BC1144" w:rsidRDefault="006E391F" w:rsidP="00336FA0">
                  <w:pPr>
                    <w:pStyle w:val="TableBodyText"/>
                  </w:pPr>
                  <w:r w:rsidRPr="00BC1144">
                    <w:rPr>
                      <w:spacing w:val="-2"/>
                    </w:rPr>
                    <w:t>18.4</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62.8</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65.5</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67.8</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75.3</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73.8</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61.4</w:t>
                  </w:r>
                </w:p>
              </w:tc>
              <w:tc>
                <w:tcPr>
                  <w:tcW w:w="474" w:type="pct"/>
                  <w:tcBorders>
                    <w:top w:val="nil"/>
                    <w:right w:val="single" w:sz="12" w:space="0" w:color="FFFFFF" w:themeColor="background1"/>
                  </w:tcBorders>
                  <w:shd w:val="clear" w:color="auto" w:fill="auto"/>
                  <w:vAlign w:val="bottom"/>
                </w:tcPr>
                <w:p w:rsidR="006E391F" w:rsidRPr="00BC1144" w:rsidRDefault="006E391F" w:rsidP="00336FA0">
                  <w:pPr>
                    <w:pStyle w:val="TableBodyText"/>
                    <w:ind w:right="28"/>
                  </w:pPr>
                  <w:r w:rsidRPr="00BC1144">
                    <w:rPr>
                      <w:spacing w:val="-2"/>
                    </w:rPr>
                    <w:t>59.9</w:t>
                  </w:r>
                </w:p>
              </w:tc>
            </w:tr>
            <w:tr w:rsidR="006E391F" w:rsidRPr="00BC1144" w:rsidTr="00336FA0">
              <w:tc>
                <w:tcPr>
                  <w:tcW w:w="479" w:type="pct"/>
                  <w:vMerge/>
                  <w:tcBorders>
                    <w:top w:val="nil"/>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right w:val="single" w:sz="4" w:space="0" w:color="BFBFBF"/>
                  </w:tcBorders>
                  <w:shd w:val="clear" w:color="auto" w:fill="F2F2F2" w:themeFill="background1" w:themeFillShade="F2"/>
                  <w:vAlign w:val="bottom"/>
                </w:tcPr>
                <w:p w:rsidR="006E391F" w:rsidRPr="00BC1144" w:rsidRDefault="006E391F" w:rsidP="00336FA0">
                  <w:pPr>
                    <w:pStyle w:val="TableBodyText"/>
                    <w:jc w:val="left"/>
                  </w:pPr>
                  <w:r w:rsidRPr="00BC1144">
                    <w:t>Complete VET</w:t>
                  </w:r>
                </w:p>
              </w:tc>
              <w:tc>
                <w:tcPr>
                  <w:tcW w:w="479" w:type="pct"/>
                  <w:tcBorders>
                    <w:top w:val="nil"/>
                    <w:left w:val="single" w:sz="4" w:space="0" w:color="BFBFBF"/>
                  </w:tcBorders>
                  <w:shd w:val="clear" w:color="auto" w:fill="F2F2F2" w:themeFill="background1" w:themeFillShade="F2"/>
                  <w:vAlign w:val="bottom"/>
                </w:tcPr>
                <w:p w:rsidR="006E391F" w:rsidRPr="00BC1144" w:rsidRDefault="006E391F" w:rsidP="00336FA0">
                  <w:pPr>
                    <w:pStyle w:val="TableBodyText"/>
                  </w:pPr>
                  <w:r w:rsidRPr="00BC1144">
                    <w:rPr>
                      <w:spacing w:val="-2"/>
                    </w:rPr>
                    <w:t>21.7</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22.9</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23.4</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24.8</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22.5</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22.9</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23.5</w:t>
                  </w:r>
                </w:p>
              </w:tc>
              <w:tc>
                <w:tcPr>
                  <w:tcW w:w="474" w:type="pct"/>
                  <w:tcBorders>
                    <w:top w:val="nil"/>
                    <w:right w:val="single" w:sz="12" w:space="0" w:color="FFFFFF" w:themeColor="background1"/>
                  </w:tcBorders>
                  <w:shd w:val="clear" w:color="auto" w:fill="F2F2F2" w:themeFill="background1" w:themeFillShade="F2"/>
                  <w:vAlign w:val="bottom"/>
                </w:tcPr>
                <w:p w:rsidR="006E391F" w:rsidRPr="00BC1144" w:rsidRDefault="006E391F" w:rsidP="00336FA0">
                  <w:pPr>
                    <w:pStyle w:val="TableBodyText"/>
                    <w:ind w:right="28"/>
                  </w:pPr>
                  <w:r w:rsidRPr="00BC1144">
                    <w:rPr>
                      <w:spacing w:val="-2"/>
                    </w:rPr>
                    <w:t>25.5</w:t>
                  </w:r>
                </w:p>
              </w:tc>
            </w:tr>
            <w:tr w:rsidR="006E391F" w:rsidRPr="00BC1144" w:rsidTr="006C2DA0">
              <w:tc>
                <w:tcPr>
                  <w:tcW w:w="479" w:type="pct"/>
                  <w:vMerge/>
                  <w:tcBorders>
                    <w:top w:val="nil"/>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right w:val="single" w:sz="4" w:space="0" w:color="BFBFBF"/>
                  </w:tcBorders>
                  <w:shd w:val="clear" w:color="auto" w:fill="auto"/>
                  <w:vAlign w:val="bottom"/>
                </w:tcPr>
                <w:p w:rsidR="006E391F" w:rsidRPr="00BC1144" w:rsidRDefault="006E391F" w:rsidP="00336FA0">
                  <w:pPr>
                    <w:pStyle w:val="TableBodyText"/>
                    <w:jc w:val="left"/>
                  </w:pPr>
                  <w:r w:rsidRPr="00BC1144">
                    <w:t>Incomplete VET</w:t>
                  </w:r>
                </w:p>
              </w:tc>
              <w:tc>
                <w:tcPr>
                  <w:tcW w:w="479" w:type="pct"/>
                  <w:tcBorders>
                    <w:top w:val="nil"/>
                    <w:left w:val="single" w:sz="4" w:space="0" w:color="BFBFBF"/>
                  </w:tcBorders>
                  <w:shd w:val="clear" w:color="auto" w:fill="auto"/>
                  <w:vAlign w:val="bottom"/>
                </w:tcPr>
                <w:p w:rsidR="006E391F" w:rsidRPr="00BC1144" w:rsidRDefault="006E391F" w:rsidP="00336FA0">
                  <w:pPr>
                    <w:pStyle w:val="TableBodyText"/>
                  </w:pPr>
                  <w:r w:rsidRPr="00BC1144">
                    <w:rPr>
                      <w:spacing w:val="-2"/>
                    </w:rPr>
                    <w:t>5.4</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4.9</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4.6</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4.5</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3.5</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3.4</w:t>
                  </w:r>
                </w:p>
              </w:tc>
              <w:tc>
                <w:tcPr>
                  <w:tcW w:w="479" w:type="pct"/>
                  <w:tcBorders>
                    <w:top w:val="nil"/>
                  </w:tcBorders>
                  <w:shd w:val="clear" w:color="auto" w:fill="auto"/>
                  <w:vAlign w:val="bottom"/>
                </w:tcPr>
                <w:p w:rsidR="006E391F" w:rsidRPr="00BC1144" w:rsidRDefault="006E391F" w:rsidP="00336FA0">
                  <w:pPr>
                    <w:pStyle w:val="TableBodyText"/>
                  </w:pPr>
                  <w:r w:rsidRPr="00BC1144">
                    <w:rPr>
                      <w:spacing w:val="-2"/>
                    </w:rPr>
                    <w:t>3.7</w:t>
                  </w:r>
                </w:p>
              </w:tc>
              <w:tc>
                <w:tcPr>
                  <w:tcW w:w="474" w:type="pct"/>
                  <w:tcBorders>
                    <w:top w:val="nil"/>
                    <w:right w:val="single" w:sz="12" w:space="0" w:color="FFFFFF" w:themeColor="background1"/>
                  </w:tcBorders>
                  <w:shd w:val="clear" w:color="auto" w:fill="auto"/>
                  <w:vAlign w:val="bottom"/>
                </w:tcPr>
                <w:p w:rsidR="006E391F" w:rsidRPr="00BC1144" w:rsidRDefault="006E391F" w:rsidP="00336FA0">
                  <w:pPr>
                    <w:pStyle w:val="TableBodyText"/>
                    <w:ind w:right="28"/>
                  </w:pPr>
                  <w:r w:rsidRPr="00BC1144">
                    <w:rPr>
                      <w:spacing w:val="-2"/>
                    </w:rPr>
                    <w:t>3.4</w:t>
                  </w:r>
                </w:p>
              </w:tc>
            </w:tr>
            <w:tr w:rsidR="006E391F" w:rsidRPr="00BC1144" w:rsidTr="006C2DA0">
              <w:tc>
                <w:tcPr>
                  <w:tcW w:w="479" w:type="pct"/>
                  <w:vMerge/>
                  <w:tcBorders>
                    <w:top w:val="nil"/>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right w:val="single" w:sz="4" w:space="0" w:color="BFBFBF"/>
                  </w:tcBorders>
                  <w:shd w:val="clear" w:color="auto" w:fill="F2F2F2" w:themeFill="background1" w:themeFillShade="F2"/>
                  <w:vAlign w:val="bottom"/>
                </w:tcPr>
                <w:p w:rsidR="006E391F" w:rsidRPr="00BC1144" w:rsidRDefault="006E391F" w:rsidP="00336FA0">
                  <w:pPr>
                    <w:pStyle w:val="TableBodyText"/>
                    <w:jc w:val="left"/>
                  </w:pPr>
                  <w:r w:rsidRPr="00BC1144">
                    <w:t>Complete secondary Education</w:t>
                  </w:r>
                </w:p>
              </w:tc>
              <w:tc>
                <w:tcPr>
                  <w:tcW w:w="479" w:type="pct"/>
                  <w:tcBorders>
                    <w:top w:val="nil"/>
                    <w:left w:val="single" w:sz="4" w:space="0" w:color="BFBFBF"/>
                  </w:tcBorders>
                  <w:shd w:val="clear" w:color="auto" w:fill="F2F2F2" w:themeFill="background1" w:themeFillShade="F2"/>
                  <w:vAlign w:val="bottom"/>
                </w:tcPr>
                <w:p w:rsidR="006E391F" w:rsidRPr="00BC1144" w:rsidRDefault="006E391F" w:rsidP="00336FA0">
                  <w:pPr>
                    <w:pStyle w:val="TableBodyText"/>
                  </w:pPr>
                  <w:r w:rsidRPr="00BC1144">
                    <w:rPr>
                      <w:spacing w:val="-2"/>
                    </w:rPr>
                    <w:t>43.3</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55.5</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53.9</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54.2</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53.0</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53.1</w:t>
                  </w:r>
                </w:p>
              </w:tc>
              <w:tc>
                <w:tcPr>
                  <w:tcW w:w="479" w:type="pct"/>
                  <w:tcBorders>
                    <w:top w:val="nil"/>
                  </w:tcBorders>
                  <w:shd w:val="clear" w:color="auto" w:fill="F2F2F2" w:themeFill="background1" w:themeFillShade="F2"/>
                  <w:vAlign w:val="bottom"/>
                </w:tcPr>
                <w:p w:rsidR="006E391F" w:rsidRPr="00BC1144" w:rsidRDefault="006E391F" w:rsidP="00336FA0">
                  <w:pPr>
                    <w:pStyle w:val="TableBodyText"/>
                  </w:pPr>
                  <w:r w:rsidRPr="00BC1144">
                    <w:rPr>
                      <w:spacing w:val="-2"/>
                    </w:rPr>
                    <w:t>49.8</w:t>
                  </w:r>
                </w:p>
              </w:tc>
              <w:tc>
                <w:tcPr>
                  <w:tcW w:w="474" w:type="pct"/>
                  <w:tcBorders>
                    <w:top w:val="nil"/>
                    <w:right w:val="single" w:sz="12" w:space="0" w:color="FFFFFF" w:themeColor="background1"/>
                  </w:tcBorders>
                  <w:shd w:val="clear" w:color="auto" w:fill="F2F2F2" w:themeFill="background1" w:themeFillShade="F2"/>
                  <w:vAlign w:val="bottom"/>
                </w:tcPr>
                <w:p w:rsidR="006E391F" w:rsidRPr="00BC1144" w:rsidRDefault="006E391F" w:rsidP="00336FA0">
                  <w:pPr>
                    <w:pStyle w:val="TableBodyText"/>
                    <w:ind w:right="28"/>
                  </w:pPr>
                  <w:r w:rsidRPr="00BC1144">
                    <w:rPr>
                      <w:spacing w:val="-2"/>
                    </w:rPr>
                    <w:t>47.5</w:t>
                  </w:r>
                </w:p>
              </w:tc>
            </w:tr>
            <w:tr w:rsidR="006E391F" w:rsidRPr="00BC1144" w:rsidTr="00A73E56">
              <w:tc>
                <w:tcPr>
                  <w:tcW w:w="479" w:type="pct"/>
                  <w:vMerge/>
                  <w:tcBorders>
                    <w:top w:val="nil"/>
                    <w:bottom w:val="single" w:sz="6" w:space="0" w:color="BFBFBF"/>
                  </w:tcBorders>
                  <w:shd w:val="clear" w:color="auto" w:fill="F2F2F2" w:themeFill="background1" w:themeFillShade="F2"/>
                  <w:vAlign w:val="center"/>
                </w:tcPr>
                <w:p w:rsidR="006E391F" w:rsidRPr="00BC1144" w:rsidRDefault="006E391F" w:rsidP="00336FA0">
                  <w:pPr>
                    <w:pStyle w:val="TableBodyText"/>
                    <w:jc w:val="left"/>
                  </w:pPr>
                </w:p>
              </w:tc>
              <w:tc>
                <w:tcPr>
                  <w:tcW w:w="694" w:type="pct"/>
                  <w:tcBorders>
                    <w:top w:val="nil"/>
                    <w:bottom w:val="single" w:sz="6" w:space="0" w:color="BFBFBF"/>
                    <w:right w:val="single" w:sz="4" w:space="0" w:color="BFBFBF"/>
                  </w:tcBorders>
                  <w:shd w:val="clear" w:color="auto" w:fill="auto"/>
                  <w:vAlign w:val="bottom"/>
                </w:tcPr>
                <w:p w:rsidR="006E391F" w:rsidRPr="00BC1144" w:rsidRDefault="006E391F" w:rsidP="00336FA0">
                  <w:pPr>
                    <w:pStyle w:val="TableBodyText"/>
                    <w:jc w:val="left"/>
                  </w:pPr>
                  <w:r w:rsidRPr="00BC1144">
                    <w:t xml:space="preserve">Other qual </w:t>
                  </w:r>
                  <w:r w:rsidRPr="00BC1144">
                    <w:noBreakHyphen/>
                    <w:t xml:space="preserve"> complete or incomplete</w:t>
                  </w:r>
                </w:p>
              </w:tc>
              <w:tc>
                <w:tcPr>
                  <w:tcW w:w="479" w:type="pct"/>
                  <w:tcBorders>
                    <w:top w:val="nil"/>
                    <w:left w:val="single" w:sz="4" w:space="0" w:color="BFBFBF"/>
                    <w:bottom w:val="single" w:sz="6" w:space="0" w:color="BFBFBF"/>
                  </w:tcBorders>
                  <w:shd w:val="clear" w:color="auto" w:fill="auto"/>
                  <w:vAlign w:val="bottom"/>
                </w:tcPr>
                <w:p w:rsidR="006E391F" w:rsidRPr="00BC1144" w:rsidRDefault="006E391F" w:rsidP="00336FA0">
                  <w:pPr>
                    <w:pStyle w:val="TableBodyText"/>
                  </w:pPr>
                  <w:r w:rsidRPr="00BC1144">
                    <w:rPr>
                      <w:spacing w:val="-2"/>
                    </w:rPr>
                    <w:t>14.1</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7.8</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9.4</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9.2</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9.7</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9.7</w:t>
                  </w:r>
                </w:p>
              </w:tc>
              <w:tc>
                <w:tcPr>
                  <w:tcW w:w="479" w:type="pct"/>
                  <w:tcBorders>
                    <w:top w:val="nil"/>
                    <w:bottom w:val="single" w:sz="6" w:space="0" w:color="BFBFBF"/>
                  </w:tcBorders>
                  <w:shd w:val="clear" w:color="auto" w:fill="auto"/>
                  <w:vAlign w:val="bottom"/>
                </w:tcPr>
                <w:p w:rsidR="006E391F" w:rsidRPr="00BC1144" w:rsidRDefault="006E391F" w:rsidP="00336FA0">
                  <w:pPr>
                    <w:pStyle w:val="TableBodyText"/>
                  </w:pPr>
                  <w:r w:rsidRPr="00BC1144">
                    <w:rPr>
                      <w:spacing w:val="-2"/>
                    </w:rPr>
                    <w:t>8.4</w:t>
                  </w:r>
                </w:p>
              </w:tc>
              <w:tc>
                <w:tcPr>
                  <w:tcW w:w="474" w:type="pct"/>
                  <w:tcBorders>
                    <w:top w:val="nil"/>
                    <w:bottom w:val="single" w:sz="6" w:space="0" w:color="BFBFBF"/>
                    <w:right w:val="single" w:sz="12" w:space="0" w:color="FFFFFF" w:themeColor="background1"/>
                  </w:tcBorders>
                  <w:shd w:val="clear" w:color="auto" w:fill="auto"/>
                  <w:vAlign w:val="bottom"/>
                </w:tcPr>
                <w:p w:rsidR="006E391F" w:rsidRPr="00BC1144" w:rsidRDefault="006E391F" w:rsidP="00336FA0">
                  <w:pPr>
                    <w:pStyle w:val="TableBodyText"/>
                    <w:ind w:right="28"/>
                  </w:pPr>
                  <w:r w:rsidRPr="00BC1144">
                    <w:rPr>
                      <w:spacing w:val="-2"/>
                    </w:rPr>
                    <w:t>12.4</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Year 12 applicants are those who seek admission into undergraduate study at university directly after completing year 12. ‘Direct’ covers unique applicants only. All applications for the University of Tasmania are included in the Tertiary Admissions Centre (TAC) count. Totals include applicants who did not report prior education experience. </w:t>
            </w:r>
            <w:r w:rsidRPr="00BC1144">
              <w:rPr>
                <w:rStyle w:val="NoteLabel"/>
              </w:rPr>
              <w:t>b</w:t>
            </w:r>
            <w:r w:rsidRPr="00BC1144">
              <w:t> From 2009 onwards, the department implemented a new national unit record data collection.  National data collection for 2009 includes only TAC data.* indicates prior university experience, prior VET experience and completed secondary school respectively, as reported in the department’s 2009 Offers and Acceptances annual publication.</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DET </w:t>
            </w:r>
            <w:r w:rsidR="0092626E" w:rsidRPr="00BC1144">
              <w:rPr>
                <w:rFonts w:cs="Arial"/>
              </w:rPr>
              <w:t>(2013e, 2013g, 2013i, 2013k, 2013m, 2014a, 2015b, 2016d, 2017a, 2018e)</w:t>
            </w:r>
            <w:r w:rsidRPr="00BC1144">
              <w:t xml:space="preserve">. </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3</w:t>
            </w:r>
            <w:r w:rsidRPr="00BC1144">
              <w:tab/>
              <w:t>Degree completion rates have declined across all equity groups</w:t>
            </w:r>
          </w:p>
          <w:p w:rsidR="006E391F" w:rsidRPr="00BC1144" w:rsidRDefault="006E391F" w:rsidP="00336FA0">
            <w:pPr>
              <w:pStyle w:val="Subtitle"/>
            </w:pPr>
            <w:r w:rsidRPr="00BC1144">
              <w:t>By commencement year and selected characteristics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Completion rates</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86" wp14:editId="2DEA5187">
                        <wp:extent cx="5296619" cy="2639860"/>
                        <wp:effectExtent l="0" t="0" r="0" b="8255"/>
                        <wp:docPr id="48" name="Picture 48" descr="Figure A.3 shows four year degree completion and drop-out rates for students based on a number of characteristics ( notably by socioeconomic status, geographic location, study load, indigenous status and mode of entry into university) over the period 2005 to 2014.&#10;Completion rates have declined across all equity groups, but is lowest among Indigenous and part-time students. Drop-out rates increased over the last five cohorts of undergraduate students across most equity groups. Drop-out rates are highest for Indigenous and part-time stud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303148" cy="2643114"/>
                                </a:xfrm>
                                <a:prstGeom prst="rect">
                                  <a:avLst/>
                                </a:prstGeom>
                                <a:noFill/>
                                <a:ln>
                                  <a:noFill/>
                                </a:ln>
                              </pic:spPr>
                            </pic:pic>
                          </a:graphicData>
                        </a:graphic>
                      </wp:inline>
                    </w:drawing>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Drop</w:t>
                  </w:r>
                  <w:r w:rsidRPr="00BC1144">
                    <w:rPr>
                      <w:rFonts w:ascii="Arial" w:hAnsi="Arial" w:cs="Arial"/>
                      <w:sz w:val="18"/>
                      <w:szCs w:val="18"/>
                    </w:rPr>
                    <w:noBreakHyphen/>
                    <w:t>out rates</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88" wp14:editId="2DEA5189">
                        <wp:extent cx="5581015" cy="2545080"/>
                        <wp:effectExtent l="0" t="0" r="635" b="7620"/>
                        <wp:docPr id="49" name="Picture 49" descr="Figure A.3 shows four year degree completion and drop-out rates for students based on a number of characteristics ( notably by socioeconomic status, geographic location, study load, indigenous status and mode of entry into university) over the period 2005 to 2014.&#10;Completion rates have declined across all equity groups, but is lowest among Indigenous and part-time students. Drop-out rates increased over the last five cohorts of undergraduate students across most equity groups. Drop-out rates are highest for Indigenous and part-time stud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81015" cy="254508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 xml:space="preserve">a </w:t>
            </w:r>
            <w:r w:rsidRPr="00BC1144">
              <w:t>Completion and drop</w:t>
            </w:r>
            <w:r w:rsidRPr="00BC1144">
              <w:noBreakHyphen/>
              <w:t>out rates are numbers of completions and drop outs over a 4 year period for students who commenced a bachelor degree in a given year. Drop outs include those who did not continue after the first year and those who disenrolled thereafter. SES is reported based on the students’ postcode of permanent home residence linked with the ABS Socio</w:t>
            </w:r>
            <w:r w:rsidRPr="00BC1144">
              <w:noBreakHyphen/>
              <w:t>Economic Indexes for Areas (SEIFA) Education and Occupation Index. High, medium and low SES refer to the top, middle two and bottom quartiles, respectively. Regional classification is reported on a student’s postcode of permanent home residence. Metropolitan, regional and remote categories are derived from the Ministerial Council on Education, Employment, Training and Youth Affairs classification (MCEETYA) until 2010. From 2011, regional classification is based on the Australian Statistical Geography Standard (ASGS). The 2011 version of ASGS is used from 2011 to 2015.</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w:t>
            </w:r>
            <w:r w:rsidRPr="00BC1144">
              <w:t xml:space="preserve">: DET </w:t>
            </w:r>
            <w:r w:rsidR="0092626E" w:rsidRPr="00BC1144">
              <w:rPr>
                <w:rFonts w:cs="Arial"/>
              </w:rPr>
              <w:t>(2018a)</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4</w:t>
            </w:r>
            <w:r w:rsidRPr="00BC1144">
              <w:tab/>
            </w:r>
            <w:r w:rsidRPr="00BC1144">
              <w:rPr>
                <w:rFonts w:cs="Arial"/>
                <w:bCs/>
                <w:lang w:val="en"/>
              </w:rPr>
              <w:t>Lower ATARs are associated with lower completion and higher drop</w:t>
            </w:r>
            <w:r w:rsidRPr="00BC1144">
              <w:rPr>
                <w:rFonts w:cs="Arial"/>
                <w:bCs/>
                <w:lang w:val="en"/>
              </w:rPr>
              <w:noBreakHyphen/>
              <w:t>out rates</w:t>
            </w:r>
          </w:p>
          <w:p w:rsidR="006E391F" w:rsidRPr="00BC1144" w:rsidRDefault="006E391F" w:rsidP="00336FA0">
            <w:pPr>
              <w:pStyle w:val="Subtitle"/>
            </w:pPr>
            <w:r w:rsidRPr="00BC1144">
              <w:rPr>
                <w:rFonts w:cs="Arial"/>
                <w:szCs w:val="20"/>
                <w:lang w:val="en"/>
              </w:rPr>
              <w:t>Four</w:t>
            </w:r>
            <w:r w:rsidRPr="00BC1144">
              <w:rPr>
                <w:rFonts w:cs="Arial"/>
                <w:szCs w:val="20"/>
                <w:lang w:val="en"/>
              </w:rPr>
              <w:noBreakHyphen/>
              <w:t>year completion and drop</w:t>
            </w:r>
            <w:r w:rsidRPr="00BC1144">
              <w:rPr>
                <w:rFonts w:cs="Arial"/>
                <w:szCs w:val="20"/>
                <w:lang w:val="en"/>
              </w:rPr>
              <w:noBreakHyphen/>
              <w:t>out rates by year of commencement</w:t>
            </w:r>
            <w:r w:rsidRPr="00BC1144">
              <w:rPr>
                <w:rFonts w:cs="Arial"/>
                <w:b/>
                <w:bCs/>
                <w:position w:val="6"/>
                <w:sz w:val="18"/>
                <w:szCs w:val="18"/>
                <w:lang w:val="en"/>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25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5"/>
            </w:tblGrid>
            <w:tr w:rsidR="006E391F" w:rsidRPr="00BC1144" w:rsidTr="00336FA0">
              <w:trPr>
                <w:trHeight w:val="233"/>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Completion rate</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2654AE6" wp14:editId="01DAE412">
                        <wp:extent cx="5401310" cy="2524125"/>
                        <wp:effectExtent l="0" t="0" r="8890" b="9525"/>
                        <wp:docPr id="50" name="Picture 50" descr="Figure A.4 shows four year degree completion and drop-out rates by ATAR band over the period 2005 to 2014. Students in lower ATAR bands have lower completion and higher drop-ou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401310" cy="2524125"/>
                                </a:xfrm>
                                <a:prstGeom prst="rect">
                                  <a:avLst/>
                                </a:prstGeom>
                                <a:noFill/>
                              </pic:spPr>
                            </pic:pic>
                          </a:graphicData>
                        </a:graphic>
                      </wp:inline>
                    </w:drawing>
                  </w:r>
                </w:p>
              </w:tc>
            </w:tr>
            <w:tr w:rsidR="006E391F" w:rsidRPr="00BC1144" w:rsidTr="00336FA0">
              <w:trPr>
                <w:trHeight w:val="319"/>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Drop</w:t>
                  </w:r>
                  <w:r w:rsidRPr="00BC1144">
                    <w:rPr>
                      <w:rFonts w:ascii="Arial" w:hAnsi="Arial" w:cs="Arial"/>
                      <w:sz w:val="18"/>
                      <w:szCs w:val="18"/>
                    </w:rPr>
                    <w:noBreakHyphen/>
                    <w:t>out rate</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17DA2617" wp14:editId="7C117005">
                        <wp:extent cx="5401310" cy="2883535"/>
                        <wp:effectExtent l="0" t="0" r="8890" b="0"/>
                        <wp:docPr id="51" name="Picture 51" descr="Figure A.4 shows four year degree completion and drop-out rates by ATAR band over the period 2005 to 2014. Students in lower ATAR bands have lower completion and higher drop-ou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Completion and drop</w:t>
            </w:r>
            <w:r w:rsidRPr="00BC1144">
              <w:noBreakHyphen/>
              <w:t>out rates are numbers of completions and drop</w:t>
            </w:r>
            <w:r w:rsidRPr="00BC1144">
              <w:noBreakHyphen/>
              <w:t>outs over a 4 year period for students who commenced a bachelor degree in any given year. Drop</w:t>
            </w:r>
            <w:r w:rsidRPr="00BC1144">
              <w:noBreakHyphen/>
              <w:t>out rates include those who did not continue after the first year and those who disenrolled thereafter.</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w:t>
            </w:r>
            <w:r w:rsidRPr="00BC1144">
              <w:t xml:space="preserve">: DET </w:t>
            </w:r>
            <w:r w:rsidR="0092626E" w:rsidRPr="00BC1144">
              <w:rPr>
                <w:rFonts w:cs="Arial"/>
              </w:rPr>
              <w:t>(2018a)</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56" w:name="_Toc10805461"/>
      <w:r w:rsidRPr="00BC1144">
        <w:lastRenderedPageBreak/>
        <w:t>A.</w:t>
      </w:r>
      <w:r w:rsidRPr="00BC1144">
        <w:rPr>
          <w:noProof/>
        </w:rPr>
        <w:t>3</w:t>
      </w:r>
      <w:r w:rsidRPr="00BC1144">
        <w:tab/>
        <w:t>How are graduates faring?</w:t>
      </w:r>
      <w:bookmarkEnd w:id="56"/>
    </w:p>
    <w:p w:rsidR="006E391F" w:rsidRPr="00BC1144" w:rsidRDefault="006E391F" w:rsidP="005B1B34">
      <w:pPr>
        <w:pStyle w:val="Heading3"/>
        <w:spacing w:before="280"/>
      </w:pPr>
      <w:bookmarkStart w:id="57" w:name="_Toc10805462"/>
      <w:r w:rsidRPr="00BC1144">
        <w:t>More varied and overall less positive labour market transitions</w:t>
      </w:r>
      <w:bookmarkEnd w:id="57"/>
    </w:p>
    <w:p w:rsidR="006E391F" w:rsidRPr="00BC1144" w:rsidRDefault="006E391F" w:rsidP="00336FA0">
      <w:pPr>
        <w:pStyle w:val="BodyText"/>
        <w:rPr>
          <w:lang w:val="en"/>
        </w:rPr>
      </w:pPr>
      <w:r w:rsidRPr="00BC1144">
        <w:rPr>
          <w:lang w:val="en"/>
        </w:rPr>
        <w:t>The labour market outlook for graduates has weakened materially since the global financial crisis. This appears to be particularly pronounced for new graduates, with many having difficulty establishing their careers. The full</w:t>
      </w:r>
      <w:r w:rsidRPr="00BC1144">
        <w:rPr>
          <w:lang w:val="en"/>
        </w:rPr>
        <w:noBreakHyphen/>
        <w:t>time employment rate four months after graduation steadily declined from 85.2 per cent in 2008 to 70.9 per cent in 2016 (among those available for work, and not undertaking further full</w:t>
      </w:r>
      <w:r w:rsidRPr="00BC1144">
        <w:rPr>
          <w:lang w:val="en"/>
        </w:rPr>
        <w:noBreakHyphen/>
        <w:t xml:space="preserve">time study) </w:t>
      </w:r>
      <w:r w:rsidR="0092626E" w:rsidRPr="00BC1144">
        <w:rPr>
          <w:szCs w:val="24"/>
        </w:rPr>
        <w:t>(GCA 2016, 2018)</w:t>
      </w:r>
      <w:r w:rsidRPr="00BC1144">
        <w:rPr>
          <w:lang w:val="en"/>
        </w:rPr>
        <w:t>, before recovering somewhat in the past couple of years. Full</w:t>
      </w:r>
      <w:r w:rsidRPr="00BC1144">
        <w:rPr>
          <w:lang w:val="en"/>
        </w:rPr>
        <w:noBreakHyphen/>
        <w:t>time employment rates have fallen and unemployment rates have risen for graduates of all ages, with the largest deteriorations for graduates aged less than 30 years (figure</w:t>
      </w:r>
      <w:r w:rsidRPr="00BC1144">
        <w:t> A.5</w:t>
      </w:r>
      <w:r w:rsidRPr="00BC1144">
        <w:rPr>
          <w:lang w:val="en"/>
        </w:rPr>
        <w:t>).</w:t>
      </w:r>
    </w:p>
    <w:p w:rsidR="006E391F" w:rsidRPr="00BC1144" w:rsidRDefault="006E391F" w:rsidP="00336FA0">
      <w:pPr>
        <w:pStyle w:val="BodyText"/>
      </w:pPr>
      <w:r w:rsidRPr="00BC1144">
        <w:t>However, some graduates take time to secure full</w:t>
      </w:r>
      <w:r w:rsidRPr="00BC1144">
        <w:noBreakHyphen/>
        <w:t>time work and outcomes are better after more time post graduation. For example, while in 2015, 67.1 per cent of undergraduates had a full</w:t>
      </w:r>
      <w:r w:rsidRPr="00BC1144">
        <w:noBreakHyphen/>
        <w:t>time job four months after graduating, 89.2 per cent of the same group of graduates had secured such employment three years later.</w:t>
      </w:r>
      <w:r w:rsidRPr="00BC1144">
        <w:rPr>
          <w:rStyle w:val="FootnoteReference"/>
        </w:rPr>
        <w:footnoteReference w:id="15"/>
      </w:r>
    </w:p>
    <w:p w:rsidR="006C2DA0" w:rsidRPr="00BC1144" w:rsidRDefault="006C2DA0" w:rsidP="006C2DA0">
      <w:pPr>
        <w:pStyle w:val="Heading3"/>
      </w:pPr>
      <w:bookmarkStart w:id="58" w:name="_Toc10805463"/>
      <w:r w:rsidRPr="00BC1144">
        <w:t>Growth by field of study may not match labour market demand</w:t>
      </w:r>
      <w:bookmarkEnd w:id="58"/>
    </w:p>
    <w:p w:rsidR="006C2DA0" w:rsidRPr="00BC1144" w:rsidRDefault="006C2DA0" w:rsidP="006C2DA0">
      <w:pPr>
        <w:pStyle w:val="BodyText"/>
      </w:pPr>
      <w:r w:rsidRPr="00BC1144">
        <w:t>Under the demand driven system, universities were able to determine overall domestic undergraduate student numbers and the number of offers they made for each course. As such, trends in enrolments by fields of study reflect both student demand and university decisions. The fastest growth in enrolments by discipline since 2009 was in health</w:t>
      </w:r>
      <w:r w:rsidRPr="00BC1144">
        <w:noBreakHyphen/>
        <w:t>related courses (excluding medicine, for which places remain government</w:t>
      </w:r>
      <w:r w:rsidRPr="00BC1144">
        <w:noBreakHyphen/>
        <w:t>controlled), natural and physical sciences, information technology, and ‘society and culture’. Graduates from some of the high</w:t>
      </w:r>
      <w:r w:rsidRPr="00BC1144">
        <w:noBreakHyphen/>
        <w:t>growth fields, such as health, face strong labour market demand, while others, such as information technology and natural and physical sciences, fare poorly. Overall, there is no correlation between growth by field of study and labour market demand (at the outset of the demand driven system) measured by unemployment rates of graduates (figure A.</w:t>
      </w:r>
      <w:r w:rsidRPr="00166576">
        <w:t>6).</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5</w:t>
            </w:r>
            <w:r w:rsidRPr="00BC1144">
              <w:tab/>
              <w:t>Graduate labour market outcomes have weakened</w:t>
            </w:r>
          </w:p>
          <w:p w:rsidR="006E391F" w:rsidRPr="00BC1144" w:rsidRDefault="006E391F" w:rsidP="00336FA0">
            <w:pPr>
              <w:pStyle w:val="Subtitle"/>
            </w:pPr>
            <w:r w:rsidRPr="00BC1144">
              <w:t>Employment and unemployment rates for bachelor</w:t>
            </w:r>
            <w:r w:rsidRPr="00BC1144">
              <w:noBreakHyphen/>
              <w:t>degree</w:t>
            </w:r>
            <w:r w:rsidRPr="00BC1144">
              <w:noBreakHyphen/>
              <w:t>qualified individuals by age group</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4267"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Full</w:t>
                  </w:r>
                  <w:r w:rsidRPr="00BC1144">
                    <w:rPr>
                      <w:rFonts w:ascii="Arial" w:hAnsi="Arial" w:cs="Arial"/>
                      <w:sz w:val="18"/>
                      <w:szCs w:val="18"/>
                    </w:rPr>
                    <w:noBreakHyphen/>
                    <w:t>time employment rate</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8E" wp14:editId="2DEA518F">
                        <wp:extent cx="5401310" cy="2883535"/>
                        <wp:effectExtent l="0" t="0" r="8890" b="0"/>
                        <wp:docPr id="52" name="Picture 52" descr="Figure A.5 shows census full-time work and unemployment rates for bachelor qualified individuals by age group (based on 5 year increments) for the years 1996, 2001, 2006, 2011 and 2016. Full-time employment rates are lowest and unemployment rates are highest for 20 to 24 year olds, who are the most recent graduates in the respective census years. Full-time employment and unemployment rates have also worsened most notably for 20 to 24 year olds across census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Unemployment rate</w:t>
                  </w:r>
                </w:p>
              </w:tc>
            </w:tr>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90" wp14:editId="2DEA5191">
                        <wp:extent cx="5401310" cy="2883535"/>
                        <wp:effectExtent l="0" t="0" r="8890" b="0"/>
                        <wp:docPr id="53" name="Picture 53" descr="Figure A.5 shows census full-time work and unemployment rates for bachelor qualified individuals by age group (based on 5 year increments) for the years 1996, 2001, 2006, 2011 and 2016. Full-time employment rates are lowest and unemployment rates are highest for 20 to 24 year olds, who are the most recent graduates in the respective census years. Full-time employment and unemployment rates have also worsened most notably for 20 to 24 year olds across census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Full</w:t>
            </w:r>
            <w:r w:rsidRPr="00BC1144">
              <w:noBreakHyphen/>
              <w:t>time employment and unemployment rates where highest level of qualification is a bachelor degree.</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ABS </w:t>
            </w:r>
            <w:r w:rsidR="0092626E" w:rsidRPr="00BC1144">
              <w:rPr>
                <w:rFonts w:cs="Arial"/>
              </w:rPr>
              <w:t>(2006a, 2011a, 2016f, 2019a, 2019b)</w:t>
            </w:r>
            <w:r w:rsidRPr="00BC1144">
              <w:t xml:space="preserve">. </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6</w:t>
            </w:r>
            <w:r w:rsidRPr="00BC1144">
              <w:tab/>
              <w:t>Enrolments by field of study</w:t>
            </w:r>
          </w:p>
          <w:p w:rsidR="006E391F" w:rsidRPr="00BC1144" w:rsidRDefault="006E391F" w:rsidP="00336FA0">
            <w:pPr>
              <w:pStyle w:val="Subtitle"/>
            </w:pPr>
            <w:r w:rsidRPr="00BC1144">
              <w:t>Domestic bachelor degree enrolments, 2001-2017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rHeight w:val="180"/>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sz w:val="18"/>
                      <w:szCs w:val="18"/>
                    </w:rPr>
                    <w:t>Enrolments have grown in most fields …</w:t>
                  </w:r>
                </w:p>
              </w:tc>
            </w:tr>
            <w:tr w:rsidR="006E391F" w:rsidRPr="00BC1144" w:rsidTr="00336FA0">
              <w:trPr>
                <w:trHeight w:val="180"/>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92" wp14:editId="2DEA5193">
                        <wp:extent cx="5407660" cy="2883535"/>
                        <wp:effectExtent l="0" t="0" r="0" b="0"/>
                        <wp:docPr id="54" name="Picture 54" descr="Figure A.6 shows university enrolments by field of study over the period 2001 to 2017 and the correlation between growth in enrolments by field of study and unemployment rates. While enrolments have grown in most fields, the growth does not seem to be correlated with the unemployment rates at the outset of the demand driv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r w:rsidR="006E391F" w:rsidRPr="00BC1144" w:rsidTr="00336FA0">
              <w:trPr>
                <w:trHeight w:val="180"/>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position w:val="6"/>
                      <w:sz w:val="18"/>
                    </w:rPr>
                  </w:pPr>
                  <w:r w:rsidRPr="00BC1144">
                    <w:rPr>
                      <w:rFonts w:ascii="Arial" w:hAnsi="Arial" w:cs="Arial"/>
                      <w:sz w:val="18"/>
                      <w:szCs w:val="18"/>
                    </w:rPr>
                    <w:t>… but there is no correlation between enrolment growth and 2011 unemployment rates (20</w:t>
                  </w:r>
                  <w:r w:rsidRPr="00BC1144">
                    <w:rPr>
                      <w:rFonts w:ascii="Arial" w:hAnsi="Arial" w:cs="Arial"/>
                      <w:sz w:val="18"/>
                      <w:szCs w:val="18"/>
                    </w:rPr>
                    <w:noBreakHyphen/>
                    <w:t>24 year olds)</w:t>
                  </w:r>
                </w:p>
              </w:tc>
            </w:tr>
            <w:tr w:rsidR="006E391F" w:rsidRPr="00BC1144" w:rsidTr="00336FA0">
              <w:tblPrEx>
                <w:tblCellMar>
                  <w:left w:w="108" w:type="dxa"/>
                  <w:right w:w="108" w:type="dxa"/>
                </w:tblCellMar>
              </w:tblPrEx>
              <w:trPr>
                <w:trHeight w:val="180"/>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E41BD93" wp14:editId="68F4988F">
                        <wp:extent cx="5576570" cy="2362200"/>
                        <wp:effectExtent l="0" t="0" r="5080" b="0"/>
                        <wp:docPr id="55" name="Picture 55" descr="Figure A.6 shows university enrolments by field of study over the period 2001 to 2017 and the correlation between growth in enrolments by field of study and unemployment rates. While enrolments have grown in most fields, the growth does not seem to be correlated with the unemployment rates at the outset of the demand driv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76570" cy="236220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DET </w:t>
            </w:r>
            <w:r w:rsidR="0092626E" w:rsidRPr="00BC1144">
              <w:rPr>
                <w:rFonts w:cs="Arial"/>
              </w:rPr>
              <w:t>(2019)</w:t>
            </w:r>
            <w:r w:rsidRPr="00BC1144">
              <w:t xml:space="preserve">; ABS </w:t>
            </w:r>
            <w:r w:rsidR="0092626E" w:rsidRPr="00BC1144">
              <w:rPr>
                <w:rFonts w:cs="Arial"/>
              </w:rPr>
              <w:t>(2016f)</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pPr>
      <w:bookmarkStart w:id="59" w:name="_Toc10805464"/>
      <w:r w:rsidRPr="00BC1144">
        <w:t>Lower graduate wage premiums?</w:t>
      </w:r>
      <w:bookmarkEnd w:id="59"/>
    </w:p>
    <w:p w:rsidR="006E391F" w:rsidRPr="00BC1144" w:rsidRDefault="006E391F" w:rsidP="00336FA0">
      <w:pPr>
        <w:widowControl w:val="0"/>
        <w:autoSpaceDE w:val="0"/>
        <w:autoSpaceDN w:val="0"/>
        <w:adjustRightInd w:val="0"/>
        <w:spacing w:before="240" w:line="300" w:lineRule="atLeast"/>
        <w:jc w:val="both"/>
        <w:rPr>
          <w:lang w:val="en"/>
        </w:rPr>
      </w:pPr>
      <w:r w:rsidRPr="00BC1144">
        <w:rPr>
          <w:lang w:val="en"/>
        </w:rPr>
        <w:t xml:space="preserve">University participation has increased and employment rates have fallen, but have the private returns to education declined? </w:t>
      </w:r>
    </w:p>
    <w:p w:rsidR="006E391F" w:rsidRPr="00BC1144" w:rsidRDefault="006E391F" w:rsidP="00336FA0">
      <w:pPr>
        <w:widowControl w:val="0"/>
        <w:autoSpaceDE w:val="0"/>
        <w:autoSpaceDN w:val="0"/>
        <w:adjustRightInd w:val="0"/>
        <w:spacing w:before="240" w:line="300" w:lineRule="atLeast"/>
        <w:jc w:val="both"/>
      </w:pPr>
      <w:r w:rsidRPr="00BC1144">
        <w:t xml:space="preserve">There is a range of methods and data sources that can be used to estimate the private returns to education over a person’s lifetime. Estimates vary depending on the datasets, assumptions </w:t>
      </w:r>
      <w:r w:rsidRPr="00BC1144">
        <w:lastRenderedPageBreak/>
        <w:t>and methodologies applied.</w:t>
      </w:r>
      <w:r w:rsidRPr="00BC1144">
        <w:rPr>
          <w:rStyle w:val="FootnoteReference"/>
        </w:rPr>
        <w:footnoteReference w:id="16"/>
      </w:r>
      <w:r w:rsidRPr="00BC1144">
        <w:t xml:space="preserve"> While it is difficult to predict the lifetime earnings of graduates, the age</w:t>
      </w:r>
      <w:r w:rsidRPr="00BC1144">
        <w:noBreakHyphen/>
        <w:t xml:space="preserve">earnings profile (figure A.7) has often been used as a guide </w:t>
      </w:r>
      <w:r w:rsidR="0092626E" w:rsidRPr="00BC1144">
        <w:t>(Wei 2010)</w:t>
      </w:r>
      <w:r w:rsidRPr="00BC1144">
        <w:t>. By this measure, at most ages over the past decade, average earnings of those with no post</w:t>
      </w:r>
      <w:r w:rsidRPr="00BC1144">
        <w:noBreakHyphen/>
        <w:t xml:space="preserve">school qualification have grown faster than average earnings of those with a bachelor degree. As a result, the average earnings premium of those with an bachelor degree has fallen over the past decade, for those aged 30 years or over. These changes reflect falls in the relative earnings of graduates in almost all fields of study, with the earnings premium for graduates of engineering, IT and management and commerce degrees falling the most. </w:t>
      </w:r>
    </w:p>
    <w:p w:rsidR="006E391F" w:rsidRPr="00BC1144" w:rsidRDefault="006E391F" w:rsidP="00336FA0">
      <w:pPr>
        <w:pStyle w:val="BodyText"/>
      </w:pPr>
      <w:r w:rsidRPr="00BC1144">
        <w:rPr>
          <w:lang w:val="en"/>
        </w:rPr>
        <w:t>However, while the private benefits of a higher education may have decreased, the costs have likely decreased — so, it is not clear that the private rate of return to investing in higher education has fallen. The labour market for young people had deteriorated markedly over this period (relative to average adult earnings) so that the opportunity cost of the years spent studying (in terms of forgone wages, in addition to the financial outlays on fees and study materials) may have fallen as fast as or perhaps faster than the graduate wage premium.</w:t>
      </w:r>
      <w:r w:rsidRPr="00BC1144">
        <w:rPr>
          <w:rStyle w:val="FootnoteReference"/>
          <w:lang w:val="en"/>
        </w:rPr>
        <w:footnoteReference w:id="17"/>
      </w:r>
      <w:r w:rsidRPr="00BC1144">
        <w:rPr>
          <w:lang w:val="en"/>
        </w:rPr>
        <w:t xml:space="preserve"> </w:t>
      </w:r>
      <w:r w:rsidRPr="00BC1144">
        <w:t xml:space="preserve">Indeed, the wage premium for a VET education has also fallen and remains lower than that of bachelor degree graduates. </w:t>
      </w:r>
      <w:r w:rsidRPr="00BC1144">
        <w:rPr>
          <w:lang w:val="en"/>
        </w:rPr>
        <w:t>Of course, social returns may be higher or lower than private rates of return (due to positive spillovers of an education to other workers, or negative consequences if education is merely a signal of underlying ability) and have not been estimated in this study.</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A.</w:t>
            </w:r>
            <w:r w:rsidRPr="00BC1144">
              <w:rPr>
                <w:b w:val="0"/>
                <w:noProof/>
              </w:rPr>
              <w:t>7</w:t>
            </w:r>
            <w:r w:rsidRPr="00BC1144">
              <w:tab/>
              <w:t>Lower undergraduate (and VET) earnings</w:t>
            </w:r>
          </w:p>
          <w:p w:rsidR="006E391F" w:rsidRPr="00BC1144" w:rsidRDefault="006E391F" w:rsidP="00336FA0">
            <w:pPr>
              <w:pStyle w:val="Subtitle"/>
            </w:pPr>
            <w:r w:rsidRPr="00BC1144">
              <w:t>Average weekly income from all sources, no post</w:t>
            </w:r>
            <w:r w:rsidRPr="00BC1144">
              <w:noBreakHyphen/>
              <w:t>school qualifications = 100</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96" wp14:editId="2DEA5197">
                        <wp:extent cx="5407660" cy="2883535"/>
                        <wp:effectExtent l="0" t="0" r="2540" b="0"/>
                        <wp:docPr id="56" name="Picture 56" descr="Figure A.7 shows an index of average weekly earnings of bachelor degree and VET graduates relative to that of those with no post-school qualification in the same year, using 2006 and 2016 census data. Bachelor degree graduates’ average weekly earnings are significantly higher than non-graduates, and VET graduates’ less so. Both bachelor degree and VET graduates’ earnings have reduced relative to non-graduates between 2006 and 2016, with bachelor degree graduates’ earnings reducing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VET includes diploma &amp; advanced diploma, associate degree and certificate III &amp; IV graduates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 xml:space="preserve">: ABS </w:t>
            </w:r>
            <w:r w:rsidR="0092626E" w:rsidRPr="00BC1144">
              <w:rPr>
                <w:rFonts w:ascii="Times New Roman" w:hAnsi="Times New Roman"/>
                <w:sz w:val="20"/>
              </w:rPr>
              <w:t>(2016e, 2016d)</w:t>
            </w:r>
            <w:r w:rsidRPr="00BC1144">
              <w:rPr>
                <w:sz w:val="20"/>
              </w:rPr>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3"/>
        <w:rPr>
          <w:lang w:val="en"/>
        </w:rPr>
      </w:pPr>
      <w:bookmarkStart w:id="60" w:name="_Toc10805465"/>
      <w:r w:rsidRPr="00BC1144">
        <w:rPr>
          <w:lang w:val="en"/>
        </w:rPr>
        <w:t xml:space="preserve">Some </w:t>
      </w:r>
      <w:r w:rsidRPr="00BC1144">
        <w:t>evidence</w:t>
      </w:r>
      <w:r w:rsidRPr="00BC1144">
        <w:rPr>
          <w:lang w:val="en"/>
        </w:rPr>
        <w:t xml:space="preserve"> of a skills mismatch</w:t>
      </w:r>
      <w:bookmarkEnd w:id="60"/>
    </w:p>
    <w:p w:rsidR="006E391F" w:rsidRPr="00BC1144" w:rsidRDefault="006E391F" w:rsidP="00336FA0">
      <w:pPr>
        <w:pStyle w:val="BodyText"/>
      </w:pPr>
      <w:r w:rsidRPr="00BC1144">
        <w:rPr>
          <w:lang w:val="en"/>
        </w:rPr>
        <w:t xml:space="preserve">There is also some evidence that graduates are less likely to be using their skills. Graduates have become less likely to be employed in managerial or professional occupations than before (figure </w:t>
      </w:r>
      <w:r w:rsidRPr="00BC1144">
        <w:t>A.9</w:t>
      </w:r>
      <w:r w:rsidRPr="00BC1144">
        <w:rPr>
          <w:lang w:val="en"/>
        </w:rPr>
        <w:t>), which are broadly considered to be those occupations typically requiring a university education.</w:t>
      </w:r>
      <w:r w:rsidRPr="00BC1144">
        <w:rPr>
          <w:rStyle w:val="FootnoteReference"/>
          <w:lang w:val="en"/>
        </w:rPr>
        <w:footnoteReference w:id="18"/>
      </w:r>
      <w:r w:rsidRPr="00BC1144">
        <w:rPr>
          <w:lang w:val="en"/>
        </w:rPr>
        <w:t xml:space="preserve"> The proportion of 20 to 24 year old graduates in these occupations fell by 15 percentage points over the two decades to 2016. However, there are differences across fields of study and, in particular, employment in these occupations rose for graduates of health and education degrees during the demand driven system.</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166576" w:rsidRDefault="006E391F" w:rsidP="00166576">
            <w:pPr>
              <w:pStyle w:val="FigureTitle"/>
              <w:ind w:right="-142"/>
              <w:rPr>
                <w:spacing w:val="-6"/>
              </w:rPr>
            </w:pPr>
            <w:r w:rsidRPr="00BC1144">
              <w:rPr>
                <w:b w:val="0"/>
              </w:rPr>
              <w:t>Figure A.</w:t>
            </w:r>
            <w:r w:rsidRPr="00BC1144">
              <w:rPr>
                <w:b w:val="0"/>
                <w:noProof/>
              </w:rPr>
              <w:t>8</w:t>
            </w:r>
            <w:r w:rsidRPr="00BC1144">
              <w:tab/>
            </w:r>
            <w:r w:rsidRPr="00166576">
              <w:rPr>
                <w:spacing w:val="-6"/>
              </w:rPr>
              <w:t>Fewer graduates are entering occupations that require their skills</w:t>
            </w:r>
          </w:p>
          <w:p w:rsidR="006E391F" w:rsidRPr="00BC1144" w:rsidRDefault="006E391F" w:rsidP="00336FA0">
            <w:pPr>
              <w:pStyle w:val="Subtitle"/>
            </w:pPr>
            <w:r w:rsidRPr="00BC1144">
              <w:t>Percentage of graduates in managerial and professional occupations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DEA5198" wp14:editId="2DEA5199">
                        <wp:extent cx="5410200" cy="2876550"/>
                        <wp:effectExtent l="0" t="0" r="0" b="0"/>
                        <wp:docPr id="57" name="Picture 57" descr="Figure A.8 shows the proportion of graduates in managerial and professional occupations for 20 to 24 year olds, 25 to 29 year olds and 30 to 34 year olds over the period 1996 to 2016 , using census data. The proportion of 20 to 24 year old graduates entering managerial and professional occupations has reduced more than the othe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0" cy="287655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Sources</w:t>
            </w:r>
            <w:r w:rsidRPr="00BC1144">
              <w:t>:</w:t>
            </w:r>
            <w:r w:rsidRPr="00BC1144">
              <w:rPr>
                <w:i/>
              </w:rPr>
              <w:t xml:space="preserve"> </w:t>
            </w:r>
            <w:r w:rsidRPr="00BC1144">
              <w:t xml:space="preserve">ABS </w:t>
            </w:r>
            <w:r w:rsidR="0092626E" w:rsidRPr="00BC1144">
              <w:rPr>
                <w:rFonts w:cs="Arial"/>
              </w:rPr>
              <w:t>(2006b, 2011b, 2016b, 2016c, 2016g)</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widowControl w:val="0"/>
        <w:autoSpaceDE w:val="0"/>
        <w:autoSpaceDN w:val="0"/>
        <w:adjustRightInd w:val="0"/>
        <w:spacing w:before="240" w:line="300" w:lineRule="atLeast"/>
        <w:jc w:val="both"/>
      </w:pPr>
      <w:r w:rsidRPr="00BC1144">
        <w:rPr>
          <w:lang w:val="en"/>
        </w:rPr>
        <w:t xml:space="preserve">Graduates’ subjective experience in the labour market is also suggestive of some skill mismatch. Notwithstanding the variability of data from the Quality Indicators for Learning and Teaching, nearly a third of recent graduates employed full time in 2018 did not consider that their qualification was ‘important’ to their job </w:t>
      </w:r>
      <w:r w:rsidR="0092626E" w:rsidRPr="00BC1144">
        <w:t>(Social Research Centre 2019a)</w:t>
      </w:r>
      <w:r w:rsidRPr="00BC1144">
        <w:rPr>
          <w:lang w:val="en"/>
        </w:rPr>
        <w:t xml:space="preserve">. About a quarter of graduates employed overall did not feel that their qualification prepared them well for current employment. </w:t>
      </w:r>
      <w:r w:rsidRPr="00BC1144">
        <w:t xml:space="preserve">Graduates with more ‘vocationally focused’ degrees report higher rates of skill utilisation at work, while by contrast over 40 per cent of science and maths bachelor degree graduates’ skills were not fully utilised at work </w:t>
      </w:r>
      <w:r w:rsidR="0092626E" w:rsidRPr="00BC1144">
        <w:t>(Social Research Centre 2019a)</w:t>
      </w:r>
      <w:r w:rsidRPr="00BC1144">
        <w:t xml:space="preserve">. </w:t>
      </w:r>
    </w:p>
    <w:p w:rsidR="006E391F" w:rsidRPr="00BC1144" w:rsidRDefault="006E391F" w:rsidP="00120072">
      <w:pPr>
        <w:pStyle w:val="BodyText"/>
      </w:pPr>
    </w:p>
    <w:p w:rsidR="006E391F" w:rsidRPr="00BC1144" w:rsidRDefault="006E391F" w:rsidP="006E391F">
      <w:pPr>
        <w:sectPr w:rsidR="006E391F" w:rsidRPr="00BC1144" w:rsidSect="006E391F">
          <w:headerReference w:type="even" r:id="rId117"/>
          <w:headerReference w:type="default" r:id="rId118"/>
          <w:footerReference w:type="even" r:id="rId119"/>
          <w:footerReference w:type="default" r:id="rId120"/>
          <w:type w:val="oddPage"/>
          <w:pgSz w:w="11907" w:h="16840" w:code="9"/>
          <w:pgMar w:top="1985" w:right="1304" w:bottom="1247" w:left="1814" w:header="1701" w:footer="397" w:gutter="0"/>
          <w:pgNumType w:chapSep="period"/>
          <w:cols w:space="720"/>
          <w:docGrid w:linePitch="326"/>
        </w:sectPr>
      </w:pPr>
    </w:p>
    <w:p w:rsidR="006E391F" w:rsidRPr="00BC1144" w:rsidRDefault="006E391F" w:rsidP="003852BF">
      <w:pPr>
        <w:pStyle w:val="Heading1"/>
      </w:pPr>
      <w:bookmarkStart w:id="61" w:name="_Toc10805466"/>
      <w:r w:rsidRPr="00BC1144">
        <w:lastRenderedPageBreak/>
        <w:t>B</w:t>
      </w:r>
      <w:r w:rsidRPr="00BC1144">
        <w:tab/>
        <w:t>Data and methodology</w:t>
      </w:r>
      <w:bookmarkEnd w:id="61"/>
    </w:p>
    <w:p w:rsidR="006E391F" w:rsidRPr="00BC1144" w:rsidRDefault="006E391F" w:rsidP="00336FA0">
      <w:pPr>
        <w:pStyle w:val="BodyText"/>
      </w:pPr>
      <w:r w:rsidRPr="00BC1144">
        <w:t>This study uses probit regressions to predict university attendance for Australian school students and to decompose the determinants of the under-representation of equity groups at Australian universities. The dependent variable in each regression model is a binary outcome of whether or not the student ever attended university by a particular wave in each of the Longitudinal Surveys of Australian Youth (LSAY) cohorts.</w:t>
      </w:r>
    </w:p>
    <w:p w:rsidR="006E391F" w:rsidRPr="00BC1144" w:rsidRDefault="006E391F" w:rsidP="00336FA0">
      <w:pPr>
        <w:pStyle w:val="BodyText"/>
      </w:pPr>
      <w:r w:rsidRPr="00BC1144">
        <w:t xml:space="preserve">In the first stage, we infer determinants of university attendance within each cohort in a similar manner to previous literature </w:t>
      </w:r>
      <w:r w:rsidR="0092626E" w:rsidRPr="00BC1144">
        <w:rPr>
          <w:szCs w:val="24"/>
        </w:rPr>
        <w:t>(Cardak et al. 2017; Miller and Le 2004)</w:t>
      </w:r>
      <w:r w:rsidRPr="00BC1144">
        <w:t>. Participation at university (by age 22 years, unless otherwise indicated) is regressed on a broad set of individual, family, school and regional characteristics. The regression results are then used to understand the determinants of differences between equity group and non</w:t>
      </w:r>
      <w:r w:rsidRPr="00BC1144">
        <w:noBreakHyphen/>
        <w:t xml:space="preserve">equity group participation rates using a method developed by Schwiebert </w:t>
      </w:r>
      <w:r w:rsidR="0092626E" w:rsidRPr="00BC1144">
        <w:t>(2015)</w:t>
      </w:r>
      <w:r w:rsidRPr="00BC1144">
        <w:t xml:space="preserve">. </w:t>
      </w:r>
    </w:p>
    <w:p w:rsidR="006E391F" w:rsidRPr="00BC1144" w:rsidRDefault="006E391F" w:rsidP="00336FA0">
      <w:pPr>
        <w:pStyle w:val="BodyText"/>
      </w:pPr>
      <w:r w:rsidRPr="00BC1144">
        <w:t xml:space="preserve">In the second stage, we take a similar approach to predicting university attendance. The regression analysis is repeated with additional data to improve the overall predictive ability of the model, including on students’ Australian Tertiary Admission Rank (ATAR) and including a measure of the distance to the university from a student’s residence in their final year of school to improve the overall predictive ability of the model. Missing ATAR data are imputed in order to maintain sample size. </w:t>
      </w:r>
    </w:p>
    <w:p w:rsidR="006E391F" w:rsidRPr="00BC1144" w:rsidRDefault="006E391F" w:rsidP="00336FA0">
      <w:pPr>
        <w:pStyle w:val="BodyText"/>
      </w:pPr>
      <w:r w:rsidRPr="00BC1144">
        <w:t>The same regression specifications are used for the 2003, 2006 and 2009 cohorts (for participation by age 22 years in 2010, 2013 and 2016 respectively). We estimate the probability that each student attends university in the 2006 and 2009 cohorts then, applying the 2003 regression specifications, we predict counterfactual probabilities that students in the 2006 and 2009 cohorts would have attended if part of the 2003 cohort. This approach implicitly assumes that unobservable characteristics affect university attendance in the same manner in each cohort.</w:t>
      </w:r>
    </w:p>
    <w:p w:rsidR="006E391F" w:rsidRPr="00BC1144" w:rsidRDefault="006E391F" w:rsidP="00336FA0">
      <w:pPr>
        <w:pStyle w:val="BodyText"/>
      </w:pPr>
      <w:r w:rsidRPr="00BC1144">
        <w:t>This appendix sets out key issues with the data and variables we use and the technical approaches taken to:</w:t>
      </w:r>
    </w:p>
    <w:p w:rsidR="006E391F" w:rsidRPr="00BC1144" w:rsidRDefault="006E391F" w:rsidP="00336FA0">
      <w:pPr>
        <w:pStyle w:val="ListBullet"/>
      </w:pPr>
      <w:r w:rsidRPr="00BC1144">
        <w:t>addressing sample attrition in the LSAY (section B.2)</w:t>
      </w:r>
    </w:p>
    <w:p w:rsidR="006E391F" w:rsidRPr="00BC1144" w:rsidRDefault="006E391F" w:rsidP="00336FA0">
      <w:pPr>
        <w:pStyle w:val="ListBullet"/>
      </w:pPr>
      <w:r w:rsidRPr="00BC1144">
        <w:t>decomposing differences in group mean participation rates (section B.4)</w:t>
      </w:r>
    </w:p>
    <w:p w:rsidR="006E391F" w:rsidRPr="00BC1144" w:rsidRDefault="006E391F" w:rsidP="00336FA0">
      <w:pPr>
        <w:pStyle w:val="ListBullet"/>
      </w:pPr>
      <w:r w:rsidRPr="00BC1144">
        <w:t>imputing missing ATAR values (section B.6)</w:t>
      </w:r>
    </w:p>
    <w:p w:rsidR="006E391F" w:rsidRPr="00BC1144" w:rsidRDefault="006E391F" w:rsidP="00336FA0">
      <w:pPr>
        <w:pStyle w:val="ListBullet"/>
      </w:pPr>
      <w:r w:rsidRPr="00BC1144">
        <w:t>bootstrapping confidence intervals around key outcome variables (section B.7).</w:t>
      </w:r>
    </w:p>
    <w:p w:rsidR="006E391F" w:rsidRPr="00BC1144" w:rsidRDefault="006E391F" w:rsidP="00336FA0">
      <w:pPr>
        <w:pStyle w:val="BodyText"/>
        <w:rPr>
          <w:spacing w:val="2"/>
        </w:rPr>
      </w:pPr>
      <w:r w:rsidRPr="00BC1144">
        <w:rPr>
          <w:spacing w:val="2"/>
        </w:rPr>
        <w:lastRenderedPageBreak/>
        <w:t>Regression results are presented in tables B.15 and B.16. All regressions use population and attrition weights with Huber</w:t>
      </w:r>
      <w:r w:rsidRPr="00BC1144">
        <w:rPr>
          <w:spacing w:val="2"/>
        </w:rPr>
        <w:noBreakHyphen/>
        <w:t>White robust standard errors.</w:t>
      </w:r>
      <w:r w:rsidRPr="00BC1144">
        <w:rPr>
          <w:rStyle w:val="FootnoteReference"/>
          <w:spacing w:val="2"/>
        </w:rPr>
        <w:footnoteReference w:id="19"/>
      </w:r>
      <w:r w:rsidRPr="00BC1144">
        <w:rPr>
          <w:spacing w:val="2"/>
        </w:rPr>
        <w:t xml:space="preserve"> R code used to produce these estimates is published on the Productivity Commission website together with this research report.</w:t>
      </w:r>
    </w:p>
    <w:p w:rsidR="006E391F" w:rsidRPr="00BC1144" w:rsidRDefault="006E391F" w:rsidP="00336FA0">
      <w:pPr>
        <w:pStyle w:val="BodyText"/>
      </w:pPr>
      <w:r w:rsidRPr="00BC1144">
        <w:t>This appendix also contains detail of the calculations of age</w:t>
      </w:r>
      <w:r w:rsidRPr="00BC1144">
        <w:noBreakHyphen/>
        <w:t>adjusted commencement rates by equity group presented in appendix A.</w:t>
      </w:r>
    </w:p>
    <w:p w:rsidR="006E391F" w:rsidRPr="00BC1144" w:rsidRDefault="006E391F" w:rsidP="00336FA0">
      <w:pPr>
        <w:pStyle w:val="Heading2"/>
      </w:pPr>
      <w:bookmarkStart w:id="62" w:name="_Toc10805467"/>
      <w:r w:rsidRPr="00BC1144">
        <w:t>B.</w:t>
      </w:r>
      <w:r w:rsidRPr="00BC1144">
        <w:rPr>
          <w:noProof/>
        </w:rPr>
        <w:t>1</w:t>
      </w:r>
      <w:r w:rsidRPr="00BC1144">
        <w:tab/>
        <w:t>The Longitudinal Surveys of Australian Youth</w:t>
      </w:r>
      <w:bookmarkEnd w:id="62"/>
    </w:p>
    <w:p w:rsidR="006E391F" w:rsidRPr="00BC1144" w:rsidRDefault="006E391F" w:rsidP="00336FA0">
      <w:pPr>
        <w:pStyle w:val="BodyText"/>
      </w:pPr>
      <w:r w:rsidRPr="00BC1144">
        <w:t>The primary data for this paper are drawn from the LSAY. The LSAY tracks children in middle high school years and their progression through study and labour market transitions until the age of 25 years. The LSAY cohorts commenced in 1995, 1998, 2003, 2006, 2009 and 2015. The first two cohorts entered in Year 9 at school. The last three cohorts entered at age 15 years on average (table B.1). Most of the students sampled in the last three cohorts are in Year 10 at school (figure B.1).</w:t>
      </w:r>
    </w:p>
    <w:p w:rsidR="006E391F" w:rsidRPr="00BC1144" w:rsidRDefault="006E391F" w:rsidP="00336FA0">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1</w:t>
            </w:r>
            <w:r w:rsidRPr="00BC1144">
              <w:tab/>
              <w:t>LSAY sample summary</w:t>
            </w:r>
          </w:p>
        </w:tc>
      </w:tr>
      <w:tr w:rsidR="006E391F" w:rsidRPr="00BC1144" w:rsidTr="00336FA0">
        <w:trPr>
          <w:trHeight w:val="2601"/>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60"/>
              <w:gridCol w:w="1236"/>
              <w:gridCol w:w="1194"/>
              <w:gridCol w:w="1073"/>
              <w:gridCol w:w="1238"/>
              <w:gridCol w:w="944"/>
              <w:gridCol w:w="944"/>
              <w:gridCol w:w="1216"/>
            </w:tblGrid>
            <w:tr w:rsidR="006E391F" w:rsidRPr="00BC1144" w:rsidTr="00E8352F">
              <w:trPr>
                <w:trHeight w:val="733"/>
                <w:tblHeader/>
              </w:trPr>
              <w:tc>
                <w:tcPr>
                  <w:tcW w:w="331" w:type="pct"/>
                  <w:tcBorders>
                    <w:top w:val="single" w:sz="6" w:space="0" w:color="BFBFBF"/>
                    <w:bottom w:val="single" w:sz="4" w:space="0" w:color="BFBFBF"/>
                  </w:tcBorders>
                  <w:shd w:val="clear" w:color="auto" w:fill="auto"/>
                  <w:tcMar>
                    <w:top w:w="28" w:type="dxa"/>
                  </w:tcMar>
                </w:tcPr>
                <w:p w:rsidR="006E391F" w:rsidRPr="00BC1144" w:rsidRDefault="006E391F" w:rsidP="00336FA0">
                  <w:pPr>
                    <w:pStyle w:val="TableColumnHeading"/>
                    <w:jc w:val="left"/>
                  </w:pPr>
                  <w:r w:rsidRPr="00BC1144">
                    <w:t>Cohort</w:t>
                  </w:r>
                </w:p>
              </w:tc>
              <w:tc>
                <w:tcPr>
                  <w:tcW w:w="735" w:type="pct"/>
                  <w:tcBorders>
                    <w:top w:val="single" w:sz="6" w:space="0" w:color="BFBFBF"/>
                    <w:bottom w:val="single" w:sz="4" w:space="0" w:color="BFBFBF"/>
                  </w:tcBorders>
                </w:tcPr>
                <w:p w:rsidR="006E391F" w:rsidRPr="00BC1144" w:rsidRDefault="006E391F" w:rsidP="00336FA0">
                  <w:pPr>
                    <w:pStyle w:val="TableColumnHeading"/>
                  </w:pPr>
                  <w:r w:rsidRPr="00BC1144">
                    <w:t>Sampling unit</w:t>
                  </w:r>
                </w:p>
              </w:tc>
              <w:tc>
                <w:tcPr>
                  <w:tcW w:w="710" w:type="pct"/>
                  <w:tcBorders>
                    <w:top w:val="single" w:sz="6" w:space="0" w:color="BFBFBF"/>
                    <w:bottom w:val="single" w:sz="4" w:space="0" w:color="BFBFBF"/>
                  </w:tcBorders>
                </w:tcPr>
                <w:p w:rsidR="006E391F" w:rsidRPr="00BC1144" w:rsidRDefault="006E391F" w:rsidP="00336FA0">
                  <w:pPr>
                    <w:pStyle w:val="TableColumnHeading"/>
                  </w:pPr>
                  <w:r w:rsidRPr="00BC1144">
                    <w:t>Survey period</w:t>
                  </w:r>
                </w:p>
              </w:tc>
              <w:tc>
                <w:tcPr>
                  <w:tcW w:w="639" w:type="pct"/>
                  <w:tcBorders>
                    <w:top w:val="single" w:sz="6" w:space="0" w:color="BFBFBF"/>
                    <w:bottom w:val="single" w:sz="4" w:space="0" w:color="BFBFBF"/>
                  </w:tcBorders>
                </w:tcPr>
                <w:p w:rsidR="006E391F" w:rsidRPr="00BC1144" w:rsidRDefault="006E391F" w:rsidP="00336FA0">
                  <w:pPr>
                    <w:pStyle w:val="TableColumnHeading"/>
                  </w:pPr>
                  <w:r w:rsidRPr="00BC1144">
                    <w:t>Average age when first surveyed</w:t>
                  </w:r>
                </w:p>
              </w:tc>
              <w:tc>
                <w:tcPr>
                  <w:tcW w:w="736" w:type="pct"/>
                  <w:tcBorders>
                    <w:top w:val="single" w:sz="6" w:space="0" w:color="BFBFBF"/>
                    <w:bottom w:val="single" w:sz="4" w:space="0" w:color="BFBFBF"/>
                  </w:tcBorders>
                </w:tcPr>
                <w:p w:rsidR="006E391F" w:rsidRPr="00BC1144" w:rsidRDefault="006E391F" w:rsidP="00336FA0">
                  <w:pPr>
                    <w:pStyle w:val="TableColumnHeading"/>
                  </w:pPr>
                  <w:r w:rsidRPr="00BC1144">
                    <w:t>Year when aged 22 years</w:t>
                  </w:r>
                </w:p>
              </w:tc>
              <w:tc>
                <w:tcPr>
                  <w:tcW w:w="563" w:type="pct"/>
                  <w:tcBorders>
                    <w:top w:val="single" w:sz="6" w:space="0" w:color="BFBFBF"/>
                    <w:bottom w:val="single" w:sz="4" w:space="0" w:color="BFBFBF"/>
                  </w:tcBorders>
                </w:tcPr>
                <w:p w:rsidR="006E391F" w:rsidRPr="00BC1144" w:rsidRDefault="006E391F" w:rsidP="00336FA0">
                  <w:pPr>
                    <w:pStyle w:val="TableColumnHeading"/>
                  </w:pPr>
                  <w:r w:rsidRPr="00BC1144">
                    <w:t xml:space="preserve">No. of </w:t>
                  </w:r>
                  <w:r w:rsidRPr="00BC1144">
                    <w:br/>
                    <w:t>waves</w:t>
                  </w:r>
                </w:p>
              </w:tc>
              <w:tc>
                <w:tcPr>
                  <w:tcW w:w="563" w:type="pct"/>
                  <w:tcBorders>
                    <w:top w:val="single" w:sz="6" w:space="0" w:color="BFBFBF"/>
                    <w:bottom w:val="single" w:sz="4" w:space="0" w:color="BFBFBF"/>
                  </w:tcBorders>
                </w:tcPr>
                <w:p w:rsidR="006E391F" w:rsidRPr="00BC1144" w:rsidRDefault="006E391F" w:rsidP="00336FA0">
                  <w:pPr>
                    <w:pStyle w:val="TableColumnHeading"/>
                  </w:pPr>
                  <w:r w:rsidRPr="00BC1144">
                    <w:t>No. of schools</w:t>
                  </w:r>
                </w:p>
              </w:tc>
              <w:tc>
                <w:tcPr>
                  <w:tcW w:w="723" w:type="pct"/>
                  <w:tcBorders>
                    <w:top w:val="single" w:sz="6" w:space="0" w:color="BFBFBF"/>
                    <w:bottom w:val="single" w:sz="4" w:space="0" w:color="BFBFBF"/>
                  </w:tcBorders>
                  <w:shd w:val="clear" w:color="auto" w:fill="auto"/>
                  <w:tcMar>
                    <w:top w:w="28" w:type="dxa"/>
                  </w:tcMar>
                </w:tcPr>
                <w:p w:rsidR="006E391F" w:rsidRPr="00BC1144" w:rsidRDefault="006E391F" w:rsidP="00336FA0">
                  <w:pPr>
                    <w:pStyle w:val="TableColumnHeading"/>
                    <w:ind w:right="28"/>
                  </w:pPr>
                  <w:r w:rsidRPr="00BC1144">
                    <w:t>Commencing sample size</w:t>
                  </w:r>
                </w:p>
              </w:tc>
            </w:tr>
            <w:tr w:rsidR="006E391F" w:rsidRPr="00BC1144" w:rsidTr="00E8352F">
              <w:trPr>
                <w:trHeight w:val="340"/>
              </w:trPr>
              <w:tc>
                <w:tcPr>
                  <w:tcW w:w="331"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1995</w:t>
                  </w:r>
                </w:p>
              </w:tc>
              <w:tc>
                <w:tcPr>
                  <w:tcW w:w="735"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Year 9 in 1995</w:t>
                  </w:r>
                </w:p>
              </w:tc>
              <w:tc>
                <w:tcPr>
                  <w:tcW w:w="710"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1995</w:t>
                  </w:r>
                  <w:r w:rsidRPr="00BC1144">
                    <w:noBreakHyphen/>
                    <w:t>2006</w:t>
                  </w:r>
                </w:p>
              </w:tc>
              <w:tc>
                <w:tcPr>
                  <w:tcW w:w="639"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14.5 years</w:t>
                  </w:r>
                </w:p>
              </w:tc>
              <w:tc>
                <w:tcPr>
                  <w:tcW w:w="736"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2003</w:t>
                  </w:r>
                </w:p>
              </w:tc>
              <w:tc>
                <w:tcPr>
                  <w:tcW w:w="563"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12</w:t>
                  </w:r>
                </w:p>
              </w:tc>
              <w:tc>
                <w:tcPr>
                  <w:tcW w:w="563" w:type="pct"/>
                  <w:tcBorders>
                    <w:top w:val="single" w:sz="4" w:space="0" w:color="BFBFBF"/>
                  </w:tcBorders>
                  <w:shd w:val="clear" w:color="auto" w:fill="F2F2F2" w:themeFill="background1" w:themeFillShade="F2"/>
                </w:tcPr>
                <w:p w:rsidR="006E391F" w:rsidRPr="00BC1144" w:rsidRDefault="006E391F" w:rsidP="00336FA0">
                  <w:pPr>
                    <w:pStyle w:val="TableBodyText"/>
                  </w:pPr>
                  <w:r w:rsidRPr="00BC1144">
                    <w:t>300</w:t>
                  </w:r>
                </w:p>
              </w:tc>
              <w:tc>
                <w:tcPr>
                  <w:tcW w:w="723" w:type="pct"/>
                  <w:tcBorders>
                    <w:top w:val="single" w:sz="4" w:space="0" w:color="BFBFBF"/>
                  </w:tcBorders>
                  <w:shd w:val="clear" w:color="auto" w:fill="F2F2F2" w:themeFill="background1" w:themeFillShade="F2"/>
                </w:tcPr>
                <w:p w:rsidR="006E391F" w:rsidRPr="00BC1144" w:rsidRDefault="006E391F" w:rsidP="00336FA0">
                  <w:pPr>
                    <w:pStyle w:val="TableUnitsRow"/>
                    <w:ind w:right="28"/>
                  </w:pPr>
                  <w:r w:rsidRPr="00BC1144">
                    <w:t>13,613</w:t>
                  </w:r>
                </w:p>
              </w:tc>
            </w:tr>
            <w:tr w:rsidR="006E391F" w:rsidRPr="00BC1144" w:rsidTr="00E8352F">
              <w:trPr>
                <w:trHeight w:val="340"/>
              </w:trPr>
              <w:tc>
                <w:tcPr>
                  <w:tcW w:w="331" w:type="pct"/>
                </w:tcPr>
                <w:p w:rsidR="006E391F" w:rsidRPr="00BC1144" w:rsidRDefault="006E391F" w:rsidP="00336FA0">
                  <w:pPr>
                    <w:pStyle w:val="TableBodyText"/>
                  </w:pPr>
                  <w:r w:rsidRPr="00BC1144">
                    <w:t>1998</w:t>
                  </w:r>
                </w:p>
              </w:tc>
              <w:tc>
                <w:tcPr>
                  <w:tcW w:w="735" w:type="pct"/>
                </w:tcPr>
                <w:p w:rsidR="006E391F" w:rsidRPr="00BC1144" w:rsidRDefault="006E391F" w:rsidP="00336FA0">
                  <w:pPr>
                    <w:pStyle w:val="TableBodyText"/>
                  </w:pPr>
                  <w:r w:rsidRPr="00BC1144">
                    <w:t>Year 9 in 1998</w:t>
                  </w:r>
                </w:p>
              </w:tc>
              <w:tc>
                <w:tcPr>
                  <w:tcW w:w="710" w:type="pct"/>
                </w:tcPr>
                <w:p w:rsidR="006E391F" w:rsidRPr="00BC1144" w:rsidRDefault="006E391F" w:rsidP="00336FA0">
                  <w:pPr>
                    <w:pStyle w:val="TableBodyText"/>
                  </w:pPr>
                  <w:r w:rsidRPr="00BC1144">
                    <w:t>1998</w:t>
                  </w:r>
                  <w:r w:rsidRPr="00BC1144">
                    <w:noBreakHyphen/>
                    <w:t>2009</w:t>
                  </w:r>
                </w:p>
              </w:tc>
              <w:tc>
                <w:tcPr>
                  <w:tcW w:w="639" w:type="pct"/>
                </w:tcPr>
                <w:p w:rsidR="006E391F" w:rsidRPr="00BC1144" w:rsidRDefault="006E391F" w:rsidP="00336FA0">
                  <w:pPr>
                    <w:pStyle w:val="TableBodyText"/>
                  </w:pPr>
                  <w:r w:rsidRPr="00BC1144">
                    <w:t>14.5 years</w:t>
                  </w:r>
                </w:p>
              </w:tc>
              <w:tc>
                <w:tcPr>
                  <w:tcW w:w="736" w:type="pct"/>
                </w:tcPr>
                <w:p w:rsidR="006E391F" w:rsidRPr="00BC1144" w:rsidRDefault="006E391F" w:rsidP="00336FA0">
                  <w:pPr>
                    <w:pStyle w:val="TableBodyText"/>
                  </w:pPr>
                  <w:r w:rsidRPr="00BC1144">
                    <w:t>2006</w:t>
                  </w:r>
                </w:p>
              </w:tc>
              <w:tc>
                <w:tcPr>
                  <w:tcW w:w="563" w:type="pct"/>
                </w:tcPr>
                <w:p w:rsidR="006E391F" w:rsidRPr="00BC1144" w:rsidRDefault="006E391F" w:rsidP="00336FA0">
                  <w:pPr>
                    <w:pStyle w:val="TableBodyText"/>
                  </w:pPr>
                  <w:r w:rsidRPr="00BC1144">
                    <w:t>12</w:t>
                  </w:r>
                </w:p>
              </w:tc>
              <w:tc>
                <w:tcPr>
                  <w:tcW w:w="563" w:type="pct"/>
                </w:tcPr>
                <w:p w:rsidR="006E391F" w:rsidRPr="00BC1144" w:rsidRDefault="006E391F" w:rsidP="00336FA0">
                  <w:pPr>
                    <w:pStyle w:val="TableBodyText"/>
                  </w:pPr>
                  <w:r w:rsidRPr="00BC1144">
                    <w:t>300</w:t>
                  </w:r>
                </w:p>
              </w:tc>
              <w:tc>
                <w:tcPr>
                  <w:tcW w:w="723" w:type="pct"/>
                </w:tcPr>
                <w:p w:rsidR="006E391F" w:rsidRPr="00BC1144" w:rsidRDefault="006E391F" w:rsidP="00336FA0">
                  <w:pPr>
                    <w:pStyle w:val="TableUnitsRow"/>
                    <w:ind w:right="28"/>
                  </w:pPr>
                  <w:r w:rsidRPr="00BC1144">
                    <w:t>14,117</w:t>
                  </w:r>
                </w:p>
              </w:tc>
            </w:tr>
            <w:tr w:rsidR="006E391F" w:rsidRPr="00BC1144" w:rsidTr="00E8352F">
              <w:trPr>
                <w:trHeight w:val="340"/>
              </w:trPr>
              <w:tc>
                <w:tcPr>
                  <w:tcW w:w="331" w:type="pct"/>
                  <w:shd w:val="clear" w:color="auto" w:fill="F2F2F2" w:themeFill="background1" w:themeFillShade="F2"/>
                </w:tcPr>
                <w:p w:rsidR="006E391F" w:rsidRPr="00BC1144" w:rsidRDefault="006E391F" w:rsidP="00336FA0">
                  <w:pPr>
                    <w:pStyle w:val="TableBodyText"/>
                  </w:pPr>
                  <w:r w:rsidRPr="00BC1144">
                    <w:t>2003</w:t>
                  </w:r>
                </w:p>
              </w:tc>
              <w:tc>
                <w:tcPr>
                  <w:tcW w:w="735" w:type="pct"/>
                  <w:shd w:val="clear" w:color="auto" w:fill="F2F2F2" w:themeFill="background1" w:themeFillShade="F2"/>
                </w:tcPr>
                <w:p w:rsidR="006E391F" w:rsidRPr="00BC1144" w:rsidRDefault="006E391F" w:rsidP="00336FA0">
                  <w:pPr>
                    <w:pStyle w:val="TableBodyText"/>
                  </w:pPr>
                  <w:r w:rsidRPr="00BC1144">
                    <w:t>Age 15 in 2003</w:t>
                  </w:r>
                </w:p>
              </w:tc>
              <w:tc>
                <w:tcPr>
                  <w:tcW w:w="710" w:type="pct"/>
                  <w:shd w:val="clear" w:color="auto" w:fill="F2F2F2" w:themeFill="background1" w:themeFillShade="F2"/>
                </w:tcPr>
                <w:p w:rsidR="006E391F" w:rsidRPr="00BC1144" w:rsidRDefault="006E391F" w:rsidP="00336FA0">
                  <w:pPr>
                    <w:pStyle w:val="TableBodyText"/>
                  </w:pPr>
                  <w:r w:rsidRPr="00BC1144">
                    <w:t>2003</w:t>
                  </w:r>
                  <w:r w:rsidRPr="00BC1144">
                    <w:noBreakHyphen/>
                    <w:t>2013</w:t>
                  </w:r>
                </w:p>
              </w:tc>
              <w:tc>
                <w:tcPr>
                  <w:tcW w:w="639" w:type="pct"/>
                  <w:shd w:val="clear" w:color="auto" w:fill="F2F2F2" w:themeFill="background1" w:themeFillShade="F2"/>
                </w:tcPr>
                <w:p w:rsidR="006E391F" w:rsidRPr="00BC1144" w:rsidRDefault="006E391F" w:rsidP="00336FA0">
                  <w:pPr>
                    <w:pStyle w:val="TableBodyText"/>
                  </w:pPr>
                  <w:r w:rsidRPr="00BC1144">
                    <w:t>15.7 years</w:t>
                  </w:r>
                </w:p>
              </w:tc>
              <w:tc>
                <w:tcPr>
                  <w:tcW w:w="736" w:type="pct"/>
                  <w:shd w:val="clear" w:color="auto" w:fill="F2F2F2" w:themeFill="background1" w:themeFillShade="F2"/>
                </w:tcPr>
                <w:p w:rsidR="006E391F" w:rsidRPr="00BC1144" w:rsidRDefault="006E391F" w:rsidP="00336FA0">
                  <w:pPr>
                    <w:pStyle w:val="TableBodyText"/>
                  </w:pPr>
                  <w:r w:rsidRPr="00BC1144">
                    <w:t>2010</w:t>
                  </w:r>
                </w:p>
              </w:tc>
              <w:tc>
                <w:tcPr>
                  <w:tcW w:w="563" w:type="pct"/>
                  <w:shd w:val="clear" w:color="auto" w:fill="F2F2F2" w:themeFill="background1" w:themeFillShade="F2"/>
                </w:tcPr>
                <w:p w:rsidR="006E391F" w:rsidRPr="00BC1144" w:rsidRDefault="006E391F" w:rsidP="00336FA0">
                  <w:pPr>
                    <w:pStyle w:val="TableBodyText"/>
                  </w:pPr>
                  <w:r w:rsidRPr="00BC1144">
                    <w:t>11</w:t>
                  </w:r>
                </w:p>
              </w:tc>
              <w:tc>
                <w:tcPr>
                  <w:tcW w:w="563" w:type="pct"/>
                  <w:shd w:val="clear" w:color="auto" w:fill="F2F2F2" w:themeFill="background1" w:themeFillShade="F2"/>
                </w:tcPr>
                <w:p w:rsidR="006E391F" w:rsidRPr="00BC1144" w:rsidRDefault="006E391F" w:rsidP="00336FA0">
                  <w:pPr>
                    <w:pStyle w:val="TableBodyText"/>
                  </w:pPr>
                  <w:r w:rsidRPr="00BC1144">
                    <w:t>355</w:t>
                  </w:r>
                </w:p>
              </w:tc>
              <w:tc>
                <w:tcPr>
                  <w:tcW w:w="723" w:type="pct"/>
                  <w:shd w:val="clear" w:color="auto" w:fill="F2F2F2" w:themeFill="background1" w:themeFillShade="F2"/>
                </w:tcPr>
                <w:p w:rsidR="006E391F" w:rsidRPr="00BC1144" w:rsidRDefault="006E391F" w:rsidP="00336FA0">
                  <w:pPr>
                    <w:pStyle w:val="TableUnitsRow"/>
                    <w:ind w:right="28"/>
                  </w:pPr>
                  <w:r w:rsidRPr="00BC1144">
                    <w:t>10,370</w:t>
                  </w:r>
                </w:p>
              </w:tc>
            </w:tr>
            <w:tr w:rsidR="006E391F" w:rsidRPr="00BC1144" w:rsidTr="00E8352F">
              <w:trPr>
                <w:trHeight w:val="340"/>
              </w:trPr>
              <w:tc>
                <w:tcPr>
                  <w:tcW w:w="331" w:type="pct"/>
                </w:tcPr>
                <w:p w:rsidR="006E391F" w:rsidRPr="00BC1144" w:rsidRDefault="006E391F" w:rsidP="00336FA0">
                  <w:pPr>
                    <w:pStyle w:val="TableBodyText"/>
                  </w:pPr>
                  <w:r w:rsidRPr="00BC1144">
                    <w:t>2006</w:t>
                  </w:r>
                </w:p>
              </w:tc>
              <w:tc>
                <w:tcPr>
                  <w:tcW w:w="735" w:type="pct"/>
                </w:tcPr>
                <w:p w:rsidR="006E391F" w:rsidRPr="00BC1144" w:rsidRDefault="006E391F" w:rsidP="00336FA0">
                  <w:pPr>
                    <w:pStyle w:val="TableBodyText"/>
                  </w:pPr>
                  <w:r w:rsidRPr="00BC1144">
                    <w:t>Age 15 in 2006</w:t>
                  </w:r>
                </w:p>
              </w:tc>
              <w:tc>
                <w:tcPr>
                  <w:tcW w:w="710" w:type="pct"/>
                </w:tcPr>
                <w:p w:rsidR="006E391F" w:rsidRPr="00BC1144" w:rsidRDefault="006E391F" w:rsidP="00336FA0">
                  <w:pPr>
                    <w:pStyle w:val="TableBodyText"/>
                  </w:pPr>
                  <w:r w:rsidRPr="00BC1144">
                    <w:t>2006</w:t>
                  </w:r>
                  <w:r w:rsidRPr="00BC1144">
                    <w:noBreakHyphen/>
                    <w:t>2016</w:t>
                  </w:r>
                </w:p>
              </w:tc>
              <w:tc>
                <w:tcPr>
                  <w:tcW w:w="639" w:type="pct"/>
                </w:tcPr>
                <w:p w:rsidR="006E391F" w:rsidRPr="00BC1144" w:rsidRDefault="006E391F" w:rsidP="00336FA0">
                  <w:pPr>
                    <w:pStyle w:val="TableBodyText"/>
                  </w:pPr>
                  <w:r w:rsidRPr="00BC1144">
                    <w:t>15.7 years</w:t>
                  </w:r>
                </w:p>
              </w:tc>
              <w:tc>
                <w:tcPr>
                  <w:tcW w:w="736" w:type="pct"/>
                </w:tcPr>
                <w:p w:rsidR="006E391F" w:rsidRPr="00BC1144" w:rsidRDefault="006E391F" w:rsidP="00336FA0">
                  <w:pPr>
                    <w:pStyle w:val="TableBodyText"/>
                  </w:pPr>
                  <w:r w:rsidRPr="00BC1144">
                    <w:t>2013</w:t>
                  </w:r>
                </w:p>
              </w:tc>
              <w:tc>
                <w:tcPr>
                  <w:tcW w:w="563" w:type="pct"/>
                </w:tcPr>
                <w:p w:rsidR="006E391F" w:rsidRPr="00BC1144" w:rsidRDefault="006E391F" w:rsidP="00336FA0">
                  <w:pPr>
                    <w:pStyle w:val="TableBodyText"/>
                  </w:pPr>
                  <w:r w:rsidRPr="00BC1144">
                    <w:t>11</w:t>
                  </w:r>
                </w:p>
              </w:tc>
              <w:tc>
                <w:tcPr>
                  <w:tcW w:w="563" w:type="pct"/>
                </w:tcPr>
                <w:p w:rsidR="006E391F" w:rsidRPr="00BC1144" w:rsidRDefault="006E391F" w:rsidP="00336FA0">
                  <w:pPr>
                    <w:pStyle w:val="TableBodyText"/>
                  </w:pPr>
                  <w:r w:rsidRPr="00BC1144">
                    <w:t>356</w:t>
                  </w:r>
                </w:p>
              </w:tc>
              <w:tc>
                <w:tcPr>
                  <w:tcW w:w="723" w:type="pct"/>
                </w:tcPr>
                <w:p w:rsidR="006E391F" w:rsidRPr="00BC1144" w:rsidRDefault="006E391F" w:rsidP="00336FA0">
                  <w:pPr>
                    <w:pStyle w:val="TableBodyText"/>
                    <w:ind w:right="28"/>
                  </w:pPr>
                  <w:r w:rsidRPr="00BC1144">
                    <w:t>14,170</w:t>
                  </w:r>
                </w:p>
              </w:tc>
            </w:tr>
            <w:tr w:rsidR="006E391F" w:rsidRPr="00BC1144" w:rsidTr="00E8352F">
              <w:trPr>
                <w:trHeight w:val="340"/>
              </w:trPr>
              <w:tc>
                <w:tcPr>
                  <w:tcW w:w="331"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2009</w:t>
                  </w:r>
                </w:p>
              </w:tc>
              <w:tc>
                <w:tcPr>
                  <w:tcW w:w="735"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Age 15 in 2009</w:t>
                  </w:r>
                </w:p>
              </w:tc>
              <w:tc>
                <w:tcPr>
                  <w:tcW w:w="710"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2009</w:t>
                  </w:r>
                  <w:r w:rsidRPr="00BC1144">
                    <w:noBreakHyphen/>
                    <w:t>2019</w:t>
                  </w:r>
                </w:p>
              </w:tc>
              <w:tc>
                <w:tcPr>
                  <w:tcW w:w="639"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15.7 years</w:t>
                  </w:r>
                </w:p>
              </w:tc>
              <w:tc>
                <w:tcPr>
                  <w:tcW w:w="736"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2016</w:t>
                  </w:r>
                </w:p>
              </w:tc>
              <w:tc>
                <w:tcPr>
                  <w:tcW w:w="563"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11</w:t>
                  </w:r>
                </w:p>
              </w:tc>
              <w:tc>
                <w:tcPr>
                  <w:tcW w:w="563" w:type="pct"/>
                  <w:tcBorders>
                    <w:bottom w:val="single" w:sz="6" w:space="0" w:color="BFBFBF"/>
                  </w:tcBorders>
                  <w:shd w:val="clear" w:color="auto" w:fill="F2F2F2" w:themeFill="background1" w:themeFillShade="F2"/>
                </w:tcPr>
                <w:p w:rsidR="006E391F" w:rsidRPr="00BC1144" w:rsidRDefault="006E391F" w:rsidP="00336FA0">
                  <w:pPr>
                    <w:pStyle w:val="TableBodyText"/>
                  </w:pPr>
                  <w:r w:rsidRPr="00BC1144">
                    <w:t>353</w:t>
                  </w:r>
                </w:p>
              </w:tc>
              <w:tc>
                <w:tcPr>
                  <w:tcW w:w="723" w:type="pct"/>
                  <w:tcBorders>
                    <w:bottom w:val="single" w:sz="6" w:space="0" w:color="BFBFBF"/>
                  </w:tcBorders>
                  <w:shd w:val="clear" w:color="auto" w:fill="F2F2F2" w:themeFill="background1" w:themeFillShade="F2"/>
                </w:tcPr>
                <w:p w:rsidR="006E391F" w:rsidRPr="00BC1144" w:rsidRDefault="006E391F" w:rsidP="00336FA0">
                  <w:pPr>
                    <w:pStyle w:val="TableBodyText"/>
                    <w:ind w:right="28"/>
                  </w:pPr>
                  <w:r w:rsidRPr="00BC1144">
                    <w:t>14,251</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92626E">
            <w:pPr>
              <w:pStyle w:val="Source"/>
            </w:pPr>
            <w:r w:rsidRPr="00BC1144">
              <w:rPr>
                <w:i/>
              </w:rPr>
              <w:t>Source</w:t>
            </w:r>
            <w:r w:rsidRPr="00BC1144">
              <w:t xml:space="preserve">: National Centre for Vocational Education Research LSAY User Guides </w:t>
            </w:r>
            <w:r w:rsidR="0092626E" w:rsidRPr="00BC1144">
              <w:rPr>
                <w:rFonts w:cs="Arial"/>
              </w:rPr>
              <w:t>(2018)</w:t>
            </w:r>
            <w:r w:rsidRPr="00BC1144">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1</w:t>
            </w:r>
            <w:r w:rsidRPr="00BC1144">
              <w:tab/>
              <w:t>LSAY sample by school year level and state</w:t>
            </w:r>
          </w:p>
          <w:p w:rsidR="006E391F" w:rsidRPr="00BC1144" w:rsidRDefault="006E391F" w:rsidP="00336FA0">
            <w:pPr>
              <w:pStyle w:val="Subtitle"/>
            </w:pPr>
            <w:r w:rsidRPr="00BC1144">
              <w:t>2006 cohort</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8504" w:type="dxa"/>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CD47637" wp14:editId="4499AF64">
                        <wp:extent cx="5400346" cy="2880153"/>
                        <wp:effectExtent l="0" t="0" r="0" b="0"/>
                        <wp:docPr id="58" name="Picture 58" descr="Figure B.1 shows the school year level and state of students in the first wave of the 2006 LSAY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B_1.emf"/>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5400346" cy="2880153"/>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pPr>
      <w:r w:rsidRPr="00BC1144">
        <w:t>All students entering the sample undertake tests of literacy and numeracy. Since 2003, this test has been the OECD Program for International Student Assessment (PISA) test. The assessment involves written tests of mathematical, reading and scientific literacy. Participants also complete a background questionnaire about their families, school, peers, learning strategies, experiences in the classroom, out</w:t>
      </w:r>
      <w:r w:rsidRPr="00BC1144">
        <w:noBreakHyphen/>
        <w:t>of</w:t>
      </w:r>
      <w:r w:rsidRPr="00BC1144">
        <w:noBreakHyphen/>
        <w:t>school activities, post</w:t>
      </w:r>
      <w:r w:rsidRPr="00BC1144">
        <w:noBreakHyphen/>
        <w:t xml:space="preserve">school study plans and work experience. </w:t>
      </w:r>
    </w:p>
    <w:p w:rsidR="006E391F" w:rsidRPr="00BC1144" w:rsidRDefault="006E391F" w:rsidP="00336FA0">
      <w:pPr>
        <w:pStyle w:val="BodyText"/>
      </w:pPr>
      <w:r w:rsidRPr="00BC1144">
        <w:t>The sample is designed to be representative of students across Australia, using state/territory, school sector and region (metropolitan, regional or remote) as strata. Students from smaller states are over</w:t>
      </w:r>
      <w:r w:rsidRPr="00BC1144">
        <w:noBreakHyphen/>
        <w:t>sampled so that reliable PISA results can be reported for each jurisdiction. Participants are drawn from approximately 350 schools with about 50 students selected at random from each school. Smaller jurisdictions and Indigenous students were oversampled to ensure that reliable results for these groups. The National Centre for Vocational Education Research (NCVER) supply sample weights with the LSAY data so that oversampled groups can be weighted down for the purposes for reporting descriptive statistics.</w:t>
      </w:r>
    </w:p>
    <w:p w:rsidR="006E391F" w:rsidRPr="00BC1144" w:rsidRDefault="006E391F" w:rsidP="00336FA0">
      <w:pPr>
        <w:pStyle w:val="BodyText"/>
        <w:sectPr w:rsidR="006E391F" w:rsidRPr="00BC1144" w:rsidSect="006E391F">
          <w:headerReference w:type="even" r:id="rId122"/>
          <w:headerReference w:type="default" r:id="rId123"/>
          <w:footerReference w:type="even" r:id="rId124"/>
          <w:footerReference w:type="default" r:id="rId125"/>
          <w:type w:val="oddPage"/>
          <w:pgSz w:w="11907" w:h="16840" w:code="9"/>
          <w:pgMar w:top="1985" w:right="1304" w:bottom="1247" w:left="1814" w:header="1701" w:footer="397" w:gutter="0"/>
          <w:pgNumType w:chapSep="period"/>
          <w:cols w:space="720"/>
          <w:docGrid w:linePitch="326"/>
        </w:sectPr>
      </w:pPr>
      <w:r w:rsidRPr="00BC1144">
        <w:t>All LSAY statistics reported in this study incorporate sample and survey attrition weights, which means reported statistics should be representative of the Australian population. We use the sample weights supplied with the LSAY data, but take our own approach to calculating attrition weights. Ideally, after applying the weights, baseline characteristics should be the same across all waves of the survey. However, as can be seen in table B.2, there are some small differences between the results reported at age 15 years and age 22 years. Section B.2 describes our method for estimating the attrition weights.</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lastRenderedPageBreak/>
              <w:t>Table B.</w:t>
            </w:r>
            <w:r w:rsidRPr="00BC1144">
              <w:rPr>
                <w:b w:val="0"/>
                <w:noProof/>
              </w:rPr>
              <w:t>2</w:t>
            </w:r>
            <w:r w:rsidRPr="00BC1144">
              <w:tab/>
              <w:t>Descriptive statistics of LSAY data</w:t>
            </w:r>
          </w:p>
          <w:p w:rsidR="006E391F" w:rsidRPr="00BC1144" w:rsidRDefault="006E391F" w:rsidP="00336FA0">
            <w:pPr>
              <w:pStyle w:val="Subtitle"/>
            </w:pPr>
            <w:r w:rsidRPr="00BC1144">
              <w:t>2003, 2006 and 2009 cohorts</w:t>
            </w:r>
            <w:r w:rsidR="00882582" w:rsidRPr="00BC1144">
              <w:rPr>
                <w:rStyle w:val="NoteLabel"/>
              </w:rPr>
              <w:t>a</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63"/>
              <w:gridCol w:w="1650"/>
              <w:gridCol w:w="1730"/>
              <w:gridCol w:w="1735"/>
              <w:gridCol w:w="1730"/>
              <w:gridCol w:w="1730"/>
              <w:gridCol w:w="1727"/>
            </w:tblGrid>
            <w:tr w:rsidR="006E391F" w:rsidRPr="00BC1144" w:rsidTr="00336FA0">
              <w:trPr>
                <w:tblHeader/>
              </w:trPr>
              <w:tc>
                <w:tcPr>
                  <w:tcW w:w="1117" w:type="pct"/>
                  <w:vMerge w:val="restart"/>
                  <w:tcBorders>
                    <w:top w:val="single" w:sz="6" w:space="0" w:color="BFBFBF"/>
                    <w:left w:val="single" w:sz="48" w:space="0" w:color="FFFFFF" w:themeColor="background1"/>
                  </w:tcBorders>
                  <w:shd w:val="clear" w:color="auto" w:fill="auto"/>
                  <w:tcMar>
                    <w:top w:w="28" w:type="dxa"/>
                  </w:tcMar>
                </w:tcPr>
                <w:p w:rsidR="006E391F" w:rsidRPr="00BC1144" w:rsidRDefault="006E391F" w:rsidP="00336FA0">
                  <w:pPr>
                    <w:pStyle w:val="TableColumnHeading"/>
                  </w:pPr>
                </w:p>
              </w:tc>
              <w:tc>
                <w:tcPr>
                  <w:tcW w:w="1928" w:type="pct"/>
                  <w:gridSpan w:val="3"/>
                  <w:tcBorders>
                    <w:top w:val="single" w:sz="6" w:space="0" w:color="BFBFBF"/>
                    <w:right w:val="single" w:sz="48" w:space="0" w:color="FFFFFF" w:themeColor="background1"/>
                  </w:tcBorders>
                </w:tcPr>
                <w:p w:rsidR="006E391F" w:rsidRPr="00BC1144" w:rsidRDefault="006E391F" w:rsidP="00336FA0">
                  <w:pPr>
                    <w:pStyle w:val="TableColumnHeading"/>
                  </w:pPr>
                  <w:r w:rsidRPr="00BC1144">
                    <w:t>Age 15 years (Baseline Characteristics)</w:t>
                  </w:r>
                </w:p>
              </w:tc>
              <w:tc>
                <w:tcPr>
                  <w:tcW w:w="1955" w:type="pct"/>
                  <w:gridSpan w:val="3"/>
                  <w:tcBorders>
                    <w:top w:val="single" w:sz="4" w:space="0" w:color="BFBFBF"/>
                    <w:left w:val="single" w:sz="48" w:space="0" w:color="FFFFFF" w:themeColor="background1"/>
                  </w:tcBorders>
                  <w:shd w:val="clear" w:color="auto" w:fill="F2F2F2" w:themeFill="background1" w:themeFillShade="F2"/>
                </w:tcPr>
                <w:p w:rsidR="006E391F" w:rsidRPr="00BC1144" w:rsidRDefault="006E391F" w:rsidP="00336FA0">
                  <w:pPr>
                    <w:pStyle w:val="TableColumnHeading"/>
                  </w:pPr>
                  <w:r w:rsidRPr="00BC1144">
                    <w:t>Age 22 years (Sample used in predictive model)</w:t>
                  </w:r>
                </w:p>
              </w:tc>
            </w:tr>
            <w:tr w:rsidR="006E391F" w:rsidRPr="00BC1144" w:rsidTr="00336FA0">
              <w:tc>
                <w:tcPr>
                  <w:tcW w:w="1117" w:type="pct"/>
                  <w:vMerge/>
                  <w:tcBorders>
                    <w:left w:val="single" w:sz="48" w:space="0" w:color="FFFFFF" w:themeColor="background1"/>
                    <w:bottom w:val="single" w:sz="4" w:space="0" w:color="BFBFBF"/>
                  </w:tcBorders>
                </w:tcPr>
                <w:p w:rsidR="006E391F" w:rsidRPr="00BC1144" w:rsidRDefault="006E391F" w:rsidP="00336FA0">
                  <w:pPr>
                    <w:pStyle w:val="TableUnitsRow"/>
                    <w:jc w:val="left"/>
                  </w:pPr>
                </w:p>
              </w:tc>
              <w:tc>
                <w:tcPr>
                  <w:tcW w:w="622" w:type="pct"/>
                  <w:tcBorders>
                    <w:bottom w:val="single" w:sz="4" w:space="0" w:color="BFBFBF"/>
                  </w:tcBorders>
                </w:tcPr>
                <w:p w:rsidR="006E391F" w:rsidRPr="00BC1144" w:rsidRDefault="006E391F" w:rsidP="00336FA0">
                  <w:pPr>
                    <w:pStyle w:val="TableColumnHeading"/>
                  </w:pPr>
                  <w:r w:rsidRPr="00BC1144">
                    <w:t>2003 Cohort</w:t>
                  </w:r>
                </w:p>
              </w:tc>
              <w:tc>
                <w:tcPr>
                  <w:tcW w:w="652" w:type="pct"/>
                  <w:tcBorders>
                    <w:bottom w:val="single" w:sz="4" w:space="0" w:color="BFBFBF"/>
                  </w:tcBorders>
                </w:tcPr>
                <w:p w:rsidR="006E391F" w:rsidRPr="00BC1144" w:rsidRDefault="006E391F" w:rsidP="00336FA0">
                  <w:pPr>
                    <w:pStyle w:val="TableColumnHeading"/>
                  </w:pPr>
                  <w:r w:rsidRPr="00BC1144">
                    <w:t>2006 Cohort</w:t>
                  </w:r>
                </w:p>
              </w:tc>
              <w:tc>
                <w:tcPr>
                  <w:tcW w:w="654" w:type="pct"/>
                  <w:tcBorders>
                    <w:bottom w:val="single" w:sz="4" w:space="0" w:color="BFBFBF"/>
                    <w:right w:val="single" w:sz="48" w:space="0" w:color="FFFFFF" w:themeColor="background1"/>
                  </w:tcBorders>
                </w:tcPr>
                <w:p w:rsidR="006E391F" w:rsidRPr="00BC1144" w:rsidRDefault="006E391F" w:rsidP="00336FA0">
                  <w:pPr>
                    <w:pStyle w:val="TableColumnHeading"/>
                  </w:pPr>
                  <w:r w:rsidRPr="00BC1144">
                    <w:t>2009 Cohort</w:t>
                  </w:r>
                </w:p>
              </w:tc>
              <w:tc>
                <w:tcPr>
                  <w:tcW w:w="652" w:type="pct"/>
                  <w:tcBorders>
                    <w:left w:val="single" w:sz="48" w:space="0" w:color="FFFFFF" w:themeColor="background1"/>
                    <w:bottom w:val="single" w:sz="4" w:space="0" w:color="BFBFBF"/>
                  </w:tcBorders>
                  <w:shd w:val="clear" w:color="auto" w:fill="F2F2F2" w:themeFill="background1" w:themeFillShade="F2"/>
                </w:tcPr>
                <w:p w:rsidR="006E391F" w:rsidRPr="00BC1144" w:rsidRDefault="006E391F" w:rsidP="00336FA0">
                  <w:pPr>
                    <w:pStyle w:val="TableColumnHeading"/>
                  </w:pPr>
                  <w:r w:rsidRPr="00BC1144">
                    <w:t>2003 Cohort</w:t>
                  </w:r>
                </w:p>
              </w:tc>
              <w:tc>
                <w:tcPr>
                  <w:tcW w:w="652" w:type="pct"/>
                  <w:tcBorders>
                    <w:bottom w:val="single" w:sz="4" w:space="0" w:color="BFBFBF"/>
                  </w:tcBorders>
                  <w:shd w:val="clear" w:color="auto" w:fill="F2F2F2" w:themeFill="background1" w:themeFillShade="F2"/>
                </w:tcPr>
                <w:p w:rsidR="006E391F" w:rsidRPr="00BC1144" w:rsidRDefault="006E391F" w:rsidP="00336FA0">
                  <w:pPr>
                    <w:pStyle w:val="TableColumnHeading"/>
                  </w:pPr>
                  <w:r w:rsidRPr="00BC1144">
                    <w:t>2006 Cohort</w:t>
                  </w:r>
                </w:p>
              </w:tc>
              <w:tc>
                <w:tcPr>
                  <w:tcW w:w="651" w:type="pct"/>
                  <w:tcBorders>
                    <w:bottom w:val="single" w:sz="4" w:space="0" w:color="BFBFBF"/>
                  </w:tcBorders>
                  <w:shd w:val="clear" w:color="auto" w:fill="F2F2F2" w:themeFill="background1" w:themeFillShade="F2"/>
                </w:tcPr>
                <w:p w:rsidR="006E391F" w:rsidRPr="00BC1144" w:rsidRDefault="006E391F" w:rsidP="00336FA0">
                  <w:pPr>
                    <w:pStyle w:val="TableColumnHeading"/>
                  </w:pPr>
                  <w:r w:rsidRPr="00BC1144">
                    <w:t>2009 Cohort</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Socioeconomic status</w:t>
                  </w:r>
                  <w:r w:rsidRPr="00BC1144">
                    <w:rPr>
                      <w:rStyle w:val="NoteLabel"/>
                    </w:rPr>
                    <w:t>b</w:t>
                  </w:r>
                </w:p>
              </w:tc>
              <w:tc>
                <w:tcPr>
                  <w:tcW w:w="622" w:type="pct"/>
                  <w:vAlign w:val="bottom"/>
                </w:tcPr>
                <w:p w:rsidR="006E391F" w:rsidRPr="00BC1144" w:rsidRDefault="006E391F" w:rsidP="00336FA0">
                  <w:pPr>
                    <w:pStyle w:val="TableBodyText"/>
                  </w:pPr>
                  <w:r w:rsidRPr="00BC1144">
                    <w:t>55.4</w:t>
                  </w:r>
                </w:p>
              </w:tc>
              <w:tc>
                <w:tcPr>
                  <w:tcW w:w="652" w:type="pct"/>
                  <w:vAlign w:val="bottom"/>
                </w:tcPr>
                <w:p w:rsidR="006E391F" w:rsidRPr="00BC1144" w:rsidRDefault="006E391F" w:rsidP="00336FA0">
                  <w:pPr>
                    <w:pStyle w:val="TableBodyText"/>
                  </w:pPr>
                  <w:r w:rsidRPr="00BC1144">
                    <w:t>54.5</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53.2</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54.7</w:t>
                  </w:r>
                </w:p>
              </w:tc>
              <w:tc>
                <w:tcPr>
                  <w:tcW w:w="652" w:type="pct"/>
                  <w:shd w:val="clear" w:color="auto" w:fill="F2F2F2" w:themeFill="background1" w:themeFillShade="F2"/>
                  <w:vAlign w:val="bottom"/>
                </w:tcPr>
                <w:p w:rsidR="006E391F" w:rsidRPr="00BC1144" w:rsidRDefault="006E391F" w:rsidP="00336FA0">
                  <w:pPr>
                    <w:pStyle w:val="TableBodyText"/>
                  </w:pPr>
                  <w:r w:rsidRPr="00BC1144">
                    <w:t>54.3</w:t>
                  </w:r>
                </w:p>
              </w:tc>
              <w:tc>
                <w:tcPr>
                  <w:tcW w:w="651" w:type="pct"/>
                  <w:shd w:val="clear" w:color="auto" w:fill="F2F2F2" w:themeFill="background1" w:themeFillShade="F2"/>
                  <w:vAlign w:val="bottom"/>
                </w:tcPr>
                <w:p w:rsidR="006E391F" w:rsidRPr="00BC1144" w:rsidRDefault="006E391F" w:rsidP="00336FA0">
                  <w:pPr>
                    <w:pStyle w:val="TableBodyText"/>
                  </w:pPr>
                  <w:r w:rsidRPr="00BC1144">
                    <w:t>53.8</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PISA score</w:t>
                  </w:r>
                  <w:r w:rsidRPr="00BC1144">
                    <w:rPr>
                      <w:rStyle w:val="NoteLabel"/>
                    </w:rPr>
                    <w:t>c</w:t>
                  </w:r>
                </w:p>
              </w:tc>
              <w:tc>
                <w:tcPr>
                  <w:tcW w:w="622" w:type="pct"/>
                  <w:vAlign w:val="bottom"/>
                </w:tcPr>
                <w:p w:rsidR="006E391F" w:rsidRPr="00BC1144" w:rsidRDefault="006E391F" w:rsidP="00336FA0">
                  <w:pPr>
                    <w:pStyle w:val="TableBodyText"/>
                  </w:pPr>
                  <w:r w:rsidRPr="00BC1144">
                    <w:t>525.2</w:t>
                  </w:r>
                </w:p>
              </w:tc>
              <w:tc>
                <w:tcPr>
                  <w:tcW w:w="652" w:type="pct"/>
                  <w:vAlign w:val="bottom"/>
                </w:tcPr>
                <w:p w:rsidR="006E391F" w:rsidRPr="00BC1144" w:rsidRDefault="006E391F" w:rsidP="00336FA0">
                  <w:pPr>
                    <w:pStyle w:val="TableBodyText"/>
                  </w:pPr>
                  <w:r w:rsidRPr="00BC1144">
                    <w:t>516.4</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514.6</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534</w:t>
                  </w:r>
                </w:p>
              </w:tc>
              <w:tc>
                <w:tcPr>
                  <w:tcW w:w="652" w:type="pct"/>
                  <w:shd w:val="clear" w:color="auto" w:fill="F2F2F2" w:themeFill="background1" w:themeFillShade="F2"/>
                  <w:vAlign w:val="bottom"/>
                </w:tcPr>
                <w:p w:rsidR="006E391F" w:rsidRPr="00BC1144" w:rsidRDefault="006E391F" w:rsidP="00336FA0">
                  <w:pPr>
                    <w:pStyle w:val="TableBodyText"/>
                  </w:pPr>
                  <w:r w:rsidRPr="00BC1144">
                    <w:t>523</w:t>
                  </w:r>
                </w:p>
              </w:tc>
              <w:tc>
                <w:tcPr>
                  <w:tcW w:w="651" w:type="pct"/>
                  <w:shd w:val="clear" w:color="auto" w:fill="F2F2F2" w:themeFill="background1" w:themeFillShade="F2"/>
                  <w:vAlign w:val="bottom"/>
                </w:tcPr>
                <w:p w:rsidR="006E391F" w:rsidRPr="00BC1144" w:rsidRDefault="006E391F" w:rsidP="00336FA0">
                  <w:pPr>
                    <w:pStyle w:val="TableBodyText"/>
                  </w:pPr>
                  <w:r w:rsidRPr="00BC1144">
                    <w:t>524</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Parent attend university</w:t>
                  </w:r>
                </w:p>
              </w:tc>
              <w:tc>
                <w:tcPr>
                  <w:tcW w:w="622" w:type="pct"/>
                  <w:vAlign w:val="bottom"/>
                </w:tcPr>
                <w:p w:rsidR="006E391F" w:rsidRPr="00BC1144" w:rsidRDefault="006E391F" w:rsidP="00336FA0">
                  <w:pPr>
                    <w:pStyle w:val="TableBodyText"/>
                  </w:pPr>
                  <w:r w:rsidRPr="00BC1144">
                    <w:t>60%</w:t>
                  </w:r>
                </w:p>
              </w:tc>
              <w:tc>
                <w:tcPr>
                  <w:tcW w:w="652" w:type="pct"/>
                  <w:vAlign w:val="bottom"/>
                </w:tcPr>
                <w:p w:rsidR="006E391F" w:rsidRPr="00BC1144" w:rsidRDefault="006E391F" w:rsidP="00336FA0">
                  <w:pPr>
                    <w:pStyle w:val="TableBodyText"/>
                  </w:pPr>
                  <w:r w:rsidRPr="00BC1144">
                    <w:t>61%</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59%</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60%</w:t>
                  </w:r>
                </w:p>
              </w:tc>
              <w:tc>
                <w:tcPr>
                  <w:tcW w:w="652" w:type="pct"/>
                  <w:shd w:val="clear" w:color="auto" w:fill="F2F2F2" w:themeFill="background1" w:themeFillShade="F2"/>
                  <w:vAlign w:val="bottom"/>
                </w:tcPr>
                <w:p w:rsidR="006E391F" w:rsidRPr="00BC1144" w:rsidRDefault="006E391F" w:rsidP="00336FA0">
                  <w:pPr>
                    <w:pStyle w:val="TableBodyText"/>
                  </w:pPr>
                  <w:r w:rsidRPr="00BC1144">
                    <w:t>61%</w:t>
                  </w:r>
                </w:p>
              </w:tc>
              <w:tc>
                <w:tcPr>
                  <w:tcW w:w="651" w:type="pct"/>
                  <w:shd w:val="clear" w:color="auto" w:fill="F2F2F2" w:themeFill="background1" w:themeFillShade="F2"/>
                  <w:vAlign w:val="bottom"/>
                </w:tcPr>
                <w:p w:rsidR="006E391F" w:rsidRPr="00BC1144" w:rsidRDefault="006E391F" w:rsidP="00336FA0">
                  <w:pPr>
                    <w:pStyle w:val="TableBodyText"/>
                  </w:pPr>
                  <w:r w:rsidRPr="00BC1144">
                    <w:t>59%</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Non</w:t>
                  </w:r>
                  <w:r w:rsidRPr="00BC1144">
                    <w:noBreakHyphen/>
                    <w:t>English speaking background</w:t>
                  </w:r>
                </w:p>
              </w:tc>
              <w:tc>
                <w:tcPr>
                  <w:tcW w:w="622" w:type="pct"/>
                  <w:vAlign w:val="bottom"/>
                </w:tcPr>
                <w:p w:rsidR="006E391F" w:rsidRPr="00BC1144" w:rsidRDefault="006E391F" w:rsidP="00336FA0">
                  <w:pPr>
                    <w:pStyle w:val="TableBodyText"/>
                  </w:pPr>
                  <w:r w:rsidRPr="00BC1144">
                    <w:t>3%</w:t>
                  </w:r>
                </w:p>
              </w:tc>
              <w:tc>
                <w:tcPr>
                  <w:tcW w:w="652" w:type="pct"/>
                  <w:vAlign w:val="bottom"/>
                </w:tcPr>
                <w:p w:rsidR="006E391F" w:rsidRPr="00BC1144" w:rsidRDefault="006E391F" w:rsidP="00336FA0">
                  <w:pPr>
                    <w:pStyle w:val="TableBodyText"/>
                  </w:pPr>
                  <w:r w:rsidRPr="00BC1144">
                    <w:t>3%</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2%</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4%</w:t>
                  </w:r>
                </w:p>
              </w:tc>
              <w:tc>
                <w:tcPr>
                  <w:tcW w:w="652" w:type="pct"/>
                  <w:shd w:val="clear" w:color="auto" w:fill="F2F2F2" w:themeFill="background1" w:themeFillShade="F2"/>
                  <w:vAlign w:val="bottom"/>
                </w:tcPr>
                <w:p w:rsidR="006E391F" w:rsidRPr="00BC1144" w:rsidRDefault="006E391F" w:rsidP="00336FA0">
                  <w:pPr>
                    <w:pStyle w:val="TableBodyText"/>
                  </w:pPr>
                  <w:r w:rsidRPr="00BC1144">
                    <w:t>3%</w:t>
                  </w:r>
                </w:p>
              </w:tc>
              <w:tc>
                <w:tcPr>
                  <w:tcW w:w="651" w:type="pct"/>
                  <w:shd w:val="clear" w:color="auto" w:fill="F2F2F2" w:themeFill="background1" w:themeFillShade="F2"/>
                  <w:vAlign w:val="bottom"/>
                </w:tcPr>
                <w:p w:rsidR="006E391F" w:rsidRPr="00BC1144" w:rsidRDefault="006E391F" w:rsidP="00336FA0">
                  <w:pPr>
                    <w:pStyle w:val="TableBodyText"/>
                  </w:pPr>
                  <w:r w:rsidRPr="00BC1144">
                    <w:t>2%</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Regional or Remote</w:t>
                  </w:r>
                </w:p>
              </w:tc>
              <w:tc>
                <w:tcPr>
                  <w:tcW w:w="622" w:type="pct"/>
                  <w:vAlign w:val="bottom"/>
                </w:tcPr>
                <w:p w:rsidR="006E391F" w:rsidRPr="00BC1144" w:rsidRDefault="006E391F" w:rsidP="00336FA0">
                  <w:pPr>
                    <w:pStyle w:val="TableBodyText"/>
                  </w:pPr>
                  <w:r w:rsidRPr="00BC1144">
                    <w:t>31%</w:t>
                  </w:r>
                </w:p>
              </w:tc>
              <w:tc>
                <w:tcPr>
                  <w:tcW w:w="652" w:type="pct"/>
                  <w:vAlign w:val="bottom"/>
                </w:tcPr>
                <w:p w:rsidR="006E391F" w:rsidRPr="00BC1144" w:rsidRDefault="006E391F" w:rsidP="00336FA0">
                  <w:pPr>
                    <w:pStyle w:val="TableBodyText"/>
                  </w:pPr>
                  <w:r w:rsidRPr="00BC1144">
                    <w:t>31%</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27%</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30%</w:t>
                  </w:r>
                </w:p>
              </w:tc>
              <w:tc>
                <w:tcPr>
                  <w:tcW w:w="652" w:type="pct"/>
                  <w:shd w:val="clear" w:color="auto" w:fill="F2F2F2" w:themeFill="background1" w:themeFillShade="F2"/>
                  <w:vAlign w:val="bottom"/>
                </w:tcPr>
                <w:p w:rsidR="006E391F" w:rsidRPr="00BC1144" w:rsidRDefault="006E391F" w:rsidP="00336FA0">
                  <w:pPr>
                    <w:pStyle w:val="TableBodyText"/>
                  </w:pPr>
                  <w:r w:rsidRPr="00BC1144">
                    <w:t>32%</w:t>
                  </w:r>
                </w:p>
              </w:tc>
              <w:tc>
                <w:tcPr>
                  <w:tcW w:w="651" w:type="pct"/>
                  <w:shd w:val="clear" w:color="auto" w:fill="F2F2F2" w:themeFill="background1" w:themeFillShade="F2"/>
                  <w:vAlign w:val="bottom"/>
                </w:tcPr>
                <w:p w:rsidR="006E391F" w:rsidRPr="00BC1144" w:rsidRDefault="006E391F" w:rsidP="00336FA0">
                  <w:pPr>
                    <w:pStyle w:val="TableBodyText"/>
                  </w:pPr>
                  <w:r w:rsidRPr="00BC1144">
                    <w:t>27%</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Gender female</w:t>
                  </w:r>
                </w:p>
              </w:tc>
              <w:tc>
                <w:tcPr>
                  <w:tcW w:w="622" w:type="pct"/>
                  <w:vAlign w:val="bottom"/>
                </w:tcPr>
                <w:p w:rsidR="006E391F" w:rsidRPr="00BC1144" w:rsidRDefault="006E391F" w:rsidP="00336FA0">
                  <w:pPr>
                    <w:pStyle w:val="TableBodyText"/>
                  </w:pPr>
                  <w:r w:rsidRPr="00BC1144">
                    <w:t>49%</w:t>
                  </w:r>
                </w:p>
              </w:tc>
              <w:tc>
                <w:tcPr>
                  <w:tcW w:w="652" w:type="pct"/>
                  <w:vAlign w:val="bottom"/>
                </w:tcPr>
                <w:p w:rsidR="006E391F" w:rsidRPr="00BC1144" w:rsidRDefault="006E391F" w:rsidP="00336FA0">
                  <w:pPr>
                    <w:pStyle w:val="TableBodyText"/>
                  </w:pPr>
                  <w:r w:rsidRPr="00BC1144">
                    <w:t>49%</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51%</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51%</w:t>
                  </w:r>
                </w:p>
              </w:tc>
              <w:tc>
                <w:tcPr>
                  <w:tcW w:w="652" w:type="pct"/>
                  <w:shd w:val="clear" w:color="auto" w:fill="F2F2F2" w:themeFill="background1" w:themeFillShade="F2"/>
                  <w:vAlign w:val="bottom"/>
                </w:tcPr>
                <w:p w:rsidR="006E391F" w:rsidRPr="00BC1144" w:rsidRDefault="006E391F" w:rsidP="00336FA0">
                  <w:pPr>
                    <w:pStyle w:val="TableBodyText"/>
                  </w:pPr>
                  <w:r w:rsidRPr="00BC1144">
                    <w:t>49%</w:t>
                  </w:r>
                </w:p>
              </w:tc>
              <w:tc>
                <w:tcPr>
                  <w:tcW w:w="651" w:type="pct"/>
                  <w:shd w:val="clear" w:color="auto" w:fill="F2F2F2" w:themeFill="background1" w:themeFillShade="F2"/>
                  <w:vAlign w:val="bottom"/>
                </w:tcPr>
                <w:p w:rsidR="006E391F" w:rsidRPr="00BC1144" w:rsidRDefault="006E391F" w:rsidP="00336FA0">
                  <w:pPr>
                    <w:pStyle w:val="TableBodyText"/>
                  </w:pPr>
                  <w:r w:rsidRPr="00BC1144">
                    <w:t>51%</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Indigenous</w:t>
                  </w:r>
                </w:p>
              </w:tc>
              <w:tc>
                <w:tcPr>
                  <w:tcW w:w="622" w:type="pct"/>
                  <w:vAlign w:val="bottom"/>
                </w:tcPr>
                <w:p w:rsidR="006E391F" w:rsidRPr="00BC1144" w:rsidRDefault="006E391F" w:rsidP="00336FA0">
                  <w:pPr>
                    <w:pStyle w:val="TableBodyText"/>
                  </w:pPr>
                  <w:r w:rsidRPr="00BC1144">
                    <w:t>2%</w:t>
                  </w:r>
                </w:p>
              </w:tc>
              <w:tc>
                <w:tcPr>
                  <w:tcW w:w="652" w:type="pct"/>
                  <w:vAlign w:val="bottom"/>
                </w:tcPr>
                <w:p w:rsidR="006E391F" w:rsidRPr="00BC1144" w:rsidRDefault="006E391F" w:rsidP="00336FA0">
                  <w:pPr>
                    <w:pStyle w:val="TableBodyText"/>
                  </w:pPr>
                  <w:r w:rsidRPr="00BC1144">
                    <w:t>3%</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3%</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2%</w:t>
                  </w:r>
                </w:p>
              </w:tc>
              <w:tc>
                <w:tcPr>
                  <w:tcW w:w="652" w:type="pct"/>
                  <w:shd w:val="clear" w:color="auto" w:fill="F2F2F2" w:themeFill="background1" w:themeFillShade="F2"/>
                  <w:vAlign w:val="bottom"/>
                </w:tcPr>
                <w:p w:rsidR="006E391F" w:rsidRPr="00BC1144" w:rsidRDefault="006E391F" w:rsidP="00336FA0">
                  <w:pPr>
                    <w:pStyle w:val="TableBodyText"/>
                  </w:pPr>
                  <w:r w:rsidRPr="00BC1144">
                    <w:t>3%</w:t>
                  </w:r>
                </w:p>
              </w:tc>
              <w:tc>
                <w:tcPr>
                  <w:tcW w:w="651" w:type="pct"/>
                  <w:shd w:val="clear" w:color="auto" w:fill="F2F2F2" w:themeFill="background1" w:themeFillShade="F2"/>
                  <w:vAlign w:val="bottom"/>
                </w:tcPr>
                <w:p w:rsidR="006E391F" w:rsidRPr="00BC1144" w:rsidRDefault="006E391F" w:rsidP="00336FA0">
                  <w:pPr>
                    <w:pStyle w:val="TableBodyText"/>
                  </w:pPr>
                  <w:r w:rsidRPr="00BC1144">
                    <w:t>3%</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University &lt;20 km</w:t>
                  </w:r>
                </w:p>
              </w:tc>
              <w:tc>
                <w:tcPr>
                  <w:tcW w:w="622" w:type="pct"/>
                  <w:vAlign w:val="bottom"/>
                </w:tcPr>
                <w:p w:rsidR="006E391F" w:rsidRPr="00BC1144" w:rsidRDefault="006E391F" w:rsidP="00336FA0">
                  <w:pPr>
                    <w:pStyle w:val="TableBodyText"/>
                  </w:pPr>
                  <w:r w:rsidRPr="00BC1144">
                    <w:t>60%</w:t>
                  </w:r>
                </w:p>
              </w:tc>
              <w:tc>
                <w:tcPr>
                  <w:tcW w:w="652" w:type="pct"/>
                  <w:vAlign w:val="bottom"/>
                </w:tcPr>
                <w:p w:rsidR="006E391F" w:rsidRPr="00BC1144" w:rsidRDefault="006E391F" w:rsidP="00336FA0">
                  <w:pPr>
                    <w:pStyle w:val="TableBodyText"/>
                  </w:pPr>
                  <w:r w:rsidRPr="00BC1144">
                    <w:t>60%</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61%</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61%</w:t>
                  </w:r>
                </w:p>
              </w:tc>
              <w:tc>
                <w:tcPr>
                  <w:tcW w:w="652" w:type="pct"/>
                  <w:shd w:val="clear" w:color="auto" w:fill="F2F2F2" w:themeFill="background1" w:themeFillShade="F2"/>
                  <w:vAlign w:val="bottom"/>
                </w:tcPr>
                <w:p w:rsidR="006E391F" w:rsidRPr="00BC1144" w:rsidRDefault="006E391F" w:rsidP="00336FA0">
                  <w:pPr>
                    <w:pStyle w:val="TableBodyText"/>
                  </w:pPr>
                  <w:r w:rsidRPr="00BC1144">
                    <w:t>60%</w:t>
                  </w:r>
                </w:p>
              </w:tc>
              <w:tc>
                <w:tcPr>
                  <w:tcW w:w="651" w:type="pct"/>
                  <w:shd w:val="clear" w:color="auto" w:fill="F2F2F2" w:themeFill="background1" w:themeFillShade="F2"/>
                  <w:vAlign w:val="bottom"/>
                </w:tcPr>
                <w:p w:rsidR="006E391F" w:rsidRPr="00BC1144" w:rsidRDefault="006E391F" w:rsidP="00336FA0">
                  <w:pPr>
                    <w:pStyle w:val="TableBodyText"/>
                  </w:pPr>
                  <w:r w:rsidRPr="00BC1144">
                    <w:t>59%</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University 20</w:t>
                  </w:r>
                  <w:r w:rsidRPr="00BC1144">
                    <w:noBreakHyphen/>
                    <w:t>200 km</w:t>
                  </w:r>
                </w:p>
              </w:tc>
              <w:tc>
                <w:tcPr>
                  <w:tcW w:w="622" w:type="pct"/>
                  <w:vAlign w:val="bottom"/>
                </w:tcPr>
                <w:p w:rsidR="006E391F" w:rsidRPr="00BC1144" w:rsidRDefault="006E391F" w:rsidP="00336FA0">
                  <w:pPr>
                    <w:pStyle w:val="TableBodyText"/>
                  </w:pPr>
                  <w:r w:rsidRPr="00BC1144">
                    <w:t>34%</w:t>
                  </w:r>
                </w:p>
              </w:tc>
              <w:tc>
                <w:tcPr>
                  <w:tcW w:w="652" w:type="pct"/>
                  <w:vAlign w:val="bottom"/>
                </w:tcPr>
                <w:p w:rsidR="006E391F" w:rsidRPr="00BC1144" w:rsidRDefault="006E391F" w:rsidP="00336FA0">
                  <w:pPr>
                    <w:pStyle w:val="TableBodyText"/>
                  </w:pPr>
                  <w:r w:rsidRPr="00BC1144">
                    <w:t>34%</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32%</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33%</w:t>
                  </w:r>
                </w:p>
              </w:tc>
              <w:tc>
                <w:tcPr>
                  <w:tcW w:w="652" w:type="pct"/>
                  <w:shd w:val="clear" w:color="auto" w:fill="F2F2F2" w:themeFill="background1" w:themeFillShade="F2"/>
                  <w:vAlign w:val="bottom"/>
                </w:tcPr>
                <w:p w:rsidR="006E391F" w:rsidRPr="00BC1144" w:rsidRDefault="006E391F" w:rsidP="00336FA0">
                  <w:pPr>
                    <w:pStyle w:val="TableBodyText"/>
                  </w:pPr>
                  <w:r w:rsidRPr="00BC1144">
                    <w:t>34%</w:t>
                  </w:r>
                </w:p>
              </w:tc>
              <w:tc>
                <w:tcPr>
                  <w:tcW w:w="651" w:type="pct"/>
                  <w:shd w:val="clear" w:color="auto" w:fill="F2F2F2" w:themeFill="background1" w:themeFillShade="F2"/>
                  <w:vAlign w:val="bottom"/>
                </w:tcPr>
                <w:p w:rsidR="006E391F" w:rsidRPr="00BC1144" w:rsidRDefault="006E391F" w:rsidP="00336FA0">
                  <w:pPr>
                    <w:pStyle w:val="TableBodyText"/>
                  </w:pPr>
                  <w:r w:rsidRPr="00BC1144">
                    <w:t>35%</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University &gt;200 km</w:t>
                  </w:r>
                </w:p>
              </w:tc>
              <w:tc>
                <w:tcPr>
                  <w:tcW w:w="622" w:type="pct"/>
                  <w:vAlign w:val="bottom"/>
                </w:tcPr>
                <w:p w:rsidR="006E391F" w:rsidRPr="00BC1144" w:rsidRDefault="006E391F" w:rsidP="00336FA0">
                  <w:pPr>
                    <w:pStyle w:val="TableBodyText"/>
                  </w:pPr>
                  <w:r w:rsidRPr="00BC1144">
                    <w:t>6%</w:t>
                  </w:r>
                </w:p>
              </w:tc>
              <w:tc>
                <w:tcPr>
                  <w:tcW w:w="652" w:type="pct"/>
                  <w:vAlign w:val="bottom"/>
                </w:tcPr>
                <w:p w:rsidR="006E391F" w:rsidRPr="00BC1144" w:rsidRDefault="006E391F" w:rsidP="00336FA0">
                  <w:pPr>
                    <w:pStyle w:val="TableBodyText"/>
                  </w:pPr>
                  <w:r w:rsidRPr="00BC1144">
                    <w:t>7%</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6%</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6%</w:t>
                  </w:r>
                </w:p>
              </w:tc>
              <w:tc>
                <w:tcPr>
                  <w:tcW w:w="652" w:type="pct"/>
                  <w:shd w:val="clear" w:color="auto" w:fill="F2F2F2" w:themeFill="background1" w:themeFillShade="F2"/>
                  <w:vAlign w:val="bottom"/>
                </w:tcPr>
                <w:p w:rsidR="006E391F" w:rsidRPr="00BC1144" w:rsidRDefault="006E391F" w:rsidP="00336FA0">
                  <w:pPr>
                    <w:pStyle w:val="TableBodyText"/>
                  </w:pPr>
                  <w:r w:rsidRPr="00BC1144">
                    <w:t>6%</w:t>
                  </w:r>
                </w:p>
              </w:tc>
              <w:tc>
                <w:tcPr>
                  <w:tcW w:w="651" w:type="pct"/>
                  <w:shd w:val="clear" w:color="auto" w:fill="F2F2F2" w:themeFill="background1" w:themeFillShade="F2"/>
                  <w:vAlign w:val="bottom"/>
                </w:tcPr>
                <w:p w:rsidR="006E391F" w:rsidRPr="00BC1144" w:rsidRDefault="006E391F" w:rsidP="00336FA0">
                  <w:pPr>
                    <w:pStyle w:val="TableBodyText"/>
                  </w:pPr>
                  <w:r w:rsidRPr="00BC1144">
                    <w:t>6%</w:t>
                  </w:r>
                </w:p>
              </w:tc>
            </w:tr>
            <w:tr w:rsidR="006E391F" w:rsidRPr="00BC1144" w:rsidTr="00336FA0">
              <w:tc>
                <w:tcPr>
                  <w:tcW w:w="1117" w:type="pct"/>
                  <w:tcBorders>
                    <w:left w:val="single" w:sz="48" w:space="0" w:color="FFFFFF" w:themeColor="background1"/>
                  </w:tcBorders>
                  <w:vAlign w:val="bottom"/>
                </w:tcPr>
                <w:p w:rsidR="006E391F" w:rsidRPr="00BC1144" w:rsidRDefault="006E391F" w:rsidP="00336FA0">
                  <w:pPr>
                    <w:pStyle w:val="TableUnitsRow"/>
                    <w:jc w:val="left"/>
                  </w:pPr>
                  <w:r w:rsidRPr="00BC1144">
                    <w:t>Independent school</w:t>
                  </w:r>
                </w:p>
              </w:tc>
              <w:tc>
                <w:tcPr>
                  <w:tcW w:w="622" w:type="pct"/>
                  <w:vAlign w:val="bottom"/>
                </w:tcPr>
                <w:p w:rsidR="006E391F" w:rsidRPr="00BC1144" w:rsidRDefault="006E391F" w:rsidP="00336FA0">
                  <w:pPr>
                    <w:pStyle w:val="TableBodyText"/>
                  </w:pPr>
                  <w:r w:rsidRPr="00BC1144">
                    <w:t>17%</w:t>
                  </w:r>
                </w:p>
              </w:tc>
              <w:tc>
                <w:tcPr>
                  <w:tcW w:w="652" w:type="pct"/>
                  <w:vAlign w:val="bottom"/>
                </w:tcPr>
                <w:p w:rsidR="006E391F" w:rsidRPr="00BC1144" w:rsidRDefault="006E391F" w:rsidP="00336FA0">
                  <w:pPr>
                    <w:pStyle w:val="TableBodyText"/>
                  </w:pPr>
                  <w:r w:rsidRPr="00BC1144">
                    <w:t>16%</w:t>
                  </w:r>
                </w:p>
              </w:tc>
              <w:tc>
                <w:tcPr>
                  <w:tcW w:w="654" w:type="pct"/>
                  <w:tcBorders>
                    <w:right w:val="single" w:sz="48" w:space="0" w:color="FFFFFF" w:themeColor="background1"/>
                  </w:tcBorders>
                  <w:vAlign w:val="bottom"/>
                </w:tcPr>
                <w:p w:rsidR="006E391F" w:rsidRPr="00BC1144" w:rsidRDefault="006E391F" w:rsidP="00336FA0">
                  <w:pPr>
                    <w:pStyle w:val="TableBodyText"/>
                  </w:pPr>
                  <w:r w:rsidRPr="00BC1144">
                    <w:t>18%</w:t>
                  </w:r>
                </w:p>
              </w:tc>
              <w:tc>
                <w:tcPr>
                  <w:tcW w:w="652" w:type="pct"/>
                  <w:tcBorders>
                    <w:left w:val="single" w:sz="48" w:space="0" w:color="FFFFFF" w:themeColor="background1"/>
                  </w:tcBorders>
                  <w:shd w:val="clear" w:color="auto" w:fill="F2F2F2" w:themeFill="background1" w:themeFillShade="F2"/>
                  <w:vAlign w:val="bottom"/>
                </w:tcPr>
                <w:p w:rsidR="006E391F" w:rsidRPr="00BC1144" w:rsidRDefault="006E391F" w:rsidP="00336FA0">
                  <w:pPr>
                    <w:pStyle w:val="TableBodyText"/>
                  </w:pPr>
                  <w:r w:rsidRPr="00BC1144">
                    <w:t>17%</w:t>
                  </w:r>
                </w:p>
              </w:tc>
              <w:tc>
                <w:tcPr>
                  <w:tcW w:w="652" w:type="pct"/>
                  <w:shd w:val="clear" w:color="auto" w:fill="F2F2F2" w:themeFill="background1" w:themeFillShade="F2"/>
                  <w:vAlign w:val="bottom"/>
                </w:tcPr>
                <w:p w:rsidR="006E391F" w:rsidRPr="00BC1144" w:rsidRDefault="006E391F" w:rsidP="00336FA0">
                  <w:pPr>
                    <w:pStyle w:val="TableBodyText"/>
                  </w:pPr>
                  <w:r w:rsidRPr="00BC1144">
                    <w:t>16%</w:t>
                  </w:r>
                </w:p>
              </w:tc>
              <w:tc>
                <w:tcPr>
                  <w:tcW w:w="651" w:type="pct"/>
                  <w:shd w:val="clear" w:color="auto" w:fill="F2F2F2" w:themeFill="background1" w:themeFillShade="F2"/>
                  <w:vAlign w:val="bottom"/>
                </w:tcPr>
                <w:p w:rsidR="006E391F" w:rsidRPr="00BC1144" w:rsidRDefault="006E391F" w:rsidP="00336FA0">
                  <w:pPr>
                    <w:pStyle w:val="TableBodyText"/>
                  </w:pPr>
                  <w:r w:rsidRPr="00BC1144">
                    <w:t>20%</w:t>
                  </w:r>
                </w:p>
              </w:tc>
            </w:tr>
            <w:tr w:rsidR="006E391F" w:rsidRPr="00BC1144" w:rsidTr="00336FA0">
              <w:tc>
                <w:tcPr>
                  <w:tcW w:w="1117" w:type="pct"/>
                  <w:tcBorders>
                    <w:left w:val="single" w:sz="48" w:space="0" w:color="FFFFFF" w:themeColor="background1"/>
                    <w:bottom w:val="single" w:sz="6" w:space="0" w:color="BFBFBF"/>
                  </w:tcBorders>
                  <w:shd w:val="clear" w:color="auto" w:fill="auto"/>
                  <w:vAlign w:val="bottom"/>
                </w:tcPr>
                <w:p w:rsidR="006E391F" w:rsidRPr="00BC1144" w:rsidRDefault="006E391F" w:rsidP="00336FA0">
                  <w:pPr>
                    <w:pStyle w:val="TableBodyText"/>
                    <w:jc w:val="left"/>
                  </w:pPr>
                  <w:r w:rsidRPr="00BC1144">
                    <w:t>Catholic school</w:t>
                  </w:r>
                </w:p>
              </w:tc>
              <w:tc>
                <w:tcPr>
                  <w:tcW w:w="622" w:type="pct"/>
                  <w:tcBorders>
                    <w:bottom w:val="single" w:sz="6" w:space="0" w:color="BFBFBF"/>
                  </w:tcBorders>
                  <w:vAlign w:val="bottom"/>
                </w:tcPr>
                <w:p w:rsidR="006E391F" w:rsidRPr="00BC1144" w:rsidRDefault="006E391F" w:rsidP="00336FA0">
                  <w:pPr>
                    <w:pStyle w:val="TableBodyText"/>
                  </w:pPr>
                  <w:r w:rsidRPr="00BC1144">
                    <w:t>21%</w:t>
                  </w:r>
                </w:p>
              </w:tc>
              <w:tc>
                <w:tcPr>
                  <w:tcW w:w="652" w:type="pct"/>
                  <w:tcBorders>
                    <w:bottom w:val="single" w:sz="6" w:space="0" w:color="BFBFBF"/>
                  </w:tcBorders>
                  <w:vAlign w:val="bottom"/>
                </w:tcPr>
                <w:p w:rsidR="006E391F" w:rsidRPr="00BC1144" w:rsidRDefault="006E391F" w:rsidP="00336FA0">
                  <w:pPr>
                    <w:pStyle w:val="TableBodyText"/>
                  </w:pPr>
                  <w:r w:rsidRPr="00BC1144">
                    <w:t>22%</w:t>
                  </w:r>
                </w:p>
              </w:tc>
              <w:tc>
                <w:tcPr>
                  <w:tcW w:w="654" w:type="pct"/>
                  <w:tcBorders>
                    <w:bottom w:val="single" w:sz="6" w:space="0" w:color="BFBFBF"/>
                    <w:right w:val="single" w:sz="48" w:space="0" w:color="FFFFFF" w:themeColor="background1"/>
                  </w:tcBorders>
                  <w:vAlign w:val="bottom"/>
                </w:tcPr>
                <w:p w:rsidR="006E391F" w:rsidRPr="00BC1144" w:rsidRDefault="006E391F" w:rsidP="00336FA0">
                  <w:pPr>
                    <w:pStyle w:val="TableBodyText"/>
                  </w:pPr>
                  <w:r w:rsidRPr="00BC1144">
                    <w:t>22%</w:t>
                  </w:r>
                </w:p>
              </w:tc>
              <w:tc>
                <w:tcPr>
                  <w:tcW w:w="652" w:type="pct"/>
                  <w:tcBorders>
                    <w:left w:val="single" w:sz="48" w:space="0" w:color="FFFFFF" w:themeColor="background1"/>
                    <w:bottom w:val="single" w:sz="6" w:space="0" w:color="BFBFBF"/>
                  </w:tcBorders>
                  <w:shd w:val="clear" w:color="auto" w:fill="F2F2F2" w:themeFill="background1" w:themeFillShade="F2"/>
                  <w:vAlign w:val="bottom"/>
                </w:tcPr>
                <w:p w:rsidR="006E391F" w:rsidRPr="00BC1144" w:rsidRDefault="006E391F" w:rsidP="00336FA0">
                  <w:pPr>
                    <w:pStyle w:val="TableBodyText"/>
                  </w:pPr>
                  <w:r w:rsidRPr="00BC1144">
                    <w:t>22%</w:t>
                  </w:r>
                </w:p>
              </w:tc>
              <w:tc>
                <w:tcPr>
                  <w:tcW w:w="652" w:type="pct"/>
                  <w:tcBorders>
                    <w:bottom w:val="single" w:sz="6" w:space="0" w:color="BFBFBF"/>
                  </w:tcBorders>
                  <w:shd w:val="clear" w:color="auto" w:fill="F2F2F2" w:themeFill="background1" w:themeFillShade="F2"/>
                  <w:vAlign w:val="bottom"/>
                </w:tcPr>
                <w:p w:rsidR="006E391F" w:rsidRPr="00BC1144" w:rsidRDefault="006E391F" w:rsidP="00336FA0">
                  <w:pPr>
                    <w:pStyle w:val="TableBodyText"/>
                  </w:pPr>
                  <w:r w:rsidRPr="00BC1144">
                    <w:t>23%</w:t>
                  </w:r>
                </w:p>
              </w:tc>
              <w:tc>
                <w:tcPr>
                  <w:tcW w:w="651" w:type="pct"/>
                  <w:tcBorders>
                    <w:bottom w:val="single" w:sz="6" w:space="0" w:color="BFBFBF"/>
                  </w:tcBorders>
                  <w:shd w:val="clear" w:color="auto" w:fill="F2F2F2" w:themeFill="background1" w:themeFillShade="F2"/>
                  <w:vAlign w:val="bottom"/>
                </w:tcPr>
                <w:p w:rsidR="006E391F" w:rsidRPr="00BC1144" w:rsidRDefault="006E391F" w:rsidP="00336FA0">
                  <w:pPr>
                    <w:pStyle w:val="TableBodyText"/>
                    <w:ind w:right="28"/>
                  </w:pPr>
                  <w:r w:rsidRPr="00BC1144">
                    <w:t>23%</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5B1B34">
            <w:pPr>
              <w:pStyle w:val="Note"/>
              <w:rPr>
                <w:i/>
              </w:rPr>
            </w:pPr>
            <w:r w:rsidRPr="00BC1144">
              <w:rPr>
                <w:rStyle w:val="NoteLabel"/>
              </w:rPr>
              <w:t>a</w:t>
            </w:r>
            <w:r w:rsidRPr="00BC1144">
              <w:t xml:space="preserve"> The sample at age 15 years contains all people included in the LSAY surveys (LSAY provided sampling weights have been applied). The sample at age 22 is restricted to people included in the predictive modelling used to identify additional student (our new set of weights have been applied across all cohorts. </w:t>
            </w:r>
            <w:r w:rsidRPr="00BC1144">
              <w:rPr>
                <w:rStyle w:val="NoteLabel"/>
              </w:rPr>
              <w:t xml:space="preserve">b </w:t>
            </w:r>
            <w:r w:rsidRPr="00BC1144">
              <w:t xml:space="preserve">Highest ranking parental occupation, using International Socioeconomic Index (ISEI) of occupational status. The index ranges from 16 (agricultural assistants, cleaning staff) to 90 (judge). </w:t>
            </w:r>
            <w:r w:rsidR="005B1B34" w:rsidRPr="00BC1144">
              <w:rPr>
                <w:rStyle w:val="NoteLabel"/>
              </w:rPr>
              <w:t>c </w:t>
            </w:r>
            <w:r w:rsidRPr="00BC1144">
              <w:t>Average for mathematics and reading.</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spacing w:before="0"/>
            </w:pPr>
            <w:r w:rsidRPr="00BC1144">
              <w:rPr>
                <w:i/>
              </w:rPr>
              <w:t>Source</w:t>
            </w:r>
            <w:r w:rsidRPr="00BC1144">
              <w:t>: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bl>
    <w:p w:rsidR="006E391F" w:rsidRPr="00BC1144" w:rsidRDefault="006E391F" w:rsidP="00336FA0">
      <w:pPr>
        <w:pStyle w:val="Heading2"/>
        <w:sectPr w:rsidR="006E391F" w:rsidRPr="00BC1144" w:rsidSect="003852BF">
          <w:headerReference w:type="even" r:id="rId126"/>
          <w:headerReference w:type="default" r:id="rId127"/>
          <w:footerReference w:type="even" r:id="rId128"/>
          <w:footerReference w:type="default" r:id="rId129"/>
          <w:pgSz w:w="16840" w:h="11906" w:orient="landscape" w:code="9"/>
          <w:pgMar w:top="1814" w:right="1984" w:bottom="1304" w:left="1247" w:header="1701" w:footer="397" w:gutter="0"/>
          <w:pgNumType w:chapSep="period"/>
          <w:cols w:space="720"/>
          <w:docGrid w:linePitch="326"/>
        </w:sectPr>
      </w:pPr>
    </w:p>
    <w:p w:rsidR="006E391F" w:rsidRPr="00BC1144" w:rsidRDefault="006E391F" w:rsidP="00336FA0">
      <w:pPr>
        <w:pStyle w:val="Heading2"/>
        <w:spacing w:before="120"/>
      </w:pPr>
      <w:bookmarkStart w:id="63" w:name="_Toc10805468"/>
      <w:r w:rsidRPr="00BC1144">
        <w:lastRenderedPageBreak/>
        <w:t>B.</w:t>
      </w:r>
      <w:r w:rsidRPr="00BC1144">
        <w:rPr>
          <w:noProof/>
        </w:rPr>
        <w:t>2</w:t>
      </w:r>
      <w:r w:rsidRPr="00BC1144">
        <w:tab/>
        <w:t>Sample attrition in the LSAY</w:t>
      </w:r>
      <w:bookmarkEnd w:id="63"/>
    </w:p>
    <w:p w:rsidR="006E391F" w:rsidRPr="00BC1144" w:rsidRDefault="006E391F" w:rsidP="00336FA0">
      <w:pPr>
        <w:pStyle w:val="BodyText"/>
        <w:spacing w:before="200"/>
        <w:rPr>
          <w:spacing w:val="-4"/>
        </w:rPr>
      </w:pPr>
      <w:r w:rsidRPr="00BC1144">
        <w:rPr>
          <w:spacing w:val="-4"/>
        </w:rPr>
        <w:t xml:space="preserve">The greatest challenge in using LSAY data is addressing sample attrition. Attrition occurs when respondents did not complete follow up surveys, or cannot be contacted. It is a feature of all longitudinal surveys, but is more substantial for the LSAY and other surveys involving young people </w:t>
      </w:r>
      <w:r w:rsidR="0092626E" w:rsidRPr="00BC1144">
        <w:rPr>
          <w:spacing w:val="-4"/>
          <w:szCs w:val="24"/>
        </w:rPr>
        <w:t>(Watson and Wooden 2009)</w:t>
      </w:r>
      <w:r w:rsidRPr="00BC1144">
        <w:rPr>
          <w:spacing w:val="-4"/>
        </w:rPr>
        <w:t>. Item non</w:t>
      </w:r>
      <w:r w:rsidRPr="00BC1144">
        <w:rPr>
          <w:spacing w:val="-4"/>
        </w:rPr>
        <w:noBreakHyphen/>
        <w:t>response may also occur, as with all surveys.</w:t>
      </w:r>
    </w:p>
    <w:p w:rsidR="006E391F" w:rsidRPr="00BC1144" w:rsidRDefault="006E391F" w:rsidP="00336FA0">
      <w:pPr>
        <w:pStyle w:val="BodyText"/>
        <w:spacing w:before="200"/>
      </w:pPr>
      <w:r w:rsidRPr="00BC1144">
        <w:t>In the LSAY, substantial attrition occurs between the initial wave and the first follow up survey and cumulates over time. By the final wave of the survey, at age 25 years, around 25 to 30 per cent of the original sample remains (figure B.2). The 2003 survey design was different from other years because the PISA tests of school achievement were administered separately from the LSAY questionnaire, with some additional sample loss between these events. Attrition rates are generally higher for men, people from low SES backgrounds, those from regional or remote areas and, particularly, Indigenous students.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2</w:t>
            </w:r>
            <w:r w:rsidRPr="00BC1144">
              <w:tab/>
              <w:t>Sample attrition by equity group</w:t>
            </w:r>
          </w:p>
          <w:p w:rsidR="006E391F" w:rsidRPr="00BC1144" w:rsidRDefault="006E391F" w:rsidP="00336FA0">
            <w:pPr>
              <w:pStyle w:val="Subtitle"/>
            </w:pPr>
            <w:r w:rsidRPr="00BC1144">
              <w:t xml:space="preserve">Share of initial sample remaining </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0" w:after="0"/>
                    <w:rPr>
                      <w:rFonts w:ascii="Arial" w:hAnsi="Arial" w:cs="Arial"/>
                      <w:sz w:val="18"/>
                      <w:szCs w:val="18"/>
                    </w:rPr>
                  </w:pPr>
                  <w:r w:rsidRPr="00BC1144">
                    <w:rPr>
                      <w:rFonts w:ascii="Arial" w:hAnsi="Arial" w:cs="Arial"/>
                      <w:noProof/>
                      <w:sz w:val="18"/>
                      <w:szCs w:val="18"/>
                    </w:rPr>
                    <w:drawing>
                      <wp:inline distT="0" distB="0" distL="0" distR="0" wp14:anchorId="2E5D8CB8" wp14:editId="74659B67">
                        <wp:extent cx="5295900" cy="4239688"/>
                        <wp:effectExtent l="0" t="0" r="0" b="0"/>
                        <wp:docPr id="59" name="Picture 59" descr="Figure B.2 shows the per cent of the survey sample remaining across all 10 LSAY survey waves, by equity group, for the 2003 2006 and 2009 LSAY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B_2.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5301924" cy="4244510"/>
                                </a:xfrm>
                                <a:prstGeom prst="rect">
                                  <a:avLst/>
                                </a:prstGeom>
                              </pic:spPr>
                            </pic:pic>
                          </a:graphicData>
                        </a:graphic>
                      </wp:inline>
                    </w:drawing>
                  </w:r>
                </w:p>
              </w:tc>
            </w:tr>
          </w:tbl>
          <w:p w:rsidR="006E391F" w:rsidRPr="00BC1144" w:rsidRDefault="006E391F" w:rsidP="00336FA0">
            <w:pPr>
              <w:pStyle w:val="Figure"/>
              <w:spacing w:before="0" w:after="0"/>
            </w:pPr>
          </w:p>
        </w:tc>
      </w:tr>
      <w:tr w:rsidR="006E391F" w:rsidRPr="00BC1144" w:rsidTr="00336FA0">
        <w:trPr>
          <w:trHeight w:val="283"/>
        </w:trPr>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spacing w:before="200"/>
      </w:pPr>
      <w:r w:rsidRPr="00BC1144">
        <w:lastRenderedPageBreak/>
        <w:t>The gradual loss of sample leads to less precise estimates of parameters and, to the extent that the sample become unrepresentative of the Australian population, may bias estimates of group means relevant to this study (such as university participation rates and drop</w:t>
      </w:r>
      <w:r w:rsidRPr="00BC1144">
        <w:noBreakHyphen/>
        <w:t>out rates).</w:t>
      </w:r>
    </w:p>
    <w:p w:rsidR="006E391F" w:rsidRPr="00BC1144" w:rsidRDefault="006E391F" w:rsidP="00336FA0">
      <w:pPr>
        <w:pStyle w:val="BodyText"/>
        <w:spacing w:before="200"/>
      </w:pPr>
      <w:r w:rsidRPr="00BC1144">
        <w:t xml:space="preserve">This paper addresses potential attrition bias using an approach similar to that recommended by NCVER </w:t>
      </w:r>
      <w:r w:rsidR="0092626E" w:rsidRPr="00BC1144">
        <w:rPr>
          <w:szCs w:val="24"/>
        </w:rPr>
        <w:t>(Lim 2011)</w:t>
      </w:r>
      <w:r w:rsidRPr="00BC1144">
        <w:t>. Inverse probability weights are constructed from a logit regression of attrition on a range of demographic characteristics (table B.3). The weights used in this paper differ in two ways from those provided by NCVER. First, we use a consistent set of weighting variables across all three cohorts. Second, weights are calculated separately every time a statistic is generated to correct for effective loss of sample due to item non</w:t>
      </w:r>
      <w:r w:rsidRPr="00BC1144">
        <w:noBreakHyphen/>
        <w:t>response.</w:t>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3</w:t>
            </w:r>
            <w:r w:rsidRPr="00BC1144">
              <w:tab/>
              <w:t>Weighting variables</w:t>
            </w:r>
            <w:r w:rsidRPr="00BC1144">
              <w:rPr>
                <w:rStyle w:val="NoteLabel"/>
                <w:b/>
              </w:rPr>
              <w:t>a</w:t>
            </w:r>
          </w:p>
        </w:tc>
      </w:tr>
      <w:tr w:rsidR="006E391F" w:rsidRPr="00BC1144" w:rsidTr="00336FA0">
        <w:tc>
          <w:tcPr>
            <w:tcW w:w="5000" w:type="pct"/>
            <w:tcBorders>
              <w:top w:val="nil"/>
              <w:left w:val="nil"/>
              <w:bottom w:val="nil"/>
              <w:right w:val="nil"/>
            </w:tcBorders>
            <w:shd w:val="clear" w:color="auto" w:fill="auto"/>
          </w:tcPr>
          <w:tbl>
            <w:tblPr>
              <w:tblW w:w="4932" w:type="pct"/>
              <w:tblCellMar>
                <w:top w:w="28" w:type="dxa"/>
                <w:left w:w="0" w:type="dxa"/>
                <w:right w:w="0" w:type="dxa"/>
              </w:tblCellMar>
              <w:tblLook w:val="0000" w:firstRow="0" w:lastRow="0" w:firstColumn="0" w:lastColumn="0" w:noHBand="0" w:noVBand="0"/>
            </w:tblPr>
            <w:tblGrid>
              <w:gridCol w:w="3993"/>
              <w:gridCol w:w="4396"/>
            </w:tblGrid>
            <w:tr w:rsidR="006E391F" w:rsidRPr="00BC1144" w:rsidTr="00336FA0">
              <w:trPr>
                <w:tblHeader/>
              </w:trPr>
              <w:tc>
                <w:tcPr>
                  <w:tcW w:w="238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Variable</w:t>
                  </w:r>
                </w:p>
              </w:tc>
              <w:tc>
                <w:tcPr>
                  <w:tcW w:w="262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jc w:val="left"/>
                  </w:pPr>
                  <w:r w:rsidRPr="00BC1144">
                    <w:t>Description</w:t>
                  </w:r>
                </w:p>
              </w:tc>
            </w:tr>
            <w:tr w:rsidR="006E391F" w:rsidRPr="00BC1144" w:rsidTr="00336FA0">
              <w:tc>
                <w:tcPr>
                  <w:tcW w:w="2380"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State</w:t>
                  </w:r>
                </w:p>
              </w:tc>
              <w:tc>
                <w:tcPr>
                  <w:tcW w:w="2620" w:type="pct"/>
                  <w:tcBorders>
                    <w:top w:val="single" w:sz="6" w:space="0" w:color="BFBFBF"/>
                  </w:tcBorders>
                  <w:shd w:val="clear" w:color="auto" w:fill="F2F2F2" w:themeFill="background1" w:themeFillShade="F2"/>
                </w:tcPr>
                <w:p w:rsidR="006E391F" w:rsidRPr="00BC1144" w:rsidRDefault="006E391F" w:rsidP="00336FA0">
                  <w:pPr>
                    <w:pStyle w:val="TableUnitsRow"/>
                    <w:ind w:right="28"/>
                    <w:jc w:val="left"/>
                  </w:pPr>
                  <w:r w:rsidRPr="00BC1144">
                    <w:t>State of school attending</w:t>
                  </w:r>
                </w:p>
              </w:tc>
            </w:tr>
            <w:tr w:rsidR="006E391F" w:rsidRPr="00BC1144" w:rsidTr="00336FA0">
              <w:tc>
                <w:tcPr>
                  <w:tcW w:w="2380" w:type="pct"/>
                </w:tcPr>
                <w:p w:rsidR="006E391F" w:rsidRPr="00BC1144" w:rsidRDefault="006E391F" w:rsidP="00336FA0">
                  <w:pPr>
                    <w:pStyle w:val="TableBodyText"/>
                    <w:jc w:val="left"/>
                  </w:pPr>
                  <w:r w:rsidRPr="00BC1144">
                    <w:t>School sector</w:t>
                  </w:r>
                </w:p>
              </w:tc>
              <w:tc>
                <w:tcPr>
                  <w:tcW w:w="2620" w:type="pct"/>
                </w:tcPr>
                <w:p w:rsidR="006E391F" w:rsidRPr="00BC1144" w:rsidRDefault="006E391F" w:rsidP="00336FA0">
                  <w:pPr>
                    <w:pStyle w:val="TableBodyText"/>
                    <w:ind w:right="28"/>
                    <w:jc w:val="left"/>
                  </w:pPr>
                  <w:r w:rsidRPr="00BC1144">
                    <w:t>Sector of school</w:t>
                  </w:r>
                </w:p>
              </w:tc>
            </w:tr>
            <w:tr w:rsidR="006E391F" w:rsidRPr="00BC1144" w:rsidTr="00336FA0">
              <w:tc>
                <w:tcPr>
                  <w:tcW w:w="2380" w:type="pct"/>
                  <w:shd w:val="clear" w:color="auto" w:fill="F2F2F2" w:themeFill="background1" w:themeFillShade="F2"/>
                </w:tcPr>
                <w:p w:rsidR="006E391F" w:rsidRPr="00BC1144" w:rsidRDefault="006E391F" w:rsidP="00336FA0">
                  <w:pPr>
                    <w:pStyle w:val="TableBodyText"/>
                    <w:jc w:val="left"/>
                  </w:pPr>
                  <w:r w:rsidRPr="00BC1144">
                    <w:t>School ID</w:t>
                  </w:r>
                </w:p>
              </w:tc>
              <w:tc>
                <w:tcPr>
                  <w:tcW w:w="2620" w:type="pct"/>
                  <w:shd w:val="clear" w:color="auto" w:fill="F2F2F2" w:themeFill="background1" w:themeFillShade="F2"/>
                </w:tcPr>
                <w:p w:rsidR="006E391F" w:rsidRPr="00BC1144" w:rsidRDefault="006E391F" w:rsidP="00336FA0">
                  <w:pPr>
                    <w:pStyle w:val="TableBodyText"/>
                    <w:ind w:right="28"/>
                    <w:jc w:val="left"/>
                  </w:pPr>
                  <w:r w:rsidRPr="00BC1144">
                    <w:t xml:space="preserve">Dummy variable for each unique school </w:t>
                  </w:r>
                </w:p>
              </w:tc>
            </w:tr>
            <w:tr w:rsidR="006E391F" w:rsidRPr="00BC1144" w:rsidTr="00336FA0">
              <w:tc>
                <w:tcPr>
                  <w:tcW w:w="2380" w:type="pct"/>
                  <w:shd w:val="clear" w:color="auto" w:fill="auto"/>
                </w:tcPr>
                <w:p w:rsidR="006E391F" w:rsidRPr="00BC1144" w:rsidRDefault="006E391F" w:rsidP="00336FA0">
                  <w:pPr>
                    <w:pStyle w:val="TableBodyText"/>
                    <w:jc w:val="left"/>
                  </w:pPr>
                  <w:r w:rsidRPr="00BC1144">
                    <w:t>Gender</w:t>
                  </w:r>
                </w:p>
              </w:tc>
              <w:tc>
                <w:tcPr>
                  <w:tcW w:w="2620" w:type="pct"/>
                  <w:shd w:val="clear" w:color="auto" w:fill="auto"/>
                </w:tcPr>
                <w:p w:rsidR="006E391F" w:rsidRPr="00BC1144" w:rsidRDefault="006E391F" w:rsidP="00336FA0">
                  <w:pPr>
                    <w:pStyle w:val="TableBodyText"/>
                    <w:ind w:right="28"/>
                    <w:jc w:val="left"/>
                  </w:pPr>
                  <w:r w:rsidRPr="00BC1144">
                    <w:t>Female or male</w:t>
                  </w:r>
                </w:p>
              </w:tc>
            </w:tr>
            <w:tr w:rsidR="006E391F" w:rsidRPr="00BC1144" w:rsidTr="00336FA0">
              <w:tc>
                <w:tcPr>
                  <w:tcW w:w="2380" w:type="pct"/>
                  <w:shd w:val="clear" w:color="auto" w:fill="F2F2F2" w:themeFill="background1" w:themeFillShade="F2"/>
                </w:tcPr>
                <w:p w:rsidR="006E391F" w:rsidRPr="00BC1144" w:rsidRDefault="006E391F" w:rsidP="00336FA0">
                  <w:pPr>
                    <w:pStyle w:val="TableBodyText"/>
                    <w:jc w:val="left"/>
                  </w:pPr>
                  <w:r w:rsidRPr="00BC1144">
                    <w:t>Grade</w:t>
                  </w:r>
                </w:p>
              </w:tc>
              <w:tc>
                <w:tcPr>
                  <w:tcW w:w="2620" w:type="pct"/>
                  <w:shd w:val="clear" w:color="auto" w:fill="F2F2F2" w:themeFill="background1" w:themeFillShade="F2"/>
                </w:tcPr>
                <w:p w:rsidR="006E391F" w:rsidRPr="00BC1144" w:rsidRDefault="006E391F" w:rsidP="00336FA0">
                  <w:pPr>
                    <w:pStyle w:val="TableBodyText"/>
                    <w:ind w:right="28"/>
                    <w:jc w:val="left"/>
                  </w:pPr>
                  <w:r w:rsidRPr="00BC1144">
                    <w:t>Student year level, relative to modal school year</w:t>
                  </w:r>
                </w:p>
              </w:tc>
            </w:tr>
            <w:tr w:rsidR="006E391F" w:rsidRPr="00BC1144" w:rsidTr="00336FA0">
              <w:tc>
                <w:tcPr>
                  <w:tcW w:w="2380" w:type="pct"/>
                  <w:shd w:val="clear" w:color="auto" w:fill="auto"/>
                </w:tcPr>
                <w:p w:rsidR="006E391F" w:rsidRPr="00BC1144" w:rsidRDefault="006E391F" w:rsidP="00336FA0">
                  <w:pPr>
                    <w:pStyle w:val="TableBodyText"/>
                    <w:jc w:val="left"/>
                  </w:pPr>
                  <w:r w:rsidRPr="00BC1144">
                    <w:t xml:space="preserve">Indigenous </w:t>
                  </w:r>
                  <w:r w:rsidRPr="00BC1144">
                    <w:rPr>
                      <w:vertAlign w:val="superscript"/>
                    </w:rPr>
                    <w:t>b</w:t>
                  </w:r>
                </w:p>
              </w:tc>
              <w:tc>
                <w:tcPr>
                  <w:tcW w:w="2620" w:type="pct"/>
                  <w:shd w:val="clear" w:color="auto" w:fill="auto"/>
                </w:tcPr>
                <w:p w:rsidR="006E391F" w:rsidRPr="00BC1144" w:rsidRDefault="006E391F" w:rsidP="00336FA0">
                  <w:pPr>
                    <w:pStyle w:val="TableBodyText"/>
                    <w:ind w:right="28"/>
                    <w:jc w:val="left"/>
                  </w:pPr>
                  <w:r w:rsidRPr="00BC1144">
                    <w:t>Indigenous status</w:t>
                  </w:r>
                </w:p>
              </w:tc>
            </w:tr>
            <w:tr w:rsidR="006E391F" w:rsidRPr="00BC1144" w:rsidTr="00336FA0">
              <w:tc>
                <w:tcPr>
                  <w:tcW w:w="2380" w:type="pct"/>
                  <w:shd w:val="clear" w:color="auto" w:fill="F2F2F2" w:themeFill="background1" w:themeFillShade="F2"/>
                </w:tcPr>
                <w:p w:rsidR="006E391F" w:rsidRPr="00BC1144" w:rsidRDefault="006E391F" w:rsidP="00336FA0">
                  <w:pPr>
                    <w:pStyle w:val="TableBodyText"/>
                    <w:jc w:val="left"/>
                  </w:pPr>
                  <w:r w:rsidRPr="00BC1144">
                    <w:t>Parents education</w:t>
                  </w:r>
                </w:p>
              </w:tc>
              <w:tc>
                <w:tcPr>
                  <w:tcW w:w="2620" w:type="pct"/>
                  <w:shd w:val="clear" w:color="auto" w:fill="F2F2F2" w:themeFill="background1" w:themeFillShade="F2"/>
                </w:tcPr>
                <w:p w:rsidR="006E391F" w:rsidRPr="00BC1144" w:rsidRDefault="006E391F" w:rsidP="00336FA0">
                  <w:pPr>
                    <w:pStyle w:val="TableBodyText"/>
                    <w:ind w:right="28"/>
                    <w:jc w:val="left"/>
                  </w:pPr>
                  <w:r w:rsidRPr="00BC1144">
                    <w:t>Highest educational level of parents</w:t>
                  </w:r>
                </w:p>
              </w:tc>
            </w:tr>
            <w:tr w:rsidR="006E391F" w:rsidRPr="00BC1144" w:rsidTr="00336FA0">
              <w:tc>
                <w:tcPr>
                  <w:tcW w:w="2380" w:type="pct"/>
                  <w:shd w:val="clear" w:color="auto" w:fill="auto"/>
                </w:tcPr>
                <w:p w:rsidR="006E391F" w:rsidRPr="00BC1144" w:rsidRDefault="006E391F" w:rsidP="00336FA0">
                  <w:pPr>
                    <w:pStyle w:val="TableBodyText"/>
                    <w:jc w:val="left"/>
                  </w:pPr>
                  <w:r w:rsidRPr="00BC1144">
                    <w:t>Parents occupation</w:t>
                  </w:r>
                </w:p>
              </w:tc>
              <w:tc>
                <w:tcPr>
                  <w:tcW w:w="2620" w:type="pct"/>
                  <w:shd w:val="clear" w:color="auto" w:fill="auto"/>
                </w:tcPr>
                <w:p w:rsidR="006E391F" w:rsidRPr="00BC1144" w:rsidRDefault="006E391F" w:rsidP="00336FA0">
                  <w:pPr>
                    <w:pStyle w:val="TableBodyText"/>
                    <w:ind w:right="28"/>
                    <w:jc w:val="left"/>
                  </w:pPr>
                  <w:r w:rsidRPr="00BC1144">
                    <w:t>Occupational status of parents</w:t>
                  </w:r>
                </w:p>
              </w:tc>
            </w:tr>
            <w:tr w:rsidR="006E391F" w:rsidRPr="00BC1144" w:rsidTr="00336FA0">
              <w:tc>
                <w:tcPr>
                  <w:tcW w:w="2380" w:type="pct"/>
                  <w:shd w:val="clear" w:color="auto" w:fill="F2F2F2" w:themeFill="background1" w:themeFillShade="F2"/>
                </w:tcPr>
                <w:p w:rsidR="006E391F" w:rsidRPr="00BC1144" w:rsidRDefault="006E391F" w:rsidP="00336FA0">
                  <w:pPr>
                    <w:pStyle w:val="TableBodyText"/>
                    <w:jc w:val="left"/>
                  </w:pPr>
                  <w:r w:rsidRPr="00BC1144">
                    <w:t>Immigration status</w:t>
                  </w:r>
                </w:p>
              </w:tc>
              <w:tc>
                <w:tcPr>
                  <w:tcW w:w="2620" w:type="pct"/>
                  <w:shd w:val="clear" w:color="auto" w:fill="F2F2F2" w:themeFill="background1" w:themeFillShade="F2"/>
                </w:tcPr>
                <w:p w:rsidR="006E391F" w:rsidRPr="00BC1144" w:rsidRDefault="006E391F" w:rsidP="00336FA0">
                  <w:pPr>
                    <w:pStyle w:val="TableBodyText"/>
                    <w:ind w:right="28"/>
                    <w:jc w:val="left"/>
                  </w:pPr>
                  <w:r w:rsidRPr="00BC1144">
                    <w:t>Immigration status</w:t>
                  </w:r>
                </w:p>
              </w:tc>
            </w:tr>
            <w:tr w:rsidR="006E391F" w:rsidRPr="00BC1144" w:rsidTr="00336FA0">
              <w:tc>
                <w:tcPr>
                  <w:tcW w:w="2380" w:type="pct"/>
                  <w:shd w:val="clear" w:color="auto" w:fill="auto"/>
                </w:tcPr>
                <w:p w:rsidR="006E391F" w:rsidRPr="00BC1144" w:rsidRDefault="006E391F" w:rsidP="00336FA0">
                  <w:pPr>
                    <w:pStyle w:val="TableBodyText"/>
                    <w:jc w:val="left"/>
                  </w:pPr>
                  <w:r w:rsidRPr="00BC1144">
                    <w:t>Geographic location</w:t>
                  </w:r>
                </w:p>
              </w:tc>
              <w:tc>
                <w:tcPr>
                  <w:tcW w:w="2620" w:type="pct"/>
                  <w:shd w:val="clear" w:color="auto" w:fill="auto"/>
                </w:tcPr>
                <w:p w:rsidR="006E391F" w:rsidRPr="00BC1144" w:rsidRDefault="006E391F" w:rsidP="00336FA0">
                  <w:pPr>
                    <w:pStyle w:val="TableBodyText"/>
                    <w:ind w:right="28"/>
                    <w:jc w:val="left"/>
                  </w:pPr>
                  <w:r w:rsidRPr="00BC1144">
                    <w:t>Geographic location based on home address</w:t>
                  </w:r>
                </w:p>
              </w:tc>
            </w:tr>
            <w:tr w:rsidR="006E391F" w:rsidRPr="00BC1144" w:rsidTr="00336FA0">
              <w:trPr>
                <w:trHeight w:val="204"/>
              </w:trPr>
              <w:tc>
                <w:tcPr>
                  <w:tcW w:w="2380" w:type="pct"/>
                  <w:shd w:val="clear" w:color="auto" w:fill="F2F2F2" w:themeFill="background1" w:themeFillShade="F2"/>
                </w:tcPr>
                <w:p w:rsidR="006E391F" w:rsidRPr="00BC1144" w:rsidRDefault="006E391F" w:rsidP="00336FA0">
                  <w:pPr>
                    <w:pStyle w:val="TableBodyText"/>
                    <w:jc w:val="left"/>
                  </w:pPr>
                  <w:r w:rsidRPr="00BC1144">
                    <w:t>School achievement in maths</w:t>
                  </w:r>
                </w:p>
              </w:tc>
              <w:tc>
                <w:tcPr>
                  <w:tcW w:w="2620" w:type="pct"/>
                  <w:shd w:val="clear" w:color="auto" w:fill="F2F2F2" w:themeFill="background1" w:themeFillShade="F2"/>
                </w:tcPr>
                <w:p w:rsidR="006E391F" w:rsidRPr="00BC1144" w:rsidRDefault="006E391F" w:rsidP="00336FA0">
                  <w:pPr>
                    <w:pStyle w:val="TableBodyText"/>
                    <w:jc w:val="left"/>
                  </w:pPr>
                  <w:r w:rsidRPr="00BC1144">
                    <w:t>Mathematics achievement quartile (age 15)</w:t>
                  </w:r>
                </w:p>
              </w:tc>
            </w:tr>
            <w:tr w:rsidR="006E391F" w:rsidRPr="00BC1144" w:rsidTr="00336FA0">
              <w:trPr>
                <w:trHeight w:val="112"/>
              </w:trPr>
              <w:tc>
                <w:tcPr>
                  <w:tcW w:w="2380" w:type="pct"/>
                  <w:shd w:val="clear" w:color="auto" w:fill="auto"/>
                </w:tcPr>
                <w:p w:rsidR="006E391F" w:rsidRPr="00BC1144" w:rsidRDefault="006E391F" w:rsidP="00336FA0">
                  <w:pPr>
                    <w:pStyle w:val="TableBodyText"/>
                    <w:jc w:val="left"/>
                  </w:pPr>
                  <w:r w:rsidRPr="00BC1144">
                    <w:t>School achievement in science</w:t>
                  </w:r>
                </w:p>
              </w:tc>
              <w:tc>
                <w:tcPr>
                  <w:tcW w:w="2620" w:type="pct"/>
                  <w:shd w:val="clear" w:color="auto" w:fill="auto"/>
                </w:tcPr>
                <w:p w:rsidR="006E391F" w:rsidRPr="00BC1144" w:rsidRDefault="006E391F" w:rsidP="00336FA0">
                  <w:pPr>
                    <w:pStyle w:val="TableBodyText"/>
                    <w:jc w:val="left"/>
                  </w:pPr>
                  <w:r w:rsidRPr="00BC1144">
                    <w:t>Science achievement quartile (age 15)</w:t>
                  </w:r>
                </w:p>
              </w:tc>
            </w:tr>
            <w:tr w:rsidR="006E391F" w:rsidRPr="00BC1144" w:rsidTr="00336FA0">
              <w:tc>
                <w:tcPr>
                  <w:tcW w:w="2380" w:type="pct"/>
                  <w:tcBorders>
                    <w:bottom w:val="single" w:sz="6" w:space="0" w:color="BFBFBF"/>
                  </w:tcBorders>
                  <w:shd w:val="clear" w:color="auto" w:fill="F2F2F2" w:themeFill="background1" w:themeFillShade="F2"/>
                </w:tcPr>
                <w:p w:rsidR="006E391F" w:rsidRPr="00BC1144" w:rsidRDefault="006E391F" w:rsidP="00336FA0">
                  <w:pPr>
                    <w:pStyle w:val="TableBodyText"/>
                    <w:jc w:val="left"/>
                  </w:pPr>
                  <w:r w:rsidRPr="00BC1144">
                    <w:t>School achievement in reading</w:t>
                  </w:r>
                </w:p>
              </w:tc>
              <w:tc>
                <w:tcPr>
                  <w:tcW w:w="2620" w:type="pct"/>
                  <w:tcBorders>
                    <w:bottom w:val="single" w:sz="6" w:space="0" w:color="BFBFBF"/>
                  </w:tcBorders>
                  <w:shd w:val="clear" w:color="auto" w:fill="F2F2F2" w:themeFill="background1" w:themeFillShade="F2"/>
                </w:tcPr>
                <w:p w:rsidR="006E391F" w:rsidRPr="00BC1144" w:rsidRDefault="006E391F" w:rsidP="00336FA0">
                  <w:pPr>
                    <w:pStyle w:val="TableBodyText"/>
                    <w:jc w:val="left"/>
                  </w:pPr>
                  <w:r w:rsidRPr="00BC1144">
                    <w:t>Reading achievement quartile (age 15)</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School achievement used in the 1995 and 1998 cohorts was not based on PISA. </w:t>
            </w:r>
            <w:r w:rsidRPr="00BC1144">
              <w:rPr>
                <w:rStyle w:val="NoteLabel"/>
              </w:rPr>
              <w:t>b</w:t>
            </w:r>
            <w:r w:rsidRPr="00BC1144">
              <w:t xml:space="preserve"> Indigenous status in the 2003 cohort was only asked of LSAY participants (and not recorded for the full set of students in the PISA sample which LSAY was pulled from). As such the Indigenous sample in the 2003 cohort may not be representative of the Australian population.</w:t>
            </w:r>
          </w:p>
        </w:tc>
      </w:tr>
      <w:tr w:rsidR="006E391F" w:rsidRPr="00BC1144" w:rsidTr="00E349EB">
        <w:trPr>
          <w:trHeight w:val="283"/>
        </w:trPr>
        <w:tc>
          <w:tcPr>
            <w:tcW w:w="5000" w:type="pct"/>
            <w:tcBorders>
              <w:top w:val="nil"/>
              <w:left w:val="nil"/>
              <w:bottom w:val="nil"/>
              <w:right w:val="nil"/>
            </w:tcBorders>
            <w:shd w:val="clear" w:color="auto" w:fill="auto"/>
          </w:tcPr>
          <w:p w:rsidR="006E391F" w:rsidRPr="00BC1144" w:rsidRDefault="006E391F" w:rsidP="00336FA0">
            <w:pPr>
              <w:pStyle w:val="Source"/>
            </w:pPr>
            <w:r w:rsidRPr="00BC1144">
              <w:t>Source: NCVER.</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dyText"/>
        <w:spacing w:before="200"/>
        <w:rPr>
          <w:lang w:eastAsia="en-US"/>
        </w:rPr>
      </w:pPr>
      <w:r w:rsidRPr="00BC1144">
        <w:rPr>
          <w:lang w:eastAsia="en-US"/>
        </w:rPr>
        <w:t>To illustrate the impact, and importance, of applying weights when using LSAY, figure B.3, shows the proportion of students employed in managerial or professional occupations (measured at age 25 years) across four distinct equity groups. Unweighted point estimates are presented alongside means using NCVER provided weights, and our set of newly constructed weights.</w:t>
      </w:r>
    </w:p>
    <w:p w:rsidR="006E391F" w:rsidRPr="00BC1144" w:rsidRDefault="006E391F" w:rsidP="00336FA0">
      <w:pPr>
        <w:pStyle w:val="ListBullet"/>
        <w:spacing w:before="100"/>
      </w:pPr>
      <w:r w:rsidRPr="00BC1144">
        <w:t>The proportion of graduates employed in managerial or professional occupations is artificially high when no weights are applied.</w:t>
      </w:r>
    </w:p>
    <w:p w:rsidR="006E391F" w:rsidRPr="00BC1144" w:rsidRDefault="006E391F" w:rsidP="00336FA0">
      <w:pPr>
        <w:pStyle w:val="ListBullet"/>
        <w:spacing w:before="100"/>
      </w:pPr>
      <w:r w:rsidRPr="00BC1144">
        <w:t xml:space="preserve">When NCVER weights are applied, the average falls relative to the unweighted means. </w:t>
      </w:r>
    </w:p>
    <w:p w:rsidR="006E391F" w:rsidRPr="00BC1144" w:rsidRDefault="006E391F" w:rsidP="00336FA0">
      <w:pPr>
        <w:pStyle w:val="ListBullet"/>
        <w:spacing w:before="100"/>
      </w:pPr>
      <w:r w:rsidRPr="00BC1144">
        <w:t>When the Commission weights are applied the average falls even further. This suggests, that of the sample that remains (after accounting for attrition) those who actually</w:t>
      </w:r>
      <w:r w:rsidRPr="00BC1144">
        <w:rPr>
          <w:i/>
        </w:rPr>
        <w:t xml:space="preserve"> report </w:t>
      </w:r>
      <w:r w:rsidRPr="00BC1144">
        <w:lastRenderedPageBreak/>
        <w:t>their occupation are over</w:t>
      </w:r>
      <w:r w:rsidRPr="00BC1144">
        <w:noBreakHyphen/>
        <w:t xml:space="preserve">represented by individuals with characteristics associated with a higher likelihood of employment in a managerial or professional occupation. </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3</w:t>
            </w:r>
            <w:r w:rsidRPr="00BC1144">
              <w:tab/>
              <w:t>Example: the impact of weights</w:t>
            </w:r>
          </w:p>
          <w:p w:rsidR="006E391F" w:rsidRPr="00BC1144" w:rsidRDefault="006E391F" w:rsidP="00336FA0">
            <w:pPr>
              <w:pStyle w:val="Subtitle"/>
            </w:pPr>
            <w:r w:rsidRPr="00BC1144">
              <w:t>Share of group in managerial or professional work, age 25 years (2006 cohort)</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3B854E58" wp14:editId="2651A5D5">
                        <wp:extent cx="5402580" cy="2880360"/>
                        <wp:effectExtent l="0" t="0" r="7620" b="0"/>
                        <wp:docPr id="60" name="Picture 60" descr="Figure B.3 shows managerial or professional work at age 25 years, by equity group, calculated without weights, using LSAY provided weights and the new weights constructed and implemented in this research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spacing w:after="120"/>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64" w:name="_Toc10805469"/>
      <w:r w:rsidRPr="00BC1144">
        <w:t>B.</w:t>
      </w:r>
      <w:r w:rsidRPr="00BC1144">
        <w:rPr>
          <w:noProof/>
        </w:rPr>
        <w:t>3</w:t>
      </w:r>
      <w:r w:rsidRPr="00BC1144">
        <w:tab/>
        <w:t>Regression modelling and variables</w:t>
      </w:r>
      <w:bookmarkEnd w:id="64"/>
    </w:p>
    <w:p w:rsidR="006E391F" w:rsidRPr="00BC1144" w:rsidRDefault="006E391F" w:rsidP="00336FA0">
      <w:pPr>
        <w:pStyle w:val="BodyText"/>
        <w:spacing w:before="200"/>
      </w:pPr>
      <w:r w:rsidRPr="00BC1144">
        <w:t>Probit regressions are estimated separately for each cohort using two model specifications. In the first model, the goal is to describe the patterns of university attendance based on individual, family, school and regional characteristics. This model excludes the ATAR variable to allow a reduced</w:t>
      </w:r>
      <w:r w:rsidRPr="00BC1144">
        <w:noBreakHyphen/>
        <w:t>form interpretation of the parameters of interest (such as the effect of literacy and numeracy at age 15 on university attendance). In the second model, the goal is to predict accurately who would or would not attend university. In this model, the ATAR variable is included to improve prediction performance. Estimated distance between a student’s home address in the last year of school and the nearest university campus is also added in place of a ‘regional or remote location’ indicator, as this improves goodness of fit in some cohorts.</w:t>
      </w:r>
    </w:p>
    <w:p w:rsidR="006E391F" w:rsidRPr="00BC1144" w:rsidRDefault="006E391F" w:rsidP="00336FA0">
      <w:pPr>
        <w:pStyle w:val="Heading3"/>
        <w:keepLines/>
      </w:pPr>
      <w:bookmarkStart w:id="65" w:name="_Toc10805470"/>
      <w:r w:rsidRPr="00BC1144">
        <w:lastRenderedPageBreak/>
        <w:t>Variable selection</w:t>
      </w:r>
      <w:bookmarkEnd w:id="65"/>
    </w:p>
    <w:p w:rsidR="006E391F" w:rsidRPr="00BC1144" w:rsidRDefault="006E391F" w:rsidP="00336FA0">
      <w:pPr>
        <w:pStyle w:val="BodyText"/>
        <w:keepNext/>
        <w:keepLines/>
        <w:spacing w:before="200"/>
      </w:pPr>
      <w:r w:rsidRPr="00BC1144">
        <w:t>The study makes comparisons across LSAY cohorts. For this reason, a consistent set of explanatory variables is used in each regression to the extent possible (table B.4). One exception is that the measure of school achievement in the 1995 and 1998 cohorts is different from that used in the 2003, 2006 and 2009 cohorts, which limits comparability of later results with those from the earlier cohorts.</w:t>
      </w:r>
    </w:p>
    <w:p w:rsidR="006E391F" w:rsidRPr="00BC1144" w:rsidRDefault="006E391F" w:rsidP="00336FA0">
      <w:pPr>
        <w:pStyle w:val="BodyText"/>
        <w:keepNext/>
        <w:keepLines/>
      </w:pPr>
      <w:r w:rsidRPr="00BC1144">
        <w:rPr>
          <w:lang w:eastAsia="en-US"/>
        </w:rPr>
        <w:t xml:space="preserve">Aspiration </w:t>
      </w:r>
      <w:r w:rsidRPr="00BC1144">
        <w:t xml:space="preserve">at age 15 years to attend university </w:t>
      </w:r>
      <w:r w:rsidRPr="00BC1144">
        <w:rPr>
          <w:lang w:eastAsia="en-US"/>
        </w:rPr>
        <w:t xml:space="preserve">is not included as an explanatory variable in this study for two reasons, despite previous </w:t>
      </w:r>
      <w:r w:rsidRPr="00BC1144">
        <w:t xml:space="preserve">studies linking aspiration to observed university attendance at older ages </w:t>
      </w:r>
      <w:r w:rsidR="0092626E" w:rsidRPr="00BC1144">
        <w:rPr>
          <w:szCs w:val="24"/>
        </w:rPr>
        <w:t>(Homel and Ryan 2014; Johnston et al. 2014)</w:t>
      </w:r>
      <w:r w:rsidRPr="00BC1144">
        <w:rPr>
          <w:lang w:eastAsia="en-US"/>
        </w:rPr>
        <w:t xml:space="preserve">. First, the LSAY does not contain a </w:t>
      </w:r>
      <w:r w:rsidRPr="00BC1144">
        <w:t xml:space="preserve">consistent measure of aspiration across the 2003, 2006 and 2009 cohorts (table B.5). Second, aspiration may be endogenous with attendance: the intent to take an act presumably is affected by similar unobserved factors as the act itself, such as perceived opportunity to attend, for example </w:t>
      </w:r>
      <w:r w:rsidR="0092626E" w:rsidRPr="00BC1144">
        <w:rPr>
          <w:szCs w:val="24"/>
        </w:rPr>
        <w:t>(Homel and Ryan 2014)</w:t>
      </w:r>
      <w:r w:rsidRPr="00BC1144">
        <w:t xml:space="preserve">. As such, including aspiration may bias the estimates of additional students. Were aspiration included as a regressor, the increase in aspiration following the introduction of the demand driven system would appear to explain part of the increase in student numbers when in fact it is a result of an endogenous change in students perceived opportunities and other factors. </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B343A4">
            <w:pPr>
              <w:pStyle w:val="TableTitle"/>
            </w:pPr>
            <w:r w:rsidRPr="00BC1144">
              <w:rPr>
                <w:b w:val="0"/>
              </w:rPr>
              <w:lastRenderedPageBreak/>
              <w:t>Table B.</w:t>
            </w:r>
            <w:r w:rsidRPr="00BC1144">
              <w:rPr>
                <w:b w:val="0"/>
                <w:noProof/>
              </w:rPr>
              <w:t>4</w:t>
            </w:r>
            <w:r w:rsidRPr="00BC1144">
              <w:tab/>
              <w:t>Regression variables</w:t>
            </w:r>
          </w:p>
        </w:tc>
      </w:tr>
      <w:tr w:rsidR="006E391F" w:rsidRPr="00BC1144" w:rsidTr="00336FA0">
        <w:tc>
          <w:tcPr>
            <w:tcW w:w="5000" w:type="pct"/>
            <w:tcBorders>
              <w:top w:val="nil"/>
              <w:left w:val="nil"/>
              <w:bottom w:val="nil"/>
              <w:right w:val="nil"/>
            </w:tcBorders>
            <w:shd w:val="clear" w:color="auto" w:fill="auto"/>
          </w:tcPr>
          <w:tbl>
            <w:tblPr>
              <w:tblW w:w="8524" w:type="dxa"/>
              <w:tblCellMar>
                <w:top w:w="28" w:type="dxa"/>
                <w:left w:w="0" w:type="dxa"/>
                <w:right w:w="0" w:type="dxa"/>
              </w:tblCellMar>
              <w:tblLook w:val="0000" w:firstRow="0" w:lastRow="0" w:firstColumn="0" w:lastColumn="0" w:noHBand="0" w:noVBand="0"/>
            </w:tblPr>
            <w:tblGrid>
              <w:gridCol w:w="1850"/>
              <w:gridCol w:w="822"/>
              <w:gridCol w:w="1037"/>
              <w:gridCol w:w="568"/>
              <w:gridCol w:w="4247"/>
            </w:tblGrid>
            <w:tr w:rsidR="006E391F" w:rsidRPr="00BC1144" w:rsidTr="00336FA0">
              <w:trPr>
                <w:tblHeader/>
              </w:trPr>
              <w:tc>
                <w:tcPr>
                  <w:tcW w:w="108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Variable</w:t>
                  </w:r>
                </w:p>
              </w:tc>
              <w:tc>
                <w:tcPr>
                  <w:tcW w:w="482" w:type="pct"/>
                  <w:tcBorders>
                    <w:top w:val="single" w:sz="6" w:space="0" w:color="BFBFBF"/>
                    <w:bottom w:val="single" w:sz="6" w:space="0" w:color="BFBFBF"/>
                  </w:tcBorders>
                </w:tcPr>
                <w:p w:rsidR="006E391F" w:rsidRPr="00BC1144" w:rsidRDefault="006E391F" w:rsidP="00336FA0">
                  <w:pPr>
                    <w:pStyle w:val="TableColumnHeading"/>
                    <w:spacing w:before="20"/>
                  </w:pPr>
                  <w:r w:rsidRPr="00BC1144">
                    <w:t>Model</w:t>
                  </w:r>
                  <w:r w:rsidRPr="00BC1144">
                    <w:rPr>
                      <w:rStyle w:val="NoteLabel"/>
                    </w:rPr>
                    <w:t>a</w:t>
                  </w:r>
                </w:p>
              </w:tc>
              <w:tc>
                <w:tcPr>
                  <w:tcW w:w="608"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Data type</w:t>
                  </w:r>
                </w:p>
              </w:tc>
              <w:tc>
                <w:tcPr>
                  <w:tcW w:w="333" w:type="pct"/>
                  <w:tcBorders>
                    <w:top w:val="single" w:sz="6" w:space="0" w:color="BFBFBF"/>
                    <w:bottom w:val="single" w:sz="6" w:space="0" w:color="BFBFBF"/>
                  </w:tcBorders>
                </w:tcPr>
                <w:p w:rsidR="006E391F" w:rsidRPr="00BC1144" w:rsidRDefault="006E391F" w:rsidP="00336FA0">
                  <w:pPr>
                    <w:pStyle w:val="TableColumnHeading"/>
                    <w:ind w:right="28"/>
                  </w:pPr>
                  <w:r w:rsidRPr="00BC1144">
                    <w:t xml:space="preserve">Wave </w:t>
                  </w:r>
                </w:p>
              </w:tc>
              <w:tc>
                <w:tcPr>
                  <w:tcW w:w="2491"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left="113" w:right="28"/>
                    <w:jc w:val="left"/>
                  </w:pPr>
                  <w:r w:rsidRPr="00BC1144">
                    <w:t>Description</w:t>
                  </w:r>
                </w:p>
              </w:tc>
            </w:tr>
            <w:tr w:rsidR="006E391F" w:rsidRPr="00BC1144" w:rsidTr="00336FA0">
              <w:tc>
                <w:tcPr>
                  <w:tcW w:w="1086"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University attendance by age 22 years</w:t>
                  </w:r>
                </w:p>
              </w:tc>
              <w:tc>
                <w:tcPr>
                  <w:tcW w:w="482" w:type="pct"/>
                  <w:tcBorders>
                    <w:top w:val="single" w:sz="6" w:space="0" w:color="BFBFBF"/>
                  </w:tcBorders>
                  <w:shd w:val="clear" w:color="auto" w:fill="F2F2F2" w:themeFill="background1" w:themeFillShade="F2"/>
                </w:tcPr>
                <w:p w:rsidR="006E391F" w:rsidRPr="00BC1144" w:rsidRDefault="006E391F" w:rsidP="00336FA0">
                  <w:pPr>
                    <w:pStyle w:val="TableUnitsRow"/>
                  </w:pPr>
                  <w:r w:rsidRPr="00BC1144">
                    <w:t>1 &amp; 2</w:t>
                  </w:r>
                </w:p>
              </w:tc>
              <w:tc>
                <w:tcPr>
                  <w:tcW w:w="608" w:type="pct"/>
                  <w:tcBorders>
                    <w:top w:val="single" w:sz="6" w:space="0" w:color="BFBFBF"/>
                  </w:tcBorders>
                  <w:shd w:val="clear" w:color="auto" w:fill="F2F2F2" w:themeFill="background1" w:themeFillShade="F2"/>
                </w:tcPr>
                <w:p w:rsidR="006E391F" w:rsidRPr="00BC1144" w:rsidRDefault="006E391F" w:rsidP="00336FA0">
                  <w:pPr>
                    <w:pStyle w:val="TableUnitsRow"/>
                  </w:pPr>
                  <w:r w:rsidRPr="00BC1144">
                    <w:t>Binary</w:t>
                  </w:r>
                </w:p>
              </w:tc>
              <w:tc>
                <w:tcPr>
                  <w:tcW w:w="333" w:type="pct"/>
                  <w:tcBorders>
                    <w:top w:val="single" w:sz="6" w:space="0" w:color="BFBFBF"/>
                  </w:tcBorders>
                  <w:shd w:val="clear" w:color="auto" w:fill="F2F2F2" w:themeFill="background1" w:themeFillShade="F2"/>
                </w:tcPr>
                <w:p w:rsidR="006E391F" w:rsidRPr="00BC1144" w:rsidRDefault="006E391F" w:rsidP="00336FA0">
                  <w:pPr>
                    <w:pStyle w:val="TableUnitsRow"/>
                    <w:ind w:right="28"/>
                  </w:pPr>
                </w:p>
                <w:p w:rsidR="006E391F" w:rsidRPr="00BC1144" w:rsidRDefault="006E391F" w:rsidP="00336FA0">
                  <w:pPr>
                    <w:pStyle w:val="TableUnitsRow"/>
                    <w:ind w:right="28"/>
                  </w:pPr>
                  <w:r w:rsidRPr="00BC1144">
                    <w:t>1</w:t>
                  </w:r>
                  <w:r w:rsidRPr="00BC1144">
                    <w:noBreakHyphen/>
                    <w:t xml:space="preserve">8 </w:t>
                  </w:r>
                </w:p>
              </w:tc>
              <w:tc>
                <w:tcPr>
                  <w:tcW w:w="2491" w:type="pct"/>
                  <w:tcBorders>
                    <w:top w:val="single" w:sz="6" w:space="0" w:color="BFBFBF"/>
                  </w:tcBorders>
                  <w:shd w:val="clear" w:color="auto" w:fill="F2F2F2" w:themeFill="background1" w:themeFillShade="F2"/>
                </w:tcPr>
                <w:p w:rsidR="006E391F" w:rsidRPr="00BC1144" w:rsidRDefault="006E391F" w:rsidP="00336FA0">
                  <w:pPr>
                    <w:pStyle w:val="TableUnitsRow"/>
                    <w:ind w:left="113" w:right="28"/>
                    <w:jc w:val="left"/>
                  </w:pPr>
                  <w:r w:rsidRPr="00BC1144">
                    <w:t xml:space="preserve">Whether or not they ever responded that they were studying a bachelor degree </w:t>
                  </w:r>
                </w:p>
              </w:tc>
            </w:tr>
            <w:tr w:rsidR="006E391F" w:rsidRPr="00BC1144" w:rsidTr="00336FA0">
              <w:tc>
                <w:tcPr>
                  <w:tcW w:w="1086" w:type="pct"/>
                </w:tcPr>
                <w:p w:rsidR="006E391F" w:rsidRPr="00BC1144" w:rsidRDefault="006E391F" w:rsidP="00336FA0">
                  <w:pPr>
                    <w:pStyle w:val="TableBodyText"/>
                    <w:jc w:val="left"/>
                  </w:pPr>
                  <w:r w:rsidRPr="00BC1144">
                    <w:t>University attendance by age 19 years</w:t>
                  </w:r>
                </w:p>
              </w:tc>
              <w:tc>
                <w:tcPr>
                  <w:tcW w:w="482" w:type="pct"/>
                </w:tcPr>
                <w:p w:rsidR="006E391F" w:rsidRPr="00BC1144" w:rsidRDefault="006E391F" w:rsidP="00336FA0">
                  <w:pPr>
                    <w:pStyle w:val="TableBodyText"/>
                  </w:pPr>
                  <w:r w:rsidRPr="00BC1144">
                    <w:t>1 &amp; 2</w:t>
                  </w:r>
                </w:p>
              </w:tc>
              <w:tc>
                <w:tcPr>
                  <w:tcW w:w="608" w:type="pct"/>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1</w:t>
                  </w:r>
                  <w:r w:rsidRPr="00BC1144">
                    <w:noBreakHyphen/>
                    <w:t>5</w:t>
                  </w:r>
                </w:p>
              </w:tc>
              <w:tc>
                <w:tcPr>
                  <w:tcW w:w="2491" w:type="pct"/>
                </w:tcPr>
                <w:p w:rsidR="006E391F" w:rsidRPr="00BC1144" w:rsidRDefault="006E391F" w:rsidP="00336FA0">
                  <w:pPr>
                    <w:pStyle w:val="TableBodyText"/>
                    <w:ind w:left="113" w:right="28"/>
                    <w:jc w:val="left"/>
                  </w:pPr>
                  <w:r w:rsidRPr="00BC1144">
                    <w:t xml:space="preserve">Whether or not they ever responded that they were studying a bachelor degree </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University attendance by age 22 : Group of Eight universities</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Binary</w:t>
                  </w:r>
                </w:p>
              </w:tc>
              <w:tc>
                <w:tcPr>
                  <w:tcW w:w="333" w:type="pct"/>
                  <w:shd w:val="clear" w:color="auto" w:fill="F2F2F2" w:themeFill="background1" w:themeFillShade="F2"/>
                </w:tcPr>
                <w:p w:rsidR="006E391F" w:rsidRPr="00BC1144" w:rsidRDefault="006E391F" w:rsidP="00336FA0">
                  <w:pPr>
                    <w:pStyle w:val="TableBodyText"/>
                    <w:ind w:right="28"/>
                  </w:pPr>
                  <w:r w:rsidRPr="00BC1144">
                    <w:t>1</w:t>
                  </w:r>
                  <w:r w:rsidRPr="00BC1144">
                    <w:noBreakHyphen/>
                    <w:t>8</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 xml:space="preserve">Whether or not they ever responded that they were studying a bachelor degree at a Group of Eight university </w:t>
                  </w:r>
                </w:p>
              </w:tc>
            </w:tr>
            <w:tr w:rsidR="006E391F" w:rsidRPr="00BC1144" w:rsidTr="00336FA0">
              <w:tc>
                <w:tcPr>
                  <w:tcW w:w="1086" w:type="pct"/>
                </w:tcPr>
                <w:p w:rsidR="006E391F" w:rsidRPr="00BC1144" w:rsidRDefault="006E391F" w:rsidP="00336FA0">
                  <w:pPr>
                    <w:pStyle w:val="TableBodyText"/>
                    <w:jc w:val="left"/>
                  </w:pPr>
                  <w:r w:rsidRPr="00BC1144">
                    <w:t>Gender</w:t>
                  </w:r>
                </w:p>
              </w:tc>
              <w:tc>
                <w:tcPr>
                  <w:tcW w:w="482" w:type="pct"/>
                </w:tcPr>
                <w:p w:rsidR="006E391F" w:rsidRPr="00BC1144" w:rsidRDefault="006E391F" w:rsidP="00336FA0">
                  <w:pPr>
                    <w:pStyle w:val="TableBodyText"/>
                  </w:pPr>
                  <w:r w:rsidRPr="00BC1144">
                    <w:t>1 &amp; 2</w:t>
                  </w:r>
                </w:p>
              </w:tc>
              <w:tc>
                <w:tcPr>
                  <w:tcW w:w="608" w:type="pct"/>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1</w:t>
                  </w:r>
                </w:p>
              </w:tc>
              <w:tc>
                <w:tcPr>
                  <w:tcW w:w="2491" w:type="pct"/>
                </w:tcPr>
                <w:p w:rsidR="006E391F" w:rsidRPr="00BC1144" w:rsidRDefault="006E391F" w:rsidP="00336FA0">
                  <w:pPr>
                    <w:pStyle w:val="TableBodyText"/>
                    <w:ind w:left="113" w:right="28"/>
                    <w:jc w:val="left"/>
                  </w:pPr>
                  <w:r w:rsidRPr="00BC1144">
                    <w:t>Gender response</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State</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State of school attended</w:t>
                  </w:r>
                </w:p>
              </w:tc>
            </w:tr>
            <w:tr w:rsidR="006E391F" w:rsidRPr="00BC1144" w:rsidTr="00336FA0">
              <w:tc>
                <w:tcPr>
                  <w:tcW w:w="1086" w:type="pct"/>
                </w:tcPr>
                <w:p w:rsidR="006E391F" w:rsidRPr="00BC1144" w:rsidRDefault="006E391F" w:rsidP="00336FA0">
                  <w:pPr>
                    <w:pStyle w:val="TableBodyText"/>
                    <w:jc w:val="left"/>
                  </w:pPr>
                  <w:r w:rsidRPr="00BC1144">
                    <w:t>Indigenous status</w:t>
                  </w:r>
                </w:p>
              </w:tc>
              <w:tc>
                <w:tcPr>
                  <w:tcW w:w="482" w:type="pct"/>
                </w:tcPr>
                <w:p w:rsidR="006E391F" w:rsidRPr="00BC1144" w:rsidRDefault="006E391F" w:rsidP="00336FA0">
                  <w:pPr>
                    <w:pStyle w:val="TableBodyText"/>
                  </w:pPr>
                  <w:r w:rsidRPr="00BC1144">
                    <w:t>1 &amp; 2</w:t>
                  </w:r>
                </w:p>
              </w:tc>
              <w:tc>
                <w:tcPr>
                  <w:tcW w:w="608" w:type="pct"/>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1</w:t>
                  </w:r>
                </w:p>
              </w:tc>
              <w:tc>
                <w:tcPr>
                  <w:tcW w:w="2491" w:type="pct"/>
                </w:tcPr>
                <w:p w:rsidR="006E391F" w:rsidRPr="00BC1144" w:rsidRDefault="006E391F" w:rsidP="00336FA0">
                  <w:pPr>
                    <w:pStyle w:val="TableBodyText"/>
                    <w:ind w:left="113" w:right="28"/>
                    <w:jc w:val="left"/>
                  </w:pPr>
                  <w:r w:rsidRPr="00BC1144">
                    <w:t xml:space="preserve">Whether or not Indigenous response </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Socioeconomic status</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Quartile</w:t>
                  </w: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Highest ranking parental occupation, using International Socioeconomic Index (ISEI).</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PISA score</w:t>
                  </w:r>
                </w:p>
              </w:tc>
              <w:tc>
                <w:tcPr>
                  <w:tcW w:w="482" w:type="pct"/>
                </w:tcPr>
                <w:p w:rsidR="006E391F" w:rsidRPr="00BC1144" w:rsidRDefault="006E391F" w:rsidP="00336FA0">
                  <w:pPr>
                    <w:pStyle w:val="TableBodyText"/>
                  </w:pPr>
                  <w:r w:rsidRPr="00BC1144">
                    <w:t>1 &amp; 2</w:t>
                  </w:r>
                </w:p>
              </w:tc>
              <w:tc>
                <w:tcPr>
                  <w:tcW w:w="608" w:type="pct"/>
                  <w:shd w:val="clear" w:color="auto" w:fill="auto"/>
                </w:tcPr>
                <w:p w:rsidR="006E391F" w:rsidRPr="00BC1144" w:rsidRDefault="006E391F" w:rsidP="00336FA0">
                  <w:pPr>
                    <w:pStyle w:val="TableBodyText"/>
                  </w:pPr>
                  <w:r w:rsidRPr="00BC1144">
                    <w:t>Quartile</w:t>
                  </w:r>
                </w:p>
              </w:tc>
              <w:tc>
                <w:tcPr>
                  <w:tcW w:w="333" w:type="pct"/>
                </w:tcPr>
                <w:p w:rsidR="006E391F" w:rsidRPr="00BC1144" w:rsidRDefault="006E391F" w:rsidP="00336FA0">
                  <w:pPr>
                    <w:pStyle w:val="TableBodyText"/>
                    <w:ind w:right="28"/>
                  </w:pPr>
                </w:p>
              </w:tc>
              <w:tc>
                <w:tcPr>
                  <w:tcW w:w="2491" w:type="pct"/>
                  <w:shd w:val="clear" w:color="auto" w:fill="auto"/>
                </w:tcPr>
                <w:p w:rsidR="006E391F" w:rsidRPr="00BC1144" w:rsidRDefault="006E391F" w:rsidP="00336FA0">
                  <w:pPr>
                    <w:pStyle w:val="TableBodyText"/>
                    <w:ind w:left="113" w:right="28"/>
                    <w:jc w:val="left"/>
                  </w:pPr>
                  <w:r w:rsidRPr="00BC1144">
                    <w:t>Average PISA score based on standardised testing in numeracy and literacy at age 15</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rPr>
                      <w:rFonts w:asciiTheme="minorHAnsi" w:eastAsiaTheme="minorHAnsi" w:hAnsiTheme="minorHAnsi" w:cstheme="minorBidi"/>
                      <w:sz w:val="22"/>
                      <w:szCs w:val="22"/>
                      <w:lang w:eastAsia="en-US"/>
                    </w:rPr>
                  </w:pPr>
                  <w:r w:rsidRPr="00BC1144">
                    <w:t>Parental education</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Binary</w:t>
                  </w: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 xml:space="preserve">Reported at least one parent has a university degree (ISCED score of 5A or 6) </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School sector</w:t>
                  </w:r>
                </w:p>
              </w:tc>
              <w:tc>
                <w:tcPr>
                  <w:tcW w:w="482" w:type="pct"/>
                </w:tcPr>
                <w:p w:rsidR="006E391F" w:rsidRPr="00BC1144" w:rsidRDefault="006E391F" w:rsidP="00336FA0">
                  <w:pPr>
                    <w:pStyle w:val="TableBodyText"/>
                  </w:pPr>
                  <w:r w:rsidRPr="00BC1144">
                    <w:t>1 &amp; 2</w:t>
                  </w:r>
                </w:p>
              </w:tc>
              <w:tc>
                <w:tcPr>
                  <w:tcW w:w="608" w:type="pct"/>
                  <w:shd w:val="clear" w:color="auto" w:fill="auto"/>
                </w:tcPr>
                <w:p w:rsidR="006E391F" w:rsidRPr="00BC1144" w:rsidRDefault="006E391F" w:rsidP="00336FA0">
                  <w:pPr>
                    <w:pStyle w:val="TableBodyText"/>
                  </w:pPr>
                  <w:r w:rsidRPr="00BC1144">
                    <w:t>Categorical</w:t>
                  </w:r>
                </w:p>
              </w:tc>
              <w:tc>
                <w:tcPr>
                  <w:tcW w:w="333" w:type="pct"/>
                </w:tcPr>
                <w:p w:rsidR="006E391F" w:rsidRPr="00BC1144" w:rsidRDefault="006E391F" w:rsidP="00336FA0">
                  <w:pPr>
                    <w:pStyle w:val="TableBodyText"/>
                    <w:ind w:right="28"/>
                  </w:pPr>
                  <w:r w:rsidRPr="00BC1144">
                    <w:t>1</w:t>
                  </w:r>
                </w:p>
              </w:tc>
              <w:tc>
                <w:tcPr>
                  <w:tcW w:w="2491" w:type="pct"/>
                  <w:shd w:val="clear" w:color="auto" w:fill="auto"/>
                </w:tcPr>
                <w:p w:rsidR="006E391F" w:rsidRPr="00BC1144" w:rsidRDefault="006E391F" w:rsidP="00336FA0">
                  <w:pPr>
                    <w:pStyle w:val="TableBodyText"/>
                    <w:ind w:left="113" w:right="28"/>
                    <w:jc w:val="left"/>
                  </w:pPr>
                  <w:r w:rsidRPr="00BC1144">
                    <w:t>Government, catholic or independent school</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School SES</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Quartile</w:t>
                  </w: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Average socioeconomic status of students at the school</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Location</w:t>
                  </w:r>
                </w:p>
              </w:tc>
              <w:tc>
                <w:tcPr>
                  <w:tcW w:w="482" w:type="pct"/>
                </w:tcPr>
                <w:p w:rsidR="006E391F" w:rsidRPr="00BC1144" w:rsidRDefault="006E391F" w:rsidP="00336FA0">
                  <w:pPr>
                    <w:pStyle w:val="TableBodyText"/>
                  </w:pPr>
                  <w:r w:rsidRPr="00BC1144">
                    <w:t>1</w:t>
                  </w:r>
                </w:p>
              </w:tc>
              <w:tc>
                <w:tcPr>
                  <w:tcW w:w="608" w:type="pct"/>
                  <w:shd w:val="clear" w:color="auto" w:fill="auto"/>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1</w:t>
                  </w:r>
                </w:p>
              </w:tc>
              <w:tc>
                <w:tcPr>
                  <w:tcW w:w="2491" w:type="pct"/>
                  <w:shd w:val="clear" w:color="auto" w:fill="auto"/>
                </w:tcPr>
                <w:p w:rsidR="006E391F" w:rsidRPr="00BC1144" w:rsidRDefault="006E391F" w:rsidP="00336FA0">
                  <w:pPr>
                    <w:pStyle w:val="TableBodyText"/>
                    <w:ind w:left="113" w:right="28"/>
                    <w:jc w:val="left"/>
                  </w:pPr>
                  <w:r w:rsidRPr="00BC1144">
                    <w:t xml:space="preserve">Regional or remote or metropolitan location. Based on reported residential postcodes concorded to the Australian Statistical Geography Standard (ASGS)  </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Distance to closest university (log)</w:t>
                  </w:r>
                </w:p>
              </w:tc>
              <w:tc>
                <w:tcPr>
                  <w:tcW w:w="482" w:type="pct"/>
                  <w:shd w:val="clear" w:color="auto" w:fill="F2F2F2" w:themeFill="background1" w:themeFillShade="F2"/>
                </w:tcPr>
                <w:p w:rsidR="006E391F" w:rsidRPr="00BC1144" w:rsidRDefault="006E391F" w:rsidP="00336FA0">
                  <w:pPr>
                    <w:pStyle w:val="TableBodyText"/>
                  </w:pPr>
                  <w:r w:rsidRPr="00BC1144">
                    <w:t>2</w:t>
                  </w:r>
                </w:p>
              </w:tc>
              <w:tc>
                <w:tcPr>
                  <w:tcW w:w="608" w:type="pct"/>
                  <w:shd w:val="clear" w:color="auto" w:fill="F2F2F2" w:themeFill="background1" w:themeFillShade="F2"/>
                </w:tcPr>
                <w:p w:rsidR="006E391F" w:rsidRPr="00BC1144" w:rsidRDefault="006E391F" w:rsidP="00336FA0">
                  <w:pPr>
                    <w:pStyle w:val="TableBodyText"/>
                  </w:pPr>
                  <w:r w:rsidRPr="00BC1144">
                    <w:t xml:space="preserve">Numeric </w:t>
                  </w:r>
                </w:p>
              </w:tc>
              <w:tc>
                <w:tcPr>
                  <w:tcW w:w="333" w:type="pct"/>
                  <w:shd w:val="clear" w:color="auto" w:fill="F2F2F2" w:themeFill="background1" w:themeFillShade="F2"/>
                </w:tcPr>
                <w:p w:rsidR="006E391F" w:rsidRPr="00BC1144" w:rsidRDefault="006E391F" w:rsidP="00336FA0">
                  <w:pPr>
                    <w:pStyle w:val="TableBodyText"/>
                    <w:ind w:right="28"/>
                  </w:pPr>
                  <w:r w:rsidRPr="00BC1144">
                    <w:t>End of school</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 xml:space="preserve">Geodesic distance from reported postcode of residence in last year of school to the closest university campus </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Non</w:t>
                  </w:r>
                  <w:r w:rsidRPr="00BC1144">
                    <w:noBreakHyphen/>
                    <w:t>English speaking background</w:t>
                  </w:r>
                </w:p>
              </w:tc>
              <w:tc>
                <w:tcPr>
                  <w:tcW w:w="482" w:type="pct"/>
                </w:tcPr>
                <w:p w:rsidR="006E391F" w:rsidRPr="00BC1144" w:rsidRDefault="006E391F" w:rsidP="00336FA0">
                  <w:pPr>
                    <w:pStyle w:val="TableBodyText"/>
                  </w:pPr>
                  <w:r w:rsidRPr="00BC1144">
                    <w:t>1 &amp; 2</w:t>
                  </w:r>
                </w:p>
              </w:tc>
              <w:tc>
                <w:tcPr>
                  <w:tcW w:w="608" w:type="pct"/>
                  <w:shd w:val="clear" w:color="auto" w:fill="auto"/>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1</w:t>
                  </w:r>
                </w:p>
              </w:tc>
              <w:tc>
                <w:tcPr>
                  <w:tcW w:w="2491" w:type="pct"/>
                  <w:shd w:val="clear" w:color="auto" w:fill="auto"/>
                </w:tcPr>
                <w:p w:rsidR="006E391F" w:rsidRPr="00BC1144" w:rsidRDefault="006E391F" w:rsidP="00336FA0">
                  <w:pPr>
                    <w:pStyle w:val="TableBodyText"/>
                    <w:ind w:left="113" w:right="28"/>
                    <w:jc w:val="left"/>
                  </w:pPr>
                  <w:r w:rsidRPr="00BC1144">
                    <w:t>Arrived in Australia less than 5 years prior to the first wave of the cohort and live in a home where a language other than English is spoken</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Index of education and occupation</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Quartile</w:t>
                  </w: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rPr>
                      <w:spacing w:val="-2"/>
                    </w:rPr>
                  </w:pPr>
                  <w:r w:rsidRPr="00BC1144">
                    <w:rPr>
                      <w:spacing w:val="-2"/>
                    </w:rPr>
                    <w:t>Matched residential postcode to the Australian Bureau of Statistics (ABS) Socio</w:t>
                  </w:r>
                  <w:r w:rsidRPr="00BC1144">
                    <w:rPr>
                      <w:spacing w:val="-2"/>
                    </w:rPr>
                    <w:noBreakHyphen/>
                    <w:t>Economic Indexes for Areas Index of Education and Occupation</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Attend year 12</w:t>
                  </w:r>
                </w:p>
              </w:tc>
              <w:tc>
                <w:tcPr>
                  <w:tcW w:w="482" w:type="pct"/>
                </w:tcPr>
                <w:p w:rsidR="006E391F" w:rsidRPr="00BC1144" w:rsidRDefault="006E391F" w:rsidP="00336FA0">
                  <w:pPr>
                    <w:pStyle w:val="TableBodyText"/>
                  </w:pPr>
                  <w:r w:rsidRPr="00BC1144">
                    <w:t>1 &amp; 2</w:t>
                  </w:r>
                </w:p>
              </w:tc>
              <w:tc>
                <w:tcPr>
                  <w:tcW w:w="608" w:type="pct"/>
                  <w:shd w:val="clear" w:color="auto" w:fill="auto"/>
                </w:tcPr>
                <w:p w:rsidR="006E391F" w:rsidRPr="00BC1144" w:rsidRDefault="006E391F" w:rsidP="00336FA0">
                  <w:pPr>
                    <w:pStyle w:val="TableBodyText"/>
                  </w:pPr>
                  <w:r w:rsidRPr="00BC1144">
                    <w:t>Binary</w:t>
                  </w:r>
                </w:p>
              </w:tc>
              <w:tc>
                <w:tcPr>
                  <w:tcW w:w="333" w:type="pct"/>
                </w:tcPr>
                <w:p w:rsidR="006E391F" w:rsidRPr="00BC1144" w:rsidRDefault="006E391F" w:rsidP="00336FA0">
                  <w:pPr>
                    <w:pStyle w:val="TableBodyText"/>
                    <w:ind w:right="28"/>
                  </w:pPr>
                  <w:r w:rsidRPr="00BC1144">
                    <w:t xml:space="preserve">All </w:t>
                  </w:r>
                </w:p>
              </w:tc>
              <w:tc>
                <w:tcPr>
                  <w:tcW w:w="2491" w:type="pct"/>
                  <w:shd w:val="clear" w:color="auto" w:fill="auto"/>
                </w:tcPr>
                <w:p w:rsidR="006E391F" w:rsidRPr="00BC1144" w:rsidRDefault="006E391F" w:rsidP="00336FA0">
                  <w:pPr>
                    <w:pStyle w:val="TableBodyText"/>
                    <w:ind w:left="113" w:right="28"/>
                    <w:jc w:val="left"/>
                  </w:pPr>
                  <w:r w:rsidRPr="00BC1144">
                    <w:t>If they ever reported they were in year 12 or completed year 12</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Hours worked in year 12</w:t>
                  </w:r>
                </w:p>
              </w:tc>
              <w:tc>
                <w:tcPr>
                  <w:tcW w:w="482" w:type="pct"/>
                  <w:shd w:val="clear" w:color="auto" w:fill="F2F2F2" w:themeFill="background1" w:themeFillShade="F2"/>
                </w:tcPr>
                <w:p w:rsidR="006E391F" w:rsidRPr="00BC1144" w:rsidRDefault="006E391F" w:rsidP="00336FA0">
                  <w:pPr>
                    <w:pStyle w:val="TableBodyText"/>
                  </w:pPr>
                  <w:r w:rsidRPr="00BC1144">
                    <w:t>1 &amp; 2</w:t>
                  </w:r>
                </w:p>
              </w:tc>
              <w:tc>
                <w:tcPr>
                  <w:tcW w:w="608" w:type="pct"/>
                  <w:shd w:val="clear" w:color="auto" w:fill="F2F2F2" w:themeFill="background1" w:themeFillShade="F2"/>
                </w:tcPr>
                <w:p w:rsidR="006E391F" w:rsidRPr="00BC1144" w:rsidRDefault="006E391F" w:rsidP="00336FA0">
                  <w:pPr>
                    <w:pStyle w:val="TableBodyText"/>
                  </w:pPr>
                  <w:r w:rsidRPr="00BC1144">
                    <w:t>Numeric</w:t>
                  </w:r>
                </w:p>
              </w:tc>
              <w:tc>
                <w:tcPr>
                  <w:tcW w:w="333" w:type="pct"/>
                  <w:shd w:val="clear" w:color="auto" w:fill="F2F2F2" w:themeFill="background1" w:themeFillShade="F2"/>
                </w:tcPr>
                <w:p w:rsidR="006E391F" w:rsidRPr="00BC1144" w:rsidRDefault="006E391F" w:rsidP="00336FA0">
                  <w:pPr>
                    <w:pStyle w:val="TableBodyText"/>
                    <w:ind w:right="28"/>
                  </w:pPr>
                  <w:r w:rsidRPr="00BC1144">
                    <w:t>Year 12</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Average weekly hours worked in the year they reported they were in year 12.</w:t>
                  </w:r>
                </w:p>
                <w:p w:rsidR="006E391F" w:rsidRPr="00BC1144" w:rsidRDefault="006E391F" w:rsidP="00336FA0">
                  <w:pPr>
                    <w:pStyle w:val="TableBodyText"/>
                    <w:ind w:left="113" w:right="28"/>
                    <w:jc w:val="left"/>
                  </w:pPr>
                  <w:r w:rsidRPr="00BC1144">
                    <w:t>If they never reported they were in year 12, but they completed year 12, the hours worked in the preceding year are used</w:t>
                  </w:r>
                </w:p>
                <w:p w:rsidR="006E391F" w:rsidRPr="00BC1144" w:rsidRDefault="006E391F" w:rsidP="00336FA0">
                  <w:pPr>
                    <w:pStyle w:val="TableBodyText"/>
                    <w:ind w:left="113" w:right="28"/>
                    <w:jc w:val="left"/>
                  </w:pPr>
                  <w:r w:rsidRPr="00BC1144">
                    <w:t xml:space="preserve">If they never completed or reported they were in year 12, the hours worked in year of wave 12 minus reported year level in wave 1 are used </w:t>
                  </w:r>
                </w:p>
              </w:tc>
            </w:tr>
            <w:tr w:rsidR="006E391F" w:rsidRPr="00BC1144" w:rsidTr="00336FA0">
              <w:tc>
                <w:tcPr>
                  <w:tcW w:w="1086" w:type="pct"/>
                  <w:shd w:val="clear" w:color="auto" w:fill="auto"/>
                </w:tcPr>
                <w:p w:rsidR="006E391F" w:rsidRPr="00BC1144" w:rsidRDefault="006E391F" w:rsidP="00336FA0">
                  <w:pPr>
                    <w:pStyle w:val="TableBodyText"/>
                    <w:jc w:val="left"/>
                  </w:pPr>
                  <w:r w:rsidRPr="00BC1144">
                    <w:t>Interaction between hours worked and year 12 attendance</w:t>
                  </w:r>
                </w:p>
              </w:tc>
              <w:tc>
                <w:tcPr>
                  <w:tcW w:w="482" w:type="pct"/>
                </w:tcPr>
                <w:p w:rsidR="006E391F" w:rsidRPr="00BC1144" w:rsidRDefault="006E391F" w:rsidP="00336FA0">
                  <w:pPr>
                    <w:pStyle w:val="TableBodyText"/>
                  </w:pPr>
                  <w:r w:rsidRPr="00BC1144">
                    <w:t>1 &amp; 2</w:t>
                  </w:r>
                </w:p>
              </w:tc>
              <w:tc>
                <w:tcPr>
                  <w:tcW w:w="608" w:type="pct"/>
                  <w:shd w:val="clear" w:color="auto" w:fill="auto"/>
                </w:tcPr>
                <w:p w:rsidR="006E391F" w:rsidRPr="00BC1144" w:rsidRDefault="006E391F" w:rsidP="00336FA0">
                  <w:pPr>
                    <w:pStyle w:val="TableBodyText"/>
                  </w:pPr>
                  <w:r w:rsidRPr="00BC1144">
                    <w:t>Numeric</w:t>
                  </w:r>
                </w:p>
              </w:tc>
              <w:tc>
                <w:tcPr>
                  <w:tcW w:w="333" w:type="pct"/>
                </w:tcPr>
                <w:p w:rsidR="006E391F" w:rsidRPr="00BC1144" w:rsidRDefault="006E391F" w:rsidP="00336FA0">
                  <w:pPr>
                    <w:pStyle w:val="TableBodyText"/>
                    <w:ind w:right="28"/>
                  </w:pPr>
                  <w:r w:rsidRPr="00BC1144">
                    <w:t>Year 12</w:t>
                  </w:r>
                </w:p>
              </w:tc>
              <w:tc>
                <w:tcPr>
                  <w:tcW w:w="2491" w:type="pct"/>
                  <w:shd w:val="clear" w:color="auto" w:fill="auto"/>
                </w:tcPr>
                <w:p w:rsidR="006E391F" w:rsidRPr="00BC1144" w:rsidRDefault="006E391F" w:rsidP="00336FA0">
                  <w:pPr>
                    <w:pStyle w:val="TableBodyText"/>
                    <w:ind w:left="113" w:right="28"/>
                    <w:jc w:val="left"/>
                  </w:pPr>
                  <w:r w:rsidRPr="00BC1144">
                    <w:t>If attended year 12, then 0, otherwise equal to hours worked in year 12</w:t>
                  </w:r>
                </w:p>
              </w:tc>
            </w:tr>
            <w:tr w:rsidR="006E391F" w:rsidRPr="00BC1144" w:rsidTr="00336FA0">
              <w:tc>
                <w:tcPr>
                  <w:tcW w:w="1086" w:type="pct"/>
                  <w:shd w:val="clear" w:color="auto" w:fill="F2F2F2" w:themeFill="background1" w:themeFillShade="F2"/>
                </w:tcPr>
                <w:p w:rsidR="006E391F" w:rsidRPr="00BC1144" w:rsidRDefault="006E391F" w:rsidP="00336FA0">
                  <w:pPr>
                    <w:pStyle w:val="TableBodyText"/>
                    <w:jc w:val="left"/>
                  </w:pPr>
                  <w:r w:rsidRPr="00BC1144">
                    <w:t>Books</w:t>
                  </w:r>
                </w:p>
              </w:tc>
              <w:tc>
                <w:tcPr>
                  <w:tcW w:w="482" w:type="pct"/>
                  <w:shd w:val="clear" w:color="auto" w:fill="F2F2F2" w:themeFill="background1" w:themeFillShade="F2"/>
                </w:tcPr>
                <w:p w:rsidR="006E391F" w:rsidRPr="00BC1144" w:rsidRDefault="006E391F" w:rsidP="00336FA0">
                  <w:pPr>
                    <w:pStyle w:val="TableBodyText"/>
                  </w:pPr>
                  <w:r w:rsidRPr="00BC1144">
                    <w:t>1</w:t>
                  </w:r>
                </w:p>
              </w:tc>
              <w:tc>
                <w:tcPr>
                  <w:tcW w:w="608" w:type="pct"/>
                  <w:shd w:val="clear" w:color="auto" w:fill="F2F2F2" w:themeFill="background1" w:themeFillShade="F2"/>
                </w:tcPr>
                <w:p w:rsidR="006E391F" w:rsidRPr="00BC1144" w:rsidRDefault="006E391F" w:rsidP="00336FA0">
                  <w:pPr>
                    <w:pStyle w:val="TableBodyText"/>
                  </w:pPr>
                  <w:r w:rsidRPr="00BC1144">
                    <w:t>Ordinal</w:t>
                  </w:r>
                </w:p>
              </w:tc>
              <w:tc>
                <w:tcPr>
                  <w:tcW w:w="333" w:type="pct"/>
                  <w:shd w:val="clear" w:color="auto" w:fill="F2F2F2" w:themeFill="background1" w:themeFillShade="F2"/>
                </w:tcPr>
                <w:p w:rsidR="006E391F" w:rsidRPr="00BC1144" w:rsidRDefault="006E391F" w:rsidP="00336FA0">
                  <w:pPr>
                    <w:pStyle w:val="TableBodyText"/>
                    <w:ind w:right="28"/>
                  </w:pPr>
                  <w:r w:rsidRPr="00BC1144">
                    <w:t>1</w:t>
                  </w:r>
                </w:p>
              </w:tc>
              <w:tc>
                <w:tcPr>
                  <w:tcW w:w="2491" w:type="pct"/>
                  <w:shd w:val="clear" w:color="auto" w:fill="F2F2F2" w:themeFill="background1" w:themeFillShade="F2"/>
                </w:tcPr>
                <w:p w:rsidR="006E391F" w:rsidRPr="00BC1144" w:rsidRDefault="006E391F" w:rsidP="00336FA0">
                  <w:pPr>
                    <w:pStyle w:val="TableBodyText"/>
                    <w:ind w:left="113" w:right="28"/>
                    <w:jc w:val="left"/>
                  </w:pPr>
                  <w:r w:rsidRPr="00BC1144">
                    <w:t>Reported number of books in the home: 0</w:t>
                  </w:r>
                  <w:r w:rsidRPr="00BC1144">
                    <w:noBreakHyphen/>
                    <w:t>100, 101</w:t>
                  </w:r>
                  <w:r w:rsidRPr="00BC1144">
                    <w:noBreakHyphen/>
                    <w:t>500, or greater than 500</w:t>
                  </w:r>
                </w:p>
              </w:tc>
            </w:tr>
            <w:tr w:rsidR="006E391F" w:rsidRPr="00BC1144" w:rsidTr="00336FA0">
              <w:tc>
                <w:tcPr>
                  <w:tcW w:w="1086" w:type="pct"/>
                  <w:tcBorders>
                    <w:bottom w:val="single" w:sz="6" w:space="0" w:color="BFBFBF"/>
                  </w:tcBorders>
                  <w:shd w:val="clear" w:color="auto" w:fill="auto"/>
                </w:tcPr>
                <w:p w:rsidR="006E391F" w:rsidRPr="00BC1144" w:rsidRDefault="006E391F" w:rsidP="00336FA0">
                  <w:pPr>
                    <w:pStyle w:val="TableBodyText"/>
                    <w:jc w:val="left"/>
                  </w:pPr>
                  <w:r w:rsidRPr="00BC1144">
                    <w:t>Grade</w:t>
                  </w:r>
                </w:p>
              </w:tc>
              <w:tc>
                <w:tcPr>
                  <w:tcW w:w="482" w:type="pct"/>
                  <w:tcBorders>
                    <w:bottom w:val="single" w:sz="6" w:space="0" w:color="BFBFBF"/>
                  </w:tcBorders>
                </w:tcPr>
                <w:p w:rsidR="006E391F" w:rsidRPr="00BC1144" w:rsidRDefault="006E391F" w:rsidP="00336FA0">
                  <w:pPr>
                    <w:pStyle w:val="TableBodyText"/>
                  </w:pPr>
                  <w:r w:rsidRPr="00BC1144">
                    <w:t>2</w:t>
                  </w:r>
                </w:p>
              </w:tc>
              <w:tc>
                <w:tcPr>
                  <w:tcW w:w="608" w:type="pct"/>
                  <w:tcBorders>
                    <w:bottom w:val="single" w:sz="6" w:space="0" w:color="BFBFBF"/>
                  </w:tcBorders>
                  <w:shd w:val="clear" w:color="auto" w:fill="auto"/>
                </w:tcPr>
                <w:p w:rsidR="006E391F" w:rsidRPr="00BC1144" w:rsidRDefault="006E391F" w:rsidP="00336FA0">
                  <w:pPr>
                    <w:pStyle w:val="TableBodyText"/>
                  </w:pPr>
                  <w:r w:rsidRPr="00BC1144">
                    <w:t>Ordinal</w:t>
                  </w:r>
                </w:p>
              </w:tc>
              <w:tc>
                <w:tcPr>
                  <w:tcW w:w="333" w:type="pct"/>
                  <w:tcBorders>
                    <w:bottom w:val="single" w:sz="6" w:space="0" w:color="BFBFBF"/>
                  </w:tcBorders>
                </w:tcPr>
                <w:p w:rsidR="006E391F" w:rsidRPr="00BC1144" w:rsidRDefault="006E391F" w:rsidP="00336FA0">
                  <w:pPr>
                    <w:pStyle w:val="TableBodyText"/>
                    <w:ind w:right="28"/>
                  </w:pPr>
                  <w:r w:rsidRPr="00BC1144">
                    <w:t>1</w:t>
                  </w:r>
                </w:p>
              </w:tc>
              <w:tc>
                <w:tcPr>
                  <w:tcW w:w="2491" w:type="pct"/>
                  <w:tcBorders>
                    <w:bottom w:val="single" w:sz="6" w:space="0" w:color="BFBFBF"/>
                  </w:tcBorders>
                  <w:shd w:val="clear" w:color="auto" w:fill="auto"/>
                </w:tcPr>
                <w:p w:rsidR="006E391F" w:rsidRPr="00BC1144" w:rsidRDefault="006E391F" w:rsidP="00336FA0">
                  <w:pPr>
                    <w:pStyle w:val="TableBodyText"/>
                    <w:ind w:left="113" w:right="28"/>
                    <w:jc w:val="left"/>
                  </w:pPr>
                  <w:r w:rsidRPr="00BC1144">
                    <w:t>School year level</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Model 1 is model used in the decompositions; model 2 is the model used in estimating additional students.</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5</w:t>
            </w:r>
            <w:r w:rsidRPr="00BC1144">
              <w:tab/>
              <w:t>Measurements of aspiration in the LSAY</w:t>
            </w:r>
          </w:p>
          <w:p w:rsidR="006E391F" w:rsidRPr="00BC1144" w:rsidRDefault="006E391F" w:rsidP="00336FA0">
            <w:pPr>
              <w:pStyle w:val="Subtitle"/>
            </w:pPr>
            <w:r w:rsidRPr="00BC1144">
              <w:t>2003, 2006 and 2009 cohorts</w:t>
            </w:r>
            <w:r w:rsidRPr="00BC1144">
              <w:rPr>
                <w:rStyle w:val="NoteLabel"/>
              </w:rPr>
              <w:t>a</w:t>
            </w:r>
          </w:p>
        </w:tc>
      </w:tr>
      <w:tr w:rsidR="006E391F" w:rsidRPr="00BC1144" w:rsidTr="00336FA0">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209"/>
              <w:gridCol w:w="1146"/>
              <w:gridCol w:w="2050"/>
              <w:gridCol w:w="2050"/>
              <w:gridCol w:w="2050"/>
            </w:tblGrid>
            <w:tr w:rsidR="006E391F" w:rsidRPr="00BC1144" w:rsidTr="00336FA0">
              <w:trPr>
                <w:tblHeader/>
              </w:trPr>
              <w:tc>
                <w:tcPr>
                  <w:tcW w:w="711"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Cohort (variable)</w:t>
                  </w:r>
                </w:p>
              </w:tc>
              <w:tc>
                <w:tcPr>
                  <w:tcW w:w="674" w:type="pct"/>
                  <w:tcBorders>
                    <w:top w:val="single" w:sz="6" w:space="0" w:color="BFBFBF"/>
                    <w:bottom w:val="single" w:sz="6" w:space="0" w:color="BFBFBF"/>
                  </w:tcBorders>
                </w:tcPr>
                <w:p w:rsidR="006E391F" w:rsidRPr="00BC1144" w:rsidRDefault="006E391F" w:rsidP="00336FA0">
                  <w:pPr>
                    <w:pStyle w:val="TableColumnHeading"/>
                    <w:jc w:val="left"/>
                  </w:pPr>
                  <w:r w:rsidRPr="00BC1144">
                    <w:t>Question</w:t>
                  </w:r>
                </w:p>
              </w:tc>
              <w:tc>
                <w:tcPr>
                  <w:tcW w:w="1205"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Possible responses 2003</w:t>
                  </w:r>
                </w:p>
              </w:tc>
              <w:tc>
                <w:tcPr>
                  <w:tcW w:w="1205" w:type="pct"/>
                  <w:tcBorders>
                    <w:top w:val="single" w:sz="6" w:space="0" w:color="BFBFBF"/>
                    <w:bottom w:val="single" w:sz="6" w:space="0" w:color="BFBFBF"/>
                  </w:tcBorders>
                </w:tcPr>
                <w:p w:rsidR="006E391F" w:rsidRPr="00BC1144" w:rsidDel="0040215D" w:rsidRDefault="006E391F" w:rsidP="00336FA0">
                  <w:pPr>
                    <w:pStyle w:val="TableColumnHeading"/>
                    <w:ind w:right="28"/>
                    <w:jc w:val="left"/>
                  </w:pPr>
                  <w:r w:rsidRPr="00BC1144">
                    <w:t xml:space="preserve">Possible responses </w:t>
                  </w:r>
                  <w:r w:rsidRPr="00BC1144">
                    <w:br/>
                    <w:t>2006</w:t>
                  </w:r>
                </w:p>
              </w:tc>
              <w:tc>
                <w:tcPr>
                  <w:tcW w:w="1205"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jc w:val="left"/>
                  </w:pPr>
                  <w:r w:rsidRPr="00BC1144">
                    <w:t xml:space="preserve">Possible responses </w:t>
                  </w:r>
                  <w:r w:rsidRPr="00BC1144">
                    <w:br/>
                    <w:t>2009</w:t>
                  </w:r>
                </w:p>
              </w:tc>
            </w:tr>
            <w:tr w:rsidR="006E391F" w:rsidRPr="00BC1144" w:rsidTr="00336FA0">
              <w:tc>
                <w:tcPr>
                  <w:tcW w:w="711"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2003 (ST23Q06) &amp; 2009 (EC05Q01F)</w:t>
                  </w:r>
                </w:p>
              </w:tc>
              <w:tc>
                <w:tcPr>
                  <w:tcW w:w="674"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 xml:space="preserve">Which of the following do you expect to complete </w:t>
                  </w:r>
                </w:p>
              </w:tc>
              <w:tc>
                <w:tcPr>
                  <w:tcW w:w="1205"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Tick box (yes or no)</w:t>
                  </w:r>
                </w:p>
              </w:tc>
              <w:tc>
                <w:tcPr>
                  <w:tcW w:w="1205" w:type="pct"/>
                  <w:tcBorders>
                    <w:top w:val="single" w:sz="6" w:space="0" w:color="BFBFBF"/>
                  </w:tcBorders>
                  <w:shd w:val="clear" w:color="auto" w:fill="F2F2F2" w:themeFill="background1" w:themeFillShade="F2"/>
                </w:tcPr>
                <w:p w:rsidR="006E391F" w:rsidRPr="00BC1144" w:rsidRDefault="006E391F" w:rsidP="00336FA0">
                  <w:pPr>
                    <w:pStyle w:val="TableUnitsRow"/>
                    <w:ind w:right="28"/>
                    <w:jc w:val="left"/>
                  </w:pPr>
                  <w:r w:rsidRPr="00BC1144">
                    <w:t>NA</w:t>
                  </w:r>
                </w:p>
              </w:tc>
              <w:tc>
                <w:tcPr>
                  <w:tcW w:w="1205" w:type="pct"/>
                  <w:tcBorders>
                    <w:top w:val="single" w:sz="6" w:space="0" w:color="BFBFBF"/>
                  </w:tcBorders>
                  <w:shd w:val="clear" w:color="auto" w:fill="F2F2F2" w:themeFill="background1" w:themeFillShade="F2"/>
                </w:tcPr>
                <w:p w:rsidR="006E391F" w:rsidRPr="00BC1144" w:rsidRDefault="006E391F" w:rsidP="00336FA0">
                  <w:pPr>
                    <w:pStyle w:val="TableUnitsRow"/>
                    <w:ind w:right="28"/>
                    <w:jc w:val="left"/>
                  </w:pPr>
                  <w:r w:rsidRPr="00BC1144">
                    <w:t>Tick box (yes or no)</w:t>
                  </w:r>
                </w:p>
              </w:tc>
            </w:tr>
            <w:tr w:rsidR="006E391F" w:rsidRPr="00BC1144" w:rsidTr="00336FA0">
              <w:tc>
                <w:tcPr>
                  <w:tcW w:w="711" w:type="pct"/>
                </w:tcPr>
                <w:p w:rsidR="006E391F" w:rsidRPr="00BC1144" w:rsidRDefault="006E391F" w:rsidP="00336FA0">
                  <w:pPr>
                    <w:pStyle w:val="TableBodyText"/>
                    <w:tabs>
                      <w:tab w:val="right" w:pos="2014"/>
                    </w:tabs>
                    <w:jc w:val="left"/>
                  </w:pPr>
                  <w:r w:rsidRPr="00BC1144">
                    <w:t>2003 (LAA005), 2006 (ST48N01) &amp; 2009 (ST65N01)</w:t>
                  </w:r>
                  <w:r w:rsidRPr="00BC1144">
                    <w:tab/>
                  </w:r>
                </w:p>
              </w:tc>
              <w:tc>
                <w:tcPr>
                  <w:tcW w:w="674" w:type="pct"/>
                </w:tcPr>
                <w:p w:rsidR="006E391F" w:rsidRPr="00BC1144" w:rsidRDefault="006E391F" w:rsidP="00336FA0">
                  <w:pPr>
                    <w:pStyle w:val="TableBodyText"/>
                    <w:jc w:val="left"/>
                  </w:pPr>
                  <w:r w:rsidRPr="00BC1144">
                    <w:t>In the year immediately after you leave school what do you plan to do?</w:t>
                  </w:r>
                </w:p>
              </w:tc>
              <w:tc>
                <w:tcPr>
                  <w:tcW w:w="1205" w:type="pct"/>
                </w:tcPr>
                <w:p w:rsidR="006E391F" w:rsidRPr="00BC1144" w:rsidRDefault="006E391F" w:rsidP="006E391F">
                  <w:pPr>
                    <w:pStyle w:val="TableBullet"/>
                    <w:tabs>
                      <w:tab w:val="clear" w:pos="170"/>
                      <w:tab w:val="left" w:pos="303"/>
                    </w:tabs>
                    <w:ind w:left="0" w:firstLine="0"/>
                  </w:pPr>
                  <w:r w:rsidRPr="00BC1144">
                    <w:t>Go to university</w:t>
                  </w:r>
                </w:p>
                <w:p w:rsidR="006E391F" w:rsidRPr="00BC1144" w:rsidRDefault="006E391F" w:rsidP="006E391F">
                  <w:pPr>
                    <w:pStyle w:val="TableBullet"/>
                    <w:tabs>
                      <w:tab w:val="clear" w:pos="170"/>
                      <w:tab w:val="left" w:pos="303"/>
                    </w:tabs>
                    <w:ind w:left="303" w:hanging="303"/>
                  </w:pPr>
                  <w:r w:rsidRPr="00BC1144">
                    <w:t>Get an apprenticeship</w:t>
                  </w:r>
                </w:p>
                <w:p w:rsidR="006E391F" w:rsidRPr="00BC1144" w:rsidRDefault="006E391F" w:rsidP="006E391F">
                  <w:pPr>
                    <w:pStyle w:val="TableBullet"/>
                    <w:tabs>
                      <w:tab w:val="clear" w:pos="170"/>
                      <w:tab w:val="left" w:pos="303"/>
                    </w:tabs>
                    <w:ind w:left="0" w:firstLine="0"/>
                  </w:pPr>
                  <w:r w:rsidRPr="00BC1144">
                    <w:t>Get a traineeship</w:t>
                  </w:r>
                </w:p>
                <w:p w:rsidR="006E391F" w:rsidRPr="00BC1144" w:rsidRDefault="006E391F" w:rsidP="006E391F">
                  <w:pPr>
                    <w:pStyle w:val="TableBullet"/>
                    <w:tabs>
                      <w:tab w:val="clear" w:pos="170"/>
                      <w:tab w:val="left" w:pos="303"/>
                    </w:tabs>
                    <w:ind w:left="303" w:hanging="303"/>
                  </w:pPr>
                  <w:r w:rsidRPr="00BC1144">
                    <w:t>Go to a TAFE college</w:t>
                  </w:r>
                </w:p>
                <w:p w:rsidR="006E391F" w:rsidRPr="00BC1144" w:rsidRDefault="006E391F" w:rsidP="006E391F">
                  <w:pPr>
                    <w:pStyle w:val="TableBullet"/>
                    <w:tabs>
                      <w:tab w:val="clear" w:pos="170"/>
                      <w:tab w:val="left" w:pos="303"/>
                    </w:tabs>
                    <w:ind w:left="303" w:hanging="303"/>
                  </w:pPr>
                  <w:r w:rsidRPr="00BC1144">
                    <w:t>Do some other study or training</w:t>
                  </w:r>
                </w:p>
                <w:p w:rsidR="006E391F" w:rsidRPr="00BC1144" w:rsidRDefault="006E391F" w:rsidP="006E391F">
                  <w:pPr>
                    <w:pStyle w:val="TableBullet"/>
                    <w:tabs>
                      <w:tab w:val="clear" w:pos="170"/>
                      <w:tab w:val="left" w:pos="303"/>
                    </w:tabs>
                    <w:ind w:left="303" w:hanging="303"/>
                  </w:pPr>
                  <w:r w:rsidRPr="00BC1144">
                    <w:t>Look for work/get a job</w:t>
                  </w:r>
                </w:p>
                <w:p w:rsidR="006E391F" w:rsidRPr="00BC1144" w:rsidRDefault="006E391F" w:rsidP="006E391F">
                  <w:pPr>
                    <w:pStyle w:val="TableBullet"/>
                    <w:tabs>
                      <w:tab w:val="clear" w:pos="170"/>
                      <w:tab w:val="left" w:pos="303"/>
                    </w:tabs>
                    <w:ind w:left="0" w:firstLine="0"/>
                  </w:pPr>
                  <w:r w:rsidRPr="00BC1144">
                    <w:t>Defence forces</w:t>
                  </w:r>
                </w:p>
                <w:p w:rsidR="006E391F" w:rsidRPr="00BC1144" w:rsidRDefault="006E391F" w:rsidP="006E391F">
                  <w:pPr>
                    <w:pStyle w:val="TableBullet"/>
                    <w:tabs>
                      <w:tab w:val="clear" w:pos="170"/>
                      <w:tab w:val="left" w:pos="303"/>
                    </w:tabs>
                    <w:ind w:left="0" w:firstLine="0"/>
                  </w:pPr>
                  <w:r w:rsidRPr="00BC1144">
                    <w:t>Travel</w:t>
                  </w:r>
                </w:p>
                <w:p w:rsidR="006E391F" w:rsidRPr="00BC1144" w:rsidRDefault="006E391F" w:rsidP="006E391F">
                  <w:pPr>
                    <w:pStyle w:val="TableBullet"/>
                    <w:tabs>
                      <w:tab w:val="clear" w:pos="170"/>
                      <w:tab w:val="left" w:pos="303"/>
                    </w:tabs>
                    <w:ind w:left="0" w:firstLine="0"/>
                  </w:pPr>
                  <w:r w:rsidRPr="00BC1144">
                    <w:t>Other</w:t>
                  </w:r>
                </w:p>
                <w:p w:rsidR="006E391F" w:rsidRPr="00BC1144" w:rsidRDefault="006E391F" w:rsidP="006E391F">
                  <w:pPr>
                    <w:pStyle w:val="TableBullet"/>
                    <w:tabs>
                      <w:tab w:val="clear" w:pos="170"/>
                      <w:tab w:val="left" w:pos="303"/>
                    </w:tabs>
                    <w:ind w:left="0" w:firstLine="0"/>
                  </w:pPr>
                  <w:r w:rsidRPr="00BC1144">
                    <w:t>Don’t Know</w:t>
                  </w:r>
                  <w:r w:rsidRPr="00BC1144" w:rsidDel="002C13C0">
                    <w:t xml:space="preserve"> </w:t>
                  </w:r>
                </w:p>
              </w:tc>
              <w:tc>
                <w:tcPr>
                  <w:tcW w:w="1205" w:type="pct"/>
                </w:tcPr>
                <w:p w:rsidR="006E391F" w:rsidRPr="00BC1144" w:rsidRDefault="006E391F" w:rsidP="006E391F">
                  <w:pPr>
                    <w:pStyle w:val="TableBodyText"/>
                    <w:numPr>
                      <w:ilvl w:val="0"/>
                      <w:numId w:val="24"/>
                    </w:numPr>
                    <w:tabs>
                      <w:tab w:val="left" w:pos="280"/>
                    </w:tabs>
                    <w:ind w:left="0" w:firstLine="6"/>
                    <w:jc w:val="left"/>
                  </w:pPr>
                  <w:r w:rsidRPr="00BC1144">
                    <w:t>Go to university</w:t>
                  </w:r>
                </w:p>
                <w:p w:rsidR="006E391F" w:rsidRPr="00BC1144" w:rsidRDefault="006E391F" w:rsidP="006E391F">
                  <w:pPr>
                    <w:pStyle w:val="TableBodyText"/>
                    <w:numPr>
                      <w:ilvl w:val="0"/>
                      <w:numId w:val="24"/>
                    </w:numPr>
                    <w:tabs>
                      <w:tab w:val="left" w:pos="280"/>
                    </w:tabs>
                    <w:ind w:left="280" w:hanging="274"/>
                    <w:jc w:val="left"/>
                  </w:pPr>
                  <w:r w:rsidRPr="00BC1144">
                    <w:t>Get an apprenticeship</w:t>
                  </w:r>
                </w:p>
                <w:p w:rsidR="006E391F" w:rsidRPr="00BC1144" w:rsidRDefault="006E391F" w:rsidP="006E391F">
                  <w:pPr>
                    <w:pStyle w:val="TableBodyText"/>
                    <w:numPr>
                      <w:ilvl w:val="0"/>
                      <w:numId w:val="24"/>
                    </w:numPr>
                    <w:tabs>
                      <w:tab w:val="left" w:pos="280"/>
                    </w:tabs>
                    <w:ind w:left="0" w:firstLine="6"/>
                    <w:jc w:val="left"/>
                  </w:pPr>
                  <w:r w:rsidRPr="00BC1144">
                    <w:t>Get a traineeship</w:t>
                  </w:r>
                </w:p>
                <w:p w:rsidR="006E391F" w:rsidRPr="00BC1144" w:rsidRDefault="006E391F" w:rsidP="006E391F">
                  <w:pPr>
                    <w:pStyle w:val="TableBodyText"/>
                    <w:numPr>
                      <w:ilvl w:val="0"/>
                      <w:numId w:val="24"/>
                    </w:numPr>
                    <w:tabs>
                      <w:tab w:val="left" w:pos="280"/>
                    </w:tabs>
                    <w:ind w:left="280" w:hanging="274"/>
                    <w:jc w:val="left"/>
                  </w:pPr>
                  <w:r w:rsidRPr="00BC1144">
                    <w:t>Go to a TAFE/VET college</w:t>
                  </w:r>
                </w:p>
                <w:p w:rsidR="006E391F" w:rsidRPr="00BC1144" w:rsidRDefault="006E391F" w:rsidP="006E391F">
                  <w:pPr>
                    <w:pStyle w:val="TableBodyText"/>
                    <w:numPr>
                      <w:ilvl w:val="0"/>
                      <w:numId w:val="24"/>
                    </w:numPr>
                    <w:tabs>
                      <w:tab w:val="left" w:pos="280"/>
                    </w:tabs>
                    <w:ind w:left="280" w:hanging="274"/>
                    <w:jc w:val="left"/>
                  </w:pPr>
                  <w:r w:rsidRPr="00BC1144">
                    <w:t>Do some other study/training</w:t>
                  </w:r>
                </w:p>
                <w:p w:rsidR="006E391F" w:rsidRPr="00BC1144" w:rsidRDefault="006E391F" w:rsidP="006E391F">
                  <w:pPr>
                    <w:pStyle w:val="TableBodyText"/>
                    <w:numPr>
                      <w:ilvl w:val="0"/>
                      <w:numId w:val="24"/>
                    </w:numPr>
                    <w:tabs>
                      <w:tab w:val="left" w:pos="280"/>
                    </w:tabs>
                    <w:ind w:left="280" w:hanging="274"/>
                    <w:jc w:val="left"/>
                  </w:pPr>
                  <w:r w:rsidRPr="00BC1144">
                    <w:t>Look for work/get a job</w:t>
                  </w:r>
                </w:p>
                <w:p w:rsidR="006E391F" w:rsidRPr="00BC1144" w:rsidRDefault="006E391F" w:rsidP="006E391F">
                  <w:pPr>
                    <w:pStyle w:val="TableBodyText"/>
                    <w:numPr>
                      <w:ilvl w:val="0"/>
                      <w:numId w:val="24"/>
                    </w:numPr>
                    <w:tabs>
                      <w:tab w:val="left" w:pos="280"/>
                    </w:tabs>
                    <w:ind w:left="280" w:hanging="274"/>
                    <w:jc w:val="left"/>
                  </w:pPr>
                  <w:r w:rsidRPr="00BC1144">
                    <w:t>Gap year/Time off/Travel</w:t>
                  </w:r>
                </w:p>
                <w:p w:rsidR="006E391F" w:rsidRPr="00BC1144" w:rsidRDefault="006E391F" w:rsidP="006E391F">
                  <w:pPr>
                    <w:pStyle w:val="TableBodyText"/>
                    <w:numPr>
                      <w:ilvl w:val="0"/>
                      <w:numId w:val="24"/>
                    </w:numPr>
                    <w:tabs>
                      <w:tab w:val="left" w:pos="280"/>
                    </w:tabs>
                    <w:ind w:left="0" w:firstLine="6"/>
                    <w:jc w:val="left"/>
                  </w:pPr>
                  <w:r w:rsidRPr="00BC1144">
                    <w:t>Other</w:t>
                  </w:r>
                </w:p>
                <w:p w:rsidR="006E391F" w:rsidRPr="00BC1144" w:rsidRDefault="006E391F" w:rsidP="006E391F">
                  <w:pPr>
                    <w:pStyle w:val="TableBodyText"/>
                    <w:numPr>
                      <w:ilvl w:val="0"/>
                      <w:numId w:val="24"/>
                    </w:numPr>
                    <w:tabs>
                      <w:tab w:val="left" w:pos="280"/>
                    </w:tabs>
                    <w:ind w:left="0" w:right="28" w:firstLine="6"/>
                    <w:jc w:val="left"/>
                  </w:pPr>
                  <w:r w:rsidRPr="00BC1144">
                    <w:t>Don’t know</w:t>
                  </w:r>
                </w:p>
              </w:tc>
              <w:tc>
                <w:tcPr>
                  <w:tcW w:w="1205" w:type="pct"/>
                </w:tcPr>
                <w:p w:rsidR="006E391F" w:rsidRPr="00BC1144" w:rsidRDefault="006E391F" w:rsidP="006E391F">
                  <w:pPr>
                    <w:pStyle w:val="TableBodyText"/>
                    <w:numPr>
                      <w:ilvl w:val="0"/>
                      <w:numId w:val="25"/>
                    </w:numPr>
                    <w:tabs>
                      <w:tab w:val="left" w:pos="349"/>
                    </w:tabs>
                    <w:ind w:left="349" w:right="28" w:hanging="349"/>
                    <w:jc w:val="left"/>
                  </w:pPr>
                  <w:r w:rsidRPr="00BC1144">
                    <w:t>Go to University</w:t>
                  </w:r>
                </w:p>
                <w:p w:rsidR="006E391F" w:rsidRPr="00BC1144" w:rsidRDefault="006E391F" w:rsidP="006E391F">
                  <w:pPr>
                    <w:pStyle w:val="TableBodyText"/>
                    <w:numPr>
                      <w:ilvl w:val="0"/>
                      <w:numId w:val="25"/>
                    </w:numPr>
                    <w:tabs>
                      <w:tab w:val="left" w:pos="349"/>
                    </w:tabs>
                    <w:ind w:left="349" w:right="28" w:hanging="343"/>
                    <w:jc w:val="left"/>
                  </w:pPr>
                  <w:r w:rsidRPr="00BC1144">
                    <w:t>Get an apprenticeship</w:t>
                  </w:r>
                </w:p>
                <w:p w:rsidR="006E391F" w:rsidRPr="00BC1144" w:rsidRDefault="006E391F" w:rsidP="006E391F">
                  <w:pPr>
                    <w:pStyle w:val="TableBodyText"/>
                    <w:numPr>
                      <w:ilvl w:val="0"/>
                      <w:numId w:val="25"/>
                    </w:numPr>
                    <w:tabs>
                      <w:tab w:val="left" w:pos="349"/>
                    </w:tabs>
                    <w:ind w:left="349" w:right="28" w:hanging="343"/>
                    <w:jc w:val="left"/>
                  </w:pPr>
                  <w:r w:rsidRPr="00BC1144">
                    <w:t>Get a traineeship</w:t>
                  </w:r>
                </w:p>
                <w:p w:rsidR="006E391F" w:rsidRPr="00BC1144" w:rsidRDefault="006E391F" w:rsidP="006E391F">
                  <w:pPr>
                    <w:pStyle w:val="TableBodyText"/>
                    <w:numPr>
                      <w:ilvl w:val="0"/>
                      <w:numId w:val="25"/>
                    </w:numPr>
                    <w:tabs>
                      <w:tab w:val="left" w:pos="349"/>
                    </w:tabs>
                    <w:ind w:left="349" w:right="28" w:hanging="343"/>
                    <w:jc w:val="left"/>
                  </w:pPr>
                  <w:r w:rsidRPr="00BC1144">
                    <w:t>Go to a TAFE or VET (vocational) college</w:t>
                  </w:r>
                </w:p>
                <w:p w:rsidR="006E391F" w:rsidRPr="00BC1144" w:rsidRDefault="006E391F" w:rsidP="006E391F">
                  <w:pPr>
                    <w:pStyle w:val="TableBodyText"/>
                    <w:numPr>
                      <w:ilvl w:val="0"/>
                      <w:numId w:val="25"/>
                    </w:numPr>
                    <w:tabs>
                      <w:tab w:val="left" w:pos="349"/>
                    </w:tabs>
                    <w:ind w:left="349" w:right="28" w:hanging="343"/>
                    <w:jc w:val="left"/>
                  </w:pPr>
                  <w:r w:rsidRPr="00BC1144">
                    <w:t>Do some other study or training</w:t>
                  </w:r>
                </w:p>
                <w:p w:rsidR="006E391F" w:rsidRPr="00BC1144" w:rsidRDefault="006E391F" w:rsidP="006E391F">
                  <w:pPr>
                    <w:pStyle w:val="TableBodyText"/>
                    <w:numPr>
                      <w:ilvl w:val="0"/>
                      <w:numId w:val="25"/>
                    </w:numPr>
                    <w:tabs>
                      <w:tab w:val="left" w:pos="349"/>
                    </w:tabs>
                    <w:ind w:left="349" w:right="28" w:hanging="343"/>
                    <w:jc w:val="left"/>
                  </w:pPr>
                  <w:r w:rsidRPr="00BC1144">
                    <w:t>Look for work/get a job</w:t>
                  </w:r>
                </w:p>
                <w:p w:rsidR="006E391F" w:rsidRPr="00BC1144" w:rsidRDefault="006E391F" w:rsidP="006E391F">
                  <w:pPr>
                    <w:pStyle w:val="TableBodyText"/>
                    <w:numPr>
                      <w:ilvl w:val="0"/>
                      <w:numId w:val="25"/>
                    </w:numPr>
                    <w:tabs>
                      <w:tab w:val="left" w:pos="349"/>
                    </w:tabs>
                    <w:ind w:left="349" w:right="28" w:hanging="343"/>
                    <w:jc w:val="left"/>
                  </w:pPr>
                  <w:r w:rsidRPr="00BC1144">
                    <w:t>Gap year / time off</w:t>
                  </w:r>
                </w:p>
                <w:p w:rsidR="006E391F" w:rsidRPr="00BC1144" w:rsidRDefault="006E391F" w:rsidP="006E391F">
                  <w:pPr>
                    <w:pStyle w:val="TableBodyText"/>
                    <w:numPr>
                      <w:ilvl w:val="0"/>
                      <w:numId w:val="25"/>
                    </w:numPr>
                    <w:tabs>
                      <w:tab w:val="left" w:pos="349"/>
                    </w:tabs>
                    <w:ind w:left="349" w:right="28" w:hanging="343"/>
                    <w:jc w:val="left"/>
                  </w:pPr>
                  <w:r w:rsidRPr="00BC1144">
                    <w:t>Don’t know</w:t>
                  </w:r>
                </w:p>
                <w:p w:rsidR="006E391F" w:rsidRPr="00BC1144" w:rsidRDefault="006E391F" w:rsidP="006E391F">
                  <w:pPr>
                    <w:pStyle w:val="TableBodyText"/>
                    <w:numPr>
                      <w:ilvl w:val="0"/>
                      <w:numId w:val="25"/>
                    </w:numPr>
                    <w:tabs>
                      <w:tab w:val="left" w:pos="349"/>
                    </w:tabs>
                    <w:ind w:left="349" w:right="28" w:hanging="343"/>
                    <w:jc w:val="left"/>
                  </w:pPr>
                  <w:r w:rsidRPr="00BC1144">
                    <w:t>Something else</w:t>
                  </w:r>
                </w:p>
                <w:p w:rsidR="006E391F" w:rsidRPr="00BC1144" w:rsidRDefault="006E391F" w:rsidP="006E391F">
                  <w:pPr>
                    <w:pStyle w:val="TableBodyText"/>
                    <w:numPr>
                      <w:ilvl w:val="0"/>
                      <w:numId w:val="25"/>
                    </w:numPr>
                    <w:tabs>
                      <w:tab w:val="left" w:pos="349"/>
                    </w:tabs>
                    <w:ind w:left="349" w:right="28" w:hanging="343"/>
                    <w:jc w:val="left"/>
                  </w:pPr>
                  <w:r w:rsidRPr="00BC1144">
                    <w:t>Travel</w:t>
                  </w:r>
                </w:p>
                <w:p w:rsidR="006E391F" w:rsidRPr="00BC1144" w:rsidRDefault="006E391F" w:rsidP="006E391F">
                  <w:pPr>
                    <w:pStyle w:val="TableBodyText"/>
                    <w:numPr>
                      <w:ilvl w:val="0"/>
                      <w:numId w:val="25"/>
                    </w:numPr>
                    <w:tabs>
                      <w:tab w:val="left" w:pos="349"/>
                    </w:tabs>
                    <w:ind w:left="349" w:right="28" w:hanging="343"/>
                    <w:jc w:val="left"/>
                  </w:pPr>
                  <w:r w:rsidRPr="00BC1144">
                    <w:t>Self</w:t>
                  </w:r>
                  <w:r w:rsidRPr="00BC1144">
                    <w:noBreakHyphen/>
                    <w:t>development in sports or performing arts</w:t>
                  </w:r>
                </w:p>
                <w:p w:rsidR="006E391F" w:rsidRPr="00BC1144" w:rsidRDefault="006E391F" w:rsidP="006E391F">
                  <w:pPr>
                    <w:pStyle w:val="TableBodyText"/>
                    <w:numPr>
                      <w:ilvl w:val="0"/>
                      <w:numId w:val="25"/>
                    </w:numPr>
                    <w:tabs>
                      <w:tab w:val="left" w:pos="349"/>
                    </w:tabs>
                    <w:ind w:left="349" w:right="28" w:hanging="343"/>
                    <w:jc w:val="left"/>
                  </w:pPr>
                  <w:r w:rsidRPr="00BC1144">
                    <w:t>Defence force</w:t>
                  </w:r>
                </w:p>
              </w:tc>
            </w:tr>
            <w:tr w:rsidR="006E391F" w:rsidRPr="00BC1144" w:rsidTr="00336FA0">
              <w:tc>
                <w:tcPr>
                  <w:tcW w:w="711" w:type="pct"/>
                  <w:shd w:val="clear" w:color="auto" w:fill="F2F2F2" w:themeFill="background1" w:themeFillShade="F2"/>
                </w:tcPr>
                <w:p w:rsidR="006E391F" w:rsidRPr="00BC1144" w:rsidRDefault="006E391F" w:rsidP="00336FA0">
                  <w:pPr>
                    <w:pStyle w:val="TableBodyText"/>
                    <w:tabs>
                      <w:tab w:val="right" w:pos="2014"/>
                    </w:tabs>
                    <w:jc w:val="left"/>
                  </w:pPr>
                  <w:r w:rsidRPr="00BC1144">
                    <w:t>2003 (</w:t>
                  </w:r>
                  <w:r w:rsidRPr="00BC1144">
                    <w:rPr>
                      <w:shd w:val="clear" w:color="auto" w:fill="F2F2F2" w:themeFill="background1" w:themeFillShade="F2"/>
                    </w:rPr>
                    <w:t>LAA009), 2006</w:t>
                  </w:r>
                  <w:r w:rsidRPr="00BC1144">
                    <w:t xml:space="preserve"> (ST49N01) &amp; 2009 (ST66N01)</w:t>
                  </w:r>
                </w:p>
              </w:tc>
              <w:tc>
                <w:tcPr>
                  <w:tcW w:w="674" w:type="pct"/>
                  <w:shd w:val="clear" w:color="auto" w:fill="F2F2F2" w:themeFill="background1" w:themeFillShade="F2"/>
                </w:tcPr>
                <w:p w:rsidR="006E391F" w:rsidRPr="00BC1144" w:rsidRDefault="006E391F" w:rsidP="00336FA0">
                  <w:pPr>
                    <w:pStyle w:val="TableBodyText"/>
                    <w:jc w:val="left"/>
                  </w:pPr>
                  <w:r w:rsidRPr="00BC1144">
                    <w:t>Do you plan to do any further study at any other time after you leave school?</w:t>
                  </w:r>
                </w:p>
              </w:tc>
              <w:tc>
                <w:tcPr>
                  <w:tcW w:w="1205" w:type="pct"/>
                  <w:shd w:val="clear" w:color="auto" w:fill="F2F2F2" w:themeFill="background1" w:themeFillShade="F2"/>
                </w:tcPr>
                <w:p w:rsidR="006E391F" w:rsidRPr="00BC1144" w:rsidRDefault="006E391F" w:rsidP="006E391F">
                  <w:pPr>
                    <w:pStyle w:val="TableBodyText"/>
                    <w:numPr>
                      <w:ilvl w:val="0"/>
                      <w:numId w:val="26"/>
                    </w:numPr>
                    <w:tabs>
                      <w:tab w:val="left" w:pos="276"/>
                    </w:tabs>
                    <w:ind w:left="55" w:firstLine="0"/>
                    <w:jc w:val="left"/>
                  </w:pPr>
                  <w:r w:rsidRPr="00BC1144">
                    <w:t>University</w:t>
                  </w:r>
                </w:p>
                <w:p w:rsidR="006E391F" w:rsidRPr="00BC1144" w:rsidRDefault="006E391F" w:rsidP="006E391F">
                  <w:pPr>
                    <w:pStyle w:val="TableBodyText"/>
                    <w:numPr>
                      <w:ilvl w:val="0"/>
                      <w:numId w:val="26"/>
                    </w:numPr>
                    <w:tabs>
                      <w:tab w:val="left" w:pos="276"/>
                    </w:tabs>
                    <w:ind w:left="55" w:firstLine="0"/>
                    <w:jc w:val="left"/>
                  </w:pPr>
                  <w:r w:rsidRPr="00BC1144">
                    <w:t>Apprenticeship</w:t>
                  </w:r>
                </w:p>
                <w:p w:rsidR="006E391F" w:rsidRPr="00BC1144" w:rsidRDefault="006E391F" w:rsidP="006E391F">
                  <w:pPr>
                    <w:pStyle w:val="TableBodyText"/>
                    <w:numPr>
                      <w:ilvl w:val="0"/>
                      <w:numId w:val="26"/>
                    </w:numPr>
                    <w:tabs>
                      <w:tab w:val="left" w:pos="276"/>
                    </w:tabs>
                    <w:ind w:left="55" w:firstLine="0"/>
                    <w:jc w:val="left"/>
                  </w:pPr>
                  <w:r w:rsidRPr="00BC1144">
                    <w:t>Traineeship</w:t>
                  </w:r>
                </w:p>
                <w:p w:rsidR="006E391F" w:rsidRPr="00BC1144" w:rsidRDefault="006E391F" w:rsidP="006E391F">
                  <w:pPr>
                    <w:pStyle w:val="TableBodyText"/>
                    <w:numPr>
                      <w:ilvl w:val="0"/>
                      <w:numId w:val="26"/>
                    </w:numPr>
                    <w:tabs>
                      <w:tab w:val="left" w:pos="276"/>
                    </w:tabs>
                    <w:ind w:left="55" w:firstLine="0"/>
                    <w:jc w:val="left"/>
                  </w:pPr>
                  <w:r w:rsidRPr="00BC1144">
                    <w:t>TAFE college</w:t>
                  </w:r>
                </w:p>
                <w:p w:rsidR="006E391F" w:rsidRPr="00BC1144" w:rsidRDefault="006E391F" w:rsidP="006E391F">
                  <w:pPr>
                    <w:pStyle w:val="TableBodyText"/>
                    <w:numPr>
                      <w:ilvl w:val="0"/>
                      <w:numId w:val="26"/>
                    </w:numPr>
                    <w:tabs>
                      <w:tab w:val="left" w:pos="276"/>
                    </w:tabs>
                    <w:ind w:left="55" w:firstLine="0"/>
                    <w:jc w:val="left"/>
                  </w:pPr>
                  <w:r w:rsidRPr="00BC1144">
                    <w:t>Defence forces</w:t>
                  </w:r>
                </w:p>
                <w:p w:rsidR="006E391F" w:rsidRPr="00BC1144" w:rsidRDefault="006E391F" w:rsidP="006E391F">
                  <w:pPr>
                    <w:pStyle w:val="TableBodyText"/>
                    <w:numPr>
                      <w:ilvl w:val="0"/>
                      <w:numId w:val="26"/>
                    </w:numPr>
                    <w:tabs>
                      <w:tab w:val="left" w:pos="276"/>
                    </w:tabs>
                    <w:ind w:left="55" w:firstLine="0"/>
                    <w:jc w:val="left"/>
                  </w:pPr>
                  <w:r w:rsidRPr="00BC1144">
                    <w:t>Other</w:t>
                  </w:r>
                </w:p>
                <w:p w:rsidR="006E391F" w:rsidRPr="00BC1144" w:rsidRDefault="006E391F" w:rsidP="006E391F">
                  <w:pPr>
                    <w:pStyle w:val="TableBodyText"/>
                    <w:numPr>
                      <w:ilvl w:val="0"/>
                      <w:numId w:val="26"/>
                    </w:numPr>
                    <w:tabs>
                      <w:tab w:val="left" w:pos="276"/>
                    </w:tabs>
                    <w:ind w:left="55" w:firstLine="0"/>
                    <w:jc w:val="left"/>
                  </w:pPr>
                  <w:r w:rsidRPr="00BC1144">
                    <w:t>Don’t Know</w:t>
                  </w:r>
                </w:p>
              </w:tc>
              <w:tc>
                <w:tcPr>
                  <w:tcW w:w="1205" w:type="pct"/>
                  <w:shd w:val="clear" w:color="auto" w:fill="F2F2F2" w:themeFill="background1" w:themeFillShade="F2"/>
                </w:tcPr>
                <w:p w:rsidR="006E391F" w:rsidRPr="00BC1144" w:rsidRDefault="006E391F" w:rsidP="006E391F">
                  <w:pPr>
                    <w:pStyle w:val="TableBodyText"/>
                    <w:numPr>
                      <w:ilvl w:val="0"/>
                      <w:numId w:val="27"/>
                    </w:numPr>
                    <w:tabs>
                      <w:tab w:val="left" w:pos="239"/>
                    </w:tabs>
                    <w:ind w:left="239" w:right="0" w:hanging="239"/>
                    <w:jc w:val="left"/>
                  </w:pPr>
                  <w:r w:rsidRPr="00BC1144">
                    <w:t xml:space="preserve">No </w:t>
                  </w:r>
                  <w:r w:rsidRPr="00BC1144">
                    <w:noBreakHyphen/>
                    <w:t xml:space="preserve"> no further study plans</w:t>
                  </w:r>
                </w:p>
                <w:p w:rsidR="006E391F" w:rsidRPr="00BC1144" w:rsidRDefault="006E391F" w:rsidP="006E391F">
                  <w:pPr>
                    <w:pStyle w:val="TableBodyText"/>
                    <w:numPr>
                      <w:ilvl w:val="0"/>
                      <w:numId w:val="27"/>
                    </w:numPr>
                    <w:tabs>
                      <w:tab w:val="left" w:pos="239"/>
                    </w:tabs>
                    <w:ind w:left="239" w:right="0" w:hanging="239"/>
                    <w:jc w:val="left"/>
                  </w:pPr>
                  <w:r w:rsidRPr="00BC1144">
                    <w:t xml:space="preserve">Yes </w:t>
                  </w:r>
                  <w:r w:rsidRPr="00BC1144">
                    <w:noBreakHyphen/>
                    <w:t xml:space="preserve"> university course</w:t>
                  </w:r>
                </w:p>
                <w:p w:rsidR="006E391F" w:rsidRPr="00BC1144" w:rsidRDefault="006E391F" w:rsidP="006E391F">
                  <w:pPr>
                    <w:pStyle w:val="TableBodyText"/>
                    <w:numPr>
                      <w:ilvl w:val="0"/>
                      <w:numId w:val="27"/>
                    </w:numPr>
                    <w:tabs>
                      <w:tab w:val="left" w:pos="239"/>
                    </w:tabs>
                    <w:ind w:left="239" w:right="0" w:hanging="239"/>
                    <w:jc w:val="left"/>
                  </w:pPr>
                  <w:r w:rsidRPr="00BC1144">
                    <w:t xml:space="preserve">Yes </w:t>
                  </w:r>
                  <w:r w:rsidRPr="00BC1144">
                    <w:noBreakHyphen/>
                    <w:t xml:space="preserve"> apprenticeship</w:t>
                  </w:r>
                </w:p>
                <w:p w:rsidR="006E391F" w:rsidRPr="00BC1144" w:rsidRDefault="006E391F" w:rsidP="006E391F">
                  <w:pPr>
                    <w:pStyle w:val="TableBodyText"/>
                    <w:numPr>
                      <w:ilvl w:val="0"/>
                      <w:numId w:val="27"/>
                    </w:numPr>
                    <w:tabs>
                      <w:tab w:val="left" w:pos="239"/>
                    </w:tabs>
                    <w:ind w:left="239" w:right="0" w:hanging="239"/>
                    <w:jc w:val="left"/>
                  </w:pPr>
                  <w:r w:rsidRPr="00BC1144">
                    <w:t xml:space="preserve">Yes </w:t>
                  </w:r>
                  <w:r w:rsidRPr="00BC1144">
                    <w:noBreakHyphen/>
                    <w:t xml:space="preserve"> traineeship</w:t>
                  </w:r>
                </w:p>
                <w:p w:rsidR="006E391F" w:rsidRPr="00BC1144" w:rsidRDefault="006E391F" w:rsidP="006E391F">
                  <w:pPr>
                    <w:pStyle w:val="TableBodyText"/>
                    <w:numPr>
                      <w:ilvl w:val="0"/>
                      <w:numId w:val="27"/>
                    </w:numPr>
                    <w:tabs>
                      <w:tab w:val="left" w:pos="239"/>
                    </w:tabs>
                    <w:ind w:left="239" w:right="0" w:hanging="239"/>
                    <w:jc w:val="left"/>
                  </w:pPr>
                  <w:r w:rsidRPr="00BC1144">
                    <w:t xml:space="preserve">Yes </w:t>
                  </w:r>
                  <w:r w:rsidRPr="00BC1144">
                    <w:noBreakHyphen/>
                    <w:t xml:space="preserve"> other TAFE/VET course</w:t>
                  </w:r>
                </w:p>
                <w:p w:rsidR="006E391F" w:rsidRPr="00BC1144" w:rsidRDefault="006E391F" w:rsidP="006E391F">
                  <w:pPr>
                    <w:pStyle w:val="TableBodyText"/>
                    <w:numPr>
                      <w:ilvl w:val="0"/>
                      <w:numId w:val="27"/>
                    </w:numPr>
                    <w:tabs>
                      <w:tab w:val="left" w:pos="239"/>
                    </w:tabs>
                    <w:ind w:left="239" w:right="0" w:hanging="239"/>
                    <w:jc w:val="left"/>
                  </w:pPr>
                  <w:r w:rsidRPr="00BC1144">
                    <w:t xml:space="preserve">Yes </w:t>
                  </w:r>
                  <w:r w:rsidRPr="00BC1144">
                    <w:noBreakHyphen/>
                    <w:t xml:space="preserve"> some other study/training</w:t>
                  </w:r>
                </w:p>
                <w:p w:rsidR="006E391F" w:rsidRPr="00BC1144" w:rsidRDefault="006E391F" w:rsidP="006E391F">
                  <w:pPr>
                    <w:pStyle w:val="TableBodyText"/>
                    <w:numPr>
                      <w:ilvl w:val="0"/>
                      <w:numId w:val="27"/>
                    </w:numPr>
                    <w:tabs>
                      <w:tab w:val="left" w:pos="239"/>
                    </w:tabs>
                    <w:ind w:left="239" w:right="0" w:hanging="239"/>
                    <w:jc w:val="left"/>
                  </w:pPr>
                  <w:r w:rsidRPr="00BC1144">
                    <w:t>Other</w:t>
                  </w:r>
                </w:p>
                <w:p w:rsidR="006E391F" w:rsidRPr="00BC1144" w:rsidRDefault="006E391F" w:rsidP="006E391F">
                  <w:pPr>
                    <w:pStyle w:val="TableBodyText"/>
                    <w:numPr>
                      <w:ilvl w:val="0"/>
                      <w:numId w:val="27"/>
                    </w:numPr>
                    <w:tabs>
                      <w:tab w:val="left" w:pos="239"/>
                    </w:tabs>
                    <w:ind w:left="239" w:right="0" w:hanging="239"/>
                    <w:jc w:val="left"/>
                  </w:pPr>
                  <w:r w:rsidRPr="00BC1144">
                    <w:t>Don’t know</w:t>
                  </w:r>
                </w:p>
                <w:p w:rsidR="006E391F" w:rsidRPr="00BC1144" w:rsidRDefault="006E391F" w:rsidP="00336FA0">
                  <w:pPr>
                    <w:pStyle w:val="TableBodyText"/>
                    <w:ind w:right="28"/>
                    <w:jc w:val="left"/>
                  </w:pPr>
                </w:p>
              </w:tc>
              <w:tc>
                <w:tcPr>
                  <w:tcW w:w="1205" w:type="pct"/>
                  <w:shd w:val="clear" w:color="auto" w:fill="F2F2F2" w:themeFill="background1" w:themeFillShade="F2"/>
                </w:tcPr>
                <w:p w:rsidR="006E391F" w:rsidRPr="00BC1144" w:rsidRDefault="006E391F" w:rsidP="006E391F">
                  <w:pPr>
                    <w:pStyle w:val="TableBodyText"/>
                    <w:numPr>
                      <w:ilvl w:val="0"/>
                      <w:numId w:val="28"/>
                    </w:numPr>
                    <w:tabs>
                      <w:tab w:val="left" w:pos="349"/>
                    </w:tabs>
                    <w:ind w:left="349" w:right="0" w:hanging="349"/>
                    <w:jc w:val="left"/>
                  </w:pPr>
                  <w:r w:rsidRPr="00BC1144">
                    <w:t>No</w:t>
                  </w:r>
                </w:p>
                <w:p w:rsidR="006E391F" w:rsidRPr="00BC1144" w:rsidRDefault="006E391F" w:rsidP="006E391F">
                  <w:pPr>
                    <w:pStyle w:val="TableBodyText"/>
                    <w:numPr>
                      <w:ilvl w:val="0"/>
                      <w:numId w:val="28"/>
                    </w:numPr>
                    <w:tabs>
                      <w:tab w:val="left" w:pos="349"/>
                    </w:tabs>
                    <w:ind w:left="349" w:right="0" w:hanging="349"/>
                    <w:jc w:val="left"/>
                  </w:pPr>
                  <w:r w:rsidRPr="00BC1144">
                    <w:t>Yes, university course</w:t>
                  </w:r>
                </w:p>
                <w:p w:rsidR="006E391F" w:rsidRPr="00BC1144" w:rsidRDefault="006E391F" w:rsidP="006E391F">
                  <w:pPr>
                    <w:pStyle w:val="TableBodyText"/>
                    <w:numPr>
                      <w:ilvl w:val="0"/>
                      <w:numId w:val="28"/>
                    </w:numPr>
                    <w:tabs>
                      <w:tab w:val="left" w:pos="349"/>
                    </w:tabs>
                    <w:ind w:left="349" w:right="0" w:hanging="349"/>
                    <w:jc w:val="left"/>
                  </w:pPr>
                  <w:r w:rsidRPr="00BC1144">
                    <w:t>Yes, apprenticeship</w:t>
                  </w:r>
                </w:p>
                <w:p w:rsidR="006E391F" w:rsidRPr="00BC1144" w:rsidRDefault="006E391F" w:rsidP="006E391F">
                  <w:pPr>
                    <w:pStyle w:val="TableBodyText"/>
                    <w:numPr>
                      <w:ilvl w:val="0"/>
                      <w:numId w:val="28"/>
                    </w:numPr>
                    <w:tabs>
                      <w:tab w:val="left" w:pos="349"/>
                    </w:tabs>
                    <w:ind w:left="349" w:right="0" w:hanging="349"/>
                    <w:jc w:val="left"/>
                  </w:pPr>
                  <w:r w:rsidRPr="00BC1144">
                    <w:t>Yes, traineeship</w:t>
                  </w:r>
                </w:p>
                <w:p w:rsidR="006E391F" w:rsidRPr="00BC1144" w:rsidRDefault="006E391F" w:rsidP="006E391F">
                  <w:pPr>
                    <w:pStyle w:val="TableBodyText"/>
                    <w:numPr>
                      <w:ilvl w:val="0"/>
                      <w:numId w:val="28"/>
                    </w:numPr>
                    <w:tabs>
                      <w:tab w:val="left" w:pos="349"/>
                    </w:tabs>
                    <w:ind w:left="349" w:right="0" w:hanging="349"/>
                    <w:jc w:val="left"/>
                  </w:pPr>
                  <w:r w:rsidRPr="00BC1144">
                    <w:t>Yes, other TAFE or VET course</w:t>
                  </w:r>
                </w:p>
                <w:p w:rsidR="006E391F" w:rsidRPr="00BC1144" w:rsidRDefault="006E391F" w:rsidP="006E391F">
                  <w:pPr>
                    <w:pStyle w:val="TableBodyText"/>
                    <w:numPr>
                      <w:ilvl w:val="0"/>
                      <w:numId w:val="28"/>
                    </w:numPr>
                    <w:tabs>
                      <w:tab w:val="left" w:pos="349"/>
                    </w:tabs>
                    <w:ind w:left="349" w:right="0" w:hanging="349"/>
                    <w:jc w:val="left"/>
                  </w:pPr>
                  <w:r w:rsidRPr="00BC1144">
                    <w:t>Other</w:t>
                  </w:r>
                </w:p>
                <w:p w:rsidR="006E391F" w:rsidRPr="00BC1144" w:rsidRDefault="006E391F" w:rsidP="006E391F">
                  <w:pPr>
                    <w:pStyle w:val="TableBodyText"/>
                    <w:numPr>
                      <w:ilvl w:val="0"/>
                      <w:numId w:val="28"/>
                    </w:numPr>
                    <w:tabs>
                      <w:tab w:val="left" w:pos="349"/>
                    </w:tabs>
                    <w:ind w:left="349" w:right="0" w:hanging="349"/>
                    <w:jc w:val="left"/>
                  </w:pPr>
                  <w:r w:rsidRPr="00BC1144">
                    <w:t>Don’t know</w:t>
                  </w:r>
                </w:p>
                <w:p w:rsidR="006E391F" w:rsidRPr="00BC1144" w:rsidRDefault="006E391F" w:rsidP="006E391F">
                  <w:pPr>
                    <w:pStyle w:val="TableBodyText"/>
                    <w:numPr>
                      <w:ilvl w:val="0"/>
                      <w:numId w:val="28"/>
                    </w:numPr>
                    <w:tabs>
                      <w:tab w:val="left" w:pos="349"/>
                    </w:tabs>
                    <w:ind w:left="349" w:right="0" w:hanging="349"/>
                    <w:jc w:val="left"/>
                  </w:pPr>
                  <w:r w:rsidRPr="00BC1144">
                    <w:t>Defence force</w:t>
                  </w:r>
                </w:p>
                <w:p w:rsidR="006E391F" w:rsidRPr="00BC1144" w:rsidRDefault="006E391F" w:rsidP="006E391F">
                  <w:pPr>
                    <w:pStyle w:val="TableBodyText"/>
                    <w:numPr>
                      <w:ilvl w:val="0"/>
                      <w:numId w:val="28"/>
                    </w:numPr>
                    <w:tabs>
                      <w:tab w:val="left" w:pos="349"/>
                    </w:tabs>
                    <w:ind w:left="349" w:right="0" w:hanging="349"/>
                    <w:jc w:val="left"/>
                  </w:pPr>
                  <w:r w:rsidRPr="00BC1144">
                    <w:t>Performing / Creative arts training</w:t>
                  </w:r>
                </w:p>
                <w:p w:rsidR="006E391F" w:rsidRPr="00BC1144" w:rsidRDefault="006E391F" w:rsidP="006E391F">
                  <w:pPr>
                    <w:pStyle w:val="TableBodyText"/>
                    <w:numPr>
                      <w:ilvl w:val="0"/>
                      <w:numId w:val="28"/>
                    </w:numPr>
                    <w:tabs>
                      <w:tab w:val="left" w:pos="349"/>
                    </w:tabs>
                    <w:ind w:left="349" w:right="0" w:hanging="349"/>
                    <w:jc w:val="left"/>
                  </w:pPr>
                  <w:r w:rsidRPr="00BC1144">
                    <w:t>Professional sports</w:t>
                  </w:r>
                  <w:r w:rsidRPr="00BC1144" w:rsidDel="00C44ED8">
                    <w:t xml:space="preserve"> </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All questions are from the first wave of the cohort.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4"/>
      </w:pPr>
      <w:r w:rsidRPr="00BC1144">
        <w:t>Derived variables</w:t>
      </w:r>
    </w:p>
    <w:p w:rsidR="006E391F" w:rsidRPr="00BC1144" w:rsidRDefault="006E391F" w:rsidP="00336FA0">
      <w:pPr>
        <w:pStyle w:val="BodyText"/>
        <w:rPr>
          <w:lang w:eastAsia="en-US"/>
        </w:rPr>
      </w:pPr>
      <w:r w:rsidRPr="00BC1144">
        <w:rPr>
          <w:lang w:eastAsia="en-US"/>
        </w:rPr>
        <w:t xml:space="preserve">While some variables were taken directly from the LSAY dataset, several were derived either from the LSAY data or by matching LSAY data with other data. </w:t>
      </w:r>
    </w:p>
    <w:p w:rsidR="006E391F" w:rsidRPr="00BC1144" w:rsidRDefault="006E391F" w:rsidP="00336FA0">
      <w:pPr>
        <w:pStyle w:val="Heading5"/>
      </w:pPr>
      <w:r w:rsidRPr="00BC1144">
        <w:lastRenderedPageBreak/>
        <w:t xml:space="preserve">Hours worked in year 12 </w:t>
      </w:r>
    </w:p>
    <w:p w:rsidR="006E391F" w:rsidRPr="00BC1144" w:rsidRDefault="006E391F" w:rsidP="00336FA0">
      <w:pPr>
        <w:pStyle w:val="BodyText"/>
        <w:rPr>
          <w:lang w:eastAsia="en-US"/>
        </w:rPr>
      </w:pPr>
      <w:r w:rsidRPr="00BC1144">
        <w:rPr>
          <w:lang w:eastAsia="en-US"/>
        </w:rPr>
        <w:t xml:space="preserve">Anlezark and Lim </w:t>
      </w:r>
      <w:r w:rsidR="0092626E" w:rsidRPr="00BC1144">
        <w:t>(2011)</w:t>
      </w:r>
      <w:r w:rsidRPr="00BC1144">
        <w:rPr>
          <w:lang w:eastAsia="en-US"/>
        </w:rPr>
        <w:t>, using LSAY data, found that combining school and work has a modest negative impact on school and post</w:t>
      </w:r>
      <w:r w:rsidRPr="00BC1144">
        <w:rPr>
          <w:lang w:eastAsia="en-US"/>
        </w:rPr>
        <w:noBreakHyphen/>
        <w:t>school study outcomes when the hours are long (in excess of 15</w:t>
      </w:r>
      <w:r w:rsidRPr="00BC1144">
        <w:rPr>
          <w:lang w:eastAsia="en-US"/>
        </w:rPr>
        <w:noBreakHyphen/>
        <w:t>20 hours a week). To account for this effect, this study’s modelling of outcomes includes reported hours worked of school students in year 12. As this study includes school students who did not attend year 12, an interaction term was added to isolate the effect of hours worked for only those students who go on to attend year 12.</w:t>
      </w:r>
    </w:p>
    <w:p w:rsidR="006E391F" w:rsidRPr="00BC1144" w:rsidRDefault="006E391F" w:rsidP="00336FA0">
      <w:pPr>
        <w:pStyle w:val="Heading5"/>
      </w:pPr>
      <w:r w:rsidRPr="00BC1144">
        <w:t>Neighbourhood socioeconomic status</w:t>
      </w:r>
    </w:p>
    <w:p w:rsidR="006E391F" w:rsidRPr="00BC1144" w:rsidRDefault="006E391F" w:rsidP="00336FA0">
      <w:pPr>
        <w:pStyle w:val="BodyText"/>
      </w:pPr>
      <w:r w:rsidRPr="00BC1144">
        <w:t>The socioeconomic status of the neighbourhood in which one grows up can affect the likelihood of university participation in a number of ways. For example, more affluent areas may more readily provide university-educated role models that help develop aspiration to attend university during childhood. To capture these neighbourhood effects, data from the Census of Population and Housing were merged into the LSAY based on the postcode of the student in the first wave of the sample. The study uses the ABS Socio</w:t>
      </w:r>
      <w:r w:rsidRPr="00BC1144">
        <w:noBreakHyphen/>
        <w:t>Economic Index for Areas (SEIFA) ‘index of education and occupation’ as a measure of socio</w:t>
      </w:r>
      <w:r w:rsidRPr="00BC1144">
        <w:noBreakHyphen/>
        <w:t>economic status of the region, with annual data constructed by linear interpolation between census years. This index had better explanatory power in the models than alternatives tested including the ABS ‘index of relative socio</w:t>
      </w:r>
      <w:r w:rsidRPr="00BC1144">
        <w:noBreakHyphen/>
        <w:t xml:space="preserve">economic disadvantage’, the ‘index of economic resources’, and local area unemployment and youth unemployment rates. </w:t>
      </w:r>
    </w:p>
    <w:p w:rsidR="006E391F" w:rsidRPr="00BC1144" w:rsidRDefault="006E391F" w:rsidP="00336FA0">
      <w:pPr>
        <w:pStyle w:val="Heading5"/>
      </w:pPr>
      <w:r w:rsidRPr="00BC1144">
        <w:t>Distance</w:t>
      </w:r>
    </w:p>
    <w:p w:rsidR="006E391F" w:rsidRPr="00BC1144" w:rsidRDefault="006E391F" w:rsidP="00336FA0">
      <w:pPr>
        <w:pStyle w:val="BodyText"/>
      </w:pPr>
      <w:r w:rsidRPr="00BC1144">
        <w:t xml:space="preserve">Many students attending university remain in their parent’s dwelling given the cost of independent living. In 2017, the cost of living for a university student in the family home was estimated to be just under $11 000 annually, while the most likely alternative (shared renting) was more than 140 per cent more costly (ASG 2017). Staying in the family home is not an option for students when they do not live in close proximity to a university campus — and these students may not be able to access family and other support networks. The consequence is that the effective cost of university participation will often be much higher for students originating from places distant from a campus. This is likely to partly explain the lower university participation rates of young people from regional areas </w:t>
      </w:r>
      <w:r w:rsidR="0092626E" w:rsidRPr="00BC1144">
        <w:rPr>
          <w:szCs w:val="24"/>
        </w:rPr>
        <w:t>(Cooper, Baglin and Strathdee 2017)</w:t>
      </w:r>
      <w:r w:rsidRPr="00BC1144">
        <w:t xml:space="preserve">. To assess the importance of this effect, geodesic distance was measured to the nearest university campus from a centroid of the postal area in which the student resides during the last wave that they reported they were in school. </w:t>
      </w:r>
    </w:p>
    <w:p w:rsidR="006E391F" w:rsidRPr="00BC1144" w:rsidRDefault="006E391F" w:rsidP="00336FA0">
      <w:pPr>
        <w:pStyle w:val="BodyText"/>
      </w:pPr>
      <w:r w:rsidRPr="00BC1144">
        <w:t xml:space="preserve">Campus addresses were obtained from university websites and specialist campuses were excluded (defined as campuses that only offer bachelor degrees one field of study). We determined the longitude and latitude of each student’s postcode, using the statistical software package R to access location data from Google maps, then calculated the minimum distance between each student postcode and campus address. </w:t>
      </w:r>
    </w:p>
    <w:p w:rsidR="006E391F" w:rsidRPr="00BC1144" w:rsidRDefault="006E391F" w:rsidP="00336FA0">
      <w:pPr>
        <w:pStyle w:val="BodyText"/>
      </w:pPr>
      <w:r w:rsidRPr="00BC1144">
        <w:lastRenderedPageBreak/>
        <w:t xml:space="preserve">There is limited evidence on what is a reasonable distance to commute to university. In an Australian context, Urbis (2018) used a 60 km threshold as the distance beyond which commuting was a tenable option, but this was based on assumption rather than empirical evidence. Frenette </w:t>
      </w:r>
      <w:r w:rsidR="0092626E" w:rsidRPr="00BC1144">
        <w:t>(2007)</w:t>
      </w:r>
      <w:r w:rsidRPr="00BC1144">
        <w:t xml:space="preserve"> considered attendance of students growing up more than 80 km from a university campus, 40 km to 80 km and less than 40 km is within commuting distance for most people. This study uses a log transformation of distance measured as a continuous variable. It provided the highest predictive power for the data used in this study, based on various transformations of the distance variable, including an ordinal distance variable with cut-offs at 40 km and 80 km. </w:t>
      </w:r>
    </w:p>
    <w:p w:rsidR="006E391F" w:rsidRPr="00BC1144" w:rsidRDefault="006E391F" w:rsidP="00336FA0">
      <w:pPr>
        <w:pStyle w:val="BodyText"/>
      </w:pPr>
      <w:r w:rsidRPr="00BC1144">
        <w:t>While the above approach to variable definition is tractable, it is likely to downplay the importance of distance because the quality and diversity of courses at the closest university may not match the preferences of students.</w:t>
      </w:r>
    </w:p>
    <w:p w:rsidR="006E391F" w:rsidRPr="00BC1144" w:rsidRDefault="006E391F" w:rsidP="00336FA0">
      <w:pPr>
        <w:pStyle w:val="Heading5"/>
      </w:pPr>
      <w:r w:rsidRPr="00BC1144">
        <w:t>Books</w:t>
      </w:r>
    </w:p>
    <w:p w:rsidR="006E391F" w:rsidRPr="00BC1144" w:rsidRDefault="006E391F" w:rsidP="00336FA0">
      <w:pPr>
        <w:pStyle w:val="BodyText"/>
        <w:rPr>
          <w:lang w:eastAsia="en-US"/>
        </w:rPr>
      </w:pPr>
      <w:r w:rsidRPr="00BC1144">
        <w:rPr>
          <w:lang w:eastAsia="en-US"/>
        </w:rPr>
        <w:t xml:space="preserve">Cultural capital — the social assets of a person (education, social networks, the nature of familial conversations, access to diverse experiences) — provides an avenue for social mobility, including academic achievement and access to university </w:t>
      </w:r>
      <w:r w:rsidR="0092626E" w:rsidRPr="00BC1144">
        <w:rPr>
          <w:szCs w:val="24"/>
        </w:rPr>
        <w:t>(Bourdieu and Passeron 1990; Noble and Davies 2009)</w:t>
      </w:r>
      <w:r w:rsidRPr="00BC1144">
        <w:rPr>
          <w:lang w:eastAsia="en-US"/>
        </w:rPr>
        <w:t xml:space="preserve">. Having books in the home is one aspect of this capital, with evidence from LSAY that found that having more than 100 books is a major driver of academic achievement (in school) and university aspirations — exceeding the effects of parental education and occupation </w:t>
      </w:r>
      <w:r w:rsidR="0092626E" w:rsidRPr="00BC1144">
        <w:rPr>
          <w:szCs w:val="24"/>
        </w:rPr>
        <w:t>(Johnston et al. 2014)</w:t>
      </w:r>
      <w:r w:rsidRPr="00BC1144">
        <w:rPr>
          <w:lang w:eastAsia="en-US"/>
        </w:rPr>
        <w:t xml:space="preserve">. </w:t>
      </w:r>
    </w:p>
    <w:p w:rsidR="006E391F" w:rsidRPr="00BC1144" w:rsidRDefault="006E391F" w:rsidP="00336FA0">
      <w:pPr>
        <w:pStyle w:val="Heading3"/>
      </w:pPr>
      <w:bookmarkStart w:id="66" w:name="_Toc10805471"/>
      <w:r w:rsidRPr="00BC1144">
        <w:t>Defining equity groups in the LSAY</w:t>
      </w:r>
      <w:bookmarkEnd w:id="66"/>
    </w:p>
    <w:p w:rsidR="006E391F" w:rsidRPr="00BC1144" w:rsidRDefault="006E391F" w:rsidP="00336FA0">
      <w:pPr>
        <w:pStyle w:val="ListBullet"/>
        <w:numPr>
          <w:ilvl w:val="0"/>
          <w:numId w:val="0"/>
        </w:numPr>
        <w:rPr>
          <w:spacing w:val="-2"/>
          <w:lang w:eastAsia="en-US"/>
        </w:rPr>
      </w:pPr>
      <w:r w:rsidRPr="00BC1144">
        <w:rPr>
          <w:spacing w:val="-2"/>
          <w:lang w:eastAsia="en-US"/>
        </w:rPr>
        <w:t xml:space="preserve">No single dataset is ideal for the examination of the impact of equity group background and tertiary education outcomes. In contrast with administrative data from the Department of Education and Training, </w:t>
      </w:r>
      <w:r w:rsidRPr="00BC1144">
        <w:rPr>
          <w:spacing w:val="-2"/>
        </w:rPr>
        <w:t xml:space="preserve">LSAY tracks children from school age and contains richer </w:t>
      </w:r>
      <w:r w:rsidRPr="00BC1144">
        <w:rPr>
          <w:spacing w:val="-2"/>
          <w:lang w:eastAsia="en-US"/>
        </w:rPr>
        <w:t>information</w:t>
      </w:r>
      <w:r w:rsidRPr="00BC1144">
        <w:rPr>
          <w:spacing w:val="-2"/>
        </w:rPr>
        <w:t xml:space="preserve"> on child and family traits than DET administrative data.  On the </w:t>
      </w:r>
      <w:r w:rsidRPr="00BC1144">
        <w:rPr>
          <w:spacing w:val="-2"/>
          <w:lang w:eastAsia="en-US"/>
        </w:rPr>
        <w:t>other hand, the limited sample size of the LSAY and challenges of survey attrition mean that group mean participation rates may be less accurate than those derived from administrative data sets. The LSAY dataset also only relates to young people, aged 15 to 25 years, whereas published figures on equity group participation rates from administrative data are based on all years of age.</w:t>
      </w:r>
    </w:p>
    <w:p w:rsidR="006E391F" w:rsidRPr="00BC1144" w:rsidRDefault="006E391F" w:rsidP="00336FA0">
      <w:pPr>
        <w:pStyle w:val="ListBullet"/>
        <w:numPr>
          <w:ilvl w:val="0"/>
          <w:numId w:val="0"/>
        </w:numPr>
        <w:rPr>
          <w:lang w:eastAsia="en-US"/>
        </w:rPr>
      </w:pPr>
      <w:r w:rsidRPr="00BC1144">
        <w:rPr>
          <w:lang w:eastAsia="en-US"/>
        </w:rPr>
        <w:t>Some of the most important differences between equity groups as defined in this study and from DET administrative data are:</w:t>
      </w:r>
    </w:p>
    <w:p w:rsidR="006E391F" w:rsidRPr="00BC1144" w:rsidRDefault="006E391F" w:rsidP="00336FA0">
      <w:pPr>
        <w:pStyle w:val="ListBullet"/>
      </w:pPr>
      <w:r w:rsidRPr="00BC1144">
        <w:t xml:space="preserve">This study defines someone as a ‘first in family’ student if neither parent holds a university degree. This is coded based on attainment of </w:t>
      </w:r>
      <w:r w:rsidRPr="00BC1144">
        <w:rPr>
          <w:lang w:eastAsia="en-US"/>
        </w:rPr>
        <w:t>International Standard Classification of Education (ISCED) level 5A or 6 qualifications. Administrative data collections do not report first in family students.</w:t>
      </w:r>
    </w:p>
    <w:p w:rsidR="006E391F" w:rsidRPr="00BC1144" w:rsidRDefault="006E391F" w:rsidP="00336FA0">
      <w:pPr>
        <w:pStyle w:val="ListBullet"/>
      </w:pPr>
      <w:r w:rsidRPr="00BC1144">
        <w:t xml:space="preserve">This study defines regional and remote status based on a student’s </w:t>
      </w:r>
      <w:r w:rsidRPr="00BC1144">
        <w:rPr>
          <w:lang w:eastAsia="en-US"/>
        </w:rPr>
        <w:t xml:space="preserve">postcode at age 15 years (concorded to the ASGS classification). These data were available in a restricted </w:t>
      </w:r>
      <w:r w:rsidRPr="00BC1144">
        <w:rPr>
          <w:lang w:eastAsia="en-US"/>
        </w:rPr>
        <w:lastRenderedPageBreak/>
        <w:t>access LSAY dataset. Administrative data collections rely on the permanent address provided at the time they enrol in university and is less likely to capture a student’s regional origin.</w:t>
      </w:r>
    </w:p>
    <w:p w:rsidR="006E391F" w:rsidRPr="00BC1144" w:rsidRDefault="006E391F" w:rsidP="00336FA0">
      <w:pPr>
        <w:pStyle w:val="ListBullet"/>
      </w:pPr>
      <w:r w:rsidRPr="00BC1144">
        <w:t xml:space="preserve">This study defines socioeconomic status based on the student’s family. It uses parental occupation when the student is 15 years old at the </w:t>
      </w:r>
      <w:r w:rsidRPr="00BC1144">
        <w:rPr>
          <w:lang w:eastAsia="en-US"/>
        </w:rPr>
        <w:t xml:space="preserve">four digit </w:t>
      </w:r>
      <w:r w:rsidRPr="00BC1144">
        <w:t>International Standard of Occupation level mapped to the International Socio</w:t>
      </w:r>
      <w:r w:rsidRPr="00BC1144">
        <w:noBreakHyphen/>
        <w:t>Economic Index of occupational status index. This is a more accurate measure of the relative advantage of a child’s upbringing than the administrative measure, which is based on the ABS Socio</w:t>
      </w:r>
      <w:r w:rsidRPr="00BC1144">
        <w:noBreakHyphen/>
        <w:t>Economic Index for Areas of a student’s permanent (out of semester) address provided at the time they enrol in university.</w:t>
      </w:r>
    </w:p>
    <w:p w:rsidR="006E391F" w:rsidRPr="00BC1144" w:rsidRDefault="006E391F" w:rsidP="00336FA0">
      <w:pPr>
        <w:pStyle w:val="ListBullet"/>
      </w:pPr>
      <w:r w:rsidRPr="00BC1144">
        <w:t>This study defines non</w:t>
      </w:r>
      <w:r w:rsidRPr="00BC1144">
        <w:noBreakHyphen/>
        <w:t xml:space="preserve">English speaking background (NESB) </w:t>
      </w:r>
      <w:r w:rsidRPr="00BC1144">
        <w:rPr>
          <w:lang w:eastAsia="en-US"/>
        </w:rPr>
        <w:t xml:space="preserve">as a student who migrated to Australia at or before the age of ten and who speaks a language other than English at home. This is similar to administrative data in which the definition of NESB is based on whether a student migrated to Australia at most ten years before enrolling at university and speaks a language other than English at home. </w:t>
      </w:r>
      <w:r w:rsidRPr="00BC1144">
        <w:rPr>
          <w:rStyle w:val="FootnoteReference"/>
          <w:lang w:eastAsia="en-US"/>
        </w:rPr>
        <w:footnoteReference w:id="20"/>
      </w:r>
      <w:r w:rsidRPr="00BC1144">
        <w:rPr>
          <w:lang w:eastAsia="en-US"/>
        </w:rPr>
        <w:t xml:space="preserve"> </w:t>
      </w:r>
    </w:p>
    <w:p w:rsidR="006E391F" w:rsidRPr="00BC1144" w:rsidRDefault="006E391F" w:rsidP="00336FA0">
      <w:pPr>
        <w:pStyle w:val="ListBullet"/>
      </w:pPr>
      <w:r w:rsidRPr="00BC1144">
        <w:rPr>
          <w:lang w:eastAsia="en-US"/>
        </w:rPr>
        <w:t>This study excludes disability as an equity group because some people with disabilities are out of scope of the LSAY survey.</w:t>
      </w:r>
    </w:p>
    <w:p w:rsidR="006E391F" w:rsidRPr="00BC1144" w:rsidRDefault="006E391F" w:rsidP="00336FA0">
      <w:pPr>
        <w:pStyle w:val="Heading2"/>
      </w:pPr>
      <w:bookmarkStart w:id="67" w:name="_Toc10805472"/>
      <w:r w:rsidRPr="00BC1144">
        <w:t>B.</w:t>
      </w:r>
      <w:r w:rsidRPr="00BC1144">
        <w:rPr>
          <w:noProof/>
        </w:rPr>
        <w:t>4</w:t>
      </w:r>
      <w:r w:rsidRPr="00BC1144">
        <w:tab/>
        <w:t>Decomposing differences in group means</w:t>
      </w:r>
      <w:bookmarkEnd w:id="67"/>
      <w:r w:rsidRPr="00BC1144">
        <w:t xml:space="preserve"> </w:t>
      </w:r>
    </w:p>
    <w:p w:rsidR="006E391F" w:rsidRPr="00BC1144" w:rsidRDefault="006E391F" w:rsidP="00336FA0">
      <w:pPr>
        <w:pStyle w:val="BodyText"/>
      </w:pPr>
      <w:r w:rsidRPr="00BC1144">
        <w:t xml:space="preserve">Factors that affect individual decisions to attend university also contribute to differences in participation between groups. In a linear regression model, it is common (following Oaxaca </w:t>
      </w:r>
      <w:r w:rsidR="0092626E" w:rsidRPr="00BC1144">
        <w:t>(1973)</w:t>
      </w:r>
      <w:r w:rsidRPr="00BC1144">
        <w:t xml:space="preserve"> and Blinder </w:t>
      </w:r>
      <w:r w:rsidR="0092626E" w:rsidRPr="00BC1144">
        <w:t>(1973)</w:t>
      </w:r>
      <w:r w:rsidRPr="00BC1144">
        <w:t>) to decompose differences between groups into contributions from group membership alone (e.g. being from the lowest SES quartile) and contributions from differences in group characteristics (for example, that members of the lowest SES quartile may have lower school achievement, more commonly attend public schools, and so forth). The difference in group predictions between a ‘Group 1’ and ‘Group 2’ with characteristics X</w:t>
      </w:r>
      <w:r w:rsidRPr="00BC1144">
        <w:rPr>
          <w:vertAlign w:val="subscript"/>
        </w:rPr>
        <w:t>1</w:t>
      </w:r>
      <w:r w:rsidRPr="00BC1144">
        <w:t xml:space="preserve"> and X</w:t>
      </w:r>
      <w:r w:rsidRPr="00BC1144">
        <w:rPr>
          <w:vertAlign w:val="subscript"/>
        </w:rPr>
        <w:t>2</w:t>
      </w:r>
      <w:r w:rsidRPr="00BC1144">
        <w:t xml:space="preserve"> is given by the difference in the group means multiplied by the estimated coefficients </w:t>
      </w:r>
      <m:oMath>
        <m:acc>
          <m:accPr>
            <m:ctrlPr>
              <w:rPr>
                <w:rFonts w:ascii="Cambria Math" w:eastAsiaTheme="minorEastAsia" w:hAnsi="Cambria Math"/>
                <w:i/>
              </w:rPr>
            </m:ctrlPr>
          </m:accPr>
          <m:e>
            <m:r>
              <w:rPr>
                <w:rFonts w:ascii="Cambria Math" w:eastAsiaTheme="minorEastAsia" w:hAnsi="Cambria Math"/>
              </w:rPr>
              <m:t>β</m:t>
            </m:r>
          </m:e>
        </m:acc>
      </m:oMath>
      <w:r w:rsidRPr="00BC1144">
        <w:t xml:space="preserve">. That is, the average difference between the predicted outcomes for the two groups is </w:t>
      </w:r>
      <m:oMath>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Pr="00BC1144">
        <w:rPr>
          <w:rFonts w:eastAsiaTheme="minorEastAsia"/>
        </w:rPr>
        <w:t>)’</w:t>
      </w:r>
      <m:oMath>
        <m:acc>
          <m:accPr>
            <m:ctrlPr>
              <w:rPr>
                <w:rFonts w:ascii="Cambria Math" w:eastAsiaTheme="minorEastAsia" w:hAnsi="Cambria Math"/>
                <w:i/>
              </w:rPr>
            </m:ctrlPr>
          </m:accPr>
          <m:e>
            <m:r>
              <w:rPr>
                <w:rFonts w:ascii="Cambria Math" w:eastAsiaTheme="minorEastAsia" w:hAnsi="Cambria Math"/>
              </w:rPr>
              <m:t>β</m:t>
            </m:r>
          </m:e>
        </m:acc>
      </m:oMath>
      <w:r w:rsidRPr="00BC1144">
        <w:rPr>
          <w:rFonts w:eastAsiaTheme="minorEastAsia"/>
        </w:rPr>
        <w:t>. It is natural to define th</w:t>
      </w:r>
      <w:r w:rsidRPr="00BC1144">
        <w:t>e contribution of a particular characteristic k to the average group difference as:</w:t>
      </w:r>
    </w:p>
    <w:p w:rsidR="006E391F" w:rsidRPr="00BC1144" w:rsidRDefault="00EF7456" w:rsidP="00336FA0">
      <w:pPr>
        <w:spacing w:before="240"/>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2,k</m:t>
                  </m:r>
                </m:sub>
              </m:sSub>
              <m:r>
                <m:rPr>
                  <m:sty m:val="p"/>
                </m:rP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k</m:t>
                      </m:r>
                    </m:sub>
                  </m:sSub>
                </m:e>
              </m:acc>
              <m:r>
                <m:rPr>
                  <m:sty m:val="p"/>
                </m:rPr>
                <w:rPr>
                  <w:rFonts w:ascii="Cambria Math" w:eastAsiaTheme="minorEastAsia" w:hAnsi="Cambria Math"/>
                </w:rPr>
                <m:t>.</m:t>
              </m:r>
            </m:num>
            <m:den>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r>
                <m:rPr>
                  <m:sty m:val="p"/>
                </m:rP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β</m:t>
                  </m:r>
                </m:e>
              </m:acc>
              <m:r>
                <m:rPr>
                  <m:sty m:val="p"/>
                </m:rPr>
                <w:rPr>
                  <w:rFonts w:ascii="Cambria Math" w:eastAsiaTheme="minorEastAsia" w:hAnsi="Cambria Math"/>
                </w:rPr>
                <m:t>.</m:t>
              </m:r>
            </m:den>
          </m:f>
        </m:oMath>
      </m:oMathPara>
    </w:p>
    <w:p w:rsidR="006E391F" w:rsidRPr="00BC1144" w:rsidRDefault="006E391F" w:rsidP="00336FA0">
      <w:pPr>
        <w:pStyle w:val="BodyText"/>
      </w:pPr>
      <w:r w:rsidRPr="00BC1144">
        <w:t>In non</w:t>
      </w:r>
      <w:r w:rsidRPr="00BC1144">
        <w:noBreakHyphen/>
        <w:t xml:space="preserve">linear models, like the probit models used in this paper, there is no longer a natural decomposition. A range of alternative approaches have been developed that involve different </w:t>
      </w:r>
      <w:r w:rsidRPr="00BC1144">
        <w:lastRenderedPageBreak/>
        <w:t xml:space="preserve">ways of comparing members of each group and different ways to linearise the predicted probabilities (for example, Fairlie </w:t>
      </w:r>
      <w:r w:rsidR="0092626E" w:rsidRPr="00BC1144">
        <w:t>(2005)</w:t>
      </w:r>
      <w:r w:rsidRPr="00BC1144">
        <w:t xml:space="preserve">; Yun </w:t>
      </w:r>
      <w:r w:rsidR="0092626E" w:rsidRPr="00BC1144">
        <w:t>(2004)</w:t>
      </w:r>
      <w:r w:rsidRPr="00BC1144">
        <w:t>). The Oaxaca</w:t>
      </w:r>
      <w:r w:rsidRPr="00BC1144">
        <w:noBreakHyphen/>
        <w:t>Blinder decomposition is then applied to the linearised probabilities and averaged across the comparisons.</w:t>
      </w:r>
    </w:p>
    <w:p w:rsidR="006E391F" w:rsidRPr="00BC1144" w:rsidRDefault="006E391F" w:rsidP="00336FA0">
      <w:pPr>
        <w:pStyle w:val="BodyText"/>
      </w:pPr>
      <w:r w:rsidRPr="00BC1144">
        <w:t xml:space="preserve">The current paper applies an approach developed by Schwiebert </w:t>
      </w:r>
      <w:r w:rsidR="0092626E" w:rsidRPr="00BC1144">
        <w:t>(2015)</w:t>
      </w:r>
      <w:r w:rsidRPr="00BC1144">
        <w:t xml:space="preserve">. The approach has two advantages compared with alternative methods. First, it is not dependent on a choice of which members of Group 1 are compared with which members of Group 2. Rather, </w:t>
      </w:r>
      <w:r w:rsidRPr="00BC1144">
        <w:rPr>
          <w:i/>
        </w:rPr>
        <w:t>every</w:t>
      </w:r>
      <w:r w:rsidRPr="00BC1144">
        <w:t xml:space="preserve"> pairwise comparison is made and the results are averaged. Second, it is not dependent on a choice of whether to linearise predicted probabilities at the observation from Group 1 or at the observation from Group 2. Rather, the predicted probabilities are linearised based on the average slope between the observations. That is, if Group 1 has n</w:t>
      </w:r>
      <w:r w:rsidRPr="00BC1144">
        <w:rPr>
          <w:vertAlign w:val="subscript"/>
        </w:rPr>
        <w:t>1</w:t>
      </w:r>
      <w:r w:rsidRPr="00BC1144">
        <w:t xml:space="preserve"> members indexed by i </w:t>
      </w:r>
      <w:r w:rsidRPr="00BC1144">
        <w:rPr>
          <w:rFonts w:ascii="Cambria Math" w:hAnsi="Cambria Math"/>
        </w:rPr>
        <w:t>ϵ I</w:t>
      </w:r>
      <w:r w:rsidRPr="00BC1144">
        <w:rPr>
          <w:rFonts w:ascii="Cambria Math" w:hAnsi="Cambria Math"/>
          <w:vertAlign w:val="subscript"/>
        </w:rPr>
        <w:t xml:space="preserve">1 </w:t>
      </w:r>
      <w:r w:rsidRPr="00BC1144">
        <w:rPr>
          <w:rFonts w:ascii="Cambria Math" w:hAnsi="Cambria Math"/>
        </w:rPr>
        <w:t xml:space="preserve">and </w:t>
      </w:r>
      <w:r w:rsidRPr="00BC1144">
        <w:t>Group 2 has n</w:t>
      </w:r>
      <w:r w:rsidRPr="00BC1144">
        <w:rPr>
          <w:vertAlign w:val="subscript"/>
        </w:rPr>
        <w:t>2</w:t>
      </w:r>
      <w:r w:rsidRPr="00BC1144">
        <w:t xml:space="preserve"> members indexed by j </w:t>
      </w:r>
      <w:r w:rsidRPr="00BC1144">
        <w:rPr>
          <w:rFonts w:ascii="Cambria Math" w:hAnsi="Cambria Math"/>
        </w:rPr>
        <w:t>ϵ I</w:t>
      </w:r>
      <w:r w:rsidRPr="00BC1144">
        <w:rPr>
          <w:rFonts w:ascii="Cambria Math" w:hAnsi="Cambria Math"/>
          <w:vertAlign w:val="subscript"/>
        </w:rPr>
        <w:t>2</w:t>
      </w:r>
      <w:r w:rsidRPr="00BC1144">
        <w:rPr>
          <w:rFonts w:ascii="Cambria Math" w:hAnsi="Cambria Math"/>
        </w:rPr>
        <w:t xml:space="preserve"> then the </w:t>
      </w:r>
      <w:r w:rsidRPr="00BC1144">
        <w:t>contribution of a particular characteristic k to the average group difference is given by:</w:t>
      </w:r>
    </w:p>
    <w:p w:rsidR="006E391F" w:rsidRPr="00BC1144" w:rsidRDefault="00EF7456" w:rsidP="00336FA0">
      <w:pPr>
        <w:spacing w:before="240"/>
        <w:rPr>
          <w:rFonts w:eastAsiaTheme="minorEastAsia"/>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den>
          </m:f>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sub>
            <m:sup/>
            <m:e>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I</m:t>
                      </m:r>
                    </m:e>
                    <m:sub>
                      <m:r>
                        <w:rPr>
                          <w:rFonts w:ascii="Cambria Math" w:hAnsi="Cambria Math"/>
                        </w:rPr>
                        <m:t>2</m:t>
                      </m:r>
                    </m:sub>
                  </m:sSub>
                </m:sub>
                <m:sup/>
                <m:e>
                  <m:f>
                    <m:fPr>
                      <m:ctrlPr>
                        <w:rPr>
                          <w:rFonts w:ascii="Cambria Math" w:hAnsi="Cambria Math"/>
                          <w:i/>
                        </w:rPr>
                      </m:ctrlPr>
                    </m:fPr>
                    <m:num>
                      <m:d>
                        <m:dPr>
                          <m:ctrlPr>
                            <w:rPr>
                              <w:rFonts w:ascii="Cambria Math" w:hAnsi="Cambria Math"/>
                              <w:i/>
                            </w:rPr>
                          </m:ctrlPr>
                        </m:dPr>
                        <m:e>
                          <m:r>
                            <m:rPr>
                              <m:sty m:val="p"/>
                            </m:rPr>
                            <w:rPr>
                              <w:rFonts w:ascii="Cambria Math" w:hAnsi="Cambria Math"/>
                            </w:rPr>
                            <m:t>Φ</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β</m:t>
                                  </m:r>
                                </m:e>
                              </m:acc>
                            </m:e>
                          </m:d>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m:rPr>
                                  <m:sty m:val="p"/>
                                </m:rP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β</m:t>
                                  </m:r>
                                </m:e>
                              </m:acc>
                            </m:e>
                          </m:d>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j,k</m:t>
                          </m:r>
                        </m:sub>
                      </m:sSub>
                      <m:r>
                        <m:rPr>
                          <m:sty m:val="p"/>
                        </m:rP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k</m:t>
                              </m:r>
                            </m:sub>
                          </m:sSub>
                        </m:e>
                      </m:acc>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r>
                        <m:rPr>
                          <m:sty m:val="p"/>
                        </m:rP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β</m:t>
                          </m:r>
                        </m:e>
                      </m:acc>
                    </m:den>
                  </m:f>
                </m:e>
              </m:nary>
            </m:e>
          </m:nary>
        </m:oMath>
      </m:oMathPara>
    </w:p>
    <w:p w:rsidR="006E391F" w:rsidRPr="00BC1144" w:rsidRDefault="006E391F" w:rsidP="00336FA0">
      <w:pPr>
        <w:pStyle w:val="Heading3"/>
      </w:pPr>
      <w:bookmarkStart w:id="68" w:name="_Toc10805473"/>
      <w:r w:rsidRPr="00BC1144">
        <w:t>Detailed results</w:t>
      </w:r>
      <w:bookmarkEnd w:id="68"/>
    </w:p>
    <w:p w:rsidR="006E391F" w:rsidRPr="00BC1144" w:rsidRDefault="006E391F" w:rsidP="00336FA0">
      <w:pPr>
        <w:pStyle w:val="BodyText"/>
        <w:rPr>
          <w:spacing w:val="-2"/>
          <w:lang w:eastAsia="en-US"/>
        </w:rPr>
      </w:pPr>
      <w:r w:rsidRPr="00BC1144">
        <w:rPr>
          <w:spacing w:val="-2"/>
        </w:rPr>
        <w:t>The tables presented in this section report in more detail on the decomposition results illustrated in chapter 3 of the report. They consider the gap in university participation rates between equity groups and the rest of the population. Results are calculated separately for each of the four different equity groups and for each of the 2003, 2006 and 2009 LSAY cohorts.</w:t>
      </w:r>
    </w:p>
    <w:p w:rsidR="006E391F" w:rsidRPr="00BC1144" w:rsidRDefault="006E391F" w:rsidP="00336FA0">
      <w:pPr>
        <w:pStyle w:val="BodyText"/>
        <w:rPr>
          <w:lang w:eastAsia="en-US"/>
        </w:rPr>
      </w:pPr>
      <w:r w:rsidRPr="00BC1144">
        <w:rPr>
          <w:lang w:eastAsia="en-US"/>
        </w:rPr>
        <w:t>Contributions to the gap in university participation depend upon differences in the typical characteristics of the equity and non</w:t>
      </w:r>
      <w:r w:rsidRPr="00BC1144">
        <w:rPr>
          <w:lang w:eastAsia="en-US"/>
        </w:rPr>
        <w:noBreakHyphen/>
        <w:t>equity groups and the importance of those characteristics in the probit regressions. For example, the differences in university participation rates between ‘first in family’ and ‘non</w:t>
      </w:r>
      <w:r w:rsidRPr="00BC1144">
        <w:rPr>
          <w:lang w:eastAsia="en-US"/>
        </w:rPr>
        <w:noBreakHyphen/>
        <w:t xml:space="preserve">first in family’ groups that can be attributed to the school sector they attended depend on the differences in the proportions of those groups in each school sector and the overall effect of school sector on university attendance (holding all else constant). </w:t>
      </w:r>
    </w:p>
    <w:p w:rsidR="006E391F" w:rsidRPr="00BC1144" w:rsidRDefault="006E391F" w:rsidP="00336FA0">
      <w:pPr>
        <w:pStyle w:val="BodyText"/>
        <w:rPr>
          <w:lang w:eastAsia="en-US"/>
        </w:rPr>
      </w:pPr>
      <w:r w:rsidRPr="00BC1144">
        <w:rPr>
          <w:lang w:eastAsia="en-US"/>
        </w:rPr>
        <w:t>Similarly, changes in contributions to the gap over time can occur because the two groups are becoming more different or similar in that characteristic or because the importance of that characteristic is changing. For example, if the school sector is becoming less important over time for low socioeconomic students, it may be because either (or both) lower socioeconomic students are (relative to other students) becoming less likely to go to government schools or the effect of the school sector on university attendance is becoming less important over time.</w:t>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6</w:t>
            </w:r>
            <w:r w:rsidRPr="00BC1144">
              <w:tab/>
              <w:t>Indigenous status</w:t>
            </w:r>
          </w:p>
          <w:p w:rsidR="006E391F" w:rsidRPr="00BC1144" w:rsidRDefault="006E391F" w:rsidP="00336FA0">
            <w:pPr>
              <w:pStyle w:val="Subtitle"/>
            </w:pPr>
            <w:r w:rsidRPr="00BC1144">
              <w:t>Contributions to gap in university participation</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1436"/>
              <w:gridCol w:w="1692"/>
              <w:gridCol w:w="1691"/>
            </w:tblGrid>
            <w:tr w:rsidR="006E391F" w:rsidRPr="00BC1144" w:rsidTr="00336FA0">
              <w:trPr>
                <w:tblHeader/>
              </w:trPr>
              <w:tc>
                <w:tcPr>
                  <w:tcW w:w="2167" w:type="pct"/>
                  <w:tcBorders>
                    <w:top w:val="single" w:sz="6" w:space="0" w:color="BFBFBF"/>
                  </w:tcBorders>
                  <w:shd w:val="clear" w:color="auto" w:fill="auto"/>
                  <w:tcMar>
                    <w:top w:w="28" w:type="dxa"/>
                  </w:tcMar>
                </w:tcPr>
                <w:p w:rsidR="006E391F" w:rsidRPr="00BC1144" w:rsidRDefault="006E391F" w:rsidP="00336FA0">
                  <w:pPr>
                    <w:pStyle w:val="TableColumnHeading"/>
                    <w:jc w:val="left"/>
                  </w:pPr>
                </w:p>
              </w:tc>
              <w:tc>
                <w:tcPr>
                  <w:tcW w:w="844" w:type="pct"/>
                  <w:tcBorders>
                    <w:top w:val="single" w:sz="6" w:space="0" w:color="BFBFBF"/>
                  </w:tcBorders>
                </w:tcPr>
                <w:p w:rsidR="006E391F" w:rsidRPr="00BC1144" w:rsidRDefault="006E391F" w:rsidP="00336FA0">
                  <w:pPr>
                    <w:pStyle w:val="TableColumnHeading"/>
                  </w:pPr>
                  <w:r w:rsidRPr="00BC1144">
                    <w:t>2010</w:t>
                  </w:r>
                </w:p>
              </w:tc>
              <w:tc>
                <w:tcPr>
                  <w:tcW w:w="995" w:type="pct"/>
                  <w:tcBorders>
                    <w:top w:val="single" w:sz="6" w:space="0" w:color="BFBFBF"/>
                  </w:tcBorders>
                  <w:shd w:val="clear" w:color="auto" w:fill="auto"/>
                  <w:tcMar>
                    <w:top w:w="28" w:type="dxa"/>
                  </w:tcMar>
                </w:tcPr>
                <w:p w:rsidR="006E391F" w:rsidRPr="00BC1144" w:rsidRDefault="006E391F" w:rsidP="00336FA0">
                  <w:pPr>
                    <w:pStyle w:val="TableColumnHeading"/>
                  </w:pPr>
                  <w:r w:rsidRPr="00BC1144">
                    <w:t>2013</w:t>
                  </w:r>
                </w:p>
              </w:tc>
              <w:tc>
                <w:tcPr>
                  <w:tcW w:w="994" w:type="pct"/>
                  <w:tcBorders>
                    <w:top w:val="single" w:sz="6" w:space="0" w:color="BFBFBF"/>
                  </w:tcBorders>
                  <w:shd w:val="clear" w:color="auto" w:fill="auto"/>
                  <w:tcMar>
                    <w:top w:w="28" w:type="dxa"/>
                  </w:tcMar>
                </w:tcPr>
                <w:p w:rsidR="006E391F" w:rsidRPr="00BC1144" w:rsidRDefault="006E391F" w:rsidP="00336FA0">
                  <w:pPr>
                    <w:pStyle w:val="TableColumnHeading"/>
                    <w:ind w:right="28"/>
                  </w:pPr>
                  <w:r w:rsidRPr="00BC1144">
                    <w:t>2016</w:t>
                  </w:r>
                </w:p>
              </w:tc>
            </w:tr>
            <w:tr w:rsidR="006E391F" w:rsidRPr="00BC1144" w:rsidTr="00336FA0">
              <w:trPr>
                <w:tblHeader/>
              </w:trPr>
              <w:tc>
                <w:tcPr>
                  <w:tcW w:w="2167" w:type="pct"/>
                  <w:tcBorders>
                    <w:top w:val="single" w:sz="6" w:space="0" w:color="BFBFBF"/>
                  </w:tcBorders>
                  <w:shd w:val="clear" w:color="auto" w:fill="F2F2F2" w:themeFill="background1" w:themeFillShade="F2"/>
                  <w:tcMar>
                    <w:top w:w="28" w:type="dxa"/>
                  </w:tcMar>
                </w:tcPr>
                <w:p w:rsidR="006E391F" w:rsidRPr="00BC1144" w:rsidRDefault="006E391F" w:rsidP="00336FA0">
                  <w:pPr>
                    <w:pStyle w:val="TableColumnHeading"/>
                    <w:spacing w:after="0"/>
                    <w:jc w:val="left"/>
                  </w:pPr>
                </w:p>
              </w:tc>
              <w:tc>
                <w:tcPr>
                  <w:tcW w:w="844" w:type="pct"/>
                  <w:tcBorders>
                    <w:top w:val="single" w:sz="6" w:space="0" w:color="BFBFBF"/>
                  </w:tcBorders>
                  <w:shd w:val="clear" w:color="auto" w:fill="F2F2F2" w:themeFill="background1" w:themeFillShade="F2"/>
                </w:tcPr>
                <w:p w:rsidR="006E391F" w:rsidRPr="00BC1144" w:rsidRDefault="006E391F" w:rsidP="00336FA0">
                  <w:pPr>
                    <w:pStyle w:val="TableColumnHeading"/>
                    <w:spacing w:after="0"/>
                  </w:pPr>
                  <w:r w:rsidRPr="00BC1144">
                    <w:t>% pts</w:t>
                  </w:r>
                </w:p>
              </w:tc>
              <w:tc>
                <w:tcPr>
                  <w:tcW w:w="995" w:type="pct"/>
                  <w:tcBorders>
                    <w:top w:val="single" w:sz="6" w:space="0" w:color="BFBFBF"/>
                  </w:tcBorders>
                  <w:shd w:val="clear" w:color="auto" w:fill="F2F2F2" w:themeFill="background1" w:themeFillShade="F2"/>
                  <w:tcMar>
                    <w:top w:w="28" w:type="dxa"/>
                  </w:tcMar>
                </w:tcPr>
                <w:p w:rsidR="006E391F" w:rsidRPr="00BC1144" w:rsidRDefault="006E391F" w:rsidP="00336FA0">
                  <w:pPr>
                    <w:pStyle w:val="TableColumnHeading"/>
                    <w:spacing w:after="0"/>
                  </w:pPr>
                  <w:r w:rsidRPr="00BC1144">
                    <w:t>% pts</w:t>
                  </w:r>
                </w:p>
              </w:tc>
              <w:tc>
                <w:tcPr>
                  <w:tcW w:w="994" w:type="pct"/>
                  <w:tcBorders>
                    <w:top w:val="single" w:sz="6" w:space="0" w:color="BFBFBF"/>
                  </w:tcBorders>
                  <w:shd w:val="clear" w:color="auto" w:fill="F2F2F2" w:themeFill="background1" w:themeFillShade="F2"/>
                  <w:tcMar>
                    <w:top w:w="28" w:type="dxa"/>
                  </w:tcMar>
                </w:tcPr>
                <w:p w:rsidR="006E391F" w:rsidRPr="00BC1144" w:rsidRDefault="006E391F" w:rsidP="00336FA0">
                  <w:pPr>
                    <w:pStyle w:val="TableColumnHeading"/>
                    <w:spacing w:after="0"/>
                    <w:ind w:right="28"/>
                  </w:pPr>
                  <w:r w:rsidRPr="00BC1144">
                    <w:t>% pts</w:t>
                  </w:r>
                </w:p>
              </w:tc>
            </w:tr>
            <w:tr w:rsidR="006E391F" w:rsidRPr="00BC1144" w:rsidTr="00336FA0">
              <w:tc>
                <w:tcPr>
                  <w:tcW w:w="2167" w:type="pct"/>
                </w:tcPr>
                <w:p w:rsidR="006E391F" w:rsidRPr="00BC1144" w:rsidRDefault="006E391F" w:rsidP="00336FA0">
                  <w:pPr>
                    <w:pStyle w:val="TableUnitsRow"/>
                    <w:jc w:val="left"/>
                  </w:pPr>
                  <w:r w:rsidRPr="00BC1144">
                    <w:t>Indigenous participation rate</w:t>
                  </w:r>
                </w:p>
              </w:tc>
              <w:tc>
                <w:tcPr>
                  <w:tcW w:w="844" w:type="pct"/>
                  <w:vAlign w:val="bottom"/>
                </w:tcPr>
                <w:p w:rsidR="006E391F" w:rsidRPr="00BC1144" w:rsidRDefault="006E391F" w:rsidP="00336FA0">
                  <w:pPr>
                    <w:pStyle w:val="TableUnitsRow"/>
                  </w:pPr>
                  <w:r w:rsidRPr="00BC1144">
                    <w:rPr>
                      <w:color w:val="000000"/>
                    </w:rPr>
                    <w:t>30</w:t>
                  </w:r>
                </w:p>
              </w:tc>
              <w:tc>
                <w:tcPr>
                  <w:tcW w:w="995" w:type="pct"/>
                  <w:vAlign w:val="bottom"/>
                </w:tcPr>
                <w:p w:rsidR="006E391F" w:rsidRPr="00BC1144" w:rsidRDefault="006E391F" w:rsidP="00336FA0">
                  <w:pPr>
                    <w:pStyle w:val="TableUnitsRow"/>
                  </w:pPr>
                  <w:r w:rsidRPr="00BC1144">
                    <w:rPr>
                      <w:color w:val="000000"/>
                    </w:rPr>
                    <w:t>24</w:t>
                  </w:r>
                </w:p>
              </w:tc>
              <w:tc>
                <w:tcPr>
                  <w:tcW w:w="994" w:type="pct"/>
                  <w:vAlign w:val="bottom"/>
                </w:tcPr>
                <w:p w:rsidR="006E391F" w:rsidRPr="00BC1144" w:rsidRDefault="006E391F" w:rsidP="00336FA0">
                  <w:pPr>
                    <w:pStyle w:val="TableUnitsRow"/>
                    <w:ind w:right="28"/>
                  </w:pPr>
                  <w:r w:rsidRPr="00BC1144">
                    <w:rPr>
                      <w:color w:val="000000"/>
                    </w:rPr>
                    <w:t>29</w:t>
                  </w:r>
                </w:p>
              </w:tc>
            </w:tr>
            <w:tr w:rsidR="006E391F" w:rsidRPr="00BC1144" w:rsidTr="00336FA0">
              <w:tc>
                <w:tcPr>
                  <w:tcW w:w="2167" w:type="pct"/>
                </w:tcPr>
                <w:p w:rsidR="006E391F" w:rsidRPr="00BC1144" w:rsidRDefault="006E391F" w:rsidP="00336FA0">
                  <w:pPr>
                    <w:pStyle w:val="TableBodyText"/>
                    <w:jc w:val="left"/>
                  </w:pPr>
                  <w:r w:rsidRPr="00BC1144">
                    <w:t>Non</w:t>
                  </w:r>
                  <w:r w:rsidRPr="00BC1144">
                    <w:noBreakHyphen/>
                    <w:t>Indigenous participation rate</w:t>
                  </w:r>
                </w:p>
              </w:tc>
              <w:tc>
                <w:tcPr>
                  <w:tcW w:w="844" w:type="pct"/>
                  <w:vAlign w:val="bottom"/>
                </w:tcPr>
                <w:p w:rsidR="006E391F" w:rsidRPr="00BC1144" w:rsidRDefault="006E391F" w:rsidP="00336FA0">
                  <w:pPr>
                    <w:pStyle w:val="TableBodyText"/>
                  </w:pPr>
                  <w:r w:rsidRPr="00BC1144">
                    <w:rPr>
                      <w:color w:val="000000"/>
                    </w:rPr>
                    <w:t>54</w:t>
                  </w:r>
                </w:p>
              </w:tc>
              <w:tc>
                <w:tcPr>
                  <w:tcW w:w="995" w:type="pct"/>
                  <w:vAlign w:val="bottom"/>
                </w:tcPr>
                <w:p w:rsidR="006E391F" w:rsidRPr="00BC1144" w:rsidRDefault="006E391F" w:rsidP="00336FA0">
                  <w:pPr>
                    <w:pStyle w:val="TableBodyText"/>
                  </w:pPr>
                  <w:r w:rsidRPr="00BC1144">
                    <w:rPr>
                      <w:color w:val="000000"/>
                    </w:rPr>
                    <w:t>56</w:t>
                  </w:r>
                </w:p>
              </w:tc>
              <w:tc>
                <w:tcPr>
                  <w:tcW w:w="994" w:type="pct"/>
                  <w:vAlign w:val="bottom"/>
                </w:tcPr>
                <w:p w:rsidR="006E391F" w:rsidRPr="00BC1144" w:rsidRDefault="006E391F" w:rsidP="00336FA0">
                  <w:pPr>
                    <w:pStyle w:val="TableBodyText"/>
                    <w:ind w:right="28"/>
                  </w:pPr>
                  <w:r w:rsidRPr="00BC1144">
                    <w:rPr>
                      <w:color w:val="000000"/>
                    </w:rPr>
                    <w:t>61</w:t>
                  </w:r>
                </w:p>
              </w:tc>
            </w:tr>
            <w:tr w:rsidR="006E391F" w:rsidRPr="00BC1144" w:rsidTr="00336FA0">
              <w:tc>
                <w:tcPr>
                  <w:tcW w:w="2167" w:type="pct"/>
                </w:tcPr>
                <w:p w:rsidR="006E391F" w:rsidRPr="00BC1144" w:rsidRDefault="006E391F" w:rsidP="00336FA0">
                  <w:pPr>
                    <w:pStyle w:val="TableBodyText"/>
                    <w:jc w:val="left"/>
                  </w:pPr>
                  <w:r w:rsidRPr="00BC1144">
                    <w:rPr>
                      <w:color w:val="000000"/>
                    </w:rPr>
                    <w:t>Gap in university attendance</w:t>
                  </w:r>
                </w:p>
              </w:tc>
              <w:tc>
                <w:tcPr>
                  <w:tcW w:w="844" w:type="pct"/>
                </w:tcPr>
                <w:p w:rsidR="006E391F" w:rsidRPr="00BC1144" w:rsidRDefault="006E391F" w:rsidP="00336FA0">
                  <w:pPr>
                    <w:pStyle w:val="TableBodyText"/>
                  </w:pPr>
                  <w:r w:rsidRPr="00BC1144">
                    <w:t>24</w:t>
                  </w:r>
                </w:p>
              </w:tc>
              <w:tc>
                <w:tcPr>
                  <w:tcW w:w="995" w:type="pct"/>
                </w:tcPr>
                <w:p w:rsidR="006E391F" w:rsidRPr="00BC1144" w:rsidRDefault="006E391F" w:rsidP="00336FA0">
                  <w:pPr>
                    <w:pStyle w:val="TableBodyText"/>
                  </w:pPr>
                  <w:r w:rsidRPr="00BC1144">
                    <w:t>33</w:t>
                  </w:r>
                </w:p>
              </w:tc>
              <w:tc>
                <w:tcPr>
                  <w:tcW w:w="994" w:type="pct"/>
                </w:tcPr>
                <w:p w:rsidR="006E391F" w:rsidRPr="00BC1144" w:rsidRDefault="006E391F" w:rsidP="00336FA0">
                  <w:pPr>
                    <w:pStyle w:val="TableBodyText"/>
                    <w:ind w:right="28"/>
                  </w:pPr>
                  <w:r w:rsidRPr="00BC1144">
                    <w:t>32</w:t>
                  </w:r>
                </w:p>
              </w:tc>
            </w:tr>
            <w:tr w:rsidR="006E391F" w:rsidRPr="00BC1144" w:rsidTr="00336FA0">
              <w:tc>
                <w:tcPr>
                  <w:tcW w:w="2167" w:type="pct"/>
                  <w:shd w:val="clear" w:color="auto" w:fill="F2F2F2" w:themeFill="background1" w:themeFillShade="F2"/>
                </w:tcPr>
                <w:p w:rsidR="006E391F" w:rsidRPr="00BC1144" w:rsidRDefault="006E391F" w:rsidP="00336FA0">
                  <w:pPr>
                    <w:pStyle w:val="TableBodyText"/>
                    <w:spacing w:before="120"/>
                    <w:jc w:val="left"/>
                    <w:rPr>
                      <w:i/>
                    </w:rPr>
                  </w:pPr>
                  <w:r w:rsidRPr="00BC1144">
                    <w:rPr>
                      <w:i/>
                    </w:rPr>
                    <w:t>Per cent of the gap explained by:</w:t>
                  </w:r>
                </w:p>
              </w:tc>
              <w:tc>
                <w:tcPr>
                  <w:tcW w:w="844" w:type="pct"/>
                  <w:shd w:val="clear" w:color="auto" w:fill="F2F2F2" w:themeFill="background1" w:themeFillShade="F2"/>
                </w:tcPr>
                <w:p w:rsidR="006E391F" w:rsidRPr="00BC1144" w:rsidRDefault="006E391F" w:rsidP="00336FA0">
                  <w:pPr>
                    <w:pStyle w:val="TableBodyText"/>
                    <w:spacing w:before="120"/>
                    <w:rPr>
                      <w:i/>
                    </w:rPr>
                  </w:pPr>
                  <w:r w:rsidRPr="00BC1144">
                    <w:rPr>
                      <w:i/>
                    </w:rPr>
                    <w:t>%</w:t>
                  </w:r>
                </w:p>
              </w:tc>
              <w:tc>
                <w:tcPr>
                  <w:tcW w:w="995" w:type="pct"/>
                  <w:shd w:val="clear" w:color="auto" w:fill="F2F2F2" w:themeFill="background1" w:themeFillShade="F2"/>
                </w:tcPr>
                <w:p w:rsidR="006E391F" w:rsidRPr="00BC1144" w:rsidRDefault="006E391F" w:rsidP="00336FA0">
                  <w:pPr>
                    <w:pStyle w:val="TableBodyText"/>
                    <w:spacing w:before="120"/>
                    <w:rPr>
                      <w:i/>
                    </w:rPr>
                  </w:pPr>
                  <w:r w:rsidRPr="00BC1144">
                    <w:rPr>
                      <w:i/>
                    </w:rPr>
                    <w:t>%</w:t>
                  </w:r>
                </w:p>
              </w:tc>
              <w:tc>
                <w:tcPr>
                  <w:tcW w:w="994" w:type="pct"/>
                  <w:shd w:val="clear" w:color="auto" w:fill="F2F2F2" w:themeFill="background1" w:themeFillShade="F2"/>
                </w:tcPr>
                <w:p w:rsidR="006E391F" w:rsidRPr="00BC1144" w:rsidRDefault="006E391F" w:rsidP="00336FA0">
                  <w:pPr>
                    <w:pStyle w:val="TableBodyText"/>
                    <w:spacing w:before="120"/>
                    <w:ind w:right="28"/>
                    <w:rPr>
                      <w:i/>
                    </w:rPr>
                  </w:pPr>
                  <w:r w:rsidRPr="00BC1144">
                    <w:rPr>
                      <w:i/>
                    </w:rPr>
                    <w:t>%</w:t>
                  </w:r>
                </w:p>
              </w:tc>
            </w:tr>
            <w:tr w:rsidR="006E391F" w:rsidRPr="00BC1144" w:rsidTr="00336FA0">
              <w:tc>
                <w:tcPr>
                  <w:tcW w:w="2167" w:type="pct"/>
                </w:tcPr>
                <w:p w:rsidR="006E391F" w:rsidRPr="00BC1144" w:rsidRDefault="006E391F" w:rsidP="00336FA0">
                  <w:pPr>
                    <w:pStyle w:val="TableBodyText"/>
                    <w:jc w:val="left"/>
                  </w:pPr>
                  <w:r w:rsidRPr="00BC1144">
                    <w:t>Literacy and numeracy</w:t>
                  </w:r>
                </w:p>
              </w:tc>
              <w:tc>
                <w:tcPr>
                  <w:tcW w:w="844" w:type="pct"/>
                  <w:vAlign w:val="bottom"/>
                </w:tcPr>
                <w:p w:rsidR="006E391F" w:rsidRPr="00BC1144" w:rsidRDefault="006E391F" w:rsidP="00336FA0">
                  <w:pPr>
                    <w:pStyle w:val="TableBodyText"/>
                  </w:pPr>
                  <w:r w:rsidRPr="00BC1144">
                    <w:rPr>
                      <w:color w:val="000000"/>
                    </w:rPr>
                    <w:t>58</w:t>
                  </w:r>
                </w:p>
              </w:tc>
              <w:tc>
                <w:tcPr>
                  <w:tcW w:w="995" w:type="pct"/>
                  <w:vAlign w:val="bottom"/>
                </w:tcPr>
                <w:p w:rsidR="006E391F" w:rsidRPr="00BC1144" w:rsidRDefault="006E391F" w:rsidP="00336FA0">
                  <w:pPr>
                    <w:pStyle w:val="TableBodyText"/>
                  </w:pPr>
                  <w:r w:rsidRPr="00BC1144">
                    <w:rPr>
                      <w:color w:val="000000"/>
                    </w:rPr>
                    <w:t>32</w:t>
                  </w:r>
                </w:p>
              </w:tc>
              <w:tc>
                <w:tcPr>
                  <w:tcW w:w="994" w:type="pct"/>
                  <w:vAlign w:val="bottom"/>
                </w:tcPr>
                <w:p w:rsidR="006E391F" w:rsidRPr="00BC1144" w:rsidRDefault="006E391F" w:rsidP="00336FA0">
                  <w:pPr>
                    <w:pStyle w:val="TableBodyText"/>
                    <w:ind w:right="28"/>
                  </w:pPr>
                  <w:r w:rsidRPr="00BC1144">
                    <w:rPr>
                      <w:color w:val="000000"/>
                    </w:rPr>
                    <w:t>29</w:t>
                  </w:r>
                </w:p>
              </w:tc>
            </w:tr>
            <w:tr w:rsidR="006E391F" w:rsidRPr="00BC1144" w:rsidTr="00336FA0">
              <w:tc>
                <w:tcPr>
                  <w:tcW w:w="2167" w:type="pct"/>
                </w:tcPr>
                <w:p w:rsidR="006E391F" w:rsidRPr="00BC1144" w:rsidRDefault="006E391F" w:rsidP="00336FA0">
                  <w:pPr>
                    <w:pStyle w:val="TableBodyText"/>
                    <w:jc w:val="left"/>
                  </w:pPr>
                  <w:r w:rsidRPr="00BC1144">
                    <w:t>Family characteristics</w:t>
                  </w:r>
                </w:p>
              </w:tc>
              <w:tc>
                <w:tcPr>
                  <w:tcW w:w="844" w:type="pct"/>
                  <w:vAlign w:val="bottom"/>
                </w:tcPr>
                <w:p w:rsidR="006E391F" w:rsidRPr="00BC1144" w:rsidRDefault="006E391F" w:rsidP="00336FA0">
                  <w:pPr>
                    <w:pStyle w:val="TableBodyText"/>
                  </w:pPr>
                  <w:r w:rsidRPr="00BC1144">
                    <w:t>10</w:t>
                  </w:r>
                </w:p>
              </w:tc>
              <w:tc>
                <w:tcPr>
                  <w:tcW w:w="995" w:type="pct"/>
                  <w:vAlign w:val="bottom"/>
                </w:tcPr>
                <w:p w:rsidR="006E391F" w:rsidRPr="00BC1144" w:rsidRDefault="006E391F" w:rsidP="00336FA0">
                  <w:pPr>
                    <w:pStyle w:val="TableBodyText"/>
                  </w:pPr>
                  <w:r w:rsidRPr="00BC1144">
                    <w:t>13</w:t>
                  </w:r>
                </w:p>
              </w:tc>
              <w:tc>
                <w:tcPr>
                  <w:tcW w:w="994" w:type="pct"/>
                  <w:vAlign w:val="bottom"/>
                </w:tcPr>
                <w:p w:rsidR="006E391F" w:rsidRPr="00BC1144" w:rsidRDefault="006E391F" w:rsidP="00336FA0">
                  <w:pPr>
                    <w:pStyle w:val="TableBodyText"/>
                    <w:ind w:right="28"/>
                  </w:pPr>
                  <w:r w:rsidRPr="00BC1144">
                    <w:t>8</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Books</w:t>
                  </w:r>
                </w:p>
              </w:tc>
              <w:tc>
                <w:tcPr>
                  <w:tcW w:w="844"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0</w:t>
                  </w:r>
                </w:p>
              </w:tc>
              <w:tc>
                <w:tcPr>
                  <w:tcW w:w="994" w:type="pct"/>
                  <w:vAlign w:val="bottom"/>
                </w:tcPr>
                <w:p w:rsidR="006E391F" w:rsidRPr="00BC1144" w:rsidRDefault="006E391F" w:rsidP="00336FA0">
                  <w:pPr>
                    <w:pStyle w:val="TableBodyText"/>
                    <w:ind w:right="28"/>
                    <w:rPr>
                      <w:i/>
                    </w:rPr>
                  </w:pPr>
                  <w:r w:rsidRPr="00BC1144">
                    <w:rPr>
                      <w:i/>
                    </w:rPr>
                    <w:t>0</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English speaking background</w:t>
                  </w:r>
                </w:p>
              </w:tc>
              <w:tc>
                <w:tcPr>
                  <w:tcW w:w="844" w:type="pct"/>
                  <w:vAlign w:val="bottom"/>
                </w:tcPr>
                <w:p w:rsidR="006E391F" w:rsidRPr="00BC1144" w:rsidRDefault="006E391F" w:rsidP="00336FA0">
                  <w:pPr>
                    <w:pStyle w:val="TableBodyText"/>
                    <w:rPr>
                      <w:i/>
                    </w:rPr>
                  </w:pPr>
                  <w:r w:rsidRPr="00BC1144">
                    <w:rPr>
                      <w:i/>
                    </w:rPr>
                    <w:t>2</w:t>
                  </w:r>
                </w:p>
              </w:tc>
              <w:tc>
                <w:tcPr>
                  <w:tcW w:w="995" w:type="pct"/>
                  <w:vAlign w:val="bottom"/>
                </w:tcPr>
                <w:p w:rsidR="006E391F" w:rsidRPr="00BC1144" w:rsidRDefault="006E391F" w:rsidP="00336FA0">
                  <w:pPr>
                    <w:pStyle w:val="TableBodyText"/>
                    <w:rPr>
                      <w:i/>
                    </w:rPr>
                  </w:pPr>
                  <w:r w:rsidRPr="00BC1144">
                    <w:rPr>
                      <w:i/>
                    </w:rPr>
                    <w:t>2</w:t>
                  </w:r>
                </w:p>
              </w:tc>
              <w:tc>
                <w:tcPr>
                  <w:tcW w:w="994" w:type="pct"/>
                  <w:vAlign w:val="bottom"/>
                </w:tcPr>
                <w:p w:rsidR="006E391F" w:rsidRPr="00BC1144" w:rsidRDefault="006E391F" w:rsidP="00336FA0">
                  <w:pPr>
                    <w:pStyle w:val="TableBodyText"/>
                    <w:ind w:right="28"/>
                    <w:rPr>
                      <w:i/>
                    </w:rPr>
                  </w:pPr>
                  <w:r w:rsidRPr="00BC1144">
                    <w:rPr>
                      <w:i/>
                    </w:rPr>
                    <w:t>2</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First in family</w:t>
                  </w:r>
                </w:p>
              </w:tc>
              <w:tc>
                <w:tcPr>
                  <w:tcW w:w="844" w:type="pct"/>
                  <w:vAlign w:val="bottom"/>
                </w:tcPr>
                <w:p w:rsidR="006E391F" w:rsidRPr="00BC1144" w:rsidRDefault="006E391F" w:rsidP="00336FA0">
                  <w:pPr>
                    <w:pStyle w:val="TableBodyText"/>
                    <w:rPr>
                      <w:i/>
                    </w:rPr>
                  </w:pPr>
                  <w:r w:rsidRPr="00BC1144">
                    <w:rPr>
                      <w:i/>
                    </w:rPr>
                    <w:t>8</w:t>
                  </w:r>
                </w:p>
              </w:tc>
              <w:tc>
                <w:tcPr>
                  <w:tcW w:w="995" w:type="pct"/>
                  <w:vAlign w:val="bottom"/>
                </w:tcPr>
                <w:p w:rsidR="006E391F" w:rsidRPr="00BC1144" w:rsidRDefault="006E391F" w:rsidP="00336FA0">
                  <w:pPr>
                    <w:pStyle w:val="TableBodyText"/>
                    <w:rPr>
                      <w:i/>
                    </w:rPr>
                  </w:pPr>
                  <w:r w:rsidRPr="00BC1144">
                    <w:rPr>
                      <w:i/>
                    </w:rPr>
                    <w:t>6</w:t>
                  </w:r>
                </w:p>
              </w:tc>
              <w:tc>
                <w:tcPr>
                  <w:tcW w:w="994" w:type="pct"/>
                  <w:vAlign w:val="bottom"/>
                </w:tcPr>
                <w:p w:rsidR="006E391F" w:rsidRPr="00BC1144" w:rsidRDefault="006E391F" w:rsidP="00336FA0">
                  <w:pPr>
                    <w:pStyle w:val="TableBodyText"/>
                    <w:ind w:right="28"/>
                    <w:rPr>
                      <w:i/>
                    </w:rPr>
                  </w:pPr>
                  <w:r w:rsidRPr="00BC1144">
                    <w:rPr>
                      <w:i/>
                    </w:rPr>
                    <w:t>8</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Low socioeconomic status</w:t>
                  </w:r>
                </w:p>
              </w:tc>
              <w:tc>
                <w:tcPr>
                  <w:tcW w:w="844"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4</w:t>
                  </w:r>
                </w:p>
              </w:tc>
              <w:tc>
                <w:tcPr>
                  <w:tcW w:w="994" w:type="pct"/>
                  <w:vAlign w:val="bottom"/>
                </w:tcPr>
                <w:p w:rsidR="006E391F" w:rsidRPr="00BC1144" w:rsidRDefault="006E391F" w:rsidP="00336FA0">
                  <w:pPr>
                    <w:pStyle w:val="TableBodyText"/>
                    <w:ind w:right="28"/>
                    <w:rPr>
                      <w:i/>
                    </w:rPr>
                  </w:pPr>
                  <w:r w:rsidRPr="00BC1144">
                    <w:rPr>
                      <w:i/>
                    </w:rPr>
                    <w:noBreakHyphen/>
                    <w:t>1</w:t>
                  </w:r>
                </w:p>
              </w:tc>
            </w:tr>
            <w:tr w:rsidR="006E391F" w:rsidRPr="00BC1144" w:rsidTr="00336FA0">
              <w:tc>
                <w:tcPr>
                  <w:tcW w:w="2167" w:type="pct"/>
                </w:tcPr>
                <w:p w:rsidR="006E391F" w:rsidRPr="00BC1144" w:rsidRDefault="006E391F" w:rsidP="00336FA0">
                  <w:pPr>
                    <w:pStyle w:val="TableBodyText"/>
                    <w:jc w:val="left"/>
                  </w:pPr>
                  <w:r w:rsidRPr="00BC1144">
                    <w:t>School</w:t>
                  </w:r>
                </w:p>
              </w:tc>
              <w:tc>
                <w:tcPr>
                  <w:tcW w:w="844" w:type="pct"/>
                  <w:vAlign w:val="bottom"/>
                </w:tcPr>
                <w:p w:rsidR="006E391F" w:rsidRPr="00BC1144" w:rsidRDefault="006E391F" w:rsidP="00336FA0">
                  <w:pPr>
                    <w:pStyle w:val="TableBodyText"/>
                  </w:pPr>
                  <w:r w:rsidRPr="00BC1144">
                    <w:rPr>
                      <w:color w:val="000000"/>
                    </w:rPr>
                    <w:t>6</w:t>
                  </w:r>
                </w:p>
              </w:tc>
              <w:tc>
                <w:tcPr>
                  <w:tcW w:w="995" w:type="pct"/>
                  <w:vAlign w:val="bottom"/>
                </w:tcPr>
                <w:p w:rsidR="006E391F" w:rsidRPr="00BC1144" w:rsidRDefault="006E391F" w:rsidP="00336FA0">
                  <w:pPr>
                    <w:pStyle w:val="TableBodyText"/>
                  </w:pPr>
                  <w:r w:rsidRPr="00BC1144">
                    <w:rPr>
                      <w:color w:val="000000"/>
                    </w:rPr>
                    <w:t>7</w:t>
                  </w:r>
                </w:p>
              </w:tc>
              <w:tc>
                <w:tcPr>
                  <w:tcW w:w="994" w:type="pct"/>
                  <w:vAlign w:val="bottom"/>
                </w:tcPr>
                <w:p w:rsidR="006E391F" w:rsidRPr="00BC1144" w:rsidRDefault="006E391F" w:rsidP="00336FA0">
                  <w:pPr>
                    <w:pStyle w:val="TableBodyText"/>
                    <w:ind w:right="28"/>
                  </w:pPr>
                  <w:r w:rsidRPr="00BC1144">
                    <w:rPr>
                      <w:color w:val="000000"/>
                    </w:rPr>
                    <w:t>8</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Sector</w:t>
                  </w:r>
                </w:p>
              </w:tc>
              <w:tc>
                <w:tcPr>
                  <w:tcW w:w="844" w:type="pct"/>
                  <w:vAlign w:val="bottom"/>
                </w:tcPr>
                <w:p w:rsidR="006E391F" w:rsidRPr="00BC1144" w:rsidRDefault="006E391F" w:rsidP="00336FA0">
                  <w:pPr>
                    <w:pStyle w:val="TableBodyText"/>
                    <w:rPr>
                      <w:i/>
                      <w:color w:val="000000"/>
                    </w:rPr>
                  </w:pPr>
                  <w:r w:rsidRPr="00BC1144">
                    <w:rPr>
                      <w:i/>
                      <w:color w:val="000000"/>
                    </w:rPr>
                    <w:t>10</w:t>
                  </w:r>
                </w:p>
              </w:tc>
              <w:tc>
                <w:tcPr>
                  <w:tcW w:w="995" w:type="pct"/>
                  <w:vAlign w:val="bottom"/>
                </w:tcPr>
                <w:p w:rsidR="006E391F" w:rsidRPr="00BC1144" w:rsidRDefault="006E391F" w:rsidP="00336FA0">
                  <w:pPr>
                    <w:pStyle w:val="TableBodyText"/>
                    <w:rPr>
                      <w:i/>
                      <w:color w:val="000000"/>
                    </w:rPr>
                  </w:pPr>
                  <w:r w:rsidRPr="00BC1144">
                    <w:rPr>
                      <w:i/>
                      <w:color w:val="000000"/>
                    </w:rPr>
                    <w:t>3</w:t>
                  </w:r>
                </w:p>
              </w:tc>
              <w:tc>
                <w:tcPr>
                  <w:tcW w:w="994" w:type="pct"/>
                  <w:vAlign w:val="bottom"/>
                </w:tcPr>
                <w:p w:rsidR="006E391F" w:rsidRPr="00BC1144" w:rsidRDefault="006E391F" w:rsidP="00336FA0">
                  <w:pPr>
                    <w:pStyle w:val="TableBodyText"/>
                    <w:ind w:right="28"/>
                    <w:rPr>
                      <w:i/>
                      <w:color w:val="000000"/>
                    </w:rPr>
                  </w:pPr>
                  <w:r w:rsidRPr="00BC1144">
                    <w:rPr>
                      <w:i/>
                      <w:color w:val="000000"/>
                    </w:rPr>
                    <w:t>5</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School socioeconomic status</w:t>
                  </w:r>
                </w:p>
              </w:tc>
              <w:tc>
                <w:tcPr>
                  <w:tcW w:w="844" w:type="pct"/>
                  <w:vAlign w:val="bottom"/>
                </w:tcPr>
                <w:p w:rsidR="006E391F" w:rsidRPr="00BC1144" w:rsidRDefault="006E391F" w:rsidP="00336FA0">
                  <w:pPr>
                    <w:pStyle w:val="TableBodyText"/>
                    <w:rPr>
                      <w:i/>
                      <w:color w:val="000000"/>
                    </w:rPr>
                  </w:pPr>
                  <w:r w:rsidRPr="00BC1144">
                    <w:rPr>
                      <w:i/>
                      <w:color w:val="000000"/>
                    </w:rPr>
                    <w:noBreakHyphen/>
                    <w:t>4</w:t>
                  </w:r>
                </w:p>
              </w:tc>
              <w:tc>
                <w:tcPr>
                  <w:tcW w:w="995" w:type="pct"/>
                  <w:vAlign w:val="bottom"/>
                </w:tcPr>
                <w:p w:rsidR="006E391F" w:rsidRPr="00BC1144" w:rsidRDefault="006E391F" w:rsidP="00336FA0">
                  <w:pPr>
                    <w:pStyle w:val="TableBodyText"/>
                    <w:rPr>
                      <w:i/>
                      <w:color w:val="000000"/>
                    </w:rPr>
                  </w:pPr>
                  <w:r w:rsidRPr="00BC1144">
                    <w:rPr>
                      <w:i/>
                      <w:color w:val="000000"/>
                    </w:rPr>
                    <w:t>6</w:t>
                  </w:r>
                </w:p>
              </w:tc>
              <w:tc>
                <w:tcPr>
                  <w:tcW w:w="994" w:type="pct"/>
                  <w:vAlign w:val="bottom"/>
                </w:tcPr>
                <w:p w:rsidR="006E391F" w:rsidRPr="00BC1144" w:rsidRDefault="006E391F" w:rsidP="00336FA0">
                  <w:pPr>
                    <w:pStyle w:val="TableBodyText"/>
                    <w:ind w:right="28"/>
                    <w:rPr>
                      <w:i/>
                      <w:color w:val="000000"/>
                    </w:rPr>
                  </w:pPr>
                  <w:r w:rsidRPr="00BC1144">
                    <w:rPr>
                      <w:i/>
                      <w:color w:val="000000"/>
                    </w:rPr>
                    <w:t>2</w:t>
                  </w:r>
                </w:p>
              </w:tc>
            </w:tr>
            <w:tr w:rsidR="006E391F" w:rsidRPr="00BC1144" w:rsidTr="00336FA0">
              <w:tc>
                <w:tcPr>
                  <w:tcW w:w="2167" w:type="pct"/>
                </w:tcPr>
                <w:p w:rsidR="006E391F" w:rsidRPr="00BC1144" w:rsidRDefault="006E391F" w:rsidP="00336FA0">
                  <w:pPr>
                    <w:pStyle w:val="TableBodyText"/>
                    <w:jc w:val="left"/>
                  </w:pPr>
                  <w:r w:rsidRPr="00BC1144">
                    <w:t>Neighbourhood</w:t>
                  </w:r>
                </w:p>
              </w:tc>
              <w:tc>
                <w:tcPr>
                  <w:tcW w:w="844" w:type="pct"/>
                  <w:vAlign w:val="bottom"/>
                </w:tcPr>
                <w:p w:rsidR="006E391F" w:rsidRPr="00BC1144" w:rsidRDefault="006E391F" w:rsidP="00336FA0">
                  <w:pPr>
                    <w:pStyle w:val="TableBodyText"/>
                  </w:pPr>
                  <w:r w:rsidRPr="00BC1144">
                    <w:rPr>
                      <w:color w:val="000000"/>
                    </w:rPr>
                    <w:t>5</w:t>
                  </w:r>
                </w:p>
              </w:tc>
              <w:tc>
                <w:tcPr>
                  <w:tcW w:w="995" w:type="pct"/>
                  <w:vAlign w:val="bottom"/>
                </w:tcPr>
                <w:p w:rsidR="006E391F" w:rsidRPr="00BC1144" w:rsidRDefault="006E391F" w:rsidP="00336FA0">
                  <w:pPr>
                    <w:pStyle w:val="TableBodyText"/>
                  </w:pPr>
                  <w:r w:rsidRPr="00BC1144">
                    <w:rPr>
                      <w:color w:val="000000"/>
                    </w:rPr>
                    <w:t>4</w:t>
                  </w:r>
                </w:p>
              </w:tc>
              <w:tc>
                <w:tcPr>
                  <w:tcW w:w="994" w:type="pct"/>
                  <w:vAlign w:val="bottom"/>
                </w:tcPr>
                <w:p w:rsidR="006E391F" w:rsidRPr="00BC1144" w:rsidRDefault="006E391F" w:rsidP="00336FA0">
                  <w:pPr>
                    <w:pStyle w:val="TableBodyText"/>
                    <w:ind w:right="28"/>
                  </w:pPr>
                  <w:r w:rsidRPr="00BC1144">
                    <w:rPr>
                      <w:color w:val="000000"/>
                    </w:rPr>
                    <w:t>5</w:t>
                  </w:r>
                </w:p>
              </w:tc>
            </w:tr>
            <w:tr w:rsidR="006E391F" w:rsidRPr="00BC1144" w:rsidTr="00336FA0">
              <w:tc>
                <w:tcPr>
                  <w:tcW w:w="2167" w:type="pct"/>
                </w:tcPr>
                <w:p w:rsidR="006E391F" w:rsidRPr="00BC1144" w:rsidRDefault="006E391F" w:rsidP="00336FA0">
                  <w:pPr>
                    <w:pStyle w:val="TableBodyText"/>
                    <w:jc w:val="left"/>
                  </w:pPr>
                  <w:r w:rsidRPr="00BC1144">
                    <w:t>Geographic</w:t>
                  </w:r>
                </w:p>
              </w:tc>
              <w:tc>
                <w:tcPr>
                  <w:tcW w:w="844" w:type="pct"/>
                  <w:vAlign w:val="bottom"/>
                </w:tcPr>
                <w:p w:rsidR="006E391F" w:rsidRPr="00BC1144" w:rsidRDefault="006E391F" w:rsidP="00336FA0">
                  <w:pPr>
                    <w:pStyle w:val="TableBodyText"/>
                  </w:pPr>
                  <w:r w:rsidRPr="00BC1144">
                    <w:rPr>
                      <w:color w:val="000000"/>
                    </w:rPr>
                    <w:t>0</w:t>
                  </w:r>
                </w:p>
              </w:tc>
              <w:tc>
                <w:tcPr>
                  <w:tcW w:w="995" w:type="pct"/>
                  <w:vAlign w:val="bottom"/>
                </w:tcPr>
                <w:p w:rsidR="006E391F" w:rsidRPr="00BC1144" w:rsidRDefault="006E391F" w:rsidP="00336FA0">
                  <w:pPr>
                    <w:pStyle w:val="TableBodyText"/>
                  </w:pPr>
                  <w:r w:rsidRPr="00BC1144">
                    <w:rPr>
                      <w:color w:val="000000"/>
                    </w:rPr>
                    <w:t>6</w:t>
                  </w:r>
                </w:p>
              </w:tc>
              <w:tc>
                <w:tcPr>
                  <w:tcW w:w="994" w:type="pct"/>
                  <w:vAlign w:val="bottom"/>
                </w:tcPr>
                <w:p w:rsidR="006E391F" w:rsidRPr="00BC1144" w:rsidRDefault="006E391F" w:rsidP="00336FA0">
                  <w:pPr>
                    <w:pStyle w:val="TableBodyText"/>
                    <w:ind w:right="28"/>
                  </w:pPr>
                  <w:r w:rsidRPr="00BC1144">
                    <w:rPr>
                      <w:color w:val="000000"/>
                    </w:rPr>
                    <w:t>3</w:t>
                  </w:r>
                </w:p>
              </w:tc>
            </w:tr>
            <w:tr w:rsidR="006E391F" w:rsidRPr="00BC1144" w:rsidTr="00336FA0">
              <w:tc>
                <w:tcPr>
                  <w:tcW w:w="2167" w:type="pct"/>
                </w:tcPr>
                <w:p w:rsidR="006E391F" w:rsidRPr="00BC1144" w:rsidRDefault="006E391F" w:rsidP="00336FA0">
                  <w:pPr>
                    <w:pStyle w:val="TableBodyText"/>
                    <w:jc w:val="left"/>
                  </w:pPr>
                  <w:r w:rsidRPr="00BC1144">
                    <w:t>Other characteristics</w:t>
                  </w:r>
                </w:p>
              </w:tc>
              <w:tc>
                <w:tcPr>
                  <w:tcW w:w="844" w:type="pct"/>
                </w:tcPr>
                <w:p w:rsidR="006E391F" w:rsidRPr="00BC1144" w:rsidRDefault="006E391F" w:rsidP="00336FA0">
                  <w:pPr>
                    <w:pStyle w:val="TableBodyText"/>
                    <w:rPr>
                      <w:color w:val="000000"/>
                    </w:rPr>
                  </w:pPr>
                  <w:r w:rsidRPr="00BC1144">
                    <w:noBreakHyphen/>
                    <w:t>1</w:t>
                  </w:r>
                </w:p>
              </w:tc>
              <w:tc>
                <w:tcPr>
                  <w:tcW w:w="995" w:type="pct"/>
                </w:tcPr>
                <w:p w:rsidR="006E391F" w:rsidRPr="00BC1144" w:rsidRDefault="006E391F" w:rsidP="00336FA0">
                  <w:pPr>
                    <w:pStyle w:val="TableBodyText"/>
                    <w:rPr>
                      <w:color w:val="000000"/>
                    </w:rPr>
                  </w:pPr>
                  <w:r w:rsidRPr="00BC1144">
                    <w:t>8</w:t>
                  </w:r>
                </w:p>
              </w:tc>
              <w:tc>
                <w:tcPr>
                  <w:tcW w:w="994" w:type="pct"/>
                </w:tcPr>
                <w:p w:rsidR="006E391F" w:rsidRPr="00BC1144" w:rsidRDefault="006E391F" w:rsidP="00336FA0">
                  <w:pPr>
                    <w:pStyle w:val="TableBodyText"/>
                    <w:ind w:right="28"/>
                    <w:rPr>
                      <w:color w:val="000000"/>
                    </w:rPr>
                  </w:pPr>
                  <w:r w:rsidRPr="00BC1144">
                    <w:t>1</w:t>
                  </w:r>
                </w:p>
              </w:tc>
            </w:tr>
            <w:tr w:rsidR="006E391F" w:rsidRPr="00BC1144" w:rsidTr="00336FA0">
              <w:tc>
                <w:tcPr>
                  <w:tcW w:w="2167" w:type="pct"/>
                </w:tcPr>
                <w:p w:rsidR="006E391F" w:rsidRPr="00BC1144" w:rsidRDefault="006E391F" w:rsidP="00336FA0">
                  <w:pPr>
                    <w:pStyle w:val="TableBodyText"/>
                    <w:ind w:left="227"/>
                    <w:jc w:val="left"/>
                  </w:pPr>
                  <w:r w:rsidRPr="00BC1144">
                    <w:rPr>
                      <w:i/>
                    </w:rPr>
                    <w:t>Gender (male)</w:t>
                  </w:r>
                </w:p>
              </w:tc>
              <w:tc>
                <w:tcPr>
                  <w:tcW w:w="844" w:type="pct"/>
                </w:tcPr>
                <w:p w:rsidR="006E391F" w:rsidRPr="00BC1144" w:rsidRDefault="006E391F" w:rsidP="00336FA0">
                  <w:pPr>
                    <w:pStyle w:val="TableBodyText"/>
                    <w:rPr>
                      <w:i/>
                    </w:rPr>
                  </w:pPr>
                  <w:r w:rsidRPr="00BC1144">
                    <w:rPr>
                      <w:i/>
                    </w:rPr>
                    <w:noBreakHyphen/>
                    <w:t>7</w:t>
                  </w:r>
                </w:p>
              </w:tc>
              <w:tc>
                <w:tcPr>
                  <w:tcW w:w="995" w:type="pct"/>
                </w:tcPr>
                <w:p w:rsidR="006E391F" w:rsidRPr="00BC1144" w:rsidRDefault="006E391F" w:rsidP="00336FA0">
                  <w:pPr>
                    <w:pStyle w:val="TableBodyText"/>
                    <w:rPr>
                      <w:i/>
                    </w:rPr>
                  </w:pPr>
                  <w:r w:rsidRPr="00BC1144">
                    <w:rPr>
                      <w:i/>
                    </w:rPr>
                    <w:t>0</w:t>
                  </w:r>
                </w:p>
              </w:tc>
              <w:tc>
                <w:tcPr>
                  <w:tcW w:w="994" w:type="pct"/>
                </w:tcPr>
                <w:p w:rsidR="006E391F" w:rsidRPr="00BC1144" w:rsidRDefault="006E391F" w:rsidP="00336FA0">
                  <w:pPr>
                    <w:pStyle w:val="TableBodyText"/>
                    <w:ind w:right="28"/>
                    <w:rPr>
                      <w:i/>
                    </w:rPr>
                  </w:pPr>
                  <w:r w:rsidRPr="00BC1144">
                    <w:rPr>
                      <w:i/>
                    </w:rPr>
                    <w:noBreakHyphen/>
                    <w:t>7</w:t>
                  </w:r>
                </w:p>
              </w:tc>
            </w:tr>
            <w:tr w:rsidR="006E391F" w:rsidRPr="00BC1144" w:rsidTr="00336FA0">
              <w:tc>
                <w:tcPr>
                  <w:tcW w:w="2167" w:type="pct"/>
                </w:tcPr>
                <w:p w:rsidR="006E391F" w:rsidRPr="00BC1144" w:rsidRDefault="006E391F" w:rsidP="00336FA0">
                  <w:pPr>
                    <w:pStyle w:val="TableBodyText"/>
                    <w:ind w:left="227"/>
                    <w:jc w:val="left"/>
                  </w:pPr>
                  <w:r w:rsidRPr="00BC1144">
                    <w:rPr>
                      <w:i/>
                    </w:rPr>
                    <w:t xml:space="preserve">Worked 10 or more hours </w:t>
                  </w:r>
                </w:p>
              </w:tc>
              <w:tc>
                <w:tcPr>
                  <w:tcW w:w="844" w:type="pct"/>
                </w:tcPr>
                <w:p w:rsidR="006E391F" w:rsidRPr="00BC1144" w:rsidRDefault="006E391F" w:rsidP="00336FA0">
                  <w:pPr>
                    <w:pStyle w:val="TableBodyText"/>
                    <w:rPr>
                      <w:i/>
                    </w:rPr>
                  </w:pPr>
                  <w:r w:rsidRPr="00BC1144">
                    <w:rPr>
                      <w:i/>
                    </w:rPr>
                    <w:t>0</w:t>
                  </w:r>
                </w:p>
              </w:tc>
              <w:tc>
                <w:tcPr>
                  <w:tcW w:w="995" w:type="pct"/>
                </w:tcPr>
                <w:p w:rsidR="006E391F" w:rsidRPr="00BC1144" w:rsidRDefault="006E391F" w:rsidP="00336FA0">
                  <w:pPr>
                    <w:pStyle w:val="TableBodyText"/>
                    <w:rPr>
                      <w:i/>
                    </w:rPr>
                  </w:pPr>
                  <w:r w:rsidRPr="00BC1144">
                    <w:rPr>
                      <w:i/>
                    </w:rPr>
                    <w:t>2</w:t>
                  </w:r>
                </w:p>
              </w:tc>
              <w:tc>
                <w:tcPr>
                  <w:tcW w:w="994" w:type="pct"/>
                </w:tcPr>
                <w:p w:rsidR="006E391F" w:rsidRPr="00BC1144" w:rsidRDefault="006E391F" w:rsidP="00336FA0">
                  <w:pPr>
                    <w:pStyle w:val="TableBodyText"/>
                    <w:ind w:right="28"/>
                    <w:rPr>
                      <w:i/>
                    </w:rPr>
                  </w:pPr>
                  <w:r w:rsidRPr="00BC1144">
                    <w:rPr>
                      <w:i/>
                    </w:rPr>
                    <w:t>1</w:t>
                  </w:r>
                </w:p>
              </w:tc>
            </w:tr>
            <w:tr w:rsidR="006E391F" w:rsidRPr="00BC1144" w:rsidTr="00336FA0">
              <w:tc>
                <w:tcPr>
                  <w:tcW w:w="2167" w:type="pct"/>
                </w:tcPr>
                <w:p w:rsidR="006E391F" w:rsidRPr="00BC1144" w:rsidRDefault="006E391F" w:rsidP="00336FA0">
                  <w:pPr>
                    <w:pStyle w:val="TableBodyText"/>
                    <w:ind w:left="227"/>
                    <w:jc w:val="left"/>
                  </w:pPr>
                  <w:r w:rsidRPr="00BC1144">
                    <w:rPr>
                      <w:i/>
                    </w:rPr>
                    <w:t>Attended year 12</w:t>
                  </w:r>
                </w:p>
              </w:tc>
              <w:tc>
                <w:tcPr>
                  <w:tcW w:w="844" w:type="pct"/>
                </w:tcPr>
                <w:p w:rsidR="006E391F" w:rsidRPr="00BC1144" w:rsidRDefault="006E391F" w:rsidP="00336FA0">
                  <w:pPr>
                    <w:pStyle w:val="TableBodyText"/>
                    <w:rPr>
                      <w:i/>
                    </w:rPr>
                  </w:pPr>
                  <w:r w:rsidRPr="00BC1144">
                    <w:rPr>
                      <w:i/>
                    </w:rPr>
                    <w:t>5</w:t>
                  </w:r>
                </w:p>
              </w:tc>
              <w:tc>
                <w:tcPr>
                  <w:tcW w:w="995" w:type="pct"/>
                </w:tcPr>
                <w:p w:rsidR="006E391F" w:rsidRPr="00BC1144" w:rsidRDefault="006E391F" w:rsidP="00336FA0">
                  <w:pPr>
                    <w:pStyle w:val="TableBodyText"/>
                    <w:rPr>
                      <w:i/>
                    </w:rPr>
                  </w:pPr>
                  <w:r w:rsidRPr="00BC1144">
                    <w:rPr>
                      <w:i/>
                    </w:rPr>
                    <w:t>1</w:t>
                  </w:r>
                </w:p>
              </w:tc>
              <w:tc>
                <w:tcPr>
                  <w:tcW w:w="994" w:type="pct"/>
                </w:tcPr>
                <w:p w:rsidR="006E391F" w:rsidRPr="00BC1144" w:rsidRDefault="006E391F" w:rsidP="00336FA0">
                  <w:pPr>
                    <w:pStyle w:val="TableBodyText"/>
                    <w:ind w:right="28"/>
                    <w:rPr>
                      <w:i/>
                    </w:rPr>
                  </w:pPr>
                  <w:r w:rsidRPr="00BC1144">
                    <w:rPr>
                      <w:i/>
                    </w:rPr>
                    <w:t>14</w:t>
                  </w:r>
                </w:p>
              </w:tc>
            </w:tr>
            <w:tr w:rsidR="006E391F" w:rsidRPr="00BC1144" w:rsidTr="00336FA0">
              <w:tc>
                <w:tcPr>
                  <w:tcW w:w="2167" w:type="pct"/>
                </w:tcPr>
                <w:p w:rsidR="006E391F" w:rsidRPr="00BC1144" w:rsidRDefault="006E391F" w:rsidP="00336FA0">
                  <w:pPr>
                    <w:pStyle w:val="TableBodyText"/>
                    <w:ind w:left="227"/>
                    <w:jc w:val="left"/>
                  </w:pPr>
                  <w:r w:rsidRPr="00BC1144">
                    <w:rPr>
                      <w:i/>
                    </w:rPr>
                    <w:t>Interaction term (hours * attend year 12)</w:t>
                  </w:r>
                </w:p>
              </w:tc>
              <w:tc>
                <w:tcPr>
                  <w:tcW w:w="844"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0</w:t>
                  </w:r>
                </w:p>
              </w:tc>
              <w:tc>
                <w:tcPr>
                  <w:tcW w:w="994" w:type="pct"/>
                  <w:vAlign w:val="bottom"/>
                </w:tcPr>
                <w:p w:rsidR="006E391F" w:rsidRPr="00BC1144" w:rsidRDefault="006E391F" w:rsidP="00336FA0">
                  <w:pPr>
                    <w:pStyle w:val="TableBodyText"/>
                    <w:ind w:right="28"/>
                    <w:rPr>
                      <w:i/>
                    </w:rPr>
                  </w:pPr>
                  <w:r w:rsidRPr="00BC1144">
                    <w:rPr>
                      <w:i/>
                    </w:rPr>
                    <w:noBreakHyphen/>
                    <w:t>3</w:t>
                  </w:r>
                </w:p>
              </w:tc>
            </w:tr>
            <w:tr w:rsidR="006E391F" w:rsidRPr="00BC1144" w:rsidTr="00336FA0">
              <w:tc>
                <w:tcPr>
                  <w:tcW w:w="2167" w:type="pct"/>
                </w:tcPr>
                <w:p w:rsidR="006E391F" w:rsidRPr="00BC1144" w:rsidRDefault="006E391F" w:rsidP="00336FA0">
                  <w:pPr>
                    <w:pStyle w:val="TableBodyText"/>
                    <w:ind w:left="227"/>
                    <w:jc w:val="left"/>
                  </w:pPr>
                  <w:r w:rsidRPr="00BC1144">
                    <w:rPr>
                      <w:i/>
                    </w:rPr>
                    <w:t>State</w:t>
                  </w:r>
                </w:p>
              </w:tc>
              <w:tc>
                <w:tcPr>
                  <w:tcW w:w="844" w:type="pct"/>
                  <w:vAlign w:val="bottom"/>
                </w:tcPr>
                <w:p w:rsidR="006E391F" w:rsidRPr="00BC1144" w:rsidRDefault="006E391F" w:rsidP="00336FA0">
                  <w:pPr>
                    <w:pStyle w:val="TableBodyText"/>
                    <w:rPr>
                      <w:i/>
                    </w:rPr>
                  </w:pPr>
                  <w:r w:rsidRPr="00BC1144">
                    <w:rPr>
                      <w:i/>
                    </w:rPr>
                    <w:t>1</w:t>
                  </w:r>
                </w:p>
              </w:tc>
              <w:tc>
                <w:tcPr>
                  <w:tcW w:w="995" w:type="pct"/>
                  <w:vAlign w:val="bottom"/>
                </w:tcPr>
                <w:p w:rsidR="006E391F" w:rsidRPr="00BC1144" w:rsidRDefault="006E391F" w:rsidP="00336FA0">
                  <w:pPr>
                    <w:pStyle w:val="TableBodyText"/>
                    <w:rPr>
                      <w:i/>
                    </w:rPr>
                  </w:pPr>
                  <w:r w:rsidRPr="00BC1144">
                    <w:rPr>
                      <w:i/>
                    </w:rPr>
                    <w:t>4</w:t>
                  </w:r>
                </w:p>
              </w:tc>
              <w:tc>
                <w:tcPr>
                  <w:tcW w:w="994" w:type="pct"/>
                  <w:vAlign w:val="bottom"/>
                </w:tcPr>
                <w:p w:rsidR="006E391F" w:rsidRPr="00BC1144" w:rsidRDefault="006E391F" w:rsidP="00336FA0">
                  <w:pPr>
                    <w:pStyle w:val="TableBodyText"/>
                    <w:ind w:right="28"/>
                    <w:rPr>
                      <w:i/>
                    </w:rPr>
                  </w:pPr>
                  <w:r w:rsidRPr="00BC1144">
                    <w:rPr>
                      <w:i/>
                    </w:rPr>
                    <w:noBreakHyphen/>
                    <w:t>4</w:t>
                  </w:r>
                </w:p>
              </w:tc>
            </w:tr>
            <w:tr w:rsidR="006E391F" w:rsidRPr="00BC1144" w:rsidTr="00336FA0">
              <w:tc>
                <w:tcPr>
                  <w:tcW w:w="2167" w:type="pct"/>
                  <w:tcBorders>
                    <w:bottom w:val="single" w:sz="6" w:space="0" w:color="BFBFBF"/>
                  </w:tcBorders>
                  <w:shd w:val="clear" w:color="auto" w:fill="auto"/>
                </w:tcPr>
                <w:p w:rsidR="006E391F" w:rsidRPr="00BC1144" w:rsidRDefault="006E391F" w:rsidP="00336FA0">
                  <w:pPr>
                    <w:pStyle w:val="TableBodyText"/>
                    <w:jc w:val="left"/>
                  </w:pPr>
                  <w:r w:rsidRPr="00BC1144">
                    <w:t>Specific to being Indigenous</w:t>
                  </w:r>
                </w:p>
              </w:tc>
              <w:tc>
                <w:tcPr>
                  <w:tcW w:w="844" w:type="pct"/>
                  <w:tcBorders>
                    <w:bottom w:val="single" w:sz="6" w:space="0" w:color="BFBFBF"/>
                  </w:tcBorders>
                  <w:vAlign w:val="bottom"/>
                </w:tcPr>
                <w:p w:rsidR="006E391F" w:rsidRPr="00BC1144" w:rsidRDefault="006E391F" w:rsidP="00336FA0">
                  <w:pPr>
                    <w:pStyle w:val="TableBodyText"/>
                  </w:pPr>
                  <w:r w:rsidRPr="00BC1144">
                    <w:rPr>
                      <w:color w:val="000000"/>
                    </w:rPr>
                    <w:t>23</w:t>
                  </w:r>
                </w:p>
              </w:tc>
              <w:tc>
                <w:tcPr>
                  <w:tcW w:w="995" w:type="pct"/>
                  <w:tcBorders>
                    <w:bottom w:val="single" w:sz="6" w:space="0" w:color="BFBFBF"/>
                  </w:tcBorders>
                  <w:shd w:val="clear" w:color="auto" w:fill="auto"/>
                  <w:vAlign w:val="bottom"/>
                </w:tcPr>
                <w:p w:rsidR="006E391F" w:rsidRPr="00BC1144" w:rsidRDefault="006E391F" w:rsidP="00336FA0">
                  <w:pPr>
                    <w:pStyle w:val="TableBodyText"/>
                  </w:pPr>
                  <w:r w:rsidRPr="00BC1144">
                    <w:rPr>
                      <w:color w:val="000000"/>
                    </w:rPr>
                    <w:t>29</w:t>
                  </w:r>
                </w:p>
              </w:tc>
              <w:tc>
                <w:tcPr>
                  <w:tcW w:w="994"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rPr>
                      <w:color w:val="000000"/>
                    </w:rPr>
                    <w:t>46</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7</w:t>
            </w:r>
            <w:r w:rsidRPr="00BC1144">
              <w:tab/>
              <w:t>Regional or remote location</w:t>
            </w:r>
          </w:p>
          <w:p w:rsidR="006E391F" w:rsidRPr="00BC1144" w:rsidRDefault="006E391F" w:rsidP="00336FA0">
            <w:pPr>
              <w:pStyle w:val="Subtitle"/>
            </w:pPr>
            <w:r w:rsidRPr="00BC1144">
              <w:t>Contributions to gap in university participation</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420"/>
              <w:gridCol w:w="1361"/>
              <w:gridCol w:w="1363"/>
              <w:gridCol w:w="1361"/>
            </w:tblGrid>
            <w:tr w:rsidR="006E391F" w:rsidRPr="00BC1144" w:rsidTr="00E349EB">
              <w:trPr>
                <w:tblHeader/>
              </w:trPr>
              <w:tc>
                <w:tcPr>
                  <w:tcW w:w="2599" w:type="pct"/>
                  <w:tcBorders>
                    <w:top w:val="single" w:sz="6" w:space="0" w:color="BFBFBF"/>
                    <w:bottom w:val="single" w:sz="4" w:space="0" w:color="BFBFBF"/>
                  </w:tcBorders>
                  <w:shd w:val="clear" w:color="auto" w:fill="auto"/>
                  <w:tcMar>
                    <w:top w:w="28" w:type="dxa"/>
                  </w:tcMar>
                </w:tcPr>
                <w:p w:rsidR="006E391F" w:rsidRPr="00BC1144" w:rsidRDefault="006E391F" w:rsidP="00336FA0">
                  <w:pPr>
                    <w:pStyle w:val="TableColumnHeading"/>
                    <w:jc w:val="left"/>
                  </w:pPr>
                </w:p>
              </w:tc>
              <w:tc>
                <w:tcPr>
                  <w:tcW w:w="800" w:type="pct"/>
                  <w:tcBorders>
                    <w:top w:val="single" w:sz="6" w:space="0" w:color="BFBFBF"/>
                    <w:bottom w:val="single" w:sz="6" w:space="0" w:color="BFBFBF"/>
                  </w:tcBorders>
                </w:tcPr>
                <w:p w:rsidR="006E391F" w:rsidRPr="00BC1144" w:rsidRDefault="006E391F" w:rsidP="00336FA0">
                  <w:pPr>
                    <w:pStyle w:val="TableColumnHeading"/>
                  </w:pPr>
                  <w:r w:rsidRPr="00BC1144">
                    <w:t>2010</w:t>
                  </w:r>
                </w:p>
              </w:tc>
              <w:tc>
                <w:tcPr>
                  <w:tcW w:w="801"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2013</w:t>
                  </w:r>
                </w:p>
              </w:tc>
              <w:tc>
                <w:tcPr>
                  <w:tcW w:w="800"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2016</w:t>
                  </w:r>
                </w:p>
              </w:tc>
            </w:tr>
            <w:tr w:rsidR="006E391F" w:rsidRPr="00BC1144" w:rsidTr="00E349EB">
              <w:trPr>
                <w:tblHeader/>
              </w:trPr>
              <w:tc>
                <w:tcPr>
                  <w:tcW w:w="2599" w:type="pct"/>
                  <w:tcBorders>
                    <w:top w:val="single" w:sz="4" w:space="0" w:color="BFBFBF"/>
                  </w:tcBorders>
                  <w:shd w:val="clear" w:color="auto" w:fill="F2F2F2" w:themeFill="background1" w:themeFillShade="F2"/>
                  <w:tcMar>
                    <w:top w:w="28" w:type="dxa"/>
                  </w:tcMar>
                </w:tcPr>
                <w:p w:rsidR="006E391F" w:rsidRPr="00BC1144" w:rsidRDefault="006E391F" w:rsidP="00E349EB">
                  <w:pPr>
                    <w:pStyle w:val="TableColumnHeading"/>
                    <w:spacing w:after="0"/>
                    <w:jc w:val="left"/>
                  </w:pPr>
                </w:p>
              </w:tc>
              <w:tc>
                <w:tcPr>
                  <w:tcW w:w="800" w:type="pct"/>
                  <w:tcBorders>
                    <w:top w:val="single" w:sz="6" w:space="0" w:color="BFBFBF"/>
                  </w:tcBorders>
                  <w:shd w:val="clear" w:color="auto" w:fill="F2F2F2" w:themeFill="background1" w:themeFillShade="F2"/>
                </w:tcPr>
                <w:p w:rsidR="006E391F" w:rsidRPr="00BC1144" w:rsidRDefault="006E391F" w:rsidP="00E349EB">
                  <w:pPr>
                    <w:pStyle w:val="TableColumnHeading"/>
                    <w:spacing w:after="0"/>
                  </w:pPr>
                  <w:r w:rsidRPr="00BC1144">
                    <w:t>% pts</w:t>
                  </w:r>
                </w:p>
              </w:tc>
              <w:tc>
                <w:tcPr>
                  <w:tcW w:w="801" w:type="pct"/>
                  <w:tcBorders>
                    <w:top w:val="single" w:sz="6" w:space="0" w:color="BFBFBF"/>
                  </w:tcBorders>
                  <w:shd w:val="clear" w:color="auto" w:fill="F2F2F2" w:themeFill="background1" w:themeFillShade="F2"/>
                  <w:tcMar>
                    <w:top w:w="28" w:type="dxa"/>
                  </w:tcMar>
                </w:tcPr>
                <w:p w:rsidR="006E391F" w:rsidRPr="00BC1144" w:rsidRDefault="006E391F" w:rsidP="00E349EB">
                  <w:pPr>
                    <w:pStyle w:val="TableColumnHeading"/>
                    <w:spacing w:after="0"/>
                  </w:pPr>
                  <w:r w:rsidRPr="00BC1144">
                    <w:t>% pts</w:t>
                  </w:r>
                </w:p>
              </w:tc>
              <w:tc>
                <w:tcPr>
                  <w:tcW w:w="800" w:type="pct"/>
                  <w:tcBorders>
                    <w:top w:val="single" w:sz="6" w:space="0" w:color="BFBFBF"/>
                  </w:tcBorders>
                  <w:shd w:val="clear" w:color="auto" w:fill="F2F2F2" w:themeFill="background1" w:themeFillShade="F2"/>
                  <w:tcMar>
                    <w:top w:w="28" w:type="dxa"/>
                  </w:tcMar>
                </w:tcPr>
                <w:p w:rsidR="006E391F" w:rsidRPr="00BC1144" w:rsidRDefault="006E391F" w:rsidP="00E349EB">
                  <w:pPr>
                    <w:pStyle w:val="TableColumnHeading"/>
                    <w:spacing w:after="0"/>
                    <w:ind w:right="28"/>
                  </w:pPr>
                  <w:r w:rsidRPr="00BC1144">
                    <w:t>% pts</w:t>
                  </w:r>
                </w:p>
              </w:tc>
            </w:tr>
            <w:tr w:rsidR="006E391F" w:rsidRPr="00BC1144" w:rsidTr="00E349EB">
              <w:tc>
                <w:tcPr>
                  <w:tcW w:w="2599" w:type="pct"/>
                </w:tcPr>
                <w:p w:rsidR="006E391F" w:rsidRPr="00BC1144" w:rsidRDefault="006E391F" w:rsidP="00336FA0">
                  <w:pPr>
                    <w:pStyle w:val="TableUnitsRow"/>
                    <w:jc w:val="left"/>
                  </w:pPr>
                  <w:r w:rsidRPr="00BC1144">
                    <w:rPr>
                      <w:color w:val="000000"/>
                    </w:rPr>
                    <w:t xml:space="preserve">Regional/remote </w:t>
                  </w:r>
                  <w:r w:rsidRPr="00BC1144">
                    <w:t>participation rate</w:t>
                  </w:r>
                </w:p>
              </w:tc>
              <w:tc>
                <w:tcPr>
                  <w:tcW w:w="800" w:type="pct"/>
                  <w:vAlign w:val="bottom"/>
                </w:tcPr>
                <w:p w:rsidR="006E391F" w:rsidRPr="00BC1144" w:rsidRDefault="006E391F" w:rsidP="00336FA0">
                  <w:pPr>
                    <w:pStyle w:val="TableUnitsRow"/>
                  </w:pPr>
                  <w:r w:rsidRPr="00BC1144">
                    <w:rPr>
                      <w:color w:val="000000"/>
                    </w:rPr>
                    <w:t>47</w:t>
                  </w:r>
                </w:p>
              </w:tc>
              <w:tc>
                <w:tcPr>
                  <w:tcW w:w="801" w:type="pct"/>
                  <w:vAlign w:val="bottom"/>
                </w:tcPr>
                <w:p w:rsidR="006E391F" w:rsidRPr="00BC1144" w:rsidRDefault="006E391F" w:rsidP="00336FA0">
                  <w:pPr>
                    <w:pStyle w:val="TableUnitsRow"/>
                  </w:pPr>
                  <w:r w:rsidRPr="00BC1144">
                    <w:rPr>
                      <w:color w:val="000000"/>
                    </w:rPr>
                    <w:t>44</w:t>
                  </w:r>
                </w:p>
              </w:tc>
              <w:tc>
                <w:tcPr>
                  <w:tcW w:w="800" w:type="pct"/>
                  <w:vAlign w:val="bottom"/>
                </w:tcPr>
                <w:p w:rsidR="006E391F" w:rsidRPr="00BC1144" w:rsidRDefault="006E391F" w:rsidP="00336FA0">
                  <w:pPr>
                    <w:pStyle w:val="TableUnitsRow"/>
                    <w:ind w:right="28"/>
                  </w:pPr>
                  <w:r w:rsidRPr="00BC1144">
                    <w:rPr>
                      <w:color w:val="000000"/>
                    </w:rPr>
                    <w:t>47</w:t>
                  </w:r>
                </w:p>
              </w:tc>
            </w:tr>
            <w:tr w:rsidR="006E391F" w:rsidRPr="00BC1144" w:rsidTr="00336FA0">
              <w:tc>
                <w:tcPr>
                  <w:tcW w:w="2599" w:type="pct"/>
                </w:tcPr>
                <w:p w:rsidR="006E391F" w:rsidRPr="00BC1144" w:rsidRDefault="006E391F" w:rsidP="00336FA0">
                  <w:pPr>
                    <w:pStyle w:val="TableBodyText"/>
                    <w:jc w:val="left"/>
                  </w:pPr>
                  <w:r w:rsidRPr="00BC1144">
                    <w:rPr>
                      <w:color w:val="000000"/>
                    </w:rPr>
                    <w:t xml:space="preserve">Metropolitan </w:t>
                  </w:r>
                  <w:r w:rsidRPr="00BC1144">
                    <w:t>participation rate</w:t>
                  </w:r>
                </w:p>
              </w:tc>
              <w:tc>
                <w:tcPr>
                  <w:tcW w:w="800" w:type="pct"/>
                  <w:vAlign w:val="bottom"/>
                </w:tcPr>
                <w:p w:rsidR="006E391F" w:rsidRPr="00BC1144" w:rsidRDefault="006E391F" w:rsidP="00336FA0">
                  <w:pPr>
                    <w:pStyle w:val="TableBodyText"/>
                  </w:pPr>
                  <w:r w:rsidRPr="00BC1144">
                    <w:rPr>
                      <w:color w:val="000000"/>
                    </w:rPr>
                    <w:t>56</w:t>
                  </w:r>
                </w:p>
              </w:tc>
              <w:tc>
                <w:tcPr>
                  <w:tcW w:w="801" w:type="pct"/>
                  <w:vAlign w:val="bottom"/>
                </w:tcPr>
                <w:p w:rsidR="006E391F" w:rsidRPr="00BC1144" w:rsidRDefault="006E391F" w:rsidP="00336FA0">
                  <w:pPr>
                    <w:pStyle w:val="TableBodyText"/>
                  </w:pPr>
                  <w:r w:rsidRPr="00BC1144">
                    <w:rPr>
                      <w:color w:val="000000"/>
                    </w:rPr>
                    <w:t>62</w:t>
                  </w:r>
                </w:p>
              </w:tc>
              <w:tc>
                <w:tcPr>
                  <w:tcW w:w="800" w:type="pct"/>
                  <w:vAlign w:val="bottom"/>
                </w:tcPr>
                <w:p w:rsidR="006E391F" w:rsidRPr="00BC1144" w:rsidRDefault="006E391F" w:rsidP="00336FA0">
                  <w:pPr>
                    <w:pStyle w:val="TableBodyText"/>
                    <w:ind w:right="28"/>
                  </w:pPr>
                  <w:r w:rsidRPr="00BC1144">
                    <w:rPr>
                      <w:color w:val="000000"/>
                    </w:rPr>
                    <w:t>66</w:t>
                  </w:r>
                </w:p>
              </w:tc>
            </w:tr>
            <w:tr w:rsidR="006E391F" w:rsidRPr="00BC1144" w:rsidTr="00336FA0">
              <w:tc>
                <w:tcPr>
                  <w:tcW w:w="2599" w:type="pct"/>
                </w:tcPr>
                <w:p w:rsidR="006E391F" w:rsidRPr="00BC1144" w:rsidRDefault="006E391F" w:rsidP="00336FA0">
                  <w:pPr>
                    <w:pStyle w:val="TableBodyText"/>
                    <w:jc w:val="left"/>
                    <w:rPr>
                      <w:color w:val="000000"/>
                    </w:rPr>
                  </w:pPr>
                  <w:r w:rsidRPr="00BC1144">
                    <w:rPr>
                      <w:color w:val="000000"/>
                    </w:rPr>
                    <w:t>Gap in university attendance</w:t>
                  </w:r>
                </w:p>
              </w:tc>
              <w:tc>
                <w:tcPr>
                  <w:tcW w:w="800" w:type="pct"/>
                  <w:vAlign w:val="bottom"/>
                </w:tcPr>
                <w:p w:rsidR="006E391F" w:rsidRPr="00BC1144" w:rsidRDefault="006E391F" w:rsidP="00336FA0">
                  <w:pPr>
                    <w:pStyle w:val="TableBodyText"/>
                    <w:rPr>
                      <w:color w:val="000000"/>
                    </w:rPr>
                  </w:pPr>
                  <w:r w:rsidRPr="00BC1144">
                    <w:rPr>
                      <w:color w:val="000000"/>
                    </w:rPr>
                    <w:t>9</w:t>
                  </w:r>
                </w:p>
              </w:tc>
              <w:tc>
                <w:tcPr>
                  <w:tcW w:w="801" w:type="pct"/>
                  <w:vAlign w:val="bottom"/>
                </w:tcPr>
                <w:p w:rsidR="006E391F" w:rsidRPr="00BC1144" w:rsidRDefault="006E391F" w:rsidP="00336FA0">
                  <w:pPr>
                    <w:pStyle w:val="TableBodyText"/>
                    <w:rPr>
                      <w:color w:val="000000"/>
                    </w:rPr>
                  </w:pPr>
                  <w:r w:rsidRPr="00BC1144">
                    <w:rPr>
                      <w:color w:val="000000"/>
                    </w:rPr>
                    <w:t>18</w:t>
                  </w:r>
                </w:p>
              </w:tc>
              <w:tc>
                <w:tcPr>
                  <w:tcW w:w="800" w:type="pct"/>
                  <w:vAlign w:val="bottom"/>
                </w:tcPr>
                <w:p w:rsidR="006E391F" w:rsidRPr="00BC1144" w:rsidRDefault="006E391F" w:rsidP="00336FA0">
                  <w:pPr>
                    <w:pStyle w:val="TableBodyText"/>
                    <w:ind w:right="28"/>
                    <w:rPr>
                      <w:color w:val="000000"/>
                    </w:rPr>
                  </w:pPr>
                  <w:r w:rsidRPr="00BC1144">
                    <w:rPr>
                      <w:color w:val="000000"/>
                    </w:rPr>
                    <w:t>19</w:t>
                  </w:r>
                </w:p>
              </w:tc>
            </w:tr>
            <w:tr w:rsidR="006E391F" w:rsidRPr="00BC1144" w:rsidTr="00E349EB">
              <w:tc>
                <w:tcPr>
                  <w:tcW w:w="2599" w:type="pct"/>
                  <w:shd w:val="clear" w:color="auto" w:fill="F2F2F2" w:themeFill="background1" w:themeFillShade="F2"/>
                  <w:vAlign w:val="bottom"/>
                </w:tcPr>
                <w:p w:rsidR="006E391F" w:rsidRPr="00BC1144" w:rsidRDefault="006E391F" w:rsidP="00E349EB">
                  <w:pPr>
                    <w:pStyle w:val="TableBodyText"/>
                    <w:spacing w:before="160"/>
                    <w:jc w:val="left"/>
                  </w:pPr>
                  <w:r w:rsidRPr="00BC1144">
                    <w:t>Per cent of the gap explained by:</w:t>
                  </w:r>
                </w:p>
              </w:tc>
              <w:tc>
                <w:tcPr>
                  <w:tcW w:w="800" w:type="pct"/>
                  <w:shd w:val="clear" w:color="auto" w:fill="F2F2F2" w:themeFill="background1" w:themeFillShade="F2"/>
                  <w:vAlign w:val="bottom"/>
                </w:tcPr>
                <w:p w:rsidR="006E391F" w:rsidRPr="00BC1144" w:rsidRDefault="006E391F" w:rsidP="00E349EB">
                  <w:pPr>
                    <w:pStyle w:val="TableBodyText"/>
                  </w:pPr>
                  <w:r w:rsidRPr="00BC1144">
                    <w:t>%</w:t>
                  </w:r>
                </w:p>
              </w:tc>
              <w:tc>
                <w:tcPr>
                  <w:tcW w:w="801" w:type="pct"/>
                  <w:shd w:val="clear" w:color="auto" w:fill="F2F2F2" w:themeFill="background1" w:themeFillShade="F2"/>
                  <w:vAlign w:val="bottom"/>
                </w:tcPr>
                <w:p w:rsidR="006E391F" w:rsidRPr="00BC1144" w:rsidRDefault="006E391F" w:rsidP="00E349EB">
                  <w:pPr>
                    <w:pStyle w:val="TableBodyText"/>
                  </w:pPr>
                  <w:r w:rsidRPr="00BC1144">
                    <w:t>%</w:t>
                  </w:r>
                </w:p>
              </w:tc>
              <w:tc>
                <w:tcPr>
                  <w:tcW w:w="800" w:type="pct"/>
                  <w:shd w:val="clear" w:color="auto" w:fill="F2F2F2" w:themeFill="background1" w:themeFillShade="F2"/>
                  <w:vAlign w:val="bottom"/>
                </w:tcPr>
                <w:p w:rsidR="006E391F" w:rsidRPr="00BC1144" w:rsidRDefault="006E391F" w:rsidP="00E349EB">
                  <w:pPr>
                    <w:pStyle w:val="TableBodyText"/>
                    <w:ind w:right="28"/>
                  </w:pPr>
                  <w:r w:rsidRPr="00BC1144">
                    <w:t>%</w:t>
                  </w:r>
                </w:p>
              </w:tc>
            </w:tr>
            <w:tr w:rsidR="006E391F" w:rsidRPr="00BC1144" w:rsidTr="00336FA0">
              <w:tc>
                <w:tcPr>
                  <w:tcW w:w="2599" w:type="pct"/>
                </w:tcPr>
                <w:p w:rsidR="006E391F" w:rsidRPr="00BC1144" w:rsidRDefault="006E391F" w:rsidP="00336FA0">
                  <w:pPr>
                    <w:pStyle w:val="TableBodyText"/>
                    <w:jc w:val="left"/>
                  </w:pPr>
                  <w:r w:rsidRPr="00BC1144">
                    <w:t>Literacy and numeracy</w:t>
                  </w:r>
                </w:p>
              </w:tc>
              <w:tc>
                <w:tcPr>
                  <w:tcW w:w="800" w:type="pct"/>
                  <w:vAlign w:val="bottom"/>
                </w:tcPr>
                <w:p w:rsidR="006E391F" w:rsidRPr="00BC1144" w:rsidRDefault="006E391F" w:rsidP="00336FA0">
                  <w:pPr>
                    <w:pStyle w:val="TableBodyText"/>
                  </w:pPr>
                  <w:r w:rsidRPr="00BC1144">
                    <w:rPr>
                      <w:color w:val="000000"/>
                    </w:rPr>
                    <w:t>6</w:t>
                  </w:r>
                </w:p>
              </w:tc>
              <w:tc>
                <w:tcPr>
                  <w:tcW w:w="801" w:type="pct"/>
                  <w:vAlign w:val="bottom"/>
                </w:tcPr>
                <w:p w:rsidR="006E391F" w:rsidRPr="00BC1144" w:rsidRDefault="006E391F" w:rsidP="00336FA0">
                  <w:pPr>
                    <w:pStyle w:val="TableBodyText"/>
                  </w:pPr>
                  <w:r w:rsidRPr="00BC1144">
                    <w:rPr>
                      <w:color w:val="000000"/>
                    </w:rPr>
                    <w:t>13</w:t>
                  </w:r>
                </w:p>
              </w:tc>
              <w:tc>
                <w:tcPr>
                  <w:tcW w:w="800" w:type="pct"/>
                  <w:vAlign w:val="bottom"/>
                </w:tcPr>
                <w:p w:rsidR="006E391F" w:rsidRPr="00BC1144" w:rsidRDefault="006E391F" w:rsidP="00336FA0">
                  <w:pPr>
                    <w:pStyle w:val="TableBodyText"/>
                    <w:ind w:right="28"/>
                  </w:pPr>
                  <w:r w:rsidRPr="00BC1144">
                    <w:rPr>
                      <w:color w:val="000000"/>
                    </w:rPr>
                    <w:t>18</w:t>
                  </w:r>
                </w:p>
              </w:tc>
            </w:tr>
            <w:tr w:rsidR="006E391F" w:rsidRPr="00BC1144" w:rsidTr="00336FA0">
              <w:tc>
                <w:tcPr>
                  <w:tcW w:w="2599" w:type="pct"/>
                </w:tcPr>
                <w:p w:rsidR="006E391F" w:rsidRPr="00BC1144" w:rsidRDefault="006E391F" w:rsidP="00336FA0">
                  <w:pPr>
                    <w:pStyle w:val="TableBodyText"/>
                    <w:jc w:val="left"/>
                  </w:pPr>
                  <w:r w:rsidRPr="00BC1144">
                    <w:t>Family characteristics</w:t>
                  </w:r>
                </w:p>
              </w:tc>
              <w:tc>
                <w:tcPr>
                  <w:tcW w:w="800" w:type="pct"/>
                  <w:vAlign w:val="bottom"/>
                </w:tcPr>
                <w:p w:rsidR="006E391F" w:rsidRPr="00BC1144" w:rsidRDefault="006E391F" w:rsidP="00336FA0">
                  <w:pPr>
                    <w:pStyle w:val="TableBodyText"/>
                  </w:pPr>
                  <w:r w:rsidRPr="00BC1144">
                    <w:rPr>
                      <w:color w:val="000000"/>
                    </w:rPr>
                    <w:t>26</w:t>
                  </w:r>
                </w:p>
              </w:tc>
              <w:tc>
                <w:tcPr>
                  <w:tcW w:w="801" w:type="pct"/>
                  <w:vAlign w:val="bottom"/>
                </w:tcPr>
                <w:p w:rsidR="006E391F" w:rsidRPr="00BC1144" w:rsidRDefault="006E391F" w:rsidP="00336FA0">
                  <w:pPr>
                    <w:pStyle w:val="TableBodyText"/>
                  </w:pPr>
                  <w:r w:rsidRPr="00BC1144">
                    <w:rPr>
                      <w:color w:val="000000"/>
                    </w:rPr>
                    <w:t>15</w:t>
                  </w:r>
                </w:p>
              </w:tc>
              <w:tc>
                <w:tcPr>
                  <w:tcW w:w="800" w:type="pct"/>
                  <w:vAlign w:val="bottom"/>
                </w:tcPr>
                <w:p w:rsidR="006E391F" w:rsidRPr="00BC1144" w:rsidRDefault="006E391F" w:rsidP="00336FA0">
                  <w:pPr>
                    <w:pStyle w:val="TableBodyText"/>
                    <w:ind w:right="28"/>
                  </w:pPr>
                  <w:r w:rsidRPr="00BC1144">
                    <w:rPr>
                      <w:color w:val="000000"/>
                    </w:rPr>
                    <w:t>12</w:t>
                  </w:r>
                </w:p>
              </w:tc>
            </w:tr>
            <w:tr w:rsidR="006E391F" w:rsidRPr="00BC1144" w:rsidTr="00336FA0">
              <w:tc>
                <w:tcPr>
                  <w:tcW w:w="2599" w:type="pct"/>
                  <w:vAlign w:val="bottom"/>
                </w:tcPr>
                <w:p w:rsidR="006E391F" w:rsidRPr="00BC1144" w:rsidRDefault="006E391F" w:rsidP="00336FA0">
                  <w:pPr>
                    <w:pStyle w:val="TableBodyText"/>
                    <w:ind w:left="227"/>
                    <w:jc w:val="left"/>
                    <w:rPr>
                      <w:i/>
                    </w:rPr>
                  </w:pPr>
                  <w:r w:rsidRPr="00BC1144">
                    <w:rPr>
                      <w:i/>
                    </w:rPr>
                    <w:t>Books</w:t>
                  </w:r>
                </w:p>
              </w:tc>
              <w:tc>
                <w:tcPr>
                  <w:tcW w:w="800" w:type="pct"/>
                  <w:vAlign w:val="bottom"/>
                </w:tcPr>
                <w:p w:rsidR="006E391F" w:rsidRPr="00BC1144" w:rsidRDefault="006E391F" w:rsidP="00336FA0">
                  <w:pPr>
                    <w:pStyle w:val="TableBodyText"/>
                    <w:rPr>
                      <w:i/>
                    </w:rPr>
                  </w:pPr>
                  <w:r w:rsidRPr="00BC1144">
                    <w:rPr>
                      <w:i/>
                    </w:rPr>
                    <w:t>0</w:t>
                  </w:r>
                </w:p>
              </w:tc>
              <w:tc>
                <w:tcPr>
                  <w:tcW w:w="801" w:type="pct"/>
                  <w:vAlign w:val="bottom"/>
                </w:tcPr>
                <w:p w:rsidR="006E391F" w:rsidRPr="00BC1144" w:rsidRDefault="006E391F" w:rsidP="00336FA0">
                  <w:pPr>
                    <w:pStyle w:val="TableBodyText"/>
                    <w:rPr>
                      <w:i/>
                    </w:rPr>
                  </w:pPr>
                  <w:r w:rsidRPr="00BC1144">
                    <w:rPr>
                      <w:i/>
                    </w:rPr>
                    <w:t>0</w:t>
                  </w:r>
                </w:p>
              </w:tc>
              <w:tc>
                <w:tcPr>
                  <w:tcW w:w="800" w:type="pct"/>
                  <w:vAlign w:val="bottom"/>
                </w:tcPr>
                <w:p w:rsidR="006E391F" w:rsidRPr="00BC1144" w:rsidRDefault="006E391F" w:rsidP="00336FA0">
                  <w:pPr>
                    <w:pStyle w:val="TableBodyText"/>
                    <w:ind w:right="28"/>
                    <w:rPr>
                      <w:i/>
                    </w:rPr>
                  </w:pPr>
                  <w:r w:rsidRPr="00BC1144">
                    <w:rPr>
                      <w:i/>
                    </w:rPr>
                    <w:t>0</w:t>
                  </w:r>
                </w:p>
              </w:tc>
            </w:tr>
            <w:tr w:rsidR="006E391F" w:rsidRPr="00BC1144" w:rsidTr="00336FA0">
              <w:tc>
                <w:tcPr>
                  <w:tcW w:w="2599" w:type="pct"/>
                  <w:vAlign w:val="bottom"/>
                </w:tcPr>
                <w:p w:rsidR="006E391F" w:rsidRPr="00BC1144" w:rsidRDefault="006E391F" w:rsidP="00336FA0">
                  <w:pPr>
                    <w:pStyle w:val="TableBodyText"/>
                    <w:ind w:left="227"/>
                    <w:jc w:val="left"/>
                    <w:rPr>
                      <w:i/>
                    </w:rPr>
                  </w:pPr>
                  <w:r w:rsidRPr="00BC1144">
                    <w:rPr>
                      <w:i/>
                    </w:rPr>
                    <w:t>English speaking background</w:t>
                  </w:r>
                </w:p>
              </w:tc>
              <w:tc>
                <w:tcPr>
                  <w:tcW w:w="800" w:type="pct"/>
                  <w:vAlign w:val="bottom"/>
                </w:tcPr>
                <w:p w:rsidR="006E391F" w:rsidRPr="00BC1144" w:rsidRDefault="006E391F" w:rsidP="00336FA0">
                  <w:pPr>
                    <w:pStyle w:val="TableBodyText"/>
                    <w:rPr>
                      <w:i/>
                    </w:rPr>
                  </w:pPr>
                  <w:r w:rsidRPr="00BC1144">
                    <w:rPr>
                      <w:i/>
                    </w:rPr>
                    <w:t>11</w:t>
                  </w:r>
                </w:p>
              </w:tc>
              <w:tc>
                <w:tcPr>
                  <w:tcW w:w="801" w:type="pct"/>
                  <w:vAlign w:val="bottom"/>
                </w:tcPr>
                <w:p w:rsidR="006E391F" w:rsidRPr="00BC1144" w:rsidRDefault="006E391F" w:rsidP="00336FA0">
                  <w:pPr>
                    <w:pStyle w:val="TableBodyText"/>
                    <w:rPr>
                      <w:i/>
                    </w:rPr>
                  </w:pPr>
                  <w:r w:rsidRPr="00BC1144">
                    <w:rPr>
                      <w:i/>
                    </w:rPr>
                    <w:t>4</w:t>
                  </w:r>
                </w:p>
              </w:tc>
              <w:tc>
                <w:tcPr>
                  <w:tcW w:w="800" w:type="pct"/>
                  <w:vAlign w:val="bottom"/>
                </w:tcPr>
                <w:p w:rsidR="006E391F" w:rsidRPr="00BC1144" w:rsidRDefault="006E391F" w:rsidP="00336FA0">
                  <w:pPr>
                    <w:pStyle w:val="TableBodyText"/>
                    <w:ind w:right="28"/>
                    <w:rPr>
                      <w:i/>
                    </w:rPr>
                  </w:pPr>
                  <w:r w:rsidRPr="00BC1144">
                    <w:rPr>
                      <w:i/>
                    </w:rPr>
                    <w:t>4</w:t>
                  </w:r>
                </w:p>
              </w:tc>
            </w:tr>
            <w:tr w:rsidR="006E391F" w:rsidRPr="00BC1144" w:rsidTr="00336FA0">
              <w:tc>
                <w:tcPr>
                  <w:tcW w:w="2599" w:type="pct"/>
                  <w:vAlign w:val="bottom"/>
                </w:tcPr>
                <w:p w:rsidR="006E391F" w:rsidRPr="00BC1144" w:rsidRDefault="006E391F" w:rsidP="00336FA0">
                  <w:pPr>
                    <w:pStyle w:val="TableBodyText"/>
                    <w:ind w:left="227"/>
                    <w:jc w:val="left"/>
                    <w:rPr>
                      <w:i/>
                    </w:rPr>
                  </w:pPr>
                  <w:r w:rsidRPr="00BC1144">
                    <w:rPr>
                      <w:i/>
                    </w:rPr>
                    <w:t>First in family</w:t>
                  </w:r>
                </w:p>
              </w:tc>
              <w:tc>
                <w:tcPr>
                  <w:tcW w:w="800" w:type="pct"/>
                  <w:vAlign w:val="bottom"/>
                </w:tcPr>
                <w:p w:rsidR="006E391F" w:rsidRPr="00BC1144" w:rsidRDefault="006E391F" w:rsidP="00336FA0">
                  <w:pPr>
                    <w:pStyle w:val="TableBodyText"/>
                    <w:rPr>
                      <w:i/>
                    </w:rPr>
                  </w:pPr>
                  <w:r w:rsidRPr="00BC1144">
                    <w:rPr>
                      <w:i/>
                    </w:rPr>
                    <w:t>14</w:t>
                  </w:r>
                </w:p>
              </w:tc>
              <w:tc>
                <w:tcPr>
                  <w:tcW w:w="801" w:type="pct"/>
                  <w:vAlign w:val="bottom"/>
                </w:tcPr>
                <w:p w:rsidR="006E391F" w:rsidRPr="00BC1144" w:rsidRDefault="006E391F" w:rsidP="00336FA0">
                  <w:pPr>
                    <w:pStyle w:val="TableBodyText"/>
                    <w:rPr>
                      <w:i/>
                    </w:rPr>
                  </w:pPr>
                  <w:r w:rsidRPr="00BC1144">
                    <w:rPr>
                      <w:i/>
                    </w:rPr>
                    <w:t>8</w:t>
                  </w:r>
                </w:p>
              </w:tc>
              <w:tc>
                <w:tcPr>
                  <w:tcW w:w="800" w:type="pct"/>
                  <w:vAlign w:val="bottom"/>
                </w:tcPr>
                <w:p w:rsidR="006E391F" w:rsidRPr="00BC1144" w:rsidRDefault="006E391F" w:rsidP="00336FA0">
                  <w:pPr>
                    <w:pStyle w:val="TableBodyText"/>
                    <w:ind w:right="28"/>
                    <w:rPr>
                      <w:i/>
                    </w:rPr>
                  </w:pPr>
                  <w:r w:rsidRPr="00BC1144">
                    <w:rPr>
                      <w:i/>
                    </w:rPr>
                    <w:t>9</w:t>
                  </w:r>
                </w:p>
              </w:tc>
            </w:tr>
            <w:tr w:rsidR="006E391F" w:rsidRPr="00BC1144" w:rsidTr="00336FA0">
              <w:tc>
                <w:tcPr>
                  <w:tcW w:w="2599" w:type="pct"/>
                  <w:vAlign w:val="bottom"/>
                </w:tcPr>
                <w:p w:rsidR="006E391F" w:rsidRPr="00BC1144" w:rsidRDefault="006E391F" w:rsidP="00336FA0">
                  <w:pPr>
                    <w:pStyle w:val="TableBodyText"/>
                    <w:ind w:left="227"/>
                    <w:jc w:val="left"/>
                    <w:rPr>
                      <w:i/>
                    </w:rPr>
                  </w:pPr>
                  <w:r w:rsidRPr="00BC1144">
                    <w:rPr>
                      <w:i/>
                    </w:rPr>
                    <w:t>Low socioeconomic status</w:t>
                  </w:r>
                </w:p>
              </w:tc>
              <w:tc>
                <w:tcPr>
                  <w:tcW w:w="800" w:type="pct"/>
                  <w:vAlign w:val="bottom"/>
                </w:tcPr>
                <w:p w:rsidR="006E391F" w:rsidRPr="00BC1144" w:rsidRDefault="006E391F" w:rsidP="00336FA0">
                  <w:pPr>
                    <w:pStyle w:val="TableBodyText"/>
                    <w:rPr>
                      <w:i/>
                    </w:rPr>
                  </w:pPr>
                  <w:r w:rsidRPr="00BC1144">
                    <w:rPr>
                      <w:i/>
                    </w:rPr>
                    <w:t>2</w:t>
                  </w:r>
                </w:p>
              </w:tc>
              <w:tc>
                <w:tcPr>
                  <w:tcW w:w="801" w:type="pct"/>
                  <w:vAlign w:val="bottom"/>
                </w:tcPr>
                <w:p w:rsidR="006E391F" w:rsidRPr="00BC1144" w:rsidRDefault="006E391F" w:rsidP="00336FA0">
                  <w:pPr>
                    <w:pStyle w:val="TableBodyText"/>
                    <w:rPr>
                      <w:i/>
                    </w:rPr>
                  </w:pPr>
                  <w:r w:rsidRPr="00BC1144">
                    <w:rPr>
                      <w:i/>
                    </w:rPr>
                    <w:t>3</w:t>
                  </w:r>
                </w:p>
              </w:tc>
              <w:tc>
                <w:tcPr>
                  <w:tcW w:w="800" w:type="pct"/>
                  <w:vAlign w:val="bottom"/>
                </w:tcPr>
                <w:p w:rsidR="006E391F" w:rsidRPr="00BC1144" w:rsidRDefault="006E391F" w:rsidP="00336FA0">
                  <w:pPr>
                    <w:pStyle w:val="TableBodyText"/>
                    <w:ind w:right="28"/>
                    <w:rPr>
                      <w:i/>
                    </w:rPr>
                  </w:pPr>
                  <w:r w:rsidRPr="00BC1144">
                    <w:rPr>
                      <w:i/>
                    </w:rPr>
                    <w:noBreakHyphen/>
                    <w:t>2</w:t>
                  </w:r>
                </w:p>
              </w:tc>
            </w:tr>
            <w:tr w:rsidR="006E391F" w:rsidRPr="00BC1144" w:rsidTr="00336FA0">
              <w:tc>
                <w:tcPr>
                  <w:tcW w:w="2599" w:type="pct"/>
                </w:tcPr>
                <w:p w:rsidR="006E391F" w:rsidRPr="00BC1144" w:rsidRDefault="006E391F" w:rsidP="00336FA0">
                  <w:pPr>
                    <w:pStyle w:val="TableBodyText"/>
                    <w:jc w:val="left"/>
                  </w:pPr>
                  <w:r w:rsidRPr="00BC1144">
                    <w:t>School</w:t>
                  </w:r>
                </w:p>
              </w:tc>
              <w:tc>
                <w:tcPr>
                  <w:tcW w:w="800" w:type="pct"/>
                  <w:vAlign w:val="bottom"/>
                </w:tcPr>
                <w:p w:rsidR="006E391F" w:rsidRPr="00BC1144" w:rsidRDefault="006E391F" w:rsidP="00336FA0">
                  <w:pPr>
                    <w:pStyle w:val="TableBodyText"/>
                  </w:pPr>
                  <w:r w:rsidRPr="00BC1144">
                    <w:rPr>
                      <w:color w:val="000000"/>
                    </w:rPr>
                    <w:t>1</w:t>
                  </w:r>
                </w:p>
              </w:tc>
              <w:tc>
                <w:tcPr>
                  <w:tcW w:w="801" w:type="pct"/>
                  <w:vAlign w:val="bottom"/>
                </w:tcPr>
                <w:p w:rsidR="006E391F" w:rsidRPr="00BC1144" w:rsidRDefault="006E391F" w:rsidP="00336FA0">
                  <w:pPr>
                    <w:pStyle w:val="TableBodyText"/>
                  </w:pPr>
                  <w:r w:rsidRPr="00BC1144">
                    <w:rPr>
                      <w:color w:val="000000"/>
                    </w:rPr>
                    <w:t>15</w:t>
                  </w:r>
                </w:p>
              </w:tc>
              <w:tc>
                <w:tcPr>
                  <w:tcW w:w="800" w:type="pct"/>
                  <w:vAlign w:val="bottom"/>
                </w:tcPr>
                <w:p w:rsidR="006E391F" w:rsidRPr="00BC1144" w:rsidRDefault="006E391F" w:rsidP="00336FA0">
                  <w:pPr>
                    <w:pStyle w:val="TableBodyText"/>
                    <w:ind w:right="28"/>
                  </w:pPr>
                  <w:r w:rsidRPr="00BC1144">
                    <w:rPr>
                      <w:color w:val="000000"/>
                    </w:rPr>
                    <w:t>11</w:t>
                  </w:r>
                </w:p>
              </w:tc>
            </w:tr>
            <w:tr w:rsidR="006E391F" w:rsidRPr="00BC1144" w:rsidTr="00336FA0">
              <w:tc>
                <w:tcPr>
                  <w:tcW w:w="2599" w:type="pct"/>
                </w:tcPr>
                <w:p w:rsidR="006E391F" w:rsidRPr="00BC1144" w:rsidRDefault="006E391F" w:rsidP="00336FA0">
                  <w:pPr>
                    <w:pStyle w:val="TableBodyText"/>
                    <w:ind w:left="227"/>
                    <w:jc w:val="left"/>
                    <w:rPr>
                      <w:i/>
                    </w:rPr>
                  </w:pPr>
                  <w:r w:rsidRPr="00BC1144">
                    <w:rPr>
                      <w:i/>
                    </w:rPr>
                    <w:t>Sector</w:t>
                  </w:r>
                </w:p>
              </w:tc>
              <w:tc>
                <w:tcPr>
                  <w:tcW w:w="800" w:type="pct"/>
                </w:tcPr>
                <w:p w:rsidR="006E391F" w:rsidRPr="00BC1144" w:rsidRDefault="006E391F" w:rsidP="00336FA0">
                  <w:pPr>
                    <w:pStyle w:val="TableBodyText"/>
                    <w:rPr>
                      <w:i/>
                      <w:color w:val="000000"/>
                    </w:rPr>
                  </w:pPr>
                  <w:r w:rsidRPr="00BC1144">
                    <w:rPr>
                      <w:i/>
                    </w:rPr>
                    <w:t>16</w:t>
                  </w:r>
                </w:p>
              </w:tc>
              <w:tc>
                <w:tcPr>
                  <w:tcW w:w="801" w:type="pct"/>
                </w:tcPr>
                <w:p w:rsidR="006E391F" w:rsidRPr="00BC1144" w:rsidRDefault="006E391F" w:rsidP="00336FA0">
                  <w:pPr>
                    <w:pStyle w:val="TableBodyText"/>
                    <w:rPr>
                      <w:i/>
                      <w:color w:val="000000"/>
                    </w:rPr>
                  </w:pPr>
                  <w:r w:rsidRPr="00BC1144">
                    <w:rPr>
                      <w:i/>
                    </w:rPr>
                    <w:t>2</w:t>
                  </w:r>
                </w:p>
              </w:tc>
              <w:tc>
                <w:tcPr>
                  <w:tcW w:w="800" w:type="pct"/>
                </w:tcPr>
                <w:p w:rsidR="006E391F" w:rsidRPr="00BC1144" w:rsidRDefault="006E391F" w:rsidP="00336FA0">
                  <w:pPr>
                    <w:pStyle w:val="TableBodyText"/>
                    <w:ind w:right="28"/>
                    <w:rPr>
                      <w:i/>
                      <w:color w:val="000000"/>
                    </w:rPr>
                  </w:pPr>
                  <w:r w:rsidRPr="00BC1144">
                    <w:rPr>
                      <w:i/>
                    </w:rPr>
                    <w:t>6</w:t>
                  </w:r>
                </w:p>
              </w:tc>
            </w:tr>
            <w:tr w:rsidR="006E391F" w:rsidRPr="00BC1144" w:rsidTr="00336FA0">
              <w:tc>
                <w:tcPr>
                  <w:tcW w:w="2599" w:type="pct"/>
                </w:tcPr>
                <w:p w:rsidR="006E391F" w:rsidRPr="00BC1144" w:rsidRDefault="006E391F" w:rsidP="00336FA0">
                  <w:pPr>
                    <w:pStyle w:val="TableBodyText"/>
                    <w:ind w:left="227"/>
                    <w:jc w:val="left"/>
                  </w:pPr>
                  <w:r w:rsidRPr="00BC1144">
                    <w:rPr>
                      <w:i/>
                    </w:rPr>
                    <w:t>School socioeconomic status</w:t>
                  </w:r>
                </w:p>
              </w:tc>
              <w:tc>
                <w:tcPr>
                  <w:tcW w:w="800" w:type="pct"/>
                </w:tcPr>
                <w:p w:rsidR="006E391F" w:rsidRPr="00BC1144" w:rsidRDefault="006E391F" w:rsidP="00336FA0">
                  <w:pPr>
                    <w:pStyle w:val="TableBodyText"/>
                    <w:rPr>
                      <w:i/>
                      <w:color w:val="000000"/>
                    </w:rPr>
                  </w:pPr>
                  <w:r w:rsidRPr="00BC1144">
                    <w:rPr>
                      <w:i/>
                    </w:rPr>
                    <w:noBreakHyphen/>
                    <w:t>14</w:t>
                  </w:r>
                </w:p>
              </w:tc>
              <w:tc>
                <w:tcPr>
                  <w:tcW w:w="801" w:type="pct"/>
                </w:tcPr>
                <w:p w:rsidR="006E391F" w:rsidRPr="00BC1144" w:rsidRDefault="006E391F" w:rsidP="00336FA0">
                  <w:pPr>
                    <w:pStyle w:val="TableBodyText"/>
                    <w:rPr>
                      <w:i/>
                      <w:color w:val="000000"/>
                    </w:rPr>
                  </w:pPr>
                  <w:r w:rsidRPr="00BC1144">
                    <w:rPr>
                      <w:i/>
                    </w:rPr>
                    <w:t>13</w:t>
                  </w:r>
                </w:p>
              </w:tc>
              <w:tc>
                <w:tcPr>
                  <w:tcW w:w="800" w:type="pct"/>
                </w:tcPr>
                <w:p w:rsidR="006E391F" w:rsidRPr="00BC1144" w:rsidRDefault="006E391F" w:rsidP="00336FA0">
                  <w:pPr>
                    <w:pStyle w:val="TableBodyText"/>
                    <w:ind w:right="28"/>
                    <w:rPr>
                      <w:i/>
                      <w:color w:val="000000"/>
                    </w:rPr>
                  </w:pPr>
                  <w:r w:rsidRPr="00BC1144">
                    <w:rPr>
                      <w:i/>
                    </w:rPr>
                    <w:t>5</w:t>
                  </w:r>
                </w:p>
              </w:tc>
            </w:tr>
            <w:tr w:rsidR="006E391F" w:rsidRPr="00BC1144" w:rsidTr="00336FA0">
              <w:tc>
                <w:tcPr>
                  <w:tcW w:w="2599" w:type="pct"/>
                </w:tcPr>
                <w:p w:rsidR="006E391F" w:rsidRPr="00BC1144" w:rsidRDefault="006E391F" w:rsidP="00336FA0">
                  <w:pPr>
                    <w:pStyle w:val="TableBodyText"/>
                    <w:jc w:val="left"/>
                  </w:pPr>
                  <w:r w:rsidRPr="00BC1144">
                    <w:t>Neighbourhood</w:t>
                  </w:r>
                </w:p>
              </w:tc>
              <w:tc>
                <w:tcPr>
                  <w:tcW w:w="800" w:type="pct"/>
                  <w:vAlign w:val="bottom"/>
                </w:tcPr>
                <w:p w:rsidR="006E391F" w:rsidRPr="00BC1144" w:rsidRDefault="006E391F" w:rsidP="00336FA0">
                  <w:pPr>
                    <w:pStyle w:val="TableBodyText"/>
                  </w:pPr>
                  <w:r w:rsidRPr="00BC1144">
                    <w:rPr>
                      <w:color w:val="000000"/>
                    </w:rPr>
                    <w:t>28</w:t>
                  </w:r>
                </w:p>
              </w:tc>
              <w:tc>
                <w:tcPr>
                  <w:tcW w:w="801" w:type="pct"/>
                  <w:vAlign w:val="bottom"/>
                </w:tcPr>
                <w:p w:rsidR="006E391F" w:rsidRPr="00BC1144" w:rsidRDefault="006E391F" w:rsidP="00336FA0">
                  <w:pPr>
                    <w:pStyle w:val="TableBodyText"/>
                  </w:pPr>
                  <w:r w:rsidRPr="00BC1144">
                    <w:rPr>
                      <w:color w:val="000000"/>
                    </w:rPr>
                    <w:t>9</w:t>
                  </w:r>
                </w:p>
              </w:tc>
              <w:tc>
                <w:tcPr>
                  <w:tcW w:w="800" w:type="pct"/>
                  <w:vAlign w:val="bottom"/>
                </w:tcPr>
                <w:p w:rsidR="006E391F" w:rsidRPr="00BC1144" w:rsidRDefault="006E391F" w:rsidP="00336FA0">
                  <w:pPr>
                    <w:pStyle w:val="TableBodyText"/>
                    <w:ind w:right="28"/>
                  </w:pPr>
                  <w:r w:rsidRPr="00BC1144">
                    <w:rPr>
                      <w:color w:val="000000"/>
                    </w:rPr>
                    <w:t>15</w:t>
                  </w:r>
                </w:p>
              </w:tc>
            </w:tr>
            <w:tr w:rsidR="006E391F" w:rsidRPr="00BC1144" w:rsidTr="00336FA0">
              <w:tc>
                <w:tcPr>
                  <w:tcW w:w="2599" w:type="pct"/>
                </w:tcPr>
                <w:p w:rsidR="006E391F" w:rsidRPr="00BC1144" w:rsidRDefault="006E391F" w:rsidP="00336FA0">
                  <w:pPr>
                    <w:pStyle w:val="TableBodyText"/>
                    <w:jc w:val="left"/>
                  </w:pPr>
                  <w:r w:rsidRPr="00BC1144">
                    <w:t>Other characteristics</w:t>
                  </w:r>
                </w:p>
              </w:tc>
              <w:tc>
                <w:tcPr>
                  <w:tcW w:w="800" w:type="pct"/>
                </w:tcPr>
                <w:p w:rsidR="006E391F" w:rsidRPr="00BC1144" w:rsidRDefault="006E391F" w:rsidP="00336FA0">
                  <w:pPr>
                    <w:pStyle w:val="TableBodyText"/>
                  </w:pPr>
                  <w:r w:rsidRPr="00BC1144">
                    <w:t>37</w:t>
                  </w:r>
                </w:p>
              </w:tc>
              <w:tc>
                <w:tcPr>
                  <w:tcW w:w="801" w:type="pct"/>
                </w:tcPr>
                <w:p w:rsidR="006E391F" w:rsidRPr="00BC1144" w:rsidRDefault="006E391F" w:rsidP="00336FA0">
                  <w:pPr>
                    <w:pStyle w:val="TableBodyText"/>
                  </w:pPr>
                  <w:r w:rsidRPr="00BC1144">
                    <w:t>18</w:t>
                  </w:r>
                </w:p>
              </w:tc>
              <w:tc>
                <w:tcPr>
                  <w:tcW w:w="800" w:type="pct"/>
                </w:tcPr>
                <w:p w:rsidR="006E391F" w:rsidRPr="00BC1144" w:rsidRDefault="006E391F" w:rsidP="00336FA0">
                  <w:pPr>
                    <w:pStyle w:val="TableBodyText"/>
                    <w:ind w:right="28"/>
                  </w:pPr>
                  <w:r w:rsidRPr="00BC1144">
                    <w:t>16</w:t>
                  </w:r>
                </w:p>
              </w:tc>
            </w:tr>
            <w:tr w:rsidR="006E391F" w:rsidRPr="00BC1144" w:rsidTr="00336FA0">
              <w:tc>
                <w:tcPr>
                  <w:tcW w:w="2599" w:type="pct"/>
                </w:tcPr>
                <w:p w:rsidR="006E391F" w:rsidRPr="00BC1144" w:rsidRDefault="006E391F" w:rsidP="00336FA0">
                  <w:pPr>
                    <w:pStyle w:val="TableBodyText"/>
                    <w:ind w:left="227"/>
                    <w:jc w:val="left"/>
                  </w:pPr>
                  <w:r w:rsidRPr="00BC1144">
                    <w:rPr>
                      <w:i/>
                    </w:rPr>
                    <w:t>Gender (male)</w:t>
                  </w:r>
                </w:p>
              </w:tc>
              <w:tc>
                <w:tcPr>
                  <w:tcW w:w="800" w:type="pct"/>
                </w:tcPr>
                <w:p w:rsidR="006E391F" w:rsidRPr="00BC1144" w:rsidRDefault="006E391F" w:rsidP="00336FA0">
                  <w:pPr>
                    <w:pStyle w:val="TableBodyText"/>
                  </w:pPr>
                  <w:r w:rsidRPr="00BC1144">
                    <w:rPr>
                      <w:i/>
                    </w:rPr>
                    <w:noBreakHyphen/>
                    <w:t>3</w:t>
                  </w:r>
                </w:p>
              </w:tc>
              <w:tc>
                <w:tcPr>
                  <w:tcW w:w="801" w:type="pct"/>
                </w:tcPr>
                <w:p w:rsidR="006E391F" w:rsidRPr="00BC1144" w:rsidRDefault="006E391F" w:rsidP="00336FA0">
                  <w:pPr>
                    <w:pStyle w:val="TableBodyText"/>
                  </w:pPr>
                  <w:r w:rsidRPr="00BC1144">
                    <w:rPr>
                      <w:i/>
                    </w:rPr>
                    <w:t>3</w:t>
                  </w:r>
                </w:p>
              </w:tc>
              <w:tc>
                <w:tcPr>
                  <w:tcW w:w="800" w:type="pct"/>
                </w:tcPr>
                <w:p w:rsidR="006E391F" w:rsidRPr="00BC1144" w:rsidRDefault="006E391F" w:rsidP="00336FA0">
                  <w:pPr>
                    <w:pStyle w:val="TableBodyText"/>
                    <w:ind w:right="28"/>
                  </w:pPr>
                  <w:r w:rsidRPr="00BC1144">
                    <w:rPr>
                      <w:i/>
                    </w:rPr>
                    <w:t>0</w:t>
                  </w:r>
                </w:p>
              </w:tc>
            </w:tr>
            <w:tr w:rsidR="006E391F" w:rsidRPr="00BC1144" w:rsidTr="00336FA0">
              <w:tc>
                <w:tcPr>
                  <w:tcW w:w="2599" w:type="pct"/>
                </w:tcPr>
                <w:p w:rsidR="006E391F" w:rsidRPr="00BC1144" w:rsidRDefault="006E391F" w:rsidP="00336FA0">
                  <w:pPr>
                    <w:pStyle w:val="TableBodyText"/>
                    <w:ind w:left="227"/>
                    <w:jc w:val="left"/>
                  </w:pPr>
                  <w:r w:rsidRPr="00BC1144">
                    <w:rPr>
                      <w:i/>
                    </w:rPr>
                    <w:t xml:space="preserve">Worked 10 or more hours </w:t>
                  </w:r>
                </w:p>
              </w:tc>
              <w:tc>
                <w:tcPr>
                  <w:tcW w:w="800" w:type="pct"/>
                  <w:vAlign w:val="bottom"/>
                </w:tcPr>
                <w:p w:rsidR="006E391F" w:rsidRPr="00BC1144" w:rsidRDefault="006E391F" w:rsidP="00336FA0">
                  <w:pPr>
                    <w:pStyle w:val="TableBodyText"/>
                    <w:rPr>
                      <w:i/>
                    </w:rPr>
                  </w:pPr>
                  <w:r w:rsidRPr="00BC1144">
                    <w:rPr>
                      <w:i/>
                    </w:rPr>
                    <w:t>15</w:t>
                  </w:r>
                </w:p>
              </w:tc>
              <w:tc>
                <w:tcPr>
                  <w:tcW w:w="801" w:type="pct"/>
                  <w:vAlign w:val="bottom"/>
                </w:tcPr>
                <w:p w:rsidR="006E391F" w:rsidRPr="00BC1144" w:rsidRDefault="006E391F" w:rsidP="00336FA0">
                  <w:pPr>
                    <w:pStyle w:val="TableBodyText"/>
                    <w:rPr>
                      <w:i/>
                    </w:rPr>
                  </w:pPr>
                  <w:r w:rsidRPr="00BC1144">
                    <w:rPr>
                      <w:i/>
                    </w:rPr>
                    <w:t>6</w:t>
                  </w:r>
                </w:p>
              </w:tc>
              <w:tc>
                <w:tcPr>
                  <w:tcW w:w="800" w:type="pct"/>
                  <w:vAlign w:val="bottom"/>
                </w:tcPr>
                <w:p w:rsidR="006E391F" w:rsidRPr="00BC1144" w:rsidRDefault="006E391F" w:rsidP="00336FA0">
                  <w:pPr>
                    <w:pStyle w:val="TableBodyText"/>
                    <w:ind w:right="28"/>
                    <w:rPr>
                      <w:i/>
                    </w:rPr>
                  </w:pPr>
                  <w:r w:rsidRPr="00BC1144">
                    <w:rPr>
                      <w:i/>
                    </w:rPr>
                    <w:t>6</w:t>
                  </w:r>
                </w:p>
              </w:tc>
            </w:tr>
            <w:tr w:rsidR="006E391F" w:rsidRPr="00BC1144" w:rsidTr="00336FA0">
              <w:tc>
                <w:tcPr>
                  <w:tcW w:w="2599" w:type="pct"/>
                </w:tcPr>
                <w:p w:rsidR="006E391F" w:rsidRPr="00BC1144" w:rsidRDefault="006E391F" w:rsidP="00336FA0">
                  <w:pPr>
                    <w:pStyle w:val="TableBodyText"/>
                    <w:ind w:left="227"/>
                    <w:jc w:val="left"/>
                  </w:pPr>
                  <w:r w:rsidRPr="00BC1144">
                    <w:rPr>
                      <w:i/>
                    </w:rPr>
                    <w:t>Attended year 12</w:t>
                  </w:r>
                </w:p>
              </w:tc>
              <w:tc>
                <w:tcPr>
                  <w:tcW w:w="800" w:type="pct"/>
                  <w:vAlign w:val="bottom"/>
                </w:tcPr>
                <w:p w:rsidR="006E391F" w:rsidRPr="00BC1144" w:rsidRDefault="006E391F" w:rsidP="00336FA0">
                  <w:pPr>
                    <w:pStyle w:val="TableBodyText"/>
                    <w:rPr>
                      <w:i/>
                    </w:rPr>
                  </w:pPr>
                  <w:r w:rsidRPr="00BC1144">
                    <w:rPr>
                      <w:i/>
                    </w:rPr>
                    <w:t>27</w:t>
                  </w:r>
                </w:p>
              </w:tc>
              <w:tc>
                <w:tcPr>
                  <w:tcW w:w="801" w:type="pct"/>
                  <w:vAlign w:val="bottom"/>
                </w:tcPr>
                <w:p w:rsidR="006E391F" w:rsidRPr="00BC1144" w:rsidRDefault="006E391F" w:rsidP="00336FA0">
                  <w:pPr>
                    <w:pStyle w:val="TableBodyText"/>
                    <w:rPr>
                      <w:i/>
                    </w:rPr>
                  </w:pPr>
                  <w:r w:rsidRPr="00BC1144">
                    <w:rPr>
                      <w:i/>
                    </w:rPr>
                    <w:t>7</w:t>
                  </w:r>
                </w:p>
              </w:tc>
              <w:tc>
                <w:tcPr>
                  <w:tcW w:w="800" w:type="pct"/>
                  <w:vAlign w:val="bottom"/>
                </w:tcPr>
                <w:p w:rsidR="006E391F" w:rsidRPr="00BC1144" w:rsidRDefault="006E391F" w:rsidP="00336FA0">
                  <w:pPr>
                    <w:pStyle w:val="TableBodyText"/>
                    <w:ind w:right="28"/>
                    <w:rPr>
                      <w:i/>
                    </w:rPr>
                  </w:pPr>
                  <w:r w:rsidRPr="00BC1144">
                    <w:rPr>
                      <w:i/>
                    </w:rPr>
                    <w:t>9</w:t>
                  </w:r>
                </w:p>
              </w:tc>
            </w:tr>
            <w:tr w:rsidR="006E391F" w:rsidRPr="00BC1144" w:rsidTr="00336FA0">
              <w:tc>
                <w:tcPr>
                  <w:tcW w:w="2599" w:type="pct"/>
                </w:tcPr>
                <w:p w:rsidR="006E391F" w:rsidRPr="00BC1144" w:rsidRDefault="006E391F" w:rsidP="00336FA0">
                  <w:pPr>
                    <w:pStyle w:val="TableBodyText"/>
                    <w:ind w:left="227"/>
                    <w:jc w:val="left"/>
                  </w:pPr>
                  <w:r w:rsidRPr="00BC1144">
                    <w:rPr>
                      <w:i/>
                    </w:rPr>
                    <w:t>Interaction term (hours * attend year 12)</w:t>
                  </w:r>
                </w:p>
              </w:tc>
              <w:tc>
                <w:tcPr>
                  <w:tcW w:w="800" w:type="pct"/>
                  <w:vAlign w:val="bottom"/>
                </w:tcPr>
                <w:p w:rsidR="006E391F" w:rsidRPr="00BC1144" w:rsidRDefault="006E391F" w:rsidP="00336FA0">
                  <w:pPr>
                    <w:pStyle w:val="TableBodyText"/>
                    <w:rPr>
                      <w:i/>
                    </w:rPr>
                  </w:pPr>
                  <w:r w:rsidRPr="00BC1144">
                    <w:rPr>
                      <w:i/>
                    </w:rPr>
                    <w:noBreakHyphen/>
                    <w:t>3</w:t>
                  </w:r>
                </w:p>
              </w:tc>
              <w:tc>
                <w:tcPr>
                  <w:tcW w:w="801" w:type="pct"/>
                  <w:vAlign w:val="bottom"/>
                </w:tcPr>
                <w:p w:rsidR="006E391F" w:rsidRPr="00BC1144" w:rsidRDefault="006E391F" w:rsidP="00336FA0">
                  <w:pPr>
                    <w:pStyle w:val="TableBodyText"/>
                    <w:rPr>
                      <w:i/>
                    </w:rPr>
                  </w:pPr>
                  <w:r w:rsidRPr="00BC1144">
                    <w:rPr>
                      <w:i/>
                    </w:rPr>
                    <w:t>1</w:t>
                  </w:r>
                </w:p>
              </w:tc>
              <w:tc>
                <w:tcPr>
                  <w:tcW w:w="800" w:type="pct"/>
                  <w:vAlign w:val="bottom"/>
                </w:tcPr>
                <w:p w:rsidR="006E391F" w:rsidRPr="00BC1144" w:rsidRDefault="006E391F" w:rsidP="00336FA0">
                  <w:pPr>
                    <w:pStyle w:val="TableBodyText"/>
                    <w:ind w:right="28"/>
                    <w:rPr>
                      <w:i/>
                    </w:rPr>
                  </w:pPr>
                  <w:r w:rsidRPr="00BC1144">
                    <w:rPr>
                      <w:i/>
                    </w:rPr>
                    <w:noBreakHyphen/>
                    <w:t>3</w:t>
                  </w:r>
                </w:p>
              </w:tc>
            </w:tr>
            <w:tr w:rsidR="006E391F" w:rsidRPr="00BC1144" w:rsidTr="00336FA0">
              <w:tc>
                <w:tcPr>
                  <w:tcW w:w="2599" w:type="pct"/>
                </w:tcPr>
                <w:p w:rsidR="006E391F" w:rsidRPr="00BC1144" w:rsidRDefault="006E391F" w:rsidP="00336FA0">
                  <w:pPr>
                    <w:pStyle w:val="TableBodyText"/>
                    <w:ind w:left="227"/>
                    <w:jc w:val="left"/>
                  </w:pPr>
                  <w:r w:rsidRPr="00BC1144">
                    <w:rPr>
                      <w:i/>
                    </w:rPr>
                    <w:t>State</w:t>
                  </w:r>
                </w:p>
              </w:tc>
              <w:tc>
                <w:tcPr>
                  <w:tcW w:w="800" w:type="pct"/>
                  <w:vAlign w:val="bottom"/>
                </w:tcPr>
                <w:p w:rsidR="006E391F" w:rsidRPr="00BC1144" w:rsidRDefault="006E391F" w:rsidP="00336FA0">
                  <w:pPr>
                    <w:pStyle w:val="TableBodyText"/>
                    <w:rPr>
                      <w:i/>
                    </w:rPr>
                  </w:pPr>
                  <w:r w:rsidRPr="00BC1144">
                    <w:rPr>
                      <w:i/>
                    </w:rPr>
                    <w:noBreakHyphen/>
                    <w:t>1</w:t>
                  </w:r>
                </w:p>
              </w:tc>
              <w:tc>
                <w:tcPr>
                  <w:tcW w:w="801" w:type="pct"/>
                  <w:vAlign w:val="bottom"/>
                </w:tcPr>
                <w:p w:rsidR="006E391F" w:rsidRPr="00BC1144" w:rsidRDefault="006E391F" w:rsidP="00336FA0">
                  <w:pPr>
                    <w:pStyle w:val="TableBodyText"/>
                    <w:rPr>
                      <w:i/>
                    </w:rPr>
                  </w:pPr>
                  <w:r w:rsidRPr="00BC1144">
                    <w:rPr>
                      <w:i/>
                    </w:rPr>
                    <w:noBreakHyphen/>
                    <w:t>1</w:t>
                  </w:r>
                </w:p>
              </w:tc>
              <w:tc>
                <w:tcPr>
                  <w:tcW w:w="800" w:type="pct"/>
                  <w:vAlign w:val="bottom"/>
                </w:tcPr>
                <w:p w:rsidR="006E391F" w:rsidRPr="00BC1144" w:rsidRDefault="006E391F" w:rsidP="00336FA0">
                  <w:pPr>
                    <w:pStyle w:val="TableBodyText"/>
                    <w:ind w:right="28"/>
                    <w:rPr>
                      <w:i/>
                    </w:rPr>
                  </w:pPr>
                  <w:r w:rsidRPr="00BC1144">
                    <w:rPr>
                      <w:i/>
                    </w:rPr>
                    <w:t>3</w:t>
                  </w:r>
                </w:p>
              </w:tc>
            </w:tr>
            <w:tr w:rsidR="006E391F" w:rsidRPr="00BC1144" w:rsidTr="00336FA0">
              <w:tc>
                <w:tcPr>
                  <w:tcW w:w="2599" w:type="pct"/>
                </w:tcPr>
                <w:p w:rsidR="006E391F" w:rsidRPr="00BC1144" w:rsidRDefault="006E391F" w:rsidP="00336FA0">
                  <w:pPr>
                    <w:pStyle w:val="TableBodyText"/>
                    <w:ind w:left="227"/>
                    <w:jc w:val="left"/>
                    <w:rPr>
                      <w:i/>
                    </w:rPr>
                  </w:pPr>
                  <w:r w:rsidRPr="00BC1144">
                    <w:rPr>
                      <w:i/>
                    </w:rPr>
                    <w:t>Indigenous status</w:t>
                  </w:r>
                </w:p>
              </w:tc>
              <w:tc>
                <w:tcPr>
                  <w:tcW w:w="800" w:type="pct"/>
                  <w:vAlign w:val="bottom"/>
                </w:tcPr>
                <w:p w:rsidR="006E391F" w:rsidRPr="00BC1144" w:rsidRDefault="006E391F" w:rsidP="00336FA0">
                  <w:pPr>
                    <w:pStyle w:val="TableBodyText"/>
                    <w:rPr>
                      <w:i/>
                    </w:rPr>
                  </w:pPr>
                  <w:r w:rsidRPr="00BC1144">
                    <w:rPr>
                      <w:i/>
                    </w:rPr>
                    <w:t>1</w:t>
                  </w:r>
                </w:p>
              </w:tc>
              <w:tc>
                <w:tcPr>
                  <w:tcW w:w="801" w:type="pct"/>
                  <w:vAlign w:val="bottom"/>
                </w:tcPr>
                <w:p w:rsidR="006E391F" w:rsidRPr="00BC1144" w:rsidRDefault="006E391F" w:rsidP="00336FA0">
                  <w:pPr>
                    <w:pStyle w:val="TableBodyText"/>
                    <w:rPr>
                      <w:i/>
                    </w:rPr>
                  </w:pPr>
                  <w:r w:rsidRPr="00BC1144">
                    <w:rPr>
                      <w:i/>
                    </w:rPr>
                    <w:t>2</w:t>
                  </w:r>
                </w:p>
              </w:tc>
              <w:tc>
                <w:tcPr>
                  <w:tcW w:w="800" w:type="pct"/>
                  <w:vAlign w:val="bottom"/>
                </w:tcPr>
                <w:p w:rsidR="006E391F" w:rsidRPr="00BC1144" w:rsidRDefault="006E391F" w:rsidP="00336FA0">
                  <w:pPr>
                    <w:pStyle w:val="TableBodyText"/>
                    <w:ind w:right="28"/>
                    <w:rPr>
                      <w:i/>
                    </w:rPr>
                  </w:pPr>
                  <w:r w:rsidRPr="00BC1144">
                    <w:rPr>
                      <w:i/>
                    </w:rPr>
                    <w:t>2</w:t>
                  </w:r>
                </w:p>
              </w:tc>
            </w:tr>
            <w:tr w:rsidR="006E391F" w:rsidRPr="00BC1144" w:rsidTr="00336FA0">
              <w:tc>
                <w:tcPr>
                  <w:tcW w:w="2599" w:type="pct"/>
                  <w:tcBorders>
                    <w:bottom w:val="single" w:sz="6" w:space="0" w:color="BFBFBF"/>
                  </w:tcBorders>
                  <w:shd w:val="clear" w:color="auto" w:fill="auto"/>
                </w:tcPr>
                <w:p w:rsidR="006E391F" w:rsidRPr="00BC1144" w:rsidRDefault="006E391F" w:rsidP="00336FA0">
                  <w:pPr>
                    <w:pStyle w:val="TableBodyText"/>
                    <w:jc w:val="left"/>
                  </w:pPr>
                  <w:r w:rsidRPr="00BC1144">
                    <w:t>Specific to being from a regional or remote location</w:t>
                  </w:r>
                </w:p>
              </w:tc>
              <w:tc>
                <w:tcPr>
                  <w:tcW w:w="800" w:type="pct"/>
                  <w:tcBorders>
                    <w:bottom w:val="single" w:sz="6" w:space="0" w:color="BFBFBF"/>
                  </w:tcBorders>
                  <w:vAlign w:val="bottom"/>
                </w:tcPr>
                <w:p w:rsidR="006E391F" w:rsidRPr="00BC1144" w:rsidRDefault="006E391F" w:rsidP="00336FA0">
                  <w:pPr>
                    <w:pStyle w:val="TableBodyText"/>
                  </w:pPr>
                  <w:r w:rsidRPr="00BC1144">
                    <w:rPr>
                      <w:color w:val="000000"/>
                    </w:rPr>
                    <w:t>2</w:t>
                  </w:r>
                </w:p>
              </w:tc>
              <w:tc>
                <w:tcPr>
                  <w:tcW w:w="801" w:type="pct"/>
                  <w:tcBorders>
                    <w:bottom w:val="single" w:sz="6" w:space="0" w:color="BFBFBF"/>
                  </w:tcBorders>
                  <w:shd w:val="clear" w:color="auto" w:fill="auto"/>
                  <w:vAlign w:val="bottom"/>
                </w:tcPr>
                <w:p w:rsidR="006E391F" w:rsidRPr="00BC1144" w:rsidRDefault="006E391F" w:rsidP="00336FA0">
                  <w:pPr>
                    <w:pStyle w:val="TableBodyText"/>
                  </w:pPr>
                  <w:r w:rsidRPr="00BC1144">
                    <w:rPr>
                      <w:color w:val="000000"/>
                    </w:rPr>
                    <w:t>30</w:t>
                  </w:r>
                </w:p>
              </w:tc>
              <w:tc>
                <w:tcPr>
                  <w:tcW w:w="800" w:type="pct"/>
                  <w:tcBorders>
                    <w:bottom w:val="single" w:sz="6" w:space="0" w:color="BFBFBF"/>
                  </w:tcBorders>
                  <w:shd w:val="clear" w:color="auto" w:fill="auto"/>
                  <w:vAlign w:val="bottom"/>
                </w:tcPr>
                <w:p w:rsidR="006E391F" w:rsidRPr="00BC1144" w:rsidRDefault="006E391F" w:rsidP="00336FA0">
                  <w:pPr>
                    <w:pStyle w:val="TableBodyText"/>
                    <w:ind w:right="28"/>
                  </w:pPr>
                  <w:r w:rsidRPr="00BC1144">
                    <w:rPr>
                      <w:color w:val="000000"/>
                    </w:rPr>
                    <w:t>29</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r w:rsidRPr="00BC1144">
              <w:rPr>
                <w:i/>
              </w:rPr>
              <w:t>.</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rPr>
          <w:trHeight w:val="53"/>
        </w:trPr>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8</w:t>
            </w:r>
            <w:r w:rsidRPr="00BC1144">
              <w:tab/>
              <w:t>Low socioeconomic status</w:t>
            </w:r>
          </w:p>
          <w:p w:rsidR="006E391F" w:rsidRPr="00BC1144" w:rsidRDefault="006E391F" w:rsidP="00336FA0">
            <w:pPr>
              <w:pStyle w:val="Subtitle"/>
            </w:pPr>
            <w:r w:rsidRPr="00BC1144">
              <w:t>Contributions to gap in university participation</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1436"/>
              <w:gridCol w:w="1692"/>
              <w:gridCol w:w="1691"/>
            </w:tblGrid>
            <w:tr w:rsidR="006E391F" w:rsidRPr="00BC1144" w:rsidTr="00336FA0">
              <w:trPr>
                <w:tblHeader/>
              </w:trPr>
              <w:tc>
                <w:tcPr>
                  <w:tcW w:w="2167"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p>
              </w:tc>
              <w:tc>
                <w:tcPr>
                  <w:tcW w:w="844" w:type="pct"/>
                  <w:tcBorders>
                    <w:top w:val="single" w:sz="6" w:space="0" w:color="BFBFBF"/>
                    <w:bottom w:val="single" w:sz="6" w:space="0" w:color="BFBFBF"/>
                  </w:tcBorders>
                </w:tcPr>
                <w:p w:rsidR="006E391F" w:rsidRPr="00BC1144" w:rsidRDefault="006E391F" w:rsidP="00336FA0">
                  <w:pPr>
                    <w:pStyle w:val="TableColumnHeading"/>
                  </w:pPr>
                  <w:r w:rsidRPr="00BC1144">
                    <w:t>2010</w:t>
                  </w:r>
                </w:p>
              </w:tc>
              <w:tc>
                <w:tcPr>
                  <w:tcW w:w="995"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2013</w:t>
                  </w:r>
                </w:p>
              </w:tc>
              <w:tc>
                <w:tcPr>
                  <w:tcW w:w="99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2016</w:t>
                  </w:r>
                </w:p>
              </w:tc>
            </w:tr>
            <w:tr w:rsidR="006E391F" w:rsidRPr="00BC1144" w:rsidTr="00336FA0">
              <w:tc>
                <w:tcPr>
                  <w:tcW w:w="2167" w:type="pct"/>
                  <w:tcBorders>
                    <w:top w:val="single" w:sz="6" w:space="0" w:color="BFBFBF"/>
                  </w:tcBorders>
                  <w:shd w:val="clear" w:color="auto" w:fill="F2F2F2" w:themeFill="background1" w:themeFillShade="F2"/>
                </w:tcPr>
                <w:p w:rsidR="006E391F" w:rsidRPr="00BC1144" w:rsidRDefault="006E391F" w:rsidP="00336FA0">
                  <w:pPr>
                    <w:pStyle w:val="TableUnitsRow"/>
                    <w:jc w:val="left"/>
                    <w:rPr>
                      <w:color w:val="000000"/>
                    </w:rPr>
                  </w:pPr>
                </w:p>
              </w:tc>
              <w:tc>
                <w:tcPr>
                  <w:tcW w:w="844"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rPr>
                      <w:color w:val="000000"/>
                    </w:rPr>
                  </w:pPr>
                  <w:r w:rsidRPr="00BC1144">
                    <w:rPr>
                      <w:color w:val="000000"/>
                    </w:rPr>
                    <w:t>% pts</w:t>
                  </w:r>
                </w:p>
              </w:tc>
              <w:tc>
                <w:tcPr>
                  <w:tcW w:w="995"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rPr>
                      <w:color w:val="000000"/>
                    </w:rPr>
                  </w:pPr>
                  <w:r w:rsidRPr="00BC1144">
                    <w:rPr>
                      <w:color w:val="000000"/>
                    </w:rPr>
                    <w:t>% pts</w:t>
                  </w:r>
                </w:p>
              </w:tc>
              <w:tc>
                <w:tcPr>
                  <w:tcW w:w="994"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ind w:right="28"/>
                    <w:rPr>
                      <w:color w:val="000000"/>
                    </w:rPr>
                  </w:pPr>
                  <w:r w:rsidRPr="00BC1144">
                    <w:rPr>
                      <w:color w:val="000000"/>
                    </w:rPr>
                    <w:t>% pts</w:t>
                  </w:r>
                </w:p>
              </w:tc>
            </w:tr>
            <w:tr w:rsidR="006E391F" w:rsidRPr="00BC1144" w:rsidTr="00336FA0">
              <w:tc>
                <w:tcPr>
                  <w:tcW w:w="2167" w:type="pct"/>
                  <w:tcBorders>
                    <w:top w:val="single" w:sz="6" w:space="0" w:color="BFBFBF"/>
                  </w:tcBorders>
                </w:tcPr>
                <w:p w:rsidR="006E391F" w:rsidRPr="00BC1144" w:rsidRDefault="006E391F" w:rsidP="00336FA0">
                  <w:pPr>
                    <w:pStyle w:val="TableUnitsRow"/>
                    <w:jc w:val="left"/>
                  </w:pPr>
                  <w:r w:rsidRPr="00BC1144">
                    <w:rPr>
                      <w:color w:val="000000"/>
                    </w:rPr>
                    <w:t xml:space="preserve">Low socioeconomic status </w:t>
                  </w:r>
                  <w:r w:rsidRPr="00BC1144">
                    <w:t>participation rate</w:t>
                  </w:r>
                </w:p>
              </w:tc>
              <w:tc>
                <w:tcPr>
                  <w:tcW w:w="844" w:type="pct"/>
                  <w:tcBorders>
                    <w:top w:val="single" w:sz="6" w:space="0" w:color="BFBFBF"/>
                  </w:tcBorders>
                  <w:vAlign w:val="bottom"/>
                </w:tcPr>
                <w:p w:rsidR="006E391F" w:rsidRPr="00BC1144" w:rsidRDefault="006E391F" w:rsidP="00336FA0">
                  <w:pPr>
                    <w:pStyle w:val="TableUnitsRow"/>
                  </w:pPr>
                  <w:r w:rsidRPr="00BC1144">
                    <w:rPr>
                      <w:color w:val="000000"/>
                    </w:rPr>
                    <w:t>36</w:t>
                  </w:r>
                </w:p>
              </w:tc>
              <w:tc>
                <w:tcPr>
                  <w:tcW w:w="995" w:type="pct"/>
                  <w:tcBorders>
                    <w:top w:val="single" w:sz="6" w:space="0" w:color="BFBFBF"/>
                  </w:tcBorders>
                  <w:vAlign w:val="bottom"/>
                </w:tcPr>
                <w:p w:rsidR="006E391F" w:rsidRPr="00BC1144" w:rsidRDefault="006E391F" w:rsidP="00336FA0">
                  <w:pPr>
                    <w:pStyle w:val="TableUnitsRow"/>
                  </w:pPr>
                  <w:r w:rsidRPr="00BC1144">
                    <w:rPr>
                      <w:color w:val="000000"/>
                    </w:rPr>
                    <w:t>38</w:t>
                  </w:r>
                </w:p>
              </w:tc>
              <w:tc>
                <w:tcPr>
                  <w:tcW w:w="994" w:type="pct"/>
                  <w:tcBorders>
                    <w:top w:val="single" w:sz="6" w:space="0" w:color="BFBFBF"/>
                  </w:tcBorders>
                  <w:vAlign w:val="bottom"/>
                </w:tcPr>
                <w:p w:rsidR="006E391F" w:rsidRPr="00BC1144" w:rsidRDefault="006E391F" w:rsidP="00336FA0">
                  <w:pPr>
                    <w:pStyle w:val="TableUnitsRow"/>
                    <w:ind w:right="28"/>
                  </w:pPr>
                  <w:r w:rsidRPr="00BC1144">
                    <w:rPr>
                      <w:color w:val="000000"/>
                    </w:rPr>
                    <w:t>46</w:t>
                  </w:r>
                </w:p>
              </w:tc>
            </w:tr>
            <w:tr w:rsidR="006E391F" w:rsidRPr="00BC1144" w:rsidTr="00336FA0">
              <w:tc>
                <w:tcPr>
                  <w:tcW w:w="2167" w:type="pct"/>
                </w:tcPr>
                <w:p w:rsidR="006E391F" w:rsidRPr="00BC1144" w:rsidRDefault="006E391F" w:rsidP="00336FA0">
                  <w:pPr>
                    <w:pStyle w:val="TableBodyText"/>
                    <w:jc w:val="left"/>
                  </w:pPr>
                  <w:r w:rsidRPr="00BC1144">
                    <w:rPr>
                      <w:color w:val="000000"/>
                    </w:rPr>
                    <w:t xml:space="preserve">Not low socioeconomic </w:t>
                  </w:r>
                  <w:r w:rsidRPr="00BC1144">
                    <w:t>participation rate</w:t>
                  </w:r>
                </w:p>
              </w:tc>
              <w:tc>
                <w:tcPr>
                  <w:tcW w:w="844" w:type="pct"/>
                  <w:vAlign w:val="bottom"/>
                </w:tcPr>
                <w:p w:rsidR="006E391F" w:rsidRPr="00BC1144" w:rsidRDefault="006E391F" w:rsidP="00336FA0">
                  <w:pPr>
                    <w:pStyle w:val="TableBodyText"/>
                  </w:pPr>
                  <w:r w:rsidRPr="00BC1144">
                    <w:rPr>
                      <w:color w:val="000000"/>
                    </w:rPr>
                    <w:t>58</w:t>
                  </w:r>
                </w:p>
              </w:tc>
              <w:tc>
                <w:tcPr>
                  <w:tcW w:w="995" w:type="pct"/>
                  <w:vAlign w:val="bottom"/>
                </w:tcPr>
                <w:p w:rsidR="006E391F" w:rsidRPr="00BC1144" w:rsidRDefault="006E391F" w:rsidP="00336FA0">
                  <w:pPr>
                    <w:pStyle w:val="TableBodyText"/>
                  </w:pPr>
                  <w:r w:rsidRPr="00BC1144">
                    <w:rPr>
                      <w:color w:val="000000"/>
                    </w:rPr>
                    <w:t>61</w:t>
                  </w:r>
                </w:p>
              </w:tc>
              <w:tc>
                <w:tcPr>
                  <w:tcW w:w="994" w:type="pct"/>
                  <w:vAlign w:val="bottom"/>
                </w:tcPr>
                <w:p w:rsidR="006E391F" w:rsidRPr="00BC1144" w:rsidRDefault="006E391F" w:rsidP="00336FA0">
                  <w:pPr>
                    <w:pStyle w:val="TableBodyText"/>
                    <w:ind w:right="28"/>
                  </w:pPr>
                  <w:r w:rsidRPr="00BC1144">
                    <w:rPr>
                      <w:color w:val="000000"/>
                    </w:rPr>
                    <w:t>64</w:t>
                  </w:r>
                </w:p>
              </w:tc>
            </w:tr>
            <w:tr w:rsidR="006E391F" w:rsidRPr="00BC1144" w:rsidTr="00336FA0">
              <w:tc>
                <w:tcPr>
                  <w:tcW w:w="2167" w:type="pct"/>
                </w:tcPr>
                <w:p w:rsidR="006E391F" w:rsidRPr="00BC1144" w:rsidRDefault="006E391F" w:rsidP="00336FA0">
                  <w:pPr>
                    <w:pStyle w:val="TableBodyText"/>
                    <w:jc w:val="left"/>
                  </w:pPr>
                  <w:r w:rsidRPr="00BC1144">
                    <w:rPr>
                      <w:color w:val="000000"/>
                    </w:rPr>
                    <w:t>Gap in university attendance</w:t>
                  </w:r>
                </w:p>
              </w:tc>
              <w:tc>
                <w:tcPr>
                  <w:tcW w:w="844" w:type="pct"/>
                </w:tcPr>
                <w:p w:rsidR="006E391F" w:rsidRPr="00BC1144" w:rsidRDefault="006E391F" w:rsidP="00336FA0">
                  <w:pPr>
                    <w:pStyle w:val="TableBodyText"/>
                  </w:pPr>
                  <w:r w:rsidRPr="00BC1144">
                    <w:t>22</w:t>
                  </w:r>
                </w:p>
              </w:tc>
              <w:tc>
                <w:tcPr>
                  <w:tcW w:w="995" w:type="pct"/>
                </w:tcPr>
                <w:p w:rsidR="006E391F" w:rsidRPr="00BC1144" w:rsidRDefault="006E391F" w:rsidP="00336FA0">
                  <w:pPr>
                    <w:pStyle w:val="TableBodyText"/>
                  </w:pPr>
                  <w:r w:rsidRPr="00BC1144">
                    <w:t>23</w:t>
                  </w:r>
                </w:p>
              </w:tc>
              <w:tc>
                <w:tcPr>
                  <w:tcW w:w="994" w:type="pct"/>
                </w:tcPr>
                <w:p w:rsidR="006E391F" w:rsidRPr="00BC1144" w:rsidRDefault="006E391F" w:rsidP="00336FA0">
                  <w:pPr>
                    <w:pStyle w:val="TableBodyText"/>
                    <w:ind w:right="28"/>
                  </w:pPr>
                  <w:r w:rsidRPr="00BC1144">
                    <w:t>17</w:t>
                  </w:r>
                </w:p>
              </w:tc>
            </w:tr>
            <w:tr w:rsidR="006E391F" w:rsidRPr="00BC1144" w:rsidTr="00336FA0">
              <w:tc>
                <w:tcPr>
                  <w:tcW w:w="2167" w:type="pct"/>
                  <w:shd w:val="clear" w:color="auto" w:fill="F2F2F2" w:themeFill="background1" w:themeFillShade="F2"/>
                </w:tcPr>
                <w:p w:rsidR="006E391F" w:rsidRPr="00BC1144" w:rsidRDefault="006E391F" w:rsidP="00336FA0">
                  <w:pPr>
                    <w:pStyle w:val="TableBodyText"/>
                    <w:spacing w:before="120"/>
                    <w:jc w:val="left"/>
                  </w:pPr>
                  <w:r w:rsidRPr="00BC1144">
                    <w:t>Percentage of the gap explained by:</w:t>
                  </w:r>
                </w:p>
              </w:tc>
              <w:tc>
                <w:tcPr>
                  <w:tcW w:w="844" w:type="pct"/>
                  <w:shd w:val="clear" w:color="auto" w:fill="F2F2F2" w:themeFill="background1" w:themeFillShade="F2"/>
                </w:tcPr>
                <w:p w:rsidR="006E391F" w:rsidRPr="00BC1144" w:rsidRDefault="006E391F" w:rsidP="00336FA0">
                  <w:pPr>
                    <w:pStyle w:val="TableBodyText"/>
                  </w:pPr>
                  <w:r w:rsidRPr="00BC1144">
                    <w:t>%</w:t>
                  </w:r>
                </w:p>
              </w:tc>
              <w:tc>
                <w:tcPr>
                  <w:tcW w:w="995" w:type="pct"/>
                  <w:shd w:val="clear" w:color="auto" w:fill="F2F2F2" w:themeFill="background1" w:themeFillShade="F2"/>
                </w:tcPr>
                <w:p w:rsidR="006E391F" w:rsidRPr="00BC1144" w:rsidRDefault="006E391F" w:rsidP="00336FA0">
                  <w:pPr>
                    <w:pStyle w:val="TableBodyText"/>
                  </w:pPr>
                  <w:r w:rsidRPr="00BC1144">
                    <w:t>%</w:t>
                  </w:r>
                </w:p>
              </w:tc>
              <w:tc>
                <w:tcPr>
                  <w:tcW w:w="994" w:type="pct"/>
                  <w:shd w:val="clear" w:color="auto" w:fill="F2F2F2" w:themeFill="background1" w:themeFillShade="F2"/>
                </w:tcPr>
                <w:p w:rsidR="006E391F" w:rsidRPr="00BC1144" w:rsidRDefault="006E391F" w:rsidP="00336FA0">
                  <w:pPr>
                    <w:pStyle w:val="TableBodyText"/>
                    <w:ind w:right="28"/>
                  </w:pPr>
                  <w:r w:rsidRPr="00BC1144">
                    <w:t>%</w:t>
                  </w:r>
                </w:p>
              </w:tc>
            </w:tr>
            <w:tr w:rsidR="006E391F" w:rsidRPr="00BC1144" w:rsidTr="00336FA0">
              <w:tc>
                <w:tcPr>
                  <w:tcW w:w="2167" w:type="pct"/>
                </w:tcPr>
                <w:p w:rsidR="006E391F" w:rsidRPr="00BC1144" w:rsidRDefault="006E391F" w:rsidP="00336FA0">
                  <w:pPr>
                    <w:pStyle w:val="TableBodyText"/>
                    <w:jc w:val="left"/>
                  </w:pPr>
                  <w:r w:rsidRPr="00BC1144">
                    <w:t>Literacy and numeracy</w:t>
                  </w:r>
                </w:p>
              </w:tc>
              <w:tc>
                <w:tcPr>
                  <w:tcW w:w="844" w:type="pct"/>
                  <w:vAlign w:val="bottom"/>
                </w:tcPr>
                <w:p w:rsidR="006E391F" w:rsidRPr="00BC1144" w:rsidRDefault="006E391F" w:rsidP="00336FA0">
                  <w:pPr>
                    <w:pStyle w:val="TableBodyText"/>
                  </w:pPr>
                  <w:r w:rsidRPr="00BC1144">
                    <w:rPr>
                      <w:color w:val="000000"/>
                    </w:rPr>
                    <w:t>52</w:t>
                  </w:r>
                </w:p>
              </w:tc>
              <w:tc>
                <w:tcPr>
                  <w:tcW w:w="995" w:type="pct"/>
                  <w:vAlign w:val="bottom"/>
                </w:tcPr>
                <w:p w:rsidR="006E391F" w:rsidRPr="00BC1144" w:rsidRDefault="006E391F" w:rsidP="00336FA0">
                  <w:pPr>
                    <w:pStyle w:val="TableBodyText"/>
                  </w:pPr>
                  <w:r w:rsidRPr="00BC1144">
                    <w:rPr>
                      <w:color w:val="000000"/>
                    </w:rPr>
                    <w:t>42</w:t>
                  </w:r>
                </w:p>
              </w:tc>
              <w:tc>
                <w:tcPr>
                  <w:tcW w:w="994" w:type="pct"/>
                  <w:vAlign w:val="bottom"/>
                </w:tcPr>
                <w:p w:rsidR="006E391F" w:rsidRPr="00BC1144" w:rsidRDefault="006E391F" w:rsidP="00336FA0">
                  <w:pPr>
                    <w:pStyle w:val="TableBodyText"/>
                    <w:ind w:right="28"/>
                  </w:pPr>
                  <w:r w:rsidRPr="00BC1144">
                    <w:rPr>
                      <w:color w:val="000000"/>
                    </w:rPr>
                    <w:t>52</w:t>
                  </w:r>
                </w:p>
              </w:tc>
            </w:tr>
            <w:tr w:rsidR="006E391F" w:rsidRPr="00BC1144" w:rsidTr="00336FA0">
              <w:tc>
                <w:tcPr>
                  <w:tcW w:w="2167" w:type="pct"/>
                </w:tcPr>
                <w:p w:rsidR="006E391F" w:rsidRPr="00BC1144" w:rsidRDefault="006E391F" w:rsidP="00336FA0">
                  <w:pPr>
                    <w:pStyle w:val="TableBodyText"/>
                    <w:jc w:val="left"/>
                  </w:pPr>
                  <w:r w:rsidRPr="00BC1144">
                    <w:t>Family characteristics</w:t>
                  </w:r>
                </w:p>
              </w:tc>
              <w:tc>
                <w:tcPr>
                  <w:tcW w:w="844" w:type="pct"/>
                  <w:vAlign w:val="bottom"/>
                </w:tcPr>
                <w:p w:rsidR="006E391F" w:rsidRPr="00BC1144" w:rsidRDefault="006E391F" w:rsidP="00336FA0">
                  <w:pPr>
                    <w:pStyle w:val="TableBodyText"/>
                  </w:pPr>
                  <w:r w:rsidRPr="00BC1144">
                    <w:rPr>
                      <w:color w:val="000000"/>
                    </w:rPr>
                    <w:t>18</w:t>
                  </w:r>
                </w:p>
              </w:tc>
              <w:tc>
                <w:tcPr>
                  <w:tcW w:w="995" w:type="pct"/>
                  <w:vAlign w:val="bottom"/>
                </w:tcPr>
                <w:p w:rsidR="006E391F" w:rsidRPr="00BC1144" w:rsidRDefault="006E391F" w:rsidP="00336FA0">
                  <w:pPr>
                    <w:pStyle w:val="TableBodyText"/>
                  </w:pPr>
                  <w:r w:rsidRPr="00BC1144">
                    <w:rPr>
                      <w:color w:val="000000"/>
                    </w:rPr>
                    <w:t>16</w:t>
                  </w:r>
                </w:p>
              </w:tc>
              <w:tc>
                <w:tcPr>
                  <w:tcW w:w="994" w:type="pct"/>
                  <w:vAlign w:val="bottom"/>
                </w:tcPr>
                <w:p w:rsidR="006E391F" w:rsidRPr="00BC1144" w:rsidRDefault="006E391F" w:rsidP="00336FA0">
                  <w:pPr>
                    <w:pStyle w:val="TableBodyText"/>
                    <w:ind w:right="28"/>
                  </w:pPr>
                  <w:r w:rsidRPr="00BC1144">
                    <w:rPr>
                      <w:color w:val="000000"/>
                    </w:rPr>
                    <w:t>21</w:t>
                  </w:r>
                </w:p>
              </w:tc>
            </w:tr>
            <w:tr w:rsidR="006E391F" w:rsidRPr="00BC1144" w:rsidTr="00336FA0">
              <w:tc>
                <w:tcPr>
                  <w:tcW w:w="2167" w:type="pct"/>
                  <w:vAlign w:val="bottom"/>
                </w:tcPr>
                <w:p w:rsidR="006E391F" w:rsidRPr="00BC1144" w:rsidRDefault="006E391F" w:rsidP="00336FA0">
                  <w:pPr>
                    <w:pStyle w:val="TableBodyText"/>
                    <w:ind w:left="227"/>
                    <w:jc w:val="left"/>
                  </w:pPr>
                  <w:r w:rsidRPr="00BC1144">
                    <w:rPr>
                      <w:i/>
                    </w:rPr>
                    <w:t>Books</w:t>
                  </w:r>
                </w:p>
              </w:tc>
              <w:tc>
                <w:tcPr>
                  <w:tcW w:w="844"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0</w:t>
                  </w:r>
                </w:p>
              </w:tc>
              <w:tc>
                <w:tcPr>
                  <w:tcW w:w="994" w:type="pct"/>
                  <w:vAlign w:val="bottom"/>
                </w:tcPr>
                <w:p w:rsidR="006E391F" w:rsidRPr="00BC1144" w:rsidRDefault="006E391F" w:rsidP="00336FA0">
                  <w:pPr>
                    <w:pStyle w:val="TableBodyText"/>
                    <w:ind w:right="28"/>
                    <w:rPr>
                      <w:i/>
                    </w:rPr>
                  </w:pPr>
                  <w:r w:rsidRPr="00BC1144">
                    <w:rPr>
                      <w:i/>
                    </w:rPr>
                    <w:noBreakHyphen/>
                    <w:t>1</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English speaking background</w:t>
                  </w:r>
                </w:p>
              </w:tc>
              <w:tc>
                <w:tcPr>
                  <w:tcW w:w="844" w:type="pct"/>
                  <w:vAlign w:val="bottom"/>
                </w:tcPr>
                <w:p w:rsidR="006E391F" w:rsidRPr="00BC1144" w:rsidRDefault="006E391F" w:rsidP="00336FA0">
                  <w:pPr>
                    <w:pStyle w:val="TableBodyText"/>
                    <w:rPr>
                      <w:i/>
                    </w:rPr>
                  </w:pPr>
                  <w:r w:rsidRPr="00BC1144">
                    <w:rPr>
                      <w:i/>
                    </w:rPr>
                    <w:noBreakHyphen/>
                    <w:t>1</w:t>
                  </w:r>
                </w:p>
              </w:tc>
              <w:tc>
                <w:tcPr>
                  <w:tcW w:w="995" w:type="pct"/>
                  <w:vAlign w:val="bottom"/>
                </w:tcPr>
                <w:p w:rsidR="006E391F" w:rsidRPr="00BC1144" w:rsidRDefault="006E391F" w:rsidP="00336FA0">
                  <w:pPr>
                    <w:pStyle w:val="TableBodyText"/>
                    <w:rPr>
                      <w:i/>
                    </w:rPr>
                  </w:pPr>
                  <w:r w:rsidRPr="00BC1144">
                    <w:rPr>
                      <w:i/>
                    </w:rPr>
                    <w:noBreakHyphen/>
                    <w:t>1</w:t>
                  </w:r>
                </w:p>
              </w:tc>
              <w:tc>
                <w:tcPr>
                  <w:tcW w:w="994" w:type="pct"/>
                  <w:vAlign w:val="bottom"/>
                </w:tcPr>
                <w:p w:rsidR="006E391F" w:rsidRPr="00BC1144" w:rsidRDefault="006E391F" w:rsidP="00336FA0">
                  <w:pPr>
                    <w:pStyle w:val="TableBodyText"/>
                    <w:ind w:right="28"/>
                    <w:rPr>
                      <w:i/>
                    </w:rPr>
                  </w:pPr>
                  <w:r w:rsidRPr="00BC1144">
                    <w:rPr>
                      <w:i/>
                    </w:rPr>
                    <w:noBreakHyphen/>
                    <w:t>2</w:t>
                  </w:r>
                </w:p>
              </w:tc>
            </w:tr>
            <w:tr w:rsidR="006E391F" w:rsidRPr="00BC1144" w:rsidTr="00336FA0">
              <w:tc>
                <w:tcPr>
                  <w:tcW w:w="2167" w:type="pct"/>
                  <w:vAlign w:val="bottom"/>
                </w:tcPr>
                <w:p w:rsidR="006E391F" w:rsidRPr="00BC1144" w:rsidRDefault="006E391F" w:rsidP="00336FA0">
                  <w:pPr>
                    <w:pStyle w:val="TableBodyText"/>
                    <w:ind w:left="227"/>
                    <w:jc w:val="left"/>
                    <w:rPr>
                      <w:i/>
                    </w:rPr>
                  </w:pPr>
                  <w:r w:rsidRPr="00BC1144">
                    <w:rPr>
                      <w:i/>
                    </w:rPr>
                    <w:t>First in family</w:t>
                  </w:r>
                </w:p>
              </w:tc>
              <w:tc>
                <w:tcPr>
                  <w:tcW w:w="844" w:type="pct"/>
                  <w:vAlign w:val="bottom"/>
                </w:tcPr>
                <w:p w:rsidR="006E391F" w:rsidRPr="00BC1144" w:rsidRDefault="006E391F" w:rsidP="00336FA0">
                  <w:pPr>
                    <w:pStyle w:val="TableBodyText"/>
                    <w:rPr>
                      <w:i/>
                    </w:rPr>
                  </w:pPr>
                  <w:r w:rsidRPr="00BC1144">
                    <w:rPr>
                      <w:i/>
                    </w:rPr>
                    <w:t>19</w:t>
                  </w:r>
                </w:p>
              </w:tc>
              <w:tc>
                <w:tcPr>
                  <w:tcW w:w="995" w:type="pct"/>
                  <w:vAlign w:val="bottom"/>
                </w:tcPr>
                <w:p w:rsidR="006E391F" w:rsidRPr="00BC1144" w:rsidRDefault="006E391F" w:rsidP="00336FA0">
                  <w:pPr>
                    <w:pStyle w:val="TableBodyText"/>
                    <w:rPr>
                      <w:i/>
                    </w:rPr>
                  </w:pPr>
                  <w:r w:rsidRPr="00BC1144">
                    <w:rPr>
                      <w:i/>
                    </w:rPr>
                    <w:t>16</w:t>
                  </w:r>
                </w:p>
              </w:tc>
              <w:tc>
                <w:tcPr>
                  <w:tcW w:w="994" w:type="pct"/>
                  <w:vAlign w:val="bottom"/>
                </w:tcPr>
                <w:p w:rsidR="006E391F" w:rsidRPr="00BC1144" w:rsidRDefault="006E391F" w:rsidP="00336FA0">
                  <w:pPr>
                    <w:pStyle w:val="TableBodyText"/>
                    <w:ind w:right="28"/>
                    <w:rPr>
                      <w:i/>
                    </w:rPr>
                  </w:pPr>
                  <w:r w:rsidRPr="00BC1144">
                    <w:rPr>
                      <w:i/>
                    </w:rPr>
                    <w:t>23</w:t>
                  </w:r>
                </w:p>
              </w:tc>
            </w:tr>
            <w:tr w:rsidR="006E391F" w:rsidRPr="00BC1144" w:rsidTr="00336FA0">
              <w:tc>
                <w:tcPr>
                  <w:tcW w:w="2167" w:type="pct"/>
                </w:tcPr>
                <w:p w:rsidR="006E391F" w:rsidRPr="00BC1144" w:rsidRDefault="006E391F" w:rsidP="00336FA0">
                  <w:pPr>
                    <w:pStyle w:val="TableBodyText"/>
                    <w:jc w:val="left"/>
                  </w:pPr>
                  <w:r w:rsidRPr="00BC1144">
                    <w:t>School</w:t>
                  </w:r>
                </w:p>
              </w:tc>
              <w:tc>
                <w:tcPr>
                  <w:tcW w:w="844" w:type="pct"/>
                  <w:vAlign w:val="bottom"/>
                </w:tcPr>
                <w:p w:rsidR="006E391F" w:rsidRPr="00BC1144" w:rsidRDefault="006E391F" w:rsidP="00336FA0">
                  <w:pPr>
                    <w:pStyle w:val="TableBodyText"/>
                  </w:pPr>
                  <w:r w:rsidRPr="00BC1144">
                    <w:rPr>
                      <w:color w:val="000000"/>
                    </w:rPr>
                    <w:t>4</w:t>
                  </w:r>
                </w:p>
              </w:tc>
              <w:tc>
                <w:tcPr>
                  <w:tcW w:w="995" w:type="pct"/>
                  <w:vAlign w:val="bottom"/>
                </w:tcPr>
                <w:p w:rsidR="006E391F" w:rsidRPr="00BC1144" w:rsidRDefault="006E391F" w:rsidP="00336FA0">
                  <w:pPr>
                    <w:pStyle w:val="TableBodyText"/>
                  </w:pPr>
                  <w:r w:rsidRPr="00BC1144">
                    <w:rPr>
                      <w:color w:val="000000"/>
                    </w:rPr>
                    <w:t>11</w:t>
                  </w:r>
                </w:p>
              </w:tc>
              <w:tc>
                <w:tcPr>
                  <w:tcW w:w="994" w:type="pct"/>
                  <w:vAlign w:val="bottom"/>
                </w:tcPr>
                <w:p w:rsidR="006E391F" w:rsidRPr="00BC1144" w:rsidRDefault="006E391F" w:rsidP="00336FA0">
                  <w:pPr>
                    <w:pStyle w:val="TableBodyText"/>
                    <w:ind w:right="28"/>
                  </w:pPr>
                  <w:r w:rsidRPr="00BC1144">
                    <w:rPr>
                      <w:color w:val="000000"/>
                    </w:rPr>
                    <w:t>13</w:t>
                  </w:r>
                </w:p>
              </w:tc>
            </w:tr>
            <w:tr w:rsidR="006E391F" w:rsidRPr="00BC1144" w:rsidTr="00336FA0">
              <w:tc>
                <w:tcPr>
                  <w:tcW w:w="2167" w:type="pct"/>
                </w:tcPr>
                <w:p w:rsidR="006E391F" w:rsidRPr="00BC1144" w:rsidRDefault="006E391F" w:rsidP="00336FA0">
                  <w:pPr>
                    <w:pStyle w:val="TableBodyText"/>
                    <w:ind w:left="227"/>
                    <w:jc w:val="left"/>
                  </w:pPr>
                  <w:r w:rsidRPr="00BC1144">
                    <w:rPr>
                      <w:i/>
                    </w:rPr>
                    <w:t>Sector</w:t>
                  </w:r>
                </w:p>
              </w:tc>
              <w:tc>
                <w:tcPr>
                  <w:tcW w:w="844" w:type="pct"/>
                </w:tcPr>
                <w:p w:rsidR="006E391F" w:rsidRPr="00BC1144" w:rsidRDefault="006E391F" w:rsidP="00336FA0">
                  <w:pPr>
                    <w:pStyle w:val="TableBodyText"/>
                    <w:rPr>
                      <w:i/>
                      <w:color w:val="000000"/>
                    </w:rPr>
                  </w:pPr>
                  <w:r w:rsidRPr="00BC1144">
                    <w:rPr>
                      <w:i/>
                    </w:rPr>
                    <w:t>10</w:t>
                  </w:r>
                </w:p>
              </w:tc>
              <w:tc>
                <w:tcPr>
                  <w:tcW w:w="995" w:type="pct"/>
                </w:tcPr>
                <w:p w:rsidR="006E391F" w:rsidRPr="00BC1144" w:rsidRDefault="006E391F" w:rsidP="00336FA0">
                  <w:pPr>
                    <w:pStyle w:val="TableBodyText"/>
                    <w:rPr>
                      <w:i/>
                      <w:color w:val="000000"/>
                    </w:rPr>
                  </w:pPr>
                  <w:r w:rsidRPr="00BC1144">
                    <w:rPr>
                      <w:i/>
                    </w:rPr>
                    <w:t>3</w:t>
                  </w:r>
                </w:p>
              </w:tc>
              <w:tc>
                <w:tcPr>
                  <w:tcW w:w="994" w:type="pct"/>
                </w:tcPr>
                <w:p w:rsidR="006E391F" w:rsidRPr="00BC1144" w:rsidRDefault="006E391F" w:rsidP="00336FA0">
                  <w:pPr>
                    <w:pStyle w:val="TableBodyText"/>
                    <w:ind w:right="28"/>
                    <w:rPr>
                      <w:i/>
                      <w:color w:val="000000"/>
                    </w:rPr>
                  </w:pPr>
                  <w:r w:rsidRPr="00BC1144">
                    <w:rPr>
                      <w:i/>
                    </w:rPr>
                    <w:t>10</w:t>
                  </w:r>
                </w:p>
              </w:tc>
            </w:tr>
            <w:tr w:rsidR="006E391F" w:rsidRPr="00BC1144" w:rsidTr="00336FA0">
              <w:tc>
                <w:tcPr>
                  <w:tcW w:w="2167" w:type="pct"/>
                </w:tcPr>
                <w:p w:rsidR="006E391F" w:rsidRPr="00BC1144" w:rsidRDefault="006E391F" w:rsidP="00336FA0">
                  <w:pPr>
                    <w:pStyle w:val="TableBodyText"/>
                    <w:ind w:left="227"/>
                    <w:jc w:val="left"/>
                  </w:pPr>
                  <w:r w:rsidRPr="00BC1144">
                    <w:rPr>
                      <w:i/>
                    </w:rPr>
                    <w:t>School socioeconomic status</w:t>
                  </w:r>
                </w:p>
              </w:tc>
              <w:tc>
                <w:tcPr>
                  <w:tcW w:w="844" w:type="pct"/>
                </w:tcPr>
                <w:p w:rsidR="006E391F" w:rsidRPr="00BC1144" w:rsidRDefault="006E391F" w:rsidP="00336FA0">
                  <w:pPr>
                    <w:pStyle w:val="TableBodyText"/>
                    <w:rPr>
                      <w:i/>
                      <w:color w:val="000000"/>
                    </w:rPr>
                  </w:pPr>
                  <w:r w:rsidRPr="00BC1144">
                    <w:rPr>
                      <w:i/>
                    </w:rPr>
                    <w:noBreakHyphen/>
                    <w:t>6</w:t>
                  </w:r>
                </w:p>
              </w:tc>
              <w:tc>
                <w:tcPr>
                  <w:tcW w:w="995" w:type="pct"/>
                </w:tcPr>
                <w:p w:rsidR="006E391F" w:rsidRPr="00BC1144" w:rsidRDefault="006E391F" w:rsidP="00336FA0">
                  <w:pPr>
                    <w:pStyle w:val="TableBodyText"/>
                    <w:rPr>
                      <w:i/>
                      <w:color w:val="000000"/>
                    </w:rPr>
                  </w:pPr>
                  <w:r w:rsidRPr="00BC1144">
                    <w:rPr>
                      <w:i/>
                    </w:rPr>
                    <w:t>8</w:t>
                  </w:r>
                </w:p>
              </w:tc>
              <w:tc>
                <w:tcPr>
                  <w:tcW w:w="994" w:type="pct"/>
                </w:tcPr>
                <w:p w:rsidR="006E391F" w:rsidRPr="00BC1144" w:rsidRDefault="006E391F" w:rsidP="00336FA0">
                  <w:pPr>
                    <w:pStyle w:val="TableBodyText"/>
                    <w:ind w:right="28"/>
                    <w:rPr>
                      <w:i/>
                      <w:color w:val="000000"/>
                    </w:rPr>
                  </w:pPr>
                  <w:r w:rsidRPr="00BC1144">
                    <w:rPr>
                      <w:i/>
                    </w:rPr>
                    <w:t>3</w:t>
                  </w:r>
                </w:p>
              </w:tc>
            </w:tr>
            <w:tr w:rsidR="006E391F" w:rsidRPr="00BC1144" w:rsidTr="00336FA0">
              <w:tc>
                <w:tcPr>
                  <w:tcW w:w="2167" w:type="pct"/>
                </w:tcPr>
                <w:p w:rsidR="006E391F" w:rsidRPr="00BC1144" w:rsidRDefault="006E391F" w:rsidP="00336FA0">
                  <w:pPr>
                    <w:pStyle w:val="TableBodyText"/>
                    <w:jc w:val="left"/>
                  </w:pPr>
                  <w:r w:rsidRPr="00BC1144">
                    <w:t>Neighbourhood</w:t>
                  </w:r>
                </w:p>
              </w:tc>
              <w:tc>
                <w:tcPr>
                  <w:tcW w:w="844" w:type="pct"/>
                  <w:vAlign w:val="bottom"/>
                </w:tcPr>
                <w:p w:rsidR="006E391F" w:rsidRPr="00BC1144" w:rsidRDefault="006E391F" w:rsidP="00336FA0">
                  <w:pPr>
                    <w:pStyle w:val="TableBodyText"/>
                  </w:pPr>
                  <w:r w:rsidRPr="00BC1144">
                    <w:rPr>
                      <w:color w:val="000000"/>
                    </w:rPr>
                    <w:t>6</w:t>
                  </w:r>
                </w:p>
              </w:tc>
              <w:tc>
                <w:tcPr>
                  <w:tcW w:w="995" w:type="pct"/>
                  <w:vAlign w:val="bottom"/>
                </w:tcPr>
                <w:p w:rsidR="006E391F" w:rsidRPr="00BC1144" w:rsidRDefault="006E391F" w:rsidP="00336FA0">
                  <w:pPr>
                    <w:pStyle w:val="TableBodyText"/>
                  </w:pPr>
                  <w:r w:rsidRPr="00BC1144">
                    <w:rPr>
                      <w:color w:val="000000"/>
                    </w:rPr>
                    <w:t>4</w:t>
                  </w:r>
                </w:p>
              </w:tc>
              <w:tc>
                <w:tcPr>
                  <w:tcW w:w="994" w:type="pct"/>
                  <w:vAlign w:val="bottom"/>
                </w:tcPr>
                <w:p w:rsidR="006E391F" w:rsidRPr="00BC1144" w:rsidRDefault="006E391F" w:rsidP="00336FA0">
                  <w:pPr>
                    <w:pStyle w:val="TableBodyText"/>
                    <w:ind w:right="28"/>
                  </w:pPr>
                  <w:r w:rsidRPr="00BC1144">
                    <w:rPr>
                      <w:color w:val="000000"/>
                    </w:rPr>
                    <w:t>11</w:t>
                  </w:r>
                </w:p>
              </w:tc>
            </w:tr>
            <w:tr w:rsidR="006E391F" w:rsidRPr="00BC1144" w:rsidTr="00336FA0">
              <w:tc>
                <w:tcPr>
                  <w:tcW w:w="2167" w:type="pct"/>
                </w:tcPr>
                <w:p w:rsidR="006E391F" w:rsidRPr="00BC1144" w:rsidRDefault="006E391F" w:rsidP="00336FA0">
                  <w:pPr>
                    <w:pStyle w:val="TableBodyText"/>
                    <w:jc w:val="left"/>
                  </w:pPr>
                  <w:r w:rsidRPr="00BC1144">
                    <w:t>Geographic</w:t>
                  </w:r>
                </w:p>
              </w:tc>
              <w:tc>
                <w:tcPr>
                  <w:tcW w:w="844" w:type="pct"/>
                  <w:vAlign w:val="bottom"/>
                </w:tcPr>
                <w:p w:rsidR="006E391F" w:rsidRPr="00BC1144" w:rsidRDefault="006E391F" w:rsidP="00336FA0">
                  <w:pPr>
                    <w:pStyle w:val="TableBodyText"/>
                  </w:pPr>
                  <w:r w:rsidRPr="00BC1144">
                    <w:rPr>
                      <w:color w:val="000000"/>
                    </w:rPr>
                    <w:t>0</w:t>
                  </w:r>
                </w:p>
              </w:tc>
              <w:tc>
                <w:tcPr>
                  <w:tcW w:w="995" w:type="pct"/>
                  <w:vAlign w:val="bottom"/>
                </w:tcPr>
                <w:p w:rsidR="006E391F" w:rsidRPr="00BC1144" w:rsidRDefault="006E391F" w:rsidP="00336FA0">
                  <w:pPr>
                    <w:pStyle w:val="TableBodyText"/>
                  </w:pPr>
                  <w:r w:rsidRPr="00BC1144">
                    <w:rPr>
                      <w:color w:val="000000"/>
                    </w:rPr>
                    <w:t>2</w:t>
                  </w:r>
                </w:p>
              </w:tc>
              <w:tc>
                <w:tcPr>
                  <w:tcW w:w="994" w:type="pct"/>
                  <w:vAlign w:val="bottom"/>
                </w:tcPr>
                <w:p w:rsidR="006E391F" w:rsidRPr="00BC1144" w:rsidRDefault="006E391F" w:rsidP="00336FA0">
                  <w:pPr>
                    <w:pStyle w:val="TableBodyText"/>
                    <w:ind w:right="28"/>
                  </w:pPr>
                  <w:r w:rsidRPr="00BC1144">
                    <w:rPr>
                      <w:color w:val="000000"/>
                    </w:rPr>
                    <w:t>5</w:t>
                  </w:r>
                </w:p>
              </w:tc>
            </w:tr>
            <w:tr w:rsidR="006E391F" w:rsidRPr="00BC1144" w:rsidTr="00336FA0">
              <w:tc>
                <w:tcPr>
                  <w:tcW w:w="2167" w:type="pct"/>
                </w:tcPr>
                <w:p w:rsidR="006E391F" w:rsidRPr="00BC1144" w:rsidRDefault="006E391F" w:rsidP="00336FA0">
                  <w:pPr>
                    <w:pStyle w:val="TableBodyText"/>
                    <w:jc w:val="left"/>
                  </w:pPr>
                  <w:r w:rsidRPr="00BC1144">
                    <w:t>Other characteristics</w:t>
                  </w:r>
                </w:p>
              </w:tc>
              <w:tc>
                <w:tcPr>
                  <w:tcW w:w="844" w:type="pct"/>
                </w:tcPr>
                <w:p w:rsidR="006E391F" w:rsidRPr="00BC1144" w:rsidRDefault="006E391F" w:rsidP="00336FA0">
                  <w:pPr>
                    <w:pStyle w:val="TableBodyText"/>
                    <w:rPr>
                      <w:color w:val="000000"/>
                    </w:rPr>
                  </w:pPr>
                  <w:r w:rsidRPr="00BC1144">
                    <w:t>11</w:t>
                  </w:r>
                </w:p>
              </w:tc>
              <w:tc>
                <w:tcPr>
                  <w:tcW w:w="995" w:type="pct"/>
                </w:tcPr>
                <w:p w:rsidR="006E391F" w:rsidRPr="00BC1144" w:rsidRDefault="006E391F" w:rsidP="00336FA0">
                  <w:pPr>
                    <w:pStyle w:val="TableBodyText"/>
                    <w:rPr>
                      <w:color w:val="000000"/>
                    </w:rPr>
                  </w:pPr>
                  <w:r w:rsidRPr="00BC1144">
                    <w:t>16</w:t>
                  </w:r>
                </w:p>
              </w:tc>
              <w:tc>
                <w:tcPr>
                  <w:tcW w:w="994" w:type="pct"/>
                </w:tcPr>
                <w:p w:rsidR="006E391F" w:rsidRPr="00BC1144" w:rsidRDefault="006E391F" w:rsidP="00336FA0">
                  <w:pPr>
                    <w:pStyle w:val="TableBodyText"/>
                    <w:ind w:right="28"/>
                    <w:rPr>
                      <w:color w:val="000000"/>
                    </w:rPr>
                  </w:pPr>
                  <w:r w:rsidRPr="00BC1144">
                    <w:t>17</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Gender (male)</w:t>
                  </w:r>
                </w:p>
              </w:tc>
              <w:tc>
                <w:tcPr>
                  <w:tcW w:w="844" w:type="pct"/>
                </w:tcPr>
                <w:p w:rsidR="006E391F" w:rsidRPr="00BC1144" w:rsidRDefault="006E391F" w:rsidP="00336FA0">
                  <w:pPr>
                    <w:pStyle w:val="TableBodyText"/>
                    <w:rPr>
                      <w:i/>
                    </w:rPr>
                  </w:pPr>
                  <w:r w:rsidRPr="00BC1144">
                    <w:noBreakHyphen/>
                    <w:t>3</w:t>
                  </w:r>
                </w:p>
              </w:tc>
              <w:tc>
                <w:tcPr>
                  <w:tcW w:w="995" w:type="pct"/>
                </w:tcPr>
                <w:p w:rsidR="006E391F" w:rsidRPr="00BC1144" w:rsidRDefault="006E391F" w:rsidP="00336FA0">
                  <w:pPr>
                    <w:pStyle w:val="TableBodyText"/>
                    <w:rPr>
                      <w:i/>
                    </w:rPr>
                  </w:pPr>
                  <w:r w:rsidRPr="00BC1144">
                    <w:noBreakHyphen/>
                    <w:t>1</w:t>
                  </w:r>
                </w:p>
              </w:tc>
              <w:tc>
                <w:tcPr>
                  <w:tcW w:w="994" w:type="pct"/>
                </w:tcPr>
                <w:p w:rsidR="006E391F" w:rsidRPr="00BC1144" w:rsidRDefault="006E391F" w:rsidP="00336FA0">
                  <w:pPr>
                    <w:pStyle w:val="TableBodyText"/>
                    <w:ind w:right="28"/>
                    <w:rPr>
                      <w:i/>
                    </w:rPr>
                  </w:pPr>
                  <w:r w:rsidRPr="00BC1144">
                    <w:noBreakHyphen/>
                    <w:t>3</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 xml:space="preserve">Worked 10 or more hours </w:t>
                  </w:r>
                </w:p>
              </w:tc>
              <w:tc>
                <w:tcPr>
                  <w:tcW w:w="844" w:type="pct"/>
                </w:tcPr>
                <w:p w:rsidR="006E391F" w:rsidRPr="00BC1144" w:rsidRDefault="006E391F" w:rsidP="00336FA0">
                  <w:pPr>
                    <w:pStyle w:val="TableBodyText"/>
                    <w:rPr>
                      <w:i/>
                    </w:rPr>
                  </w:pPr>
                  <w:r w:rsidRPr="00BC1144">
                    <w:t>4</w:t>
                  </w:r>
                </w:p>
              </w:tc>
              <w:tc>
                <w:tcPr>
                  <w:tcW w:w="995" w:type="pct"/>
                </w:tcPr>
                <w:p w:rsidR="006E391F" w:rsidRPr="00BC1144" w:rsidRDefault="006E391F" w:rsidP="00336FA0">
                  <w:pPr>
                    <w:pStyle w:val="TableBodyText"/>
                    <w:rPr>
                      <w:i/>
                    </w:rPr>
                  </w:pPr>
                  <w:r w:rsidRPr="00BC1144">
                    <w:t>2</w:t>
                  </w:r>
                </w:p>
              </w:tc>
              <w:tc>
                <w:tcPr>
                  <w:tcW w:w="994" w:type="pct"/>
                </w:tcPr>
                <w:p w:rsidR="006E391F" w:rsidRPr="00BC1144" w:rsidRDefault="006E391F" w:rsidP="00336FA0">
                  <w:pPr>
                    <w:pStyle w:val="TableBodyText"/>
                    <w:ind w:right="28"/>
                    <w:rPr>
                      <w:i/>
                    </w:rPr>
                  </w:pPr>
                  <w:r w:rsidRPr="00BC1144">
                    <w:t>8</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Attended year 12</w:t>
                  </w:r>
                </w:p>
              </w:tc>
              <w:tc>
                <w:tcPr>
                  <w:tcW w:w="844" w:type="pct"/>
                </w:tcPr>
                <w:p w:rsidR="006E391F" w:rsidRPr="00BC1144" w:rsidRDefault="006E391F" w:rsidP="00336FA0">
                  <w:pPr>
                    <w:pStyle w:val="TableBodyText"/>
                    <w:rPr>
                      <w:i/>
                    </w:rPr>
                  </w:pPr>
                  <w:r w:rsidRPr="00BC1144">
                    <w:t>12</w:t>
                  </w:r>
                </w:p>
              </w:tc>
              <w:tc>
                <w:tcPr>
                  <w:tcW w:w="995" w:type="pct"/>
                </w:tcPr>
                <w:p w:rsidR="006E391F" w:rsidRPr="00BC1144" w:rsidRDefault="006E391F" w:rsidP="00336FA0">
                  <w:pPr>
                    <w:pStyle w:val="TableBodyText"/>
                    <w:rPr>
                      <w:i/>
                    </w:rPr>
                  </w:pPr>
                  <w:r w:rsidRPr="00BC1144">
                    <w:t>13</w:t>
                  </w:r>
                </w:p>
              </w:tc>
              <w:tc>
                <w:tcPr>
                  <w:tcW w:w="994" w:type="pct"/>
                </w:tcPr>
                <w:p w:rsidR="006E391F" w:rsidRPr="00BC1144" w:rsidRDefault="006E391F" w:rsidP="00336FA0">
                  <w:pPr>
                    <w:pStyle w:val="TableBodyText"/>
                    <w:ind w:right="28"/>
                    <w:rPr>
                      <w:i/>
                    </w:rPr>
                  </w:pPr>
                  <w:r w:rsidRPr="00BC1144">
                    <w:t>14</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Interaction term (hours * attend year 12)</w:t>
                  </w:r>
                </w:p>
              </w:tc>
              <w:tc>
                <w:tcPr>
                  <w:tcW w:w="844" w:type="pct"/>
                </w:tcPr>
                <w:p w:rsidR="006E391F" w:rsidRPr="00BC1144" w:rsidRDefault="006E391F" w:rsidP="00336FA0">
                  <w:pPr>
                    <w:pStyle w:val="TableBodyText"/>
                    <w:rPr>
                      <w:i/>
                    </w:rPr>
                  </w:pPr>
                  <w:r w:rsidRPr="00BC1144">
                    <w:noBreakHyphen/>
                    <w:t>1</w:t>
                  </w:r>
                </w:p>
              </w:tc>
              <w:tc>
                <w:tcPr>
                  <w:tcW w:w="995" w:type="pct"/>
                </w:tcPr>
                <w:p w:rsidR="006E391F" w:rsidRPr="00BC1144" w:rsidRDefault="006E391F" w:rsidP="00336FA0">
                  <w:pPr>
                    <w:pStyle w:val="TableBodyText"/>
                    <w:rPr>
                      <w:i/>
                    </w:rPr>
                  </w:pPr>
                  <w:r w:rsidRPr="00BC1144">
                    <w:t>2</w:t>
                  </w:r>
                </w:p>
              </w:tc>
              <w:tc>
                <w:tcPr>
                  <w:tcW w:w="994" w:type="pct"/>
                </w:tcPr>
                <w:p w:rsidR="006E391F" w:rsidRPr="00BC1144" w:rsidRDefault="006E391F" w:rsidP="00336FA0">
                  <w:pPr>
                    <w:pStyle w:val="TableBodyText"/>
                    <w:ind w:right="28"/>
                    <w:rPr>
                      <w:i/>
                    </w:rPr>
                  </w:pPr>
                  <w:r w:rsidRPr="00BC1144">
                    <w:noBreakHyphen/>
                    <w:t>5</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State</w:t>
                  </w:r>
                </w:p>
              </w:tc>
              <w:tc>
                <w:tcPr>
                  <w:tcW w:w="844" w:type="pct"/>
                </w:tcPr>
                <w:p w:rsidR="006E391F" w:rsidRPr="00BC1144" w:rsidRDefault="006E391F" w:rsidP="00336FA0">
                  <w:pPr>
                    <w:pStyle w:val="TableBodyText"/>
                    <w:rPr>
                      <w:i/>
                    </w:rPr>
                  </w:pPr>
                  <w:r w:rsidRPr="00BC1144">
                    <w:t>0</w:t>
                  </w:r>
                </w:p>
              </w:tc>
              <w:tc>
                <w:tcPr>
                  <w:tcW w:w="995" w:type="pct"/>
                </w:tcPr>
                <w:p w:rsidR="006E391F" w:rsidRPr="00BC1144" w:rsidRDefault="006E391F" w:rsidP="00336FA0">
                  <w:pPr>
                    <w:pStyle w:val="TableBodyText"/>
                    <w:rPr>
                      <w:i/>
                    </w:rPr>
                  </w:pPr>
                  <w:r w:rsidRPr="00BC1144">
                    <w:noBreakHyphen/>
                    <w:t>1</w:t>
                  </w:r>
                </w:p>
              </w:tc>
              <w:tc>
                <w:tcPr>
                  <w:tcW w:w="994" w:type="pct"/>
                </w:tcPr>
                <w:p w:rsidR="006E391F" w:rsidRPr="00BC1144" w:rsidRDefault="006E391F" w:rsidP="00336FA0">
                  <w:pPr>
                    <w:pStyle w:val="TableBodyText"/>
                    <w:ind w:right="28"/>
                    <w:rPr>
                      <w:i/>
                    </w:rPr>
                  </w:pPr>
                  <w:r w:rsidRPr="00BC1144">
                    <w:t>1</w:t>
                  </w:r>
                </w:p>
              </w:tc>
            </w:tr>
            <w:tr w:rsidR="006E391F" w:rsidRPr="00BC1144" w:rsidTr="00336FA0">
              <w:tc>
                <w:tcPr>
                  <w:tcW w:w="2167" w:type="pct"/>
                </w:tcPr>
                <w:p w:rsidR="006E391F" w:rsidRPr="00BC1144" w:rsidRDefault="006E391F" w:rsidP="00336FA0">
                  <w:pPr>
                    <w:pStyle w:val="TableBodyText"/>
                    <w:ind w:left="227"/>
                    <w:jc w:val="left"/>
                    <w:rPr>
                      <w:i/>
                    </w:rPr>
                  </w:pPr>
                  <w:r w:rsidRPr="00BC1144">
                    <w:rPr>
                      <w:i/>
                    </w:rPr>
                    <w:t>Indigenous status</w:t>
                  </w:r>
                </w:p>
              </w:tc>
              <w:tc>
                <w:tcPr>
                  <w:tcW w:w="844" w:type="pct"/>
                </w:tcPr>
                <w:p w:rsidR="006E391F" w:rsidRPr="00BC1144" w:rsidRDefault="006E391F" w:rsidP="00336FA0">
                  <w:pPr>
                    <w:pStyle w:val="TableBodyText"/>
                    <w:rPr>
                      <w:i/>
                    </w:rPr>
                  </w:pPr>
                  <w:r w:rsidRPr="00BC1144">
                    <w:t>0</w:t>
                  </w:r>
                </w:p>
              </w:tc>
              <w:tc>
                <w:tcPr>
                  <w:tcW w:w="995" w:type="pct"/>
                </w:tcPr>
                <w:p w:rsidR="006E391F" w:rsidRPr="00BC1144" w:rsidRDefault="006E391F" w:rsidP="00336FA0">
                  <w:pPr>
                    <w:pStyle w:val="TableBodyText"/>
                    <w:rPr>
                      <w:i/>
                    </w:rPr>
                  </w:pPr>
                  <w:r w:rsidRPr="00BC1144">
                    <w:t>1</w:t>
                  </w:r>
                </w:p>
              </w:tc>
              <w:tc>
                <w:tcPr>
                  <w:tcW w:w="994" w:type="pct"/>
                </w:tcPr>
                <w:p w:rsidR="006E391F" w:rsidRPr="00BC1144" w:rsidRDefault="006E391F" w:rsidP="00336FA0">
                  <w:pPr>
                    <w:pStyle w:val="TableBodyText"/>
                    <w:ind w:right="28"/>
                    <w:rPr>
                      <w:i/>
                    </w:rPr>
                  </w:pPr>
                  <w:r w:rsidRPr="00BC1144">
                    <w:t>1</w:t>
                  </w:r>
                </w:p>
              </w:tc>
            </w:tr>
            <w:tr w:rsidR="006E391F" w:rsidRPr="00BC1144" w:rsidTr="00336FA0">
              <w:tc>
                <w:tcPr>
                  <w:tcW w:w="2167" w:type="pct"/>
                  <w:tcBorders>
                    <w:bottom w:val="single" w:sz="4" w:space="0" w:color="BFBFBF"/>
                  </w:tcBorders>
                </w:tcPr>
                <w:p w:rsidR="006E391F" w:rsidRPr="00BC1144" w:rsidRDefault="006E391F" w:rsidP="00336FA0">
                  <w:pPr>
                    <w:pStyle w:val="TableBodyText"/>
                    <w:jc w:val="left"/>
                  </w:pPr>
                  <w:r w:rsidRPr="00BC1144">
                    <w:t>Specific to being low socioeconomic status</w:t>
                  </w:r>
                </w:p>
              </w:tc>
              <w:tc>
                <w:tcPr>
                  <w:tcW w:w="844" w:type="pct"/>
                  <w:tcBorders>
                    <w:bottom w:val="single" w:sz="4" w:space="0" w:color="BFBFBF"/>
                  </w:tcBorders>
                  <w:vAlign w:val="bottom"/>
                </w:tcPr>
                <w:p w:rsidR="006E391F" w:rsidRPr="00BC1144" w:rsidRDefault="006E391F" w:rsidP="00336FA0">
                  <w:pPr>
                    <w:pStyle w:val="TableBodyText"/>
                  </w:pPr>
                  <w:r w:rsidRPr="00BC1144">
                    <w:rPr>
                      <w:color w:val="000000"/>
                    </w:rPr>
                    <w:t>7</w:t>
                  </w:r>
                </w:p>
              </w:tc>
              <w:tc>
                <w:tcPr>
                  <w:tcW w:w="995" w:type="pct"/>
                  <w:tcBorders>
                    <w:bottom w:val="single" w:sz="4" w:space="0" w:color="BFBFBF"/>
                  </w:tcBorders>
                  <w:vAlign w:val="bottom"/>
                </w:tcPr>
                <w:p w:rsidR="006E391F" w:rsidRPr="00BC1144" w:rsidRDefault="006E391F" w:rsidP="00336FA0">
                  <w:pPr>
                    <w:pStyle w:val="TableBodyText"/>
                  </w:pPr>
                  <w:r w:rsidRPr="00BC1144">
                    <w:rPr>
                      <w:color w:val="000000"/>
                    </w:rPr>
                    <w:t>8</w:t>
                  </w:r>
                </w:p>
              </w:tc>
              <w:tc>
                <w:tcPr>
                  <w:tcW w:w="994" w:type="pct"/>
                  <w:tcBorders>
                    <w:bottom w:val="single" w:sz="4" w:space="0" w:color="BFBFBF"/>
                  </w:tcBorders>
                  <w:vAlign w:val="bottom"/>
                </w:tcPr>
                <w:p w:rsidR="006E391F" w:rsidRPr="00BC1144" w:rsidRDefault="006E391F" w:rsidP="00336FA0">
                  <w:pPr>
                    <w:pStyle w:val="TableBodyText"/>
                    <w:ind w:right="28"/>
                  </w:pPr>
                  <w:r w:rsidRPr="00BC1144">
                    <w:rPr>
                      <w:color w:val="000000"/>
                    </w:rPr>
                    <w:noBreakHyphen/>
                    <w:t>18</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rPr>
          <w:trHeight w:val="53"/>
        </w:trPr>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rPr>
          <w:lang w:eastAsia="en-US"/>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9</w:t>
            </w:r>
            <w:r w:rsidRPr="00BC1144">
              <w:tab/>
              <w:t>First in family</w:t>
            </w:r>
          </w:p>
          <w:p w:rsidR="006E391F" w:rsidRPr="00BC1144" w:rsidRDefault="006E391F" w:rsidP="00336FA0">
            <w:pPr>
              <w:pStyle w:val="Subtitle"/>
            </w:pPr>
            <w:r w:rsidRPr="00BC1144">
              <w:t>Contributions to gap in university participation</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3"/>
              <w:gridCol w:w="869"/>
              <w:gridCol w:w="1692"/>
              <w:gridCol w:w="1691"/>
            </w:tblGrid>
            <w:tr w:rsidR="006E391F" w:rsidRPr="00BC1144" w:rsidTr="00336FA0">
              <w:trPr>
                <w:tblHeader/>
              </w:trPr>
              <w:tc>
                <w:tcPr>
                  <w:tcW w:w="2500" w:type="pct"/>
                  <w:tcBorders>
                    <w:top w:val="single" w:sz="6" w:space="0" w:color="BFBFBF"/>
                    <w:bottom w:val="single" w:sz="4" w:space="0" w:color="BFBFBF"/>
                  </w:tcBorders>
                  <w:shd w:val="clear" w:color="auto" w:fill="auto"/>
                  <w:tcMar>
                    <w:top w:w="28" w:type="dxa"/>
                  </w:tcMar>
                </w:tcPr>
                <w:p w:rsidR="006E391F" w:rsidRPr="00BC1144" w:rsidRDefault="006E391F" w:rsidP="00336FA0">
                  <w:pPr>
                    <w:pStyle w:val="TableColumnHeading"/>
                    <w:jc w:val="left"/>
                  </w:pPr>
                </w:p>
              </w:tc>
              <w:tc>
                <w:tcPr>
                  <w:tcW w:w="511" w:type="pct"/>
                  <w:tcBorders>
                    <w:top w:val="single" w:sz="6" w:space="0" w:color="BFBFBF"/>
                    <w:bottom w:val="single" w:sz="6" w:space="0" w:color="BFBFBF"/>
                  </w:tcBorders>
                </w:tcPr>
                <w:p w:rsidR="006E391F" w:rsidRPr="00BC1144" w:rsidRDefault="006E391F" w:rsidP="00336FA0">
                  <w:pPr>
                    <w:pStyle w:val="TableColumnHeading"/>
                  </w:pPr>
                  <w:r w:rsidRPr="00BC1144">
                    <w:t>2010</w:t>
                  </w:r>
                </w:p>
              </w:tc>
              <w:tc>
                <w:tcPr>
                  <w:tcW w:w="995"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2013</w:t>
                  </w:r>
                </w:p>
              </w:tc>
              <w:tc>
                <w:tcPr>
                  <w:tcW w:w="99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2016</w:t>
                  </w:r>
                </w:p>
              </w:tc>
            </w:tr>
            <w:tr w:rsidR="006E391F" w:rsidRPr="00BC1144" w:rsidTr="00336FA0">
              <w:tc>
                <w:tcPr>
                  <w:tcW w:w="2500" w:type="pct"/>
                  <w:tcBorders>
                    <w:top w:val="single" w:sz="4" w:space="0" w:color="BFBFBF"/>
                    <w:bottom w:val="single" w:sz="4" w:space="0" w:color="BFBFBF"/>
                  </w:tcBorders>
                  <w:shd w:val="clear" w:color="auto" w:fill="F2F2F2" w:themeFill="background1" w:themeFillShade="F2"/>
                </w:tcPr>
                <w:p w:rsidR="006E391F" w:rsidRPr="00BC1144" w:rsidRDefault="006E391F" w:rsidP="00336FA0">
                  <w:pPr>
                    <w:pStyle w:val="TableUnitsRow"/>
                    <w:jc w:val="left"/>
                    <w:rPr>
                      <w:color w:val="000000"/>
                    </w:rPr>
                  </w:pPr>
                </w:p>
              </w:tc>
              <w:tc>
                <w:tcPr>
                  <w:tcW w:w="511" w:type="pct"/>
                  <w:tcBorders>
                    <w:top w:val="single" w:sz="6" w:space="0" w:color="BFBFBF"/>
                    <w:bottom w:val="single" w:sz="4" w:space="0" w:color="BFBFBF"/>
                  </w:tcBorders>
                  <w:shd w:val="clear" w:color="auto" w:fill="F2F2F2" w:themeFill="background1" w:themeFillShade="F2"/>
                  <w:vAlign w:val="bottom"/>
                </w:tcPr>
                <w:p w:rsidR="006E391F" w:rsidRPr="00BC1144" w:rsidRDefault="006E391F" w:rsidP="00336FA0">
                  <w:pPr>
                    <w:pStyle w:val="TableUnitsRow"/>
                    <w:rPr>
                      <w:color w:val="000000"/>
                    </w:rPr>
                  </w:pPr>
                  <w:r w:rsidRPr="00BC1144">
                    <w:rPr>
                      <w:color w:val="000000"/>
                    </w:rPr>
                    <w:t>% pts</w:t>
                  </w:r>
                </w:p>
              </w:tc>
              <w:tc>
                <w:tcPr>
                  <w:tcW w:w="995" w:type="pct"/>
                  <w:tcBorders>
                    <w:top w:val="single" w:sz="6" w:space="0" w:color="BFBFBF"/>
                    <w:bottom w:val="single" w:sz="4" w:space="0" w:color="BFBFBF"/>
                  </w:tcBorders>
                  <w:shd w:val="clear" w:color="auto" w:fill="F2F2F2" w:themeFill="background1" w:themeFillShade="F2"/>
                  <w:vAlign w:val="bottom"/>
                </w:tcPr>
                <w:p w:rsidR="006E391F" w:rsidRPr="00BC1144" w:rsidRDefault="006E391F" w:rsidP="00336FA0">
                  <w:pPr>
                    <w:pStyle w:val="TableUnitsRow"/>
                    <w:rPr>
                      <w:color w:val="000000"/>
                    </w:rPr>
                  </w:pPr>
                  <w:r w:rsidRPr="00BC1144">
                    <w:rPr>
                      <w:color w:val="000000"/>
                    </w:rPr>
                    <w:t>% pts</w:t>
                  </w:r>
                </w:p>
              </w:tc>
              <w:tc>
                <w:tcPr>
                  <w:tcW w:w="994" w:type="pct"/>
                  <w:tcBorders>
                    <w:top w:val="single" w:sz="6" w:space="0" w:color="BFBFBF"/>
                    <w:bottom w:val="single" w:sz="4" w:space="0" w:color="BFBFBF"/>
                  </w:tcBorders>
                  <w:shd w:val="clear" w:color="auto" w:fill="F2F2F2" w:themeFill="background1" w:themeFillShade="F2"/>
                  <w:vAlign w:val="bottom"/>
                </w:tcPr>
                <w:p w:rsidR="006E391F" w:rsidRPr="00BC1144" w:rsidRDefault="006E391F" w:rsidP="00336FA0">
                  <w:pPr>
                    <w:pStyle w:val="TableUnitsRow"/>
                    <w:ind w:right="28"/>
                    <w:rPr>
                      <w:color w:val="000000"/>
                    </w:rPr>
                  </w:pPr>
                  <w:r w:rsidRPr="00BC1144">
                    <w:rPr>
                      <w:color w:val="000000"/>
                    </w:rPr>
                    <w:t>% pts</w:t>
                  </w:r>
                </w:p>
              </w:tc>
            </w:tr>
            <w:tr w:rsidR="006E391F" w:rsidRPr="00BC1144" w:rsidTr="00336FA0">
              <w:tc>
                <w:tcPr>
                  <w:tcW w:w="2500" w:type="pct"/>
                  <w:tcBorders>
                    <w:top w:val="single" w:sz="4" w:space="0" w:color="BFBFBF"/>
                  </w:tcBorders>
                </w:tcPr>
                <w:p w:rsidR="006E391F" w:rsidRPr="00BC1144" w:rsidRDefault="006E391F" w:rsidP="00336FA0">
                  <w:pPr>
                    <w:pStyle w:val="TableUnitsRow"/>
                    <w:jc w:val="left"/>
                  </w:pPr>
                  <w:r w:rsidRPr="00BC1144">
                    <w:rPr>
                      <w:color w:val="000000"/>
                    </w:rPr>
                    <w:t xml:space="preserve">First in family </w:t>
                  </w:r>
                  <w:r w:rsidRPr="00BC1144">
                    <w:t>participation rate</w:t>
                  </w:r>
                </w:p>
              </w:tc>
              <w:tc>
                <w:tcPr>
                  <w:tcW w:w="511" w:type="pct"/>
                  <w:tcBorders>
                    <w:top w:val="single" w:sz="4" w:space="0" w:color="BFBFBF"/>
                  </w:tcBorders>
                  <w:vAlign w:val="bottom"/>
                </w:tcPr>
                <w:p w:rsidR="006E391F" w:rsidRPr="00BC1144" w:rsidRDefault="006E391F" w:rsidP="00336FA0">
                  <w:pPr>
                    <w:pStyle w:val="TableUnitsRow"/>
                  </w:pPr>
                  <w:r w:rsidRPr="00BC1144">
                    <w:rPr>
                      <w:color w:val="000000"/>
                    </w:rPr>
                    <w:t>41</w:t>
                  </w:r>
                </w:p>
              </w:tc>
              <w:tc>
                <w:tcPr>
                  <w:tcW w:w="995" w:type="pct"/>
                  <w:tcBorders>
                    <w:top w:val="single" w:sz="4" w:space="0" w:color="BFBFBF"/>
                  </w:tcBorders>
                  <w:vAlign w:val="bottom"/>
                </w:tcPr>
                <w:p w:rsidR="006E391F" w:rsidRPr="00BC1144" w:rsidRDefault="006E391F" w:rsidP="00336FA0">
                  <w:pPr>
                    <w:pStyle w:val="TableUnitsRow"/>
                  </w:pPr>
                  <w:r w:rsidRPr="00BC1144">
                    <w:rPr>
                      <w:color w:val="000000"/>
                    </w:rPr>
                    <w:t>43</w:t>
                  </w:r>
                </w:p>
              </w:tc>
              <w:tc>
                <w:tcPr>
                  <w:tcW w:w="994" w:type="pct"/>
                  <w:tcBorders>
                    <w:top w:val="single" w:sz="4" w:space="0" w:color="BFBFBF"/>
                  </w:tcBorders>
                  <w:vAlign w:val="bottom"/>
                </w:tcPr>
                <w:p w:rsidR="006E391F" w:rsidRPr="00BC1144" w:rsidRDefault="006E391F" w:rsidP="00336FA0">
                  <w:pPr>
                    <w:pStyle w:val="TableUnitsRow"/>
                    <w:ind w:right="28"/>
                  </w:pPr>
                  <w:r w:rsidRPr="00BC1144">
                    <w:rPr>
                      <w:color w:val="000000"/>
                    </w:rPr>
                    <w:t>47</w:t>
                  </w:r>
                </w:p>
              </w:tc>
            </w:tr>
            <w:tr w:rsidR="006E391F" w:rsidRPr="00BC1144" w:rsidTr="00336FA0">
              <w:tc>
                <w:tcPr>
                  <w:tcW w:w="2500" w:type="pct"/>
                </w:tcPr>
                <w:p w:rsidR="006E391F" w:rsidRPr="00BC1144" w:rsidRDefault="006E391F" w:rsidP="00336FA0">
                  <w:pPr>
                    <w:pStyle w:val="TableBodyText"/>
                    <w:jc w:val="left"/>
                  </w:pPr>
                  <w:r w:rsidRPr="00BC1144">
                    <w:rPr>
                      <w:color w:val="000000"/>
                    </w:rPr>
                    <w:t xml:space="preserve">Not first in family </w:t>
                  </w:r>
                  <w:r w:rsidRPr="00BC1144">
                    <w:t>participation rate</w:t>
                  </w:r>
                </w:p>
              </w:tc>
              <w:tc>
                <w:tcPr>
                  <w:tcW w:w="511" w:type="pct"/>
                  <w:vAlign w:val="bottom"/>
                </w:tcPr>
                <w:p w:rsidR="006E391F" w:rsidRPr="00BC1144" w:rsidRDefault="006E391F" w:rsidP="00336FA0">
                  <w:pPr>
                    <w:pStyle w:val="TableBodyText"/>
                  </w:pPr>
                  <w:r w:rsidRPr="00BC1144">
                    <w:rPr>
                      <w:color w:val="000000"/>
                    </w:rPr>
                    <w:t>71</w:t>
                  </w:r>
                </w:p>
              </w:tc>
              <w:tc>
                <w:tcPr>
                  <w:tcW w:w="995" w:type="pct"/>
                  <w:vAlign w:val="bottom"/>
                </w:tcPr>
                <w:p w:rsidR="006E391F" w:rsidRPr="00BC1144" w:rsidRDefault="006E391F" w:rsidP="00336FA0">
                  <w:pPr>
                    <w:pStyle w:val="TableBodyText"/>
                  </w:pPr>
                  <w:r w:rsidRPr="00BC1144">
                    <w:rPr>
                      <w:color w:val="000000"/>
                    </w:rPr>
                    <w:t>75</w:t>
                  </w:r>
                </w:p>
              </w:tc>
              <w:tc>
                <w:tcPr>
                  <w:tcW w:w="994" w:type="pct"/>
                  <w:vAlign w:val="bottom"/>
                </w:tcPr>
                <w:p w:rsidR="006E391F" w:rsidRPr="00BC1144" w:rsidRDefault="006E391F" w:rsidP="00336FA0">
                  <w:pPr>
                    <w:pStyle w:val="TableBodyText"/>
                    <w:ind w:right="28"/>
                  </w:pPr>
                  <w:r w:rsidRPr="00BC1144">
                    <w:rPr>
                      <w:color w:val="000000"/>
                    </w:rPr>
                    <w:t>79</w:t>
                  </w:r>
                </w:p>
              </w:tc>
            </w:tr>
            <w:tr w:rsidR="006E391F" w:rsidRPr="00BC1144" w:rsidTr="00336FA0">
              <w:tc>
                <w:tcPr>
                  <w:tcW w:w="2500" w:type="pct"/>
                </w:tcPr>
                <w:p w:rsidR="006E391F" w:rsidRPr="00BC1144" w:rsidRDefault="006E391F" w:rsidP="00336FA0">
                  <w:pPr>
                    <w:pStyle w:val="TableBodyText"/>
                    <w:jc w:val="left"/>
                  </w:pPr>
                  <w:r w:rsidRPr="00BC1144">
                    <w:rPr>
                      <w:color w:val="000000"/>
                    </w:rPr>
                    <w:t>Gap in university attendance</w:t>
                  </w:r>
                </w:p>
              </w:tc>
              <w:tc>
                <w:tcPr>
                  <w:tcW w:w="511" w:type="pct"/>
                </w:tcPr>
                <w:p w:rsidR="006E391F" w:rsidRPr="00BC1144" w:rsidRDefault="006E391F" w:rsidP="00336FA0">
                  <w:pPr>
                    <w:pStyle w:val="TableBodyText"/>
                  </w:pPr>
                  <w:r w:rsidRPr="00BC1144">
                    <w:t>29</w:t>
                  </w:r>
                </w:p>
              </w:tc>
              <w:tc>
                <w:tcPr>
                  <w:tcW w:w="995" w:type="pct"/>
                </w:tcPr>
                <w:p w:rsidR="006E391F" w:rsidRPr="00BC1144" w:rsidRDefault="006E391F" w:rsidP="00336FA0">
                  <w:pPr>
                    <w:pStyle w:val="TableBodyText"/>
                  </w:pPr>
                  <w:r w:rsidRPr="00BC1144">
                    <w:t>32</w:t>
                  </w:r>
                </w:p>
              </w:tc>
              <w:tc>
                <w:tcPr>
                  <w:tcW w:w="994" w:type="pct"/>
                </w:tcPr>
                <w:p w:rsidR="006E391F" w:rsidRPr="00BC1144" w:rsidRDefault="006E391F" w:rsidP="00336FA0">
                  <w:pPr>
                    <w:pStyle w:val="TableBodyText"/>
                    <w:ind w:right="28"/>
                  </w:pPr>
                  <w:r w:rsidRPr="00BC1144">
                    <w:t>32</w:t>
                  </w:r>
                </w:p>
              </w:tc>
            </w:tr>
            <w:tr w:rsidR="006E391F" w:rsidRPr="00BC1144" w:rsidTr="00336FA0">
              <w:tc>
                <w:tcPr>
                  <w:tcW w:w="2500" w:type="pct"/>
                  <w:shd w:val="clear" w:color="auto" w:fill="F2F2F2" w:themeFill="background1" w:themeFillShade="F2"/>
                </w:tcPr>
                <w:p w:rsidR="006E391F" w:rsidRPr="00BC1144" w:rsidRDefault="006E391F" w:rsidP="00336FA0">
                  <w:pPr>
                    <w:pStyle w:val="TableBodyText"/>
                    <w:spacing w:before="120"/>
                    <w:jc w:val="left"/>
                  </w:pPr>
                  <w:r w:rsidRPr="00BC1144">
                    <w:t>Percentage of the gap explained by:</w:t>
                  </w:r>
                </w:p>
              </w:tc>
              <w:tc>
                <w:tcPr>
                  <w:tcW w:w="511" w:type="pct"/>
                  <w:shd w:val="clear" w:color="auto" w:fill="F2F2F2" w:themeFill="background1" w:themeFillShade="F2"/>
                  <w:vAlign w:val="bottom"/>
                </w:tcPr>
                <w:p w:rsidR="006E391F" w:rsidRPr="00BC1144" w:rsidRDefault="006E391F" w:rsidP="00336FA0">
                  <w:pPr>
                    <w:pStyle w:val="TableBodyText"/>
                  </w:pPr>
                  <w:r w:rsidRPr="00BC1144">
                    <w:rPr>
                      <w:color w:val="000000"/>
                    </w:rPr>
                    <w:t>% pts</w:t>
                  </w:r>
                </w:p>
              </w:tc>
              <w:tc>
                <w:tcPr>
                  <w:tcW w:w="995" w:type="pct"/>
                  <w:shd w:val="clear" w:color="auto" w:fill="F2F2F2" w:themeFill="background1" w:themeFillShade="F2"/>
                  <w:vAlign w:val="bottom"/>
                </w:tcPr>
                <w:p w:rsidR="006E391F" w:rsidRPr="00BC1144" w:rsidRDefault="006E391F" w:rsidP="00336FA0">
                  <w:pPr>
                    <w:pStyle w:val="TableBodyText"/>
                  </w:pPr>
                  <w:r w:rsidRPr="00BC1144">
                    <w:rPr>
                      <w:color w:val="000000"/>
                    </w:rPr>
                    <w:t>% pts</w:t>
                  </w:r>
                </w:p>
              </w:tc>
              <w:tc>
                <w:tcPr>
                  <w:tcW w:w="994" w:type="pct"/>
                  <w:shd w:val="clear" w:color="auto" w:fill="F2F2F2" w:themeFill="background1" w:themeFillShade="F2"/>
                  <w:vAlign w:val="bottom"/>
                </w:tcPr>
                <w:p w:rsidR="006E391F" w:rsidRPr="00BC1144" w:rsidRDefault="006E391F" w:rsidP="00336FA0">
                  <w:pPr>
                    <w:pStyle w:val="TableBodyText"/>
                    <w:ind w:right="28"/>
                  </w:pPr>
                  <w:r w:rsidRPr="00BC1144">
                    <w:rPr>
                      <w:color w:val="000000"/>
                    </w:rPr>
                    <w:t>% pts</w:t>
                  </w:r>
                </w:p>
              </w:tc>
            </w:tr>
            <w:tr w:rsidR="006E391F" w:rsidRPr="00BC1144" w:rsidTr="00336FA0">
              <w:tc>
                <w:tcPr>
                  <w:tcW w:w="2500" w:type="pct"/>
                </w:tcPr>
                <w:p w:rsidR="006E391F" w:rsidRPr="00BC1144" w:rsidRDefault="006E391F" w:rsidP="00336FA0">
                  <w:pPr>
                    <w:pStyle w:val="TableBodyText"/>
                    <w:jc w:val="left"/>
                  </w:pPr>
                  <w:r w:rsidRPr="00BC1144">
                    <w:t>Literacy and numeracy</w:t>
                  </w:r>
                </w:p>
              </w:tc>
              <w:tc>
                <w:tcPr>
                  <w:tcW w:w="511" w:type="pct"/>
                  <w:vAlign w:val="bottom"/>
                </w:tcPr>
                <w:p w:rsidR="006E391F" w:rsidRPr="00BC1144" w:rsidRDefault="006E391F" w:rsidP="00336FA0">
                  <w:pPr>
                    <w:pStyle w:val="TableBodyText"/>
                  </w:pPr>
                  <w:r w:rsidRPr="00BC1144">
                    <w:rPr>
                      <w:color w:val="000000"/>
                    </w:rPr>
                    <w:t>36</w:t>
                  </w:r>
                </w:p>
              </w:tc>
              <w:tc>
                <w:tcPr>
                  <w:tcW w:w="995" w:type="pct"/>
                  <w:vAlign w:val="bottom"/>
                </w:tcPr>
                <w:p w:rsidR="006E391F" w:rsidRPr="00BC1144" w:rsidRDefault="006E391F" w:rsidP="00336FA0">
                  <w:pPr>
                    <w:pStyle w:val="TableBodyText"/>
                  </w:pPr>
                  <w:r w:rsidRPr="00BC1144">
                    <w:rPr>
                      <w:color w:val="000000"/>
                    </w:rPr>
                    <w:t>29</w:t>
                  </w:r>
                </w:p>
              </w:tc>
              <w:tc>
                <w:tcPr>
                  <w:tcW w:w="994" w:type="pct"/>
                  <w:vAlign w:val="bottom"/>
                </w:tcPr>
                <w:p w:rsidR="006E391F" w:rsidRPr="00BC1144" w:rsidRDefault="006E391F" w:rsidP="00336FA0">
                  <w:pPr>
                    <w:pStyle w:val="TableBodyText"/>
                    <w:ind w:right="28"/>
                  </w:pPr>
                  <w:r w:rsidRPr="00BC1144">
                    <w:rPr>
                      <w:color w:val="000000"/>
                    </w:rPr>
                    <w:t>36</w:t>
                  </w:r>
                </w:p>
              </w:tc>
            </w:tr>
            <w:tr w:rsidR="006E391F" w:rsidRPr="00BC1144" w:rsidTr="00336FA0">
              <w:tc>
                <w:tcPr>
                  <w:tcW w:w="2500" w:type="pct"/>
                </w:tcPr>
                <w:p w:rsidR="006E391F" w:rsidRPr="00BC1144" w:rsidRDefault="006E391F" w:rsidP="00336FA0">
                  <w:pPr>
                    <w:pStyle w:val="TableBodyText"/>
                    <w:jc w:val="left"/>
                  </w:pPr>
                  <w:r w:rsidRPr="00BC1144">
                    <w:t>Family characteristics</w:t>
                  </w:r>
                </w:p>
              </w:tc>
              <w:tc>
                <w:tcPr>
                  <w:tcW w:w="511" w:type="pct"/>
                  <w:vAlign w:val="bottom"/>
                </w:tcPr>
                <w:p w:rsidR="006E391F" w:rsidRPr="00BC1144" w:rsidRDefault="006E391F" w:rsidP="00336FA0">
                  <w:pPr>
                    <w:pStyle w:val="TableBodyText"/>
                  </w:pPr>
                  <w:r w:rsidRPr="00BC1144">
                    <w:rPr>
                      <w:color w:val="000000"/>
                    </w:rPr>
                    <w:t>3</w:t>
                  </w:r>
                </w:p>
              </w:tc>
              <w:tc>
                <w:tcPr>
                  <w:tcW w:w="995" w:type="pct"/>
                  <w:vAlign w:val="bottom"/>
                </w:tcPr>
                <w:p w:rsidR="006E391F" w:rsidRPr="00BC1144" w:rsidRDefault="006E391F" w:rsidP="00336FA0">
                  <w:pPr>
                    <w:pStyle w:val="TableBodyText"/>
                  </w:pPr>
                  <w:r w:rsidRPr="00BC1144">
                    <w:rPr>
                      <w:color w:val="000000"/>
                    </w:rPr>
                    <w:t>8</w:t>
                  </w:r>
                </w:p>
              </w:tc>
              <w:tc>
                <w:tcPr>
                  <w:tcW w:w="994" w:type="pct"/>
                  <w:vAlign w:val="bottom"/>
                </w:tcPr>
                <w:p w:rsidR="006E391F" w:rsidRPr="00BC1144" w:rsidRDefault="006E391F" w:rsidP="00336FA0">
                  <w:pPr>
                    <w:pStyle w:val="TableBodyText"/>
                    <w:ind w:right="28"/>
                  </w:pPr>
                  <w:r w:rsidRPr="00BC1144">
                    <w:rPr>
                      <w:color w:val="000000"/>
                    </w:rPr>
                    <w:noBreakHyphen/>
                    <w:t>2</w:t>
                  </w:r>
                </w:p>
              </w:tc>
            </w:tr>
            <w:tr w:rsidR="006E391F" w:rsidRPr="00BC1144" w:rsidTr="00336FA0">
              <w:tc>
                <w:tcPr>
                  <w:tcW w:w="2500" w:type="pct"/>
                  <w:vAlign w:val="bottom"/>
                </w:tcPr>
                <w:p w:rsidR="006E391F" w:rsidRPr="00BC1144" w:rsidRDefault="006E391F" w:rsidP="00336FA0">
                  <w:pPr>
                    <w:pStyle w:val="TableBodyText"/>
                    <w:ind w:left="227"/>
                    <w:jc w:val="left"/>
                    <w:rPr>
                      <w:i/>
                    </w:rPr>
                  </w:pPr>
                  <w:r w:rsidRPr="00BC1144">
                    <w:rPr>
                      <w:i/>
                    </w:rPr>
                    <w:t>Books</w:t>
                  </w:r>
                </w:p>
              </w:tc>
              <w:tc>
                <w:tcPr>
                  <w:tcW w:w="511" w:type="pct"/>
                </w:tcPr>
                <w:p w:rsidR="006E391F" w:rsidRPr="00BC1144" w:rsidRDefault="006E391F" w:rsidP="00336FA0">
                  <w:pPr>
                    <w:pStyle w:val="TableBodyText"/>
                    <w:rPr>
                      <w:i/>
                      <w:color w:val="000000"/>
                    </w:rPr>
                  </w:pPr>
                  <w:r w:rsidRPr="00BC1144">
                    <w:rPr>
                      <w:i/>
                    </w:rPr>
                    <w:t>0</w:t>
                  </w:r>
                </w:p>
              </w:tc>
              <w:tc>
                <w:tcPr>
                  <w:tcW w:w="995" w:type="pct"/>
                </w:tcPr>
                <w:p w:rsidR="006E391F" w:rsidRPr="00BC1144" w:rsidRDefault="006E391F" w:rsidP="00336FA0">
                  <w:pPr>
                    <w:pStyle w:val="TableBodyText"/>
                    <w:rPr>
                      <w:i/>
                      <w:color w:val="000000"/>
                    </w:rPr>
                  </w:pPr>
                  <w:r w:rsidRPr="00BC1144">
                    <w:rPr>
                      <w:i/>
                    </w:rPr>
                    <w:t>0</w:t>
                  </w:r>
                </w:p>
              </w:tc>
              <w:tc>
                <w:tcPr>
                  <w:tcW w:w="994" w:type="pct"/>
                </w:tcPr>
                <w:p w:rsidR="006E391F" w:rsidRPr="00BC1144" w:rsidRDefault="006E391F" w:rsidP="00336FA0">
                  <w:pPr>
                    <w:pStyle w:val="TableBodyText"/>
                    <w:ind w:right="28"/>
                    <w:rPr>
                      <w:i/>
                      <w:color w:val="000000"/>
                    </w:rPr>
                  </w:pPr>
                  <w:r w:rsidRPr="00BC1144">
                    <w:rPr>
                      <w:i/>
                    </w:rPr>
                    <w:noBreakHyphen/>
                    <w:t>1</w:t>
                  </w:r>
                </w:p>
              </w:tc>
            </w:tr>
            <w:tr w:rsidR="006E391F" w:rsidRPr="00BC1144" w:rsidTr="00336FA0">
              <w:tc>
                <w:tcPr>
                  <w:tcW w:w="2500" w:type="pct"/>
                  <w:vAlign w:val="bottom"/>
                </w:tcPr>
                <w:p w:rsidR="006E391F" w:rsidRPr="00BC1144" w:rsidRDefault="006E391F" w:rsidP="00336FA0">
                  <w:pPr>
                    <w:pStyle w:val="TableBodyText"/>
                    <w:ind w:left="227"/>
                    <w:jc w:val="left"/>
                    <w:rPr>
                      <w:i/>
                    </w:rPr>
                  </w:pPr>
                  <w:r w:rsidRPr="00BC1144">
                    <w:rPr>
                      <w:i/>
                    </w:rPr>
                    <w:t>English speaking background</w:t>
                  </w:r>
                </w:p>
              </w:tc>
              <w:tc>
                <w:tcPr>
                  <w:tcW w:w="511" w:type="pct"/>
                </w:tcPr>
                <w:p w:rsidR="006E391F" w:rsidRPr="00BC1144" w:rsidRDefault="006E391F" w:rsidP="00336FA0">
                  <w:pPr>
                    <w:pStyle w:val="TableBodyText"/>
                    <w:rPr>
                      <w:i/>
                      <w:color w:val="000000"/>
                    </w:rPr>
                  </w:pPr>
                  <w:r w:rsidRPr="00BC1144">
                    <w:rPr>
                      <w:i/>
                    </w:rPr>
                    <w:t>1</w:t>
                  </w:r>
                </w:p>
              </w:tc>
              <w:tc>
                <w:tcPr>
                  <w:tcW w:w="995" w:type="pct"/>
                </w:tcPr>
                <w:p w:rsidR="006E391F" w:rsidRPr="00BC1144" w:rsidRDefault="006E391F" w:rsidP="00336FA0">
                  <w:pPr>
                    <w:pStyle w:val="TableBodyText"/>
                    <w:rPr>
                      <w:i/>
                      <w:color w:val="000000"/>
                    </w:rPr>
                  </w:pPr>
                  <w:r w:rsidRPr="00BC1144">
                    <w:rPr>
                      <w:i/>
                    </w:rPr>
                    <w:t>2</w:t>
                  </w:r>
                </w:p>
              </w:tc>
              <w:tc>
                <w:tcPr>
                  <w:tcW w:w="994" w:type="pct"/>
                </w:tcPr>
                <w:p w:rsidR="006E391F" w:rsidRPr="00BC1144" w:rsidRDefault="006E391F" w:rsidP="00336FA0">
                  <w:pPr>
                    <w:pStyle w:val="TableBodyText"/>
                    <w:ind w:right="28"/>
                    <w:rPr>
                      <w:i/>
                      <w:color w:val="000000"/>
                    </w:rPr>
                  </w:pPr>
                  <w:r w:rsidRPr="00BC1144">
                    <w:rPr>
                      <w:i/>
                    </w:rPr>
                    <w:t>2</w:t>
                  </w:r>
                </w:p>
              </w:tc>
            </w:tr>
            <w:tr w:rsidR="006E391F" w:rsidRPr="00BC1144" w:rsidTr="00336FA0">
              <w:tc>
                <w:tcPr>
                  <w:tcW w:w="2500" w:type="pct"/>
                  <w:vAlign w:val="bottom"/>
                </w:tcPr>
                <w:p w:rsidR="006E391F" w:rsidRPr="00BC1144" w:rsidRDefault="006E391F" w:rsidP="00336FA0">
                  <w:pPr>
                    <w:pStyle w:val="TableBodyText"/>
                    <w:ind w:left="227"/>
                    <w:jc w:val="left"/>
                  </w:pPr>
                  <w:r w:rsidRPr="00BC1144">
                    <w:rPr>
                      <w:i/>
                    </w:rPr>
                    <w:t>Low socioeconomic status</w:t>
                  </w:r>
                </w:p>
              </w:tc>
              <w:tc>
                <w:tcPr>
                  <w:tcW w:w="511" w:type="pct"/>
                </w:tcPr>
                <w:p w:rsidR="006E391F" w:rsidRPr="00BC1144" w:rsidRDefault="006E391F" w:rsidP="00336FA0">
                  <w:pPr>
                    <w:pStyle w:val="TableBodyText"/>
                    <w:rPr>
                      <w:i/>
                    </w:rPr>
                  </w:pPr>
                  <w:r w:rsidRPr="00BC1144">
                    <w:rPr>
                      <w:i/>
                    </w:rPr>
                    <w:t>2</w:t>
                  </w:r>
                </w:p>
              </w:tc>
              <w:tc>
                <w:tcPr>
                  <w:tcW w:w="995" w:type="pct"/>
                </w:tcPr>
                <w:p w:rsidR="006E391F" w:rsidRPr="00BC1144" w:rsidRDefault="006E391F" w:rsidP="00336FA0">
                  <w:pPr>
                    <w:pStyle w:val="TableBodyText"/>
                    <w:rPr>
                      <w:i/>
                    </w:rPr>
                  </w:pPr>
                  <w:r w:rsidRPr="00BC1144">
                    <w:rPr>
                      <w:i/>
                    </w:rPr>
                    <w:t>6</w:t>
                  </w:r>
                </w:p>
              </w:tc>
              <w:tc>
                <w:tcPr>
                  <w:tcW w:w="994" w:type="pct"/>
                </w:tcPr>
                <w:p w:rsidR="006E391F" w:rsidRPr="00BC1144" w:rsidRDefault="006E391F" w:rsidP="00336FA0">
                  <w:pPr>
                    <w:pStyle w:val="TableBodyText"/>
                    <w:ind w:right="28"/>
                    <w:rPr>
                      <w:i/>
                    </w:rPr>
                  </w:pPr>
                  <w:r w:rsidRPr="00BC1144">
                    <w:rPr>
                      <w:i/>
                    </w:rPr>
                    <w:noBreakHyphen/>
                    <w:t>3</w:t>
                  </w:r>
                </w:p>
              </w:tc>
            </w:tr>
            <w:tr w:rsidR="006E391F" w:rsidRPr="00BC1144" w:rsidTr="00336FA0">
              <w:tc>
                <w:tcPr>
                  <w:tcW w:w="2500" w:type="pct"/>
                </w:tcPr>
                <w:p w:rsidR="006E391F" w:rsidRPr="00BC1144" w:rsidRDefault="006E391F" w:rsidP="00336FA0">
                  <w:pPr>
                    <w:pStyle w:val="TableBodyText"/>
                    <w:jc w:val="left"/>
                  </w:pPr>
                  <w:r w:rsidRPr="00BC1144">
                    <w:t>School</w:t>
                  </w:r>
                </w:p>
              </w:tc>
              <w:tc>
                <w:tcPr>
                  <w:tcW w:w="511" w:type="pct"/>
                  <w:vAlign w:val="bottom"/>
                </w:tcPr>
                <w:p w:rsidR="006E391F" w:rsidRPr="00BC1144" w:rsidRDefault="006E391F" w:rsidP="00336FA0">
                  <w:pPr>
                    <w:pStyle w:val="TableBodyText"/>
                  </w:pPr>
                  <w:r w:rsidRPr="00BC1144">
                    <w:rPr>
                      <w:color w:val="000000"/>
                    </w:rPr>
                    <w:t>3</w:t>
                  </w:r>
                </w:p>
              </w:tc>
              <w:tc>
                <w:tcPr>
                  <w:tcW w:w="995" w:type="pct"/>
                  <w:vAlign w:val="bottom"/>
                </w:tcPr>
                <w:p w:rsidR="006E391F" w:rsidRPr="00BC1144" w:rsidRDefault="006E391F" w:rsidP="00336FA0">
                  <w:pPr>
                    <w:pStyle w:val="TableBodyText"/>
                  </w:pPr>
                  <w:r w:rsidRPr="00BC1144">
                    <w:rPr>
                      <w:color w:val="000000"/>
                    </w:rPr>
                    <w:t>9</w:t>
                  </w:r>
                </w:p>
              </w:tc>
              <w:tc>
                <w:tcPr>
                  <w:tcW w:w="994" w:type="pct"/>
                  <w:vAlign w:val="bottom"/>
                </w:tcPr>
                <w:p w:rsidR="006E391F" w:rsidRPr="00BC1144" w:rsidRDefault="006E391F" w:rsidP="00336FA0">
                  <w:pPr>
                    <w:pStyle w:val="TableBodyText"/>
                    <w:ind w:right="28"/>
                  </w:pPr>
                  <w:r w:rsidRPr="00BC1144">
                    <w:rPr>
                      <w:color w:val="000000"/>
                    </w:rPr>
                    <w:t>7</w:t>
                  </w:r>
                </w:p>
              </w:tc>
            </w:tr>
            <w:tr w:rsidR="006E391F" w:rsidRPr="00BC1144" w:rsidTr="00336FA0">
              <w:tc>
                <w:tcPr>
                  <w:tcW w:w="2500" w:type="pct"/>
                </w:tcPr>
                <w:p w:rsidR="006E391F" w:rsidRPr="00BC1144" w:rsidRDefault="006E391F" w:rsidP="00336FA0">
                  <w:pPr>
                    <w:pStyle w:val="TableBodyText"/>
                    <w:ind w:left="227"/>
                    <w:jc w:val="left"/>
                  </w:pPr>
                  <w:r w:rsidRPr="00BC1144">
                    <w:rPr>
                      <w:i/>
                    </w:rPr>
                    <w:t>Sector</w:t>
                  </w:r>
                </w:p>
              </w:tc>
              <w:tc>
                <w:tcPr>
                  <w:tcW w:w="511" w:type="pct"/>
                </w:tcPr>
                <w:p w:rsidR="006E391F" w:rsidRPr="00BC1144" w:rsidRDefault="006E391F" w:rsidP="00336FA0">
                  <w:pPr>
                    <w:pStyle w:val="TableBodyText"/>
                    <w:rPr>
                      <w:i/>
                      <w:color w:val="000000"/>
                    </w:rPr>
                  </w:pPr>
                  <w:r w:rsidRPr="00BC1144">
                    <w:rPr>
                      <w:i/>
                    </w:rPr>
                    <w:t>8</w:t>
                  </w:r>
                </w:p>
              </w:tc>
              <w:tc>
                <w:tcPr>
                  <w:tcW w:w="995" w:type="pct"/>
                </w:tcPr>
                <w:p w:rsidR="006E391F" w:rsidRPr="00BC1144" w:rsidRDefault="006E391F" w:rsidP="00336FA0">
                  <w:pPr>
                    <w:pStyle w:val="TableBodyText"/>
                    <w:rPr>
                      <w:i/>
                      <w:color w:val="000000"/>
                    </w:rPr>
                  </w:pPr>
                  <w:r w:rsidRPr="00BC1144">
                    <w:rPr>
                      <w:i/>
                    </w:rPr>
                    <w:t>1</w:t>
                  </w:r>
                </w:p>
              </w:tc>
              <w:tc>
                <w:tcPr>
                  <w:tcW w:w="994" w:type="pct"/>
                </w:tcPr>
                <w:p w:rsidR="006E391F" w:rsidRPr="00BC1144" w:rsidRDefault="006E391F" w:rsidP="00336FA0">
                  <w:pPr>
                    <w:pStyle w:val="TableBodyText"/>
                    <w:ind w:right="28"/>
                    <w:rPr>
                      <w:i/>
                      <w:color w:val="000000"/>
                    </w:rPr>
                  </w:pPr>
                  <w:r w:rsidRPr="00BC1144">
                    <w:rPr>
                      <w:i/>
                    </w:rPr>
                    <w:t>5</w:t>
                  </w:r>
                </w:p>
              </w:tc>
            </w:tr>
            <w:tr w:rsidR="006E391F" w:rsidRPr="00BC1144" w:rsidTr="00336FA0">
              <w:tc>
                <w:tcPr>
                  <w:tcW w:w="2500" w:type="pct"/>
                </w:tcPr>
                <w:p w:rsidR="006E391F" w:rsidRPr="00BC1144" w:rsidRDefault="006E391F" w:rsidP="00336FA0">
                  <w:pPr>
                    <w:pStyle w:val="TableBodyText"/>
                    <w:ind w:left="227"/>
                    <w:jc w:val="left"/>
                  </w:pPr>
                  <w:r w:rsidRPr="00BC1144">
                    <w:rPr>
                      <w:i/>
                    </w:rPr>
                    <w:t>School socioeconomic status</w:t>
                  </w:r>
                </w:p>
              </w:tc>
              <w:tc>
                <w:tcPr>
                  <w:tcW w:w="511" w:type="pct"/>
                </w:tcPr>
                <w:p w:rsidR="006E391F" w:rsidRPr="00BC1144" w:rsidRDefault="006E391F" w:rsidP="00336FA0">
                  <w:pPr>
                    <w:pStyle w:val="TableBodyText"/>
                    <w:rPr>
                      <w:i/>
                      <w:color w:val="000000"/>
                    </w:rPr>
                  </w:pPr>
                  <w:r w:rsidRPr="00BC1144">
                    <w:rPr>
                      <w:i/>
                    </w:rPr>
                    <w:noBreakHyphen/>
                    <w:t>5</w:t>
                  </w:r>
                </w:p>
              </w:tc>
              <w:tc>
                <w:tcPr>
                  <w:tcW w:w="995" w:type="pct"/>
                </w:tcPr>
                <w:p w:rsidR="006E391F" w:rsidRPr="00BC1144" w:rsidRDefault="006E391F" w:rsidP="00336FA0">
                  <w:pPr>
                    <w:pStyle w:val="TableBodyText"/>
                    <w:rPr>
                      <w:i/>
                      <w:color w:val="000000"/>
                    </w:rPr>
                  </w:pPr>
                  <w:r w:rsidRPr="00BC1144">
                    <w:rPr>
                      <w:i/>
                    </w:rPr>
                    <w:t>7</w:t>
                  </w:r>
                </w:p>
              </w:tc>
              <w:tc>
                <w:tcPr>
                  <w:tcW w:w="994" w:type="pct"/>
                </w:tcPr>
                <w:p w:rsidR="006E391F" w:rsidRPr="00BC1144" w:rsidRDefault="006E391F" w:rsidP="00336FA0">
                  <w:pPr>
                    <w:pStyle w:val="TableBodyText"/>
                    <w:ind w:right="28"/>
                    <w:rPr>
                      <w:i/>
                      <w:color w:val="000000"/>
                    </w:rPr>
                  </w:pPr>
                  <w:r w:rsidRPr="00BC1144">
                    <w:rPr>
                      <w:i/>
                    </w:rPr>
                    <w:t>2</w:t>
                  </w:r>
                </w:p>
              </w:tc>
            </w:tr>
            <w:tr w:rsidR="006E391F" w:rsidRPr="00BC1144" w:rsidTr="00336FA0">
              <w:tc>
                <w:tcPr>
                  <w:tcW w:w="2500" w:type="pct"/>
                </w:tcPr>
                <w:p w:rsidR="006E391F" w:rsidRPr="00BC1144" w:rsidRDefault="006E391F" w:rsidP="00336FA0">
                  <w:pPr>
                    <w:pStyle w:val="TableBodyText"/>
                    <w:jc w:val="left"/>
                  </w:pPr>
                  <w:r w:rsidRPr="00BC1144">
                    <w:t>Neighbourhood</w:t>
                  </w:r>
                </w:p>
              </w:tc>
              <w:tc>
                <w:tcPr>
                  <w:tcW w:w="511" w:type="pct"/>
                  <w:vAlign w:val="bottom"/>
                </w:tcPr>
                <w:p w:rsidR="006E391F" w:rsidRPr="00BC1144" w:rsidRDefault="006E391F" w:rsidP="00336FA0">
                  <w:pPr>
                    <w:pStyle w:val="TableBodyText"/>
                  </w:pPr>
                  <w:r w:rsidRPr="00BC1144">
                    <w:rPr>
                      <w:color w:val="000000"/>
                    </w:rPr>
                    <w:t>6</w:t>
                  </w:r>
                </w:p>
              </w:tc>
              <w:tc>
                <w:tcPr>
                  <w:tcW w:w="995" w:type="pct"/>
                  <w:vAlign w:val="bottom"/>
                </w:tcPr>
                <w:p w:rsidR="006E391F" w:rsidRPr="00BC1144" w:rsidRDefault="006E391F" w:rsidP="00336FA0">
                  <w:pPr>
                    <w:pStyle w:val="TableBodyText"/>
                  </w:pPr>
                  <w:r w:rsidRPr="00BC1144">
                    <w:rPr>
                      <w:color w:val="000000"/>
                    </w:rPr>
                    <w:t>4</w:t>
                  </w:r>
                </w:p>
              </w:tc>
              <w:tc>
                <w:tcPr>
                  <w:tcW w:w="994" w:type="pct"/>
                  <w:vAlign w:val="bottom"/>
                </w:tcPr>
                <w:p w:rsidR="006E391F" w:rsidRPr="00BC1144" w:rsidRDefault="006E391F" w:rsidP="00336FA0">
                  <w:pPr>
                    <w:pStyle w:val="TableBodyText"/>
                    <w:ind w:right="28"/>
                  </w:pPr>
                  <w:r w:rsidRPr="00BC1144">
                    <w:rPr>
                      <w:color w:val="000000"/>
                    </w:rPr>
                    <w:t>7</w:t>
                  </w:r>
                </w:p>
              </w:tc>
            </w:tr>
            <w:tr w:rsidR="006E391F" w:rsidRPr="00BC1144" w:rsidTr="00336FA0">
              <w:tc>
                <w:tcPr>
                  <w:tcW w:w="2500" w:type="pct"/>
                </w:tcPr>
                <w:p w:rsidR="006E391F" w:rsidRPr="00BC1144" w:rsidRDefault="006E391F" w:rsidP="00336FA0">
                  <w:pPr>
                    <w:pStyle w:val="TableBodyText"/>
                    <w:jc w:val="left"/>
                  </w:pPr>
                  <w:r w:rsidRPr="00BC1144">
                    <w:t>Geographic</w:t>
                  </w:r>
                </w:p>
              </w:tc>
              <w:tc>
                <w:tcPr>
                  <w:tcW w:w="511" w:type="pct"/>
                  <w:vAlign w:val="bottom"/>
                </w:tcPr>
                <w:p w:rsidR="006E391F" w:rsidRPr="00BC1144" w:rsidRDefault="006E391F" w:rsidP="00336FA0">
                  <w:pPr>
                    <w:pStyle w:val="TableBodyText"/>
                  </w:pPr>
                  <w:r w:rsidRPr="00BC1144">
                    <w:rPr>
                      <w:color w:val="000000"/>
                    </w:rPr>
                    <w:t>0</w:t>
                  </w:r>
                </w:p>
              </w:tc>
              <w:tc>
                <w:tcPr>
                  <w:tcW w:w="995" w:type="pct"/>
                  <w:vAlign w:val="bottom"/>
                </w:tcPr>
                <w:p w:rsidR="006E391F" w:rsidRPr="00BC1144" w:rsidRDefault="006E391F" w:rsidP="00336FA0">
                  <w:pPr>
                    <w:pStyle w:val="TableBodyText"/>
                  </w:pPr>
                  <w:r w:rsidRPr="00BC1144">
                    <w:rPr>
                      <w:color w:val="000000"/>
                    </w:rPr>
                    <w:t>2</w:t>
                  </w:r>
                </w:p>
              </w:tc>
              <w:tc>
                <w:tcPr>
                  <w:tcW w:w="994" w:type="pct"/>
                  <w:vAlign w:val="bottom"/>
                </w:tcPr>
                <w:p w:rsidR="006E391F" w:rsidRPr="00BC1144" w:rsidRDefault="006E391F" w:rsidP="00336FA0">
                  <w:pPr>
                    <w:pStyle w:val="TableBodyText"/>
                    <w:ind w:right="28"/>
                  </w:pPr>
                  <w:r w:rsidRPr="00BC1144">
                    <w:rPr>
                      <w:color w:val="000000"/>
                    </w:rPr>
                    <w:t>2</w:t>
                  </w:r>
                </w:p>
              </w:tc>
            </w:tr>
            <w:tr w:rsidR="006E391F" w:rsidRPr="00BC1144" w:rsidTr="00336FA0">
              <w:tc>
                <w:tcPr>
                  <w:tcW w:w="2500" w:type="pct"/>
                </w:tcPr>
                <w:p w:rsidR="006E391F" w:rsidRPr="00BC1144" w:rsidRDefault="006E391F" w:rsidP="00336FA0">
                  <w:pPr>
                    <w:pStyle w:val="TableBodyText"/>
                    <w:jc w:val="left"/>
                  </w:pPr>
                  <w:r w:rsidRPr="00BC1144">
                    <w:t>Other characteristics</w:t>
                  </w:r>
                </w:p>
              </w:tc>
              <w:tc>
                <w:tcPr>
                  <w:tcW w:w="511" w:type="pct"/>
                  <w:vAlign w:val="bottom"/>
                </w:tcPr>
                <w:p w:rsidR="006E391F" w:rsidRPr="00BC1144" w:rsidRDefault="006E391F" w:rsidP="00336FA0">
                  <w:pPr>
                    <w:pStyle w:val="TableBodyText"/>
                    <w:rPr>
                      <w:color w:val="000000"/>
                    </w:rPr>
                  </w:pPr>
                  <w:r w:rsidRPr="00BC1144">
                    <w:rPr>
                      <w:color w:val="000000"/>
                    </w:rPr>
                    <w:t>14</w:t>
                  </w:r>
                </w:p>
              </w:tc>
              <w:tc>
                <w:tcPr>
                  <w:tcW w:w="995" w:type="pct"/>
                  <w:vAlign w:val="bottom"/>
                </w:tcPr>
                <w:p w:rsidR="006E391F" w:rsidRPr="00BC1144" w:rsidRDefault="006E391F" w:rsidP="00336FA0">
                  <w:pPr>
                    <w:pStyle w:val="TableBodyText"/>
                    <w:rPr>
                      <w:color w:val="000000"/>
                    </w:rPr>
                  </w:pPr>
                  <w:r w:rsidRPr="00BC1144">
                    <w:rPr>
                      <w:color w:val="000000"/>
                    </w:rPr>
                    <w:t>15</w:t>
                  </w:r>
                </w:p>
              </w:tc>
              <w:tc>
                <w:tcPr>
                  <w:tcW w:w="994" w:type="pct"/>
                  <w:vAlign w:val="bottom"/>
                </w:tcPr>
                <w:p w:rsidR="006E391F" w:rsidRPr="00BC1144" w:rsidRDefault="006E391F" w:rsidP="00336FA0">
                  <w:pPr>
                    <w:pStyle w:val="TableBodyText"/>
                    <w:ind w:right="28"/>
                    <w:rPr>
                      <w:color w:val="000000"/>
                    </w:rPr>
                  </w:pPr>
                  <w:r w:rsidRPr="00BC1144">
                    <w:rPr>
                      <w:color w:val="000000"/>
                    </w:rPr>
                    <w:t>13</w:t>
                  </w:r>
                </w:p>
              </w:tc>
            </w:tr>
            <w:tr w:rsidR="006E391F" w:rsidRPr="00BC1144" w:rsidTr="00336FA0">
              <w:tc>
                <w:tcPr>
                  <w:tcW w:w="2500" w:type="pct"/>
                </w:tcPr>
                <w:p w:rsidR="006E391F" w:rsidRPr="00BC1144" w:rsidRDefault="006E391F" w:rsidP="00336FA0">
                  <w:pPr>
                    <w:pStyle w:val="TableBodyText"/>
                    <w:ind w:left="227"/>
                    <w:jc w:val="left"/>
                  </w:pPr>
                  <w:r w:rsidRPr="00BC1144">
                    <w:rPr>
                      <w:i/>
                    </w:rPr>
                    <w:t>Gender</w:t>
                  </w:r>
                </w:p>
              </w:tc>
              <w:tc>
                <w:tcPr>
                  <w:tcW w:w="511" w:type="pct"/>
                  <w:vAlign w:val="bottom"/>
                </w:tcPr>
                <w:p w:rsidR="006E391F" w:rsidRPr="00BC1144" w:rsidRDefault="006E391F" w:rsidP="00336FA0">
                  <w:pPr>
                    <w:pStyle w:val="TableBodyText"/>
                    <w:rPr>
                      <w:i/>
                    </w:rPr>
                  </w:pPr>
                  <w:r w:rsidRPr="00BC1144">
                    <w:rPr>
                      <w:i/>
                    </w:rPr>
                    <w:noBreakHyphen/>
                    <w:t>2</w:t>
                  </w:r>
                </w:p>
              </w:tc>
              <w:tc>
                <w:tcPr>
                  <w:tcW w:w="995" w:type="pct"/>
                  <w:vAlign w:val="bottom"/>
                </w:tcPr>
                <w:p w:rsidR="006E391F" w:rsidRPr="00BC1144" w:rsidRDefault="006E391F" w:rsidP="00336FA0">
                  <w:pPr>
                    <w:pStyle w:val="TableBodyText"/>
                    <w:rPr>
                      <w:i/>
                    </w:rPr>
                  </w:pPr>
                  <w:r w:rsidRPr="00BC1144">
                    <w:rPr>
                      <w:i/>
                    </w:rPr>
                    <w:t>0</w:t>
                  </w:r>
                </w:p>
              </w:tc>
              <w:tc>
                <w:tcPr>
                  <w:tcW w:w="994" w:type="pct"/>
                  <w:vAlign w:val="bottom"/>
                </w:tcPr>
                <w:p w:rsidR="006E391F" w:rsidRPr="00BC1144" w:rsidRDefault="006E391F" w:rsidP="00336FA0">
                  <w:pPr>
                    <w:pStyle w:val="TableBodyText"/>
                    <w:ind w:right="28"/>
                    <w:rPr>
                      <w:i/>
                    </w:rPr>
                  </w:pPr>
                  <w:r w:rsidRPr="00BC1144">
                    <w:rPr>
                      <w:i/>
                    </w:rPr>
                    <w:t>0</w:t>
                  </w:r>
                </w:p>
              </w:tc>
            </w:tr>
            <w:tr w:rsidR="006E391F" w:rsidRPr="00BC1144" w:rsidTr="00336FA0">
              <w:tc>
                <w:tcPr>
                  <w:tcW w:w="2500" w:type="pct"/>
                </w:tcPr>
                <w:p w:rsidR="006E391F" w:rsidRPr="00BC1144" w:rsidRDefault="006E391F" w:rsidP="00336FA0">
                  <w:pPr>
                    <w:pStyle w:val="TableBodyText"/>
                    <w:ind w:left="227"/>
                    <w:jc w:val="left"/>
                  </w:pPr>
                  <w:r w:rsidRPr="00BC1144">
                    <w:rPr>
                      <w:i/>
                    </w:rPr>
                    <w:t xml:space="preserve">Worked 10 or more hours </w:t>
                  </w:r>
                </w:p>
              </w:tc>
              <w:tc>
                <w:tcPr>
                  <w:tcW w:w="511" w:type="pct"/>
                  <w:vAlign w:val="bottom"/>
                </w:tcPr>
                <w:p w:rsidR="006E391F" w:rsidRPr="00BC1144" w:rsidRDefault="006E391F" w:rsidP="00336FA0">
                  <w:pPr>
                    <w:pStyle w:val="TableBodyText"/>
                    <w:rPr>
                      <w:i/>
                    </w:rPr>
                  </w:pPr>
                  <w:r w:rsidRPr="00BC1144">
                    <w:rPr>
                      <w:i/>
                    </w:rPr>
                    <w:t>6</w:t>
                  </w:r>
                </w:p>
              </w:tc>
              <w:tc>
                <w:tcPr>
                  <w:tcW w:w="995" w:type="pct"/>
                  <w:vAlign w:val="bottom"/>
                </w:tcPr>
                <w:p w:rsidR="006E391F" w:rsidRPr="00BC1144" w:rsidRDefault="006E391F" w:rsidP="00336FA0">
                  <w:pPr>
                    <w:pStyle w:val="TableBodyText"/>
                    <w:rPr>
                      <w:i/>
                    </w:rPr>
                  </w:pPr>
                  <w:r w:rsidRPr="00BC1144">
                    <w:rPr>
                      <w:i/>
                    </w:rPr>
                    <w:t>4</w:t>
                  </w:r>
                </w:p>
              </w:tc>
              <w:tc>
                <w:tcPr>
                  <w:tcW w:w="994" w:type="pct"/>
                  <w:vAlign w:val="bottom"/>
                </w:tcPr>
                <w:p w:rsidR="006E391F" w:rsidRPr="00BC1144" w:rsidRDefault="006E391F" w:rsidP="00336FA0">
                  <w:pPr>
                    <w:pStyle w:val="TableBodyText"/>
                    <w:ind w:right="28"/>
                    <w:rPr>
                      <w:i/>
                    </w:rPr>
                  </w:pPr>
                  <w:r w:rsidRPr="00BC1144">
                    <w:rPr>
                      <w:i/>
                    </w:rPr>
                    <w:t>8</w:t>
                  </w:r>
                </w:p>
              </w:tc>
            </w:tr>
            <w:tr w:rsidR="006E391F" w:rsidRPr="00BC1144" w:rsidTr="00336FA0">
              <w:tc>
                <w:tcPr>
                  <w:tcW w:w="2500" w:type="pct"/>
                </w:tcPr>
                <w:p w:rsidR="006E391F" w:rsidRPr="00BC1144" w:rsidRDefault="006E391F" w:rsidP="00336FA0">
                  <w:pPr>
                    <w:pStyle w:val="TableBodyText"/>
                    <w:ind w:left="227"/>
                    <w:jc w:val="left"/>
                  </w:pPr>
                  <w:r w:rsidRPr="00BC1144">
                    <w:rPr>
                      <w:i/>
                    </w:rPr>
                    <w:t>Attended year 12</w:t>
                  </w:r>
                </w:p>
              </w:tc>
              <w:tc>
                <w:tcPr>
                  <w:tcW w:w="511" w:type="pct"/>
                  <w:vAlign w:val="bottom"/>
                </w:tcPr>
                <w:p w:rsidR="006E391F" w:rsidRPr="00BC1144" w:rsidRDefault="006E391F" w:rsidP="00336FA0">
                  <w:pPr>
                    <w:pStyle w:val="TableBodyText"/>
                    <w:rPr>
                      <w:i/>
                    </w:rPr>
                  </w:pPr>
                  <w:r w:rsidRPr="00BC1144">
                    <w:rPr>
                      <w:i/>
                    </w:rPr>
                    <w:t>11</w:t>
                  </w:r>
                </w:p>
              </w:tc>
              <w:tc>
                <w:tcPr>
                  <w:tcW w:w="995" w:type="pct"/>
                  <w:vAlign w:val="bottom"/>
                </w:tcPr>
                <w:p w:rsidR="006E391F" w:rsidRPr="00BC1144" w:rsidRDefault="006E391F" w:rsidP="00336FA0">
                  <w:pPr>
                    <w:pStyle w:val="TableBodyText"/>
                    <w:rPr>
                      <w:i/>
                    </w:rPr>
                  </w:pPr>
                  <w:r w:rsidRPr="00BC1144">
                    <w:rPr>
                      <w:i/>
                    </w:rPr>
                    <w:t>9</w:t>
                  </w:r>
                </w:p>
              </w:tc>
              <w:tc>
                <w:tcPr>
                  <w:tcW w:w="994" w:type="pct"/>
                  <w:vAlign w:val="bottom"/>
                </w:tcPr>
                <w:p w:rsidR="006E391F" w:rsidRPr="00BC1144" w:rsidRDefault="006E391F" w:rsidP="00336FA0">
                  <w:pPr>
                    <w:pStyle w:val="TableBodyText"/>
                    <w:ind w:right="28"/>
                    <w:rPr>
                      <w:i/>
                    </w:rPr>
                  </w:pPr>
                  <w:r w:rsidRPr="00BC1144">
                    <w:rPr>
                      <w:i/>
                    </w:rPr>
                    <w:t>9</w:t>
                  </w:r>
                </w:p>
              </w:tc>
            </w:tr>
            <w:tr w:rsidR="006E391F" w:rsidRPr="00BC1144" w:rsidTr="00336FA0">
              <w:tc>
                <w:tcPr>
                  <w:tcW w:w="2500" w:type="pct"/>
                </w:tcPr>
                <w:p w:rsidR="006E391F" w:rsidRPr="00BC1144" w:rsidRDefault="006E391F" w:rsidP="00336FA0">
                  <w:pPr>
                    <w:pStyle w:val="TableBodyText"/>
                    <w:ind w:left="227"/>
                    <w:jc w:val="left"/>
                  </w:pPr>
                  <w:r w:rsidRPr="00BC1144">
                    <w:rPr>
                      <w:i/>
                    </w:rPr>
                    <w:t>Interaction term (hours * attend year 12)</w:t>
                  </w:r>
                </w:p>
              </w:tc>
              <w:tc>
                <w:tcPr>
                  <w:tcW w:w="511" w:type="pct"/>
                  <w:vAlign w:val="bottom"/>
                </w:tcPr>
                <w:p w:rsidR="006E391F" w:rsidRPr="00BC1144" w:rsidRDefault="006E391F" w:rsidP="00336FA0">
                  <w:pPr>
                    <w:pStyle w:val="TableBodyText"/>
                    <w:rPr>
                      <w:i/>
                    </w:rPr>
                  </w:pPr>
                  <w:r w:rsidRPr="00BC1144">
                    <w:rPr>
                      <w:i/>
                    </w:rPr>
                    <w:noBreakHyphen/>
                    <w:t>1</w:t>
                  </w:r>
                </w:p>
              </w:tc>
              <w:tc>
                <w:tcPr>
                  <w:tcW w:w="995" w:type="pct"/>
                  <w:vAlign w:val="bottom"/>
                </w:tcPr>
                <w:p w:rsidR="006E391F" w:rsidRPr="00BC1144" w:rsidRDefault="006E391F" w:rsidP="00336FA0">
                  <w:pPr>
                    <w:pStyle w:val="TableBodyText"/>
                    <w:rPr>
                      <w:i/>
                    </w:rPr>
                  </w:pPr>
                  <w:r w:rsidRPr="00BC1144">
                    <w:rPr>
                      <w:i/>
                    </w:rPr>
                    <w:t>1</w:t>
                  </w:r>
                </w:p>
              </w:tc>
              <w:tc>
                <w:tcPr>
                  <w:tcW w:w="994" w:type="pct"/>
                  <w:vAlign w:val="bottom"/>
                </w:tcPr>
                <w:p w:rsidR="006E391F" w:rsidRPr="00BC1144" w:rsidRDefault="006E391F" w:rsidP="00336FA0">
                  <w:pPr>
                    <w:pStyle w:val="TableBodyText"/>
                    <w:ind w:right="28"/>
                    <w:rPr>
                      <w:i/>
                    </w:rPr>
                  </w:pPr>
                  <w:r w:rsidRPr="00BC1144">
                    <w:rPr>
                      <w:i/>
                    </w:rPr>
                    <w:noBreakHyphen/>
                    <w:t>5</w:t>
                  </w:r>
                </w:p>
              </w:tc>
            </w:tr>
            <w:tr w:rsidR="006E391F" w:rsidRPr="00BC1144" w:rsidTr="00336FA0">
              <w:tc>
                <w:tcPr>
                  <w:tcW w:w="2500" w:type="pct"/>
                </w:tcPr>
                <w:p w:rsidR="006E391F" w:rsidRPr="00BC1144" w:rsidRDefault="006E391F" w:rsidP="00336FA0">
                  <w:pPr>
                    <w:pStyle w:val="TableBodyText"/>
                    <w:ind w:left="227"/>
                    <w:jc w:val="left"/>
                  </w:pPr>
                  <w:r w:rsidRPr="00BC1144">
                    <w:rPr>
                      <w:i/>
                    </w:rPr>
                    <w:t>State</w:t>
                  </w:r>
                </w:p>
              </w:tc>
              <w:tc>
                <w:tcPr>
                  <w:tcW w:w="511"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0</w:t>
                  </w:r>
                </w:p>
              </w:tc>
              <w:tc>
                <w:tcPr>
                  <w:tcW w:w="994" w:type="pct"/>
                  <w:vAlign w:val="bottom"/>
                </w:tcPr>
                <w:p w:rsidR="006E391F" w:rsidRPr="00BC1144" w:rsidRDefault="006E391F" w:rsidP="00336FA0">
                  <w:pPr>
                    <w:pStyle w:val="TableBodyText"/>
                    <w:ind w:right="28"/>
                    <w:rPr>
                      <w:i/>
                    </w:rPr>
                  </w:pPr>
                  <w:r w:rsidRPr="00BC1144">
                    <w:rPr>
                      <w:i/>
                    </w:rPr>
                    <w:t>0</w:t>
                  </w:r>
                </w:p>
              </w:tc>
            </w:tr>
            <w:tr w:rsidR="006E391F" w:rsidRPr="00BC1144" w:rsidTr="00336FA0">
              <w:tc>
                <w:tcPr>
                  <w:tcW w:w="2500" w:type="pct"/>
                </w:tcPr>
                <w:p w:rsidR="006E391F" w:rsidRPr="00BC1144" w:rsidRDefault="006E391F" w:rsidP="00336FA0">
                  <w:pPr>
                    <w:pStyle w:val="TableBodyText"/>
                    <w:ind w:left="227"/>
                    <w:jc w:val="left"/>
                  </w:pPr>
                  <w:r w:rsidRPr="00BC1144">
                    <w:rPr>
                      <w:i/>
                    </w:rPr>
                    <w:t>Indigenous status</w:t>
                  </w:r>
                </w:p>
              </w:tc>
              <w:tc>
                <w:tcPr>
                  <w:tcW w:w="511" w:type="pct"/>
                  <w:vAlign w:val="bottom"/>
                </w:tcPr>
                <w:p w:rsidR="006E391F" w:rsidRPr="00BC1144" w:rsidRDefault="006E391F" w:rsidP="00336FA0">
                  <w:pPr>
                    <w:pStyle w:val="TableBodyText"/>
                    <w:rPr>
                      <w:i/>
                    </w:rPr>
                  </w:pPr>
                  <w:r w:rsidRPr="00BC1144">
                    <w:rPr>
                      <w:i/>
                    </w:rPr>
                    <w:t>0</w:t>
                  </w:r>
                </w:p>
              </w:tc>
              <w:tc>
                <w:tcPr>
                  <w:tcW w:w="995" w:type="pct"/>
                  <w:vAlign w:val="bottom"/>
                </w:tcPr>
                <w:p w:rsidR="006E391F" w:rsidRPr="00BC1144" w:rsidRDefault="006E391F" w:rsidP="00336FA0">
                  <w:pPr>
                    <w:pStyle w:val="TableBodyText"/>
                    <w:rPr>
                      <w:i/>
                    </w:rPr>
                  </w:pPr>
                  <w:r w:rsidRPr="00BC1144">
                    <w:rPr>
                      <w:i/>
                    </w:rPr>
                    <w:t>1</w:t>
                  </w:r>
                </w:p>
              </w:tc>
              <w:tc>
                <w:tcPr>
                  <w:tcW w:w="994" w:type="pct"/>
                  <w:vAlign w:val="bottom"/>
                </w:tcPr>
                <w:p w:rsidR="006E391F" w:rsidRPr="00BC1144" w:rsidRDefault="006E391F" w:rsidP="00336FA0">
                  <w:pPr>
                    <w:pStyle w:val="TableBodyText"/>
                    <w:ind w:right="28"/>
                    <w:rPr>
                      <w:i/>
                    </w:rPr>
                  </w:pPr>
                  <w:r w:rsidRPr="00BC1144">
                    <w:rPr>
                      <w:i/>
                    </w:rPr>
                    <w:t>1</w:t>
                  </w:r>
                </w:p>
              </w:tc>
            </w:tr>
            <w:tr w:rsidR="006E391F" w:rsidRPr="00BC1144" w:rsidTr="00336FA0">
              <w:tc>
                <w:tcPr>
                  <w:tcW w:w="2500" w:type="pct"/>
                  <w:tcBorders>
                    <w:bottom w:val="single" w:sz="4" w:space="0" w:color="BFBFBF"/>
                  </w:tcBorders>
                </w:tcPr>
                <w:p w:rsidR="006E391F" w:rsidRPr="00BC1144" w:rsidRDefault="006E391F" w:rsidP="00336FA0">
                  <w:pPr>
                    <w:pStyle w:val="TableBodyText"/>
                    <w:jc w:val="left"/>
                  </w:pPr>
                  <w:r w:rsidRPr="00BC1144">
                    <w:t>Specific to first in family</w:t>
                  </w:r>
                </w:p>
              </w:tc>
              <w:tc>
                <w:tcPr>
                  <w:tcW w:w="511" w:type="pct"/>
                  <w:tcBorders>
                    <w:bottom w:val="single" w:sz="4" w:space="0" w:color="BFBFBF"/>
                  </w:tcBorders>
                  <w:vAlign w:val="bottom"/>
                </w:tcPr>
                <w:p w:rsidR="006E391F" w:rsidRPr="00BC1144" w:rsidRDefault="006E391F" w:rsidP="00336FA0">
                  <w:pPr>
                    <w:pStyle w:val="TableBodyText"/>
                  </w:pPr>
                  <w:r w:rsidRPr="00BC1144">
                    <w:rPr>
                      <w:color w:val="000000"/>
                    </w:rPr>
                    <w:t>38</w:t>
                  </w:r>
                </w:p>
              </w:tc>
              <w:tc>
                <w:tcPr>
                  <w:tcW w:w="995" w:type="pct"/>
                  <w:tcBorders>
                    <w:bottom w:val="single" w:sz="4" w:space="0" w:color="BFBFBF"/>
                  </w:tcBorders>
                  <w:vAlign w:val="bottom"/>
                </w:tcPr>
                <w:p w:rsidR="006E391F" w:rsidRPr="00BC1144" w:rsidRDefault="006E391F" w:rsidP="00336FA0">
                  <w:pPr>
                    <w:pStyle w:val="TableBodyText"/>
                  </w:pPr>
                  <w:r w:rsidRPr="00BC1144">
                    <w:rPr>
                      <w:color w:val="000000"/>
                    </w:rPr>
                    <w:t>33</w:t>
                  </w:r>
                </w:p>
              </w:tc>
              <w:tc>
                <w:tcPr>
                  <w:tcW w:w="994" w:type="pct"/>
                  <w:tcBorders>
                    <w:bottom w:val="single" w:sz="4" w:space="0" w:color="BFBFBF"/>
                  </w:tcBorders>
                  <w:vAlign w:val="bottom"/>
                </w:tcPr>
                <w:p w:rsidR="006E391F" w:rsidRPr="00BC1144" w:rsidRDefault="006E391F" w:rsidP="00336FA0">
                  <w:pPr>
                    <w:pStyle w:val="TableBodyText"/>
                    <w:ind w:right="28"/>
                  </w:pPr>
                  <w:r w:rsidRPr="00BC1144">
                    <w:rPr>
                      <w:color w:val="000000"/>
                    </w:rPr>
                    <w:t>36</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rPr>
          <w:trHeight w:val="53"/>
        </w:trPr>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w:t>
            </w:r>
            <w:r w:rsidRPr="00BC1144">
              <w:rPr>
                <w:b w:val="0"/>
                <w:noProof/>
              </w:rPr>
              <w:t>10</w:t>
            </w:r>
            <w:r w:rsidRPr="00BC1144">
              <w:tab/>
              <w:t>Population composition of equity groups and total</w:t>
            </w:r>
          </w:p>
          <w:p w:rsidR="006E391F" w:rsidRPr="00BC1144" w:rsidRDefault="006E391F" w:rsidP="00336FA0">
            <w:pPr>
              <w:pStyle w:val="Subtitle"/>
            </w:pPr>
            <w:r w:rsidRPr="00BC1144">
              <w:t>Per cent of group</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72"/>
              <w:gridCol w:w="2572"/>
              <w:gridCol w:w="1002"/>
              <w:gridCol w:w="1180"/>
              <w:gridCol w:w="1179"/>
            </w:tblGrid>
            <w:tr w:rsidR="006E391F" w:rsidRPr="00BC1144" w:rsidTr="00E349EB">
              <w:trPr>
                <w:tblHeader/>
              </w:trPr>
              <w:tc>
                <w:tcPr>
                  <w:tcW w:w="1512" w:type="pct"/>
                  <w:tcBorders>
                    <w:top w:val="single" w:sz="6" w:space="0" w:color="BFBFBF"/>
                    <w:bottom w:val="single" w:sz="6" w:space="0" w:color="BFBFBF"/>
                  </w:tcBorders>
                </w:tcPr>
                <w:p w:rsidR="006E391F" w:rsidRPr="00BC1144" w:rsidRDefault="006E391F" w:rsidP="00336FA0">
                  <w:pPr>
                    <w:pStyle w:val="TableColumnHeading"/>
                    <w:jc w:val="left"/>
                  </w:pPr>
                  <w:r w:rsidRPr="00BC1144">
                    <w:t>Equity group and total</w:t>
                  </w:r>
                </w:p>
              </w:tc>
              <w:tc>
                <w:tcPr>
                  <w:tcW w:w="1512"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Group composition</w:t>
                  </w:r>
                </w:p>
              </w:tc>
              <w:tc>
                <w:tcPr>
                  <w:tcW w:w="589" w:type="pct"/>
                  <w:tcBorders>
                    <w:top w:val="single" w:sz="6" w:space="0" w:color="BFBFBF"/>
                    <w:bottom w:val="single" w:sz="6" w:space="0" w:color="BFBFBF"/>
                  </w:tcBorders>
                </w:tcPr>
                <w:p w:rsidR="006E391F" w:rsidRPr="00BC1144" w:rsidRDefault="006E391F" w:rsidP="00336FA0">
                  <w:pPr>
                    <w:pStyle w:val="TableColumnHeading"/>
                  </w:pPr>
                  <w:r w:rsidRPr="00BC1144">
                    <w:t>2003</w:t>
                  </w:r>
                </w:p>
              </w:tc>
              <w:tc>
                <w:tcPr>
                  <w:tcW w:w="69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2006</w:t>
                  </w:r>
                </w:p>
              </w:tc>
              <w:tc>
                <w:tcPr>
                  <w:tcW w:w="693"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2009</w:t>
                  </w:r>
                </w:p>
              </w:tc>
            </w:tr>
            <w:tr w:rsidR="006E391F" w:rsidRPr="00BC1144" w:rsidTr="00E349EB">
              <w:tc>
                <w:tcPr>
                  <w:tcW w:w="1512"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p>
              </w:tc>
              <w:tc>
                <w:tcPr>
                  <w:tcW w:w="1512"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p>
              </w:tc>
              <w:tc>
                <w:tcPr>
                  <w:tcW w:w="589"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pPr>
                  <w:r w:rsidRPr="00BC1144">
                    <w:rPr>
                      <w:color w:val="000000"/>
                    </w:rPr>
                    <w:t xml:space="preserve">% </w:t>
                  </w:r>
                </w:p>
              </w:tc>
              <w:tc>
                <w:tcPr>
                  <w:tcW w:w="694"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pPr>
                  <w:r w:rsidRPr="00BC1144">
                    <w:rPr>
                      <w:color w:val="000000"/>
                    </w:rPr>
                    <w:t xml:space="preserve">% </w:t>
                  </w:r>
                </w:p>
              </w:tc>
              <w:tc>
                <w:tcPr>
                  <w:tcW w:w="693" w:type="pct"/>
                  <w:tcBorders>
                    <w:top w:val="single" w:sz="6" w:space="0" w:color="BFBFBF"/>
                  </w:tcBorders>
                  <w:shd w:val="clear" w:color="auto" w:fill="F2F2F2" w:themeFill="background1" w:themeFillShade="F2"/>
                  <w:vAlign w:val="bottom"/>
                </w:tcPr>
                <w:p w:rsidR="006E391F" w:rsidRPr="00BC1144" w:rsidRDefault="006E391F" w:rsidP="00336FA0">
                  <w:pPr>
                    <w:pStyle w:val="TableUnitsRow"/>
                    <w:ind w:right="28"/>
                  </w:pPr>
                  <w:r w:rsidRPr="00BC1144">
                    <w:rPr>
                      <w:color w:val="000000"/>
                    </w:rPr>
                    <w:t xml:space="preserve">% </w:t>
                  </w:r>
                </w:p>
              </w:tc>
            </w:tr>
            <w:tr w:rsidR="006E391F" w:rsidRPr="00BC1144" w:rsidTr="00E349EB">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First in family</w:t>
                  </w:r>
                </w:p>
              </w:tc>
              <w:tc>
                <w:tcPr>
                  <w:tcW w:w="589" w:type="pct"/>
                </w:tcPr>
                <w:p w:rsidR="006E391F" w:rsidRPr="00BC1144" w:rsidRDefault="006E391F" w:rsidP="00336FA0">
                  <w:pPr>
                    <w:pStyle w:val="TableUnitsRow"/>
                  </w:pPr>
                  <w:r w:rsidRPr="00BC1144">
                    <w:t>77</w:t>
                  </w:r>
                </w:p>
              </w:tc>
              <w:tc>
                <w:tcPr>
                  <w:tcW w:w="694" w:type="pct"/>
                </w:tcPr>
                <w:p w:rsidR="006E391F" w:rsidRPr="00BC1144" w:rsidRDefault="006E391F" w:rsidP="00336FA0">
                  <w:pPr>
                    <w:pStyle w:val="TableUnitsRow"/>
                  </w:pPr>
                  <w:r w:rsidRPr="00BC1144">
                    <w:t>80</w:t>
                  </w:r>
                </w:p>
              </w:tc>
              <w:tc>
                <w:tcPr>
                  <w:tcW w:w="693" w:type="pct"/>
                </w:tcPr>
                <w:p w:rsidR="006E391F" w:rsidRPr="00BC1144" w:rsidRDefault="006E391F" w:rsidP="00336FA0">
                  <w:pPr>
                    <w:pStyle w:val="TableUnitsRow"/>
                  </w:pPr>
                  <w:r w:rsidRPr="00BC1144">
                    <w:t>82</w:t>
                  </w:r>
                </w:p>
              </w:tc>
            </w:tr>
            <w:tr w:rsidR="006E391F" w:rsidRPr="00BC1144" w:rsidTr="00336FA0">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Government school</w:t>
                  </w:r>
                </w:p>
              </w:tc>
              <w:tc>
                <w:tcPr>
                  <w:tcW w:w="589" w:type="pct"/>
                </w:tcPr>
                <w:p w:rsidR="006E391F" w:rsidRPr="00BC1144" w:rsidRDefault="006E391F" w:rsidP="00336FA0">
                  <w:pPr>
                    <w:pStyle w:val="TableUnitsRow"/>
                    <w:rPr>
                      <w:color w:val="000000"/>
                    </w:rPr>
                  </w:pPr>
                  <w:r w:rsidRPr="00BC1144">
                    <w:t>81</w:t>
                  </w:r>
                </w:p>
              </w:tc>
              <w:tc>
                <w:tcPr>
                  <w:tcW w:w="694" w:type="pct"/>
                </w:tcPr>
                <w:p w:rsidR="006E391F" w:rsidRPr="00BC1144" w:rsidRDefault="006E391F" w:rsidP="00336FA0">
                  <w:pPr>
                    <w:pStyle w:val="TableUnitsRow"/>
                    <w:rPr>
                      <w:color w:val="000000"/>
                    </w:rPr>
                  </w:pPr>
                  <w:r w:rsidRPr="00BC1144">
                    <w:t>86</w:t>
                  </w:r>
                </w:p>
              </w:tc>
              <w:tc>
                <w:tcPr>
                  <w:tcW w:w="693" w:type="pct"/>
                </w:tcPr>
                <w:p w:rsidR="006E391F" w:rsidRPr="00BC1144" w:rsidRDefault="006E391F" w:rsidP="00336FA0">
                  <w:pPr>
                    <w:pStyle w:val="TableUnitsRow"/>
                    <w:rPr>
                      <w:color w:val="000000"/>
                    </w:rPr>
                  </w:pPr>
                  <w:r w:rsidRPr="00BC1144">
                    <w:t>74</w:t>
                  </w:r>
                </w:p>
              </w:tc>
            </w:tr>
            <w:tr w:rsidR="006E391F" w:rsidRPr="00BC1144" w:rsidTr="00336FA0">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Low neighbourhood SES</w:t>
                  </w:r>
                </w:p>
              </w:tc>
              <w:tc>
                <w:tcPr>
                  <w:tcW w:w="589" w:type="pct"/>
                </w:tcPr>
                <w:p w:rsidR="006E391F" w:rsidRPr="00BC1144" w:rsidRDefault="006E391F" w:rsidP="00336FA0">
                  <w:pPr>
                    <w:pStyle w:val="TableUnitsRow"/>
                    <w:rPr>
                      <w:color w:val="000000"/>
                    </w:rPr>
                  </w:pPr>
                  <w:r w:rsidRPr="00BC1144">
                    <w:t>39</w:t>
                  </w:r>
                </w:p>
              </w:tc>
              <w:tc>
                <w:tcPr>
                  <w:tcW w:w="694" w:type="pct"/>
                </w:tcPr>
                <w:p w:rsidR="006E391F" w:rsidRPr="00BC1144" w:rsidRDefault="006E391F" w:rsidP="00336FA0">
                  <w:pPr>
                    <w:pStyle w:val="TableUnitsRow"/>
                    <w:rPr>
                      <w:color w:val="000000"/>
                    </w:rPr>
                  </w:pPr>
                  <w:r w:rsidRPr="00BC1144">
                    <w:t>48</w:t>
                  </w:r>
                </w:p>
              </w:tc>
              <w:tc>
                <w:tcPr>
                  <w:tcW w:w="693" w:type="pct"/>
                </w:tcPr>
                <w:p w:rsidR="006E391F" w:rsidRPr="00BC1144" w:rsidRDefault="006E391F" w:rsidP="00336FA0">
                  <w:pPr>
                    <w:pStyle w:val="TableUnitsRow"/>
                    <w:rPr>
                      <w:color w:val="000000"/>
                    </w:rPr>
                  </w:pPr>
                  <w:r w:rsidRPr="00BC1144">
                    <w:t>41</w:t>
                  </w:r>
                </w:p>
              </w:tc>
            </w:tr>
            <w:tr w:rsidR="006E391F" w:rsidRPr="00BC1144" w:rsidTr="00336FA0">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Low PISA</w:t>
                  </w:r>
                </w:p>
              </w:tc>
              <w:tc>
                <w:tcPr>
                  <w:tcW w:w="589" w:type="pct"/>
                </w:tcPr>
                <w:p w:rsidR="006E391F" w:rsidRPr="00BC1144" w:rsidRDefault="006E391F" w:rsidP="00336FA0">
                  <w:pPr>
                    <w:pStyle w:val="TableUnitsRow"/>
                    <w:rPr>
                      <w:color w:val="000000"/>
                    </w:rPr>
                  </w:pPr>
                  <w:r w:rsidRPr="00BC1144">
                    <w:t>51</w:t>
                  </w:r>
                </w:p>
              </w:tc>
              <w:tc>
                <w:tcPr>
                  <w:tcW w:w="694" w:type="pct"/>
                </w:tcPr>
                <w:p w:rsidR="006E391F" w:rsidRPr="00BC1144" w:rsidRDefault="006E391F" w:rsidP="00336FA0">
                  <w:pPr>
                    <w:pStyle w:val="TableUnitsRow"/>
                    <w:rPr>
                      <w:color w:val="000000"/>
                    </w:rPr>
                  </w:pPr>
                  <w:r w:rsidRPr="00BC1144">
                    <w:t>43</w:t>
                  </w:r>
                </w:p>
              </w:tc>
              <w:tc>
                <w:tcPr>
                  <w:tcW w:w="693" w:type="pct"/>
                </w:tcPr>
                <w:p w:rsidR="006E391F" w:rsidRPr="00BC1144" w:rsidRDefault="006E391F" w:rsidP="00336FA0">
                  <w:pPr>
                    <w:pStyle w:val="TableUnitsRow"/>
                    <w:rPr>
                      <w:color w:val="000000"/>
                    </w:rPr>
                  </w:pPr>
                  <w:r w:rsidRPr="00BC1144">
                    <w:t>35</w:t>
                  </w:r>
                </w:p>
              </w:tc>
            </w:tr>
            <w:tr w:rsidR="006E391F" w:rsidRPr="00BC1144" w:rsidTr="00336FA0">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Low school SES</w:t>
                  </w:r>
                </w:p>
              </w:tc>
              <w:tc>
                <w:tcPr>
                  <w:tcW w:w="589" w:type="pct"/>
                </w:tcPr>
                <w:p w:rsidR="006E391F" w:rsidRPr="00BC1144" w:rsidRDefault="006E391F" w:rsidP="00336FA0">
                  <w:pPr>
                    <w:pStyle w:val="TableUnitsRow"/>
                    <w:rPr>
                      <w:color w:val="000000"/>
                    </w:rPr>
                  </w:pPr>
                  <w:r w:rsidRPr="00BC1144">
                    <w:t>37</w:t>
                  </w:r>
                </w:p>
              </w:tc>
              <w:tc>
                <w:tcPr>
                  <w:tcW w:w="694" w:type="pct"/>
                </w:tcPr>
                <w:p w:rsidR="006E391F" w:rsidRPr="00BC1144" w:rsidRDefault="006E391F" w:rsidP="00336FA0">
                  <w:pPr>
                    <w:pStyle w:val="TableUnitsRow"/>
                    <w:rPr>
                      <w:color w:val="000000"/>
                    </w:rPr>
                  </w:pPr>
                  <w:r w:rsidRPr="00BC1144">
                    <w:t>35</w:t>
                  </w:r>
                </w:p>
              </w:tc>
              <w:tc>
                <w:tcPr>
                  <w:tcW w:w="693" w:type="pct"/>
                </w:tcPr>
                <w:p w:rsidR="006E391F" w:rsidRPr="00BC1144" w:rsidRDefault="006E391F" w:rsidP="00336FA0">
                  <w:pPr>
                    <w:pStyle w:val="TableUnitsRow"/>
                    <w:rPr>
                      <w:color w:val="000000"/>
                    </w:rPr>
                  </w:pPr>
                  <w:r w:rsidRPr="00BC1144">
                    <w:t>43</w:t>
                  </w:r>
                </w:p>
              </w:tc>
            </w:tr>
            <w:tr w:rsidR="006E391F" w:rsidRPr="00BC1144" w:rsidTr="00336FA0">
              <w:tc>
                <w:tcPr>
                  <w:tcW w:w="1512" w:type="pct"/>
                </w:tcPr>
                <w:p w:rsidR="006E391F" w:rsidRPr="00BC1144" w:rsidRDefault="006E391F" w:rsidP="00336FA0">
                  <w:pPr>
                    <w:pStyle w:val="TableUnitsRow"/>
                    <w:jc w:val="left"/>
                    <w:rPr>
                      <w:color w:val="000000"/>
                    </w:rPr>
                  </w:pPr>
                  <w:r w:rsidRPr="00BC1144">
                    <w:t>Indigenous</w:t>
                  </w:r>
                </w:p>
              </w:tc>
              <w:tc>
                <w:tcPr>
                  <w:tcW w:w="1512" w:type="pct"/>
                </w:tcPr>
                <w:p w:rsidR="006E391F" w:rsidRPr="00BC1144" w:rsidRDefault="006E391F" w:rsidP="00336FA0">
                  <w:pPr>
                    <w:pStyle w:val="TableUnitsRow"/>
                    <w:jc w:val="left"/>
                    <w:rPr>
                      <w:color w:val="000000"/>
                    </w:rPr>
                  </w:pPr>
                  <w:r w:rsidRPr="00BC1144">
                    <w:t>Not attend year 12</w:t>
                  </w:r>
                </w:p>
              </w:tc>
              <w:tc>
                <w:tcPr>
                  <w:tcW w:w="589" w:type="pct"/>
                </w:tcPr>
                <w:p w:rsidR="006E391F" w:rsidRPr="00BC1144" w:rsidRDefault="006E391F" w:rsidP="00336FA0">
                  <w:pPr>
                    <w:pStyle w:val="TableUnitsRow"/>
                    <w:rPr>
                      <w:color w:val="000000"/>
                    </w:rPr>
                  </w:pPr>
                  <w:r w:rsidRPr="00BC1144">
                    <w:t>19</w:t>
                  </w:r>
                </w:p>
              </w:tc>
              <w:tc>
                <w:tcPr>
                  <w:tcW w:w="694" w:type="pct"/>
                </w:tcPr>
                <w:p w:rsidR="006E391F" w:rsidRPr="00BC1144" w:rsidRDefault="006E391F" w:rsidP="00336FA0">
                  <w:pPr>
                    <w:pStyle w:val="TableUnitsRow"/>
                    <w:rPr>
                      <w:color w:val="000000"/>
                    </w:rPr>
                  </w:pPr>
                  <w:r w:rsidRPr="00BC1144">
                    <w:t>11</w:t>
                  </w:r>
                </w:p>
              </w:tc>
              <w:tc>
                <w:tcPr>
                  <w:tcW w:w="693" w:type="pct"/>
                </w:tcPr>
                <w:p w:rsidR="006E391F" w:rsidRPr="00BC1144" w:rsidRDefault="006E391F" w:rsidP="00336FA0">
                  <w:pPr>
                    <w:pStyle w:val="TableUnitsRow"/>
                    <w:rPr>
                      <w:color w:val="000000"/>
                    </w:rPr>
                  </w:pPr>
                  <w:r w:rsidRPr="00BC1144">
                    <w:t>22</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First in family</w:t>
                  </w:r>
                </w:p>
              </w:tc>
              <w:tc>
                <w:tcPr>
                  <w:tcW w:w="589" w:type="pct"/>
                </w:tcPr>
                <w:p w:rsidR="006E391F" w:rsidRPr="00BC1144" w:rsidRDefault="006E391F" w:rsidP="00336FA0">
                  <w:pPr>
                    <w:pStyle w:val="TableUnitsRow"/>
                    <w:rPr>
                      <w:color w:val="000000"/>
                    </w:rPr>
                  </w:pPr>
                  <w:r w:rsidRPr="00BC1144">
                    <w:t>68</w:t>
                  </w:r>
                </w:p>
              </w:tc>
              <w:tc>
                <w:tcPr>
                  <w:tcW w:w="694" w:type="pct"/>
                </w:tcPr>
                <w:p w:rsidR="006E391F" w:rsidRPr="00BC1144" w:rsidRDefault="006E391F" w:rsidP="00336FA0">
                  <w:pPr>
                    <w:pStyle w:val="TableUnitsRow"/>
                    <w:rPr>
                      <w:color w:val="000000"/>
                    </w:rPr>
                  </w:pPr>
                  <w:r w:rsidRPr="00BC1144">
                    <w:t>73</w:t>
                  </w:r>
                </w:p>
              </w:tc>
              <w:tc>
                <w:tcPr>
                  <w:tcW w:w="693" w:type="pct"/>
                </w:tcPr>
                <w:p w:rsidR="006E391F" w:rsidRPr="00BC1144" w:rsidRDefault="006E391F" w:rsidP="00336FA0">
                  <w:pPr>
                    <w:pStyle w:val="TableUnitsRow"/>
                    <w:rPr>
                      <w:color w:val="000000"/>
                    </w:rPr>
                  </w:pPr>
                  <w:r w:rsidRPr="00BC1144">
                    <w:t>70</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Government school</w:t>
                  </w:r>
                </w:p>
              </w:tc>
              <w:tc>
                <w:tcPr>
                  <w:tcW w:w="589" w:type="pct"/>
                </w:tcPr>
                <w:p w:rsidR="006E391F" w:rsidRPr="00BC1144" w:rsidRDefault="006E391F" w:rsidP="00336FA0">
                  <w:pPr>
                    <w:pStyle w:val="TableUnitsRow"/>
                    <w:rPr>
                      <w:color w:val="000000"/>
                    </w:rPr>
                  </w:pPr>
                  <w:r w:rsidRPr="00BC1144">
                    <w:t>69</w:t>
                  </w:r>
                </w:p>
              </w:tc>
              <w:tc>
                <w:tcPr>
                  <w:tcW w:w="694" w:type="pct"/>
                </w:tcPr>
                <w:p w:rsidR="006E391F" w:rsidRPr="00BC1144" w:rsidRDefault="006E391F" w:rsidP="00336FA0">
                  <w:pPr>
                    <w:pStyle w:val="TableUnitsRow"/>
                    <w:rPr>
                      <w:color w:val="000000"/>
                    </w:rPr>
                  </w:pPr>
                  <w:r w:rsidRPr="00BC1144">
                    <w:t>69</w:t>
                  </w:r>
                </w:p>
              </w:tc>
              <w:tc>
                <w:tcPr>
                  <w:tcW w:w="693" w:type="pct"/>
                </w:tcPr>
                <w:p w:rsidR="006E391F" w:rsidRPr="00BC1144" w:rsidRDefault="006E391F" w:rsidP="00336FA0">
                  <w:pPr>
                    <w:pStyle w:val="TableUnitsRow"/>
                    <w:rPr>
                      <w:color w:val="000000"/>
                    </w:rPr>
                  </w:pPr>
                  <w:r w:rsidRPr="00BC1144">
                    <w:t>65</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Low neighbourhood SES</w:t>
                  </w:r>
                </w:p>
              </w:tc>
              <w:tc>
                <w:tcPr>
                  <w:tcW w:w="589" w:type="pct"/>
                </w:tcPr>
                <w:p w:rsidR="006E391F" w:rsidRPr="00BC1144" w:rsidRDefault="006E391F" w:rsidP="00336FA0">
                  <w:pPr>
                    <w:pStyle w:val="TableUnitsRow"/>
                    <w:rPr>
                      <w:color w:val="000000"/>
                    </w:rPr>
                  </w:pPr>
                  <w:r w:rsidRPr="00BC1144">
                    <w:t>43</w:t>
                  </w:r>
                </w:p>
              </w:tc>
              <w:tc>
                <w:tcPr>
                  <w:tcW w:w="694" w:type="pct"/>
                </w:tcPr>
                <w:p w:rsidR="006E391F" w:rsidRPr="00BC1144" w:rsidRDefault="006E391F" w:rsidP="00336FA0">
                  <w:pPr>
                    <w:pStyle w:val="TableUnitsRow"/>
                    <w:rPr>
                      <w:color w:val="000000"/>
                    </w:rPr>
                  </w:pPr>
                  <w:r w:rsidRPr="00BC1144">
                    <w:t>39</w:t>
                  </w:r>
                </w:p>
              </w:tc>
              <w:tc>
                <w:tcPr>
                  <w:tcW w:w="693" w:type="pct"/>
                </w:tcPr>
                <w:p w:rsidR="006E391F" w:rsidRPr="00BC1144" w:rsidRDefault="006E391F" w:rsidP="00336FA0">
                  <w:pPr>
                    <w:pStyle w:val="TableUnitsRow"/>
                    <w:rPr>
                      <w:color w:val="000000"/>
                    </w:rPr>
                  </w:pPr>
                  <w:r w:rsidRPr="00BC1144">
                    <w:t>44</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Low PISA</w:t>
                  </w:r>
                </w:p>
              </w:tc>
              <w:tc>
                <w:tcPr>
                  <w:tcW w:w="589" w:type="pct"/>
                </w:tcPr>
                <w:p w:rsidR="006E391F" w:rsidRPr="00BC1144" w:rsidRDefault="006E391F" w:rsidP="00336FA0">
                  <w:pPr>
                    <w:pStyle w:val="TableUnitsRow"/>
                    <w:rPr>
                      <w:color w:val="000000"/>
                    </w:rPr>
                  </w:pPr>
                  <w:r w:rsidRPr="00BC1144">
                    <w:t>21</w:t>
                  </w:r>
                </w:p>
              </w:tc>
              <w:tc>
                <w:tcPr>
                  <w:tcW w:w="694" w:type="pct"/>
                </w:tcPr>
                <w:p w:rsidR="006E391F" w:rsidRPr="00BC1144" w:rsidRDefault="006E391F" w:rsidP="00336FA0">
                  <w:pPr>
                    <w:pStyle w:val="TableUnitsRow"/>
                    <w:rPr>
                      <w:color w:val="000000"/>
                    </w:rPr>
                  </w:pPr>
                  <w:r w:rsidRPr="00BC1144">
                    <w:t>27</w:t>
                  </w:r>
                </w:p>
              </w:tc>
              <w:tc>
                <w:tcPr>
                  <w:tcW w:w="693" w:type="pct"/>
                </w:tcPr>
                <w:p w:rsidR="006E391F" w:rsidRPr="00BC1144" w:rsidRDefault="006E391F" w:rsidP="00336FA0">
                  <w:pPr>
                    <w:pStyle w:val="TableUnitsRow"/>
                    <w:rPr>
                      <w:color w:val="000000"/>
                    </w:rPr>
                  </w:pPr>
                  <w:r w:rsidRPr="00BC1144">
                    <w:t>26</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Low school SES</w:t>
                  </w:r>
                </w:p>
              </w:tc>
              <w:tc>
                <w:tcPr>
                  <w:tcW w:w="589" w:type="pct"/>
                </w:tcPr>
                <w:p w:rsidR="006E391F" w:rsidRPr="00BC1144" w:rsidRDefault="006E391F" w:rsidP="00336FA0">
                  <w:pPr>
                    <w:pStyle w:val="TableUnitsRow"/>
                    <w:rPr>
                      <w:color w:val="000000"/>
                    </w:rPr>
                  </w:pPr>
                  <w:r w:rsidRPr="00BC1144">
                    <w:t>43</w:t>
                  </w:r>
                </w:p>
              </w:tc>
              <w:tc>
                <w:tcPr>
                  <w:tcW w:w="694" w:type="pct"/>
                </w:tcPr>
                <w:p w:rsidR="006E391F" w:rsidRPr="00BC1144" w:rsidRDefault="006E391F" w:rsidP="00336FA0">
                  <w:pPr>
                    <w:pStyle w:val="TableUnitsRow"/>
                    <w:rPr>
                      <w:color w:val="000000"/>
                    </w:rPr>
                  </w:pPr>
                  <w:r w:rsidRPr="00BC1144">
                    <w:t>38</w:t>
                  </w:r>
                </w:p>
              </w:tc>
              <w:tc>
                <w:tcPr>
                  <w:tcW w:w="693" w:type="pct"/>
                </w:tcPr>
                <w:p w:rsidR="006E391F" w:rsidRPr="00BC1144" w:rsidRDefault="006E391F" w:rsidP="00336FA0">
                  <w:pPr>
                    <w:pStyle w:val="TableUnitsRow"/>
                    <w:rPr>
                      <w:color w:val="000000"/>
                    </w:rPr>
                  </w:pPr>
                  <w:r w:rsidRPr="00BC1144">
                    <w:t>40</w:t>
                  </w:r>
                </w:p>
              </w:tc>
            </w:tr>
            <w:tr w:rsidR="006E391F" w:rsidRPr="00BC1144" w:rsidTr="00336FA0">
              <w:tc>
                <w:tcPr>
                  <w:tcW w:w="1512" w:type="pct"/>
                </w:tcPr>
                <w:p w:rsidR="006E391F" w:rsidRPr="00BC1144" w:rsidRDefault="006E391F" w:rsidP="00336FA0">
                  <w:pPr>
                    <w:pStyle w:val="TableUnitsRow"/>
                    <w:jc w:val="left"/>
                    <w:rPr>
                      <w:color w:val="000000"/>
                    </w:rPr>
                  </w:pPr>
                  <w:r w:rsidRPr="00BC1144">
                    <w:t>Regional or remote</w:t>
                  </w:r>
                </w:p>
              </w:tc>
              <w:tc>
                <w:tcPr>
                  <w:tcW w:w="1512" w:type="pct"/>
                </w:tcPr>
                <w:p w:rsidR="006E391F" w:rsidRPr="00BC1144" w:rsidRDefault="006E391F" w:rsidP="00336FA0">
                  <w:pPr>
                    <w:pStyle w:val="TableUnitsRow"/>
                    <w:jc w:val="left"/>
                    <w:rPr>
                      <w:color w:val="000000"/>
                    </w:rPr>
                  </w:pPr>
                  <w:r w:rsidRPr="00BC1144">
                    <w:t>Not attend year 12</w:t>
                  </w:r>
                </w:p>
              </w:tc>
              <w:tc>
                <w:tcPr>
                  <w:tcW w:w="589" w:type="pct"/>
                </w:tcPr>
                <w:p w:rsidR="006E391F" w:rsidRPr="00BC1144" w:rsidRDefault="006E391F" w:rsidP="00336FA0">
                  <w:pPr>
                    <w:pStyle w:val="TableUnitsRow"/>
                    <w:rPr>
                      <w:color w:val="000000"/>
                    </w:rPr>
                  </w:pPr>
                  <w:r w:rsidRPr="00BC1144">
                    <w:t>19</w:t>
                  </w:r>
                </w:p>
              </w:tc>
              <w:tc>
                <w:tcPr>
                  <w:tcW w:w="694" w:type="pct"/>
                </w:tcPr>
                <w:p w:rsidR="006E391F" w:rsidRPr="00BC1144" w:rsidRDefault="006E391F" w:rsidP="00336FA0">
                  <w:pPr>
                    <w:pStyle w:val="TableUnitsRow"/>
                    <w:rPr>
                      <w:color w:val="000000"/>
                    </w:rPr>
                  </w:pPr>
                  <w:r w:rsidRPr="00BC1144">
                    <w:t>17</w:t>
                  </w:r>
                </w:p>
              </w:tc>
              <w:tc>
                <w:tcPr>
                  <w:tcW w:w="693" w:type="pct"/>
                </w:tcPr>
                <w:p w:rsidR="006E391F" w:rsidRPr="00BC1144" w:rsidRDefault="006E391F" w:rsidP="00336FA0">
                  <w:pPr>
                    <w:pStyle w:val="TableUnitsRow"/>
                    <w:rPr>
                      <w:color w:val="000000"/>
                    </w:rPr>
                  </w:pPr>
                  <w:r w:rsidRPr="00BC1144">
                    <w:t>13</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First in family</w:t>
                  </w:r>
                </w:p>
              </w:tc>
              <w:tc>
                <w:tcPr>
                  <w:tcW w:w="589" w:type="pct"/>
                </w:tcPr>
                <w:p w:rsidR="006E391F" w:rsidRPr="00BC1144" w:rsidRDefault="006E391F" w:rsidP="00336FA0">
                  <w:pPr>
                    <w:pStyle w:val="TableUnitsRow"/>
                    <w:rPr>
                      <w:color w:val="000000"/>
                    </w:rPr>
                  </w:pPr>
                  <w:r w:rsidRPr="00BC1144">
                    <w:t>88</w:t>
                  </w:r>
                </w:p>
              </w:tc>
              <w:tc>
                <w:tcPr>
                  <w:tcW w:w="694" w:type="pct"/>
                </w:tcPr>
                <w:p w:rsidR="006E391F" w:rsidRPr="00BC1144" w:rsidRDefault="006E391F" w:rsidP="00336FA0">
                  <w:pPr>
                    <w:pStyle w:val="TableUnitsRow"/>
                    <w:rPr>
                      <w:color w:val="000000"/>
                    </w:rPr>
                  </w:pPr>
                  <w:r w:rsidRPr="00BC1144">
                    <w:t>88</w:t>
                  </w:r>
                </w:p>
              </w:tc>
              <w:tc>
                <w:tcPr>
                  <w:tcW w:w="693" w:type="pct"/>
                </w:tcPr>
                <w:p w:rsidR="006E391F" w:rsidRPr="00BC1144" w:rsidRDefault="006E391F" w:rsidP="00336FA0">
                  <w:pPr>
                    <w:pStyle w:val="TableUnitsRow"/>
                    <w:rPr>
                      <w:color w:val="000000"/>
                    </w:rPr>
                  </w:pPr>
                  <w:r w:rsidRPr="00BC1144">
                    <w:t>87</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Government school</w:t>
                  </w:r>
                </w:p>
              </w:tc>
              <w:tc>
                <w:tcPr>
                  <w:tcW w:w="589" w:type="pct"/>
                </w:tcPr>
                <w:p w:rsidR="006E391F" w:rsidRPr="00BC1144" w:rsidRDefault="006E391F" w:rsidP="00336FA0">
                  <w:pPr>
                    <w:pStyle w:val="TableUnitsRow"/>
                    <w:rPr>
                      <w:color w:val="000000"/>
                    </w:rPr>
                  </w:pPr>
                  <w:r w:rsidRPr="00BC1144">
                    <w:t>75</w:t>
                  </w:r>
                </w:p>
              </w:tc>
              <w:tc>
                <w:tcPr>
                  <w:tcW w:w="694" w:type="pct"/>
                </w:tcPr>
                <w:p w:rsidR="006E391F" w:rsidRPr="00BC1144" w:rsidRDefault="006E391F" w:rsidP="00336FA0">
                  <w:pPr>
                    <w:pStyle w:val="TableUnitsRow"/>
                    <w:rPr>
                      <w:color w:val="000000"/>
                    </w:rPr>
                  </w:pPr>
                  <w:r w:rsidRPr="00BC1144">
                    <w:t>76</w:t>
                  </w:r>
                </w:p>
              </w:tc>
              <w:tc>
                <w:tcPr>
                  <w:tcW w:w="693" w:type="pct"/>
                </w:tcPr>
                <w:p w:rsidR="006E391F" w:rsidRPr="00BC1144" w:rsidRDefault="006E391F" w:rsidP="00336FA0">
                  <w:pPr>
                    <w:pStyle w:val="TableUnitsRow"/>
                    <w:rPr>
                      <w:color w:val="000000"/>
                    </w:rPr>
                  </w:pPr>
                  <w:r w:rsidRPr="00BC1144">
                    <w:t>72</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Low neighbourhood SES</w:t>
                  </w:r>
                </w:p>
              </w:tc>
              <w:tc>
                <w:tcPr>
                  <w:tcW w:w="589" w:type="pct"/>
                </w:tcPr>
                <w:p w:rsidR="006E391F" w:rsidRPr="00BC1144" w:rsidRDefault="006E391F" w:rsidP="00336FA0">
                  <w:pPr>
                    <w:pStyle w:val="TableUnitsRow"/>
                    <w:rPr>
                      <w:color w:val="000000"/>
                    </w:rPr>
                  </w:pPr>
                  <w:r w:rsidRPr="00BC1144">
                    <w:t>36</w:t>
                  </w:r>
                </w:p>
              </w:tc>
              <w:tc>
                <w:tcPr>
                  <w:tcW w:w="694" w:type="pct"/>
                </w:tcPr>
                <w:p w:rsidR="006E391F" w:rsidRPr="00BC1144" w:rsidRDefault="006E391F" w:rsidP="00336FA0">
                  <w:pPr>
                    <w:pStyle w:val="TableUnitsRow"/>
                    <w:rPr>
                      <w:color w:val="000000"/>
                    </w:rPr>
                  </w:pPr>
                  <w:r w:rsidRPr="00BC1144">
                    <w:t>36</w:t>
                  </w:r>
                </w:p>
              </w:tc>
              <w:tc>
                <w:tcPr>
                  <w:tcW w:w="693" w:type="pct"/>
                </w:tcPr>
                <w:p w:rsidR="006E391F" w:rsidRPr="00BC1144" w:rsidRDefault="006E391F" w:rsidP="00336FA0">
                  <w:pPr>
                    <w:pStyle w:val="TableUnitsRow"/>
                    <w:rPr>
                      <w:color w:val="000000"/>
                    </w:rPr>
                  </w:pPr>
                  <w:r w:rsidRPr="00BC1144">
                    <w:t>40</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Low PISA</w:t>
                  </w:r>
                </w:p>
              </w:tc>
              <w:tc>
                <w:tcPr>
                  <w:tcW w:w="589" w:type="pct"/>
                </w:tcPr>
                <w:p w:rsidR="006E391F" w:rsidRPr="00BC1144" w:rsidRDefault="006E391F" w:rsidP="00336FA0">
                  <w:pPr>
                    <w:pStyle w:val="TableUnitsRow"/>
                    <w:rPr>
                      <w:color w:val="000000"/>
                    </w:rPr>
                  </w:pPr>
                  <w:r w:rsidRPr="00BC1144">
                    <w:t>35</w:t>
                  </w:r>
                </w:p>
              </w:tc>
              <w:tc>
                <w:tcPr>
                  <w:tcW w:w="694" w:type="pct"/>
                </w:tcPr>
                <w:p w:rsidR="006E391F" w:rsidRPr="00BC1144" w:rsidRDefault="006E391F" w:rsidP="00336FA0">
                  <w:pPr>
                    <w:pStyle w:val="TableUnitsRow"/>
                    <w:rPr>
                      <w:color w:val="000000"/>
                    </w:rPr>
                  </w:pPr>
                  <w:r w:rsidRPr="00BC1144">
                    <w:t>38</w:t>
                  </w:r>
                </w:p>
              </w:tc>
              <w:tc>
                <w:tcPr>
                  <w:tcW w:w="693" w:type="pct"/>
                </w:tcPr>
                <w:p w:rsidR="006E391F" w:rsidRPr="00BC1144" w:rsidRDefault="006E391F" w:rsidP="00336FA0">
                  <w:pPr>
                    <w:pStyle w:val="TableUnitsRow"/>
                    <w:rPr>
                      <w:color w:val="000000"/>
                    </w:rPr>
                  </w:pPr>
                  <w:r w:rsidRPr="00BC1144">
                    <w:t>34</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Low school SES</w:t>
                  </w:r>
                </w:p>
              </w:tc>
              <w:tc>
                <w:tcPr>
                  <w:tcW w:w="589" w:type="pct"/>
                </w:tcPr>
                <w:p w:rsidR="006E391F" w:rsidRPr="00BC1144" w:rsidRDefault="006E391F" w:rsidP="00336FA0">
                  <w:pPr>
                    <w:pStyle w:val="TableUnitsRow"/>
                    <w:rPr>
                      <w:color w:val="000000"/>
                    </w:rPr>
                  </w:pPr>
                  <w:r w:rsidRPr="00BC1144">
                    <w:t>45</w:t>
                  </w:r>
                </w:p>
              </w:tc>
              <w:tc>
                <w:tcPr>
                  <w:tcW w:w="694" w:type="pct"/>
                </w:tcPr>
                <w:p w:rsidR="006E391F" w:rsidRPr="00BC1144" w:rsidRDefault="006E391F" w:rsidP="00336FA0">
                  <w:pPr>
                    <w:pStyle w:val="TableUnitsRow"/>
                    <w:rPr>
                      <w:color w:val="000000"/>
                    </w:rPr>
                  </w:pPr>
                  <w:r w:rsidRPr="00BC1144">
                    <w:t>42</w:t>
                  </w:r>
                </w:p>
              </w:tc>
              <w:tc>
                <w:tcPr>
                  <w:tcW w:w="693" w:type="pct"/>
                </w:tcPr>
                <w:p w:rsidR="006E391F" w:rsidRPr="00BC1144" w:rsidRDefault="006E391F" w:rsidP="00336FA0">
                  <w:pPr>
                    <w:pStyle w:val="TableUnitsRow"/>
                    <w:rPr>
                      <w:color w:val="000000"/>
                    </w:rPr>
                  </w:pPr>
                  <w:r w:rsidRPr="00BC1144">
                    <w:t>47</w:t>
                  </w:r>
                </w:p>
              </w:tc>
            </w:tr>
            <w:tr w:rsidR="006E391F" w:rsidRPr="00BC1144" w:rsidTr="00336FA0">
              <w:tc>
                <w:tcPr>
                  <w:tcW w:w="1512" w:type="pct"/>
                </w:tcPr>
                <w:p w:rsidR="006E391F" w:rsidRPr="00BC1144" w:rsidRDefault="006E391F" w:rsidP="00336FA0">
                  <w:pPr>
                    <w:pStyle w:val="TableUnitsRow"/>
                    <w:jc w:val="left"/>
                    <w:rPr>
                      <w:color w:val="000000"/>
                    </w:rPr>
                  </w:pPr>
                  <w:r w:rsidRPr="00BC1144">
                    <w:t>Low SES</w:t>
                  </w:r>
                </w:p>
              </w:tc>
              <w:tc>
                <w:tcPr>
                  <w:tcW w:w="1512" w:type="pct"/>
                </w:tcPr>
                <w:p w:rsidR="006E391F" w:rsidRPr="00BC1144" w:rsidRDefault="006E391F" w:rsidP="00336FA0">
                  <w:pPr>
                    <w:pStyle w:val="TableUnitsRow"/>
                    <w:jc w:val="left"/>
                    <w:rPr>
                      <w:color w:val="000000"/>
                    </w:rPr>
                  </w:pPr>
                  <w:r w:rsidRPr="00BC1144">
                    <w:t>Not attend year 12</w:t>
                  </w:r>
                </w:p>
              </w:tc>
              <w:tc>
                <w:tcPr>
                  <w:tcW w:w="589" w:type="pct"/>
                </w:tcPr>
                <w:p w:rsidR="006E391F" w:rsidRPr="00BC1144" w:rsidRDefault="006E391F" w:rsidP="00336FA0">
                  <w:pPr>
                    <w:pStyle w:val="TableUnitsRow"/>
                    <w:rPr>
                      <w:color w:val="000000"/>
                    </w:rPr>
                  </w:pPr>
                  <w:r w:rsidRPr="00BC1144">
                    <w:t>20</w:t>
                  </w:r>
                </w:p>
              </w:tc>
              <w:tc>
                <w:tcPr>
                  <w:tcW w:w="694" w:type="pct"/>
                </w:tcPr>
                <w:p w:rsidR="006E391F" w:rsidRPr="00BC1144" w:rsidRDefault="006E391F" w:rsidP="00336FA0">
                  <w:pPr>
                    <w:pStyle w:val="TableUnitsRow"/>
                    <w:rPr>
                      <w:color w:val="000000"/>
                    </w:rPr>
                  </w:pPr>
                  <w:r w:rsidRPr="00BC1144">
                    <w:t>21</w:t>
                  </w:r>
                </w:p>
              </w:tc>
              <w:tc>
                <w:tcPr>
                  <w:tcW w:w="693" w:type="pct"/>
                </w:tcPr>
                <w:p w:rsidR="006E391F" w:rsidRPr="00BC1144" w:rsidRDefault="006E391F" w:rsidP="00336FA0">
                  <w:pPr>
                    <w:pStyle w:val="TableUnitsRow"/>
                    <w:rPr>
                      <w:color w:val="000000"/>
                    </w:rPr>
                  </w:pPr>
                  <w:r w:rsidRPr="00BC1144">
                    <w:t>15</w:t>
                  </w:r>
                </w:p>
              </w:tc>
            </w:tr>
            <w:tr w:rsidR="006E391F" w:rsidRPr="00BC1144" w:rsidTr="00336FA0">
              <w:tc>
                <w:tcPr>
                  <w:tcW w:w="1512" w:type="pct"/>
                </w:tcPr>
                <w:p w:rsidR="006E391F" w:rsidRPr="00BC1144" w:rsidRDefault="006E391F" w:rsidP="00336FA0">
                  <w:pPr>
                    <w:pStyle w:val="TableUnitsRow"/>
                    <w:jc w:val="left"/>
                    <w:rPr>
                      <w:color w:val="000000"/>
                    </w:rPr>
                  </w:pPr>
                  <w:r w:rsidRPr="00BC1144">
                    <w:t>First in family</w:t>
                  </w:r>
                </w:p>
              </w:tc>
              <w:tc>
                <w:tcPr>
                  <w:tcW w:w="1512" w:type="pct"/>
                </w:tcPr>
                <w:p w:rsidR="006E391F" w:rsidRPr="00BC1144" w:rsidRDefault="006E391F" w:rsidP="00336FA0">
                  <w:pPr>
                    <w:pStyle w:val="TableUnitsRow"/>
                    <w:jc w:val="left"/>
                    <w:rPr>
                      <w:color w:val="000000"/>
                    </w:rPr>
                  </w:pPr>
                  <w:r w:rsidRPr="00BC1144">
                    <w:t>Government school</w:t>
                  </w:r>
                </w:p>
              </w:tc>
              <w:tc>
                <w:tcPr>
                  <w:tcW w:w="589" w:type="pct"/>
                </w:tcPr>
                <w:p w:rsidR="006E391F" w:rsidRPr="00BC1144" w:rsidRDefault="006E391F" w:rsidP="00336FA0">
                  <w:pPr>
                    <w:pStyle w:val="TableUnitsRow"/>
                    <w:rPr>
                      <w:color w:val="000000"/>
                    </w:rPr>
                  </w:pPr>
                  <w:r w:rsidRPr="00BC1144">
                    <w:t>69</w:t>
                  </w:r>
                </w:p>
              </w:tc>
              <w:tc>
                <w:tcPr>
                  <w:tcW w:w="694" w:type="pct"/>
                </w:tcPr>
                <w:p w:rsidR="006E391F" w:rsidRPr="00BC1144" w:rsidRDefault="006E391F" w:rsidP="00336FA0">
                  <w:pPr>
                    <w:pStyle w:val="TableUnitsRow"/>
                    <w:rPr>
                      <w:color w:val="000000"/>
                    </w:rPr>
                  </w:pPr>
                  <w:r w:rsidRPr="00BC1144">
                    <w:t>68</w:t>
                  </w:r>
                </w:p>
              </w:tc>
              <w:tc>
                <w:tcPr>
                  <w:tcW w:w="693" w:type="pct"/>
                </w:tcPr>
                <w:p w:rsidR="006E391F" w:rsidRPr="00BC1144" w:rsidRDefault="006E391F" w:rsidP="00336FA0">
                  <w:pPr>
                    <w:pStyle w:val="TableUnitsRow"/>
                    <w:rPr>
                      <w:color w:val="000000"/>
                    </w:rPr>
                  </w:pPr>
                  <w:r w:rsidRPr="00BC1144">
                    <w:t>64</w:t>
                  </w:r>
                </w:p>
              </w:tc>
            </w:tr>
            <w:tr w:rsidR="006E391F" w:rsidRPr="00BC1144" w:rsidTr="00336FA0">
              <w:tc>
                <w:tcPr>
                  <w:tcW w:w="1512" w:type="pct"/>
                </w:tcPr>
                <w:p w:rsidR="006E391F" w:rsidRPr="00BC1144" w:rsidRDefault="006E391F" w:rsidP="00336FA0">
                  <w:pPr>
                    <w:pStyle w:val="TableUnitsRow"/>
                    <w:jc w:val="left"/>
                    <w:rPr>
                      <w:color w:val="000000"/>
                    </w:rPr>
                  </w:pPr>
                  <w:r w:rsidRPr="00BC1144">
                    <w:t>First in family</w:t>
                  </w:r>
                </w:p>
              </w:tc>
              <w:tc>
                <w:tcPr>
                  <w:tcW w:w="1512" w:type="pct"/>
                </w:tcPr>
                <w:p w:rsidR="006E391F" w:rsidRPr="00BC1144" w:rsidRDefault="006E391F" w:rsidP="00336FA0">
                  <w:pPr>
                    <w:pStyle w:val="TableUnitsRow"/>
                    <w:jc w:val="left"/>
                    <w:rPr>
                      <w:color w:val="000000"/>
                    </w:rPr>
                  </w:pPr>
                  <w:r w:rsidRPr="00BC1144">
                    <w:t>Low neighbourhood SES</w:t>
                  </w:r>
                </w:p>
              </w:tc>
              <w:tc>
                <w:tcPr>
                  <w:tcW w:w="589" w:type="pct"/>
                </w:tcPr>
                <w:p w:rsidR="006E391F" w:rsidRPr="00BC1144" w:rsidRDefault="006E391F" w:rsidP="00336FA0">
                  <w:pPr>
                    <w:pStyle w:val="TableUnitsRow"/>
                    <w:rPr>
                      <w:color w:val="000000"/>
                    </w:rPr>
                  </w:pPr>
                  <w:r w:rsidRPr="00BC1144">
                    <w:t>32</w:t>
                  </w:r>
                </w:p>
              </w:tc>
              <w:tc>
                <w:tcPr>
                  <w:tcW w:w="694" w:type="pct"/>
                </w:tcPr>
                <w:p w:rsidR="006E391F" w:rsidRPr="00BC1144" w:rsidRDefault="006E391F" w:rsidP="00336FA0">
                  <w:pPr>
                    <w:pStyle w:val="TableUnitsRow"/>
                    <w:rPr>
                      <w:color w:val="000000"/>
                    </w:rPr>
                  </w:pPr>
                  <w:r w:rsidRPr="00BC1144">
                    <w:t>31</w:t>
                  </w:r>
                </w:p>
              </w:tc>
              <w:tc>
                <w:tcPr>
                  <w:tcW w:w="693" w:type="pct"/>
                </w:tcPr>
                <w:p w:rsidR="006E391F" w:rsidRPr="00BC1144" w:rsidRDefault="006E391F" w:rsidP="00336FA0">
                  <w:pPr>
                    <w:pStyle w:val="TableUnitsRow"/>
                    <w:rPr>
                      <w:color w:val="000000"/>
                    </w:rPr>
                  </w:pPr>
                  <w:r w:rsidRPr="00BC1144">
                    <w:t>34</w:t>
                  </w:r>
                </w:p>
              </w:tc>
            </w:tr>
            <w:tr w:rsidR="006E391F" w:rsidRPr="00BC1144" w:rsidTr="00336FA0">
              <w:tc>
                <w:tcPr>
                  <w:tcW w:w="1512" w:type="pct"/>
                </w:tcPr>
                <w:p w:rsidR="006E391F" w:rsidRPr="00BC1144" w:rsidRDefault="006E391F" w:rsidP="00336FA0">
                  <w:pPr>
                    <w:pStyle w:val="TableUnitsRow"/>
                    <w:jc w:val="left"/>
                    <w:rPr>
                      <w:color w:val="000000"/>
                    </w:rPr>
                  </w:pPr>
                  <w:r w:rsidRPr="00BC1144">
                    <w:t>First in family</w:t>
                  </w:r>
                </w:p>
              </w:tc>
              <w:tc>
                <w:tcPr>
                  <w:tcW w:w="1512" w:type="pct"/>
                </w:tcPr>
                <w:p w:rsidR="006E391F" w:rsidRPr="00BC1144" w:rsidRDefault="006E391F" w:rsidP="00336FA0">
                  <w:pPr>
                    <w:pStyle w:val="TableUnitsRow"/>
                    <w:jc w:val="left"/>
                    <w:rPr>
                      <w:color w:val="000000"/>
                    </w:rPr>
                  </w:pPr>
                  <w:r w:rsidRPr="00BC1144">
                    <w:t>Low PISA</w:t>
                  </w:r>
                </w:p>
              </w:tc>
              <w:tc>
                <w:tcPr>
                  <w:tcW w:w="589" w:type="pct"/>
                </w:tcPr>
                <w:p w:rsidR="006E391F" w:rsidRPr="00BC1144" w:rsidRDefault="006E391F" w:rsidP="00336FA0">
                  <w:pPr>
                    <w:pStyle w:val="TableUnitsRow"/>
                    <w:rPr>
                      <w:color w:val="000000"/>
                    </w:rPr>
                  </w:pPr>
                  <w:r w:rsidRPr="00BC1144">
                    <w:t>28</w:t>
                  </w:r>
                </w:p>
              </w:tc>
              <w:tc>
                <w:tcPr>
                  <w:tcW w:w="694" w:type="pct"/>
                </w:tcPr>
                <w:p w:rsidR="006E391F" w:rsidRPr="00BC1144" w:rsidRDefault="006E391F" w:rsidP="00336FA0">
                  <w:pPr>
                    <w:pStyle w:val="TableUnitsRow"/>
                    <w:rPr>
                      <w:color w:val="000000"/>
                    </w:rPr>
                  </w:pPr>
                  <w:r w:rsidRPr="00BC1144">
                    <w:t>30</w:t>
                  </w:r>
                </w:p>
              </w:tc>
              <w:tc>
                <w:tcPr>
                  <w:tcW w:w="693" w:type="pct"/>
                </w:tcPr>
                <w:p w:rsidR="006E391F" w:rsidRPr="00BC1144" w:rsidRDefault="006E391F" w:rsidP="00336FA0">
                  <w:pPr>
                    <w:pStyle w:val="TableUnitsRow"/>
                    <w:rPr>
                      <w:color w:val="000000"/>
                    </w:rPr>
                  </w:pPr>
                  <w:r w:rsidRPr="00BC1144">
                    <w:t>29</w:t>
                  </w:r>
                </w:p>
              </w:tc>
            </w:tr>
            <w:tr w:rsidR="006E391F" w:rsidRPr="00BC1144" w:rsidTr="00336FA0">
              <w:tc>
                <w:tcPr>
                  <w:tcW w:w="1512" w:type="pct"/>
                </w:tcPr>
                <w:p w:rsidR="006E391F" w:rsidRPr="00BC1144" w:rsidRDefault="006E391F" w:rsidP="00336FA0">
                  <w:pPr>
                    <w:pStyle w:val="TableUnitsRow"/>
                    <w:jc w:val="left"/>
                    <w:rPr>
                      <w:color w:val="000000"/>
                    </w:rPr>
                  </w:pPr>
                  <w:r w:rsidRPr="00BC1144">
                    <w:t>First in family</w:t>
                  </w:r>
                </w:p>
              </w:tc>
              <w:tc>
                <w:tcPr>
                  <w:tcW w:w="1512" w:type="pct"/>
                </w:tcPr>
                <w:p w:rsidR="006E391F" w:rsidRPr="00BC1144" w:rsidRDefault="006E391F" w:rsidP="00336FA0">
                  <w:pPr>
                    <w:pStyle w:val="TableUnitsRow"/>
                    <w:jc w:val="left"/>
                    <w:rPr>
                      <w:color w:val="000000"/>
                    </w:rPr>
                  </w:pPr>
                  <w:r w:rsidRPr="00BC1144">
                    <w:t>Low school SES</w:t>
                  </w:r>
                </w:p>
              </w:tc>
              <w:tc>
                <w:tcPr>
                  <w:tcW w:w="589" w:type="pct"/>
                </w:tcPr>
                <w:p w:rsidR="006E391F" w:rsidRPr="00BC1144" w:rsidRDefault="006E391F" w:rsidP="00336FA0">
                  <w:pPr>
                    <w:pStyle w:val="TableUnitsRow"/>
                    <w:rPr>
                      <w:color w:val="000000"/>
                    </w:rPr>
                  </w:pPr>
                  <w:r w:rsidRPr="00BC1144">
                    <w:t>32</w:t>
                  </w:r>
                </w:p>
              </w:tc>
              <w:tc>
                <w:tcPr>
                  <w:tcW w:w="694" w:type="pct"/>
                </w:tcPr>
                <w:p w:rsidR="006E391F" w:rsidRPr="00BC1144" w:rsidRDefault="006E391F" w:rsidP="00336FA0">
                  <w:pPr>
                    <w:pStyle w:val="TableUnitsRow"/>
                    <w:rPr>
                      <w:color w:val="000000"/>
                    </w:rPr>
                  </w:pPr>
                  <w:r w:rsidRPr="00BC1144">
                    <w:t>31</w:t>
                  </w:r>
                </w:p>
              </w:tc>
              <w:tc>
                <w:tcPr>
                  <w:tcW w:w="693" w:type="pct"/>
                </w:tcPr>
                <w:p w:rsidR="006E391F" w:rsidRPr="00BC1144" w:rsidRDefault="006E391F" w:rsidP="00336FA0">
                  <w:pPr>
                    <w:pStyle w:val="TableUnitsRow"/>
                    <w:rPr>
                      <w:color w:val="000000"/>
                    </w:rPr>
                  </w:pPr>
                  <w:r w:rsidRPr="00BC1144">
                    <w:t>33</w:t>
                  </w:r>
                </w:p>
              </w:tc>
            </w:tr>
            <w:tr w:rsidR="006E391F" w:rsidRPr="00BC1144" w:rsidTr="00336FA0">
              <w:tc>
                <w:tcPr>
                  <w:tcW w:w="1512" w:type="pct"/>
                </w:tcPr>
                <w:p w:rsidR="006E391F" w:rsidRPr="00BC1144" w:rsidRDefault="006E391F" w:rsidP="00336FA0">
                  <w:pPr>
                    <w:pStyle w:val="TableUnitsRow"/>
                    <w:jc w:val="left"/>
                    <w:rPr>
                      <w:color w:val="000000"/>
                    </w:rPr>
                  </w:pPr>
                  <w:r w:rsidRPr="00BC1144">
                    <w:t>First in family</w:t>
                  </w:r>
                </w:p>
              </w:tc>
              <w:tc>
                <w:tcPr>
                  <w:tcW w:w="1512" w:type="pct"/>
                </w:tcPr>
                <w:p w:rsidR="006E391F" w:rsidRPr="00BC1144" w:rsidRDefault="006E391F" w:rsidP="00336FA0">
                  <w:pPr>
                    <w:pStyle w:val="TableUnitsRow"/>
                    <w:jc w:val="left"/>
                    <w:rPr>
                      <w:color w:val="000000"/>
                    </w:rPr>
                  </w:pPr>
                  <w:r w:rsidRPr="00BC1144">
                    <w:t>Not attend year 12</w:t>
                  </w:r>
                </w:p>
              </w:tc>
              <w:tc>
                <w:tcPr>
                  <w:tcW w:w="589" w:type="pct"/>
                </w:tcPr>
                <w:p w:rsidR="006E391F" w:rsidRPr="00BC1144" w:rsidRDefault="006E391F" w:rsidP="00336FA0">
                  <w:pPr>
                    <w:pStyle w:val="TableUnitsRow"/>
                    <w:rPr>
                      <w:color w:val="000000"/>
                    </w:rPr>
                  </w:pPr>
                  <w:r w:rsidRPr="00BC1144">
                    <w:t>18</w:t>
                  </w:r>
                </w:p>
              </w:tc>
              <w:tc>
                <w:tcPr>
                  <w:tcW w:w="694" w:type="pct"/>
                </w:tcPr>
                <w:p w:rsidR="006E391F" w:rsidRPr="00BC1144" w:rsidRDefault="006E391F" w:rsidP="00336FA0">
                  <w:pPr>
                    <w:pStyle w:val="TableUnitsRow"/>
                    <w:rPr>
                      <w:color w:val="000000"/>
                    </w:rPr>
                  </w:pPr>
                  <w:r w:rsidRPr="00BC1144">
                    <w:t>18</w:t>
                  </w:r>
                </w:p>
              </w:tc>
              <w:tc>
                <w:tcPr>
                  <w:tcW w:w="693" w:type="pct"/>
                </w:tcPr>
                <w:p w:rsidR="006E391F" w:rsidRPr="00BC1144" w:rsidRDefault="006E391F" w:rsidP="00336FA0">
                  <w:pPr>
                    <w:pStyle w:val="TableUnitsRow"/>
                    <w:rPr>
                      <w:color w:val="000000"/>
                    </w:rPr>
                  </w:pPr>
                  <w:r w:rsidRPr="00BC1144">
                    <w:t>13</w:t>
                  </w:r>
                </w:p>
              </w:tc>
            </w:tr>
            <w:tr w:rsidR="006E391F" w:rsidRPr="00BC1144" w:rsidTr="00336FA0">
              <w:tc>
                <w:tcPr>
                  <w:tcW w:w="1512" w:type="pct"/>
                </w:tcPr>
                <w:p w:rsidR="006E391F" w:rsidRPr="00BC1144" w:rsidRDefault="006E391F" w:rsidP="00336FA0">
                  <w:pPr>
                    <w:pStyle w:val="TableUnitsRow"/>
                    <w:jc w:val="left"/>
                    <w:rPr>
                      <w:color w:val="000000"/>
                    </w:rPr>
                  </w:pPr>
                  <w:r w:rsidRPr="00BC1144">
                    <w:t>Total population</w:t>
                  </w:r>
                </w:p>
              </w:tc>
              <w:tc>
                <w:tcPr>
                  <w:tcW w:w="1512" w:type="pct"/>
                </w:tcPr>
                <w:p w:rsidR="006E391F" w:rsidRPr="00BC1144" w:rsidRDefault="006E391F" w:rsidP="00336FA0">
                  <w:pPr>
                    <w:pStyle w:val="TableUnitsRow"/>
                    <w:jc w:val="left"/>
                    <w:rPr>
                      <w:color w:val="000000"/>
                    </w:rPr>
                  </w:pPr>
                  <w:r w:rsidRPr="00BC1144">
                    <w:t>First in family</w:t>
                  </w:r>
                </w:p>
              </w:tc>
              <w:tc>
                <w:tcPr>
                  <w:tcW w:w="589" w:type="pct"/>
                </w:tcPr>
                <w:p w:rsidR="006E391F" w:rsidRPr="00BC1144" w:rsidRDefault="006E391F" w:rsidP="00336FA0">
                  <w:pPr>
                    <w:pStyle w:val="TableUnitsRow"/>
                    <w:rPr>
                      <w:color w:val="000000"/>
                    </w:rPr>
                  </w:pPr>
                  <w:r w:rsidRPr="00BC1144">
                    <w:t>60</w:t>
                  </w:r>
                </w:p>
              </w:tc>
              <w:tc>
                <w:tcPr>
                  <w:tcW w:w="694" w:type="pct"/>
                </w:tcPr>
                <w:p w:rsidR="006E391F" w:rsidRPr="00BC1144" w:rsidRDefault="006E391F" w:rsidP="00336FA0">
                  <w:pPr>
                    <w:pStyle w:val="TableUnitsRow"/>
                    <w:rPr>
                      <w:color w:val="000000"/>
                    </w:rPr>
                  </w:pPr>
                  <w:r w:rsidRPr="00BC1144">
                    <w:t>61</w:t>
                  </w:r>
                </w:p>
              </w:tc>
              <w:tc>
                <w:tcPr>
                  <w:tcW w:w="693" w:type="pct"/>
                </w:tcPr>
                <w:p w:rsidR="006E391F" w:rsidRPr="00BC1144" w:rsidRDefault="006E391F" w:rsidP="00336FA0">
                  <w:pPr>
                    <w:pStyle w:val="TableUnitsRow"/>
                    <w:rPr>
                      <w:color w:val="000000"/>
                    </w:rPr>
                  </w:pPr>
                  <w:r w:rsidRPr="00BC1144">
                    <w:t>59</w:t>
                  </w:r>
                </w:p>
              </w:tc>
            </w:tr>
            <w:tr w:rsidR="006E391F" w:rsidRPr="00BC1144" w:rsidTr="00336FA0">
              <w:tc>
                <w:tcPr>
                  <w:tcW w:w="1512" w:type="pct"/>
                </w:tcPr>
                <w:p w:rsidR="006E391F" w:rsidRPr="00BC1144" w:rsidRDefault="006E391F" w:rsidP="00336FA0">
                  <w:pPr>
                    <w:pStyle w:val="TableUnitsRow"/>
                    <w:jc w:val="left"/>
                    <w:rPr>
                      <w:color w:val="000000"/>
                    </w:rPr>
                  </w:pPr>
                  <w:r w:rsidRPr="00BC1144">
                    <w:t>Total population</w:t>
                  </w:r>
                </w:p>
              </w:tc>
              <w:tc>
                <w:tcPr>
                  <w:tcW w:w="1512" w:type="pct"/>
                </w:tcPr>
                <w:p w:rsidR="006E391F" w:rsidRPr="00BC1144" w:rsidRDefault="006E391F" w:rsidP="00336FA0">
                  <w:pPr>
                    <w:pStyle w:val="TableUnitsRow"/>
                    <w:jc w:val="left"/>
                    <w:rPr>
                      <w:color w:val="000000"/>
                    </w:rPr>
                  </w:pPr>
                  <w:r w:rsidRPr="00BC1144">
                    <w:t>Government school</w:t>
                  </w:r>
                </w:p>
              </w:tc>
              <w:tc>
                <w:tcPr>
                  <w:tcW w:w="589" w:type="pct"/>
                </w:tcPr>
                <w:p w:rsidR="006E391F" w:rsidRPr="00BC1144" w:rsidRDefault="006E391F" w:rsidP="00336FA0">
                  <w:pPr>
                    <w:pStyle w:val="TableUnitsRow"/>
                    <w:rPr>
                      <w:color w:val="000000"/>
                    </w:rPr>
                  </w:pPr>
                  <w:r w:rsidRPr="00BC1144">
                    <w:t>61</w:t>
                  </w:r>
                </w:p>
              </w:tc>
              <w:tc>
                <w:tcPr>
                  <w:tcW w:w="694" w:type="pct"/>
                </w:tcPr>
                <w:p w:rsidR="006E391F" w:rsidRPr="00BC1144" w:rsidRDefault="006E391F" w:rsidP="00336FA0">
                  <w:pPr>
                    <w:pStyle w:val="TableUnitsRow"/>
                    <w:rPr>
                      <w:color w:val="000000"/>
                    </w:rPr>
                  </w:pPr>
                  <w:r w:rsidRPr="00BC1144">
                    <w:t>61</w:t>
                  </w:r>
                </w:p>
              </w:tc>
              <w:tc>
                <w:tcPr>
                  <w:tcW w:w="693" w:type="pct"/>
                </w:tcPr>
                <w:p w:rsidR="006E391F" w:rsidRPr="00BC1144" w:rsidRDefault="006E391F" w:rsidP="00336FA0">
                  <w:pPr>
                    <w:pStyle w:val="TableUnitsRow"/>
                    <w:rPr>
                      <w:color w:val="000000"/>
                    </w:rPr>
                  </w:pPr>
                  <w:r w:rsidRPr="00BC1144">
                    <w:t>57</w:t>
                  </w:r>
                </w:p>
              </w:tc>
            </w:tr>
            <w:tr w:rsidR="006E391F" w:rsidRPr="00BC1144" w:rsidTr="00336FA0">
              <w:tc>
                <w:tcPr>
                  <w:tcW w:w="1512" w:type="pct"/>
                </w:tcPr>
                <w:p w:rsidR="006E391F" w:rsidRPr="00BC1144" w:rsidRDefault="006E391F" w:rsidP="00336FA0">
                  <w:pPr>
                    <w:pStyle w:val="TableUnitsRow"/>
                    <w:jc w:val="left"/>
                    <w:rPr>
                      <w:color w:val="000000"/>
                    </w:rPr>
                  </w:pPr>
                  <w:r w:rsidRPr="00BC1144">
                    <w:t>Total population</w:t>
                  </w:r>
                </w:p>
              </w:tc>
              <w:tc>
                <w:tcPr>
                  <w:tcW w:w="1512" w:type="pct"/>
                </w:tcPr>
                <w:p w:rsidR="006E391F" w:rsidRPr="00BC1144" w:rsidRDefault="006E391F" w:rsidP="00336FA0">
                  <w:pPr>
                    <w:pStyle w:val="TableUnitsRow"/>
                    <w:jc w:val="left"/>
                    <w:rPr>
                      <w:color w:val="000000"/>
                    </w:rPr>
                  </w:pPr>
                  <w:r w:rsidRPr="00BC1144">
                    <w:t>Low neighbourhood SES</w:t>
                  </w:r>
                </w:p>
              </w:tc>
              <w:tc>
                <w:tcPr>
                  <w:tcW w:w="589" w:type="pct"/>
                </w:tcPr>
                <w:p w:rsidR="006E391F" w:rsidRPr="00BC1144" w:rsidRDefault="006E391F" w:rsidP="00336FA0">
                  <w:pPr>
                    <w:pStyle w:val="TableUnitsRow"/>
                    <w:rPr>
                      <w:color w:val="000000"/>
                    </w:rPr>
                  </w:pPr>
                  <w:r w:rsidRPr="00BC1144">
                    <w:t>25</w:t>
                  </w:r>
                </w:p>
              </w:tc>
              <w:tc>
                <w:tcPr>
                  <w:tcW w:w="694" w:type="pct"/>
                </w:tcPr>
                <w:p w:rsidR="006E391F" w:rsidRPr="00BC1144" w:rsidRDefault="006E391F" w:rsidP="00336FA0">
                  <w:pPr>
                    <w:pStyle w:val="TableUnitsRow"/>
                    <w:rPr>
                      <w:color w:val="000000"/>
                    </w:rPr>
                  </w:pPr>
                  <w:r w:rsidRPr="00BC1144">
                    <w:t>24</w:t>
                  </w:r>
                </w:p>
              </w:tc>
              <w:tc>
                <w:tcPr>
                  <w:tcW w:w="693" w:type="pct"/>
                </w:tcPr>
                <w:p w:rsidR="006E391F" w:rsidRPr="00BC1144" w:rsidRDefault="006E391F" w:rsidP="00336FA0">
                  <w:pPr>
                    <w:pStyle w:val="TableUnitsRow"/>
                    <w:rPr>
                      <w:color w:val="000000"/>
                    </w:rPr>
                  </w:pPr>
                  <w:r w:rsidRPr="00BC1144">
                    <w:t>25</w:t>
                  </w:r>
                </w:p>
              </w:tc>
            </w:tr>
            <w:tr w:rsidR="006E391F" w:rsidRPr="00BC1144" w:rsidTr="00336FA0">
              <w:tc>
                <w:tcPr>
                  <w:tcW w:w="1512" w:type="pct"/>
                </w:tcPr>
                <w:p w:rsidR="006E391F" w:rsidRPr="00BC1144" w:rsidRDefault="006E391F" w:rsidP="00336FA0">
                  <w:pPr>
                    <w:pStyle w:val="TableUnitsRow"/>
                    <w:jc w:val="left"/>
                    <w:rPr>
                      <w:color w:val="000000"/>
                    </w:rPr>
                  </w:pPr>
                  <w:r w:rsidRPr="00BC1144">
                    <w:t>Total population</w:t>
                  </w:r>
                </w:p>
              </w:tc>
              <w:tc>
                <w:tcPr>
                  <w:tcW w:w="1512" w:type="pct"/>
                </w:tcPr>
                <w:p w:rsidR="006E391F" w:rsidRPr="00BC1144" w:rsidRDefault="006E391F" w:rsidP="00336FA0">
                  <w:pPr>
                    <w:pStyle w:val="TableUnitsRow"/>
                    <w:jc w:val="left"/>
                    <w:rPr>
                      <w:color w:val="000000"/>
                    </w:rPr>
                  </w:pPr>
                  <w:r w:rsidRPr="00BC1144">
                    <w:t>Low PISA</w:t>
                  </w:r>
                </w:p>
              </w:tc>
              <w:tc>
                <w:tcPr>
                  <w:tcW w:w="589" w:type="pct"/>
                </w:tcPr>
                <w:p w:rsidR="006E391F" w:rsidRPr="00BC1144" w:rsidRDefault="006E391F" w:rsidP="00336FA0">
                  <w:pPr>
                    <w:pStyle w:val="TableUnitsRow"/>
                    <w:rPr>
                      <w:color w:val="000000"/>
                    </w:rPr>
                  </w:pPr>
                  <w:r w:rsidRPr="00BC1144">
                    <w:t>22</w:t>
                  </w:r>
                </w:p>
              </w:tc>
              <w:tc>
                <w:tcPr>
                  <w:tcW w:w="694" w:type="pct"/>
                </w:tcPr>
                <w:p w:rsidR="006E391F" w:rsidRPr="00BC1144" w:rsidRDefault="006E391F" w:rsidP="00336FA0">
                  <w:pPr>
                    <w:pStyle w:val="TableUnitsRow"/>
                    <w:rPr>
                      <w:color w:val="000000"/>
                    </w:rPr>
                  </w:pPr>
                  <w:r w:rsidRPr="00BC1144">
                    <w:t>23</w:t>
                  </w:r>
                </w:p>
              </w:tc>
              <w:tc>
                <w:tcPr>
                  <w:tcW w:w="693" w:type="pct"/>
                </w:tcPr>
                <w:p w:rsidR="006E391F" w:rsidRPr="00BC1144" w:rsidRDefault="006E391F" w:rsidP="00336FA0">
                  <w:pPr>
                    <w:pStyle w:val="TableUnitsRow"/>
                    <w:rPr>
                      <w:color w:val="000000"/>
                    </w:rPr>
                  </w:pPr>
                  <w:r w:rsidRPr="00BC1144">
                    <w:t>22</w:t>
                  </w:r>
                </w:p>
              </w:tc>
            </w:tr>
            <w:tr w:rsidR="006E391F" w:rsidRPr="00BC1144" w:rsidTr="00336FA0">
              <w:tc>
                <w:tcPr>
                  <w:tcW w:w="1512" w:type="pct"/>
                </w:tcPr>
                <w:p w:rsidR="006E391F" w:rsidRPr="00BC1144" w:rsidRDefault="006E391F" w:rsidP="00336FA0">
                  <w:pPr>
                    <w:pStyle w:val="TableUnitsRow"/>
                    <w:jc w:val="left"/>
                    <w:rPr>
                      <w:color w:val="000000"/>
                    </w:rPr>
                  </w:pPr>
                  <w:r w:rsidRPr="00BC1144">
                    <w:t>Total population</w:t>
                  </w:r>
                </w:p>
              </w:tc>
              <w:tc>
                <w:tcPr>
                  <w:tcW w:w="1512" w:type="pct"/>
                </w:tcPr>
                <w:p w:rsidR="006E391F" w:rsidRPr="00BC1144" w:rsidRDefault="006E391F" w:rsidP="00336FA0">
                  <w:pPr>
                    <w:pStyle w:val="TableUnitsRow"/>
                    <w:jc w:val="left"/>
                    <w:rPr>
                      <w:color w:val="000000"/>
                    </w:rPr>
                  </w:pPr>
                  <w:r w:rsidRPr="00BC1144">
                    <w:t>Low school SES</w:t>
                  </w:r>
                </w:p>
              </w:tc>
              <w:tc>
                <w:tcPr>
                  <w:tcW w:w="589" w:type="pct"/>
                </w:tcPr>
                <w:p w:rsidR="006E391F" w:rsidRPr="00BC1144" w:rsidRDefault="006E391F" w:rsidP="00336FA0">
                  <w:pPr>
                    <w:pStyle w:val="TableUnitsRow"/>
                    <w:rPr>
                      <w:color w:val="000000"/>
                    </w:rPr>
                  </w:pPr>
                  <w:r w:rsidRPr="00BC1144">
                    <w:t>24</w:t>
                  </w:r>
                </w:p>
              </w:tc>
              <w:tc>
                <w:tcPr>
                  <w:tcW w:w="694" w:type="pct"/>
                </w:tcPr>
                <w:p w:rsidR="006E391F" w:rsidRPr="00BC1144" w:rsidRDefault="006E391F" w:rsidP="00336FA0">
                  <w:pPr>
                    <w:pStyle w:val="TableUnitsRow"/>
                    <w:rPr>
                      <w:color w:val="000000"/>
                    </w:rPr>
                  </w:pPr>
                  <w:r w:rsidRPr="00BC1144">
                    <w:t>24</w:t>
                  </w:r>
                </w:p>
              </w:tc>
              <w:tc>
                <w:tcPr>
                  <w:tcW w:w="693" w:type="pct"/>
                </w:tcPr>
                <w:p w:rsidR="006E391F" w:rsidRPr="00BC1144" w:rsidRDefault="006E391F" w:rsidP="00336FA0">
                  <w:pPr>
                    <w:pStyle w:val="TableUnitsRow"/>
                  </w:pPr>
                  <w:r w:rsidRPr="00BC1144">
                    <w:t>24</w:t>
                  </w:r>
                </w:p>
              </w:tc>
            </w:tr>
            <w:tr w:rsidR="006E391F" w:rsidRPr="00BC1144" w:rsidTr="00336FA0">
              <w:tc>
                <w:tcPr>
                  <w:tcW w:w="1512" w:type="pct"/>
                  <w:tcBorders>
                    <w:bottom w:val="single" w:sz="6" w:space="0" w:color="BFBFBF"/>
                  </w:tcBorders>
                </w:tcPr>
                <w:p w:rsidR="006E391F" w:rsidRPr="00BC1144" w:rsidRDefault="006E391F" w:rsidP="00336FA0">
                  <w:pPr>
                    <w:pStyle w:val="TableUnitsRow"/>
                    <w:jc w:val="left"/>
                    <w:rPr>
                      <w:color w:val="000000"/>
                    </w:rPr>
                  </w:pPr>
                  <w:r w:rsidRPr="00BC1144">
                    <w:t>Total population</w:t>
                  </w:r>
                </w:p>
              </w:tc>
              <w:tc>
                <w:tcPr>
                  <w:tcW w:w="1512" w:type="pct"/>
                  <w:tcBorders>
                    <w:bottom w:val="single" w:sz="6" w:space="0" w:color="BFBFBF"/>
                  </w:tcBorders>
                  <w:shd w:val="clear" w:color="auto" w:fill="auto"/>
                </w:tcPr>
                <w:p w:rsidR="006E391F" w:rsidRPr="00BC1144" w:rsidRDefault="006E391F" w:rsidP="00336FA0">
                  <w:pPr>
                    <w:pStyle w:val="TableUnitsRow"/>
                    <w:jc w:val="left"/>
                    <w:rPr>
                      <w:color w:val="000000"/>
                    </w:rPr>
                  </w:pPr>
                  <w:r w:rsidRPr="00BC1144">
                    <w:t>Not attend year 12</w:t>
                  </w:r>
                </w:p>
              </w:tc>
              <w:tc>
                <w:tcPr>
                  <w:tcW w:w="589" w:type="pct"/>
                  <w:tcBorders>
                    <w:bottom w:val="single" w:sz="6" w:space="0" w:color="BFBFBF"/>
                  </w:tcBorders>
                </w:tcPr>
                <w:p w:rsidR="006E391F" w:rsidRPr="00BC1144" w:rsidRDefault="006E391F" w:rsidP="00336FA0">
                  <w:pPr>
                    <w:pStyle w:val="TableBodyText"/>
                  </w:pPr>
                  <w:r w:rsidRPr="00BC1144">
                    <w:t>14</w:t>
                  </w:r>
                </w:p>
              </w:tc>
              <w:tc>
                <w:tcPr>
                  <w:tcW w:w="694" w:type="pct"/>
                  <w:tcBorders>
                    <w:bottom w:val="single" w:sz="6" w:space="0" w:color="BFBFBF"/>
                  </w:tcBorders>
                  <w:shd w:val="clear" w:color="auto" w:fill="auto"/>
                </w:tcPr>
                <w:p w:rsidR="006E391F" w:rsidRPr="00BC1144" w:rsidRDefault="006E391F" w:rsidP="00336FA0">
                  <w:pPr>
                    <w:pStyle w:val="TableBodyText"/>
                  </w:pPr>
                  <w:r w:rsidRPr="00BC1144">
                    <w:t>14</w:t>
                  </w:r>
                </w:p>
              </w:tc>
              <w:tc>
                <w:tcPr>
                  <w:tcW w:w="693" w:type="pct"/>
                  <w:tcBorders>
                    <w:bottom w:val="single" w:sz="6" w:space="0" w:color="BFBFBF"/>
                  </w:tcBorders>
                  <w:shd w:val="clear" w:color="auto" w:fill="auto"/>
                </w:tcPr>
                <w:p w:rsidR="006E391F" w:rsidRPr="00BC1144" w:rsidRDefault="006E391F" w:rsidP="00336FA0">
                  <w:pPr>
                    <w:pStyle w:val="TableUnitsRow"/>
                  </w:pPr>
                  <w:r w:rsidRPr="00BC1144">
                    <w:t>10</w:t>
                  </w:r>
                </w:p>
              </w:tc>
            </w:tr>
          </w:tbl>
          <w:p w:rsidR="006E391F" w:rsidRPr="00BC1144" w:rsidRDefault="006E391F" w:rsidP="00336FA0">
            <w:pPr>
              <w:pStyle w:val="Box"/>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rPr>
          <w:trHeight w:val="53"/>
        </w:trPr>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69" w:name="_Toc10805474"/>
      <w:r w:rsidRPr="00BC1144">
        <w:lastRenderedPageBreak/>
        <w:t>B.</w:t>
      </w:r>
      <w:r w:rsidRPr="00BC1144">
        <w:rPr>
          <w:noProof/>
        </w:rPr>
        <w:t>5</w:t>
      </w:r>
      <w:r w:rsidRPr="00BC1144">
        <w:tab/>
        <w:t>Identifying additional students</w:t>
      </w:r>
      <w:bookmarkEnd w:id="69"/>
      <w:r w:rsidRPr="00BC1144">
        <w:t xml:space="preserve"> </w:t>
      </w:r>
    </w:p>
    <w:p w:rsidR="006E391F" w:rsidRPr="00BC1144" w:rsidRDefault="006E391F" w:rsidP="00CC4DB6">
      <w:pPr>
        <w:pStyle w:val="BodyText"/>
        <w:keepNext/>
        <w:keepLines/>
      </w:pPr>
      <w:r w:rsidRPr="00BC1144">
        <w:t>The demand driven system allowed people to enter university who would not previously have had the opportunity (or perhaps inclination). This paper seeks to identify the characteristics of these additional students. To do so, we estimate the probability that a school student in the 2009 cohort would have attend university by age 22 years. This is compared with a counterfactual, which is the probabilities they would have attended if they were part of the 2003 cohort. If a school student did not go on to attend university in the 2009 cohort, their predicted probability of attending is assumed to be zero.</w:t>
      </w:r>
    </w:p>
    <w:p w:rsidR="006E391F" w:rsidRPr="00BC1144" w:rsidRDefault="006E391F" w:rsidP="00336FA0">
      <w:pPr>
        <w:pStyle w:val="BodyText"/>
      </w:pPr>
      <w:r w:rsidRPr="00BC1144">
        <w:t>Maintaining the assumptions of the probit model and considering only those people in the 2009 sample, then the unconditional probability that they would have attended in the 2003 and 2009 sample is given by the following:</w:t>
      </w:r>
    </w:p>
    <w:p w:rsidR="006E391F" w:rsidRPr="00BC1144" w:rsidRDefault="006E391F" w:rsidP="00336FA0">
      <w:pPr>
        <w:pStyle w:val="BodyText"/>
      </w:pPr>
      <m:oMathPara>
        <m:oMathParaPr>
          <m:jc m:val="left"/>
        </m:oMathParaPr>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Attend</m:t>
                  </m:r>
                </m:e>
                <m:sub>
                  <m:r>
                    <w:rPr>
                      <w:rFonts w:ascii="Cambria Math" w:hAnsi="Cambria Math"/>
                    </w:rPr>
                    <m:t>2003, i</m:t>
                  </m:r>
                </m:sub>
              </m:sSub>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2003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hAnsi="Cambria Math"/>
                </w:rPr>
                <m:t>&gt;0</m:t>
              </m:r>
            </m:e>
          </m:d>
        </m:oMath>
      </m:oMathPara>
    </w:p>
    <w:p w:rsidR="006E391F" w:rsidRPr="00BC1144" w:rsidRDefault="006E391F" w:rsidP="00336FA0">
      <w:pPr>
        <w:pStyle w:val="BodyText"/>
        <w:jc w:val="center"/>
      </w:pPr>
      <m:oMathPara>
        <m:oMathParaPr>
          <m:jc m:val="left"/>
        </m:oMathParaPr>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Attend</m:t>
                  </m:r>
                </m:e>
                <m:sub>
                  <m:r>
                    <w:rPr>
                      <w:rFonts w:ascii="Cambria Math" w:hAnsi="Cambria Math"/>
                    </w:rPr>
                    <m:t>2009, i</m:t>
                  </m:r>
                </m:sub>
              </m:sSub>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2009</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hAnsi="Cambria Math"/>
                </w:rPr>
                <m:t>&gt;0</m:t>
              </m:r>
            </m:e>
          </m:d>
        </m:oMath>
      </m:oMathPara>
    </w:p>
    <w:p w:rsidR="006E391F" w:rsidRPr="00BC1144" w:rsidRDefault="006E391F" w:rsidP="00336FA0">
      <w:pPr>
        <w:pStyle w:val="BodyText"/>
      </w:pPr>
      <w:r w:rsidRPr="00BC1144">
        <w:t xml:space="preserve">Estimates from probit regressions allow us to predict the unconditional probabilities of those people in the 2009 sample attending in 2003 and 2009 by the following: </w:t>
      </w:r>
    </w:p>
    <w:p w:rsidR="006E391F" w:rsidRPr="00BC1144" w:rsidRDefault="00EF7456" w:rsidP="00336FA0">
      <w:pPr>
        <w:pStyle w:val="BodyText"/>
        <w:jc w:val="center"/>
      </w:pPr>
      <m:oMathPara>
        <m:oMathParaPr>
          <m:jc m:val="left"/>
        </m:oMathParaPr>
        <m:oMath>
          <m:acc>
            <m:accPr>
              <m:ctrlPr>
                <w:rPr>
                  <w:rFonts w:ascii="Cambria Math" w:hAnsi="Cambria Math"/>
                  <w:i/>
                </w:rPr>
              </m:ctrlPr>
            </m:accPr>
            <m:e>
              <m:r>
                <w:rPr>
                  <w:rFonts w:ascii="Cambria Math" w:hAnsi="Cambria Math"/>
                </w:rPr>
                <m:t>Prob</m:t>
              </m:r>
            </m:e>
          </m:acc>
          <m:d>
            <m:dPr>
              <m:ctrlPr>
                <w:rPr>
                  <w:rFonts w:ascii="Cambria Math" w:hAnsi="Cambria Math"/>
                  <w:i/>
                </w:rPr>
              </m:ctrlPr>
            </m:dPr>
            <m:e>
              <m:sSub>
                <m:sSubPr>
                  <m:ctrlPr>
                    <w:rPr>
                      <w:rFonts w:ascii="Cambria Math" w:hAnsi="Cambria Math"/>
                      <w:i/>
                    </w:rPr>
                  </m:ctrlPr>
                </m:sSubPr>
                <m:e>
                  <m:r>
                    <w:rPr>
                      <w:rFonts w:ascii="Cambria Math" w:hAnsi="Cambria Math"/>
                    </w:rPr>
                    <m:t>Attend</m:t>
                  </m:r>
                </m:e>
                <m:sub>
                  <m:r>
                    <w:rPr>
                      <w:rFonts w:ascii="Cambria Math" w:hAnsi="Cambria Math"/>
                    </w:rPr>
                    <m:t>2003, i</m:t>
                  </m:r>
                </m:sub>
              </m:sSub>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hAnsi="Cambria Math"/>
                </w:rPr>
                <m:t>&gt;0</m:t>
              </m:r>
            </m:e>
          </m:d>
          <m:r>
            <w:rPr>
              <w:rFonts w:ascii="Cambria Math" w:hAnsi="Cambria Math"/>
            </w:rPr>
            <m:t>=Φ(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m:t>
          </m:r>
        </m:oMath>
      </m:oMathPara>
    </w:p>
    <w:p w:rsidR="006E391F" w:rsidRPr="00BC1144" w:rsidRDefault="00EF7456" w:rsidP="00336FA0">
      <w:pPr>
        <w:pStyle w:val="BodyText"/>
      </w:pPr>
      <m:oMathPara>
        <m:oMathParaPr>
          <m:jc m:val="left"/>
        </m:oMathParaPr>
        <m:oMath>
          <m:acc>
            <m:accPr>
              <m:ctrlPr>
                <w:rPr>
                  <w:rFonts w:ascii="Cambria Math" w:hAnsi="Cambria Math"/>
                  <w:i/>
                </w:rPr>
              </m:ctrlPr>
            </m:accPr>
            <m:e>
              <m:r>
                <w:rPr>
                  <w:rFonts w:ascii="Cambria Math" w:hAnsi="Cambria Math"/>
                </w:rPr>
                <m:t>Prob</m:t>
              </m:r>
            </m:e>
          </m:acc>
          <m:d>
            <m:dPr>
              <m:ctrlPr>
                <w:rPr>
                  <w:rFonts w:ascii="Cambria Math" w:hAnsi="Cambria Math"/>
                  <w:i/>
                </w:rPr>
              </m:ctrlPr>
            </m:dPr>
            <m:e>
              <m:sSub>
                <m:sSubPr>
                  <m:ctrlPr>
                    <w:rPr>
                      <w:rFonts w:ascii="Cambria Math" w:hAnsi="Cambria Math"/>
                      <w:i/>
                    </w:rPr>
                  </m:ctrlPr>
                </m:sSubPr>
                <m:e>
                  <m:r>
                    <w:rPr>
                      <w:rFonts w:ascii="Cambria Math" w:hAnsi="Cambria Math"/>
                    </w:rPr>
                    <m:t>Attend</m:t>
                  </m:r>
                </m:e>
                <m:sub>
                  <m:r>
                    <w:rPr>
                      <w:rFonts w:ascii="Cambria Math" w:hAnsi="Cambria Math"/>
                    </w:rPr>
                    <m:t>2009, i</m:t>
                  </m:r>
                </m:sub>
              </m:sSub>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hAnsi="Cambria Math"/>
                </w:rPr>
                <m:t>&gt;0</m:t>
              </m:r>
            </m:e>
          </m:d>
          <m:r>
            <w:rPr>
              <w:rFonts w:ascii="Cambria Math" w:hAnsi="Cambria Math"/>
            </w:rPr>
            <m:t>=Φ(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oMath>
      </m:oMathPara>
    </w:p>
    <w:p w:rsidR="006E391F" w:rsidRPr="00BC1144" w:rsidRDefault="006E391F" w:rsidP="00336FA0">
      <w:pPr>
        <w:pStyle w:val="BodyText"/>
      </w:pPr>
      <w:r w:rsidRPr="00BC1144">
        <w:t xml:space="preserve">What we know with certainty is whether they attended as part of the 2009 cohort. We use this condition and the structure above to predict the probability of any person in the 2009 cohort being in one of three categories. For those students that attended university as part of the 2009 cohort, we distribute their weight across two categories: the ‘other students’ that were predicted to attend were they part of the 2003 cohort (given our estimates of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oMath>
      <w:r w:rsidRPr="00BC1144">
        <w:t>) and the ‘additional students’ that were predicted not to attend as part of the 2003 cohort. Those observed to be ‘non</w:t>
      </w:r>
      <w:r w:rsidRPr="00BC1144">
        <w:noBreakHyphen/>
        <w:t>attenders’ as part of the 2009 cohort form a third category.</w:t>
      </w:r>
    </w:p>
    <w:p w:rsidR="006E391F" w:rsidRPr="00BC1144" w:rsidRDefault="006E391F" w:rsidP="00336FA0">
      <w:pPr>
        <w:pStyle w:val="BodyText"/>
        <w:jc w:val="center"/>
      </w:pPr>
      <m:oMathPara>
        <m:oMathParaPr>
          <m:jc m:val="left"/>
        </m:oMathParaPr>
        <m:oMath>
          <m:r>
            <w:rPr>
              <w:rFonts w:ascii="Cambria Math" w:hAnsi="Cambria Math"/>
            </w:rPr>
            <m:t xml:space="preserve">Prob </m:t>
          </m:r>
          <m:d>
            <m:dPr>
              <m:ctrlPr>
                <w:rPr>
                  <w:rFonts w:ascii="Cambria Math" w:hAnsi="Cambria Math"/>
                  <w:i/>
                </w:rPr>
              </m:ctrlPr>
            </m:dPr>
            <m:e>
              <m:sSub>
                <m:sSubPr>
                  <m:ctrlPr>
                    <w:rPr>
                      <w:rFonts w:ascii="Cambria Math" w:hAnsi="Cambria Math"/>
                      <w:i/>
                    </w:rPr>
                  </m:ctrlPr>
                </m:sSubPr>
                <m:e>
                  <m:r>
                    <w:rPr>
                      <w:rFonts w:ascii="Cambria Math" w:hAnsi="Cambria Math"/>
                    </w:rPr>
                    <m:t>Other student</m:t>
                  </m:r>
                </m:e>
                <m:sub>
                  <m:r>
                    <w:rPr>
                      <w:rFonts w:ascii="Cambria Math" w:hAnsi="Cambria Math"/>
                    </w:rPr>
                    <m:t>2009, i</m:t>
                  </m:r>
                </m:sub>
              </m:sSub>
            </m:e>
          </m:d>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hAnsi="Cambria Math"/>
            </w:rPr>
            <m:t>,ρ)/ 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oMath>
      </m:oMathPara>
    </w:p>
    <w:p w:rsidR="006E391F" w:rsidRPr="00BC1144" w:rsidRDefault="006E391F" w:rsidP="00336FA0">
      <w:pPr>
        <w:pStyle w:val="BodyText"/>
        <w:jc w:val="center"/>
      </w:pPr>
      <m:oMathPara>
        <m:oMathParaPr>
          <m:jc m:val="left"/>
        </m:oMathParaPr>
        <m:oMath>
          <m:r>
            <w:rPr>
              <w:rFonts w:ascii="Cambria Math" w:hAnsi="Cambria Math"/>
            </w:rPr>
            <m:t xml:space="preserve">Prob </m:t>
          </m:r>
          <m:d>
            <m:dPr>
              <m:ctrlPr>
                <w:rPr>
                  <w:rFonts w:ascii="Cambria Math" w:hAnsi="Cambria Math"/>
                  <w:i/>
                </w:rPr>
              </m:ctrlPr>
            </m:dPr>
            <m:e>
              <m:sSub>
                <m:sSubPr>
                  <m:ctrlPr>
                    <w:rPr>
                      <w:rFonts w:ascii="Cambria Math" w:hAnsi="Cambria Math"/>
                      <w:i/>
                    </w:rPr>
                  </m:ctrlPr>
                </m:sSubPr>
                <m:e>
                  <m:r>
                    <w:rPr>
                      <w:rFonts w:ascii="Cambria Math" w:hAnsi="Cambria Math"/>
                    </w:rPr>
                    <m:t>Additional student</m:t>
                  </m:r>
                </m:e>
                <m:sub>
                  <m:r>
                    <w:rPr>
                      <w:rFonts w:ascii="Cambria Math" w:hAnsi="Cambria Math"/>
                    </w:rPr>
                    <m:t>2009, i</m:t>
                  </m:r>
                </m:sub>
              </m:sSub>
            </m:e>
          </m:d>
          <m:r>
            <w:rPr>
              <w:rFonts w:ascii="Cambria Math" w:hAnsi="Cambria Math"/>
            </w:rPr>
            <m:t>=1-</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hAnsi="Cambria Math"/>
            </w:rPr>
            <m:t>,ρ)/ 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oMath>
      </m:oMathPara>
    </w:p>
    <w:p w:rsidR="006E391F" w:rsidRPr="00BC1144" w:rsidRDefault="006E391F" w:rsidP="00336FA0">
      <w:pPr>
        <w:pStyle w:val="BodyText"/>
      </w:pPr>
      <w:r w:rsidRPr="00BC1144">
        <w:t>In general, the unobserved characteristics of a person captured in the error terms — such as ambition, diligence and resilience — may have had a different effect on university attendance at different times. As we do not observe the counterfactual scenario, it is not possible to estimate the correlation in errors compared with those in the factual scenario and it is necessary to make an assumption. For the results shown in chapter 2, we assume these unobserved characteristics would have had the same effect in both periods, so that e</w:t>
      </w:r>
      <w:r w:rsidRPr="00BC1144">
        <w:rPr>
          <w:vertAlign w:val="subscript"/>
        </w:rPr>
        <w:t>i</w:t>
      </w:r>
      <w:r w:rsidRPr="00BC1144">
        <w:t>=u</w:t>
      </w:r>
      <w:r w:rsidRPr="00BC1144">
        <w:rPr>
          <w:vertAlign w:val="subscript"/>
        </w:rPr>
        <w:t>i</w:t>
      </w:r>
      <w:r w:rsidRPr="00BC1144">
        <w:t xml:space="preserve"> and ρ=1. Under this assumption, among the sample that attends university in the 2009 cohort we obtain conditional probabilities given by:</w:t>
      </w:r>
    </w:p>
    <w:p w:rsidR="006E391F" w:rsidRPr="00BC1144" w:rsidRDefault="006E391F" w:rsidP="00336FA0">
      <w:pPr>
        <w:pStyle w:val="BodyText"/>
      </w:pPr>
      <m:oMathPara>
        <m:oMathParaPr>
          <m:jc m:val="left"/>
        </m:oMathParaPr>
        <m:oMath>
          <m:r>
            <w:rPr>
              <w:rFonts w:ascii="Cambria Math" w:hAnsi="Cambria Math"/>
            </w:rPr>
            <w:lastRenderedPageBreak/>
            <m:t xml:space="preserve">Prob </m:t>
          </m:r>
          <m:d>
            <m:dPr>
              <m:ctrlPr>
                <w:rPr>
                  <w:rFonts w:ascii="Cambria Math" w:hAnsi="Cambria Math"/>
                  <w:i/>
                </w:rPr>
              </m:ctrlPr>
            </m:dPr>
            <m:e>
              <m:sSub>
                <m:sSubPr>
                  <m:ctrlPr>
                    <w:rPr>
                      <w:rFonts w:ascii="Cambria Math" w:hAnsi="Cambria Math"/>
                      <w:i/>
                    </w:rPr>
                  </m:ctrlPr>
                </m:sSubPr>
                <m:e>
                  <m:r>
                    <w:rPr>
                      <w:rFonts w:ascii="Cambria Math" w:hAnsi="Cambria Math"/>
                    </w:rPr>
                    <m:t>Other student</m:t>
                  </m:r>
                </m:e>
                <m:sub>
                  <m:r>
                    <w:rPr>
                      <w:rFonts w:ascii="Cambria Math" w:hAnsi="Cambria Math"/>
                    </w:rPr>
                    <m:t>2009, i</m:t>
                  </m:r>
                </m:sub>
              </m:sSub>
            </m:e>
          </m:d>
          <m:r>
            <w:rPr>
              <w:rFonts w:ascii="Cambria Math" w:hAnsi="Cambria Math"/>
            </w:rPr>
            <m:t xml:space="preserve">= 1 if </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&gt;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oMath>
      </m:oMathPara>
    </w:p>
    <w:p w:rsidR="006E391F" w:rsidRPr="00BC1144" w:rsidRDefault="006E391F" w:rsidP="00336FA0">
      <w:pPr>
        <w:pStyle w:val="BodyText"/>
        <w:ind w:firstLine="720"/>
      </w:pPr>
      <m:oMath>
        <m:r>
          <w:rPr>
            <w:rFonts w:ascii="Cambria Math" w:hAnsi="Cambria Math"/>
          </w:rPr>
          <m:t xml:space="preserve"> 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m:t>
        </m:r>
        <m:r>
          <w:rPr>
            <w:rFonts w:ascii="Cambria Math" w:hAnsi="Cambria Math"/>
          </w:rPr>
          <m:t>/ 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oMath>
      <w:r w:rsidRPr="00BC1144">
        <w:t xml:space="preserve"> otherwise</w:t>
      </w:r>
    </w:p>
    <w:p w:rsidR="006E391F" w:rsidRPr="00BC1144" w:rsidRDefault="006E391F" w:rsidP="00336FA0">
      <w:pPr>
        <w:pStyle w:val="BodyText"/>
      </w:pPr>
      <m:oMathPara>
        <m:oMathParaPr>
          <m:jc m:val="left"/>
        </m:oMathParaPr>
        <m:oMath>
          <m:r>
            <w:rPr>
              <w:rFonts w:ascii="Cambria Math" w:hAnsi="Cambria Math"/>
            </w:rPr>
            <m:t xml:space="preserve">Prob </m:t>
          </m:r>
          <m:d>
            <m:dPr>
              <m:ctrlPr>
                <w:rPr>
                  <w:rFonts w:ascii="Cambria Math" w:hAnsi="Cambria Math"/>
                  <w:i/>
                </w:rPr>
              </m:ctrlPr>
            </m:dPr>
            <m:e>
              <m:sSub>
                <m:sSubPr>
                  <m:ctrlPr>
                    <w:rPr>
                      <w:rFonts w:ascii="Cambria Math" w:hAnsi="Cambria Math"/>
                      <w:i/>
                    </w:rPr>
                  </m:ctrlPr>
                </m:sSubPr>
                <m:e>
                  <m:r>
                    <w:rPr>
                      <w:rFonts w:ascii="Cambria Math" w:hAnsi="Cambria Math"/>
                    </w:rPr>
                    <m:t>Additional student</m:t>
                  </m:r>
                </m:e>
                <m:sub>
                  <m:r>
                    <w:rPr>
                      <w:rFonts w:ascii="Cambria Math" w:hAnsi="Cambria Math"/>
                    </w:rPr>
                    <m:t>2009, i</m:t>
                  </m:r>
                </m:sub>
              </m:sSub>
            </m:e>
          </m:d>
          <m:r>
            <w:rPr>
              <w:rFonts w:ascii="Cambria Math" w:hAnsi="Cambria Math"/>
            </w:rPr>
            <m:t xml:space="preserve">= 0 if </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&gt;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oMath>
      </m:oMathPara>
    </w:p>
    <w:p w:rsidR="006E391F" w:rsidRPr="00BC1144" w:rsidRDefault="006E391F" w:rsidP="00336FA0">
      <w:pPr>
        <w:pStyle w:val="BodyText"/>
        <w:ind w:firstLine="720"/>
      </w:pPr>
      <m:oMath>
        <m:r>
          <w:rPr>
            <w:rFonts w:ascii="Cambria Math" w:hAnsi="Cambria Math"/>
          </w:rPr>
          <m:t>1-Φ(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2003</m:t>
            </m:r>
          </m:sub>
        </m:sSub>
        <m:r>
          <w:rPr>
            <w:rFonts w:ascii="Cambria Math" w:eastAsiaTheme="minorEastAsia" w:hAnsi="Cambria Math"/>
          </w:rPr>
          <m:t>)</m:t>
        </m:r>
        <m:r>
          <w:rPr>
            <w:rFonts w:ascii="Cambria Math" w:hAnsi="Cambria Math"/>
          </w:rPr>
          <m:t>/ Φ(</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2009</m:t>
            </m:r>
          </m:sub>
        </m:sSub>
        <m:r>
          <w:rPr>
            <w:rFonts w:ascii="Cambria Math" w:eastAsiaTheme="minorEastAsia" w:hAnsi="Cambria Math"/>
          </w:rPr>
          <m:t>)</m:t>
        </m:r>
      </m:oMath>
      <w:r w:rsidRPr="00BC1144">
        <w:t xml:space="preserve"> otherwise</w:t>
      </w:r>
    </w:p>
    <w:p w:rsidR="006E391F" w:rsidRPr="00BC1144" w:rsidRDefault="006E391F" w:rsidP="00336FA0">
      <w:pPr>
        <w:pStyle w:val="BodyText"/>
      </w:pPr>
      <w:r w:rsidRPr="00BC1144">
        <w:t>The same approach is taken to identify additional students in the 2006 cohort compared with the 2003 cohort.</w:t>
      </w:r>
    </w:p>
    <w:p w:rsidR="006E391F" w:rsidRPr="00BC1144" w:rsidRDefault="006E391F" w:rsidP="00336FA0">
      <w:pPr>
        <w:pStyle w:val="BodyText"/>
      </w:pPr>
      <w:r w:rsidRPr="00BC1144">
        <w:t xml:space="preserve">Choi </w:t>
      </w:r>
      <w:r w:rsidR="0092626E" w:rsidRPr="00BC1144">
        <w:t>(2015)</w:t>
      </w:r>
      <w:r w:rsidRPr="00BC1144">
        <w:t xml:space="preserve"> undertakes a somewhat similar examination of the effects of expanding university access for young Koreans by comparing age cohorts within a household survey undertaken between 1998 and 2009. Two observations may help compare that analysis with the current study. First, Choi </w:t>
      </w:r>
      <w:r w:rsidR="0092626E" w:rsidRPr="00BC1144">
        <w:t>(2015)</w:t>
      </w:r>
      <w:r w:rsidRPr="00BC1144">
        <w:t xml:space="preserve"> relies on comparisons across age cohorts within a single cross-sectional data set, which means older cohorts had the opportunity for mature entry to university that younger cohorts have not yet had. This paper compares cohorts at the same age. Second, Choi </w:t>
      </w:r>
      <w:r w:rsidR="0092626E" w:rsidRPr="00BC1144">
        <w:t>(2015)</w:t>
      </w:r>
      <w:r w:rsidRPr="00BC1144">
        <w:t xml:space="preserve"> implicitly assumes that there is zero correlation between the effect that unobserved characteristics had and the effect they would have had were a person counterfactually part of an earlier cohort.</w:t>
      </w:r>
    </w:p>
    <w:p w:rsidR="006E391F" w:rsidRPr="00BC1144" w:rsidRDefault="006E391F" w:rsidP="00336FA0">
      <w:pPr>
        <w:pStyle w:val="BodyText"/>
      </w:pPr>
      <w:r w:rsidRPr="00BC1144">
        <w:t>Summary statistics of the additional students and other students are displayed in table B.11 and figures B.4 and B.5, from two different perspectives. Table B.11 shows where the additional and other students come from, which provides an indication of how the composition of university participants has changed since the introduction of the demand driven system. For example, the composition of university participants has shifted toward more first in family students.</w:t>
      </w:r>
    </w:p>
    <w:p w:rsidR="006E391F" w:rsidRPr="00BC1144" w:rsidRDefault="006E391F" w:rsidP="00336FA0">
      <w:pPr>
        <w:pStyle w:val="BodyText"/>
      </w:pPr>
      <w:r w:rsidRPr="00BC1144">
        <w:t>Figures B.4 and B.5 show the participation rates of various groups of young people in 2013 and 2016, respectively. These stacked bar charts provide an indication of the changes in the university participation rates brought about by the additional students. The other students component is the participation rate without the additional students. The combined two components is the participation rate with both the other and additional students.</w:t>
      </w:r>
    </w:p>
    <w:p w:rsidR="006E391F" w:rsidRPr="00BC1144" w:rsidRDefault="006E391F" w:rsidP="00336FA0">
      <w:pPr>
        <w:pStyle w:val="BoxSpaceAbove"/>
        <w:tabs>
          <w:tab w:val="left" w:pos="7607"/>
        </w:tabs>
      </w:pPr>
      <w:r w:rsidRPr="00BC1144">
        <w:lastRenderedPageBreak/>
        <w:tab/>
      </w: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B.11</w:t>
            </w:r>
            <w:r w:rsidRPr="00BC1144">
              <w:tab/>
              <w:t>Who are the additional students?</w:t>
            </w:r>
          </w:p>
          <w:p w:rsidR="006E391F" w:rsidRPr="00BC1144" w:rsidRDefault="006E391F" w:rsidP="00336FA0">
            <w:pPr>
              <w:pStyle w:val="Subtitle"/>
            </w:pPr>
            <w:r w:rsidRPr="00BC1144">
              <w:t>Per cent by age 22 years in 2016</w:t>
            </w:r>
            <w:r w:rsidR="00344F80" w:rsidRPr="00BC1144">
              <w:rPr>
                <w:rStyle w:val="NoteLabel"/>
              </w:rPr>
              <w:t>a</w:t>
            </w:r>
          </w:p>
        </w:tc>
      </w:tr>
      <w:tr w:rsidR="006E391F" w:rsidRPr="00BC1144" w:rsidTr="00336FA0">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352"/>
              <w:gridCol w:w="2759"/>
              <w:gridCol w:w="1099"/>
              <w:gridCol w:w="1099"/>
              <w:gridCol w:w="1099"/>
              <w:gridCol w:w="1097"/>
            </w:tblGrid>
            <w:tr w:rsidR="006E391F" w:rsidRPr="00BC1144" w:rsidTr="00336FA0">
              <w:trPr>
                <w:tblHeader/>
              </w:trPr>
              <w:tc>
                <w:tcPr>
                  <w:tcW w:w="795"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Category</w:t>
                  </w:r>
                </w:p>
              </w:tc>
              <w:tc>
                <w:tcPr>
                  <w:tcW w:w="1622" w:type="pct"/>
                  <w:tcBorders>
                    <w:top w:val="single" w:sz="6" w:space="0" w:color="BFBFBF"/>
                    <w:bottom w:val="single" w:sz="6" w:space="0" w:color="BFBFBF"/>
                  </w:tcBorders>
                </w:tcPr>
                <w:p w:rsidR="006E391F" w:rsidRPr="00BC1144" w:rsidRDefault="006E391F" w:rsidP="00336FA0">
                  <w:pPr>
                    <w:pStyle w:val="TableColumnHeading"/>
                    <w:jc w:val="left"/>
                  </w:pPr>
                  <w:r w:rsidRPr="00BC1144">
                    <w:t>Group</w:t>
                  </w:r>
                </w:p>
              </w:tc>
              <w:tc>
                <w:tcPr>
                  <w:tcW w:w="64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Additional students</w:t>
                  </w:r>
                </w:p>
              </w:tc>
              <w:tc>
                <w:tcPr>
                  <w:tcW w:w="64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Other students</w:t>
                  </w:r>
                </w:p>
              </w:tc>
              <w:tc>
                <w:tcPr>
                  <w:tcW w:w="646" w:type="pct"/>
                  <w:tcBorders>
                    <w:top w:val="single" w:sz="6" w:space="0" w:color="BFBFBF"/>
                    <w:bottom w:val="single" w:sz="6" w:space="0" w:color="BFBFBF"/>
                  </w:tcBorders>
                </w:tcPr>
                <w:p w:rsidR="006E391F" w:rsidRPr="00BC1144" w:rsidRDefault="006E391F" w:rsidP="00336FA0">
                  <w:pPr>
                    <w:pStyle w:val="TableColumnHeading"/>
                    <w:ind w:right="28"/>
                  </w:pPr>
                  <w:r w:rsidRPr="00BC1144">
                    <w:t xml:space="preserve">Not </w:t>
                  </w:r>
                  <w:r w:rsidRPr="00BC1144">
                    <w:br/>
                    <w:t>attended</w:t>
                  </w:r>
                </w:p>
              </w:tc>
              <w:tc>
                <w:tcPr>
                  <w:tcW w:w="645" w:type="pct"/>
                  <w:tcBorders>
                    <w:top w:val="single" w:sz="6" w:space="0" w:color="BFBFBF"/>
                    <w:bottom w:val="single" w:sz="6" w:space="0" w:color="BFBFBF"/>
                  </w:tcBorders>
                </w:tcPr>
                <w:p w:rsidR="006E391F" w:rsidRPr="00BC1144" w:rsidRDefault="006E391F" w:rsidP="00336FA0">
                  <w:pPr>
                    <w:pStyle w:val="TableColumnHeading"/>
                    <w:ind w:right="28"/>
                  </w:pPr>
                  <w:r w:rsidRPr="00BC1144">
                    <w:t>Total</w:t>
                  </w:r>
                </w:p>
              </w:tc>
            </w:tr>
            <w:tr w:rsidR="006E391F" w:rsidRPr="00BC1144" w:rsidTr="00336FA0">
              <w:tc>
                <w:tcPr>
                  <w:tcW w:w="795" w:type="pct"/>
                  <w:vMerge w:val="restar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Socioeconomic status</w:t>
                  </w:r>
                </w:p>
              </w:tc>
              <w:tc>
                <w:tcPr>
                  <w:tcW w:w="1622" w:type="pct"/>
                  <w:tcBorders>
                    <w:top w:val="single" w:sz="6" w:space="0" w:color="BFBFBF"/>
                  </w:tcBorders>
                  <w:shd w:val="clear" w:color="auto" w:fill="F2F2F2" w:themeFill="background1" w:themeFillShade="F2"/>
                </w:tcPr>
                <w:p w:rsidR="006E391F" w:rsidRPr="00BC1144" w:rsidRDefault="006E391F" w:rsidP="00336FA0">
                  <w:pPr>
                    <w:pStyle w:val="TableUnitsRow"/>
                    <w:jc w:val="left"/>
                  </w:pPr>
                  <w:r w:rsidRPr="00BC1144">
                    <w:t>Quartile 4</w:t>
                  </w:r>
                </w:p>
              </w:tc>
              <w:tc>
                <w:tcPr>
                  <w:tcW w:w="646" w:type="pct"/>
                  <w:tcBorders>
                    <w:top w:val="single" w:sz="6" w:space="0" w:color="BFBFBF"/>
                  </w:tcBorders>
                  <w:shd w:val="clear" w:color="auto" w:fill="F2F2F2" w:themeFill="background1" w:themeFillShade="F2"/>
                </w:tcPr>
                <w:p w:rsidR="006E391F" w:rsidRPr="00BC1144" w:rsidRDefault="006E391F" w:rsidP="00336FA0">
                  <w:pPr>
                    <w:pStyle w:val="TableUnitsRow"/>
                  </w:pPr>
                  <w:r w:rsidRPr="00BC1144">
                    <w:t>22.4</w:t>
                  </w:r>
                </w:p>
              </w:tc>
              <w:tc>
                <w:tcPr>
                  <w:tcW w:w="646" w:type="pct"/>
                  <w:tcBorders>
                    <w:top w:val="single" w:sz="6" w:space="0" w:color="BFBFBF"/>
                  </w:tcBorders>
                  <w:shd w:val="clear" w:color="auto" w:fill="F2F2F2" w:themeFill="background1" w:themeFillShade="F2"/>
                </w:tcPr>
                <w:p w:rsidR="006E391F" w:rsidRPr="00BC1144" w:rsidRDefault="006E391F" w:rsidP="00336FA0">
                  <w:pPr>
                    <w:pStyle w:val="TableUnitsRow"/>
                    <w:ind w:right="28"/>
                  </w:pPr>
                  <w:r w:rsidRPr="00BC1144">
                    <w:t>35.0</w:t>
                  </w:r>
                </w:p>
              </w:tc>
              <w:tc>
                <w:tcPr>
                  <w:tcW w:w="646" w:type="pct"/>
                  <w:tcBorders>
                    <w:top w:val="single" w:sz="6" w:space="0" w:color="BFBFBF"/>
                  </w:tcBorders>
                  <w:shd w:val="clear" w:color="auto" w:fill="F2F2F2" w:themeFill="background1" w:themeFillShade="F2"/>
                </w:tcPr>
                <w:p w:rsidR="006E391F" w:rsidRPr="00BC1144" w:rsidRDefault="006E391F" w:rsidP="00336FA0">
                  <w:pPr>
                    <w:pStyle w:val="TableUnitsRow"/>
                    <w:ind w:right="28"/>
                  </w:pPr>
                  <w:r w:rsidRPr="00BC1144">
                    <w:t>17.6</w:t>
                  </w:r>
                </w:p>
              </w:tc>
              <w:tc>
                <w:tcPr>
                  <w:tcW w:w="645" w:type="pct"/>
                  <w:tcBorders>
                    <w:top w:val="single" w:sz="6" w:space="0" w:color="BFBFBF"/>
                  </w:tcBorders>
                  <w:shd w:val="clear" w:color="auto" w:fill="F2F2F2" w:themeFill="background1" w:themeFillShade="F2"/>
                </w:tcPr>
                <w:p w:rsidR="006E391F" w:rsidRPr="00BC1144" w:rsidRDefault="006E391F" w:rsidP="00336FA0">
                  <w:pPr>
                    <w:pStyle w:val="TableUnitsRow"/>
                    <w:ind w:right="28"/>
                  </w:pPr>
                  <w:r w:rsidRPr="00BC1144">
                    <w:t>27.3</w:t>
                  </w:r>
                </w:p>
              </w:tc>
            </w:tr>
            <w:tr w:rsidR="006E391F" w:rsidRPr="00BC1144" w:rsidTr="00336FA0">
              <w:tc>
                <w:tcPr>
                  <w:tcW w:w="795" w:type="pct"/>
                  <w:vMerge/>
                  <w:shd w:val="clear" w:color="auto" w:fill="E5F1D0"/>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Quartile 3</w:t>
                  </w:r>
                </w:p>
              </w:tc>
              <w:tc>
                <w:tcPr>
                  <w:tcW w:w="646" w:type="pct"/>
                  <w:shd w:val="clear" w:color="auto" w:fill="F2F2F2" w:themeFill="background1" w:themeFillShade="F2"/>
                </w:tcPr>
                <w:p w:rsidR="006E391F" w:rsidRPr="00BC1144" w:rsidRDefault="006E391F" w:rsidP="00336FA0">
                  <w:pPr>
                    <w:pStyle w:val="TableBodyText"/>
                  </w:pPr>
                  <w:r w:rsidRPr="00BC1144">
                    <w:t>26.9</w:t>
                  </w:r>
                </w:p>
              </w:tc>
              <w:tc>
                <w:tcPr>
                  <w:tcW w:w="646" w:type="pct"/>
                  <w:shd w:val="clear" w:color="auto" w:fill="F2F2F2" w:themeFill="background1" w:themeFillShade="F2"/>
                </w:tcPr>
                <w:p w:rsidR="006E391F" w:rsidRPr="00BC1144" w:rsidRDefault="006E391F" w:rsidP="00336FA0">
                  <w:pPr>
                    <w:pStyle w:val="TableBodyText"/>
                    <w:ind w:right="28"/>
                  </w:pPr>
                  <w:r w:rsidRPr="00BC1144">
                    <w:t>26.0</w:t>
                  </w:r>
                </w:p>
              </w:tc>
              <w:tc>
                <w:tcPr>
                  <w:tcW w:w="646" w:type="pct"/>
                  <w:shd w:val="clear" w:color="auto" w:fill="F2F2F2" w:themeFill="background1" w:themeFillShade="F2"/>
                </w:tcPr>
                <w:p w:rsidR="006E391F" w:rsidRPr="00BC1144" w:rsidRDefault="006E391F" w:rsidP="00336FA0">
                  <w:pPr>
                    <w:pStyle w:val="TableBodyText"/>
                    <w:ind w:right="28"/>
                  </w:pPr>
                  <w:r w:rsidRPr="00BC1144">
                    <w:t>24.5</w:t>
                  </w:r>
                </w:p>
              </w:tc>
              <w:tc>
                <w:tcPr>
                  <w:tcW w:w="645" w:type="pct"/>
                  <w:shd w:val="clear" w:color="auto" w:fill="F2F2F2" w:themeFill="background1" w:themeFillShade="F2"/>
                </w:tcPr>
                <w:p w:rsidR="006E391F" w:rsidRPr="00BC1144" w:rsidRDefault="006E391F" w:rsidP="00336FA0">
                  <w:pPr>
                    <w:pStyle w:val="TableBodyText"/>
                    <w:ind w:right="28"/>
                  </w:pPr>
                  <w:r w:rsidRPr="00BC1144">
                    <w:t>25.5</w:t>
                  </w:r>
                </w:p>
              </w:tc>
            </w:tr>
            <w:tr w:rsidR="006E391F" w:rsidRPr="00BC1144" w:rsidTr="00336FA0">
              <w:tc>
                <w:tcPr>
                  <w:tcW w:w="795" w:type="pct"/>
                  <w:vMerge/>
                  <w:shd w:val="clear" w:color="auto" w:fill="E5F1D0"/>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Quartile 2</w:t>
                  </w:r>
                </w:p>
              </w:tc>
              <w:tc>
                <w:tcPr>
                  <w:tcW w:w="646" w:type="pct"/>
                  <w:shd w:val="clear" w:color="auto" w:fill="F2F2F2" w:themeFill="background1" w:themeFillShade="F2"/>
                </w:tcPr>
                <w:p w:rsidR="006E391F" w:rsidRPr="00BC1144" w:rsidRDefault="006E391F" w:rsidP="00336FA0">
                  <w:pPr>
                    <w:pStyle w:val="TableBodyText"/>
                  </w:pPr>
                  <w:r w:rsidRPr="00BC1144">
                    <w:t>18.4</w:t>
                  </w:r>
                </w:p>
              </w:tc>
              <w:tc>
                <w:tcPr>
                  <w:tcW w:w="646" w:type="pct"/>
                  <w:shd w:val="clear" w:color="auto" w:fill="F2F2F2" w:themeFill="background1" w:themeFillShade="F2"/>
                </w:tcPr>
                <w:p w:rsidR="006E391F" w:rsidRPr="00BC1144" w:rsidRDefault="006E391F" w:rsidP="00336FA0">
                  <w:pPr>
                    <w:pStyle w:val="TableBodyText"/>
                    <w:ind w:right="28"/>
                  </w:pPr>
                  <w:r w:rsidRPr="00BC1144">
                    <w:t>24.5</w:t>
                  </w:r>
                </w:p>
              </w:tc>
              <w:tc>
                <w:tcPr>
                  <w:tcW w:w="646" w:type="pct"/>
                  <w:shd w:val="clear" w:color="auto" w:fill="F2F2F2" w:themeFill="background1" w:themeFillShade="F2"/>
                </w:tcPr>
                <w:p w:rsidR="006E391F" w:rsidRPr="00BC1144" w:rsidRDefault="006E391F" w:rsidP="00336FA0">
                  <w:pPr>
                    <w:pStyle w:val="TableBodyText"/>
                    <w:ind w:right="28"/>
                  </w:pPr>
                  <w:r w:rsidRPr="00BC1144">
                    <w:t>29.9</w:t>
                  </w:r>
                </w:p>
              </w:tc>
              <w:tc>
                <w:tcPr>
                  <w:tcW w:w="645" w:type="pct"/>
                  <w:shd w:val="clear" w:color="auto" w:fill="F2F2F2" w:themeFill="background1" w:themeFillShade="F2"/>
                </w:tcPr>
                <w:p w:rsidR="006E391F" w:rsidRPr="00BC1144" w:rsidRDefault="006E391F" w:rsidP="00336FA0">
                  <w:pPr>
                    <w:pStyle w:val="TableBodyText"/>
                    <w:ind w:right="28"/>
                  </w:pPr>
                  <w:r w:rsidRPr="00BC1144">
                    <w:t>26.3</w:t>
                  </w:r>
                </w:p>
              </w:tc>
            </w:tr>
            <w:tr w:rsidR="006E391F" w:rsidRPr="00BC1144" w:rsidTr="00336FA0">
              <w:tc>
                <w:tcPr>
                  <w:tcW w:w="795" w:type="pct"/>
                  <w:vMerge/>
                  <w:shd w:val="clear" w:color="auto" w:fill="E5F1D0"/>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Quartile 1</w:t>
                  </w:r>
                </w:p>
              </w:tc>
              <w:tc>
                <w:tcPr>
                  <w:tcW w:w="646" w:type="pct"/>
                  <w:shd w:val="clear" w:color="auto" w:fill="F2F2F2" w:themeFill="background1" w:themeFillShade="F2"/>
                </w:tcPr>
                <w:p w:rsidR="006E391F" w:rsidRPr="00BC1144" w:rsidRDefault="006E391F" w:rsidP="00336FA0">
                  <w:pPr>
                    <w:pStyle w:val="TableBodyText"/>
                  </w:pPr>
                  <w:r w:rsidRPr="00BC1144">
                    <w:t>32.3</w:t>
                  </w:r>
                </w:p>
              </w:tc>
              <w:tc>
                <w:tcPr>
                  <w:tcW w:w="646" w:type="pct"/>
                  <w:shd w:val="clear" w:color="auto" w:fill="F2F2F2" w:themeFill="background1" w:themeFillShade="F2"/>
                </w:tcPr>
                <w:p w:rsidR="006E391F" w:rsidRPr="00BC1144" w:rsidRDefault="006E391F" w:rsidP="00336FA0">
                  <w:pPr>
                    <w:pStyle w:val="TableBodyText"/>
                    <w:ind w:right="28"/>
                  </w:pPr>
                  <w:r w:rsidRPr="00BC1144">
                    <w:t>14.5</w:t>
                  </w:r>
                </w:p>
              </w:tc>
              <w:tc>
                <w:tcPr>
                  <w:tcW w:w="646" w:type="pct"/>
                  <w:shd w:val="clear" w:color="auto" w:fill="F2F2F2" w:themeFill="background1" w:themeFillShade="F2"/>
                </w:tcPr>
                <w:p w:rsidR="006E391F" w:rsidRPr="00BC1144" w:rsidRDefault="006E391F" w:rsidP="00336FA0">
                  <w:pPr>
                    <w:pStyle w:val="TableBodyText"/>
                    <w:ind w:right="28"/>
                  </w:pPr>
                  <w:r w:rsidRPr="00BC1144">
                    <w:t>28.0</w:t>
                  </w:r>
                </w:p>
              </w:tc>
              <w:tc>
                <w:tcPr>
                  <w:tcW w:w="645" w:type="pct"/>
                  <w:shd w:val="clear" w:color="auto" w:fill="F2F2F2" w:themeFill="background1" w:themeFillShade="F2"/>
                </w:tcPr>
                <w:p w:rsidR="006E391F" w:rsidRPr="00BC1144" w:rsidRDefault="006E391F" w:rsidP="00336FA0">
                  <w:pPr>
                    <w:pStyle w:val="TableBodyText"/>
                    <w:ind w:right="28"/>
                  </w:pPr>
                  <w:r w:rsidRPr="00BC1144">
                    <w:t>20.9</w:t>
                  </w:r>
                </w:p>
              </w:tc>
            </w:tr>
            <w:tr w:rsidR="006E391F" w:rsidRPr="00BC1144" w:rsidTr="00336FA0">
              <w:tc>
                <w:tcPr>
                  <w:tcW w:w="795" w:type="pct"/>
                  <w:vMerge w:val="restart"/>
                </w:tcPr>
                <w:p w:rsidR="006E391F" w:rsidRPr="00BC1144" w:rsidRDefault="006E391F" w:rsidP="00336FA0">
                  <w:pPr>
                    <w:pStyle w:val="TableBodyText"/>
                    <w:jc w:val="left"/>
                  </w:pPr>
                  <w:r w:rsidRPr="00BC1144">
                    <w:t>First in family</w:t>
                  </w:r>
                </w:p>
              </w:tc>
              <w:tc>
                <w:tcPr>
                  <w:tcW w:w="1622" w:type="pct"/>
                </w:tcPr>
                <w:p w:rsidR="006E391F" w:rsidRPr="00BC1144" w:rsidRDefault="006E391F" w:rsidP="00336FA0">
                  <w:pPr>
                    <w:pStyle w:val="TableBodyText"/>
                    <w:jc w:val="left"/>
                  </w:pPr>
                  <w:r w:rsidRPr="00BC1144">
                    <w:t>First in family</w:t>
                  </w:r>
                </w:p>
              </w:tc>
              <w:tc>
                <w:tcPr>
                  <w:tcW w:w="646" w:type="pct"/>
                </w:tcPr>
                <w:p w:rsidR="006E391F" w:rsidRPr="00BC1144" w:rsidRDefault="006E391F" w:rsidP="00336FA0">
                  <w:pPr>
                    <w:pStyle w:val="TableBodyText"/>
                  </w:pPr>
                  <w:r w:rsidRPr="00BC1144">
                    <w:t>35.4</w:t>
                  </w:r>
                </w:p>
              </w:tc>
              <w:tc>
                <w:tcPr>
                  <w:tcW w:w="646" w:type="pct"/>
                </w:tcPr>
                <w:p w:rsidR="006E391F" w:rsidRPr="00BC1144" w:rsidRDefault="006E391F" w:rsidP="00336FA0">
                  <w:pPr>
                    <w:pStyle w:val="TableBodyText"/>
                    <w:ind w:right="28"/>
                  </w:pPr>
                  <w:r w:rsidRPr="00BC1144">
                    <w:t>55.0</w:t>
                  </w:r>
                </w:p>
              </w:tc>
              <w:tc>
                <w:tcPr>
                  <w:tcW w:w="646" w:type="pct"/>
                </w:tcPr>
                <w:p w:rsidR="006E391F" w:rsidRPr="00BC1144" w:rsidRDefault="006E391F" w:rsidP="00336FA0">
                  <w:pPr>
                    <w:pStyle w:val="TableBodyText"/>
                    <w:ind w:right="28"/>
                  </w:pPr>
                  <w:r w:rsidRPr="00BC1144">
                    <w:t>21.6</w:t>
                  </w:r>
                </w:p>
              </w:tc>
              <w:tc>
                <w:tcPr>
                  <w:tcW w:w="645" w:type="pct"/>
                </w:tcPr>
                <w:p w:rsidR="006E391F" w:rsidRPr="00BC1144" w:rsidRDefault="006E391F" w:rsidP="00336FA0">
                  <w:pPr>
                    <w:pStyle w:val="TableBodyText"/>
                    <w:ind w:right="28"/>
                  </w:pPr>
                  <w:r w:rsidRPr="00BC1144">
                    <w:t>40.5</w:t>
                  </w:r>
                </w:p>
              </w:tc>
            </w:tr>
            <w:tr w:rsidR="006E391F" w:rsidRPr="00BC1144" w:rsidTr="00336FA0">
              <w:tc>
                <w:tcPr>
                  <w:tcW w:w="795" w:type="pct"/>
                  <w:vMerge/>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Not first in family</w:t>
                  </w:r>
                </w:p>
              </w:tc>
              <w:tc>
                <w:tcPr>
                  <w:tcW w:w="646" w:type="pct"/>
                </w:tcPr>
                <w:p w:rsidR="006E391F" w:rsidRPr="00BC1144" w:rsidRDefault="006E391F" w:rsidP="00336FA0">
                  <w:pPr>
                    <w:pStyle w:val="TableBodyText"/>
                  </w:pPr>
                  <w:r w:rsidRPr="00BC1144">
                    <w:t>64.6</w:t>
                  </w:r>
                </w:p>
              </w:tc>
              <w:tc>
                <w:tcPr>
                  <w:tcW w:w="646" w:type="pct"/>
                </w:tcPr>
                <w:p w:rsidR="006E391F" w:rsidRPr="00BC1144" w:rsidRDefault="006E391F" w:rsidP="00336FA0">
                  <w:pPr>
                    <w:pStyle w:val="TableBodyText"/>
                    <w:ind w:right="28"/>
                  </w:pPr>
                  <w:r w:rsidRPr="00BC1144">
                    <w:t>45.0</w:t>
                  </w:r>
                </w:p>
              </w:tc>
              <w:tc>
                <w:tcPr>
                  <w:tcW w:w="646" w:type="pct"/>
                </w:tcPr>
                <w:p w:rsidR="006E391F" w:rsidRPr="00BC1144" w:rsidRDefault="006E391F" w:rsidP="00336FA0">
                  <w:pPr>
                    <w:pStyle w:val="TableBodyText"/>
                    <w:ind w:right="28"/>
                  </w:pPr>
                  <w:r w:rsidRPr="00BC1144">
                    <w:t>78.4</w:t>
                  </w:r>
                </w:p>
              </w:tc>
              <w:tc>
                <w:tcPr>
                  <w:tcW w:w="645" w:type="pct"/>
                </w:tcPr>
                <w:p w:rsidR="006E391F" w:rsidRPr="00BC1144" w:rsidRDefault="006E391F" w:rsidP="00336FA0">
                  <w:pPr>
                    <w:pStyle w:val="TableBodyText"/>
                    <w:ind w:right="28"/>
                  </w:pPr>
                  <w:r w:rsidRPr="00BC1144">
                    <w:t>59.5</w:t>
                  </w:r>
                </w:p>
              </w:tc>
            </w:tr>
            <w:tr w:rsidR="006E391F" w:rsidRPr="00BC1144" w:rsidTr="00336FA0">
              <w:tc>
                <w:tcPr>
                  <w:tcW w:w="795" w:type="pct"/>
                  <w:vMerge w:val="restart"/>
                  <w:shd w:val="clear" w:color="auto" w:fill="F2F2F2" w:themeFill="background1" w:themeFillShade="F2"/>
                </w:tcPr>
                <w:p w:rsidR="006E391F" w:rsidRPr="00BC1144" w:rsidRDefault="006E391F" w:rsidP="00336FA0">
                  <w:pPr>
                    <w:pStyle w:val="TableBodyText"/>
                    <w:jc w:val="left"/>
                  </w:pPr>
                  <w:r w:rsidRPr="00BC1144">
                    <w:t>Indigenous status</w:t>
                  </w:r>
                </w:p>
              </w:tc>
              <w:tc>
                <w:tcPr>
                  <w:tcW w:w="1622" w:type="pct"/>
                  <w:shd w:val="clear" w:color="auto" w:fill="F2F2F2" w:themeFill="background1" w:themeFillShade="F2"/>
                </w:tcPr>
                <w:p w:rsidR="006E391F" w:rsidRPr="00BC1144" w:rsidRDefault="006E391F" w:rsidP="00336FA0">
                  <w:pPr>
                    <w:pStyle w:val="TableBodyText"/>
                    <w:jc w:val="left"/>
                  </w:pPr>
                  <w:r w:rsidRPr="00BC1144">
                    <w:t>Not indigenous</w:t>
                  </w:r>
                </w:p>
              </w:tc>
              <w:tc>
                <w:tcPr>
                  <w:tcW w:w="646" w:type="pct"/>
                  <w:shd w:val="clear" w:color="auto" w:fill="F2F2F2" w:themeFill="background1" w:themeFillShade="F2"/>
                </w:tcPr>
                <w:p w:rsidR="006E391F" w:rsidRPr="00BC1144" w:rsidRDefault="006E391F" w:rsidP="00336FA0">
                  <w:pPr>
                    <w:pStyle w:val="TableBodyText"/>
                  </w:pPr>
                  <w:r w:rsidRPr="00BC1144">
                    <w:t>98.4</w:t>
                  </w:r>
                </w:p>
              </w:tc>
              <w:tc>
                <w:tcPr>
                  <w:tcW w:w="646" w:type="pct"/>
                  <w:shd w:val="clear" w:color="auto" w:fill="F2F2F2" w:themeFill="background1" w:themeFillShade="F2"/>
                </w:tcPr>
                <w:p w:rsidR="006E391F" w:rsidRPr="00BC1144" w:rsidRDefault="006E391F" w:rsidP="00336FA0">
                  <w:pPr>
                    <w:pStyle w:val="TableBodyText"/>
                    <w:ind w:right="28"/>
                  </w:pPr>
                  <w:r w:rsidRPr="00BC1144">
                    <w:t>98.8</w:t>
                  </w:r>
                </w:p>
              </w:tc>
              <w:tc>
                <w:tcPr>
                  <w:tcW w:w="646" w:type="pct"/>
                  <w:shd w:val="clear" w:color="auto" w:fill="F2F2F2" w:themeFill="background1" w:themeFillShade="F2"/>
                </w:tcPr>
                <w:p w:rsidR="006E391F" w:rsidRPr="00BC1144" w:rsidRDefault="006E391F" w:rsidP="00336FA0">
                  <w:pPr>
                    <w:pStyle w:val="TableBodyText"/>
                    <w:ind w:right="28"/>
                  </w:pPr>
                  <w:r w:rsidRPr="00BC1144">
                    <w:t>95.6</w:t>
                  </w:r>
                </w:p>
              </w:tc>
              <w:tc>
                <w:tcPr>
                  <w:tcW w:w="645" w:type="pct"/>
                  <w:shd w:val="clear" w:color="auto" w:fill="F2F2F2" w:themeFill="background1" w:themeFillShade="F2"/>
                </w:tcPr>
                <w:p w:rsidR="006E391F" w:rsidRPr="00BC1144" w:rsidRDefault="006E391F" w:rsidP="00336FA0">
                  <w:pPr>
                    <w:pStyle w:val="TableBodyText"/>
                    <w:ind w:right="28"/>
                  </w:pPr>
                  <w:r w:rsidRPr="00BC1144">
                    <w:t>97.5</w:t>
                  </w:r>
                </w:p>
              </w:tc>
            </w:tr>
            <w:tr w:rsidR="006E391F" w:rsidRPr="00BC1144" w:rsidTr="00336FA0">
              <w:tc>
                <w:tcPr>
                  <w:tcW w:w="795" w:type="pct"/>
                  <w:vMerge/>
                  <w:shd w:val="clear" w:color="auto" w:fill="E5F1D0" w:themeFill="accent1" w:themeFillTint="33"/>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Indigenous</w:t>
                  </w:r>
                </w:p>
              </w:tc>
              <w:tc>
                <w:tcPr>
                  <w:tcW w:w="646" w:type="pct"/>
                  <w:shd w:val="clear" w:color="auto" w:fill="F2F2F2" w:themeFill="background1" w:themeFillShade="F2"/>
                </w:tcPr>
                <w:p w:rsidR="006E391F" w:rsidRPr="00BC1144" w:rsidRDefault="006E391F" w:rsidP="00336FA0">
                  <w:pPr>
                    <w:pStyle w:val="TableBodyText"/>
                  </w:pPr>
                  <w:r w:rsidRPr="00BC1144">
                    <w:t>1.6</w:t>
                  </w:r>
                </w:p>
              </w:tc>
              <w:tc>
                <w:tcPr>
                  <w:tcW w:w="646" w:type="pct"/>
                  <w:shd w:val="clear" w:color="auto" w:fill="F2F2F2" w:themeFill="background1" w:themeFillShade="F2"/>
                </w:tcPr>
                <w:p w:rsidR="006E391F" w:rsidRPr="00BC1144" w:rsidRDefault="006E391F" w:rsidP="00336FA0">
                  <w:pPr>
                    <w:pStyle w:val="TableBodyText"/>
                    <w:ind w:right="28"/>
                  </w:pPr>
                  <w:r w:rsidRPr="00BC1144">
                    <w:t>1.2</w:t>
                  </w:r>
                </w:p>
              </w:tc>
              <w:tc>
                <w:tcPr>
                  <w:tcW w:w="646" w:type="pct"/>
                  <w:shd w:val="clear" w:color="auto" w:fill="F2F2F2" w:themeFill="background1" w:themeFillShade="F2"/>
                </w:tcPr>
                <w:p w:rsidR="006E391F" w:rsidRPr="00BC1144" w:rsidRDefault="006E391F" w:rsidP="00336FA0">
                  <w:pPr>
                    <w:pStyle w:val="TableBodyText"/>
                    <w:ind w:right="28"/>
                  </w:pPr>
                  <w:r w:rsidRPr="00BC1144">
                    <w:t>4.4</w:t>
                  </w:r>
                </w:p>
              </w:tc>
              <w:tc>
                <w:tcPr>
                  <w:tcW w:w="645" w:type="pct"/>
                  <w:shd w:val="clear" w:color="auto" w:fill="F2F2F2" w:themeFill="background1" w:themeFillShade="F2"/>
                </w:tcPr>
                <w:p w:rsidR="006E391F" w:rsidRPr="00BC1144" w:rsidRDefault="006E391F" w:rsidP="00336FA0">
                  <w:pPr>
                    <w:pStyle w:val="TableBodyText"/>
                    <w:ind w:right="28"/>
                  </w:pPr>
                  <w:r w:rsidRPr="00BC1144">
                    <w:t>2.5</w:t>
                  </w:r>
                </w:p>
              </w:tc>
            </w:tr>
            <w:tr w:rsidR="006E391F" w:rsidRPr="00BC1144" w:rsidTr="00336FA0">
              <w:tc>
                <w:tcPr>
                  <w:tcW w:w="795" w:type="pct"/>
                  <w:vMerge w:val="restart"/>
                </w:tcPr>
                <w:p w:rsidR="006E391F" w:rsidRPr="00BC1144" w:rsidRDefault="006E391F" w:rsidP="00336FA0">
                  <w:pPr>
                    <w:pStyle w:val="TableBodyText"/>
                    <w:jc w:val="left"/>
                  </w:pPr>
                  <w:r w:rsidRPr="00BC1144">
                    <w:t>Location at age 15</w:t>
                  </w:r>
                </w:p>
              </w:tc>
              <w:tc>
                <w:tcPr>
                  <w:tcW w:w="1622" w:type="pct"/>
                </w:tcPr>
                <w:p w:rsidR="006E391F" w:rsidRPr="00BC1144" w:rsidRDefault="006E391F" w:rsidP="00336FA0">
                  <w:pPr>
                    <w:pStyle w:val="TableBodyText"/>
                    <w:jc w:val="left"/>
                  </w:pPr>
                  <w:r w:rsidRPr="00BC1144">
                    <w:t>Metropolitan</w:t>
                  </w:r>
                </w:p>
              </w:tc>
              <w:tc>
                <w:tcPr>
                  <w:tcW w:w="646" w:type="pct"/>
                </w:tcPr>
                <w:p w:rsidR="006E391F" w:rsidRPr="00BC1144" w:rsidRDefault="006E391F" w:rsidP="00336FA0">
                  <w:pPr>
                    <w:pStyle w:val="TableBodyText"/>
                  </w:pPr>
                  <w:r w:rsidRPr="00BC1144">
                    <w:t>82.3</w:t>
                  </w:r>
                </w:p>
              </w:tc>
              <w:tc>
                <w:tcPr>
                  <w:tcW w:w="646" w:type="pct"/>
                </w:tcPr>
                <w:p w:rsidR="006E391F" w:rsidRPr="00BC1144" w:rsidRDefault="006E391F" w:rsidP="00336FA0">
                  <w:pPr>
                    <w:pStyle w:val="TableBodyText"/>
                    <w:ind w:right="28"/>
                  </w:pPr>
                  <w:r w:rsidRPr="00BC1144">
                    <w:t>74.9</w:t>
                  </w:r>
                </w:p>
              </w:tc>
              <w:tc>
                <w:tcPr>
                  <w:tcW w:w="646" w:type="pct"/>
                </w:tcPr>
                <w:p w:rsidR="006E391F" w:rsidRPr="00BC1144" w:rsidRDefault="006E391F" w:rsidP="00336FA0">
                  <w:pPr>
                    <w:pStyle w:val="TableBodyText"/>
                    <w:ind w:right="28"/>
                  </w:pPr>
                  <w:r w:rsidRPr="00BC1144">
                    <w:t>58.5</w:t>
                  </w:r>
                </w:p>
              </w:tc>
              <w:tc>
                <w:tcPr>
                  <w:tcW w:w="645" w:type="pct"/>
                </w:tcPr>
                <w:p w:rsidR="006E391F" w:rsidRPr="00BC1144" w:rsidRDefault="006E391F" w:rsidP="00336FA0">
                  <w:pPr>
                    <w:pStyle w:val="TableBodyText"/>
                    <w:ind w:right="28"/>
                  </w:pPr>
                  <w:r w:rsidRPr="00BC1144">
                    <w:t>68.7</w:t>
                  </w:r>
                </w:p>
              </w:tc>
            </w:tr>
            <w:tr w:rsidR="006E391F" w:rsidRPr="00BC1144" w:rsidTr="00336FA0">
              <w:tc>
                <w:tcPr>
                  <w:tcW w:w="795" w:type="pct"/>
                  <w:vMerge/>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Regional or remote</w:t>
                  </w:r>
                </w:p>
              </w:tc>
              <w:tc>
                <w:tcPr>
                  <w:tcW w:w="646" w:type="pct"/>
                </w:tcPr>
                <w:p w:rsidR="006E391F" w:rsidRPr="00BC1144" w:rsidRDefault="006E391F" w:rsidP="00336FA0">
                  <w:pPr>
                    <w:pStyle w:val="TableBodyText"/>
                  </w:pPr>
                  <w:r w:rsidRPr="00BC1144">
                    <w:t>17.7</w:t>
                  </w:r>
                </w:p>
              </w:tc>
              <w:tc>
                <w:tcPr>
                  <w:tcW w:w="646" w:type="pct"/>
                </w:tcPr>
                <w:p w:rsidR="006E391F" w:rsidRPr="00BC1144" w:rsidRDefault="006E391F" w:rsidP="00336FA0">
                  <w:pPr>
                    <w:pStyle w:val="TableBodyText"/>
                    <w:ind w:right="28"/>
                  </w:pPr>
                  <w:r w:rsidRPr="00BC1144">
                    <w:t>25.1</w:t>
                  </w:r>
                </w:p>
              </w:tc>
              <w:tc>
                <w:tcPr>
                  <w:tcW w:w="646" w:type="pct"/>
                </w:tcPr>
                <w:p w:rsidR="006E391F" w:rsidRPr="00BC1144" w:rsidRDefault="006E391F" w:rsidP="00336FA0">
                  <w:pPr>
                    <w:pStyle w:val="TableBodyText"/>
                    <w:ind w:right="28"/>
                  </w:pPr>
                  <w:r w:rsidRPr="00BC1144">
                    <w:t>41.5</w:t>
                  </w:r>
                </w:p>
              </w:tc>
              <w:tc>
                <w:tcPr>
                  <w:tcW w:w="645" w:type="pct"/>
                </w:tcPr>
                <w:p w:rsidR="006E391F" w:rsidRPr="00BC1144" w:rsidRDefault="006E391F" w:rsidP="00336FA0">
                  <w:pPr>
                    <w:pStyle w:val="TableBodyText"/>
                    <w:ind w:right="28"/>
                  </w:pPr>
                  <w:r w:rsidRPr="00BC1144">
                    <w:t>31.3</w:t>
                  </w:r>
                </w:p>
              </w:tc>
            </w:tr>
            <w:tr w:rsidR="006E391F" w:rsidRPr="00BC1144" w:rsidTr="00336FA0">
              <w:tc>
                <w:tcPr>
                  <w:tcW w:w="795" w:type="pct"/>
                  <w:shd w:val="clear" w:color="auto" w:fill="F2F2F2" w:themeFill="background1" w:themeFillShade="F2"/>
                </w:tcPr>
                <w:p w:rsidR="006E391F" w:rsidRPr="00BC1144" w:rsidRDefault="006E391F" w:rsidP="00336FA0">
                  <w:pPr>
                    <w:pStyle w:val="TableBodyText"/>
                    <w:jc w:val="left"/>
                  </w:pPr>
                  <w:r w:rsidRPr="00BC1144">
                    <w:t>Equity group</w:t>
                  </w:r>
                </w:p>
              </w:tc>
              <w:tc>
                <w:tcPr>
                  <w:tcW w:w="1622" w:type="pct"/>
                  <w:shd w:val="clear" w:color="auto" w:fill="F2F2F2" w:themeFill="background1" w:themeFillShade="F2"/>
                </w:tcPr>
                <w:p w:rsidR="006E391F" w:rsidRPr="00BC1144" w:rsidRDefault="006E391F" w:rsidP="00336FA0">
                  <w:pPr>
                    <w:pStyle w:val="TableBodyText"/>
                    <w:jc w:val="left"/>
                  </w:pPr>
                  <w:r w:rsidRPr="00BC1144">
                    <w:t>Not disadvantaged</w:t>
                  </w:r>
                </w:p>
              </w:tc>
              <w:tc>
                <w:tcPr>
                  <w:tcW w:w="646" w:type="pct"/>
                  <w:shd w:val="clear" w:color="auto" w:fill="F2F2F2" w:themeFill="background1" w:themeFillShade="F2"/>
                </w:tcPr>
                <w:p w:rsidR="006E391F" w:rsidRPr="00BC1144" w:rsidRDefault="006E391F" w:rsidP="00336FA0">
                  <w:pPr>
                    <w:pStyle w:val="TableBodyText"/>
                  </w:pPr>
                  <w:r w:rsidRPr="00BC1144">
                    <w:t>27.0</w:t>
                  </w:r>
                </w:p>
              </w:tc>
              <w:tc>
                <w:tcPr>
                  <w:tcW w:w="646" w:type="pct"/>
                  <w:shd w:val="clear" w:color="auto" w:fill="F2F2F2" w:themeFill="background1" w:themeFillShade="F2"/>
                </w:tcPr>
                <w:p w:rsidR="006E391F" w:rsidRPr="00BC1144" w:rsidRDefault="006E391F" w:rsidP="00336FA0">
                  <w:pPr>
                    <w:pStyle w:val="TableBodyText"/>
                    <w:ind w:right="28"/>
                  </w:pPr>
                  <w:r w:rsidRPr="00BC1144">
                    <w:t>41.7</w:t>
                  </w:r>
                </w:p>
              </w:tc>
              <w:tc>
                <w:tcPr>
                  <w:tcW w:w="646" w:type="pct"/>
                  <w:shd w:val="clear" w:color="auto" w:fill="F2F2F2" w:themeFill="background1" w:themeFillShade="F2"/>
                </w:tcPr>
                <w:p w:rsidR="006E391F" w:rsidRPr="00BC1144" w:rsidRDefault="006E391F" w:rsidP="00336FA0">
                  <w:pPr>
                    <w:pStyle w:val="TableBodyText"/>
                    <w:ind w:right="28"/>
                  </w:pPr>
                  <w:r w:rsidRPr="00BC1144">
                    <w:t>12.3</w:t>
                  </w:r>
                </w:p>
              </w:tc>
              <w:tc>
                <w:tcPr>
                  <w:tcW w:w="645" w:type="pct"/>
                  <w:shd w:val="clear" w:color="auto" w:fill="F2F2F2" w:themeFill="background1" w:themeFillShade="F2"/>
                </w:tcPr>
                <w:p w:rsidR="006E391F" w:rsidRPr="00BC1144" w:rsidRDefault="006E391F" w:rsidP="00336FA0">
                  <w:pPr>
                    <w:pStyle w:val="TableBodyText"/>
                    <w:ind w:right="28"/>
                  </w:pPr>
                  <w:r w:rsidRPr="00BC1144">
                    <w:t>29.1</w:t>
                  </w:r>
                </w:p>
              </w:tc>
            </w:tr>
            <w:tr w:rsidR="006E391F" w:rsidRPr="00BC1144" w:rsidTr="00336FA0">
              <w:tc>
                <w:tcPr>
                  <w:tcW w:w="795" w:type="pct"/>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Disadvantaged</w:t>
                  </w:r>
                </w:p>
              </w:tc>
              <w:tc>
                <w:tcPr>
                  <w:tcW w:w="646" w:type="pct"/>
                  <w:shd w:val="clear" w:color="auto" w:fill="F2F2F2" w:themeFill="background1" w:themeFillShade="F2"/>
                </w:tcPr>
                <w:p w:rsidR="006E391F" w:rsidRPr="00BC1144" w:rsidRDefault="006E391F" w:rsidP="00336FA0">
                  <w:pPr>
                    <w:pStyle w:val="TableBodyText"/>
                  </w:pPr>
                  <w:r w:rsidRPr="00BC1144">
                    <w:t>73.0</w:t>
                  </w:r>
                </w:p>
              </w:tc>
              <w:tc>
                <w:tcPr>
                  <w:tcW w:w="646" w:type="pct"/>
                  <w:shd w:val="clear" w:color="auto" w:fill="F2F2F2" w:themeFill="background1" w:themeFillShade="F2"/>
                </w:tcPr>
                <w:p w:rsidR="006E391F" w:rsidRPr="00BC1144" w:rsidRDefault="006E391F" w:rsidP="00336FA0">
                  <w:pPr>
                    <w:pStyle w:val="TableBodyText"/>
                    <w:ind w:right="28"/>
                  </w:pPr>
                  <w:r w:rsidRPr="00BC1144">
                    <w:t>58.3</w:t>
                  </w:r>
                </w:p>
              </w:tc>
              <w:tc>
                <w:tcPr>
                  <w:tcW w:w="646" w:type="pct"/>
                  <w:shd w:val="clear" w:color="auto" w:fill="F2F2F2" w:themeFill="background1" w:themeFillShade="F2"/>
                </w:tcPr>
                <w:p w:rsidR="006E391F" w:rsidRPr="00BC1144" w:rsidRDefault="006E391F" w:rsidP="00336FA0">
                  <w:pPr>
                    <w:pStyle w:val="TableBodyText"/>
                    <w:ind w:right="28"/>
                  </w:pPr>
                  <w:r w:rsidRPr="00BC1144">
                    <w:t>87.7</w:t>
                  </w:r>
                </w:p>
              </w:tc>
              <w:tc>
                <w:tcPr>
                  <w:tcW w:w="645" w:type="pct"/>
                  <w:shd w:val="clear" w:color="auto" w:fill="F2F2F2" w:themeFill="background1" w:themeFillShade="F2"/>
                </w:tcPr>
                <w:p w:rsidR="006E391F" w:rsidRPr="00BC1144" w:rsidRDefault="006E391F" w:rsidP="00336FA0">
                  <w:pPr>
                    <w:pStyle w:val="TableBodyText"/>
                    <w:ind w:right="28"/>
                  </w:pPr>
                  <w:r w:rsidRPr="00BC1144">
                    <w:t>70.9</w:t>
                  </w:r>
                </w:p>
              </w:tc>
            </w:tr>
            <w:tr w:rsidR="006E391F" w:rsidRPr="00BC1144" w:rsidTr="00336FA0">
              <w:tc>
                <w:tcPr>
                  <w:tcW w:w="795" w:type="pct"/>
                  <w:vMerge w:val="restart"/>
                </w:tcPr>
                <w:p w:rsidR="006E391F" w:rsidRPr="00BC1144" w:rsidRDefault="006E391F" w:rsidP="00336FA0">
                  <w:pPr>
                    <w:pStyle w:val="TableBodyText"/>
                    <w:jc w:val="left"/>
                  </w:pPr>
                  <w:r w:rsidRPr="00BC1144">
                    <w:t>Neighbourhood socioeconomic status</w:t>
                  </w:r>
                </w:p>
              </w:tc>
              <w:tc>
                <w:tcPr>
                  <w:tcW w:w="1622" w:type="pct"/>
                </w:tcPr>
                <w:p w:rsidR="006E391F" w:rsidRPr="00BC1144" w:rsidRDefault="006E391F" w:rsidP="00336FA0">
                  <w:pPr>
                    <w:pStyle w:val="TableBodyText"/>
                    <w:jc w:val="left"/>
                  </w:pPr>
                  <w:r w:rsidRPr="00BC1144">
                    <w:t>Quartile 4</w:t>
                  </w:r>
                </w:p>
              </w:tc>
              <w:tc>
                <w:tcPr>
                  <w:tcW w:w="646" w:type="pct"/>
                </w:tcPr>
                <w:p w:rsidR="006E391F" w:rsidRPr="00BC1144" w:rsidRDefault="006E391F" w:rsidP="00336FA0">
                  <w:pPr>
                    <w:pStyle w:val="TableBodyText"/>
                  </w:pPr>
                  <w:r w:rsidRPr="00BC1144">
                    <w:t>35.4</w:t>
                  </w:r>
                </w:p>
              </w:tc>
              <w:tc>
                <w:tcPr>
                  <w:tcW w:w="646" w:type="pct"/>
                </w:tcPr>
                <w:p w:rsidR="006E391F" w:rsidRPr="00BC1144" w:rsidRDefault="006E391F" w:rsidP="00336FA0">
                  <w:pPr>
                    <w:pStyle w:val="TableBodyText"/>
                    <w:ind w:right="28"/>
                  </w:pPr>
                  <w:r w:rsidRPr="00BC1144">
                    <w:t>34.2</w:t>
                  </w:r>
                </w:p>
              </w:tc>
              <w:tc>
                <w:tcPr>
                  <w:tcW w:w="646" w:type="pct"/>
                </w:tcPr>
                <w:p w:rsidR="006E391F" w:rsidRPr="00BC1144" w:rsidRDefault="006E391F" w:rsidP="00336FA0">
                  <w:pPr>
                    <w:pStyle w:val="TableBodyText"/>
                    <w:ind w:right="28"/>
                  </w:pPr>
                  <w:r w:rsidRPr="00BC1144">
                    <w:t>11.6</w:t>
                  </w:r>
                </w:p>
              </w:tc>
              <w:tc>
                <w:tcPr>
                  <w:tcW w:w="645" w:type="pct"/>
                </w:tcPr>
                <w:p w:rsidR="006E391F" w:rsidRPr="00BC1144" w:rsidRDefault="006E391F" w:rsidP="00336FA0">
                  <w:pPr>
                    <w:pStyle w:val="TableBodyText"/>
                    <w:ind w:right="28"/>
                  </w:pPr>
                  <w:r w:rsidRPr="00BC1144">
                    <w:t>25.2</w:t>
                  </w:r>
                </w:p>
              </w:tc>
            </w:tr>
            <w:tr w:rsidR="006E391F" w:rsidRPr="00BC1144" w:rsidTr="00336FA0">
              <w:tc>
                <w:tcPr>
                  <w:tcW w:w="795" w:type="pct"/>
                  <w:vMerge/>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Quartile 3</w:t>
                  </w:r>
                </w:p>
              </w:tc>
              <w:tc>
                <w:tcPr>
                  <w:tcW w:w="646" w:type="pct"/>
                </w:tcPr>
                <w:p w:rsidR="006E391F" w:rsidRPr="00BC1144" w:rsidRDefault="006E391F" w:rsidP="00336FA0">
                  <w:pPr>
                    <w:pStyle w:val="TableBodyText"/>
                  </w:pPr>
                  <w:r w:rsidRPr="00BC1144">
                    <w:t>21.8</w:t>
                  </w:r>
                </w:p>
              </w:tc>
              <w:tc>
                <w:tcPr>
                  <w:tcW w:w="646" w:type="pct"/>
                </w:tcPr>
                <w:p w:rsidR="006E391F" w:rsidRPr="00BC1144" w:rsidRDefault="006E391F" w:rsidP="00336FA0">
                  <w:pPr>
                    <w:pStyle w:val="TableBodyText"/>
                    <w:ind w:right="28"/>
                  </w:pPr>
                  <w:r w:rsidRPr="00BC1144">
                    <w:t>24.9</w:t>
                  </w:r>
                </w:p>
              </w:tc>
              <w:tc>
                <w:tcPr>
                  <w:tcW w:w="646" w:type="pct"/>
                </w:tcPr>
                <w:p w:rsidR="006E391F" w:rsidRPr="00BC1144" w:rsidRDefault="006E391F" w:rsidP="00336FA0">
                  <w:pPr>
                    <w:pStyle w:val="TableBodyText"/>
                    <w:ind w:right="28"/>
                  </w:pPr>
                  <w:r w:rsidRPr="00BC1144">
                    <w:t>22.1</w:t>
                  </w:r>
                </w:p>
              </w:tc>
              <w:tc>
                <w:tcPr>
                  <w:tcW w:w="645" w:type="pct"/>
                </w:tcPr>
                <w:p w:rsidR="006E391F" w:rsidRPr="00BC1144" w:rsidRDefault="006E391F" w:rsidP="00336FA0">
                  <w:pPr>
                    <w:pStyle w:val="TableBodyText"/>
                    <w:ind w:right="28"/>
                  </w:pPr>
                  <w:r w:rsidRPr="00BC1144">
                    <w:t>23.6</w:t>
                  </w:r>
                </w:p>
              </w:tc>
            </w:tr>
            <w:tr w:rsidR="006E391F" w:rsidRPr="00BC1144" w:rsidTr="00336FA0">
              <w:tc>
                <w:tcPr>
                  <w:tcW w:w="795" w:type="pct"/>
                  <w:vMerge/>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Quartile 2</w:t>
                  </w:r>
                </w:p>
              </w:tc>
              <w:tc>
                <w:tcPr>
                  <w:tcW w:w="646" w:type="pct"/>
                </w:tcPr>
                <w:p w:rsidR="006E391F" w:rsidRPr="00BC1144" w:rsidRDefault="006E391F" w:rsidP="00336FA0">
                  <w:pPr>
                    <w:pStyle w:val="TableBodyText"/>
                  </w:pPr>
                  <w:r w:rsidRPr="00BC1144">
                    <w:t>18.8</w:t>
                  </w:r>
                </w:p>
              </w:tc>
              <w:tc>
                <w:tcPr>
                  <w:tcW w:w="646" w:type="pct"/>
                </w:tcPr>
                <w:p w:rsidR="006E391F" w:rsidRPr="00BC1144" w:rsidRDefault="006E391F" w:rsidP="00336FA0">
                  <w:pPr>
                    <w:pStyle w:val="TableBodyText"/>
                    <w:ind w:right="28"/>
                  </w:pPr>
                  <w:r w:rsidRPr="00BC1144">
                    <w:t>23.1</w:t>
                  </w:r>
                </w:p>
              </w:tc>
              <w:tc>
                <w:tcPr>
                  <w:tcW w:w="646" w:type="pct"/>
                </w:tcPr>
                <w:p w:rsidR="006E391F" w:rsidRPr="00BC1144" w:rsidRDefault="006E391F" w:rsidP="00336FA0">
                  <w:pPr>
                    <w:pStyle w:val="TableBodyText"/>
                    <w:ind w:right="28"/>
                  </w:pPr>
                  <w:r w:rsidRPr="00BC1144">
                    <w:t>30.2</w:t>
                  </w:r>
                </w:p>
              </w:tc>
              <w:tc>
                <w:tcPr>
                  <w:tcW w:w="645" w:type="pct"/>
                </w:tcPr>
                <w:p w:rsidR="006E391F" w:rsidRPr="00BC1144" w:rsidRDefault="006E391F" w:rsidP="00336FA0">
                  <w:pPr>
                    <w:pStyle w:val="TableBodyText"/>
                    <w:ind w:right="28"/>
                  </w:pPr>
                  <w:r w:rsidRPr="00BC1144">
                    <w:t>25.7</w:t>
                  </w:r>
                </w:p>
              </w:tc>
            </w:tr>
            <w:tr w:rsidR="006E391F" w:rsidRPr="00BC1144" w:rsidTr="00336FA0">
              <w:tc>
                <w:tcPr>
                  <w:tcW w:w="795" w:type="pct"/>
                  <w:vMerge/>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Quartile 1</w:t>
                  </w:r>
                </w:p>
              </w:tc>
              <w:tc>
                <w:tcPr>
                  <w:tcW w:w="646" w:type="pct"/>
                </w:tcPr>
                <w:p w:rsidR="006E391F" w:rsidRPr="00BC1144" w:rsidRDefault="006E391F" w:rsidP="00336FA0">
                  <w:pPr>
                    <w:pStyle w:val="TableBodyText"/>
                  </w:pPr>
                  <w:r w:rsidRPr="00BC1144">
                    <w:t>24.0</w:t>
                  </w:r>
                </w:p>
              </w:tc>
              <w:tc>
                <w:tcPr>
                  <w:tcW w:w="646" w:type="pct"/>
                </w:tcPr>
                <w:p w:rsidR="006E391F" w:rsidRPr="00BC1144" w:rsidRDefault="006E391F" w:rsidP="00336FA0">
                  <w:pPr>
                    <w:pStyle w:val="TableBodyText"/>
                    <w:ind w:right="28"/>
                  </w:pPr>
                  <w:r w:rsidRPr="00BC1144">
                    <w:t>17.8</w:t>
                  </w:r>
                </w:p>
              </w:tc>
              <w:tc>
                <w:tcPr>
                  <w:tcW w:w="646" w:type="pct"/>
                </w:tcPr>
                <w:p w:rsidR="006E391F" w:rsidRPr="00BC1144" w:rsidRDefault="006E391F" w:rsidP="00336FA0">
                  <w:pPr>
                    <w:pStyle w:val="TableBodyText"/>
                    <w:ind w:right="28"/>
                  </w:pPr>
                  <w:r w:rsidRPr="00BC1144">
                    <w:t>36.0</w:t>
                  </w:r>
                </w:p>
              </w:tc>
              <w:tc>
                <w:tcPr>
                  <w:tcW w:w="645" w:type="pct"/>
                </w:tcPr>
                <w:p w:rsidR="006E391F" w:rsidRPr="00BC1144" w:rsidRDefault="006E391F" w:rsidP="00336FA0">
                  <w:pPr>
                    <w:pStyle w:val="TableBodyText"/>
                    <w:ind w:right="28"/>
                  </w:pPr>
                  <w:r w:rsidRPr="00BC1144">
                    <w:t>25.5</w:t>
                  </w:r>
                </w:p>
              </w:tc>
            </w:tr>
            <w:tr w:rsidR="006E391F" w:rsidRPr="00BC1144" w:rsidTr="00336FA0">
              <w:tc>
                <w:tcPr>
                  <w:tcW w:w="795" w:type="pct"/>
                  <w:vMerge w:val="restart"/>
                  <w:shd w:val="clear" w:color="auto" w:fill="F2F2F2" w:themeFill="background1" w:themeFillShade="F2"/>
                </w:tcPr>
                <w:p w:rsidR="006E391F" w:rsidRPr="00BC1144" w:rsidRDefault="006E391F" w:rsidP="00336FA0">
                  <w:pPr>
                    <w:pStyle w:val="TableBodyText"/>
                    <w:jc w:val="left"/>
                  </w:pPr>
                  <w:r w:rsidRPr="00BC1144">
                    <w:t>Institution network</w:t>
                  </w:r>
                </w:p>
              </w:tc>
              <w:tc>
                <w:tcPr>
                  <w:tcW w:w="1622" w:type="pct"/>
                  <w:shd w:val="clear" w:color="auto" w:fill="F2F2F2" w:themeFill="background1" w:themeFillShade="F2"/>
                </w:tcPr>
                <w:p w:rsidR="006E391F" w:rsidRPr="00BC1144" w:rsidRDefault="006E391F" w:rsidP="00336FA0">
                  <w:pPr>
                    <w:pStyle w:val="TableBodyText"/>
                    <w:jc w:val="left"/>
                  </w:pPr>
                  <w:r w:rsidRPr="00BC1144">
                    <w:t>Group of Eight</w:t>
                  </w:r>
                </w:p>
              </w:tc>
              <w:tc>
                <w:tcPr>
                  <w:tcW w:w="646" w:type="pct"/>
                  <w:shd w:val="clear" w:color="auto" w:fill="F2F2F2" w:themeFill="background1" w:themeFillShade="F2"/>
                </w:tcPr>
                <w:p w:rsidR="006E391F" w:rsidRPr="00BC1144" w:rsidRDefault="006E391F" w:rsidP="00336FA0">
                  <w:pPr>
                    <w:pStyle w:val="TableBodyText"/>
                  </w:pPr>
                  <w:r w:rsidRPr="00BC1144">
                    <w:t>11.3</w:t>
                  </w:r>
                </w:p>
              </w:tc>
              <w:tc>
                <w:tcPr>
                  <w:tcW w:w="646" w:type="pct"/>
                  <w:shd w:val="clear" w:color="auto" w:fill="F2F2F2" w:themeFill="background1" w:themeFillShade="F2"/>
                </w:tcPr>
                <w:p w:rsidR="006E391F" w:rsidRPr="00BC1144" w:rsidRDefault="006E391F" w:rsidP="00336FA0">
                  <w:pPr>
                    <w:pStyle w:val="TableBodyText"/>
                    <w:ind w:right="28"/>
                  </w:pPr>
                  <w:r w:rsidRPr="00BC1144">
                    <w:t>28.5</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26.9</w:t>
                  </w:r>
                </w:p>
              </w:tc>
            </w:tr>
            <w:tr w:rsidR="006E391F" w:rsidRPr="00BC1144" w:rsidTr="00336FA0">
              <w:tc>
                <w:tcPr>
                  <w:tcW w:w="795" w:type="pct"/>
                  <w:vMerge/>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Australian Technology Network</w:t>
                  </w:r>
                </w:p>
              </w:tc>
              <w:tc>
                <w:tcPr>
                  <w:tcW w:w="646" w:type="pct"/>
                  <w:shd w:val="clear" w:color="auto" w:fill="F2F2F2" w:themeFill="background1" w:themeFillShade="F2"/>
                </w:tcPr>
                <w:p w:rsidR="006E391F" w:rsidRPr="00BC1144" w:rsidRDefault="006E391F" w:rsidP="00336FA0">
                  <w:pPr>
                    <w:pStyle w:val="TableBodyText"/>
                  </w:pPr>
                  <w:r w:rsidRPr="00BC1144">
                    <w:t>7.4</w:t>
                  </w:r>
                </w:p>
              </w:tc>
              <w:tc>
                <w:tcPr>
                  <w:tcW w:w="646" w:type="pct"/>
                  <w:shd w:val="clear" w:color="auto" w:fill="F2F2F2" w:themeFill="background1" w:themeFillShade="F2"/>
                </w:tcPr>
                <w:p w:rsidR="006E391F" w:rsidRPr="00BC1144" w:rsidRDefault="006E391F" w:rsidP="00336FA0">
                  <w:pPr>
                    <w:pStyle w:val="TableBodyText"/>
                    <w:ind w:right="28"/>
                  </w:pPr>
                  <w:r w:rsidRPr="00BC1144">
                    <w:t>8.6</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8.6</w:t>
                  </w:r>
                </w:p>
              </w:tc>
            </w:tr>
            <w:tr w:rsidR="006E391F" w:rsidRPr="00BC1144" w:rsidTr="00336FA0">
              <w:tc>
                <w:tcPr>
                  <w:tcW w:w="795" w:type="pct"/>
                  <w:vMerge/>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Innovative Research Universities</w:t>
                  </w:r>
                </w:p>
              </w:tc>
              <w:tc>
                <w:tcPr>
                  <w:tcW w:w="646" w:type="pct"/>
                  <w:shd w:val="clear" w:color="auto" w:fill="F2F2F2" w:themeFill="background1" w:themeFillShade="F2"/>
                </w:tcPr>
                <w:p w:rsidR="006E391F" w:rsidRPr="00BC1144" w:rsidRDefault="006E391F" w:rsidP="00336FA0">
                  <w:pPr>
                    <w:pStyle w:val="TableBodyText"/>
                  </w:pPr>
                  <w:r w:rsidRPr="00BC1144">
                    <w:t>14.9</w:t>
                  </w:r>
                </w:p>
              </w:tc>
              <w:tc>
                <w:tcPr>
                  <w:tcW w:w="646" w:type="pct"/>
                  <w:shd w:val="clear" w:color="auto" w:fill="F2F2F2" w:themeFill="background1" w:themeFillShade="F2"/>
                </w:tcPr>
                <w:p w:rsidR="006E391F" w:rsidRPr="00BC1144" w:rsidRDefault="006E391F" w:rsidP="00336FA0">
                  <w:pPr>
                    <w:pStyle w:val="TableBodyText"/>
                    <w:ind w:right="28"/>
                  </w:pPr>
                  <w:r w:rsidRPr="00BC1144">
                    <w:t>16.2</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16.1</w:t>
                  </w:r>
                </w:p>
              </w:tc>
            </w:tr>
            <w:tr w:rsidR="006E391F" w:rsidRPr="00BC1144" w:rsidTr="00336FA0">
              <w:tc>
                <w:tcPr>
                  <w:tcW w:w="795" w:type="pct"/>
                  <w:vMerge/>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Other universities</w:t>
                  </w:r>
                </w:p>
              </w:tc>
              <w:tc>
                <w:tcPr>
                  <w:tcW w:w="646" w:type="pct"/>
                  <w:shd w:val="clear" w:color="auto" w:fill="F2F2F2" w:themeFill="background1" w:themeFillShade="F2"/>
                </w:tcPr>
                <w:p w:rsidR="006E391F" w:rsidRPr="00BC1144" w:rsidRDefault="006E391F" w:rsidP="00336FA0">
                  <w:pPr>
                    <w:pStyle w:val="TableBodyText"/>
                  </w:pPr>
                  <w:r w:rsidRPr="00BC1144">
                    <w:t>42.4</w:t>
                  </w:r>
                </w:p>
              </w:tc>
              <w:tc>
                <w:tcPr>
                  <w:tcW w:w="646" w:type="pct"/>
                  <w:shd w:val="clear" w:color="auto" w:fill="F2F2F2" w:themeFill="background1" w:themeFillShade="F2"/>
                </w:tcPr>
                <w:p w:rsidR="006E391F" w:rsidRPr="00BC1144" w:rsidRDefault="006E391F" w:rsidP="00336FA0">
                  <w:pPr>
                    <w:pStyle w:val="TableBodyText"/>
                    <w:ind w:right="28"/>
                  </w:pPr>
                  <w:r w:rsidRPr="00BC1144">
                    <w:t>34.5</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35.2</w:t>
                  </w:r>
                </w:p>
              </w:tc>
            </w:tr>
            <w:tr w:rsidR="006E391F" w:rsidRPr="00BC1144" w:rsidTr="00336FA0">
              <w:tc>
                <w:tcPr>
                  <w:tcW w:w="795" w:type="pct"/>
                  <w:vMerge/>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Regional Universities Network</w:t>
                  </w:r>
                </w:p>
              </w:tc>
              <w:tc>
                <w:tcPr>
                  <w:tcW w:w="646" w:type="pct"/>
                  <w:shd w:val="clear" w:color="auto" w:fill="F2F2F2" w:themeFill="background1" w:themeFillShade="F2"/>
                </w:tcPr>
                <w:p w:rsidR="006E391F" w:rsidRPr="00BC1144" w:rsidRDefault="006E391F" w:rsidP="00336FA0">
                  <w:pPr>
                    <w:pStyle w:val="TableBodyText"/>
                  </w:pPr>
                  <w:r w:rsidRPr="00BC1144">
                    <w:t>4.3</w:t>
                  </w:r>
                </w:p>
              </w:tc>
              <w:tc>
                <w:tcPr>
                  <w:tcW w:w="646" w:type="pct"/>
                  <w:shd w:val="clear" w:color="auto" w:fill="F2F2F2" w:themeFill="background1" w:themeFillShade="F2"/>
                </w:tcPr>
                <w:p w:rsidR="006E391F" w:rsidRPr="00BC1144" w:rsidRDefault="006E391F" w:rsidP="00336FA0">
                  <w:pPr>
                    <w:pStyle w:val="TableBodyText"/>
                    <w:ind w:right="28"/>
                  </w:pPr>
                  <w:r w:rsidRPr="00BC1144">
                    <w:t>4.8</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4.8</w:t>
                  </w:r>
                </w:p>
              </w:tc>
            </w:tr>
            <w:tr w:rsidR="006E391F" w:rsidRPr="00BC1144" w:rsidTr="00336FA0">
              <w:tc>
                <w:tcPr>
                  <w:tcW w:w="795" w:type="pct"/>
                  <w:vMerge/>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Not reported</w:t>
                  </w:r>
                </w:p>
              </w:tc>
              <w:tc>
                <w:tcPr>
                  <w:tcW w:w="646" w:type="pct"/>
                  <w:shd w:val="clear" w:color="auto" w:fill="F2F2F2" w:themeFill="background1" w:themeFillShade="F2"/>
                </w:tcPr>
                <w:p w:rsidR="006E391F" w:rsidRPr="00BC1144" w:rsidRDefault="006E391F" w:rsidP="00336FA0">
                  <w:pPr>
                    <w:pStyle w:val="TableBodyText"/>
                  </w:pPr>
                  <w:r w:rsidRPr="00BC1144">
                    <w:t>19.7</w:t>
                  </w:r>
                </w:p>
              </w:tc>
              <w:tc>
                <w:tcPr>
                  <w:tcW w:w="646" w:type="pct"/>
                  <w:shd w:val="clear" w:color="auto" w:fill="F2F2F2" w:themeFill="background1" w:themeFillShade="F2"/>
                </w:tcPr>
                <w:p w:rsidR="006E391F" w:rsidRPr="00BC1144" w:rsidRDefault="006E391F" w:rsidP="00336FA0">
                  <w:pPr>
                    <w:pStyle w:val="TableBodyText"/>
                    <w:ind w:right="28"/>
                  </w:pPr>
                  <w:r w:rsidRPr="00BC1144">
                    <w:t>7.4</w:t>
                  </w:r>
                </w:p>
              </w:tc>
              <w:tc>
                <w:tcPr>
                  <w:tcW w:w="646" w:type="pct"/>
                  <w:shd w:val="clear" w:color="auto" w:fill="F2F2F2" w:themeFill="background1" w:themeFillShade="F2"/>
                </w:tcPr>
                <w:p w:rsidR="006E391F" w:rsidRPr="00BC1144" w:rsidRDefault="006E391F" w:rsidP="00336FA0">
                  <w:pPr>
                    <w:pStyle w:val="TableBodyText"/>
                    <w:ind w:right="28"/>
                  </w:pPr>
                  <w:r w:rsidRPr="00BC1144">
                    <w:t>0</w:t>
                  </w:r>
                </w:p>
              </w:tc>
              <w:tc>
                <w:tcPr>
                  <w:tcW w:w="645" w:type="pct"/>
                  <w:shd w:val="clear" w:color="auto" w:fill="F2F2F2" w:themeFill="background1" w:themeFillShade="F2"/>
                </w:tcPr>
                <w:p w:rsidR="006E391F" w:rsidRPr="00BC1144" w:rsidRDefault="006E391F" w:rsidP="00336FA0">
                  <w:pPr>
                    <w:pStyle w:val="TableBodyText"/>
                    <w:ind w:right="28"/>
                  </w:pPr>
                  <w:r w:rsidRPr="00BC1144">
                    <w:t>8.5</w:t>
                  </w:r>
                </w:p>
              </w:tc>
            </w:tr>
            <w:tr w:rsidR="006E391F" w:rsidRPr="00BC1144" w:rsidTr="00336FA0">
              <w:tc>
                <w:tcPr>
                  <w:tcW w:w="795" w:type="pct"/>
                </w:tcPr>
                <w:p w:rsidR="006E391F" w:rsidRPr="00BC1144" w:rsidRDefault="006E391F" w:rsidP="00336FA0">
                  <w:pPr>
                    <w:pStyle w:val="TableBodyText"/>
                    <w:jc w:val="left"/>
                  </w:pPr>
                  <w:r w:rsidRPr="00BC1144">
                    <w:t>School sector</w:t>
                  </w:r>
                </w:p>
              </w:tc>
              <w:tc>
                <w:tcPr>
                  <w:tcW w:w="1622" w:type="pct"/>
                </w:tcPr>
                <w:p w:rsidR="006E391F" w:rsidRPr="00BC1144" w:rsidRDefault="006E391F" w:rsidP="00336FA0">
                  <w:pPr>
                    <w:pStyle w:val="TableBodyText"/>
                    <w:jc w:val="left"/>
                  </w:pPr>
                  <w:r w:rsidRPr="00BC1144">
                    <w:t>Independent</w:t>
                  </w:r>
                </w:p>
              </w:tc>
              <w:tc>
                <w:tcPr>
                  <w:tcW w:w="646" w:type="pct"/>
                </w:tcPr>
                <w:p w:rsidR="006E391F" w:rsidRPr="00BC1144" w:rsidRDefault="006E391F" w:rsidP="00336FA0">
                  <w:pPr>
                    <w:pStyle w:val="TableBodyText"/>
                  </w:pPr>
                  <w:r w:rsidRPr="00BC1144">
                    <w:t>14.8</w:t>
                  </w:r>
                </w:p>
              </w:tc>
              <w:tc>
                <w:tcPr>
                  <w:tcW w:w="646" w:type="pct"/>
                </w:tcPr>
                <w:p w:rsidR="006E391F" w:rsidRPr="00BC1144" w:rsidRDefault="006E391F" w:rsidP="00336FA0">
                  <w:pPr>
                    <w:pStyle w:val="TableBodyText"/>
                    <w:ind w:right="28"/>
                  </w:pPr>
                  <w:r w:rsidRPr="00BC1144">
                    <w:t>26.4</w:t>
                  </w:r>
                </w:p>
              </w:tc>
              <w:tc>
                <w:tcPr>
                  <w:tcW w:w="646" w:type="pct"/>
                </w:tcPr>
                <w:p w:rsidR="006E391F" w:rsidRPr="00BC1144" w:rsidRDefault="006E391F" w:rsidP="00336FA0">
                  <w:pPr>
                    <w:pStyle w:val="TableBodyText"/>
                    <w:ind w:right="28"/>
                  </w:pPr>
                  <w:r w:rsidRPr="00BC1144">
                    <w:t>10.9</w:t>
                  </w:r>
                </w:p>
              </w:tc>
              <w:tc>
                <w:tcPr>
                  <w:tcW w:w="645" w:type="pct"/>
                </w:tcPr>
                <w:p w:rsidR="006E391F" w:rsidRPr="00BC1144" w:rsidRDefault="006E391F" w:rsidP="00336FA0">
                  <w:pPr>
                    <w:pStyle w:val="TableBodyText"/>
                    <w:ind w:right="28"/>
                  </w:pPr>
                  <w:r w:rsidRPr="00BC1144">
                    <w:t>19.5</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Catholic</w:t>
                  </w:r>
                </w:p>
              </w:tc>
              <w:tc>
                <w:tcPr>
                  <w:tcW w:w="646" w:type="pct"/>
                </w:tcPr>
                <w:p w:rsidR="006E391F" w:rsidRPr="00BC1144" w:rsidRDefault="006E391F" w:rsidP="00336FA0">
                  <w:pPr>
                    <w:pStyle w:val="TableBodyText"/>
                  </w:pPr>
                  <w:r w:rsidRPr="00BC1144">
                    <w:t>25.7</w:t>
                  </w:r>
                </w:p>
              </w:tc>
              <w:tc>
                <w:tcPr>
                  <w:tcW w:w="646" w:type="pct"/>
                </w:tcPr>
                <w:p w:rsidR="006E391F" w:rsidRPr="00BC1144" w:rsidRDefault="006E391F" w:rsidP="00336FA0">
                  <w:pPr>
                    <w:pStyle w:val="TableBodyText"/>
                    <w:ind w:right="28"/>
                  </w:pPr>
                  <w:r w:rsidRPr="00BC1144">
                    <w:t>26.6</w:t>
                  </w:r>
                </w:p>
              </w:tc>
              <w:tc>
                <w:tcPr>
                  <w:tcW w:w="646" w:type="pct"/>
                </w:tcPr>
                <w:p w:rsidR="006E391F" w:rsidRPr="00BC1144" w:rsidRDefault="006E391F" w:rsidP="00336FA0">
                  <w:pPr>
                    <w:pStyle w:val="TableBodyText"/>
                    <w:ind w:right="28"/>
                  </w:pPr>
                  <w:r w:rsidRPr="00BC1144">
                    <w:t>18.8</w:t>
                  </w:r>
                </w:p>
              </w:tc>
              <w:tc>
                <w:tcPr>
                  <w:tcW w:w="645" w:type="pct"/>
                </w:tcPr>
                <w:p w:rsidR="006E391F" w:rsidRPr="00BC1144" w:rsidRDefault="006E391F" w:rsidP="00336FA0">
                  <w:pPr>
                    <w:pStyle w:val="TableBodyText"/>
                    <w:ind w:right="28"/>
                  </w:pPr>
                  <w:r w:rsidRPr="00BC1144">
                    <w:t>23.4</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Government</w:t>
                  </w:r>
                </w:p>
              </w:tc>
              <w:tc>
                <w:tcPr>
                  <w:tcW w:w="646" w:type="pct"/>
                </w:tcPr>
                <w:p w:rsidR="006E391F" w:rsidRPr="00BC1144" w:rsidRDefault="006E391F" w:rsidP="00336FA0">
                  <w:pPr>
                    <w:pStyle w:val="TableBodyText"/>
                  </w:pPr>
                  <w:r w:rsidRPr="00BC1144">
                    <w:t>59.5</w:t>
                  </w:r>
                </w:p>
              </w:tc>
              <w:tc>
                <w:tcPr>
                  <w:tcW w:w="646" w:type="pct"/>
                </w:tcPr>
                <w:p w:rsidR="006E391F" w:rsidRPr="00BC1144" w:rsidRDefault="006E391F" w:rsidP="00336FA0">
                  <w:pPr>
                    <w:pStyle w:val="TableBodyText"/>
                    <w:ind w:right="28"/>
                  </w:pPr>
                  <w:r w:rsidRPr="00BC1144">
                    <w:t>47.0</w:t>
                  </w:r>
                </w:p>
              </w:tc>
              <w:tc>
                <w:tcPr>
                  <w:tcW w:w="646" w:type="pct"/>
                </w:tcPr>
                <w:p w:rsidR="006E391F" w:rsidRPr="00BC1144" w:rsidRDefault="006E391F" w:rsidP="00336FA0">
                  <w:pPr>
                    <w:pStyle w:val="TableBodyText"/>
                    <w:ind w:right="28"/>
                  </w:pPr>
                  <w:r w:rsidRPr="00BC1144">
                    <w:t>70.3</w:t>
                  </w:r>
                </w:p>
              </w:tc>
              <w:tc>
                <w:tcPr>
                  <w:tcW w:w="645" w:type="pct"/>
                </w:tcPr>
                <w:p w:rsidR="006E391F" w:rsidRPr="00BC1144" w:rsidRDefault="006E391F" w:rsidP="00336FA0">
                  <w:pPr>
                    <w:pStyle w:val="TableBodyText"/>
                    <w:ind w:right="28"/>
                  </w:pPr>
                  <w:r w:rsidRPr="00BC1144">
                    <w:t>57.0</w:t>
                  </w:r>
                </w:p>
              </w:tc>
            </w:tr>
            <w:tr w:rsidR="006E391F" w:rsidRPr="00BC1144" w:rsidTr="00336FA0">
              <w:tc>
                <w:tcPr>
                  <w:tcW w:w="795" w:type="pct"/>
                  <w:shd w:val="clear" w:color="auto" w:fill="F2F2F2" w:themeFill="background1" w:themeFillShade="F2"/>
                </w:tcPr>
                <w:p w:rsidR="006E391F" w:rsidRPr="00BC1144" w:rsidRDefault="006E391F" w:rsidP="00336FA0">
                  <w:pPr>
                    <w:pStyle w:val="TableBodyText"/>
                    <w:jc w:val="left"/>
                  </w:pPr>
                  <w:r w:rsidRPr="00BC1144">
                    <w:t>Gender</w:t>
                  </w:r>
                </w:p>
              </w:tc>
              <w:tc>
                <w:tcPr>
                  <w:tcW w:w="1622" w:type="pct"/>
                  <w:shd w:val="clear" w:color="auto" w:fill="F2F2F2" w:themeFill="background1" w:themeFillShade="F2"/>
                </w:tcPr>
                <w:p w:rsidR="006E391F" w:rsidRPr="00BC1144" w:rsidRDefault="006E391F" w:rsidP="00336FA0">
                  <w:pPr>
                    <w:pStyle w:val="TableBodyText"/>
                    <w:jc w:val="left"/>
                  </w:pPr>
                  <w:r w:rsidRPr="00BC1144">
                    <w:t>Male</w:t>
                  </w:r>
                </w:p>
              </w:tc>
              <w:tc>
                <w:tcPr>
                  <w:tcW w:w="646" w:type="pct"/>
                  <w:shd w:val="clear" w:color="auto" w:fill="F2F2F2" w:themeFill="background1" w:themeFillShade="F2"/>
                </w:tcPr>
                <w:p w:rsidR="006E391F" w:rsidRPr="00BC1144" w:rsidRDefault="006E391F" w:rsidP="00336FA0">
                  <w:pPr>
                    <w:pStyle w:val="TableBodyText"/>
                  </w:pPr>
                  <w:r w:rsidRPr="00BC1144">
                    <w:t>51.4</w:t>
                  </w:r>
                </w:p>
              </w:tc>
              <w:tc>
                <w:tcPr>
                  <w:tcW w:w="646" w:type="pct"/>
                  <w:shd w:val="clear" w:color="auto" w:fill="F2F2F2" w:themeFill="background1" w:themeFillShade="F2"/>
                </w:tcPr>
                <w:p w:rsidR="006E391F" w:rsidRPr="00BC1144" w:rsidRDefault="006E391F" w:rsidP="00336FA0">
                  <w:pPr>
                    <w:pStyle w:val="TableBodyText"/>
                    <w:ind w:right="28"/>
                  </w:pPr>
                  <w:r w:rsidRPr="00BC1144">
                    <w:t>41.0</w:t>
                  </w:r>
                </w:p>
              </w:tc>
              <w:tc>
                <w:tcPr>
                  <w:tcW w:w="646" w:type="pct"/>
                  <w:shd w:val="clear" w:color="auto" w:fill="F2F2F2" w:themeFill="background1" w:themeFillShade="F2"/>
                </w:tcPr>
                <w:p w:rsidR="006E391F" w:rsidRPr="00BC1144" w:rsidRDefault="006E391F" w:rsidP="00336FA0">
                  <w:pPr>
                    <w:pStyle w:val="TableBodyText"/>
                    <w:ind w:right="28"/>
                  </w:pPr>
                  <w:r w:rsidRPr="00BC1144">
                    <w:t>58.6</w:t>
                  </w:r>
                </w:p>
              </w:tc>
              <w:tc>
                <w:tcPr>
                  <w:tcW w:w="645" w:type="pct"/>
                  <w:shd w:val="clear" w:color="auto" w:fill="F2F2F2" w:themeFill="background1" w:themeFillShade="F2"/>
                </w:tcPr>
                <w:p w:rsidR="006E391F" w:rsidRPr="00BC1144" w:rsidRDefault="006E391F" w:rsidP="00336FA0">
                  <w:pPr>
                    <w:pStyle w:val="TableBodyText"/>
                    <w:ind w:right="28"/>
                  </w:pPr>
                  <w:r w:rsidRPr="00BC1144">
                    <w:t>48.6</w:t>
                  </w:r>
                </w:p>
              </w:tc>
            </w:tr>
            <w:tr w:rsidR="006E391F" w:rsidRPr="00BC1144" w:rsidTr="00336FA0">
              <w:tc>
                <w:tcPr>
                  <w:tcW w:w="795" w:type="pct"/>
                  <w:shd w:val="clear" w:color="auto" w:fill="F2F2F2" w:themeFill="background1" w:themeFillShade="F2"/>
                </w:tcPr>
                <w:p w:rsidR="006E391F" w:rsidRPr="00BC1144" w:rsidRDefault="006E391F" w:rsidP="00336FA0">
                  <w:pPr>
                    <w:pStyle w:val="TableBodyText"/>
                    <w:jc w:val="left"/>
                  </w:pPr>
                </w:p>
              </w:tc>
              <w:tc>
                <w:tcPr>
                  <w:tcW w:w="1622" w:type="pct"/>
                  <w:shd w:val="clear" w:color="auto" w:fill="F2F2F2" w:themeFill="background1" w:themeFillShade="F2"/>
                </w:tcPr>
                <w:p w:rsidR="006E391F" w:rsidRPr="00BC1144" w:rsidRDefault="006E391F" w:rsidP="00336FA0">
                  <w:pPr>
                    <w:pStyle w:val="TableBodyText"/>
                    <w:jc w:val="left"/>
                  </w:pPr>
                  <w:r w:rsidRPr="00BC1144">
                    <w:t>Female</w:t>
                  </w:r>
                </w:p>
              </w:tc>
              <w:tc>
                <w:tcPr>
                  <w:tcW w:w="646" w:type="pct"/>
                  <w:shd w:val="clear" w:color="auto" w:fill="F2F2F2" w:themeFill="background1" w:themeFillShade="F2"/>
                </w:tcPr>
                <w:p w:rsidR="006E391F" w:rsidRPr="00BC1144" w:rsidRDefault="006E391F" w:rsidP="00336FA0">
                  <w:pPr>
                    <w:pStyle w:val="TableBodyText"/>
                  </w:pPr>
                  <w:r w:rsidRPr="00BC1144">
                    <w:t>48.6</w:t>
                  </w:r>
                </w:p>
              </w:tc>
              <w:tc>
                <w:tcPr>
                  <w:tcW w:w="646" w:type="pct"/>
                  <w:shd w:val="clear" w:color="auto" w:fill="F2F2F2" w:themeFill="background1" w:themeFillShade="F2"/>
                </w:tcPr>
                <w:p w:rsidR="006E391F" w:rsidRPr="00BC1144" w:rsidRDefault="006E391F" w:rsidP="00336FA0">
                  <w:pPr>
                    <w:pStyle w:val="TableBodyText"/>
                    <w:ind w:right="28"/>
                  </w:pPr>
                  <w:r w:rsidRPr="00BC1144">
                    <w:t>59.0</w:t>
                  </w:r>
                </w:p>
              </w:tc>
              <w:tc>
                <w:tcPr>
                  <w:tcW w:w="646" w:type="pct"/>
                  <w:shd w:val="clear" w:color="auto" w:fill="F2F2F2" w:themeFill="background1" w:themeFillShade="F2"/>
                </w:tcPr>
                <w:p w:rsidR="006E391F" w:rsidRPr="00BC1144" w:rsidRDefault="006E391F" w:rsidP="00336FA0">
                  <w:pPr>
                    <w:pStyle w:val="TableBodyText"/>
                    <w:ind w:right="28"/>
                  </w:pPr>
                  <w:r w:rsidRPr="00BC1144">
                    <w:t>41.4</w:t>
                  </w:r>
                </w:p>
              </w:tc>
              <w:tc>
                <w:tcPr>
                  <w:tcW w:w="645" w:type="pct"/>
                  <w:shd w:val="clear" w:color="auto" w:fill="F2F2F2" w:themeFill="background1" w:themeFillShade="F2"/>
                </w:tcPr>
                <w:p w:rsidR="006E391F" w:rsidRPr="00BC1144" w:rsidRDefault="006E391F" w:rsidP="00336FA0">
                  <w:pPr>
                    <w:pStyle w:val="TableBodyText"/>
                    <w:ind w:right="28"/>
                  </w:pPr>
                  <w:r w:rsidRPr="00BC1144">
                    <w:t>51.4</w:t>
                  </w:r>
                </w:p>
              </w:tc>
            </w:tr>
            <w:tr w:rsidR="006E391F" w:rsidRPr="00BC1144" w:rsidTr="00336FA0">
              <w:tc>
                <w:tcPr>
                  <w:tcW w:w="795" w:type="pct"/>
                </w:tcPr>
                <w:p w:rsidR="006E391F" w:rsidRPr="00BC1144" w:rsidRDefault="006E391F" w:rsidP="00336FA0">
                  <w:pPr>
                    <w:pStyle w:val="TableBodyText"/>
                    <w:jc w:val="left"/>
                  </w:pPr>
                  <w:r w:rsidRPr="00BC1144">
                    <w:t>ATAR score</w:t>
                  </w:r>
                </w:p>
              </w:tc>
              <w:tc>
                <w:tcPr>
                  <w:tcW w:w="1622" w:type="pct"/>
                </w:tcPr>
                <w:p w:rsidR="006E391F" w:rsidRPr="00BC1144" w:rsidRDefault="006E391F" w:rsidP="00336FA0">
                  <w:pPr>
                    <w:pStyle w:val="TableBodyText"/>
                    <w:jc w:val="left"/>
                  </w:pPr>
                  <w:r w:rsidRPr="00BC1144">
                    <w:t>90</w:t>
                  </w:r>
                  <w:r w:rsidRPr="00BC1144">
                    <w:noBreakHyphen/>
                    <w:t>100</w:t>
                  </w:r>
                </w:p>
              </w:tc>
              <w:tc>
                <w:tcPr>
                  <w:tcW w:w="646" w:type="pct"/>
                </w:tcPr>
                <w:p w:rsidR="006E391F" w:rsidRPr="00BC1144" w:rsidRDefault="006E391F" w:rsidP="00336FA0">
                  <w:pPr>
                    <w:pStyle w:val="TableBodyText"/>
                  </w:pPr>
                  <w:r w:rsidRPr="00BC1144">
                    <w:t>5.8</w:t>
                  </w:r>
                </w:p>
              </w:tc>
              <w:tc>
                <w:tcPr>
                  <w:tcW w:w="646" w:type="pct"/>
                </w:tcPr>
                <w:p w:rsidR="006E391F" w:rsidRPr="00BC1144" w:rsidRDefault="006E391F" w:rsidP="00336FA0">
                  <w:pPr>
                    <w:pStyle w:val="TableBodyText"/>
                    <w:ind w:right="28"/>
                  </w:pPr>
                  <w:r w:rsidRPr="00BC1144">
                    <w:t>27.1</w:t>
                  </w:r>
                </w:p>
              </w:tc>
              <w:tc>
                <w:tcPr>
                  <w:tcW w:w="646" w:type="pct"/>
                </w:tcPr>
                <w:p w:rsidR="006E391F" w:rsidRPr="00BC1144" w:rsidRDefault="006E391F" w:rsidP="00336FA0">
                  <w:pPr>
                    <w:pStyle w:val="TableBodyText"/>
                    <w:ind w:right="28"/>
                  </w:pPr>
                  <w:r w:rsidRPr="00BC1144">
                    <w:t>1.2</w:t>
                  </w:r>
                </w:p>
              </w:tc>
              <w:tc>
                <w:tcPr>
                  <w:tcW w:w="645" w:type="pct"/>
                </w:tcPr>
                <w:p w:rsidR="006E391F" w:rsidRPr="00BC1144" w:rsidRDefault="006E391F" w:rsidP="00336FA0">
                  <w:pPr>
                    <w:pStyle w:val="TableBodyText"/>
                    <w:ind w:right="28"/>
                  </w:pPr>
                  <w:r w:rsidRPr="00BC1144">
                    <w:t>15.6</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80</w:t>
                  </w:r>
                  <w:r w:rsidRPr="00BC1144">
                    <w:noBreakHyphen/>
                    <w:t>90</w:t>
                  </w:r>
                </w:p>
              </w:tc>
              <w:tc>
                <w:tcPr>
                  <w:tcW w:w="646" w:type="pct"/>
                </w:tcPr>
                <w:p w:rsidR="006E391F" w:rsidRPr="00BC1144" w:rsidRDefault="006E391F" w:rsidP="00336FA0">
                  <w:pPr>
                    <w:pStyle w:val="TableBodyText"/>
                  </w:pPr>
                  <w:r w:rsidRPr="00BC1144">
                    <w:t>6.8</w:t>
                  </w:r>
                </w:p>
              </w:tc>
              <w:tc>
                <w:tcPr>
                  <w:tcW w:w="646" w:type="pct"/>
                </w:tcPr>
                <w:p w:rsidR="006E391F" w:rsidRPr="00BC1144" w:rsidRDefault="006E391F" w:rsidP="00336FA0">
                  <w:pPr>
                    <w:pStyle w:val="TableBodyText"/>
                    <w:ind w:right="28"/>
                  </w:pPr>
                  <w:r w:rsidRPr="00BC1144">
                    <w:t>24.1</w:t>
                  </w:r>
                </w:p>
              </w:tc>
              <w:tc>
                <w:tcPr>
                  <w:tcW w:w="646" w:type="pct"/>
                </w:tcPr>
                <w:p w:rsidR="006E391F" w:rsidRPr="00BC1144" w:rsidRDefault="006E391F" w:rsidP="00336FA0">
                  <w:pPr>
                    <w:pStyle w:val="TableBodyText"/>
                    <w:ind w:right="28"/>
                  </w:pPr>
                  <w:r w:rsidRPr="00BC1144">
                    <w:t>4.0</w:t>
                  </w:r>
                </w:p>
              </w:tc>
              <w:tc>
                <w:tcPr>
                  <w:tcW w:w="645" w:type="pct"/>
                </w:tcPr>
                <w:p w:rsidR="006E391F" w:rsidRPr="00BC1144" w:rsidRDefault="006E391F" w:rsidP="00336FA0">
                  <w:pPr>
                    <w:pStyle w:val="TableBodyText"/>
                    <w:ind w:right="28"/>
                  </w:pPr>
                  <w:r w:rsidRPr="00BC1144">
                    <w:t>15.1</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70</w:t>
                  </w:r>
                  <w:r w:rsidRPr="00BC1144">
                    <w:noBreakHyphen/>
                    <w:t>80</w:t>
                  </w:r>
                </w:p>
              </w:tc>
              <w:tc>
                <w:tcPr>
                  <w:tcW w:w="646" w:type="pct"/>
                </w:tcPr>
                <w:p w:rsidR="006E391F" w:rsidRPr="00BC1144" w:rsidRDefault="006E391F" w:rsidP="00336FA0">
                  <w:pPr>
                    <w:pStyle w:val="TableBodyText"/>
                  </w:pPr>
                  <w:r w:rsidRPr="00BC1144">
                    <w:t>14.7</w:t>
                  </w:r>
                </w:p>
              </w:tc>
              <w:tc>
                <w:tcPr>
                  <w:tcW w:w="646" w:type="pct"/>
                </w:tcPr>
                <w:p w:rsidR="006E391F" w:rsidRPr="00BC1144" w:rsidRDefault="006E391F" w:rsidP="00336FA0">
                  <w:pPr>
                    <w:pStyle w:val="TableBodyText"/>
                    <w:ind w:right="28"/>
                  </w:pPr>
                  <w:r w:rsidRPr="00BC1144">
                    <w:t>20.0</w:t>
                  </w:r>
                </w:p>
              </w:tc>
              <w:tc>
                <w:tcPr>
                  <w:tcW w:w="646" w:type="pct"/>
                </w:tcPr>
                <w:p w:rsidR="006E391F" w:rsidRPr="00BC1144" w:rsidRDefault="006E391F" w:rsidP="00336FA0">
                  <w:pPr>
                    <w:pStyle w:val="TableBodyText"/>
                    <w:ind w:right="28"/>
                  </w:pPr>
                  <w:r w:rsidRPr="00BC1144">
                    <w:t>5.6</w:t>
                  </w:r>
                </w:p>
              </w:tc>
              <w:tc>
                <w:tcPr>
                  <w:tcW w:w="645" w:type="pct"/>
                </w:tcPr>
                <w:p w:rsidR="006E391F" w:rsidRPr="00BC1144" w:rsidRDefault="006E391F" w:rsidP="00336FA0">
                  <w:pPr>
                    <w:pStyle w:val="TableBodyText"/>
                    <w:ind w:right="28"/>
                  </w:pPr>
                  <w:r w:rsidRPr="00BC1144">
                    <w:t>14.0</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60</w:t>
                  </w:r>
                  <w:r w:rsidRPr="00BC1144">
                    <w:noBreakHyphen/>
                    <w:t>70</w:t>
                  </w:r>
                </w:p>
              </w:tc>
              <w:tc>
                <w:tcPr>
                  <w:tcW w:w="646" w:type="pct"/>
                </w:tcPr>
                <w:p w:rsidR="006E391F" w:rsidRPr="00BC1144" w:rsidRDefault="006E391F" w:rsidP="00336FA0">
                  <w:pPr>
                    <w:pStyle w:val="TableBodyText"/>
                  </w:pPr>
                  <w:r w:rsidRPr="00BC1144">
                    <w:t>16.9</w:t>
                  </w:r>
                </w:p>
              </w:tc>
              <w:tc>
                <w:tcPr>
                  <w:tcW w:w="646" w:type="pct"/>
                </w:tcPr>
                <w:p w:rsidR="006E391F" w:rsidRPr="00BC1144" w:rsidRDefault="006E391F" w:rsidP="00336FA0">
                  <w:pPr>
                    <w:pStyle w:val="TableBodyText"/>
                    <w:ind w:right="28"/>
                  </w:pPr>
                  <w:r w:rsidRPr="00BC1144">
                    <w:t>13.8</w:t>
                  </w:r>
                </w:p>
              </w:tc>
              <w:tc>
                <w:tcPr>
                  <w:tcW w:w="646" w:type="pct"/>
                </w:tcPr>
                <w:p w:rsidR="006E391F" w:rsidRPr="00BC1144" w:rsidRDefault="006E391F" w:rsidP="00336FA0">
                  <w:pPr>
                    <w:pStyle w:val="TableBodyText"/>
                    <w:ind w:right="28"/>
                  </w:pPr>
                  <w:r w:rsidRPr="00BC1144">
                    <w:t>10.8</w:t>
                  </w:r>
                </w:p>
              </w:tc>
              <w:tc>
                <w:tcPr>
                  <w:tcW w:w="645" w:type="pct"/>
                </w:tcPr>
                <w:p w:rsidR="006E391F" w:rsidRPr="00BC1144" w:rsidRDefault="006E391F" w:rsidP="00336FA0">
                  <w:pPr>
                    <w:pStyle w:val="TableBodyText"/>
                    <w:ind w:right="28"/>
                  </w:pPr>
                  <w:r w:rsidRPr="00BC1144">
                    <w:t>12.7</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50</w:t>
                  </w:r>
                  <w:r w:rsidRPr="00BC1144">
                    <w:noBreakHyphen/>
                    <w:t>60</w:t>
                  </w:r>
                </w:p>
              </w:tc>
              <w:tc>
                <w:tcPr>
                  <w:tcW w:w="646" w:type="pct"/>
                </w:tcPr>
                <w:p w:rsidR="006E391F" w:rsidRPr="00BC1144" w:rsidRDefault="006E391F" w:rsidP="00336FA0">
                  <w:pPr>
                    <w:pStyle w:val="TableBodyText"/>
                  </w:pPr>
                  <w:r w:rsidRPr="00BC1144">
                    <w:t>11.5</w:t>
                  </w:r>
                </w:p>
              </w:tc>
              <w:tc>
                <w:tcPr>
                  <w:tcW w:w="646" w:type="pct"/>
                </w:tcPr>
                <w:p w:rsidR="006E391F" w:rsidRPr="00BC1144" w:rsidRDefault="006E391F" w:rsidP="00336FA0">
                  <w:pPr>
                    <w:pStyle w:val="TableBodyText"/>
                    <w:ind w:right="28"/>
                  </w:pPr>
                  <w:r w:rsidRPr="00BC1144">
                    <w:t>7.0</w:t>
                  </w:r>
                </w:p>
              </w:tc>
              <w:tc>
                <w:tcPr>
                  <w:tcW w:w="646" w:type="pct"/>
                </w:tcPr>
                <w:p w:rsidR="006E391F" w:rsidRPr="00BC1144" w:rsidRDefault="006E391F" w:rsidP="00336FA0">
                  <w:pPr>
                    <w:pStyle w:val="TableBodyText"/>
                    <w:ind w:right="28"/>
                  </w:pPr>
                  <w:r w:rsidRPr="00BC1144">
                    <w:t>10.8</w:t>
                  </w:r>
                </w:p>
              </w:tc>
              <w:tc>
                <w:tcPr>
                  <w:tcW w:w="645" w:type="pct"/>
                </w:tcPr>
                <w:p w:rsidR="006E391F" w:rsidRPr="00BC1144" w:rsidRDefault="006E391F" w:rsidP="00336FA0">
                  <w:pPr>
                    <w:pStyle w:val="TableBodyText"/>
                    <w:ind w:right="28"/>
                  </w:pPr>
                  <w:r w:rsidRPr="00BC1144">
                    <w:t>8.8</w:t>
                  </w:r>
                </w:p>
              </w:tc>
            </w:tr>
            <w:tr w:rsidR="006E391F" w:rsidRPr="00BC1144" w:rsidTr="00336FA0">
              <w:tc>
                <w:tcPr>
                  <w:tcW w:w="795" w:type="pct"/>
                </w:tcPr>
                <w:p w:rsidR="006E391F" w:rsidRPr="00BC1144" w:rsidRDefault="006E391F" w:rsidP="00336FA0">
                  <w:pPr>
                    <w:pStyle w:val="TableBodyText"/>
                    <w:jc w:val="left"/>
                  </w:pPr>
                </w:p>
              </w:tc>
              <w:tc>
                <w:tcPr>
                  <w:tcW w:w="1622" w:type="pct"/>
                </w:tcPr>
                <w:p w:rsidR="006E391F" w:rsidRPr="00BC1144" w:rsidRDefault="006E391F" w:rsidP="00336FA0">
                  <w:pPr>
                    <w:pStyle w:val="TableBodyText"/>
                    <w:jc w:val="left"/>
                  </w:pPr>
                  <w:r w:rsidRPr="00BC1144">
                    <w:t>0</w:t>
                  </w:r>
                  <w:r w:rsidRPr="00BC1144">
                    <w:noBreakHyphen/>
                    <w:t>50</w:t>
                  </w:r>
                </w:p>
              </w:tc>
              <w:tc>
                <w:tcPr>
                  <w:tcW w:w="646" w:type="pct"/>
                </w:tcPr>
                <w:p w:rsidR="006E391F" w:rsidRPr="00BC1144" w:rsidRDefault="006E391F" w:rsidP="00336FA0">
                  <w:pPr>
                    <w:pStyle w:val="TableBodyText"/>
                  </w:pPr>
                  <w:r w:rsidRPr="00BC1144">
                    <w:t>19.9</w:t>
                  </w:r>
                </w:p>
              </w:tc>
              <w:tc>
                <w:tcPr>
                  <w:tcW w:w="646" w:type="pct"/>
                </w:tcPr>
                <w:p w:rsidR="006E391F" w:rsidRPr="00BC1144" w:rsidRDefault="006E391F" w:rsidP="00336FA0">
                  <w:pPr>
                    <w:pStyle w:val="TableBodyText"/>
                    <w:ind w:right="28"/>
                  </w:pPr>
                  <w:r w:rsidRPr="00BC1144">
                    <w:t>4.2</w:t>
                  </w:r>
                </w:p>
              </w:tc>
              <w:tc>
                <w:tcPr>
                  <w:tcW w:w="646" w:type="pct"/>
                </w:tcPr>
                <w:p w:rsidR="006E391F" w:rsidRPr="00BC1144" w:rsidRDefault="006E391F" w:rsidP="00336FA0">
                  <w:pPr>
                    <w:pStyle w:val="TableBodyText"/>
                    <w:ind w:right="28"/>
                  </w:pPr>
                  <w:r w:rsidRPr="00BC1144">
                    <w:t>13.2</w:t>
                  </w:r>
                </w:p>
              </w:tc>
              <w:tc>
                <w:tcPr>
                  <w:tcW w:w="645" w:type="pct"/>
                </w:tcPr>
                <w:p w:rsidR="006E391F" w:rsidRPr="00BC1144" w:rsidRDefault="006E391F" w:rsidP="00336FA0">
                  <w:pPr>
                    <w:pStyle w:val="TableBodyText"/>
                    <w:ind w:right="28"/>
                  </w:pPr>
                  <w:r w:rsidRPr="00BC1144">
                    <w:t>8.6</w:t>
                  </w:r>
                </w:p>
              </w:tc>
            </w:tr>
            <w:tr w:rsidR="006E391F" w:rsidRPr="00BC1144" w:rsidTr="00336FA0">
              <w:tc>
                <w:tcPr>
                  <w:tcW w:w="795" w:type="pct"/>
                  <w:tcBorders>
                    <w:bottom w:val="single" w:sz="4" w:space="0" w:color="BFBFBF"/>
                  </w:tcBorders>
                </w:tcPr>
                <w:p w:rsidR="006E391F" w:rsidRPr="00BC1144" w:rsidRDefault="006E391F" w:rsidP="00336FA0">
                  <w:pPr>
                    <w:pStyle w:val="TableBodyText"/>
                    <w:jc w:val="left"/>
                  </w:pPr>
                </w:p>
              </w:tc>
              <w:tc>
                <w:tcPr>
                  <w:tcW w:w="1622" w:type="pct"/>
                  <w:tcBorders>
                    <w:bottom w:val="single" w:sz="4" w:space="0" w:color="BFBFBF"/>
                  </w:tcBorders>
                </w:tcPr>
                <w:p w:rsidR="006E391F" w:rsidRPr="00BC1144" w:rsidRDefault="006E391F" w:rsidP="00336FA0">
                  <w:pPr>
                    <w:pStyle w:val="TableBodyText"/>
                    <w:jc w:val="left"/>
                  </w:pPr>
                  <w:r w:rsidRPr="00BC1144">
                    <w:t>No ATAR</w:t>
                  </w:r>
                </w:p>
              </w:tc>
              <w:tc>
                <w:tcPr>
                  <w:tcW w:w="646" w:type="pct"/>
                  <w:tcBorders>
                    <w:bottom w:val="single" w:sz="4" w:space="0" w:color="BFBFBF"/>
                  </w:tcBorders>
                </w:tcPr>
                <w:p w:rsidR="006E391F" w:rsidRPr="00BC1144" w:rsidRDefault="006E391F" w:rsidP="00336FA0">
                  <w:pPr>
                    <w:pStyle w:val="TableBodyText"/>
                  </w:pPr>
                  <w:r w:rsidRPr="00BC1144">
                    <w:t>24.4</w:t>
                  </w:r>
                </w:p>
              </w:tc>
              <w:tc>
                <w:tcPr>
                  <w:tcW w:w="646" w:type="pct"/>
                  <w:tcBorders>
                    <w:bottom w:val="single" w:sz="4" w:space="0" w:color="BFBFBF"/>
                  </w:tcBorders>
                </w:tcPr>
                <w:p w:rsidR="006E391F" w:rsidRPr="00BC1144" w:rsidRDefault="006E391F" w:rsidP="00336FA0">
                  <w:pPr>
                    <w:pStyle w:val="TableBodyText"/>
                    <w:ind w:right="28"/>
                  </w:pPr>
                  <w:r w:rsidRPr="00BC1144">
                    <w:t>3.8</w:t>
                  </w:r>
                </w:p>
              </w:tc>
              <w:tc>
                <w:tcPr>
                  <w:tcW w:w="646" w:type="pct"/>
                  <w:tcBorders>
                    <w:bottom w:val="single" w:sz="4" w:space="0" w:color="BFBFBF"/>
                  </w:tcBorders>
                </w:tcPr>
                <w:p w:rsidR="006E391F" w:rsidRPr="00BC1144" w:rsidRDefault="006E391F" w:rsidP="00336FA0">
                  <w:pPr>
                    <w:pStyle w:val="TableBodyText"/>
                    <w:ind w:right="28"/>
                  </w:pPr>
                  <w:r w:rsidRPr="00BC1144">
                    <w:t>54.3</w:t>
                  </w:r>
                </w:p>
              </w:tc>
              <w:tc>
                <w:tcPr>
                  <w:tcW w:w="645" w:type="pct"/>
                  <w:tcBorders>
                    <w:bottom w:val="single" w:sz="4" w:space="0" w:color="BFBFBF"/>
                  </w:tcBorders>
                </w:tcPr>
                <w:p w:rsidR="006E391F" w:rsidRPr="00BC1144" w:rsidRDefault="006E391F" w:rsidP="00336FA0">
                  <w:pPr>
                    <w:pStyle w:val="TableBodyText"/>
                    <w:ind w:right="28"/>
                  </w:pPr>
                  <w:r w:rsidRPr="00BC1144">
                    <w:t>25.2</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Quartile 4 denotes the top quartile (top 25 per cent) </w:t>
            </w:r>
            <w:r w:rsidRPr="00BC1144">
              <w:rPr>
                <w:rStyle w:val="NoteLabel"/>
              </w:rPr>
              <w:t>b</w:t>
            </w:r>
            <w:r w:rsidRPr="00BC1144">
              <w:t xml:space="preserve"> The totals for each of the quartiles differ from 25 per cent due to the effect of survey attrition (survey attrition may also affect the other values).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dyText"/>
        <w:sectPr w:rsidR="006E391F" w:rsidRPr="00BC1144">
          <w:headerReference w:type="even" r:id="rId132"/>
          <w:headerReference w:type="default" r:id="rId133"/>
          <w:footerReference w:type="even" r:id="rId134"/>
          <w:footerReference w:type="default" r:id="rId135"/>
          <w:pgSz w:w="11907" w:h="16840" w:code="9"/>
          <w:pgMar w:top="1985" w:right="1304" w:bottom="1418" w:left="1814" w:header="1701" w:footer="567" w:gutter="0"/>
          <w:pgNumType w:chapSep="period"/>
          <w:cols w:space="720"/>
        </w:sectPr>
      </w:pP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4</w:t>
            </w:r>
            <w:r w:rsidRPr="00BC1144">
              <w:tab/>
              <w:t>University attendance by age 22 years in 2013: additional students and other students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27F5B964" wp14:editId="62007FC9">
                        <wp:extent cx="8532495" cy="3823970"/>
                        <wp:effectExtent l="0" t="0" r="0" b="0"/>
                        <wp:docPr id="61" name="Picture 61" descr="Figure B.4 shows university attendance by age 22 years in 2013, for additional and other students by gender, parents socioeconomic status, neighbourhood socioeconomic status, school sector, location, Indigenous status, parents education, ATAR score and PISA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_B_4.emf"/>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8532495" cy="3823970"/>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dyText"/>
        <w:sectPr w:rsidR="006E391F" w:rsidRPr="00BC1144">
          <w:headerReference w:type="even" r:id="rId137"/>
          <w:headerReference w:type="default" r:id="rId138"/>
          <w:footerReference w:type="even" r:id="rId139"/>
          <w:footerReference w:type="default" r:id="rId140"/>
          <w:pgSz w:w="16840" w:h="11907" w:orient="landscape" w:code="9"/>
          <w:pgMar w:top="1814" w:right="1985" w:bottom="1304" w:left="1418" w:header="1701" w:footer="567" w:gutter="0"/>
          <w:pgNumType w:chapSep="period"/>
          <w:cols w:space="720"/>
        </w:sectPr>
      </w:pP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5</w:t>
            </w:r>
            <w:r w:rsidRPr="00BC1144">
              <w:tab/>
              <w:t>University attendance by age 22 years in 2016: additional students and other students</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492A63C0" wp14:editId="019FFDE7">
                        <wp:extent cx="8532495" cy="3823970"/>
                        <wp:effectExtent l="0" t="0" r="0" b="0"/>
                        <wp:docPr id="62" name="Picture 62" descr="Figure B.5 shows university attendance by age 22 years in 2016, for additional and other students by gender, parents socioeconomic status, neighbourhood socioeconomic status, school sector, location, Indigenous status, parents education, ATAR score and PISA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B_5.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8532495" cy="3823970"/>
                                </a:xfrm>
                                <a:prstGeom prst="rect">
                                  <a:avLst/>
                                </a:prstGeom>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pPr>
        <w:pStyle w:val="BodyText"/>
        <w:sectPr w:rsidR="006E391F" w:rsidRPr="00BC1144">
          <w:headerReference w:type="even" r:id="rId142"/>
          <w:headerReference w:type="default" r:id="rId143"/>
          <w:footerReference w:type="even" r:id="rId144"/>
          <w:footerReference w:type="default" r:id="rId145"/>
          <w:pgSz w:w="16840" w:h="11907" w:orient="landscape" w:code="9"/>
          <w:pgMar w:top="1814" w:right="1985" w:bottom="1304" w:left="1418" w:header="1701" w:footer="567" w:gutter="0"/>
          <w:pgNumType w:chapSep="period"/>
          <w:cols w:space="720"/>
        </w:sectPr>
      </w:pPr>
    </w:p>
    <w:p w:rsidR="006E391F" w:rsidRPr="00BC1144" w:rsidRDefault="006E391F" w:rsidP="00336FA0">
      <w:pPr>
        <w:pStyle w:val="Heading2"/>
      </w:pPr>
      <w:bookmarkStart w:id="70" w:name="_Toc10805475"/>
      <w:r w:rsidRPr="00BC1144">
        <w:lastRenderedPageBreak/>
        <w:t>B.</w:t>
      </w:r>
      <w:r w:rsidRPr="00BC1144">
        <w:rPr>
          <w:noProof/>
        </w:rPr>
        <w:t>6</w:t>
      </w:r>
      <w:r w:rsidRPr="00BC1144">
        <w:tab/>
        <w:t>Imputing ATAR scores</w:t>
      </w:r>
      <w:bookmarkEnd w:id="70"/>
    </w:p>
    <w:p w:rsidR="006E391F" w:rsidRPr="00BC1144" w:rsidRDefault="006E391F" w:rsidP="00336FA0">
      <w:pPr>
        <w:pStyle w:val="BodyText"/>
      </w:pPr>
      <w:r w:rsidRPr="00BC1144">
        <w:t xml:space="preserve">The study imputes missing ATAR values where survey respondents report that they received an ATAR but do not report what it was, or where they provided no information about whether they received an ATAR. Depending on the cohort, between 18 and 27 per cent of survey respondents fall into one of these two categories. Where survey respondents report they did not receive an ATAR, this information is coded as a categorical variable and no ATAR score is imputed. </w:t>
      </w:r>
    </w:p>
    <w:p w:rsidR="006E391F" w:rsidRPr="00BC1144" w:rsidRDefault="006E391F" w:rsidP="00336FA0">
      <w:pPr>
        <w:pStyle w:val="BodyText"/>
      </w:pPr>
      <w:r w:rsidRPr="00BC1144">
        <w:t xml:space="preserve">The imputation here uses multivariate imputation by chained equations (MICE) with predictive mean matching (PMM). The technique involves regression analysis to construct an index of ATAR predicted values based on a range of demographic data such as PISA scores, year 12 completion and individual, family, school and region characteristics. These predicted values are then used to match observations with missing ATAR information to similar observations in the data set. The ATAR information of the comparable observation is then used to replace the original observation. </w:t>
      </w:r>
    </w:p>
    <w:p w:rsidR="006E391F" w:rsidRPr="00BC1144" w:rsidRDefault="006E391F" w:rsidP="00336FA0">
      <w:pPr>
        <w:pStyle w:val="BodyText"/>
      </w:pPr>
      <w:r w:rsidRPr="00BC1144">
        <w:rPr>
          <w:shd w:val="clear" w:color="auto" w:fill="FFFFFF"/>
        </w:rPr>
        <w:t xml:space="preserve">The chained equations approach can handle different types of variables (for example, continuous or binary) as well as complexities such as bounds or survey skip patterns, all simultaneously </w:t>
      </w:r>
      <w:r w:rsidR="0092626E" w:rsidRPr="00BC1144">
        <w:rPr>
          <w:szCs w:val="24"/>
        </w:rPr>
        <w:t>(Azur et al. 2011)</w:t>
      </w:r>
      <w:r w:rsidRPr="00BC1144">
        <w:rPr>
          <w:shd w:val="clear" w:color="auto" w:fill="FFFFFF"/>
        </w:rPr>
        <w:t xml:space="preserve">. An advantage of </w:t>
      </w:r>
      <w:r w:rsidRPr="00BC1144">
        <w:t xml:space="preserve">MICE with PMM is that it produces imputed values that (1) reflect any inherent skewness in the original variable, (2) are automatically bounded consistent with the original data and (3) are automatically discrete or continuous depending on the underlying data </w:t>
      </w:r>
      <w:r w:rsidR="0092626E" w:rsidRPr="00BC1144">
        <w:rPr>
          <w:szCs w:val="24"/>
        </w:rPr>
        <w:t>(Carpenter and Kenward 2013)</w:t>
      </w:r>
      <w:r w:rsidRPr="00BC1144">
        <w:t xml:space="preserve">. Imputation is undertaken both of (1) whether a respondent received an ATAR and (2) if they did receive an ATAR, what their score would have been. Where the imputation concluded that the respondent did not receive an ATAR the hypothetical ATAR score is overridden with a ‘no ATAR’ response. </w:t>
      </w:r>
    </w:p>
    <w:p w:rsidR="006E391F" w:rsidRPr="00BC1144" w:rsidRDefault="006E391F" w:rsidP="00336FA0">
      <w:pPr>
        <w:pStyle w:val="BodyText"/>
      </w:pPr>
      <w:r w:rsidRPr="00BC1144">
        <w:t>The approach assumes that the missing ATAR values that are ‘missing at random’ meaning that the probability of data being missing is, after controlling for observable variables, distributed randomly. While difficult to test this assumption directly, analysis showed that the observable student characteristics do a good job of predicting ATAR scores and the predicted distribution of ATARs reconciles with administrative data published by the DET data. The main results on completion and labour market outcomes of additional and other students are robust to alternative treatment of the ATAR, including dropping missing ATAR values or including dummy variables for missing values instead of imputing.</w:t>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B.12</w:t>
            </w:r>
            <w:r w:rsidRPr="00BC1144">
              <w:tab/>
              <w:t>Variables used for ATAR imputation</w:t>
            </w:r>
          </w:p>
        </w:tc>
      </w:tr>
      <w:tr w:rsidR="006E391F" w:rsidRPr="00BC1144" w:rsidTr="00336FA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18"/>
              <w:gridCol w:w="6287"/>
            </w:tblGrid>
            <w:tr w:rsidR="006E391F" w:rsidRPr="00BC1144" w:rsidTr="00336FA0">
              <w:trPr>
                <w:tblHeader/>
              </w:trPr>
              <w:tc>
                <w:tcPr>
                  <w:tcW w:w="130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Variables</w:t>
                  </w:r>
                </w:p>
              </w:tc>
              <w:tc>
                <w:tcPr>
                  <w:tcW w:w="369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jc w:val="left"/>
                  </w:pPr>
                  <w:r w:rsidRPr="00BC1144">
                    <w:t>Description</w:t>
                  </w:r>
                </w:p>
              </w:tc>
            </w:tr>
            <w:tr w:rsidR="006E391F" w:rsidRPr="00BC1144" w:rsidTr="00336FA0">
              <w:tc>
                <w:tcPr>
                  <w:tcW w:w="1304" w:type="pct"/>
                  <w:tcBorders>
                    <w:top w:val="single" w:sz="6" w:space="0" w:color="BFBFBF"/>
                  </w:tcBorders>
                  <w:shd w:val="clear" w:color="auto" w:fill="F2F2F2" w:themeFill="background1" w:themeFillShade="F2"/>
                </w:tcPr>
                <w:p w:rsidR="006E391F" w:rsidRPr="00BC1144" w:rsidRDefault="006E391F" w:rsidP="00336FA0">
                  <w:pPr>
                    <w:pStyle w:val="TableUnitsRow"/>
                    <w:spacing w:before="80"/>
                    <w:jc w:val="left"/>
                  </w:pPr>
                  <w:r w:rsidRPr="00BC1144">
                    <w:t>Completed year 12</w:t>
                  </w:r>
                </w:p>
              </w:tc>
              <w:tc>
                <w:tcPr>
                  <w:tcW w:w="3696" w:type="pct"/>
                  <w:tcBorders>
                    <w:top w:val="single" w:sz="6" w:space="0" w:color="BFBFBF"/>
                  </w:tcBorders>
                  <w:shd w:val="clear" w:color="auto" w:fill="F2F2F2" w:themeFill="background1" w:themeFillShade="F2"/>
                </w:tcPr>
                <w:p w:rsidR="006E391F" w:rsidRPr="00BC1144" w:rsidRDefault="006E391F" w:rsidP="00336FA0">
                  <w:pPr>
                    <w:pStyle w:val="TableUnitsRow"/>
                    <w:spacing w:before="80"/>
                    <w:ind w:right="28"/>
                    <w:jc w:val="left"/>
                  </w:pPr>
                  <w:r w:rsidRPr="00BC1144">
                    <w:t>Whether or not student complete year 12</w:t>
                  </w:r>
                </w:p>
              </w:tc>
            </w:tr>
            <w:tr w:rsidR="006E391F" w:rsidRPr="00BC1144" w:rsidTr="00336FA0">
              <w:tc>
                <w:tcPr>
                  <w:tcW w:w="1304" w:type="pct"/>
                </w:tcPr>
                <w:p w:rsidR="006E391F" w:rsidRPr="00BC1144" w:rsidRDefault="006E391F" w:rsidP="00336FA0">
                  <w:pPr>
                    <w:pStyle w:val="TableBodyText"/>
                    <w:jc w:val="left"/>
                  </w:pPr>
                  <w:r w:rsidRPr="00BC1144">
                    <w:t>State</w:t>
                  </w:r>
                </w:p>
              </w:tc>
              <w:tc>
                <w:tcPr>
                  <w:tcW w:w="3696" w:type="pct"/>
                </w:tcPr>
                <w:p w:rsidR="006E391F" w:rsidRPr="00BC1144" w:rsidRDefault="006E391F" w:rsidP="00336FA0">
                  <w:pPr>
                    <w:pStyle w:val="TableBodyText"/>
                    <w:ind w:right="28"/>
                    <w:jc w:val="left"/>
                  </w:pPr>
                  <w:r w:rsidRPr="00BC1144">
                    <w:t>State of school student attended</w:t>
                  </w:r>
                </w:p>
              </w:tc>
            </w:tr>
            <w:tr w:rsidR="006E391F" w:rsidRPr="00BC1144" w:rsidTr="00336FA0">
              <w:tc>
                <w:tcPr>
                  <w:tcW w:w="1304" w:type="pct"/>
                  <w:shd w:val="clear" w:color="auto" w:fill="F2F2F2" w:themeFill="background1" w:themeFillShade="F2"/>
                </w:tcPr>
                <w:p w:rsidR="006E391F" w:rsidRPr="00BC1144" w:rsidRDefault="006E391F" w:rsidP="00336FA0">
                  <w:pPr>
                    <w:pStyle w:val="TableBodyText"/>
                    <w:jc w:val="left"/>
                  </w:pPr>
                  <w:r w:rsidRPr="00BC1144">
                    <w:t>PISA scores</w:t>
                  </w:r>
                </w:p>
              </w:tc>
              <w:tc>
                <w:tcPr>
                  <w:tcW w:w="3696" w:type="pct"/>
                  <w:shd w:val="clear" w:color="auto" w:fill="F2F2F2" w:themeFill="background1" w:themeFillShade="F2"/>
                </w:tcPr>
                <w:p w:rsidR="006E391F" w:rsidRPr="00BC1144" w:rsidRDefault="006E391F" w:rsidP="00336FA0">
                  <w:pPr>
                    <w:pStyle w:val="TableBodyText"/>
                    <w:ind w:right="28"/>
                    <w:jc w:val="left"/>
                  </w:pPr>
                  <w:r w:rsidRPr="00BC1144">
                    <w:t>Based on standardised testing in numeracy and literacy at age 15 years</w:t>
                  </w:r>
                </w:p>
              </w:tc>
            </w:tr>
            <w:tr w:rsidR="006E391F" w:rsidRPr="00BC1144" w:rsidTr="00336FA0">
              <w:tc>
                <w:tcPr>
                  <w:tcW w:w="1304" w:type="pct"/>
                </w:tcPr>
                <w:p w:rsidR="006E391F" w:rsidRPr="00BC1144" w:rsidRDefault="006E391F" w:rsidP="00336FA0">
                  <w:pPr>
                    <w:pStyle w:val="TableBodyText"/>
                    <w:jc w:val="left"/>
                  </w:pPr>
                  <w:r w:rsidRPr="00BC1144">
                    <w:t xml:space="preserve">School SES </w:t>
                  </w:r>
                </w:p>
              </w:tc>
              <w:tc>
                <w:tcPr>
                  <w:tcW w:w="3696" w:type="pct"/>
                </w:tcPr>
                <w:p w:rsidR="006E391F" w:rsidRPr="00BC1144" w:rsidRDefault="006E391F" w:rsidP="00336FA0">
                  <w:pPr>
                    <w:pStyle w:val="TableBodyText"/>
                    <w:ind w:right="28"/>
                    <w:jc w:val="left"/>
                  </w:pPr>
                  <w:r w:rsidRPr="00BC1144">
                    <w:t>Average socioeconomic status of students at the school</w:t>
                  </w:r>
                </w:p>
              </w:tc>
            </w:tr>
            <w:tr w:rsidR="006E391F" w:rsidRPr="00BC1144" w:rsidTr="00336FA0">
              <w:tc>
                <w:tcPr>
                  <w:tcW w:w="1304" w:type="pct"/>
                  <w:shd w:val="clear" w:color="auto" w:fill="F2F2F2" w:themeFill="background1" w:themeFillShade="F2"/>
                </w:tcPr>
                <w:p w:rsidR="006E391F" w:rsidRPr="00BC1144" w:rsidRDefault="006E391F" w:rsidP="00336FA0">
                  <w:pPr>
                    <w:pStyle w:val="TableBodyText"/>
                    <w:jc w:val="left"/>
                  </w:pPr>
                  <w:r w:rsidRPr="00BC1144">
                    <w:t>School sector</w:t>
                  </w:r>
                </w:p>
              </w:tc>
              <w:tc>
                <w:tcPr>
                  <w:tcW w:w="3696" w:type="pct"/>
                  <w:shd w:val="clear" w:color="auto" w:fill="F2F2F2" w:themeFill="background1" w:themeFillShade="F2"/>
                </w:tcPr>
                <w:p w:rsidR="006E391F" w:rsidRPr="00BC1144" w:rsidRDefault="006E391F" w:rsidP="00336FA0">
                  <w:pPr>
                    <w:pStyle w:val="TableBodyText"/>
                    <w:ind w:right="28"/>
                    <w:jc w:val="left"/>
                  </w:pPr>
                  <w:r w:rsidRPr="00BC1144">
                    <w:t>Government, Catholic, independent</w:t>
                  </w:r>
                </w:p>
              </w:tc>
            </w:tr>
            <w:tr w:rsidR="006E391F" w:rsidRPr="00BC1144" w:rsidTr="00336FA0">
              <w:tc>
                <w:tcPr>
                  <w:tcW w:w="1304" w:type="pct"/>
                </w:tcPr>
                <w:p w:rsidR="006E391F" w:rsidRPr="00BC1144" w:rsidRDefault="006E391F" w:rsidP="00336FA0">
                  <w:pPr>
                    <w:pStyle w:val="TableBodyText"/>
                    <w:jc w:val="left"/>
                  </w:pPr>
                  <w:r w:rsidRPr="00BC1144">
                    <w:t>Socioeconomic status</w:t>
                  </w:r>
                </w:p>
              </w:tc>
              <w:tc>
                <w:tcPr>
                  <w:tcW w:w="3696" w:type="pct"/>
                </w:tcPr>
                <w:p w:rsidR="006E391F" w:rsidRPr="00BC1144" w:rsidRDefault="006E391F" w:rsidP="00336FA0">
                  <w:pPr>
                    <w:pStyle w:val="TableBodyText"/>
                    <w:ind w:right="28"/>
                    <w:jc w:val="left"/>
                  </w:pPr>
                  <w:r w:rsidRPr="00BC1144">
                    <w:t>Highest ranking parental occupation using ISEI score</w:t>
                  </w:r>
                </w:p>
              </w:tc>
            </w:tr>
            <w:tr w:rsidR="006E391F" w:rsidRPr="00BC1144" w:rsidTr="00336FA0">
              <w:tc>
                <w:tcPr>
                  <w:tcW w:w="1304" w:type="pct"/>
                  <w:shd w:val="clear" w:color="auto" w:fill="F2F2F2" w:themeFill="background1" w:themeFillShade="F2"/>
                </w:tcPr>
                <w:p w:rsidR="006E391F" w:rsidRPr="00BC1144" w:rsidRDefault="006E391F" w:rsidP="00336FA0">
                  <w:pPr>
                    <w:pStyle w:val="TableBodyText"/>
                    <w:jc w:val="left"/>
                  </w:pPr>
                  <w:r w:rsidRPr="00BC1144">
                    <w:t>Parental education</w:t>
                  </w:r>
                </w:p>
              </w:tc>
              <w:tc>
                <w:tcPr>
                  <w:tcW w:w="3696" w:type="pct"/>
                  <w:shd w:val="clear" w:color="auto" w:fill="F2F2F2" w:themeFill="background1" w:themeFillShade="F2"/>
                </w:tcPr>
                <w:p w:rsidR="006E391F" w:rsidRPr="00BC1144" w:rsidRDefault="006E391F" w:rsidP="00336FA0">
                  <w:pPr>
                    <w:pStyle w:val="TableBodyText"/>
                    <w:ind w:right="28"/>
                    <w:jc w:val="left"/>
                  </w:pPr>
                  <w:r w:rsidRPr="00BC1144">
                    <w:t>Reported at least one parent has a university degree (ISCED score 5A of 6</w:t>
                  </w:r>
                </w:p>
              </w:tc>
            </w:tr>
            <w:tr w:rsidR="006E391F" w:rsidRPr="00BC1144" w:rsidTr="00336FA0">
              <w:tc>
                <w:tcPr>
                  <w:tcW w:w="1304" w:type="pct"/>
                </w:tcPr>
                <w:p w:rsidR="006E391F" w:rsidRPr="00BC1144" w:rsidRDefault="006E391F" w:rsidP="00336FA0">
                  <w:pPr>
                    <w:pStyle w:val="TableBodyText"/>
                    <w:jc w:val="left"/>
                  </w:pPr>
                  <w:r w:rsidRPr="00BC1144">
                    <w:t>Gender</w:t>
                  </w:r>
                </w:p>
              </w:tc>
              <w:tc>
                <w:tcPr>
                  <w:tcW w:w="3696" w:type="pct"/>
                </w:tcPr>
                <w:p w:rsidR="006E391F" w:rsidRPr="00BC1144" w:rsidRDefault="006E391F" w:rsidP="00336FA0">
                  <w:pPr>
                    <w:pStyle w:val="TableBodyText"/>
                    <w:ind w:right="28"/>
                    <w:jc w:val="left"/>
                  </w:pPr>
                  <w:r w:rsidRPr="00BC1144">
                    <w:t>Male or female</w:t>
                  </w:r>
                </w:p>
              </w:tc>
            </w:tr>
            <w:tr w:rsidR="006E391F" w:rsidRPr="00BC1144" w:rsidTr="00336FA0">
              <w:tc>
                <w:tcPr>
                  <w:tcW w:w="1304" w:type="pct"/>
                  <w:shd w:val="clear" w:color="auto" w:fill="F2F2F2" w:themeFill="background1" w:themeFillShade="F2"/>
                </w:tcPr>
                <w:p w:rsidR="006E391F" w:rsidRPr="00BC1144" w:rsidRDefault="006E391F" w:rsidP="00336FA0">
                  <w:pPr>
                    <w:pStyle w:val="TableBodyText"/>
                    <w:jc w:val="left"/>
                  </w:pPr>
                  <w:r w:rsidRPr="00BC1144">
                    <w:t>Location</w:t>
                  </w:r>
                </w:p>
              </w:tc>
              <w:tc>
                <w:tcPr>
                  <w:tcW w:w="3696" w:type="pct"/>
                  <w:shd w:val="clear" w:color="auto" w:fill="F2F2F2" w:themeFill="background1" w:themeFillShade="F2"/>
                </w:tcPr>
                <w:p w:rsidR="006E391F" w:rsidRPr="00BC1144" w:rsidRDefault="006E391F" w:rsidP="00336FA0">
                  <w:pPr>
                    <w:pStyle w:val="TableBodyText"/>
                    <w:ind w:right="28"/>
                    <w:jc w:val="left"/>
                  </w:pPr>
                  <w:r w:rsidRPr="00BC1144">
                    <w:t xml:space="preserve">Region or remote or metropolitan (based on reported residential postcodes) </w:t>
                  </w:r>
                </w:p>
              </w:tc>
            </w:tr>
            <w:tr w:rsidR="006E391F" w:rsidRPr="00BC1144" w:rsidTr="00336FA0">
              <w:tc>
                <w:tcPr>
                  <w:tcW w:w="1304" w:type="pct"/>
                  <w:tcBorders>
                    <w:bottom w:val="single" w:sz="6" w:space="0" w:color="BFBFBF"/>
                  </w:tcBorders>
                  <w:shd w:val="clear" w:color="auto" w:fill="auto"/>
                </w:tcPr>
                <w:p w:rsidR="006E391F" w:rsidRPr="00BC1144" w:rsidRDefault="006E391F" w:rsidP="00336FA0">
                  <w:pPr>
                    <w:pStyle w:val="TableBodyText"/>
                    <w:jc w:val="left"/>
                  </w:pPr>
                  <w:r w:rsidRPr="00BC1144">
                    <w:t>NESB</w:t>
                  </w:r>
                </w:p>
              </w:tc>
              <w:tc>
                <w:tcPr>
                  <w:tcW w:w="3696" w:type="pct"/>
                  <w:tcBorders>
                    <w:bottom w:val="single" w:sz="6" w:space="0" w:color="BFBFBF"/>
                  </w:tcBorders>
                  <w:shd w:val="clear" w:color="auto" w:fill="auto"/>
                </w:tcPr>
                <w:p w:rsidR="006E391F" w:rsidRPr="00BC1144" w:rsidRDefault="006E391F" w:rsidP="00336FA0">
                  <w:pPr>
                    <w:pStyle w:val="TableBodyText"/>
                    <w:ind w:right="28"/>
                    <w:jc w:val="left"/>
                  </w:pPr>
                  <w:r w:rsidRPr="00BC1144">
                    <w:t>Student is from a non</w:t>
                  </w:r>
                  <w:r w:rsidRPr="00BC1144">
                    <w:noBreakHyphen/>
                    <w:t xml:space="preserve">English speaking background (see table 4) </w:t>
                  </w:r>
                </w:p>
              </w:tc>
            </w:tr>
          </w:tbl>
          <w:p w:rsidR="006E391F" w:rsidRPr="00BC1144" w:rsidRDefault="006E391F" w:rsidP="00336FA0">
            <w:pPr>
              <w:pStyle w:val="Box"/>
            </w:pP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Below"/>
      </w:pPr>
    </w:p>
    <w:p w:rsidR="006E391F" w:rsidRPr="00BC1144" w:rsidRDefault="006E391F" w:rsidP="00336FA0">
      <w:pPr>
        <w:pStyle w:val="Heading2"/>
      </w:pPr>
      <w:bookmarkStart w:id="71" w:name="_Toc10805476"/>
      <w:r w:rsidRPr="00BC1144">
        <w:t>B.</w:t>
      </w:r>
      <w:r w:rsidRPr="00BC1144">
        <w:rPr>
          <w:noProof/>
        </w:rPr>
        <w:t>7</w:t>
      </w:r>
      <w:r w:rsidRPr="00BC1144">
        <w:tab/>
        <w:t>Bootstrapping confidence intervals</w:t>
      </w:r>
      <w:bookmarkEnd w:id="71"/>
    </w:p>
    <w:p w:rsidR="006E391F" w:rsidRPr="00BC1144" w:rsidRDefault="006E391F" w:rsidP="00336FA0">
      <w:pPr>
        <w:pStyle w:val="BodyText"/>
      </w:pPr>
      <w:r w:rsidRPr="00BC1144">
        <w:t>Confidence intervals are estimated for the key outcome variables such as university completion rates and labour market transitions (chapter 2) to assess whether differences in group means reflect chance or not. Uncertainty in group means comes from two sources: sampling variation in the data; and uncertainty around predicted probabilities that students are in one or the other of the two groups. These group means are non</w:t>
      </w:r>
      <w:r w:rsidRPr="00BC1144">
        <w:noBreakHyphen/>
        <w:t>linear in the estimated parameters from the university participation equations (as described in B.7 above) and, as such, a computational approach is taken to estimating confidence intervals.</w:t>
      </w:r>
    </w:p>
    <w:p w:rsidR="006E391F" w:rsidRPr="00BC1144" w:rsidRDefault="006E391F" w:rsidP="00336FA0">
      <w:pPr>
        <w:pStyle w:val="BodyText"/>
        <w:rPr>
          <w:spacing w:val="-2"/>
        </w:rPr>
      </w:pPr>
      <w:r w:rsidRPr="00BC1144">
        <w:rPr>
          <w:spacing w:val="-2"/>
        </w:rPr>
        <w:t xml:space="preserve">Bootstrapping assigns measures of accuracy to estimated statistics by taking repeated random samples from the original sample with replacement to generate many more random samples. The statistic of interest is calculated from each of these new random samples, and a distribution of possible results is generated from each of these new statistics. This distribution is used to infer the uncertainty around the statistic calculated from the original sample. </w:t>
      </w:r>
    </w:p>
    <w:p w:rsidR="006E391F" w:rsidRPr="00BC1144" w:rsidRDefault="006E391F" w:rsidP="00336FA0">
      <w:pPr>
        <w:pStyle w:val="BodyText"/>
        <w:rPr>
          <w:spacing w:val="-2"/>
        </w:rPr>
      </w:pPr>
      <w:r w:rsidRPr="00BC1144">
        <w:rPr>
          <w:spacing w:val="-2"/>
        </w:rPr>
        <w:t xml:space="preserve">The bootstrapping approach used sample weights for the probabilities of drawing each observation from the original sample and drew 5000 samples in this way. The outcome variables were estimated from each of the new samples, to generate a distribution of possible results. A 95 per cent confidence interval is estimated from the 5000 bootstrapped statistics by calculating the standard error of the computed statistics and applying it to the original mean. </w:t>
      </w:r>
    </w:p>
    <w:p w:rsidR="006E391F" w:rsidRPr="00BC1144" w:rsidRDefault="006E391F" w:rsidP="00336FA0">
      <w:pPr>
        <w:pStyle w:val="BodyText"/>
      </w:pPr>
      <w:r w:rsidRPr="00BC1144">
        <w:t xml:space="preserve">The bootstrap standard error is the standard deviation of the individual bootstrap estimates and is calculated as follows. Let </w:t>
      </w:r>
      <m:oMath>
        <m:acc>
          <m:accPr>
            <m:ctrlPr>
              <w:rPr>
                <w:rFonts w:ascii="Cambria Math" w:hAnsi="Cambria Math"/>
                <w:i/>
              </w:rPr>
            </m:ctrlPr>
          </m:accPr>
          <m:e>
            <m:r>
              <w:rPr>
                <w:rFonts w:ascii="Cambria Math" w:hAnsi="Cambria Math"/>
              </w:rPr>
              <m:t>θ</m:t>
            </m:r>
          </m:e>
        </m:acc>
      </m:oMath>
      <w:r w:rsidRPr="00BC1144">
        <w:t xml:space="preserve"> denote the statistic estimated from the original sample. Then let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b</m:t>
            </m:r>
          </m:sub>
        </m:sSub>
      </m:oMath>
      <w:r w:rsidRPr="00BC1144">
        <w:t xml:space="preserve">, b =1,..B denote the B estimates of θ from the bootstrap samples. The bootstrap standard error for </w:t>
      </w:r>
      <m:oMath>
        <m:acc>
          <m:accPr>
            <m:ctrlPr>
              <w:rPr>
                <w:rFonts w:ascii="Cambria Math" w:hAnsi="Cambria Math"/>
                <w:i/>
              </w:rPr>
            </m:ctrlPr>
          </m:accPr>
          <m:e>
            <m:r>
              <w:rPr>
                <w:rFonts w:ascii="Cambria Math" w:hAnsi="Cambria Math"/>
              </w:rPr>
              <m:t>θ</m:t>
            </m:r>
          </m:e>
        </m:acc>
      </m:oMath>
      <w:r w:rsidRPr="00BC1144">
        <w:t xml:space="preserve"> is then given by:</w:t>
      </w:r>
    </w:p>
    <w:p w:rsidR="006E391F" w:rsidRPr="00BC1144" w:rsidRDefault="006E391F" w:rsidP="00336FA0">
      <w:pPr>
        <w:pStyle w:val="BodyText"/>
      </w:pPr>
      <m:oMathPara>
        <m:oMathParaPr>
          <m:jc m:val="left"/>
        </m:oMathParaPr>
        <m:oMath>
          <m:r>
            <w:rPr>
              <w:rFonts w:ascii="Cambria Math" w:hAnsi="Cambria Math"/>
            </w:rPr>
            <w:lastRenderedPageBreak/>
            <m:t>SE</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B-1</m:t>
                  </m:r>
                </m:den>
              </m:f>
              <m:nary>
                <m:naryPr>
                  <m:chr m:val="∑"/>
                  <m:limLoc m:val="undOvr"/>
                  <m:ctrlPr>
                    <w:rPr>
                      <w:rFonts w:ascii="Cambria Math" w:hAnsi="Cambria Math"/>
                      <w:i/>
                    </w:rPr>
                  </m:ctrlPr>
                </m:naryPr>
                <m:sub>
                  <m:r>
                    <w:rPr>
                      <w:rFonts w:ascii="Cambria Math" w:hAnsi="Cambria Math"/>
                    </w:rPr>
                    <m:t>b=1</m:t>
                  </m:r>
                </m:sub>
                <m:sup>
                  <m:r>
                    <w:rPr>
                      <w:rFonts w:ascii="Cambria Math" w:hAnsi="Cambria Math"/>
                    </w:rPr>
                    <m:t>B</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b</m:t>
                              </m:r>
                            </m:sub>
                          </m:sSub>
                          <m:r>
                            <w:rPr>
                              <w:rFonts w:ascii="Cambria Math" w:hAnsi="Cambria Math"/>
                            </w:rPr>
                            <m:t>-</m:t>
                          </m:r>
                          <m:acc>
                            <m:accPr>
                              <m:chr m:val="̅"/>
                              <m:ctrlPr>
                                <w:rPr>
                                  <w:rFonts w:ascii="Cambria Math" w:hAnsi="Cambria Math"/>
                                  <w:i/>
                                </w:rPr>
                              </m:ctrlPr>
                            </m:accPr>
                            <m:e>
                              <m:r>
                                <w:rPr>
                                  <w:rFonts w:ascii="Cambria Math" w:hAnsi="Cambria Math"/>
                                </w:rPr>
                                <m:t>θ</m:t>
                              </m:r>
                            </m:e>
                          </m:acc>
                        </m:e>
                      </m:d>
                    </m:e>
                    <m:sup>
                      <m:r>
                        <w:rPr>
                          <w:rFonts w:ascii="Cambria Math" w:hAnsi="Cambria Math"/>
                        </w:rPr>
                        <m:t>2</m:t>
                      </m:r>
                    </m:sup>
                  </m:sSup>
                </m:e>
              </m:nary>
            </m:e>
          </m:rad>
        </m:oMath>
      </m:oMathPara>
    </w:p>
    <w:p w:rsidR="006E391F" w:rsidRPr="00BC1144" w:rsidRDefault="006E391F" w:rsidP="00336FA0">
      <w:pPr>
        <w:pStyle w:val="BodyText"/>
      </w:pPr>
      <w:r w:rsidRPr="00BC1144">
        <w:t>From this, the confidence interval of the statistic is estimated by:</w:t>
      </w:r>
    </w:p>
    <w:p w:rsidR="006E391F" w:rsidRPr="00BC1144" w:rsidRDefault="00EF7456" w:rsidP="00336FA0">
      <w:pPr>
        <w:pStyle w:val="BodyText"/>
      </w:pPr>
      <m:oMathPara>
        <m:oMathParaPr>
          <m:jc m:val="left"/>
        </m:oMathParaPr>
        <m:oMath>
          <m:acc>
            <m:accPr>
              <m:ctrlPr>
                <w:rPr>
                  <w:rFonts w:ascii="Cambria Math" w:hAnsi="Cambria Math"/>
                  <w:i/>
                </w:rPr>
              </m:ctrlPr>
            </m:accPr>
            <m:e>
              <m:r>
                <w:rPr>
                  <w:rFonts w:ascii="Cambria Math" w:hAnsi="Cambria Math"/>
                </w:rPr>
                <m:t>θ</m:t>
              </m:r>
            </m:e>
          </m:acc>
          <m:r>
            <w:rPr>
              <w:rFonts w:ascii="Cambria Math" w:hAnsi="Cambria Math"/>
            </w:rPr>
            <m:t>±</m:t>
          </m:r>
          <m:sSub>
            <m:sSubPr>
              <m:ctrlPr>
                <w:rPr>
                  <w:rFonts w:ascii="Cambria Math" w:hAnsi="Cambria Math"/>
                  <w:i/>
                </w:rPr>
              </m:ctrlPr>
            </m:sSubPr>
            <m:e>
              <m:r>
                <w:rPr>
                  <w:rFonts w:ascii="Cambria Math" w:hAnsi="Cambria Math"/>
                </w:rPr>
                <m:t>Z</m:t>
              </m:r>
            </m:e>
            <m:sub>
              <m:f>
                <m:fPr>
                  <m:type m:val="lin"/>
                  <m:ctrlPr>
                    <w:rPr>
                      <w:rFonts w:ascii="Cambria Math" w:hAnsi="Cambria Math"/>
                      <w:i/>
                    </w:rPr>
                  </m:ctrlPr>
                </m:fPr>
                <m:num>
                  <m:r>
                    <w:rPr>
                      <w:rFonts w:ascii="Cambria Math" w:hAnsi="Cambria Math"/>
                    </w:rPr>
                    <m:t>α</m:t>
                  </m:r>
                </m:num>
                <m:den>
                  <m:r>
                    <w:rPr>
                      <w:rFonts w:ascii="Cambria Math" w:hAnsi="Cambria Math"/>
                    </w:rPr>
                    <m:t>2</m:t>
                  </m:r>
                </m:den>
              </m:f>
            </m:sub>
          </m:sSub>
          <m:r>
            <w:rPr>
              <w:rFonts w:ascii="Cambria Math" w:hAnsi="Cambria Math"/>
            </w:rPr>
            <m:t>×SE</m:t>
          </m:r>
          <m:d>
            <m:dPr>
              <m:ctrlPr>
                <w:rPr>
                  <w:rFonts w:ascii="Cambria Math" w:hAnsi="Cambria Math"/>
                  <w:i/>
                </w:rPr>
              </m:ctrlPr>
            </m:dPr>
            <m:e>
              <m:acc>
                <m:accPr>
                  <m:ctrlPr>
                    <w:rPr>
                      <w:rFonts w:ascii="Cambria Math" w:hAnsi="Cambria Math"/>
                      <w:i/>
                    </w:rPr>
                  </m:ctrlPr>
                </m:accPr>
                <m:e>
                  <m:r>
                    <w:rPr>
                      <w:rFonts w:ascii="Cambria Math" w:hAnsi="Cambria Math"/>
                    </w:rPr>
                    <m:t>θ</m:t>
                  </m:r>
                </m:e>
              </m:acc>
            </m:e>
          </m:d>
        </m:oMath>
      </m:oMathPara>
    </w:p>
    <w:p w:rsidR="006E391F" w:rsidRPr="00BC1144" w:rsidRDefault="006E391F" w:rsidP="00336FA0">
      <w:pPr>
        <w:pStyle w:val="Heading2"/>
      </w:pPr>
      <w:bookmarkStart w:id="72" w:name="_Toc10805477"/>
      <w:r w:rsidRPr="00BC1144">
        <w:t>B.</w:t>
      </w:r>
      <w:r w:rsidRPr="00BC1144">
        <w:rPr>
          <w:noProof/>
        </w:rPr>
        <w:t>8</w:t>
      </w:r>
      <w:r w:rsidRPr="00BC1144">
        <w:tab/>
        <w:t>Propensity score matching</w:t>
      </w:r>
      <w:bookmarkEnd w:id="72"/>
    </w:p>
    <w:p w:rsidR="006E391F" w:rsidRPr="00BC1144" w:rsidRDefault="006E391F" w:rsidP="00336FA0">
      <w:pPr>
        <w:pStyle w:val="BodyText"/>
      </w:pPr>
      <w:r w:rsidRPr="00BC1144">
        <w:t>Propensity score matching was used to examine the labour market transitions of students that enrol in vocational and education training courses (VET) relative to students, with otherwise similar characteristics, that attend university. Relative to people that enrol in VET courses, students that attend university are more likely to have a parent that is university educated and have higher school achievement and socioeconomic status. A comprehensive list of baseline characteristics among VET and university students is presented in appendix table B.13.</w:t>
      </w:r>
    </w:p>
    <w:p w:rsidR="006E391F" w:rsidRPr="00BC1144" w:rsidRDefault="006E391F" w:rsidP="00336FA0">
      <w:pPr>
        <w:pStyle w:val="BodyText"/>
      </w:pPr>
      <w:r w:rsidRPr="00BC1144">
        <w:t>Propensity scores were calculated using logistic regressions. Enrolment in a VET qualification was chosen as the dependant variable due to smaller number of students that enrol into VET compared with university. Variables included in the regression are those shown in table B.13 as well as dummy variables for the student’s grade level when they entered LSAY and their state of residence.</w:t>
      </w:r>
    </w:p>
    <w:p w:rsidR="006E391F" w:rsidRPr="00BC1144" w:rsidRDefault="006E391F" w:rsidP="00336FA0">
      <w:pPr>
        <w:pStyle w:val="BodyText"/>
      </w:pPr>
      <w:r w:rsidRPr="00BC1144">
        <w:t>‘Neighbourhood matching’ of university graduates to students with VET qualifications was undertaken using the Matchit package in R. The method finds pairs of observations that have similar propensity scores (predicted probabilities of attending VET), but that differ in their treatment status (university versus VET). At each matching step, the algorithm chooses the control unit (in our case, a university student) that is not yet matched but is closest to the propensity score of the treated unit (VET student). Due to a limited area of common support (overlap in the propensity scores for VET and university students) a number of observations were discarded. In this sense our analysis is only applicable to students that had a reasonable probability of transitioning from year 12 to either university or VET.</w:t>
      </w:r>
    </w:p>
    <w:p w:rsidR="006E391F" w:rsidRPr="00BC1144" w:rsidRDefault="006E391F" w:rsidP="00336FA0">
      <w:pPr>
        <w:pStyle w:val="BodyText"/>
      </w:pPr>
      <w:r w:rsidRPr="00BC1144">
        <w:t>Loess smoother curves were used to estimate the mean of each covariate, by treatment status, at each value of the propensity score. We obtained nearly identical means of each covariate at each value of the propensity score, suggesting that we have a high degree of balance across variables included in our model. Differences in means after matching are shown in table B.13.</w:t>
      </w:r>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B.13</w:t>
            </w:r>
            <w:r w:rsidRPr="00BC1144">
              <w:tab/>
              <w:t>Covariate balance before and after matching</w:t>
            </w:r>
            <w:r w:rsidRPr="00BC1144">
              <w:rPr>
                <w:rStyle w:val="NoteLabel"/>
                <w:b/>
              </w:rPr>
              <w:t>a</w:t>
            </w:r>
          </w:p>
          <w:p w:rsidR="006E391F" w:rsidRPr="00BC1144" w:rsidRDefault="006E391F" w:rsidP="00336FA0">
            <w:pPr>
              <w:pStyle w:val="Subtitle"/>
            </w:pPr>
            <w:r w:rsidRPr="00BC1144">
              <w:t>People aged 25 years in 2016 — excluding students still studying</w:t>
            </w:r>
          </w:p>
        </w:tc>
      </w:tr>
      <w:tr w:rsidR="006E391F" w:rsidRPr="00BC1144" w:rsidTr="00336FA0">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4394"/>
              <w:gridCol w:w="993"/>
              <w:gridCol w:w="1275"/>
              <w:gridCol w:w="851"/>
              <w:gridCol w:w="991"/>
            </w:tblGrid>
            <w:tr w:rsidR="006E391F" w:rsidRPr="00BC1144" w:rsidTr="00336FA0">
              <w:trPr>
                <w:tblHeader/>
              </w:trPr>
              <w:tc>
                <w:tcPr>
                  <w:tcW w:w="4394" w:type="dxa"/>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r w:rsidRPr="00BC1144">
                    <w:t>Variable</w:t>
                  </w:r>
                </w:p>
              </w:tc>
              <w:tc>
                <w:tcPr>
                  <w:tcW w:w="993" w:type="dxa"/>
                  <w:tcBorders>
                    <w:top w:val="single" w:sz="6" w:space="0" w:color="BFBFBF"/>
                    <w:bottom w:val="single" w:sz="6" w:space="0" w:color="BFBFBF"/>
                  </w:tcBorders>
                </w:tcPr>
                <w:p w:rsidR="006E391F" w:rsidRPr="00BC1144" w:rsidRDefault="006E391F" w:rsidP="00336FA0">
                  <w:pPr>
                    <w:pStyle w:val="TableColumnHeading"/>
                  </w:pPr>
                  <w:r w:rsidRPr="00BC1144">
                    <w:t>VET (before)</w:t>
                  </w:r>
                </w:p>
              </w:tc>
              <w:tc>
                <w:tcPr>
                  <w:tcW w:w="1275" w:type="dxa"/>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University (before)</w:t>
                  </w:r>
                </w:p>
              </w:tc>
              <w:tc>
                <w:tcPr>
                  <w:tcW w:w="851" w:type="dxa"/>
                  <w:tcBorders>
                    <w:top w:val="single" w:sz="6" w:space="0" w:color="BFBFBF"/>
                    <w:bottom w:val="single" w:sz="6" w:space="0" w:color="BFBFBF"/>
                  </w:tcBorders>
                </w:tcPr>
                <w:p w:rsidR="006E391F" w:rsidRPr="00BC1144" w:rsidRDefault="006E391F" w:rsidP="00336FA0">
                  <w:pPr>
                    <w:pStyle w:val="TableColumnHeading"/>
                    <w:ind w:right="28"/>
                  </w:pPr>
                  <w:r w:rsidRPr="00BC1144">
                    <w:t>VET (after)</w:t>
                  </w:r>
                </w:p>
              </w:tc>
              <w:tc>
                <w:tcPr>
                  <w:tcW w:w="991" w:type="dxa"/>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University (after)</w:t>
                  </w:r>
                </w:p>
              </w:tc>
            </w:tr>
            <w:tr w:rsidR="006E391F" w:rsidRPr="00BC1144" w:rsidTr="00336FA0">
              <w:tc>
                <w:tcPr>
                  <w:tcW w:w="4394" w:type="dxa"/>
                  <w:tcBorders>
                    <w:top w:val="single" w:sz="6" w:space="0" w:color="BFBFBF"/>
                  </w:tcBorders>
                  <w:shd w:val="clear" w:color="auto" w:fill="F2F2F2" w:themeFill="background1" w:themeFillShade="F2"/>
                  <w:vAlign w:val="bottom"/>
                </w:tcPr>
                <w:p w:rsidR="006E391F" w:rsidRPr="00BC1144" w:rsidRDefault="006E391F" w:rsidP="00336FA0">
                  <w:pPr>
                    <w:pStyle w:val="TableUnitsRow"/>
                    <w:jc w:val="left"/>
                  </w:pPr>
                  <w:r w:rsidRPr="00BC1144">
                    <w:t>Socioeconomic status (parents occupation)</w:t>
                  </w:r>
                </w:p>
              </w:tc>
              <w:tc>
                <w:tcPr>
                  <w:tcW w:w="993" w:type="dxa"/>
                  <w:tcBorders>
                    <w:top w:val="single" w:sz="6" w:space="0" w:color="BFBFBF"/>
                  </w:tcBorders>
                  <w:shd w:val="clear" w:color="auto" w:fill="F2F2F2" w:themeFill="background1" w:themeFillShade="F2"/>
                  <w:vAlign w:val="center"/>
                </w:tcPr>
                <w:p w:rsidR="006E391F" w:rsidRPr="00BC1144" w:rsidRDefault="006E391F" w:rsidP="00336FA0">
                  <w:pPr>
                    <w:pStyle w:val="TableUnitsRow"/>
                  </w:pPr>
                  <w:r w:rsidRPr="00BC1144">
                    <w:t>50.0***</w:t>
                  </w:r>
                </w:p>
              </w:tc>
              <w:tc>
                <w:tcPr>
                  <w:tcW w:w="1275" w:type="dxa"/>
                  <w:tcBorders>
                    <w:top w:val="single" w:sz="6" w:space="0" w:color="BFBFBF"/>
                  </w:tcBorders>
                  <w:shd w:val="clear" w:color="auto" w:fill="F2F2F2" w:themeFill="background1" w:themeFillShade="F2"/>
                  <w:vAlign w:val="center"/>
                </w:tcPr>
                <w:p w:rsidR="006E391F" w:rsidRPr="00BC1144" w:rsidRDefault="006E391F" w:rsidP="00336FA0">
                  <w:pPr>
                    <w:pStyle w:val="TableUnitsRow"/>
                  </w:pPr>
                  <w:r w:rsidRPr="00BC1144">
                    <w:t>60.1***</w:t>
                  </w:r>
                </w:p>
              </w:tc>
              <w:tc>
                <w:tcPr>
                  <w:tcW w:w="851" w:type="dxa"/>
                  <w:tcBorders>
                    <w:top w:val="single" w:sz="6" w:space="0" w:color="BFBFBF"/>
                  </w:tcBorders>
                  <w:shd w:val="clear" w:color="auto" w:fill="F2F2F2" w:themeFill="background1" w:themeFillShade="F2"/>
                  <w:vAlign w:val="bottom"/>
                </w:tcPr>
                <w:p w:rsidR="006E391F" w:rsidRPr="00BC1144" w:rsidRDefault="006E391F" w:rsidP="00336FA0">
                  <w:pPr>
                    <w:pStyle w:val="TableUnitsRow"/>
                    <w:ind w:right="28"/>
                  </w:pPr>
                  <w:r w:rsidRPr="00BC1144">
                    <w:t>52.7</w:t>
                  </w:r>
                </w:p>
              </w:tc>
              <w:tc>
                <w:tcPr>
                  <w:tcW w:w="991" w:type="dxa"/>
                  <w:tcBorders>
                    <w:top w:val="single" w:sz="6" w:space="0" w:color="BFBFBF"/>
                  </w:tcBorders>
                  <w:shd w:val="clear" w:color="auto" w:fill="F2F2F2" w:themeFill="background1" w:themeFillShade="F2"/>
                  <w:vAlign w:val="bottom"/>
                </w:tcPr>
                <w:p w:rsidR="006E391F" w:rsidRPr="00BC1144" w:rsidRDefault="006E391F" w:rsidP="00336FA0">
                  <w:pPr>
                    <w:pStyle w:val="TableUnitsRow"/>
                    <w:ind w:right="28"/>
                  </w:pPr>
                  <w:r w:rsidRPr="00BC1144">
                    <w:t>50.9</w:t>
                  </w:r>
                </w:p>
              </w:tc>
            </w:tr>
            <w:tr w:rsidR="006E391F" w:rsidRPr="00BC1144" w:rsidTr="00336FA0">
              <w:tc>
                <w:tcPr>
                  <w:tcW w:w="4394" w:type="dxa"/>
                  <w:vAlign w:val="bottom"/>
                </w:tcPr>
                <w:p w:rsidR="006E391F" w:rsidRPr="00BC1144" w:rsidRDefault="006E391F" w:rsidP="00336FA0">
                  <w:pPr>
                    <w:pStyle w:val="TableUnitsRow"/>
                    <w:jc w:val="left"/>
                  </w:pPr>
                  <w:r w:rsidRPr="00BC1144">
                    <w:t>School socioeconomic status</w:t>
                  </w:r>
                </w:p>
              </w:tc>
              <w:tc>
                <w:tcPr>
                  <w:tcW w:w="993" w:type="dxa"/>
                  <w:vAlign w:val="center"/>
                </w:tcPr>
                <w:p w:rsidR="006E391F" w:rsidRPr="00BC1144" w:rsidRDefault="006E391F" w:rsidP="00336FA0">
                  <w:pPr>
                    <w:pStyle w:val="TableUnitsRow"/>
                  </w:pPr>
                  <w:r w:rsidRPr="00BC1144">
                    <w:t>50.9***</w:t>
                  </w:r>
                </w:p>
              </w:tc>
              <w:tc>
                <w:tcPr>
                  <w:tcW w:w="1275" w:type="dxa"/>
                  <w:vAlign w:val="center"/>
                </w:tcPr>
                <w:p w:rsidR="006E391F" w:rsidRPr="00BC1144" w:rsidRDefault="006E391F" w:rsidP="00336FA0">
                  <w:pPr>
                    <w:pStyle w:val="TableUnitsRow"/>
                  </w:pPr>
                  <w:r w:rsidRPr="00BC1144">
                    <w:t>56.3***</w:t>
                  </w:r>
                </w:p>
              </w:tc>
              <w:tc>
                <w:tcPr>
                  <w:tcW w:w="851" w:type="dxa"/>
                  <w:vAlign w:val="bottom"/>
                </w:tcPr>
                <w:p w:rsidR="006E391F" w:rsidRPr="00BC1144" w:rsidRDefault="006E391F" w:rsidP="00336FA0">
                  <w:pPr>
                    <w:pStyle w:val="TableUnitsRow"/>
                    <w:ind w:right="28"/>
                  </w:pPr>
                  <w:r w:rsidRPr="00BC1144">
                    <w:t>52.9</w:t>
                  </w:r>
                </w:p>
              </w:tc>
              <w:tc>
                <w:tcPr>
                  <w:tcW w:w="991" w:type="dxa"/>
                  <w:vAlign w:val="bottom"/>
                </w:tcPr>
                <w:p w:rsidR="006E391F" w:rsidRPr="00BC1144" w:rsidRDefault="006E391F" w:rsidP="00336FA0">
                  <w:pPr>
                    <w:pStyle w:val="TableUnitsRow"/>
                    <w:ind w:right="28"/>
                  </w:pPr>
                  <w:r w:rsidRPr="00BC1144">
                    <w:t>52.7</w:t>
                  </w:r>
                </w:p>
              </w:tc>
            </w:tr>
            <w:tr w:rsidR="006E391F" w:rsidRPr="00BC1144" w:rsidTr="00336FA0">
              <w:tc>
                <w:tcPr>
                  <w:tcW w:w="4394" w:type="dxa"/>
                  <w:shd w:val="clear" w:color="auto" w:fill="F2F2F2" w:themeFill="background1" w:themeFillShade="F2"/>
                  <w:vAlign w:val="bottom"/>
                </w:tcPr>
                <w:p w:rsidR="006E391F" w:rsidRPr="00BC1144" w:rsidRDefault="006E391F" w:rsidP="00336FA0">
                  <w:pPr>
                    <w:pStyle w:val="TableUnitsRow"/>
                    <w:jc w:val="left"/>
                  </w:pPr>
                  <w:r w:rsidRPr="00BC1144">
                    <w:t>SEIFA (socioeconomic status of postcode)</w:t>
                  </w:r>
                </w:p>
              </w:tc>
              <w:tc>
                <w:tcPr>
                  <w:tcW w:w="993" w:type="dxa"/>
                  <w:shd w:val="clear" w:color="auto" w:fill="F2F2F2" w:themeFill="background1" w:themeFillShade="F2"/>
                  <w:vAlign w:val="center"/>
                </w:tcPr>
                <w:p w:rsidR="006E391F" w:rsidRPr="00BC1144" w:rsidRDefault="006E391F" w:rsidP="00336FA0">
                  <w:pPr>
                    <w:pStyle w:val="TableUnitsRow"/>
                  </w:pPr>
                  <w:r w:rsidRPr="00BC1144">
                    <w:t>972.1***</w:t>
                  </w:r>
                </w:p>
              </w:tc>
              <w:tc>
                <w:tcPr>
                  <w:tcW w:w="1275" w:type="dxa"/>
                  <w:shd w:val="clear" w:color="auto" w:fill="F2F2F2" w:themeFill="background1" w:themeFillShade="F2"/>
                  <w:vAlign w:val="center"/>
                </w:tcPr>
                <w:p w:rsidR="006E391F" w:rsidRPr="00BC1144" w:rsidRDefault="006E391F" w:rsidP="00336FA0">
                  <w:pPr>
                    <w:pStyle w:val="TableUnitsRow"/>
                  </w:pPr>
                  <w:r w:rsidRPr="00BC1144">
                    <w:t>1 030.8***</w:t>
                  </w:r>
                </w:p>
              </w:tc>
              <w:tc>
                <w:tcPr>
                  <w:tcW w:w="851" w:type="dxa"/>
                  <w:shd w:val="clear" w:color="auto" w:fill="F2F2F2" w:themeFill="background1" w:themeFillShade="F2"/>
                  <w:vAlign w:val="bottom"/>
                </w:tcPr>
                <w:p w:rsidR="006E391F" w:rsidRPr="00BC1144" w:rsidRDefault="006E391F" w:rsidP="00336FA0">
                  <w:pPr>
                    <w:pStyle w:val="TableUnitsRow"/>
                    <w:ind w:right="28"/>
                  </w:pPr>
                  <w:r w:rsidRPr="00BC1144">
                    <w:t>989.8</w:t>
                  </w:r>
                </w:p>
              </w:tc>
              <w:tc>
                <w:tcPr>
                  <w:tcW w:w="991" w:type="dxa"/>
                  <w:shd w:val="clear" w:color="auto" w:fill="F2F2F2" w:themeFill="background1" w:themeFillShade="F2"/>
                  <w:vAlign w:val="bottom"/>
                </w:tcPr>
                <w:p w:rsidR="006E391F" w:rsidRPr="00BC1144" w:rsidRDefault="006E391F" w:rsidP="00336FA0">
                  <w:pPr>
                    <w:pStyle w:val="TableUnitsRow"/>
                    <w:ind w:right="28"/>
                  </w:pPr>
                  <w:r w:rsidRPr="00BC1144">
                    <w:t>992.5</w:t>
                  </w:r>
                </w:p>
              </w:tc>
            </w:tr>
            <w:tr w:rsidR="006E391F" w:rsidRPr="00BC1144" w:rsidTr="00336FA0">
              <w:tc>
                <w:tcPr>
                  <w:tcW w:w="4394" w:type="dxa"/>
                  <w:vAlign w:val="bottom"/>
                </w:tcPr>
                <w:p w:rsidR="006E391F" w:rsidRPr="00BC1144" w:rsidRDefault="006E391F" w:rsidP="00336FA0">
                  <w:pPr>
                    <w:pStyle w:val="TableUnitsRow"/>
                    <w:jc w:val="left"/>
                  </w:pPr>
                  <w:r w:rsidRPr="00BC1144">
                    <w:t>Hours worked in year 12</w:t>
                  </w:r>
                </w:p>
              </w:tc>
              <w:tc>
                <w:tcPr>
                  <w:tcW w:w="993" w:type="dxa"/>
                  <w:vAlign w:val="center"/>
                </w:tcPr>
                <w:p w:rsidR="006E391F" w:rsidRPr="00BC1144" w:rsidRDefault="006E391F" w:rsidP="00336FA0">
                  <w:pPr>
                    <w:pStyle w:val="TableUnitsRow"/>
                  </w:pPr>
                  <w:r w:rsidRPr="00BC1144">
                    <w:t>14.4***</w:t>
                  </w:r>
                </w:p>
              </w:tc>
              <w:tc>
                <w:tcPr>
                  <w:tcW w:w="1275" w:type="dxa"/>
                  <w:vAlign w:val="center"/>
                </w:tcPr>
                <w:p w:rsidR="006E391F" w:rsidRPr="00BC1144" w:rsidRDefault="006E391F" w:rsidP="00336FA0">
                  <w:pPr>
                    <w:pStyle w:val="TableUnitsRow"/>
                  </w:pPr>
                  <w:r w:rsidRPr="00BC1144">
                    <w:t>5.2***</w:t>
                  </w:r>
                </w:p>
              </w:tc>
              <w:tc>
                <w:tcPr>
                  <w:tcW w:w="851" w:type="dxa"/>
                  <w:vAlign w:val="bottom"/>
                </w:tcPr>
                <w:p w:rsidR="006E391F" w:rsidRPr="00BC1144" w:rsidRDefault="006E391F" w:rsidP="00336FA0">
                  <w:pPr>
                    <w:pStyle w:val="TableUnitsRow"/>
                    <w:ind w:right="28"/>
                  </w:pPr>
                  <w:r w:rsidRPr="00BC1144">
                    <w:t>6.5</w:t>
                  </w:r>
                </w:p>
              </w:tc>
              <w:tc>
                <w:tcPr>
                  <w:tcW w:w="991" w:type="dxa"/>
                  <w:vAlign w:val="bottom"/>
                </w:tcPr>
                <w:p w:rsidR="006E391F" w:rsidRPr="00BC1144" w:rsidRDefault="006E391F" w:rsidP="00336FA0">
                  <w:pPr>
                    <w:pStyle w:val="TableUnitsRow"/>
                    <w:ind w:right="28"/>
                  </w:pPr>
                  <w:r w:rsidRPr="00BC1144">
                    <w:t>7.4</w:t>
                  </w:r>
                </w:p>
              </w:tc>
            </w:tr>
            <w:tr w:rsidR="006E391F" w:rsidRPr="00BC1144" w:rsidTr="00336FA0">
              <w:tc>
                <w:tcPr>
                  <w:tcW w:w="4394" w:type="dxa"/>
                  <w:shd w:val="clear" w:color="auto" w:fill="F2F2F2" w:themeFill="background1" w:themeFillShade="F2"/>
                  <w:vAlign w:val="bottom"/>
                </w:tcPr>
                <w:p w:rsidR="006E391F" w:rsidRPr="00BC1144" w:rsidRDefault="006E391F" w:rsidP="00336FA0">
                  <w:pPr>
                    <w:pStyle w:val="TableUnitsRow"/>
                    <w:jc w:val="left"/>
                  </w:pPr>
                  <w:r w:rsidRPr="00BC1144">
                    <w:t>Parent attended university</w:t>
                  </w:r>
                </w:p>
              </w:tc>
              <w:tc>
                <w:tcPr>
                  <w:tcW w:w="993" w:type="dxa"/>
                  <w:shd w:val="clear" w:color="auto" w:fill="F2F2F2" w:themeFill="background1" w:themeFillShade="F2"/>
                  <w:vAlign w:val="center"/>
                </w:tcPr>
                <w:p w:rsidR="006E391F" w:rsidRPr="00BC1144" w:rsidRDefault="006E391F" w:rsidP="00336FA0">
                  <w:pPr>
                    <w:pStyle w:val="TableUnitsRow"/>
                  </w:pPr>
                  <w:r w:rsidRPr="00BC1144">
                    <w:t>28%***</w:t>
                  </w:r>
                </w:p>
              </w:tc>
              <w:tc>
                <w:tcPr>
                  <w:tcW w:w="1275" w:type="dxa"/>
                  <w:shd w:val="clear" w:color="auto" w:fill="F2F2F2" w:themeFill="background1" w:themeFillShade="F2"/>
                  <w:vAlign w:val="center"/>
                </w:tcPr>
                <w:p w:rsidR="006E391F" w:rsidRPr="00BC1144" w:rsidRDefault="006E391F" w:rsidP="00336FA0">
                  <w:pPr>
                    <w:pStyle w:val="TableUnitsRow"/>
                  </w:pPr>
                  <w:r w:rsidRPr="00BC1144">
                    <w:t>63%***</w:t>
                  </w:r>
                </w:p>
              </w:tc>
              <w:tc>
                <w:tcPr>
                  <w:tcW w:w="851" w:type="dxa"/>
                  <w:shd w:val="clear" w:color="auto" w:fill="F2F2F2" w:themeFill="background1" w:themeFillShade="F2"/>
                  <w:vAlign w:val="bottom"/>
                </w:tcPr>
                <w:p w:rsidR="006E391F" w:rsidRPr="00BC1144" w:rsidRDefault="006E391F" w:rsidP="00336FA0">
                  <w:pPr>
                    <w:pStyle w:val="TableUnitsRow"/>
                    <w:ind w:right="28"/>
                  </w:pPr>
                  <w:r w:rsidRPr="00BC1144">
                    <w:t>38%</w:t>
                  </w:r>
                </w:p>
              </w:tc>
              <w:tc>
                <w:tcPr>
                  <w:tcW w:w="991" w:type="dxa"/>
                  <w:shd w:val="clear" w:color="auto" w:fill="F2F2F2" w:themeFill="background1" w:themeFillShade="F2"/>
                  <w:vAlign w:val="bottom"/>
                </w:tcPr>
                <w:p w:rsidR="006E391F" w:rsidRPr="00BC1144" w:rsidRDefault="006E391F" w:rsidP="00336FA0">
                  <w:pPr>
                    <w:pStyle w:val="TableUnitsRow"/>
                    <w:ind w:right="28"/>
                  </w:pPr>
                  <w:r w:rsidRPr="00BC1144">
                    <w:t>42%</w:t>
                  </w:r>
                </w:p>
              </w:tc>
            </w:tr>
            <w:tr w:rsidR="006E391F" w:rsidRPr="00BC1144" w:rsidTr="00336FA0">
              <w:tc>
                <w:tcPr>
                  <w:tcW w:w="4394" w:type="dxa"/>
                  <w:vAlign w:val="bottom"/>
                </w:tcPr>
                <w:p w:rsidR="006E391F" w:rsidRPr="00BC1144" w:rsidRDefault="006E391F" w:rsidP="00336FA0">
                  <w:pPr>
                    <w:pStyle w:val="TableUnitsRow"/>
                    <w:jc w:val="left"/>
                  </w:pPr>
                  <w:r w:rsidRPr="00BC1144">
                    <w:t>ATAR</w:t>
                  </w:r>
                </w:p>
              </w:tc>
              <w:tc>
                <w:tcPr>
                  <w:tcW w:w="993" w:type="dxa"/>
                  <w:vAlign w:val="center"/>
                </w:tcPr>
                <w:p w:rsidR="006E391F" w:rsidRPr="00BC1144" w:rsidRDefault="006E391F" w:rsidP="00336FA0">
                  <w:pPr>
                    <w:pStyle w:val="TableUnitsRow"/>
                  </w:pPr>
                  <w:r w:rsidRPr="00BC1144">
                    <w:t>59.9***</w:t>
                  </w:r>
                </w:p>
              </w:tc>
              <w:tc>
                <w:tcPr>
                  <w:tcW w:w="1275" w:type="dxa"/>
                  <w:vAlign w:val="center"/>
                </w:tcPr>
                <w:p w:rsidR="006E391F" w:rsidRPr="00BC1144" w:rsidRDefault="006E391F" w:rsidP="00336FA0">
                  <w:pPr>
                    <w:pStyle w:val="TableUnitsRow"/>
                  </w:pPr>
                  <w:r w:rsidRPr="00BC1144">
                    <w:t>83.5***</w:t>
                  </w:r>
                </w:p>
              </w:tc>
              <w:tc>
                <w:tcPr>
                  <w:tcW w:w="851" w:type="dxa"/>
                  <w:vAlign w:val="bottom"/>
                </w:tcPr>
                <w:p w:rsidR="006E391F" w:rsidRPr="00BC1144" w:rsidRDefault="006E391F" w:rsidP="00336FA0">
                  <w:pPr>
                    <w:pStyle w:val="TableUnitsRow"/>
                    <w:ind w:right="28"/>
                  </w:pPr>
                  <w:r w:rsidRPr="00BC1144">
                    <w:t>65.6</w:t>
                  </w:r>
                </w:p>
              </w:tc>
              <w:tc>
                <w:tcPr>
                  <w:tcW w:w="991" w:type="dxa"/>
                  <w:vAlign w:val="bottom"/>
                </w:tcPr>
                <w:p w:rsidR="006E391F" w:rsidRPr="00BC1144" w:rsidRDefault="006E391F" w:rsidP="00336FA0">
                  <w:pPr>
                    <w:pStyle w:val="TableUnitsRow"/>
                    <w:ind w:right="28"/>
                  </w:pPr>
                  <w:r w:rsidRPr="00BC1144">
                    <w:t>67.2</w:t>
                  </w:r>
                </w:p>
              </w:tc>
            </w:tr>
            <w:tr w:rsidR="006E391F" w:rsidRPr="00BC1144" w:rsidTr="00336FA0">
              <w:tc>
                <w:tcPr>
                  <w:tcW w:w="4394" w:type="dxa"/>
                  <w:shd w:val="clear" w:color="auto" w:fill="F2F2F2" w:themeFill="background1" w:themeFillShade="F2"/>
                  <w:vAlign w:val="bottom"/>
                </w:tcPr>
                <w:p w:rsidR="006E391F" w:rsidRPr="00BC1144" w:rsidRDefault="006E391F" w:rsidP="00336FA0">
                  <w:pPr>
                    <w:pStyle w:val="TableUnitsRow"/>
                    <w:jc w:val="left"/>
                  </w:pPr>
                  <w:r w:rsidRPr="00BC1144">
                    <w:t>PISA</w:t>
                  </w:r>
                </w:p>
              </w:tc>
              <w:tc>
                <w:tcPr>
                  <w:tcW w:w="993" w:type="dxa"/>
                  <w:shd w:val="clear" w:color="auto" w:fill="F2F2F2" w:themeFill="background1" w:themeFillShade="F2"/>
                  <w:vAlign w:val="center"/>
                </w:tcPr>
                <w:p w:rsidR="006E391F" w:rsidRPr="00BC1144" w:rsidRDefault="006E391F" w:rsidP="00336FA0">
                  <w:pPr>
                    <w:pStyle w:val="TableUnitsRow"/>
                  </w:pPr>
                  <w:r w:rsidRPr="00BC1144">
                    <w:t>508.7***</w:t>
                  </w:r>
                </w:p>
              </w:tc>
              <w:tc>
                <w:tcPr>
                  <w:tcW w:w="1275" w:type="dxa"/>
                  <w:shd w:val="clear" w:color="auto" w:fill="F2F2F2" w:themeFill="background1" w:themeFillShade="F2"/>
                  <w:vAlign w:val="center"/>
                </w:tcPr>
                <w:p w:rsidR="006E391F" w:rsidRPr="00BC1144" w:rsidRDefault="006E391F" w:rsidP="00336FA0">
                  <w:pPr>
                    <w:pStyle w:val="TableUnitsRow"/>
                  </w:pPr>
                  <w:r w:rsidRPr="00BC1144">
                    <w:t>587.8***</w:t>
                  </w:r>
                </w:p>
              </w:tc>
              <w:tc>
                <w:tcPr>
                  <w:tcW w:w="851" w:type="dxa"/>
                  <w:shd w:val="clear" w:color="auto" w:fill="F2F2F2" w:themeFill="background1" w:themeFillShade="F2"/>
                  <w:vAlign w:val="bottom"/>
                </w:tcPr>
                <w:p w:rsidR="006E391F" w:rsidRPr="00BC1144" w:rsidRDefault="006E391F" w:rsidP="00336FA0">
                  <w:pPr>
                    <w:pStyle w:val="TableUnitsRow"/>
                    <w:ind w:right="28"/>
                  </w:pPr>
                  <w:r w:rsidRPr="00BC1144">
                    <w:t>546.9</w:t>
                  </w:r>
                </w:p>
              </w:tc>
              <w:tc>
                <w:tcPr>
                  <w:tcW w:w="991" w:type="dxa"/>
                  <w:shd w:val="clear" w:color="auto" w:fill="F2F2F2" w:themeFill="background1" w:themeFillShade="F2"/>
                  <w:vAlign w:val="bottom"/>
                </w:tcPr>
                <w:p w:rsidR="006E391F" w:rsidRPr="00BC1144" w:rsidRDefault="006E391F" w:rsidP="00336FA0">
                  <w:pPr>
                    <w:pStyle w:val="TableUnitsRow"/>
                    <w:ind w:right="28"/>
                  </w:pPr>
                  <w:r w:rsidRPr="00BC1144">
                    <w:t>549.4</w:t>
                  </w:r>
                </w:p>
              </w:tc>
            </w:tr>
            <w:tr w:rsidR="006E391F" w:rsidRPr="00BC1144" w:rsidTr="00336FA0">
              <w:tc>
                <w:tcPr>
                  <w:tcW w:w="4394" w:type="dxa"/>
                  <w:vAlign w:val="bottom"/>
                </w:tcPr>
                <w:p w:rsidR="006E391F" w:rsidRPr="00BC1144" w:rsidRDefault="006E391F" w:rsidP="00336FA0">
                  <w:pPr>
                    <w:pStyle w:val="TableUnitsRow"/>
                    <w:jc w:val="left"/>
                  </w:pPr>
                  <w:r w:rsidRPr="00BC1144">
                    <w:t>Male</w:t>
                  </w:r>
                </w:p>
              </w:tc>
              <w:tc>
                <w:tcPr>
                  <w:tcW w:w="993" w:type="dxa"/>
                  <w:vAlign w:val="center"/>
                </w:tcPr>
                <w:p w:rsidR="006E391F" w:rsidRPr="00BC1144" w:rsidRDefault="006E391F" w:rsidP="00336FA0">
                  <w:pPr>
                    <w:pStyle w:val="TableUnitsRow"/>
                  </w:pPr>
                  <w:r w:rsidRPr="00BC1144">
                    <w:t>57%***</w:t>
                  </w:r>
                </w:p>
              </w:tc>
              <w:tc>
                <w:tcPr>
                  <w:tcW w:w="1275" w:type="dxa"/>
                  <w:vAlign w:val="center"/>
                </w:tcPr>
                <w:p w:rsidR="006E391F" w:rsidRPr="00BC1144" w:rsidRDefault="006E391F" w:rsidP="00336FA0">
                  <w:pPr>
                    <w:pStyle w:val="TableUnitsRow"/>
                  </w:pPr>
                  <w:r w:rsidRPr="00BC1144">
                    <w:t>45%***</w:t>
                  </w:r>
                </w:p>
              </w:tc>
              <w:tc>
                <w:tcPr>
                  <w:tcW w:w="851" w:type="dxa"/>
                  <w:vAlign w:val="bottom"/>
                </w:tcPr>
                <w:p w:rsidR="006E391F" w:rsidRPr="00BC1144" w:rsidRDefault="006E391F" w:rsidP="00336FA0">
                  <w:pPr>
                    <w:pStyle w:val="TableUnitsRow"/>
                    <w:ind w:right="28"/>
                  </w:pPr>
                  <w:r w:rsidRPr="00BC1144">
                    <w:t>50%</w:t>
                  </w:r>
                </w:p>
              </w:tc>
              <w:tc>
                <w:tcPr>
                  <w:tcW w:w="991" w:type="dxa"/>
                  <w:vAlign w:val="bottom"/>
                </w:tcPr>
                <w:p w:rsidR="006E391F" w:rsidRPr="00BC1144" w:rsidRDefault="006E391F" w:rsidP="00336FA0">
                  <w:pPr>
                    <w:pStyle w:val="TableUnitsRow"/>
                    <w:ind w:right="28"/>
                  </w:pPr>
                  <w:r w:rsidRPr="00BC1144">
                    <w:t>52%</w:t>
                  </w:r>
                </w:p>
              </w:tc>
            </w:tr>
            <w:tr w:rsidR="006E391F" w:rsidRPr="00BC1144" w:rsidTr="00336FA0">
              <w:tc>
                <w:tcPr>
                  <w:tcW w:w="4394" w:type="dxa"/>
                  <w:shd w:val="clear" w:color="auto" w:fill="F2F2F2" w:themeFill="background1" w:themeFillShade="F2"/>
                  <w:vAlign w:val="bottom"/>
                </w:tcPr>
                <w:p w:rsidR="006E391F" w:rsidRPr="00BC1144" w:rsidRDefault="006E391F" w:rsidP="00336FA0">
                  <w:pPr>
                    <w:pStyle w:val="TableUnitsRow"/>
                    <w:jc w:val="left"/>
                  </w:pPr>
                  <w:r w:rsidRPr="00BC1144">
                    <w:t>Attended government school</w:t>
                  </w:r>
                </w:p>
              </w:tc>
              <w:tc>
                <w:tcPr>
                  <w:tcW w:w="993" w:type="dxa"/>
                  <w:shd w:val="clear" w:color="auto" w:fill="F2F2F2" w:themeFill="background1" w:themeFillShade="F2"/>
                  <w:vAlign w:val="center"/>
                </w:tcPr>
                <w:p w:rsidR="006E391F" w:rsidRPr="00BC1144" w:rsidRDefault="006E391F" w:rsidP="00336FA0">
                  <w:pPr>
                    <w:pStyle w:val="TableUnitsRow"/>
                  </w:pPr>
                  <w:r w:rsidRPr="00BC1144">
                    <w:t>71%***</w:t>
                  </w:r>
                </w:p>
              </w:tc>
              <w:tc>
                <w:tcPr>
                  <w:tcW w:w="1275" w:type="dxa"/>
                  <w:shd w:val="clear" w:color="auto" w:fill="F2F2F2" w:themeFill="background1" w:themeFillShade="F2"/>
                  <w:vAlign w:val="center"/>
                </w:tcPr>
                <w:p w:rsidR="006E391F" w:rsidRPr="00BC1144" w:rsidRDefault="006E391F" w:rsidP="00336FA0">
                  <w:pPr>
                    <w:pStyle w:val="TableUnitsRow"/>
                  </w:pPr>
                  <w:r w:rsidRPr="00BC1144">
                    <w:t>47%***</w:t>
                  </w:r>
                </w:p>
              </w:tc>
              <w:tc>
                <w:tcPr>
                  <w:tcW w:w="851" w:type="dxa"/>
                  <w:shd w:val="clear" w:color="auto" w:fill="F2F2F2" w:themeFill="background1" w:themeFillShade="F2"/>
                  <w:vAlign w:val="bottom"/>
                </w:tcPr>
                <w:p w:rsidR="006E391F" w:rsidRPr="00BC1144" w:rsidRDefault="006E391F" w:rsidP="00336FA0">
                  <w:pPr>
                    <w:pStyle w:val="TableUnitsRow"/>
                    <w:ind w:right="28"/>
                  </w:pPr>
                  <w:r w:rsidRPr="00BC1144">
                    <w:t>57%</w:t>
                  </w:r>
                </w:p>
              </w:tc>
              <w:tc>
                <w:tcPr>
                  <w:tcW w:w="991" w:type="dxa"/>
                  <w:shd w:val="clear" w:color="auto" w:fill="F2F2F2" w:themeFill="background1" w:themeFillShade="F2"/>
                  <w:vAlign w:val="bottom"/>
                </w:tcPr>
                <w:p w:rsidR="006E391F" w:rsidRPr="00BC1144" w:rsidRDefault="006E391F" w:rsidP="00336FA0">
                  <w:pPr>
                    <w:pStyle w:val="TableUnitsRow"/>
                    <w:ind w:right="28"/>
                  </w:pPr>
                  <w:r w:rsidRPr="00BC1144">
                    <w:t>56%</w:t>
                  </w:r>
                </w:p>
              </w:tc>
            </w:tr>
            <w:tr w:rsidR="006E391F" w:rsidRPr="00BC1144" w:rsidTr="00336FA0">
              <w:tc>
                <w:tcPr>
                  <w:tcW w:w="4394" w:type="dxa"/>
                  <w:shd w:val="clear" w:color="auto" w:fill="auto"/>
                  <w:vAlign w:val="bottom"/>
                </w:tcPr>
                <w:p w:rsidR="006E391F" w:rsidRPr="00BC1144" w:rsidRDefault="006E391F" w:rsidP="00336FA0">
                  <w:pPr>
                    <w:pStyle w:val="TableBodyText"/>
                    <w:jc w:val="left"/>
                  </w:pPr>
                  <w:r w:rsidRPr="00BC1144">
                    <w:t>Indigenous</w:t>
                  </w:r>
                </w:p>
              </w:tc>
              <w:tc>
                <w:tcPr>
                  <w:tcW w:w="993" w:type="dxa"/>
                  <w:shd w:val="clear" w:color="auto" w:fill="auto"/>
                  <w:vAlign w:val="center"/>
                </w:tcPr>
                <w:p w:rsidR="006E391F" w:rsidRPr="00BC1144" w:rsidRDefault="006E391F" w:rsidP="00336FA0">
                  <w:pPr>
                    <w:pStyle w:val="TableBodyText"/>
                  </w:pPr>
                  <w:r w:rsidRPr="00BC1144">
                    <w:t>5%***</w:t>
                  </w:r>
                </w:p>
              </w:tc>
              <w:tc>
                <w:tcPr>
                  <w:tcW w:w="1275" w:type="dxa"/>
                  <w:shd w:val="clear" w:color="auto" w:fill="auto"/>
                  <w:vAlign w:val="center"/>
                </w:tcPr>
                <w:p w:rsidR="006E391F" w:rsidRPr="00BC1144" w:rsidRDefault="006E391F" w:rsidP="00336FA0">
                  <w:pPr>
                    <w:pStyle w:val="TableBodyText"/>
                  </w:pPr>
                  <w:r w:rsidRPr="00BC1144">
                    <w:t>1%***</w:t>
                  </w:r>
                </w:p>
              </w:tc>
              <w:tc>
                <w:tcPr>
                  <w:tcW w:w="851" w:type="dxa"/>
                  <w:shd w:val="clear" w:color="auto" w:fill="auto"/>
                  <w:vAlign w:val="bottom"/>
                </w:tcPr>
                <w:p w:rsidR="006E391F" w:rsidRPr="00BC1144" w:rsidRDefault="006E391F" w:rsidP="00336FA0">
                  <w:pPr>
                    <w:pStyle w:val="TableBodyText"/>
                    <w:ind w:right="28"/>
                  </w:pPr>
                  <w:r w:rsidRPr="00BC1144">
                    <w:t>2%</w:t>
                  </w:r>
                </w:p>
              </w:tc>
              <w:tc>
                <w:tcPr>
                  <w:tcW w:w="991" w:type="dxa"/>
                  <w:shd w:val="clear" w:color="auto" w:fill="auto"/>
                  <w:vAlign w:val="bottom"/>
                </w:tcPr>
                <w:p w:rsidR="006E391F" w:rsidRPr="00BC1144" w:rsidRDefault="006E391F" w:rsidP="00336FA0">
                  <w:pPr>
                    <w:pStyle w:val="TableBodyText"/>
                    <w:ind w:right="28"/>
                  </w:pPr>
                  <w:r w:rsidRPr="00BC1144">
                    <w:t>2%</w:t>
                  </w:r>
                </w:p>
              </w:tc>
            </w:tr>
            <w:tr w:rsidR="006E391F" w:rsidRPr="00BC1144" w:rsidTr="00336FA0">
              <w:tc>
                <w:tcPr>
                  <w:tcW w:w="4394" w:type="dxa"/>
                  <w:tcBorders>
                    <w:bottom w:val="single" w:sz="6" w:space="0" w:color="BFBFBF"/>
                  </w:tcBorders>
                  <w:shd w:val="clear" w:color="auto" w:fill="F2F2F2" w:themeFill="background1" w:themeFillShade="F2"/>
                  <w:vAlign w:val="bottom"/>
                </w:tcPr>
                <w:p w:rsidR="006E391F" w:rsidRPr="00BC1144" w:rsidRDefault="006E391F" w:rsidP="00336FA0">
                  <w:pPr>
                    <w:pStyle w:val="TableBodyText"/>
                    <w:jc w:val="left"/>
                  </w:pPr>
                  <w:r w:rsidRPr="00BC1144">
                    <w:t>Regional or remote</w:t>
                  </w:r>
                </w:p>
              </w:tc>
              <w:tc>
                <w:tcPr>
                  <w:tcW w:w="993" w:type="dxa"/>
                  <w:tcBorders>
                    <w:bottom w:val="single" w:sz="6" w:space="0" w:color="BFBFBF"/>
                  </w:tcBorders>
                  <w:shd w:val="clear" w:color="auto" w:fill="F2F2F2" w:themeFill="background1" w:themeFillShade="F2"/>
                  <w:vAlign w:val="center"/>
                </w:tcPr>
                <w:p w:rsidR="006E391F" w:rsidRPr="00BC1144" w:rsidRDefault="006E391F" w:rsidP="00336FA0">
                  <w:pPr>
                    <w:pStyle w:val="TableBodyText"/>
                  </w:pPr>
                  <w:r w:rsidRPr="00BC1144">
                    <w:t>47%***</w:t>
                  </w:r>
                </w:p>
              </w:tc>
              <w:tc>
                <w:tcPr>
                  <w:tcW w:w="1275" w:type="dxa"/>
                  <w:tcBorders>
                    <w:bottom w:val="single" w:sz="6" w:space="0" w:color="BFBFBF"/>
                  </w:tcBorders>
                  <w:shd w:val="clear" w:color="auto" w:fill="F2F2F2" w:themeFill="background1" w:themeFillShade="F2"/>
                  <w:vAlign w:val="center"/>
                </w:tcPr>
                <w:p w:rsidR="006E391F" w:rsidRPr="00BC1144" w:rsidRDefault="006E391F" w:rsidP="00336FA0">
                  <w:pPr>
                    <w:pStyle w:val="TableBodyText"/>
                  </w:pPr>
                  <w:r w:rsidRPr="00BC1144">
                    <w:t>29%***</w:t>
                  </w:r>
                </w:p>
              </w:tc>
              <w:tc>
                <w:tcPr>
                  <w:tcW w:w="851" w:type="dxa"/>
                  <w:tcBorders>
                    <w:bottom w:val="single" w:sz="6" w:space="0" w:color="BFBFBF"/>
                  </w:tcBorders>
                  <w:shd w:val="clear" w:color="auto" w:fill="F2F2F2" w:themeFill="background1" w:themeFillShade="F2"/>
                  <w:vAlign w:val="bottom"/>
                </w:tcPr>
                <w:p w:rsidR="006E391F" w:rsidRPr="00BC1144" w:rsidRDefault="006E391F" w:rsidP="00336FA0">
                  <w:pPr>
                    <w:pStyle w:val="TableBodyText"/>
                    <w:ind w:right="28"/>
                  </w:pPr>
                  <w:r w:rsidRPr="00BC1144">
                    <w:t>41%</w:t>
                  </w:r>
                </w:p>
              </w:tc>
              <w:tc>
                <w:tcPr>
                  <w:tcW w:w="991" w:type="dxa"/>
                  <w:tcBorders>
                    <w:bottom w:val="single" w:sz="6" w:space="0" w:color="BFBFBF"/>
                  </w:tcBorders>
                  <w:shd w:val="clear" w:color="auto" w:fill="F2F2F2" w:themeFill="background1" w:themeFillShade="F2"/>
                  <w:vAlign w:val="bottom"/>
                </w:tcPr>
                <w:p w:rsidR="006E391F" w:rsidRPr="00BC1144" w:rsidRDefault="006E391F" w:rsidP="00336FA0">
                  <w:pPr>
                    <w:pStyle w:val="TableBodyText"/>
                    <w:ind w:right="28"/>
                  </w:pPr>
                  <w:r w:rsidRPr="00BC1144">
                    <w:t>43%</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rPr>
                <w:i/>
              </w:rPr>
            </w:pPr>
            <w:r w:rsidRPr="00BC1144">
              <w:rPr>
                <w:rStyle w:val="NoteLabel"/>
              </w:rPr>
              <w:t>a</w:t>
            </w:r>
            <w:r w:rsidRPr="00BC1144">
              <w:t xml:space="preserve"> VET includes all sub bachelor level qualifications, including those provided by a university. Students that enrolled into both a VET course and university degree, students that are still undertaking study at age 25 years and students that did not receive an ATAR have been excluded from analysis. ***, **, * indicate statistical significance at 1%, 5% and 10% respectively.</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w:t>
            </w:r>
            <w:r w:rsidRPr="00BC1144">
              <w:rPr>
                <w:i/>
              </w:rPr>
              <w:t xml:space="preserv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Below"/>
      </w:pPr>
    </w:p>
    <w:p w:rsidR="006E391F" w:rsidRPr="00BC1144" w:rsidRDefault="006E391F" w:rsidP="00336FA0">
      <w:pPr>
        <w:pStyle w:val="Heading2"/>
      </w:pPr>
      <w:bookmarkStart w:id="73" w:name="_Toc10805478"/>
      <w:r w:rsidRPr="00BC1144">
        <w:t>B.</w:t>
      </w:r>
      <w:r w:rsidRPr="00BC1144">
        <w:rPr>
          <w:noProof/>
        </w:rPr>
        <w:t>9</w:t>
      </w:r>
      <w:r w:rsidRPr="00BC1144">
        <w:tab/>
        <w:t>Calculation for age adjusted university access rates</w:t>
      </w:r>
      <w:bookmarkEnd w:id="73"/>
    </w:p>
    <w:p w:rsidR="006E391F" w:rsidRPr="00BC1144" w:rsidRDefault="006E391F" w:rsidP="00336FA0">
      <w:pPr>
        <w:pStyle w:val="BodyText"/>
      </w:pPr>
      <w:r w:rsidRPr="00BC1144">
        <w:t xml:space="preserve">Administrative data from DET on university commencement for different equity groups do not account for the different population growth rates or population age profiles of each group. In assessing university access, these demographic differences are important because university participation varies markedly by age. </w:t>
      </w:r>
    </w:p>
    <w:p w:rsidR="006E391F" w:rsidRPr="00BC1144" w:rsidRDefault="006E391F" w:rsidP="00336FA0">
      <w:pPr>
        <w:pStyle w:val="BodyText"/>
        <w:rPr>
          <w:lang w:eastAsia="en-US"/>
        </w:rPr>
      </w:pPr>
      <w:r w:rsidRPr="00BC1144">
        <w:t xml:space="preserve">For this reason, </w:t>
      </w:r>
      <w:r w:rsidRPr="00BC1144">
        <w:rPr>
          <w:lang w:eastAsia="en-US"/>
        </w:rPr>
        <w:t>Appendix A, figure A.2 presents university age-adjusted measures of university access for each equity group. Two measures are used:</w:t>
      </w:r>
    </w:p>
    <w:p w:rsidR="006E391F" w:rsidRPr="00BC1144" w:rsidRDefault="006E391F" w:rsidP="00336FA0">
      <w:pPr>
        <w:pStyle w:val="ListBullet"/>
      </w:pPr>
      <w:r w:rsidRPr="00BC1144">
        <w:t>The ‘access rate’ is the percentage of a relevant population that commenced undergraduate university studies in any given year as a share of the relevant age-adjusted population.</w:t>
      </w:r>
    </w:p>
    <w:p w:rsidR="006E391F" w:rsidRPr="00BC1144" w:rsidRDefault="006E391F" w:rsidP="00336FA0">
      <w:pPr>
        <w:pStyle w:val="ListBullet"/>
        <w:rPr>
          <w:lang w:eastAsia="en-US"/>
        </w:rPr>
      </w:pPr>
      <w:r w:rsidRPr="00BC1144">
        <w:t>The</w:t>
      </w:r>
      <w:r w:rsidRPr="00BC1144">
        <w:rPr>
          <w:lang w:eastAsia="en-US"/>
        </w:rPr>
        <w:t xml:space="preserve"> ‘relative access ratio’</w:t>
      </w:r>
      <w:r w:rsidRPr="00BC1144">
        <w:t xml:space="preserve"> is calculated by dividing an equity group’s age</w:t>
      </w:r>
      <w:r w:rsidRPr="00BC1144">
        <w:noBreakHyphen/>
        <w:t xml:space="preserve">adjusted access rate by the access rate of the Australian population as a whole. </w:t>
      </w:r>
    </w:p>
    <w:p w:rsidR="006E391F" w:rsidRPr="00BC1144" w:rsidRDefault="006E391F" w:rsidP="00336FA0">
      <w:pPr>
        <w:pStyle w:val="BodyText"/>
        <w:rPr>
          <w:lang w:eastAsia="en-US"/>
        </w:rPr>
      </w:pPr>
      <w:r w:rsidRPr="00BC1144">
        <w:t>A relative access ratio of 100 means that the group has — given its age structure — an equal opportunity for access as Australians as a whole, while a relative access ratio of 50 means members of that group are only half as likely to attend.</w:t>
      </w:r>
    </w:p>
    <w:p w:rsidR="006E391F" w:rsidRPr="00BC1144" w:rsidRDefault="006E391F" w:rsidP="00336FA0">
      <w:pPr>
        <w:pStyle w:val="BodyText"/>
        <w:rPr>
          <w:lang w:eastAsia="en-US"/>
        </w:rPr>
      </w:pPr>
      <w:r w:rsidRPr="00BC1144">
        <w:lastRenderedPageBreak/>
        <w:t xml:space="preserve">The method for age adjustment is based on the direct age standardisation with external weights methodology applied by the Australian Institute of Health and Welfare </w:t>
      </w:r>
      <w:r w:rsidR="0092626E" w:rsidRPr="00BC1144">
        <w:t>(2011)</w:t>
      </w:r>
      <w:r w:rsidRPr="00BC1144">
        <w:t xml:space="preserve">. </w:t>
      </w:r>
      <w:r w:rsidRPr="00BC1144">
        <w:rPr>
          <w:lang w:eastAsia="en-US"/>
        </w:rPr>
        <w:t>The data used in these calculations are commencements from published and unpublished administrative data from the Department of Education and Training and age profiles of the relevant populations from the ABS Census of Population and Housing.</w:t>
      </w:r>
    </w:p>
    <w:p w:rsidR="006E391F" w:rsidRPr="00BC1144" w:rsidRDefault="006E391F" w:rsidP="00336FA0">
      <w:pPr>
        <w:pStyle w:val="BodyText"/>
        <w:rPr>
          <w:lang w:eastAsia="en-US"/>
        </w:rPr>
      </w:pPr>
      <w:r w:rsidRPr="00BC1144">
        <w:rPr>
          <w:lang w:eastAsia="en-US"/>
        </w:rPr>
        <w:t>The relative access ratio is calculated as follows. For any given equity group (e) and age (a) the crude access rates and age</w:t>
      </w:r>
      <w:r w:rsidRPr="00BC1144">
        <w:rPr>
          <w:lang w:eastAsia="en-US"/>
        </w:rPr>
        <w:noBreakHyphen/>
        <w:t>adjusted access rates are given by:</w:t>
      </w:r>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CrudeAccessRate</m:t>
              </m:r>
            </m:e>
            <m:sub>
              <m:r>
                <w:rPr>
                  <w:rFonts w:ascii="Cambria Math" w:hAnsi="Cambria Math"/>
                  <w:lang w:eastAsia="en-US"/>
                </w:rPr>
                <m:t>e</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UniCommence</m:t>
                  </m:r>
                </m:e>
                <m:sub>
                  <m:r>
                    <w:rPr>
                      <w:rFonts w:ascii="Cambria Math" w:hAnsi="Cambria Math"/>
                      <w:lang w:eastAsia="en-US"/>
                    </w:rPr>
                    <m:t>e</m:t>
                  </m:r>
                </m:sub>
              </m:sSub>
            </m:num>
            <m:den>
              <m:sSub>
                <m:sSubPr>
                  <m:ctrlPr>
                    <w:rPr>
                      <w:rFonts w:ascii="Cambria Math" w:hAnsi="Cambria Math"/>
                      <w:i/>
                      <w:lang w:eastAsia="en-US"/>
                    </w:rPr>
                  </m:ctrlPr>
                </m:sSubPr>
                <m:e>
                  <m:r>
                    <w:rPr>
                      <w:rFonts w:ascii="Cambria Math" w:hAnsi="Cambria Math"/>
                      <w:lang w:eastAsia="en-US"/>
                    </w:rPr>
                    <m:t>POP</m:t>
                  </m:r>
                </m:e>
                <m:sub>
                  <m:r>
                    <w:rPr>
                      <w:rFonts w:ascii="Cambria Math" w:hAnsi="Cambria Math"/>
                      <w:lang w:eastAsia="en-US"/>
                    </w:rPr>
                    <m:t>e</m:t>
                  </m:r>
                </m:sub>
              </m:sSub>
            </m:den>
          </m:f>
        </m:oMath>
      </m:oMathPara>
    </w:p>
    <w:p w:rsidR="006E391F" w:rsidRPr="00BC1144" w:rsidRDefault="006E391F" w:rsidP="00336FA0">
      <w:pPr>
        <w:pStyle w:val="BodyText"/>
        <w:rPr>
          <w:lang w:eastAsia="en-US"/>
        </w:rPr>
      </w:pPr>
      <w:r w:rsidRPr="00BC1144">
        <w:rPr>
          <w:lang w:eastAsia="en-US"/>
        </w:rPr>
        <w:t xml:space="preserve">where </w:t>
      </w:r>
      <m:oMath>
        <m:sSub>
          <m:sSubPr>
            <m:ctrlPr>
              <w:rPr>
                <w:rFonts w:ascii="Cambria Math" w:hAnsi="Cambria Math"/>
                <w:i/>
                <w:lang w:eastAsia="en-US"/>
              </w:rPr>
            </m:ctrlPr>
          </m:sSubPr>
          <m:e>
            <m:r>
              <w:rPr>
                <w:rFonts w:ascii="Cambria Math" w:hAnsi="Cambria Math"/>
                <w:lang w:eastAsia="en-US"/>
              </w:rPr>
              <m:t>UniCommence</m:t>
            </m:r>
          </m:e>
          <m:sub>
            <m:r>
              <w:rPr>
                <w:rFonts w:ascii="Cambria Math" w:hAnsi="Cambria Math"/>
                <w:lang w:eastAsia="en-US"/>
              </w:rPr>
              <m:t>e</m:t>
            </m:r>
          </m:sub>
        </m:sSub>
      </m:oMath>
      <w:r w:rsidRPr="00BC1144">
        <w:rPr>
          <w:lang w:eastAsia="en-US"/>
        </w:rPr>
        <w:t xml:space="preserve"> is the number of commencing domestic undergraduate students by equity group, as published by the Department of Education and Training:</w:t>
      </w:r>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EquityAgeWeight</m:t>
              </m:r>
            </m:e>
            <m:sub>
              <m:r>
                <w:rPr>
                  <w:rFonts w:ascii="Cambria Math" w:hAnsi="Cambria Math"/>
                  <w:lang w:eastAsia="en-US"/>
                </w:rPr>
                <m:t>e,a</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POP</m:t>
                  </m:r>
                </m:e>
                <m:sub>
                  <m:r>
                    <w:rPr>
                      <w:rFonts w:ascii="Cambria Math" w:hAnsi="Cambria Math"/>
                      <w:lang w:eastAsia="en-US"/>
                    </w:rPr>
                    <m:t>e,a</m:t>
                  </m:r>
                </m:sub>
              </m:sSub>
            </m:num>
            <m:den>
              <m:sSub>
                <m:sSubPr>
                  <m:ctrlPr>
                    <w:rPr>
                      <w:rFonts w:ascii="Cambria Math" w:hAnsi="Cambria Math"/>
                      <w:i/>
                      <w:lang w:eastAsia="en-US"/>
                    </w:rPr>
                  </m:ctrlPr>
                </m:sSubPr>
                <m:e>
                  <m:r>
                    <w:rPr>
                      <w:rFonts w:ascii="Cambria Math" w:hAnsi="Cambria Math"/>
                      <w:lang w:eastAsia="en-US"/>
                    </w:rPr>
                    <m:t>POP</m:t>
                  </m:r>
                </m:e>
                <m:sub>
                  <m:r>
                    <w:rPr>
                      <w:rFonts w:ascii="Cambria Math" w:hAnsi="Cambria Math"/>
                      <w:lang w:eastAsia="en-US"/>
                    </w:rPr>
                    <m:t>a</m:t>
                  </m:r>
                </m:sub>
              </m:sSub>
            </m:den>
          </m:f>
        </m:oMath>
      </m:oMathPara>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POPStudyWeight</m:t>
              </m:r>
            </m:e>
            <m:sub>
              <m:r>
                <w:rPr>
                  <w:rFonts w:ascii="Cambria Math" w:hAnsi="Cambria Math"/>
                  <w:lang w:eastAsia="en-US"/>
                </w:rPr>
                <m:t>a</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POPStudying</m:t>
                  </m:r>
                </m:e>
                <m:sub>
                  <m:r>
                    <w:rPr>
                      <w:rFonts w:ascii="Cambria Math" w:hAnsi="Cambria Math"/>
                      <w:lang w:eastAsia="en-US"/>
                    </w:rPr>
                    <m:t>a</m:t>
                  </m:r>
                </m:sub>
              </m:sSub>
            </m:num>
            <m:den>
              <m:nary>
                <m:naryPr>
                  <m:chr m:val="∑"/>
                  <m:limLoc m:val="subSup"/>
                  <m:supHide m:val="1"/>
                  <m:ctrlPr>
                    <w:rPr>
                      <w:rFonts w:ascii="Cambria Math" w:hAnsi="Cambria Math"/>
                      <w:i/>
                      <w:lang w:eastAsia="en-US"/>
                    </w:rPr>
                  </m:ctrlPr>
                </m:naryPr>
                <m:sub>
                  <m:r>
                    <w:rPr>
                      <w:rFonts w:ascii="Cambria Math" w:hAnsi="Cambria Math"/>
                      <w:lang w:eastAsia="en-US"/>
                    </w:rPr>
                    <m:t>a</m:t>
                  </m:r>
                </m:sub>
                <m:sup/>
                <m:e>
                  <m:sSub>
                    <m:sSubPr>
                      <m:ctrlPr>
                        <w:rPr>
                          <w:rFonts w:ascii="Cambria Math" w:hAnsi="Cambria Math"/>
                          <w:i/>
                          <w:lang w:eastAsia="en-US"/>
                        </w:rPr>
                      </m:ctrlPr>
                    </m:sSubPr>
                    <m:e>
                      <m:r>
                        <w:rPr>
                          <w:rFonts w:ascii="Cambria Math" w:hAnsi="Cambria Math"/>
                          <w:lang w:eastAsia="en-US"/>
                        </w:rPr>
                        <m:t>POPstudying</m:t>
                      </m:r>
                    </m:e>
                    <m:sub>
                      <m:r>
                        <w:rPr>
                          <w:rFonts w:ascii="Cambria Math" w:hAnsi="Cambria Math"/>
                          <w:lang w:eastAsia="en-US"/>
                        </w:rPr>
                        <m:t>a</m:t>
                      </m:r>
                    </m:sub>
                  </m:sSub>
                </m:e>
              </m:nary>
            </m:den>
          </m:f>
        </m:oMath>
      </m:oMathPara>
    </w:p>
    <w:p w:rsidR="006E391F" w:rsidRPr="00BC1144" w:rsidRDefault="006E391F" w:rsidP="00336FA0">
      <w:pPr>
        <w:pStyle w:val="BodyText"/>
        <w:rPr>
          <w:lang w:eastAsia="en-US"/>
        </w:rPr>
      </w:pPr>
      <w:r w:rsidRPr="00BC1144">
        <w:rPr>
          <w:lang w:eastAsia="en-US"/>
        </w:rPr>
        <w:t xml:space="preserve">where </w:t>
      </w:r>
      <m:oMath>
        <m:sSub>
          <m:sSubPr>
            <m:ctrlPr>
              <w:rPr>
                <w:rFonts w:ascii="Cambria Math" w:hAnsi="Cambria Math"/>
                <w:i/>
                <w:lang w:eastAsia="en-US"/>
              </w:rPr>
            </m:ctrlPr>
          </m:sSubPr>
          <m:e>
            <m:r>
              <w:rPr>
                <w:rFonts w:ascii="Cambria Math" w:hAnsi="Cambria Math"/>
                <w:lang w:eastAsia="en-US"/>
              </w:rPr>
              <m:t>POPStudying</m:t>
            </m:r>
          </m:e>
          <m:sub>
            <m:r>
              <w:rPr>
                <w:rFonts w:ascii="Cambria Math" w:hAnsi="Cambria Math"/>
                <w:lang w:eastAsia="en-US"/>
              </w:rPr>
              <m:t>a</m:t>
            </m:r>
          </m:sub>
        </m:sSub>
      </m:oMath>
      <w:r w:rsidRPr="00BC1144">
        <w:rPr>
          <w:lang w:eastAsia="en-US"/>
        </w:rPr>
        <w:t xml:space="preserve"> is the Australian population recorded as currently studying at a university or tertiary institution by year of age in the Census.</w:t>
      </w:r>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AdjAccessWeight</m:t>
              </m:r>
            </m:e>
            <m:sub>
              <m:r>
                <w:rPr>
                  <w:rFonts w:ascii="Cambria Math" w:hAnsi="Cambria Math"/>
                  <w:lang w:eastAsia="en-US"/>
                </w:rPr>
                <m:t>e</m:t>
              </m:r>
            </m:sub>
          </m:sSub>
          <m:r>
            <w:rPr>
              <w:rFonts w:ascii="Cambria Math" w:hAnsi="Cambria Math"/>
              <w:lang w:eastAsia="en-US"/>
            </w:rPr>
            <m:t>=</m:t>
          </m:r>
          <m:nary>
            <m:naryPr>
              <m:chr m:val="∑"/>
              <m:limLoc m:val="undOvr"/>
              <m:supHide m:val="1"/>
              <m:ctrlPr>
                <w:rPr>
                  <w:rFonts w:ascii="Cambria Math" w:hAnsi="Cambria Math"/>
                  <w:i/>
                  <w:lang w:eastAsia="en-US"/>
                </w:rPr>
              </m:ctrlPr>
            </m:naryPr>
            <m:sub>
              <m:r>
                <w:rPr>
                  <w:rFonts w:ascii="Cambria Math" w:hAnsi="Cambria Math"/>
                  <w:lang w:eastAsia="en-US"/>
                </w:rPr>
                <m:t>a</m:t>
              </m:r>
            </m:sub>
            <m:sup/>
            <m:e>
              <m:sSub>
                <m:sSubPr>
                  <m:ctrlPr>
                    <w:rPr>
                      <w:rFonts w:ascii="Cambria Math" w:hAnsi="Cambria Math"/>
                      <w:i/>
                      <w:lang w:eastAsia="en-US"/>
                    </w:rPr>
                  </m:ctrlPr>
                </m:sSubPr>
                <m:e>
                  <m:r>
                    <w:rPr>
                      <w:rFonts w:ascii="Cambria Math" w:hAnsi="Cambria Math"/>
                      <w:lang w:eastAsia="en-US"/>
                    </w:rPr>
                    <m:t>(EquityAgeWeight</m:t>
                  </m:r>
                </m:e>
                <m:sub>
                  <m:r>
                    <w:rPr>
                      <w:rFonts w:ascii="Cambria Math" w:hAnsi="Cambria Math"/>
                      <w:lang w:eastAsia="en-US"/>
                    </w:rPr>
                    <m:t>e,a</m:t>
                  </m:r>
                </m:sub>
              </m:sSub>
            </m:e>
          </m:nary>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POPStudyWeight</m:t>
              </m:r>
            </m:e>
            <m:sub>
              <m:r>
                <w:rPr>
                  <w:rFonts w:ascii="Cambria Math" w:hAnsi="Cambria Math"/>
                  <w:lang w:eastAsia="en-US"/>
                </w:rPr>
                <m:t>a)</m:t>
              </m:r>
            </m:sub>
          </m:sSub>
          <m:r>
            <w:rPr>
              <w:rFonts w:ascii="Cambria Math" w:hAnsi="Cambria Math"/>
              <w:lang w:eastAsia="en-US"/>
            </w:rPr>
            <m:t xml:space="preserve"> for each equity group</m:t>
          </m:r>
        </m:oMath>
      </m:oMathPara>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AdjPOP</m:t>
              </m:r>
            </m:e>
            <m:sub>
              <m:r>
                <w:rPr>
                  <w:rFonts w:ascii="Cambria Math" w:hAnsi="Cambria Math"/>
                  <w:lang w:eastAsia="en-US"/>
                </w:rPr>
                <m:t>e</m:t>
              </m:r>
            </m:sub>
          </m:sSub>
          <m:r>
            <w:rPr>
              <w:rFonts w:ascii="Cambria Math" w:hAnsi="Cambria Math"/>
              <w:lang w:eastAsia="en-US"/>
            </w:rPr>
            <m:t>=</m:t>
          </m:r>
          <m:sSub>
            <m:sSubPr>
              <m:ctrlPr>
                <w:rPr>
                  <w:rFonts w:ascii="Cambria Math" w:hAnsi="Cambria Math"/>
                  <w:lang w:eastAsia="en-US"/>
                </w:rPr>
              </m:ctrlPr>
            </m:sSubPr>
            <m:e>
              <m:r>
                <w:rPr>
                  <w:rFonts w:ascii="Cambria Math" w:hAnsi="Cambria Math"/>
                  <w:lang w:eastAsia="en-US"/>
                </w:rPr>
                <m:t>AdjAccessWeight</m:t>
              </m:r>
            </m:e>
            <m:sub>
              <m:r>
                <w:rPr>
                  <w:rFonts w:ascii="Cambria Math" w:hAnsi="Cambria Math"/>
                  <w:lang w:eastAsia="en-US"/>
                </w:rPr>
                <m:t>e</m:t>
              </m:r>
            </m:sub>
          </m:sSub>
          <m:r>
            <w:rPr>
              <w:rFonts w:ascii="Cambria Math" w:hAnsi="Cambria Math"/>
              <w:lang w:eastAsia="en-US"/>
            </w:rPr>
            <m:t xml:space="preserve"> ×</m:t>
          </m:r>
          <m:nary>
            <m:naryPr>
              <m:chr m:val="∑"/>
              <m:limLoc m:val="subSup"/>
              <m:supHide m:val="1"/>
              <m:ctrlPr>
                <w:rPr>
                  <w:rFonts w:ascii="Cambria Math" w:hAnsi="Cambria Math"/>
                  <w:i/>
                  <w:lang w:eastAsia="en-US"/>
                </w:rPr>
              </m:ctrlPr>
            </m:naryPr>
            <m:sub>
              <m:r>
                <w:rPr>
                  <w:rFonts w:ascii="Cambria Math" w:hAnsi="Cambria Math"/>
                  <w:lang w:eastAsia="en-US"/>
                </w:rPr>
                <m:t>a</m:t>
              </m:r>
            </m:sub>
            <m:sup/>
            <m:e>
              <m:sSub>
                <m:sSubPr>
                  <m:ctrlPr>
                    <w:rPr>
                      <w:rFonts w:ascii="Cambria Math" w:hAnsi="Cambria Math"/>
                      <w:i/>
                      <w:lang w:eastAsia="en-US"/>
                    </w:rPr>
                  </m:ctrlPr>
                </m:sSubPr>
                <m:e>
                  <m:r>
                    <w:rPr>
                      <w:rFonts w:ascii="Cambria Math" w:hAnsi="Cambria Math"/>
                      <w:lang w:eastAsia="en-US"/>
                    </w:rPr>
                    <m:t>POP</m:t>
                  </m:r>
                </m:e>
                <m:sub>
                  <m:r>
                    <w:rPr>
                      <w:rFonts w:ascii="Cambria Math" w:hAnsi="Cambria Math"/>
                      <w:lang w:eastAsia="en-US"/>
                    </w:rPr>
                    <m:t>a</m:t>
                  </m:r>
                </m:sub>
              </m:sSub>
            </m:e>
          </m:nary>
        </m:oMath>
      </m:oMathPara>
    </w:p>
    <w:p w:rsidR="006E391F" w:rsidRPr="00BC1144" w:rsidRDefault="00EF7456" w:rsidP="00336FA0">
      <w:pPr>
        <w:pStyle w:val="BodyText"/>
        <w:rPr>
          <w:lang w:eastAsia="en-US"/>
        </w:rPr>
      </w:pPr>
      <m:oMathPara>
        <m:oMathParaPr>
          <m:jc m:val="left"/>
        </m:oMathParaPr>
        <m:oMath>
          <m:sSub>
            <m:sSubPr>
              <m:ctrlPr>
                <w:rPr>
                  <w:rFonts w:ascii="Cambria Math" w:hAnsi="Cambria Math"/>
                  <w:lang w:eastAsia="en-US"/>
                </w:rPr>
              </m:ctrlPr>
            </m:sSubPr>
            <m:e>
              <m:r>
                <w:rPr>
                  <w:rFonts w:ascii="Cambria Math" w:hAnsi="Cambria Math"/>
                  <w:lang w:eastAsia="en-US"/>
                </w:rPr>
                <m:t>AdjAccessRate</m:t>
              </m:r>
            </m:e>
            <m:sub>
              <m:r>
                <w:rPr>
                  <w:rFonts w:ascii="Cambria Math" w:hAnsi="Cambria Math"/>
                  <w:lang w:eastAsia="en-US"/>
                </w:rPr>
                <m:t>e</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UniCommence</m:t>
                  </m:r>
                </m:e>
                <m:sub>
                  <m:r>
                    <w:rPr>
                      <w:rFonts w:ascii="Cambria Math" w:hAnsi="Cambria Math"/>
                      <w:lang w:eastAsia="en-US"/>
                    </w:rPr>
                    <m:t>e,a</m:t>
                  </m:r>
                </m:sub>
              </m:sSub>
            </m:num>
            <m:den>
              <m:sSub>
                <m:sSubPr>
                  <m:ctrlPr>
                    <w:rPr>
                      <w:rFonts w:ascii="Cambria Math" w:hAnsi="Cambria Math"/>
                      <w:lang w:eastAsia="en-US"/>
                    </w:rPr>
                  </m:ctrlPr>
                </m:sSubPr>
                <m:e>
                  <m:r>
                    <w:rPr>
                      <w:rFonts w:ascii="Cambria Math" w:hAnsi="Cambria Math"/>
                      <w:lang w:eastAsia="en-US"/>
                    </w:rPr>
                    <m:t>AdjPOP</m:t>
                  </m:r>
                </m:e>
                <m:sub>
                  <m:r>
                    <w:rPr>
                      <w:rFonts w:ascii="Cambria Math" w:hAnsi="Cambria Math"/>
                      <w:lang w:eastAsia="en-US"/>
                    </w:rPr>
                    <m:t>e</m:t>
                  </m:r>
                </m:sub>
              </m:sSub>
            </m:den>
          </m:f>
        </m:oMath>
      </m:oMathPara>
    </w:p>
    <w:p w:rsidR="006E391F" w:rsidRPr="00BC1144" w:rsidRDefault="006E391F" w:rsidP="00336FA0">
      <w:pPr>
        <w:pStyle w:val="BodyText"/>
        <w:rPr>
          <w:lang w:eastAsia="en-US"/>
        </w:rPr>
      </w:pPr>
      <w:r w:rsidRPr="00BC1144">
        <w:rPr>
          <w:lang w:eastAsia="en-US"/>
        </w:rPr>
        <w:t>The population access rate to universities is:</w:t>
      </w:r>
    </w:p>
    <w:p w:rsidR="006E391F" w:rsidRPr="00BC1144" w:rsidRDefault="006E391F" w:rsidP="00336FA0">
      <w:pPr>
        <w:pStyle w:val="BodyText"/>
        <w:rPr>
          <w:lang w:eastAsia="en-US"/>
        </w:rPr>
      </w:pPr>
      <m:oMathPara>
        <m:oMathParaPr>
          <m:jc m:val="left"/>
        </m:oMathParaPr>
        <m:oMath>
          <m:r>
            <w:rPr>
              <w:rFonts w:ascii="Cambria Math" w:hAnsi="Cambria Math"/>
              <w:lang w:eastAsia="en-US"/>
            </w:rPr>
            <m:t xml:space="preserve">POPAccessRate= </m:t>
          </m:r>
          <m:f>
            <m:fPr>
              <m:ctrlPr>
                <w:rPr>
                  <w:rFonts w:ascii="Cambria Math" w:hAnsi="Cambria Math"/>
                  <w:i/>
                  <w:lang w:eastAsia="en-US"/>
                </w:rPr>
              </m:ctrlPr>
            </m:fPr>
            <m:num>
              <m:nary>
                <m:naryPr>
                  <m:chr m:val="∑"/>
                  <m:limLoc m:val="undOvr"/>
                  <m:supHide m:val="1"/>
                  <m:ctrlPr>
                    <w:rPr>
                      <w:rFonts w:ascii="Cambria Math" w:hAnsi="Cambria Math"/>
                      <w:i/>
                      <w:lang w:eastAsia="en-US"/>
                    </w:rPr>
                  </m:ctrlPr>
                </m:naryPr>
                <m:sub>
                  <m:r>
                    <w:rPr>
                      <w:rFonts w:ascii="Cambria Math" w:hAnsi="Cambria Math"/>
                      <w:lang w:eastAsia="en-US"/>
                    </w:rPr>
                    <m:t>a</m:t>
                  </m:r>
                </m:sub>
                <m:sup/>
                <m:e>
                  <m:sSub>
                    <m:sSubPr>
                      <m:ctrlPr>
                        <w:rPr>
                          <w:rFonts w:ascii="Cambria Math" w:hAnsi="Cambria Math"/>
                          <w:i/>
                          <w:lang w:eastAsia="en-US"/>
                        </w:rPr>
                      </m:ctrlPr>
                    </m:sSubPr>
                    <m:e>
                      <m:r>
                        <w:rPr>
                          <w:rFonts w:ascii="Cambria Math" w:hAnsi="Cambria Math"/>
                          <w:lang w:eastAsia="en-US"/>
                        </w:rPr>
                        <m:t>UniCommence</m:t>
                      </m:r>
                    </m:e>
                    <m:sub>
                      <m:r>
                        <w:rPr>
                          <w:rFonts w:ascii="Cambria Math" w:hAnsi="Cambria Math"/>
                          <w:lang w:eastAsia="en-US"/>
                        </w:rPr>
                        <m:t>a</m:t>
                      </m:r>
                    </m:sub>
                  </m:sSub>
                </m:e>
              </m:nary>
            </m:num>
            <m:den>
              <m:nary>
                <m:naryPr>
                  <m:chr m:val="∑"/>
                  <m:limLoc m:val="subSup"/>
                  <m:supHide m:val="1"/>
                  <m:ctrlPr>
                    <w:rPr>
                      <w:rFonts w:ascii="Cambria Math" w:hAnsi="Cambria Math"/>
                      <w:i/>
                      <w:lang w:eastAsia="en-US"/>
                    </w:rPr>
                  </m:ctrlPr>
                </m:naryPr>
                <m:sub>
                  <m:r>
                    <w:rPr>
                      <w:rFonts w:ascii="Cambria Math" w:hAnsi="Cambria Math"/>
                      <w:lang w:eastAsia="en-US"/>
                    </w:rPr>
                    <m:t>a</m:t>
                  </m:r>
                </m:sub>
                <m:sup/>
                <m:e>
                  <m:sSub>
                    <m:sSubPr>
                      <m:ctrlPr>
                        <w:rPr>
                          <w:rFonts w:ascii="Cambria Math" w:hAnsi="Cambria Math"/>
                          <w:i/>
                          <w:lang w:eastAsia="en-US"/>
                        </w:rPr>
                      </m:ctrlPr>
                    </m:sSubPr>
                    <m:e>
                      <m:r>
                        <w:rPr>
                          <w:rFonts w:ascii="Cambria Math" w:hAnsi="Cambria Math"/>
                          <w:lang w:eastAsia="en-US"/>
                        </w:rPr>
                        <m:t>POP</m:t>
                      </m:r>
                    </m:e>
                    <m:sub>
                      <m:r>
                        <w:rPr>
                          <w:rFonts w:ascii="Cambria Math" w:hAnsi="Cambria Math"/>
                          <w:lang w:eastAsia="en-US"/>
                        </w:rPr>
                        <m:t>a</m:t>
                      </m:r>
                    </m:sub>
                  </m:sSub>
                </m:e>
              </m:nary>
            </m:den>
          </m:f>
        </m:oMath>
      </m:oMathPara>
    </w:p>
    <w:p w:rsidR="006E391F" w:rsidRPr="00BC1144" w:rsidRDefault="006E391F" w:rsidP="00336FA0">
      <w:pPr>
        <w:pStyle w:val="BodyText"/>
        <w:rPr>
          <w:lang w:eastAsia="en-US"/>
        </w:rPr>
      </w:pPr>
      <w:r w:rsidRPr="00BC1144">
        <w:rPr>
          <w:lang w:eastAsia="en-US"/>
        </w:rPr>
        <w:t>So for each access group, the relative access rate is:</w:t>
      </w:r>
    </w:p>
    <w:p w:rsidR="006E391F" w:rsidRPr="00BC1144" w:rsidRDefault="00EF7456" w:rsidP="00336FA0">
      <w:pPr>
        <w:pStyle w:val="BodyText"/>
        <w:rPr>
          <w:lang w:eastAsia="en-US"/>
        </w:rPr>
      </w:pPr>
      <m:oMathPara>
        <m:oMathParaPr>
          <m:jc m:val="left"/>
        </m:oMathParaPr>
        <m:oMath>
          <m:sSub>
            <m:sSubPr>
              <m:ctrlPr>
                <w:rPr>
                  <w:rFonts w:ascii="Cambria Math" w:hAnsi="Cambria Math"/>
                  <w:i/>
                  <w:lang w:eastAsia="en-US"/>
                </w:rPr>
              </m:ctrlPr>
            </m:sSubPr>
            <m:e>
              <m:r>
                <w:rPr>
                  <w:rFonts w:ascii="Cambria Math" w:hAnsi="Cambria Math"/>
                  <w:lang w:eastAsia="en-US"/>
                </w:rPr>
                <m:t>RelativeAccessRatio</m:t>
              </m:r>
            </m:e>
            <m:sub>
              <m:r>
                <w:rPr>
                  <w:rFonts w:ascii="Cambria Math" w:hAnsi="Cambria Math"/>
                  <w:lang w:eastAsia="en-US"/>
                </w:rPr>
                <m:t>e</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AdjAccessRate</m:t>
                  </m:r>
                </m:e>
                <m:sub>
                  <m:r>
                    <w:rPr>
                      <w:rFonts w:ascii="Cambria Math" w:hAnsi="Cambria Math"/>
                      <w:lang w:eastAsia="en-US"/>
                    </w:rPr>
                    <m:t>e</m:t>
                  </m:r>
                </m:sub>
              </m:sSub>
            </m:num>
            <m:den>
              <m:r>
                <w:rPr>
                  <w:rFonts w:ascii="Cambria Math" w:hAnsi="Cambria Math"/>
                  <w:lang w:eastAsia="en-US"/>
                </w:rPr>
                <m:t>POPAccessRate</m:t>
              </m:r>
            </m:den>
          </m:f>
        </m:oMath>
      </m:oMathPara>
    </w:p>
    <w:p w:rsidR="006E391F" w:rsidRPr="00BC1144" w:rsidRDefault="006E391F" w:rsidP="00336FA0">
      <w:pPr>
        <w:pStyle w:val="BodyText"/>
        <w:rPr>
          <w:lang w:eastAsia="en-US"/>
        </w:rPr>
      </w:pPr>
      <w:r w:rsidRPr="00BC1144">
        <w:rPr>
          <w:lang w:eastAsia="en-US"/>
        </w:rPr>
        <w:t xml:space="preserve">These access ratios are calculated using domestic commencements. For consistency, an estimate of the number of international students is subtracted from each equity group population. Estimates for age profile of international students were calculated based on </w:t>
      </w:r>
      <w:r w:rsidRPr="00BC1144">
        <w:rPr>
          <w:lang w:eastAsia="en-US"/>
        </w:rPr>
        <w:lastRenderedPageBreak/>
        <w:t xml:space="preserve">Census data on arrivals in the past two years and applied to the total number of international students from administrative data. </w:t>
      </w:r>
    </w:p>
    <w:p w:rsidR="006E391F" w:rsidRPr="00BC1144" w:rsidRDefault="006E391F" w:rsidP="00336FA0">
      <w:pPr>
        <w:pStyle w:val="Heading2"/>
      </w:pPr>
      <w:bookmarkStart w:id="74" w:name="_Toc10805479"/>
      <w:r w:rsidRPr="00BC1144">
        <w:t>B.10</w:t>
      </w:r>
      <w:r w:rsidRPr="00BC1144">
        <w:tab/>
        <w:t>Robustness checks</w:t>
      </w:r>
      <w:bookmarkEnd w:id="74"/>
    </w:p>
    <w:p w:rsidR="006E391F" w:rsidRPr="00BC1144" w:rsidRDefault="006E391F" w:rsidP="00336FA0">
      <w:pPr>
        <w:pStyle w:val="BodyText"/>
        <w:rPr>
          <w:lang w:eastAsia="en-US"/>
        </w:rPr>
      </w:pPr>
      <w:r w:rsidRPr="00BC1144">
        <w:rPr>
          <w:lang w:eastAsia="en-US"/>
        </w:rPr>
        <w:t>To ensure robustness of results, checks have been conducted that address (1) our approach to imputing students’ ATAR scores and (2) assumptions regarding the correlation in unobservable characteristics between different points in time. Figures B.6 and B.7 show students’ academic and labour market outcomes at age 25 years for our preferred specification (chapter 2), a specification that excludes imputed ATAR scores (which instead includes a dummy variable for missing values) and a specification that assumes imperfect correlation (0.75) regarding the impact of unobservable characteristics on university attendance across time. Main results are robust across these alternative specifications.</w:t>
      </w:r>
    </w:p>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6</w:t>
            </w:r>
            <w:r w:rsidRPr="00BC1144">
              <w:tab/>
              <w:t>Robustness checks: academic outcomes</w:t>
            </w:r>
          </w:p>
          <w:p w:rsidR="006E391F" w:rsidRPr="00BC1144" w:rsidRDefault="006E391F" w:rsidP="00336FA0">
            <w:pPr>
              <w:pStyle w:val="Subtitle"/>
            </w:pPr>
            <w:r w:rsidRPr="00BC1144">
              <w:t>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7949CF0A" wp14:editId="4174E78A">
                        <wp:extent cx="5425440" cy="6477000"/>
                        <wp:effectExtent l="0" t="0" r="3810" b="0"/>
                        <wp:docPr id="63" name="Picture 63" descr="Figure B.6 shows academic outcomes for additional and other students at age 23 years in the 2009 cohort for our preferred specification, a specification that excludes imputed ATAR scores (which instead includes a dummy variable for missing values) and a specification that assumes imperfect correlation (0.75) regarding the impact of unobservable characteristics on university attendance across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425440" cy="647700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Black bars reflect 95 per cent confidence intervals. Additional study captures people who completed a bachelor, and at any point prior to 2017 commenced another degree at a bachelor level or higher</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FigureTitle"/>
            </w:pPr>
            <w:r w:rsidRPr="00BC1144">
              <w:rPr>
                <w:b w:val="0"/>
              </w:rPr>
              <w:t>Figure B.</w:t>
            </w:r>
            <w:r w:rsidRPr="00BC1144">
              <w:rPr>
                <w:b w:val="0"/>
                <w:noProof/>
              </w:rPr>
              <w:t>7</w:t>
            </w:r>
            <w:r w:rsidRPr="00BC1144">
              <w:tab/>
              <w:t>Robustness checks: labour market outcomes</w:t>
            </w:r>
          </w:p>
          <w:p w:rsidR="006E391F" w:rsidRPr="00BC1144" w:rsidRDefault="006E391F" w:rsidP="00336FA0">
            <w:pPr>
              <w:pStyle w:val="Subtitle"/>
            </w:pPr>
            <w:r w:rsidRPr="00BC1144">
              <w:t>Age 23 years in 2017</w:t>
            </w:r>
          </w:p>
        </w:tc>
      </w:tr>
      <w:tr w:rsidR="006E391F" w:rsidRPr="00BC1144" w:rsidTr="00336F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E391F" w:rsidRPr="00BC1144" w:rsidTr="00336FA0">
              <w:trPr>
                <w:tblHeader/>
                <w:jc w:val="center"/>
              </w:trPr>
              <w:tc>
                <w:tcPr>
                  <w:tcW w:w="5000" w:type="pct"/>
                  <w:tcBorders>
                    <w:top w:val="nil"/>
                    <w:bottom w:val="nil"/>
                  </w:tcBorders>
                </w:tcPr>
                <w:p w:rsidR="006E391F" w:rsidRPr="00BC1144" w:rsidRDefault="006E391F" w:rsidP="00336FA0">
                  <w:pPr>
                    <w:pStyle w:val="Figure"/>
                    <w:spacing w:before="60" w:after="60"/>
                    <w:rPr>
                      <w:rFonts w:ascii="Arial" w:hAnsi="Arial" w:cs="Arial"/>
                      <w:sz w:val="18"/>
                      <w:szCs w:val="18"/>
                    </w:rPr>
                  </w:pPr>
                  <w:r w:rsidRPr="00BC1144">
                    <w:rPr>
                      <w:rFonts w:ascii="Arial" w:hAnsi="Arial" w:cs="Arial"/>
                      <w:noProof/>
                      <w:sz w:val="18"/>
                      <w:szCs w:val="18"/>
                    </w:rPr>
                    <w:drawing>
                      <wp:inline distT="0" distB="0" distL="0" distR="0" wp14:anchorId="3001EA70" wp14:editId="3BD172DF">
                        <wp:extent cx="5402580" cy="6477000"/>
                        <wp:effectExtent l="0" t="0" r="7620" b="0"/>
                        <wp:docPr id="64" name="Picture 64" descr="Figure B.7 shows full-time work, part-time work unemployment and labour force participation rates for additional and other students at age 23 years in the 2009 cohort for our preferred specification, a specification that excludes imputed ATAR scores (which instead includes a dummy variable for missing values) and a specification that assumes imperfect correlation (0.75) regarding the impact of unobservable characteristics on university attendance across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402580" cy="6477000"/>
                                </a:xfrm>
                                <a:prstGeom prst="rect">
                                  <a:avLst/>
                                </a:prstGeom>
                                <a:noFill/>
                                <a:ln>
                                  <a:noFill/>
                                </a:ln>
                              </pic:spPr>
                            </pic:pic>
                          </a:graphicData>
                        </a:graphic>
                      </wp:inline>
                    </w:drawing>
                  </w:r>
                </w:p>
              </w:tc>
            </w:tr>
          </w:tbl>
          <w:p w:rsidR="006E391F" w:rsidRPr="00BC1144" w:rsidRDefault="006E391F" w:rsidP="00336FA0">
            <w:pPr>
              <w:pStyle w:val="Figure"/>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Labour market outcomes for other and additional students are presented only for those that graduate — and thus does not take into account the higher drop</w:t>
            </w:r>
            <w:r w:rsidRPr="00BC1144">
              <w:noBreakHyphen/>
              <w:t>out rates among additional student.</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Figurespace"/>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Heading2"/>
      </w:pPr>
      <w:bookmarkStart w:id="75" w:name="_Toc10805480"/>
      <w:r w:rsidRPr="00BC1144">
        <w:rPr>
          <w:b w:val="0"/>
        </w:rPr>
        <w:lastRenderedPageBreak/>
        <w:t>B.13</w:t>
      </w:r>
      <w:r w:rsidRPr="00BC1144">
        <w:tab/>
        <w:t>Some convergence of outcomes by age 25 years</w:t>
      </w:r>
      <w:bookmarkEnd w:id="75"/>
    </w:p>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hideMark/>
          </w:tcPr>
          <w:p w:rsidR="006E391F" w:rsidRPr="00BC1144" w:rsidRDefault="006E391F" w:rsidP="00336FA0">
            <w:pPr>
              <w:pStyle w:val="TableTitle"/>
            </w:pPr>
            <w:r w:rsidRPr="00BC1144">
              <w:rPr>
                <w:b w:val="0"/>
              </w:rPr>
              <w:t>Table B.14</w:t>
            </w:r>
            <w:r w:rsidRPr="00BC1144">
              <w:tab/>
              <w:t>2006 cohort</w:t>
            </w:r>
            <w:r w:rsidRPr="00BC1144">
              <w:rPr>
                <w:rStyle w:val="NoteLabel"/>
                <w:b/>
              </w:rPr>
              <w:t>a</w:t>
            </w:r>
          </w:p>
          <w:p w:rsidR="006E391F" w:rsidRPr="00BC1144" w:rsidRDefault="006E391F" w:rsidP="00336FA0">
            <w:pPr>
              <w:pStyle w:val="Subtitle"/>
            </w:pPr>
            <w:r w:rsidRPr="00BC1144">
              <w:t>Academic and labour market outcomes</w:t>
            </w:r>
          </w:p>
        </w:tc>
      </w:tr>
      <w:tr w:rsidR="006E391F" w:rsidRPr="00BC1144" w:rsidTr="00336FA0">
        <w:tc>
          <w:tcPr>
            <w:tcW w:w="5000" w:type="pct"/>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1703"/>
              <w:gridCol w:w="1701"/>
              <w:gridCol w:w="1701"/>
              <w:gridCol w:w="1701"/>
              <w:gridCol w:w="1699"/>
            </w:tblGrid>
            <w:tr w:rsidR="006E391F" w:rsidRPr="00BC1144" w:rsidTr="00336FA0">
              <w:trPr>
                <w:tblHeader/>
              </w:trPr>
              <w:tc>
                <w:tcPr>
                  <w:tcW w:w="1001" w:type="pct"/>
                  <w:tcBorders>
                    <w:top w:val="single" w:sz="6" w:space="0" w:color="BFBFBF"/>
                    <w:left w:val="nil"/>
                    <w:bottom w:val="single" w:sz="6" w:space="0" w:color="BFBFBF"/>
                    <w:right w:val="nil"/>
                  </w:tcBorders>
                  <w:hideMark/>
                </w:tcPr>
                <w:p w:rsidR="006E391F" w:rsidRPr="00BC1144" w:rsidRDefault="006E391F" w:rsidP="00336FA0">
                  <w:pPr>
                    <w:pStyle w:val="TableColumnHeading"/>
                    <w:jc w:val="left"/>
                  </w:pPr>
                  <w:r w:rsidRPr="00BC1144">
                    <w:t>Outcome measure</w:t>
                  </w:r>
                </w:p>
              </w:tc>
              <w:tc>
                <w:tcPr>
                  <w:tcW w:w="1000" w:type="pct"/>
                  <w:tcBorders>
                    <w:top w:val="single" w:sz="6" w:space="0" w:color="BFBFBF"/>
                    <w:left w:val="nil"/>
                    <w:bottom w:val="single" w:sz="6" w:space="0" w:color="BFBFBF"/>
                    <w:right w:val="nil"/>
                  </w:tcBorders>
                  <w:hideMark/>
                </w:tcPr>
                <w:p w:rsidR="006E391F" w:rsidRPr="00BC1144" w:rsidRDefault="006E391F" w:rsidP="00336FA0">
                  <w:pPr>
                    <w:pStyle w:val="TableColumnHeading"/>
                  </w:pPr>
                  <w:r w:rsidRPr="00BC1144">
                    <w:t>Student type</w:t>
                  </w:r>
                </w:p>
              </w:tc>
              <w:tc>
                <w:tcPr>
                  <w:tcW w:w="1000" w:type="pct"/>
                  <w:tcBorders>
                    <w:top w:val="single" w:sz="6" w:space="0" w:color="BFBFBF"/>
                    <w:left w:val="nil"/>
                    <w:bottom w:val="single" w:sz="6" w:space="0" w:color="BFBFBF"/>
                    <w:right w:val="nil"/>
                  </w:tcBorders>
                  <w:hideMark/>
                </w:tcPr>
                <w:p w:rsidR="006E391F" w:rsidRPr="00BC1144" w:rsidRDefault="006E391F" w:rsidP="00336FA0">
                  <w:pPr>
                    <w:pStyle w:val="TableColumnHeading"/>
                  </w:pPr>
                  <w:r w:rsidRPr="00BC1144">
                    <w:t>Mean</w:t>
                  </w:r>
                </w:p>
              </w:tc>
              <w:tc>
                <w:tcPr>
                  <w:tcW w:w="1000" w:type="pct"/>
                  <w:tcBorders>
                    <w:top w:val="single" w:sz="6" w:space="0" w:color="BFBFBF"/>
                    <w:left w:val="nil"/>
                    <w:bottom w:val="single" w:sz="6" w:space="0" w:color="BFBFBF"/>
                    <w:right w:val="nil"/>
                  </w:tcBorders>
                  <w:hideMark/>
                </w:tcPr>
                <w:p w:rsidR="006E391F" w:rsidRPr="00BC1144" w:rsidRDefault="006E391F" w:rsidP="00336FA0">
                  <w:pPr>
                    <w:pStyle w:val="TableColumnHeading"/>
                  </w:pPr>
                  <w:r w:rsidRPr="00BC1144">
                    <w:t>95 % confidence interval: upper</w:t>
                  </w:r>
                </w:p>
              </w:tc>
              <w:tc>
                <w:tcPr>
                  <w:tcW w:w="999" w:type="pct"/>
                  <w:tcBorders>
                    <w:top w:val="single" w:sz="6" w:space="0" w:color="BFBFBF"/>
                    <w:left w:val="nil"/>
                    <w:bottom w:val="single" w:sz="6" w:space="0" w:color="BFBFBF"/>
                    <w:right w:val="nil"/>
                  </w:tcBorders>
                  <w:hideMark/>
                </w:tcPr>
                <w:p w:rsidR="006E391F" w:rsidRPr="00BC1144" w:rsidRDefault="006E391F" w:rsidP="00336FA0">
                  <w:pPr>
                    <w:pStyle w:val="TableColumnHeading"/>
                    <w:ind w:right="28"/>
                  </w:pPr>
                  <w:r w:rsidRPr="00BC1144">
                    <w:t>95 % confidence interval: lower</w:t>
                  </w:r>
                </w:p>
              </w:tc>
            </w:tr>
            <w:tr w:rsidR="006E391F" w:rsidRPr="00BC1144" w:rsidTr="00336FA0">
              <w:trPr>
                <w:tblHeader/>
              </w:trPr>
              <w:tc>
                <w:tcPr>
                  <w:tcW w:w="5000" w:type="pct"/>
                  <w:gridSpan w:val="5"/>
                  <w:tcBorders>
                    <w:top w:val="single" w:sz="6" w:space="0" w:color="BFBFBF"/>
                    <w:left w:val="nil"/>
                    <w:right w:val="nil"/>
                  </w:tcBorders>
                  <w:shd w:val="clear" w:color="auto" w:fill="F2F2F2" w:themeFill="background1" w:themeFillShade="F2"/>
                  <w:hideMark/>
                </w:tcPr>
                <w:p w:rsidR="006E391F" w:rsidRPr="00BC1144" w:rsidRDefault="006E391F" w:rsidP="00336FA0">
                  <w:pPr>
                    <w:pStyle w:val="TableBodyText"/>
                    <w:jc w:val="left"/>
                    <w:rPr>
                      <w:b/>
                    </w:rPr>
                  </w:pPr>
                  <w:r w:rsidRPr="00BC1144">
                    <w:rPr>
                      <w:b/>
                    </w:rPr>
                    <w:t>2014 (</w:t>
                  </w:r>
                  <w:r w:rsidRPr="00BC1144">
                    <w:rPr>
                      <w:b/>
                      <w:shd w:val="clear" w:color="auto" w:fill="F2F2F2" w:themeFill="background1" w:themeFillShade="F2"/>
                    </w:rPr>
                    <w:t>age 23 years)</w:t>
                  </w:r>
                </w:p>
              </w:tc>
            </w:tr>
            <w:tr w:rsidR="006E391F" w:rsidRPr="00BC1144" w:rsidTr="00336FA0">
              <w:tc>
                <w:tcPr>
                  <w:tcW w:w="1001" w:type="pct"/>
                  <w:vMerge w:val="restart"/>
                  <w:tcBorders>
                    <w:left w:val="nil"/>
                    <w:bottom w:val="nil"/>
                    <w:right w:val="nil"/>
                  </w:tcBorders>
                  <w:hideMark/>
                </w:tcPr>
                <w:p w:rsidR="006E391F" w:rsidRPr="00BC1144" w:rsidRDefault="006E391F" w:rsidP="00336FA0">
                  <w:pPr>
                    <w:pStyle w:val="TableUnitsRow"/>
                    <w:jc w:val="left"/>
                  </w:pPr>
                  <w:r w:rsidRPr="00BC1144">
                    <w:t>Completed</w:t>
                  </w:r>
                </w:p>
              </w:tc>
              <w:tc>
                <w:tcPr>
                  <w:tcW w:w="1000" w:type="pct"/>
                  <w:tcBorders>
                    <w:left w:val="nil"/>
                    <w:bottom w:val="nil"/>
                    <w:right w:val="nil"/>
                  </w:tcBorders>
                  <w:vAlign w:val="bottom"/>
                  <w:hideMark/>
                </w:tcPr>
                <w:p w:rsidR="006E391F" w:rsidRPr="00BC1144" w:rsidRDefault="006E391F" w:rsidP="00336FA0">
                  <w:pPr>
                    <w:pStyle w:val="TableBodyText"/>
                    <w:jc w:val="left"/>
                  </w:pPr>
                  <w:r w:rsidRPr="00BC1144">
                    <w:t>Other student</w:t>
                  </w:r>
                </w:p>
              </w:tc>
              <w:tc>
                <w:tcPr>
                  <w:tcW w:w="1000" w:type="pct"/>
                  <w:tcBorders>
                    <w:left w:val="nil"/>
                    <w:bottom w:val="nil"/>
                    <w:right w:val="nil"/>
                  </w:tcBorders>
                  <w:vAlign w:val="bottom"/>
                  <w:hideMark/>
                </w:tcPr>
                <w:p w:rsidR="006E391F" w:rsidRPr="00BC1144" w:rsidRDefault="006E391F" w:rsidP="00336FA0">
                  <w:pPr>
                    <w:pStyle w:val="TableBodyText"/>
                  </w:pPr>
                  <w:r w:rsidRPr="00BC1144">
                    <w:t>65.9</w:t>
                  </w:r>
                </w:p>
              </w:tc>
              <w:tc>
                <w:tcPr>
                  <w:tcW w:w="1000" w:type="pct"/>
                  <w:tcBorders>
                    <w:left w:val="nil"/>
                    <w:bottom w:val="nil"/>
                    <w:right w:val="nil"/>
                  </w:tcBorders>
                  <w:vAlign w:val="bottom"/>
                  <w:hideMark/>
                </w:tcPr>
                <w:p w:rsidR="006E391F" w:rsidRPr="00BC1144" w:rsidRDefault="006E391F" w:rsidP="00336FA0">
                  <w:pPr>
                    <w:pStyle w:val="TableBodyText"/>
                  </w:pPr>
                  <w:r w:rsidRPr="00BC1144">
                    <w:t>68.0</w:t>
                  </w:r>
                </w:p>
              </w:tc>
              <w:tc>
                <w:tcPr>
                  <w:tcW w:w="999" w:type="pct"/>
                  <w:tcBorders>
                    <w:left w:val="nil"/>
                    <w:bottom w:val="nil"/>
                    <w:right w:val="nil"/>
                  </w:tcBorders>
                  <w:vAlign w:val="bottom"/>
                  <w:hideMark/>
                </w:tcPr>
                <w:p w:rsidR="006E391F" w:rsidRPr="00BC1144" w:rsidRDefault="006E391F" w:rsidP="00336FA0">
                  <w:pPr>
                    <w:pStyle w:val="TableBodyText"/>
                  </w:pPr>
                  <w:r w:rsidRPr="00BC1144">
                    <w:t>63.8</w:t>
                  </w:r>
                </w:p>
              </w:tc>
            </w:tr>
            <w:tr w:rsidR="006E391F" w:rsidRPr="00BC1144" w:rsidTr="00336FA0">
              <w:tc>
                <w:tcPr>
                  <w:tcW w:w="0" w:type="auto"/>
                  <w:vMerge/>
                  <w:tcBorders>
                    <w:top w:val="single" w:sz="6" w:space="0" w:color="BFBFBF"/>
                    <w:left w:val="nil"/>
                    <w:bottom w:val="nil"/>
                    <w:right w:val="nil"/>
                  </w:tcBorders>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52.9</w:t>
                  </w:r>
                </w:p>
              </w:tc>
              <w:tc>
                <w:tcPr>
                  <w:tcW w:w="1000" w:type="pct"/>
                  <w:vAlign w:val="bottom"/>
                  <w:hideMark/>
                </w:tcPr>
                <w:p w:rsidR="006E391F" w:rsidRPr="00BC1144" w:rsidRDefault="006E391F" w:rsidP="00336FA0">
                  <w:pPr>
                    <w:pStyle w:val="TableBodyText"/>
                  </w:pPr>
                  <w:r w:rsidRPr="00BC1144">
                    <w:t>58.4</w:t>
                  </w:r>
                </w:p>
              </w:tc>
              <w:tc>
                <w:tcPr>
                  <w:tcW w:w="999" w:type="pct"/>
                  <w:vAlign w:val="bottom"/>
                  <w:hideMark/>
                </w:tcPr>
                <w:p w:rsidR="006E391F" w:rsidRPr="00BC1144" w:rsidRDefault="006E391F" w:rsidP="00336FA0">
                  <w:pPr>
                    <w:pStyle w:val="TableBodyText"/>
                  </w:pPr>
                  <w:r w:rsidRPr="00BC1144">
                    <w:t>47.4</w:t>
                  </w:r>
                </w:p>
              </w:tc>
            </w:tr>
            <w:tr w:rsidR="006E391F" w:rsidRPr="00BC1144" w:rsidTr="00336FA0">
              <w:tc>
                <w:tcPr>
                  <w:tcW w:w="1001" w:type="pct"/>
                  <w:vMerge w:val="restart"/>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12.2</w:t>
                  </w:r>
                </w:p>
              </w:tc>
              <w:tc>
                <w:tcPr>
                  <w:tcW w:w="1000" w:type="pct"/>
                  <w:vAlign w:val="bottom"/>
                  <w:hideMark/>
                </w:tcPr>
                <w:p w:rsidR="006E391F" w:rsidRPr="00BC1144" w:rsidRDefault="006E391F" w:rsidP="00336FA0">
                  <w:pPr>
                    <w:pStyle w:val="TableBodyText"/>
                  </w:pPr>
                  <w:r w:rsidRPr="00BC1144">
                    <w:t>13.6</w:t>
                  </w:r>
                </w:p>
              </w:tc>
              <w:tc>
                <w:tcPr>
                  <w:tcW w:w="999" w:type="pct"/>
                  <w:vAlign w:val="bottom"/>
                  <w:hideMark/>
                </w:tcPr>
                <w:p w:rsidR="006E391F" w:rsidRPr="00BC1144" w:rsidRDefault="006E391F" w:rsidP="00336FA0">
                  <w:pPr>
                    <w:pStyle w:val="TableBodyText"/>
                  </w:pPr>
                  <w:r w:rsidRPr="00BC1144">
                    <w:t>10.8</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19.3</w:t>
                  </w:r>
                </w:p>
              </w:tc>
              <w:tc>
                <w:tcPr>
                  <w:tcW w:w="1000" w:type="pct"/>
                  <w:vAlign w:val="bottom"/>
                  <w:hideMark/>
                </w:tcPr>
                <w:p w:rsidR="006E391F" w:rsidRPr="00BC1144" w:rsidRDefault="006E391F" w:rsidP="00336FA0">
                  <w:pPr>
                    <w:pStyle w:val="TableBodyText"/>
                  </w:pPr>
                  <w:r w:rsidRPr="00BC1144">
                    <w:t>23.6</w:t>
                  </w:r>
                </w:p>
              </w:tc>
              <w:tc>
                <w:tcPr>
                  <w:tcW w:w="999" w:type="pct"/>
                  <w:vAlign w:val="bottom"/>
                  <w:hideMark/>
                </w:tcPr>
                <w:p w:rsidR="006E391F" w:rsidRPr="00BC1144" w:rsidRDefault="006E391F" w:rsidP="00336FA0">
                  <w:pPr>
                    <w:pStyle w:val="TableBodyText"/>
                  </w:pPr>
                  <w:r w:rsidRPr="00BC1144">
                    <w:t>15.0</w:t>
                  </w:r>
                </w:p>
              </w:tc>
            </w:tr>
            <w:tr w:rsidR="006E391F" w:rsidRPr="00BC1144" w:rsidTr="00336FA0">
              <w:tc>
                <w:tcPr>
                  <w:tcW w:w="1001" w:type="pct"/>
                  <w:vMerge w:val="restart"/>
                </w:tcPr>
                <w:p w:rsidR="006E391F" w:rsidRPr="00BC1144" w:rsidRDefault="006E391F" w:rsidP="00336FA0">
                  <w:pPr>
                    <w:pStyle w:val="TableBodyText"/>
                    <w:jc w:val="left"/>
                  </w:pPr>
                  <w:r w:rsidRPr="00BC1144">
                    <w:t>Full</w:t>
                  </w:r>
                  <w:r w:rsidRPr="00BC1144">
                    <w:noBreakHyphen/>
                    <w:t>time work</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68.1</w:t>
                  </w:r>
                </w:p>
              </w:tc>
              <w:tc>
                <w:tcPr>
                  <w:tcW w:w="1000" w:type="pct"/>
                  <w:vAlign w:val="bottom"/>
                  <w:hideMark/>
                </w:tcPr>
                <w:p w:rsidR="006E391F" w:rsidRPr="00BC1144" w:rsidRDefault="006E391F" w:rsidP="00336FA0">
                  <w:pPr>
                    <w:pStyle w:val="TableBodyText"/>
                  </w:pPr>
                  <w:r w:rsidRPr="00BC1144">
                    <w:t>71.0</w:t>
                  </w:r>
                </w:p>
              </w:tc>
              <w:tc>
                <w:tcPr>
                  <w:tcW w:w="999" w:type="pct"/>
                  <w:vAlign w:val="bottom"/>
                  <w:hideMark/>
                </w:tcPr>
                <w:p w:rsidR="006E391F" w:rsidRPr="00BC1144" w:rsidRDefault="006E391F" w:rsidP="00336FA0">
                  <w:pPr>
                    <w:pStyle w:val="TableBodyText"/>
                  </w:pPr>
                  <w:r w:rsidRPr="00BC1144">
                    <w:t>65.2</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59.0</w:t>
                  </w:r>
                </w:p>
              </w:tc>
              <w:tc>
                <w:tcPr>
                  <w:tcW w:w="1000" w:type="pct"/>
                  <w:vAlign w:val="bottom"/>
                  <w:hideMark/>
                </w:tcPr>
                <w:p w:rsidR="006E391F" w:rsidRPr="00BC1144" w:rsidRDefault="006E391F" w:rsidP="00336FA0">
                  <w:pPr>
                    <w:pStyle w:val="TableBodyText"/>
                  </w:pPr>
                  <w:r w:rsidRPr="00BC1144">
                    <w:t>64.8</w:t>
                  </w:r>
                </w:p>
              </w:tc>
              <w:tc>
                <w:tcPr>
                  <w:tcW w:w="999" w:type="pct"/>
                  <w:vAlign w:val="bottom"/>
                  <w:hideMark/>
                </w:tcPr>
                <w:p w:rsidR="006E391F" w:rsidRPr="00BC1144" w:rsidRDefault="006E391F" w:rsidP="00336FA0">
                  <w:pPr>
                    <w:pStyle w:val="TableBodyText"/>
                  </w:pPr>
                  <w:r w:rsidRPr="00BC1144">
                    <w:t>53.2</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bottom"/>
                  <w:hideMark/>
                </w:tcPr>
                <w:p w:rsidR="006E391F" w:rsidRPr="00BC1144" w:rsidRDefault="006E391F" w:rsidP="00336FA0">
                  <w:pPr>
                    <w:pStyle w:val="TableBodyText"/>
                  </w:pPr>
                  <w:r w:rsidRPr="00BC1144">
                    <w:t>69.4</w:t>
                  </w:r>
                </w:p>
              </w:tc>
              <w:tc>
                <w:tcPr>
                  <w:tcW w:w="1000" w:type="pct"/>
                  <w:vAlign w:val="bottom"/>
                  <w:hideMark/>
                </w:tcPr>
                <w:p w:rsidR="006E391F" w:rsidRPr="00BC1144" w:rsidRDefault="006E391F" w:rsidP="00336FA0">
                  <w:pPr>
                    <w:pStyle w:val="TableBodyText"/>
                  </w:pPr>
                  <w:r w:rsidRPr="00BC1144">
                    <w:t>71.7</w:t>
                  </w:r>
                </w:p>
              </w:tc>
              <w:tc>
                <w:tcPr>
                  <w:tcW w:w="999" w:type="pct"/>
                  <w:vAlign w:val="bottom"/>
                  <w:hideMark/>
                </w:tcPr>
                <w:p w:rsidR="006E391F" w:rsidRPr="00BC1144" w:rsidRDefault="006E391F" w:rsidP="00336FA0">
                  <w:pPr>
                    <w:pStyle w:val="TableBodyText"/>
                  </w:pPr>
                  <w:r w:rsidRPr="00BC1144">
                    <w:t>67.0</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pPr>
                  <w:r w:rsidRPr="00BC1144">
                    <w:t>57.4</w:t>
                  </w:r>
                </w:p>
              </w:tc>
              <w:tc>
                <w:tcPr>
                  <w:tcW w:w="1000" w:type="pct"/>
                  <w:vAlign w:val="bottom"/>
                  <w:hideMark/>
                </w:tcPr>
                <w:p w:rsidR="006E391F" w:rsidRPr="00BC1144" w:rsidRDefault="006E391F" w:rsidP="00336FA0">
                  <w:pPr>
                    <w:pStyle w:val="TableBodyText"/>
                  </w:pPr>
                  <w:r w:rsidRPr="00BC1144">
                    <w:t>63.5</w:t>
                  </w:r>
                </w:p>
              </w:tc>
              <w:tc>
                <w:tcPr>
                  <w:tcW w:w="999" w:type="pct"/>
                  <w:vAlign w:val="bottom"/>
                  <w:hideMark/>
                </w:tcPr>
                <w:p w:rsidR="006E391F" w:rsidRPr="00BC1144" w:rsidRDefault="006E391F" w:rsidP="00336FA0">
                  <w:pPr>
                    <w:pStyle w:val="TableBodyText"/>
                  </w:pPr>
                  <w:r w:rsidRPr="00BC1144">
                    <w:t>51.3</w:t>
                  </w:r>
                </w:p>
              </w:tc>
            </w:tr>
            <w:tr w:rsidR="006E391F" w:rsidRPr="00BC1144" w:rsidTr="00336FA0">
              <w:tc>
                <w:tcPr>
                  <w:tcW w:w="1001" w:type="pct"/>
                  <w:vMerge w:val="restart"/>
                  <w:hideMark/>
                </w:tcPr>
                <w:p w:rsidR="006E391F" w:rsidRPr="00BC1144" w:rsidRDefault="006E391F" w:rsidP="00336FA0">
                  <w:pPr>
                    <w:pStyle w:val="TableBodyText"/>
                    <w:jc w:val="left"/>
                  </w:pPr>
                  <w:r w:rsidRPr="00BC1144">
                    <w:t>Managerial or professional occupation</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center"/>
                  <w:hideMark/>
                </w:tcPr>
                <w:p w:rsidR="006E391F" w:rsidRPr="00BC1144" w:rsidRDefault="006E391F" w:rsidP="00336FA0">
                  <w:pPr>
                    <w:pStyle w:val="TableBodyText"/>
                  </w:pPr>
                  <w:r w:rsidRPr="00BC1144">
                    <w:t>56.7</w:t>
                  </w:r>
                </w:p>
              </w:tc>
              <w:tc>
                <w:tcPr>
                  <w:tcW w:w="1000" w:type="pct"/>
                  <w:vAlign w:val="center"/>
                  <w:hideMark/>
                </w:tcPr>
                <w:p w:rsidR="006E391F" w:rsidRPr="00BC1144" w:rsidRDefault="006E391F" w:rsidP="00336FA0">
                  <w:pPr>
                    <w:pStyle w:val="TableBodyText"/>
                  </w:pPr>
                  <w:r w:rsidRPr="00BC1144">
                    <w:t>59.7</w:t>
                  </w:r>
                </w:p>
              </w:tc>
              <w:tc>
                <w:tcPr>
                  <w:tcW w:w="999" w:type="pct"/>
                  <w:vAlign w:val="center"/>
                  <w:hideMark/>
                </w:tcPr>
                <w:p w:rsidR="006E391F" w:rsidRPr="00BC1144" w:rsidRDefault="006E391F" w:rsidP="00336FA0">
                  <w:pPr>
                    <w:pStyle w:val="TableBodyText"/>
                  </w:pPr>
                  <w:r w:rsidRPr="00BC1144">
                    <w:t>53.7</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center"/>
                  <w:hideMark/>
                </w:tcPr>
                <w:p w:rsidR="006E391F" w:rsidRPr="00BC1144" w:rsidRDefault="006E391F" w:rsidP="00336FA0">
                  <w:pPr>
                    <w:pStyle w:val="TableBodyText"/>
                  </w:pPr>
                  <w:r w:rsidRPr="00BC1144">
                    <w:t>44.1</w:t>
                  </w:r>
                </w:p>
              </w:tc>
              <w:tc>
                <w:tcPr>
                  <w:tcW w:w="1000" w:type="pct"/>
                  <w:vAlign w:val="center"/>
                  <w:hideMark/>
                </w:tcPr>
                <w:p w:rsidR="006E391F" w:rsidRPr="00BC1144" w:rsidRDefault="006E391F" w:rsidP="00336FA0">
                  <w:pPr>
                    <w:pStyle w:val="TableBodyText"/>
                  </w:pPr>
                  <w:r w:rsidRPr="00BC1144">
                    <w:t>50.2</w:t>
                  </w:r>
                </w:p>
              </w:tc>
              <w:tc>
                <w:tcPr>
                  <w:tcW w:w="999" w:type="pct"/>
                  <w:vAlign w:val="center"/>
                  <w:hideMark/>
                </w:tcPr>
                <w:p w:rsidR="006E391F" w:rsidRPr="00BC1144" w:rsidRDefault="006E391F" w:rsidP="00336FA0">
                  <w:pPr>
                    <w:pStyle w:val="TableBodyText"/>
                  </w:pPr>
                  <w:r w:rsidRPr="00BC1144">
                    <w:t>33.7</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center"/>
                  <w:hideMark/>
                </w:tcPr>
                <w:p w:rsidR="006E391F" w:rsidRPr="00BC1144" w:rsidRDefault="006E391F" w:rsidP="00336FA0">
                  <w:pPr>
                    <w:pStyle w:val="TableBodyText"/>
                  </w:pPr>
                  <w:r w:rsidRPr="00BC1144">
                    <w:t>11.8</w:t>
                  </w:r>
                </w:p>
              </w:tc>
              <w:tc>
                <w:tcPr>
                  <w:tcW w:w="1000" w:type="pct"/>
                  <w:vAlign w:val="center"/>
                  <w:hideMark/>
                </w:tcPr>
                <w:p w:rsidR="006E391F" w:rsidRPr="00BC1144" w:rsidRDefault="006E391F" w:rsidP="00336FA0">
                  <w:pPr>
                    <w:pStyle w:val="TableBodyText"/>
                  </w:pPr>
                  <w:r w:rsidRPr="00BC1144">
                    <w:t>12.9</w:t>
                  </w:r>
                </w:p>
              </w:tc>
              <w:tc>
                <w:tcPr>
                  <w:tcW w:w="999" w:type="pct"/>
                  <w:vAlign w:val="center"/>
                  <w:hideMark/>
                </w:tcPr>
                <w:p w:rsidR="006E391F" w:rsidRPr="00BC1144" w:rsidRDefault="006E391F" w:rsidP="00336FA0">
                  <w:pPr>
                    <w:pStyle w:val="TableBodyText"/>
                  </w:pPr>
                  <w:r w:rsidRPr="00BC1144">
                    <w:t>10.7</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Dropped out</w:t>
                  </w:r>
                </w:p>
              </w:tc>
              <w:tc>
                <w:tcPr>
                  <w:tcW w:w="1000" w:type="pct"/>
                  <w:vAlign w:val="center"/>
                  <w:hideMark/>
                </w:tcPr>
                <w:p w:rsidR="006E391F" w:rsidRPr="00BC1144" w:rsidRDefault="006E391F" w:rsidP="00336FA0">
                  <w:pPr>
                    <w:pStyle w:val="TableBodyText"/>
                  </w:pPr>
                  <w:r w:rsidRPr="00BC1144">
                    <w:t>17.5</w:t>
                  </w:r>
                </w:p>
              </w:tc>
              <w:tc>
                <w:tcPr>
                  <w:tcW w:w="1000" w:type="pct"/>
                  <w:vAlign w:val="center"/>
                  <w:hideMark/>
                </w:tcPr>
                <w:p w:rsidR="006E391F" w:rsidRPr="00BC1144" w:rsidRDefault="006E391F" w:rsidP="00336FA0">
                  <w:pPr>
                    <w:pStyle w:val="TableBodyText"/>
                  </w:pPr>
                  <w:r w:rsidRPr="00BC1144">
                    <w:t>20.5</w:t>
                  </w:r>
                </w:p>
              </w:tc>
              <w:tc>
                <w:tcPr>
                  <w:tcW w:w="999" w:type="pct"/>
                  <w:vAlign w:val="center"/>
                  <w:hideMark/>
                </w:tcPr>
                <w:p w:rsidR="006E391F" w:rsidRPr="00BC1144" w:rsidRDefault="006E391F" w:rsidP="00336FA0">
                  <w:pPr>
                    <w:pStyle w:val="TableBodyText"/>
                  </w:pPr>
                  <w:r w:rsidRPr="00BC1144">
                    <w:t>14.5</w:t>
                  </w:r>
                </w:p>
              </w:tc>
            </w:tr>
            <w:tr w:rsidR="006E391F" w:rsidRPr="00BC1144" w:rsidTr="00336FA0">
              <w:tc>
                <w:tcPr>
                  <w:tcW w:w="1001" w:type="pct"/>
                  <w:vMerge w:val="restart"/>
                </w:tcPr>
                <w:p w:rsidR="006E391F" w:rsidRPr="00BC1144" w:rsidRDefault="006E391F" w:rsidP="00336FA0">
                  <w:pPr>
                    <w:pStyle w:val="TableBodyText"/>
                    <w:jc w:val="left"/>
                  </w:pPr>
                  <w:r w:rsidRPr="00BC1144">
                    <w:t>Average weekly pay (2014 dollar terms)</w:t>
                  </w:r>
                </w:p>
              </w:tc>
              <w:tc>
                <w:tcPr>
                  <w:tcW w:w="1000" w:type="pct"/>
                  <w:vAlign w:val="bottom"/>
                  <w:hideMark/>
                </w:tcPr>
                <w:p w:rsidR="006E391F" w:rsidRPr="00BC1144" w:rsidRDefault="006E391F" w:rsidP="00336FA0">
                  <w:pPr>
                    <w:pStyle w:val="TableBodyText"/>
                    <w:jc w:val="left"/>
                  </w:pPr>
                  <w:r w:rsidRPr="00BC1144">
                    <w:t>Other students</w:t>
                  </w:r>
                </w:p>
              </w:tc>
              <w:tc>
                <w:tcPr>
                  <w:tcW w:w="1000" w:type="pct"/>
                  <w:vAlign w:val="bottom"/>
                  <w:hideMark/>
                </w:tcPr>
                <w:p w:rsidR="006E391F" w:rsidRPr="00BC1144" w:rsidRDefault="006E391F" w:rsidP="00336FA0">
                  <w:pPr>
                    <w:pStyle w:val="TableBodyText"/>
                  </w:pPr>
                  <w:r w:rsidRPr="00BC1144">
                    <w:t>976.9</w:t>
                  </w:r>
                </w:p>
              </w:tc>
              <w:tc>
                <w:tcPr>
                  <w:tcW w:w="1000" w:type="pct"/>
                  <w:vAlign w:val="bottom"/>
                  <w:hideMark/>
                </w:tcPr>
                <w:p w:rsidR="006E391F" w:rsidRPr="00BC1144" w:rsidRDefault="006E391F" w:rsidP="00336FA0">
                  <w:pPr>
                    <w:pStyle w:val="TableBodyText"/>
                  </w:pPr>
                  <w:r w:rsidRPr="00BC1144">
                    <w:t>1 012.3</w:t>
                  </w:r>
                </w:p>
              </w:tc>
              <w:tc>
                <w:tcPr>
                  <w:tcW w:w="999" w:type="pct"/>
                  <w:vAlign w:val="bottom"/>
                  <w:hideMark/>
                </w:tcPr>
                <w:p w:rsidR="006E391F" w:rsidRPr="00BC1144" w:rsidRDefault="006E391F" w:rsidP="00336FA0">
                  <w:pPr>
                    <w:pStyle w:val="TableBodyText"/>
                  </w:pPr>
                  <w:r w:rsidRPr="00BC1144">
                    <w:t>941.5</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students</w:t>
                  </w:r>
                </w:p>
              </w:tc>
              <w:tc>
                <w:tcPr>
                  <w:tcW w:w="1000" w:type="pct"/>
                  <w:vAlign w:val="bottom"/>
                  <w:hideMark/>
                </w:tcPr>
                <w:p w:rsidR="006E391F" w:rsidRPr="00BC1144" w:rsidRDefault="006E391F" w:rsidP="00336FA0">
                  <w:pPr>
                    <w:pStyle w:val="TableBodyText"/>
                  </w:pPr>
                  <w:r w:rsidRPr="00BC1144">
                    <w:t>862.2</w:t>
                  </w:r>
                </w:p>
              </w:tc>
              <w:tc>
                <w:tcPr>
                  <w:tcW w:w="1000" w:type="pct"/>
                  <w:vAlign w:val="bottom"/>
                  <w:hideMark/>
                </w:tcPr>
                <w:p w:rsidR="006E391F" w:rsidRPr="00BC1144" w:rsidRDefault="006E391F" w:rsidP="00336FA0">
                  <w:pPr>
                    <w:pStyle w:val="TableBodyText"/>
                  </w:pPr>
                  <w:r w:rsidRPr="00BC1144">
                    <w:t>940.6</w:t>
                  </w:r>
                </w:p>
              </w:tc>
              <w:tc>
                <w:tcPr>
                  <w:tcW w:w="999" w:type="pct"/>
                  <w:vAlign w:val="bottom"/>
                  <w:hideMark/>
                </w:tcPr>
                <w:p w:rsidR="006E391F" w:rsidRPr="00BC1144" w:rsidRDefault="006E391F" w:rsidP="00336FA0">
                  <w:pPr>
                    <w:pStyle w:val="TableBodyText"/>
                  </w:pPr>
                  <w:r w:rsidRPr="00BC1144">
                    <w:t>783.9</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bottom"/>
                  <w:hideMark/>
                </w:tcPr>
                <w:p w:rsidR="006E391F" w:rsidRPr="00BC1144" w:rsidRDefault="006E391F" w:rsidP="00336FA0">
                  <w:pPr>
                    <w:pStyle w:val="TableBodyText"/>
                  </w:pPr>
                  <w:r w:rsidRPr="00BC1144">
                    <w:t>1 061.4</w:t>
                  </w:r>
                </w:p>
              </w:tc>
              <w:tc>
                <w:tcPr>
                  <w:tcW w:w="1000" w:type="pct"/>
                  <w:vAlign w:val="bottom"/>
                  <w:hideMark/>
                </w:tcPr>
                <w:p w:rsidR="006E391F" w:rsidRPr="00BC1144" w:rsidRDefault="006E391F" w:rsidP="00336FA0">
                  <w:pPr>
                    <w:pStyle w:val="TableBodyText"/>
                  </w:pPr>
                  <w:r w:rsidRPr="00BC1144">
                    <w:t>1 116.5</w:t>
                  </w:r>
                </w:p>
              </w:tc>
              <w:tc>
                <w:tcPr>
                  <w:tcW w:w="999" w:type="pct"/>
                  <w:vAlign w:val="bottom"/>
                  <w:hideMark/>
                </w:tcPr>
                <w:p w:rsidR="006E391F" w:rsidRPr="00BC1144" w:rsidRDefault="006E391F" w:rsidP="00336FA0">
                  <w:pPr>
                    <w:pStyle w:val="TableBodyText"/>
                  </w:pPr>
                  <w:r w:rsidRPr="00BC1144">
                    <w:t>1 006.2</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pPr>
                  <w:r w:rsidRPr="00BC1144">
                    <w:t>897.0</w:t>
                  </w:r>
                </w:p>
              </w:tc>
              <w:tc>
                <w:tcPr>
                  <w:tcW w:w="1000" w:type="pct"/>
                  <w:vAlign w:val="bottom"/>
                  <w:hideMark/>
                </w:tcPr>
                <w:p w:rsidR="006E391F" w:rsidRPr="00BC1144" w:rsidRDefault="006E391F" w:rsidP="00336FA0">
                  <w:pPr>
                    <w:pStyle w:val="TableBodyText"/>
                  </w:pPr>
                  <w:r w:rsidRPr="00BC1144">
                    <w:t>982.6</w:t>
                  </w:r>
                </w:p>
              </w:tc>
              <w:tc>
                <w:tcPr>
                  <w:tcW w:w="999" w:type="pct"/>
                  <w:vAlign w:val="bottom"/>
                  <w:hideMark/>
                </w:tcPr>
                <w:p w:rsidR="006E391F" w:rsidRPr="00BC1144" w:rsidRDefault="006E391F" w:rsidP="00336FA0">
                  <w:pPr>
                    <w:pStyle w:val="TableBodyText"/>
                  </w:pPr>
                  <w:r w:rsidRPr="00BC1144">
                    <w:t>811.5</w:t>
                  </w:r>
                </w:p>
              </w:tc>
            </w:tr>
            <w:tr w:rsidR="006E391F" w:rsidRPr="00BC1144" w:rsidTr="00336FA0">
              <w:tc>
                <w:tcPr>
                  <w:tcW w:w="5000" w:type="pct"/>
                  <w:gridSpan w:val="5"/>
                  <w:shd w:val="clear" w:color="auto" w:fill="F2F2F2" w:themeFill="background1" w:themeFillShade="F2"/>
                  <w:hideMark/>
                </w:tcPr>
                <w:p w:rsidR="006E391F" w:rsidRPr="00BC1144" w:rsidRDefault="006E391F" w:rsidP="00336FA0">
                  <w:pPr>
                    <w:pStyle w:val="TableBodyText"/>
                    <w:jc w:val="left"/>
                  </w:pPr>
                  <w:r w:rsidRPr="00BC1144">
                    <w:rPr>
                      <w:b/>
                    </w:rPr>
                    <w:t>2016 (age 25 years)</w:t>
                  </w:r>
                </w:p>
              </w:tc>
            </w:tr>
            <w:tr w:rsidR="006E391F" w:rsidRPr="00BC1144" w:rsidTr="00336FA0">
              <w:tc>
                <w:tcPr>
                  <w:tcW w:w="1001" w:type="pct"/>
                  <w:vMerge w:val="restart"/>
                  <w:hideMark/>
                </w:tcPr>
                <w:p w:rsidR="006E391F" w:rsidRPr="00BC1144" w:rsidRDefault="006E391F" w:rsidP="00336FA0">
                  <w:pPr>
                    <w:pStyle w:val="TableUnitsRow"/>
                    <w:jc w:val="left"/>
                  </w:pPr>
                  <w:r w:rsidRPr="00BC1144">
                    <w:t>Completed</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79.9</w:t>
                  </w:r>
                </w:p>
              </w:tc>
              <w:tc>
                <w:tcPr>
                  <w:tcW w:w="1000" w:type="pct"/>
                  <w:vAlign w:val="bottom"/>
                  <w:hideMark/>
                </w:tcPr>
                <w:p w:rsidR="006E391F" w:rsidRPr="00BC1144" w:rsidRDefault="006E391F" w:rsidP="00336FA0">
                  <w:pPr>
                    <w:pStyle w:val="TableBodyText"/>
                  </w:pPr>
                  <w:r w:rsidRPr="00BC1144">
                    <w:t>81.8</w:t>
                  </w:r>
                </w:p>
              </w:tc>
              <w:tc>
                <w:tcPr>
                  <w:tcW w:w="999" w:type="pct"/>
                  <w:vAlign w:val="bottom"/>
                  <w:hideMark/>
                </w:tcPr>
                <w:p w:rsidR="006E391F" w:rsidRPr="00BC1144" w:rsidRDefault="006E391F" w:rsidP="00336FA0">
                  <w:pPr>
                    <w:pStyle w:val="TableBodyText"/>
                  </w:pPr>
                  <w:r w:rsidRPr="00BC1144">
                    <w:t>78.1</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68.2</w:t>
                  </w:r>
                </w:p>
              </w:tc>
              <w:tc>
                <w:tcPr>
                  <w:tcW w:w="1000" w:type="pct"/>
                  <w:vAlign w:val="bottom"/>
                  <w:hideMark/>
                </w:tcPr>
                <w:p w:rsidR="006E391F" w:rsidRPr="00BC1144" w:rsidRDefault="006E391F" w:rsidP="00336FA0">
                  <w:pPr>
                    <w:pStyle w:val="TableBodyText"/>
                  </w:pPr>
                  <w:r w:rsidRPr="00BC1144">
                    <w:t>73.2</w:t>
                  </w:r>
                </w:p>
              </w:tc>
              <w:tc>
                <w:tcPr>
                  <w:tcW w:w="999" w:type="pct"/>
                  <w:vAlign w:val="bottom"/>
                  <w:hideMark/>
                </w:tcPr>
                <w:p w:rsidR="006E391F" w:rsidRPr="00BC1144" w:rsidRDefault="006E391F" w:rsidP="00336FA0">
                  <w:pPr>
                    <w:pStyle w:val="TableBodyText"/>
                  </w:pPr>
                  <w:r w:rsidRPr="00BC1144">
                    <w:t>63.1</w:t>
                  </w:r>
                </w:p>
              </w:tc>
            </w:tr>
            <w:tr w:rsidR="006E391F" w:rsidRPr="00BC1144" w:rsidTr="00336FA0">
              <w:tc>
                <w:tcPr>
                  <w:tcW w:w="1001" w:type="pct"/>
                  <w:vMerge w:val="restart"/>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11.9</w:t>
                  </w:r>
                </w:p>
              </w:tc>
              <w:tc>
                <w:tcPr>
                  <w:tcW w:w="1000" w:type="pct"/>
                  <w:vAlign w:val="bottom"/>
                  <w:hideMark/>
                </w:tcPr>
                <w:p w:rsidR="006E391F" w:rsidRPr="00BC1144" w:rsidRDefault="006E391F" w:rsidP="00336FA0">
                  <w:pPr>
                    <w:pStyle w:val="TableBodyText"/>
                  </w:pPr>
                  <w:r w:rsidRPr="00BC1144">
                    <w:t>13.4</w:t>
                  </w:r>
                </w:p>
              </w:tc>
              <w:tc>
                <w:tcPr>
                  <w:tcW w:w="999" w:type="pct"/>
                  <w:vAlign w:val="bottom"/>
                  <w:hideMark/>
                </w:tcPr>
                <w:p w:rsidR="006E391F" w:rsidRPr="00BC1144" w:rsidRDefault="006E391F" w:rsidP="00336FA0">
                  <w:pPr>
                    <w:pStyle w:val="TableBodyText"/>
                  </w:pPr>
                  <w:r w:rsidRPr="00BC1144">
                    <w:t>10.4</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22.2</w:t>
                  </w:r>
                </w:p>
              </w:tc>
              <w:tc>
                <w:tcPr>
                  <w:tcW w:w="1000" w:type="pct"/>
                  <w:vAlign w:val="bottom"/>
                  <w:hideMark/>
                </w:tcPr>
                <w:p w:rsidR="006E391F" w:rsidRPr="00BC1144" w:rsidRDefault="006E391F" w:rsidP="00336FA0">
                  <w:pPr>
                    <w:pStyle w:val="TableBodyText"/>
                  </w:pPr>
                  <w:r w:rsidRPr="00BC1144">
                    <w:t>26.5</w:t>
                  </w:r>
                </w:p>
              </w:tc>
              <w:tc>
                <w:tcPr>
                  <w:tcW w:w="999" w:type="pct"/>
                  <w:vAlign w:val="bottom"/>
                  <w:hideMark/>
                </w:tcPr>
                <w:p w:rsidR="006E391F" w:rsidRPr="00BC1144" w:rsidRDefault="006E391F" w:rsidP="00336FA0">
                  <w:pPr>
                    <w:pStyle w:val="TableBodyText"/>
                  </w:pPr>
                  <w:r w:rsidRPr="00BC1144">
                    <w:t>17.8</w:t>
                  </w:r>
                </w:p>
              </w:tc>
            </w:tr>
            <w:tr w:rsidR="006E391F" w:rsidRPr="00BC1144" w:rsidTr="00336FA0">
              <w:tc>
                <w:tcPr>
                  <w:tcW w:w="1001" w:type="pct"/>
                  <w:vMerge w:val="restart"/>
                </w:tcPr>
                <w:p w:rsidR="006E391F" w:rsidRPr="00BC1144" w:rsidRDefault="006E391F" w:rsidP="00336FA0">
                  <w:pPr>
                    <w:pStyle w:val="TableBodyText"/>
                    <w:jc w:val="left"/>
                  </w:pPr>
                  <w:r w:rsidRPr="00BC1144">
                    <w:t>Full</w:t>
                  </w:r>
                  <w:r w:rsidRPr="00BC1144">
                    <w:noBreakHyphen/>
                    <w:t>time work</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75.3</w:t>
                  </w:r>
                </w:p>
              </w:tc>
              <w:tc>
                <w:tcPr>
                  <w:tcW w:w="1000" w:type="pct"/>
                  <w:vAlign w:val="bottom"/>
                  <w:hideMark/>
                </w:tcPr>
                <w:p w:rsidR="006E391F" w:rsidRPr="00BC1144" w:rsidRDefault="006E391F" w:rsidP="00336FA0">
                  <w:pPr>
                    <w:pStyle w:val="TableBodyText"/>
                  </w:pPr>
                  <w:r w:rsidRPr="00BC1144">
                    <w:t>77.8</w:t>
                  </w:r>
                </w:p>
              </w:tc>
              <w:tc>
                <w:tcPr>
                  <w:tcW w:w="999" w:type="pct"/>
                  <w:vAlign w:val="bottom"/>
                  <w:hideMark/>
                </w:tcPr>
                <w:p w:rsidR="006E391F" w:rsidRPr="00BC1144" w:rsidRDefault="006E391F" w:rsidP="00336FA0">
                  <w:pPr>
                    <w:pStyle w:val="TableBodyText"/>
                  </w:pPr>
                  <w:r w:rsidRPr="00BC1144">
                    <w:t>72.8</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74.8</w:t>
                  </w:r>
                </w:p>
              </w:tc>
              <w:tc>
                <w:tcPr>
                  <w:tcW w:w="1000" w:type="pct"/>
                  <w:vAlign w:val="bottom"/>
                  <w:hideMark/>
                </w:tcPr>
                <w:p w:rsidR="006E391F" w:rsidRPr="00BC1144" w:rsidRDefault="006E391F" w:rsidP="00336FA0">
                  <w:pPr>
                    <w:pStyle w:val="TableBodyText"/>
                  </w:pPr>
                  <w:r w:rsidRPr="00BC1144">
                    <w:t>81.2</w:t>
                  </w:r>
                </w:p>
              </w:tc>
              <w:tc>
                <w:tcPr>
                  <w:tcW w:w="999" w:type="pct"/>
                  <w:vAlign w:val="bottom"/>
                  <w:hideMark/>
                </w:tcPr>
                <w:p w:rsidR="006E391F" w:rsidRPr="00BC1144" w:rsidRDefault="006E391F" w:rsidP="00336FA0">
                  <w:pPr>
                    <w:pStyle w:val="TableBodyText"/>
                  </w:pPr>
                  <w:r w:rsidRPr="00BC1144">
                    <w:t>70.7</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bottom"/>
                  <w:hideMark/>
                </w:tcPr>
                <w:p w:rsidR="006E391F" w:rsidRPr="00BC1144" w:rsidRDefault="006E391F" w:rsidP="00336FA0">
                  <w:pPr>
                    <w:pStyle w:val="TableBodyText"/>
                  </w:pPr>
                  <w:r w:rsidRPr="00BC1144">
                    <w:t>71.1</w:t>
                  </w:r>
                </w:p>
              </w:tc>
              <w:tc>
                <w:tcPr>
                  <w:tcW w:w="1000" w:type="pct"/>
                  <w:vAlign w:val="bottom"/>
                  <w:hideMark/>
                </w:tcPr>
                <w:p w:rsidR="006E391F" w:rsidRPr="00BC1144" w:rsidRDefault="006E391F" w:rsidP="00336FA0">
                  <w:pPr>
                    <w:pStyle w:val="TableBodyText"/>
                  </w:pPr>
                  <w:r w:rsidRPr="00BC1144">
                    <w:t>73.7</w:t>
                  </w:r>
                </w:p>
              </w:tc>
              <w:tc>
                <w:tcPr>
                  <w:tcW w:w="999" w:type="pct"/>
                  <w:vAlign w:val="bottom"/>
                  <w:hideMark/>
                </w:tcPr>
                <w:p w:rsidR="006E391F" w:rsidRPr="00BC1144" w:rsidRDefault="006E391F" w:rsidP="00336FA0">
                  <w:pPr>
                    <w:pStyle w:val="TableBodyText"/>
                  </w:pPr>
                  <w:r w:rsidRPr="00BC1144">
                    <w:t>68.5</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pPr>
                  <w:r w:rsidRPr="00BC1144">
                    <w:t>71.3</w:t>
                  </w:r>
                </w:p>
              </w:tc>
              <w:tc>
                <w:tcPr>
                  <w:tcW w:w="1000" w:type="pct"/>
                  <w:vAlign w:val="bottom"/>
                  <w:hideMark/>
                </w:tcPr>
                <w:p w:rsidR="006E391F" w:rsidRPr="00BC1144" w:rsidRDefault="006E391F" w:rsidP="00336FA0">
                  <w:pPr>
                    <w:pStyle w:val="TableBodyText"/>
                  </w:pPr>
                  <w:r w:rsidRPr="00BC1144">
                    <w:t>77.2</w:t>
                  </w:r>
                </w:p>
              </w:tc>
              <w:tc>
                <w:tcPr>
                  <w:tcW w:w="999" w:type="pct"/>
                  <w:vAlign w:val="bottom"/>
                  <w:hideMark/>
                </w:tcPr>
                <w:p w:rsidR="006E391F" w:rsidRPr="00BC1144" w:rsidRDefault="006E391F" w:rsidP="00336FA0">
                  <w:pPr>
                    <w:pStyle w:val="TableBodyText"/>
                  </w:pPr>
                  <w:r w:rsidRPr="00BC1144">
                    <w:t>65.3</w:t>
                  </w:r>
                </w:p>
              </w:tc>
            </w:tr>
            <w:tr w:rsidR="006E391F" w:rsidRPr="00BC1144" w:rsidTr="00336FA0">
              <w:tc>
                <w:tcPr>
                  <w:tcW w:w="1001" w:type="pct"/>
                  <w:vMerge w:val="restart"/>
                  <w:hideMark/>
                </w:tcPr>
                <w:p w:rsidR="006E391F" w:rsidRPr="00BC1144" w:rsidRDefault="006E391F" w:rsidP="00336FA0">
                  <w:pPr>
                    <w:pStyle w:val="TableBodyText"/>
                    <w:jc w:val="left"/>
                  </w:pPr>
                  <w:r w:rsidRPr="00BC1144">
                    <w:t>Managerial or professional occupation</w:t>
                  </w:r>
                </w:p>
              </w:tc>
              <w:tc>
                <w:tcPr>
                  <w:tcW w:w="1000" w:type="pct"/>
                  <w:vAlign w:val="bottom"/>
                  <w:hideMark/>
                </w:tcPr>
                <w:p w:rsidR="006E391F" w:rsidRPr="00BC1144" w:rsidRDefault="006E391F" w:rsidP="00336FA0">
                  <w:pPr>
                    <w:pStyle w:val="TableBodyText"/>
                    <w:jc w:val="left"/>
                  </w:pPr>
                  <w:r w:rsidRPr="00BC1144">
                    <w:t>Other student</w:t>
                  </w:r>
                </w:p>
              </w:tc>
              <w:tc>
                <w:tcPr>
                  <w:tcW w:w="1000" w:type="pct"/>
                  <w:vAlign w:val="bottom"/>
                  <w:hideMark/>
                </w:tcPr>
                <w:p w:rsidR="006E391F" w:rsidRPr="00BC1144" w:rsidRDefault="006E391F" w:rsidP="00336FA0">
                  <w:pPr>
                    <w:pStyle w:val="TableBodyText"/>
                  </w:pPr>
                  <w:r w:rsidRPr="00BC1144">
                    <w:t>64.4</w:t>
                  </w:r>
                </w:p>
              </w:tc>
              <w:tc>
                <w:tcPr>
                  <w:tcW w:w="1000" w:type="pct"/>
                  <w:vAlign w:val="bottom"/>
                  <w:hideMark/>
                </w:tcPr>
                <w:p w:rsidR="006E391F" w:rsidRPr="00BC1144" w:rsidRDefault="006E391F" w:rsidP="00336FA0">
                  <w:pPr>
                    <w:pStyle w:val="TableBodyText"/>
                  </w:pPr>
                  <w:r w:rsidRPr="00BC1144">
                    <w:t>67.3</w:t>
                  </w:r>
                </w:p>
              </w:tc>
              <w:tc>
                <w:tcPr>
                  <w:tcW w:w="999" w:type="pct"/>
                  <w:vAlign w:val="bottom"/>
                  <w:hideMark/>
                </w:tcPr>
                <w:p w:rsidR="006E391F" w:rsidRPr="00BC1144" w:rsidRDefault="006E391F" w:rsidP="00336FA0">
                  <w:pPr>
                    <w:pStyle w:val="TableBodyText"/>
                  </w:pPr>
                  <w:r w:rsidRPr="00BC1144">
                    <w:t>61.5</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w:t>
                  </w:r>
                </w:p>
              </w:tc>
              <w:tc>
                <w:tcPr>
                  <w:tcW w:w="1000" w:type="pct"/>
                  <w:vAlign w:val="bottom"/>
                  <w:hideMark/>
                </w:tcPr>
                <w:p w:rsidR="006E391F" w:rsidRPr="00BC1144" w:rsidRDefault="006E391F" w:rsidP="00336FA0">
                  <w:pPr>
                    <w:pStyle w:val="TableBodyText"/>
                  </w:pPr>
                  <w:r w:rsidRPr="00BC1144">
                    <w:t>59.4</w:t>
                  </w:r>
                </w:p>
              </w:tc>
              <w:tc>
                <w:tcPr>
                  <w:tcW w:w="1000" w:type="pct"/>
                  <w:vAlign w:val="bottom"/>
                  <w:hideMark/>
                </w:tcPr>
                <w:p w:rsidR="006E391F" w:rsidRPr="00BC1144" w:rsidRDefault="006E391F" w:rsidP="00336FA0">
                  <w:pPr>
                    <w:pStyle w:val="TableBodyText"/>
                  </w:pPr>
                  <w:r w:rsidRPr="00BC1144">
                    <w:t>65.1</w:t>
                  </w:r>
                </w:p>
              </w:tc>
              <w:tc>
                <w:tcPr>
                  <w:tcW w:w="999" w:type="pct"/>
                  <w:vAlign w:val="bottom"/>
                  <w:hideMark/>
                </w:tcPr>
                <w:p w:rsidR="006E391F" w:rsidRPr="00BC1144" w:rsidRDefault="006E391F" w:rsidP="00336FA0">
                  <w:pPr>
                    <w:pStyle w:val="TableBodyText"/>
                  </w:pPr>
                  <w:r w:rsidRPr="00BC1144">
                    <w:t>53.7</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bottom"/>
                  <w:hideMark/>
                </w:tcPr>
                <w:p w:rsidR="006E391F" w:rsidRPr="00BC1144" w:rsidRDefault="006E391F" w:rsidP="00336FA0">
                  <w:pPr>
                    <w:pStyle w:val="TableBodyText"/>
                  </w:pPr>
                  <w:r w:rsidRPr="00BC1144">
                    <w:t>13.7</w:t>
                  </w:r>
                </w:p>
              </w:tc>
              <w:tc>
                <w:tcPr>
                  <w:tcW w:w="1000" w:type="pct"/>
                  <w:vAlign w:val="bottom"/>
                  <w:hideMark/>
                </w:tcPr>
                <w:p w:rsidR="006E391F" w:rsidRPr="00BC1144" w:rsidRDefault="006E391F" w:rsidP="00336FA0">
                  <w:pPr>
                    <w:pStyle w:val="TableBodyText"/>
                  </w:pPr>
                  <w:r w:rsidRPr="00BC1144">
                    <w:t>14.9</w:t>
                  </w:r>
                </w:p>
              </w:tc>
              <w:tc>
                <w:tcPr>
                  <w:tcW w:w="999" w:type="pct"/>
                  <w:vAlign w:val="bottom"/>
                  <w:hideMark/>
                </w:tcPr>
                <w:p w:rsidR="006E391F" w:rsidRPr="00BC1144" w:rsidRDefault="006E391F" w:rsidP="00336FA0">
                  <w:pPr>
                    <w:pStyle w:val="TableBodyText"/>
                  </w:pPr>
                  <w:r w:rsidRPr="00BC1144">
                    <w:t>12.5</w:t>
                  </w:r>
                </w:p>
              </w:tc>
            </w:tr>
            <w:tr w:rsidR="006E391F" w:rsidRPr="00BC1144" w:rsidTr="00336FA0">
              <w:tc>
                <w:tcPr>
                  <w:tcW w:w="0" w:type="auto"/>
                  <w:vMerge/>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Dropped out</w:t>
                  </w:r>
                </w:p>
              </w:tc>
              <w:tc>
                <w:tcPr>
                  <w:tcW w:w="1000" w:type="pct"/>
                  <w:vAlign w:val="bottom"/>
                  <w:hideMark/>
                </w:tcPr>
                <w:p w:rsidR="006E391F" w:rsidRPr="00BC1144" w:rsidRDefault="006E391F" w:rsidP="00336FA0">
                  <w:pPr>
                    <w:pStyle w:val="TableBodyText"/>
                  </w:pPr>
                  <w:r w:rsidRPr="00BC1144">
                    <w:t>26</w:t>
                  </w:r>
                </w:p>
              </w:tc>
              <w:tc>
                <w:tcPr>
                  <w:tcW w:w="1000" w:type="pct"/>
                  <w:vAlign w:val="bottom"/>
                  <w:hideMark/>
                </w:tcPr>
                <w:p w:rsidR="006E391F" w:rsidRPr="00BC1144" w:rsidRDefault="006E391F" w:rsidP="00336FA0">
                  <w:pPr>
                    <w:pStyle w:val="TableBodyText"/>
                  </w:pPr>
                  <w:r w:rsidRPr="00BC1144">
                    <w:t>30</w:t>
                  </w:r>
                </w:p>
              </w:tc>
              <w:tc>
                <w:tcPr>
                  <w:tcW w:w="999" w:type="pct"/>
                  <w:vAlign w:val="bottom"/>
                  <w:hideMark/>
                </w:tcPr>
                <w:p w:rsidR="006E391F" w:rsidRPr="00BC1144" w:rsidRDefault="006E391F" w:rsidP="00336FA0">
                  <w:pPr>
                    <w:pStyle w:val="TableBodyText"/>
                  </w:pPr>
                  <w:r w:rsidRPr="00BC1144">
                    <w:t>22</w:t>
                  </w:r>
                </w:p>
              </w:tc>
            </w:tr>
            <w:tr w:rsidR="006E391F" w:rsidRPr="00BC1144" w:rsidTr="00336FA0">
              <w:tc>
                <w:tcPr>
                  <w:tcW w:w="1001" w:type="pct"/>
                  <w:vMerge w:val="restart"/>
                  <w:tcBorders>
                    <w:top w:val="nil"/>
                    <w:left w:val="nil"/>
                    <w:bottom w:val="single" w:sz="6" w:space="0" w:color="BFBFBF"/>
                    <w:right w:val="nil"/>
                  </w:tcBorders>
                </w:tcPr>
                <w:p w:rsidR="006E391F" w:rsidRPr="00BC1144" w:rsidRDefault="006E391F" w:rsidP="00336FA0">
                  <w:pPr>
                    <w:pStyle w:val="TableBodyText"/>
                    <w:jc w:val="left"/>
                  </w:pPr>
                  <w:r w:rsidRPr="00BC1144">
                    <w:t>Average weekly pay (2016 dollar terms)</w:t>
                  </w:r>
                </w:p>
              </w:tc>
              <w:tc>
                <w:tcPr>
                  <w:tcW w:w="1000" w:type="pct"/>
                  <w:vAlign w:val="bottom"/>
                  <w:hideMark/>
                </w:tcPr>
                <w:p w:rsidR="006E391F" w:rsidRPr="00BC1144" w:rsidRDefault="006E391F" w:rsidP="00336FA0">
                  <w:pPr>
                    <w:pStyle w:val="TableBodyText"/>
                    <w:jc w:val="left"/>
                  </w:pPr>
                  <w:r w:rsidRPr="00BC1144">
                    <w:t>Other students</w:t>
                  </w:r>
                </w:p>
              </w:tc>
              <w:tc>
                <w:tcPr>
                  <w:tcW w:w="1000" w:type="pct"/>
                  <w:vAlign w:val="bottom"/>
                  <w:hideMark/>
                </w:tcPr>
                <w:p w:rsidR="006E391F" w:rsidRPr="00BC1144" w:rsidRDefault="006E391F" w:rsidP="00336FA0">
                  <w:pPr>
                    <w:pStyle w:val="TableBodyText"/>
                  </w:pPr>
                  <w:r w:rsidRPr="00BC1144">
                    <w:t>1,153.4</w:t>
                  </w:r>
                </w:p>
              </w:tc>
              <w:tc>
                <w:tcPr>
                  <w:tcW w:w="1000" w:type="pct"/>
                  <w:vAlign w:val="bottom"/>
                  <w:hideMark/>
                </w:tcPr>
                <w:p w:rsidR="006E391F" w:rsidRPr="00BC1144" w:rsidRDefault="006E391F" w:rsidP="00336FA0">
                  <w:pPr>
                    <w:pStyle w:val="TableBodyText"/>
                  </w:pPr>
                  <w:r w:rsidRPr="00BC1144">
                    <w:t>1,191.5</w:t>
                  </w:r>
                </w:p>
              </w:tc>
              <w:tc>
                <w:tcPr>
                  <w:tcW w:w="999" w:type="pct"/>
                  <w:vAlign w:val="bottom"/>
                  <w:hideMark/>
                </w:tcPr>
                <w:p w:rsidR="006E391F" w:rsidRPr="00BC1144" w:rsidRDefault="006E391F" w:rsidP="00336FA0">
                  <w:pPr>
                    <w:pStyle w:val="TableBodyText"/>
                  </w:pPr>
                  <w:r w:rsidRPr="00BC1144">
                    <w:t>1,115.3</w:t>
                  </w:r>
                </w:p>
              </w:tc>
            </w:tr>
            <w:tr w:rsidR="006E391F" w:rsidRPr="00BC1144" w:rsidTr="00336FA0">
              <w:tc>
                <w:tcPr>
                  <w:tcW w:w="0" w:type="auto"/>
                  <w:vMerge/>
                  <w:tcBorders>
                    <w:top w:val="nil"/>
                    <w:left w:val="nil"/>
                    <w:bottom w:val="single" w:sz="6" w:space="0" w:color="BFBFBF"/>
                    <w:right w:val="nil"/>
                  </w:tcBorders>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Additional students</w:t>
                  </w:r>
                </w:p>
              </w:tc>
              <w:tc>
                <w:tcPr>
                  <w:tcW w:w="1000" w:type="pct"/>
                  <w:vAlign w:val="bottom"/>
                  <w:hideMark/>
                </w:tcPr>
                <w:p w:rsidR="006E391F" w:rsidRPr="00BC1144" w:rsidRDefault="006E391F" w:rsidP="00336FA0">
                  <w:pPr>
                    <w:pStyle w:val="TableBodyText"/>
                  </w:pPr>
                  <w:r w:rsidRPr="00BC1144">
                    <w:t>1,035.6</w:t>
                  </w:r>
                </w:p>
              </w:tc>
              <w:tc>
                <w:tcPr>
                  <w:tcW w:w="1000" w:type="pct"/>
                  <w:vAlign w:val="bottom"/>
                  <w:hideMark/>
                </w:tcPr>
                <w:p w:rsidR="006E391F" w:rsidRPr="00BC1144" w:rsidRDefault="006E391F" w:rsidP="00336FA0">
                  <w:pPr>
                    <w:pStyle w:val="TableBodyText"/>
                  </w:pPr>
                  <w:r w:rsidRPr="00BC1144">
                    <w:t>1,108.0</w:t>
                  </w:r>
                </w:p>
              </w:tc>
              <w:tc>
                <w:tcPr>
                  <w:tcW w:w="999" w:type="pct"/>
                  <w:vAlign w:val="bottom"/>
                  <w:hideMark/>
                </w:tcPr>
                <w:p w:rsidR="006E391F" w:rsidRPr="00BC1144" w:rsidRDefault="006E391F" w:rsidP="00336FA0">
                  <w:pPr>
                    <w:pStyle w:val="TableBodyText"/>
                  </w:pPr>
                  <w:r w:rsidRPr="00BC1144">
                    <w:t>963.1</w:t>
                  </w:r>
                </w:p>
              </w:tc>
            </w:tr>
            <w:tr w:rsidR="006E391F" w:rsidRPr="00BC1144" w:rsidTr="00336FA0">
              <w:tc>
                <w:tcPr>
                  <w:tcW w:w="0" w:type="auto"/>
                  <w:vMerge/>
                  <w:tcBorders>
                    <w:top w:val="nil"/>
                    <w:left w:val="nil"/>
                    <w:bottom w:val="single" w:sz="6" w:space="0" w:color="BFBFBF"/>
                    <w:right w:val="nil"/>
                  </w:tcBorders>
                  <w:vAlign w:val="center"/>
                  <w:hideMark/>
                </w:tcPr>
                <w:p w:rsidR="006E391F" w:rsidRPr="00BC1144" w:rsidRDefault="006E391F" w:rsidP="00336FA0">
                  <w:pPr>
                    <w:rPr>
                      <w:rFonts w:ascii="Arial" w:hAnsi="Arial"/>
                      <w:sz w:val="18"/>
                      <w:szCs w:val="20"/>
                    </w:rPr>
                  </w:pPr>
                </w:p>
              </w:tc>
              <w:tc>
                <w:tcPr>
                  <w:tcW w:w="1000" w:type="pct"/>
                  <w:vAlign w:val="bottom"/>
                  <w:hideMark/>
                </w:tcPr>
                <w:p w:rsidR="006E391F" w:rsidRPr="00BC1144" w:rsidRDefault="006E391F" w:rsidP="00336FA0">
                  <w:pPr>
                    <w:pStyle w:val="TableBodyText"/>
                    <w:jc w:val="left"/>
                  </w:pPr>
                  <w:r w:rsidRPr="00BC1144">
                    <w:t>Non</w:t>
                  </w:r>
                  <w:r w:rsidRPr="00BC1144">
                    <w:noBreakHyphen/>
                    <w:t>attenders</w:t>
                  </w:r>
                </w:p>
              </w:tc>
              <w:tc>
                <w:tcPr>
                  <w:tcW w:w="1000" w:type="pct"/>
                  <w:vAlign w:val="bottom"/>
                  <w:hideMark/>
                </w:tcPr>
                <w:p w:rsidR="006E391F" w:rsidRPr="00BC1144" w:rsidRDefault="006E391F" w:rsidP="00336FA0">
                  <w:pPr>
                    <w:pStyle w:val="TableBodyText"/>
                  </w:pPr>
                  <w:r w:rsidRPr="00BC1144">
                    <w:t>1,128.6</w:t>
                  </w:r>
                </w:p>
              </w:tc>
              <w:tc>
                <w:tcPr>
                  <w:tcW w:w="1000" w:type="pct"/>
                  <w:vAlign w:val="bottom"/>
                  <w:hideMark/>
                </w:tcPr>
                <w:p w:rsidR="006E391F" w:rsidRPr="00BC1144" w:rsidRDefault="006E391F" w:rsidP="00336FA0">
                  <w:pPr>
                    <w:pStyle w:val="TableBodyText"/>
                  </w:pPr>
                  <w:r w:rsidRPr="00BC1144">
                    <w:t>1,179.1</w:t>
                  </w:r>
                </w:p>
              </w:tc>
              <w:tc>
                <w:tcPr>
                  <w:tcW w:w="999" w:type="pct"/>
                  <w:vAlign w:val="bottom"/>
                  <w:hideMark/>
                </w:tcPr>
                <w:p w:rsidR="006E391F" w:rsidRPr="00BC1144" w:rsidRDefault="006E391F" w:rsidP="00336FA0">
                  <w:pPr>
                    <w:pStyle w:val="TableBodyText"/>
                  </w:pPr>
                  <w:r w:rsidRPr="00BC1144">
                    <w:t>1,078.0</w:t>
                  </w:r>
                </w:p>
              </w:tc>
            </w:tr>
            <w:tr w:rsidR="006E391F" w:rsidRPr="00BC1144" w:rsidTr="00336FA0">
              <w:tc>
                <w:tcPr>
                  <w:tcW w:w="0" w:type="auto"/>
                  <w:vMerge/>
                  <w:tcBorders>
                    <w:top w:val="nil"/>
                    <w:left w:val="nil"/>
                    <w:bottom w:val="single" w:sz="6" w:space="0" w:color="BFBFBF"/>
                    <w:right w:val="nil"/>
                  </w:tcBorders>
                  <w:vAlign w:val="center"/>
                  <w:hideMark/>
                </w:tcPr>
                <w:p w:rsidR="006E391F" w:rsidRPr="00BC1144" w:rsidRDefault="006E391F" w:rsidP="00336FA0">
                  <w:pPr>
                    <w:rPr>
                      <w:rFonts w:ascii="Arial" w:hAnsi="Arial"/>
                      <w:sz w:val="18"/>
                      <w:szCs w:val="20"/>
                    </w:rPr>
                  </w:pPr>
                </w:p>
              </w:tc>
              <w:tc>
                <w:tcPr>
                  <w:tcW w:w="1000" w:type="pct"/>
                  <w:tcBorders>
                    <w:top w:val="nil"/>
                    <w:left w:val="nil"/>
                    <w:bottom w:val="single" w:sz="6" w:space="0" w:color="BFBFBF"/>
                    <w:right w:val="nil"/>
                  </w:tcBorders>
                  <w:vAlign w:val="bottom"/>
                  <w:hideMark/>
                </w:tcPr>
                <w:p w:rsidR="006E391F" w:rsidRPr="00BC1144" w:rsidRDefault="006E391F" w:rsidP="00336FA0">
                  <w:pPr>
                    <w:pStyle w:val="TableBodyText"/>
                    <w:jc w:val="left"/>
                  </w:pPr>
                  <w:r w:rsidRPr="00BC1144">
                    <w:t>Dropped out</w:t>
                  </w:r>
                </w:p>
              </w:tc>
              <w:tc>
                <w:tcPr>
                  <w:tcW w:w="1000" w:type="pct"/>
                  <w:tcBorders>
                    <w:top w:val="nil"/>
                    <w:left w:val="nil"/>
                    <w:bottom w:val="single" w:sz="6" w:space="0" w:color="BFBFBF"/>
                    <w:right w:val="nil"/>
                  </w:tcBorders>
                  <w:vAlign w:val="bottom"/>
                  <w:hideMark/>
                </w:tcPr>
                <w:p w:rsidR="006E391F" w:rsidRPr="00BC1144" w:rsidRDefault="006E391F" w:rsidP="00336FA0">
                  <w:pPr>
                    <w:pStyle w:val="TableBodyText"/>
                  </w:pPr>
                  <w:r w:rsidRPr="00BC1144">
                    <w:t>1,012.1</w:t>
                  </w:r>
                </w:p>
              </w:tc>
              <w:tc>
                <w:tcPr>
                  <w:tcW w:w="1000" w:type="pct"/>
                  <w:tcBorders>
                    <w:top w:val="nil"/>
                    <w:left w:val="nil"/>
                    <w:bottom w:val="single" w:sz="6" w:space="0" w:color="BFBFBF"/>
                    <w:right w:val="nil"/>
                  </w:tcBorders>
                  <w:vAlign w:val="bottom"/>
                  <w:hideMark/>
                </w:tcPr>
                <w:p w:rsidR="006E391F" w:rsidRPr="00BC1144" w:rsidRDefault="006E391F" w:rsidP="00336FA0">
                  <w:pPr>
                    <w:pStyle w:val="TableBodyText"/>
                  </w:pPr>
                  <w:r w:rsidRPr="00BC1144">
                    <w:t>1,103.0</w:t>
                  </w:r>
                </w:p>
              </w:tc>
              <w:tc>
                <w:tcPr>
                  <w:tcW w:w="999" w:type="pct"/>
                  <w:tcBorders>
                    <w:top w:val="nil"/>
                    <w:left w:val="nil"/>
                    <w:bottom w:val="single" w:sz="6" w:space="0" w:color="BFBFBF"/>
                    <w:right w:val="nil"/>
                  </w:tcBorders>
                  <w:vAlign w:val="bottom"/>
                  <w:hideMark/>
                </w:tcPr>
                <w:p w:rsidR="006E391F" w:rsidRPr="00BC1144" w:rsidRDefault="006E391F" w:rsidP="00336FA0">
                  <w:pPr>
                    <w:pStyle w:val="TableBodyText"/>
                  </w:pPr>
                  <w:r w:rsidRPr="00BC1144">
                    <w:t>921.2</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hideMark/>
          </w:tcPr>
          <w:p w:rsidR="006E391F" w:rsidRPr="00BC1144" w:rsidRDefault="006E391F" w:rsidP="00336FA0">
            <w:pPr>
              <w:pStyle w:val="Note"/>
              <w:rPr>
                <w:i/>
              </w:rPr>
            </w:pPr>
            <w:r w:rsidRPr="00BC1144">
              <w:rPr>
                <w:rStyle w:val="NoteLabel"/>
              </w:rPr>
              <w:t xml:space="preserve">a </w:t>
            </w:r>
            <w:r w:rsidRPr="00BC1144">
              <w:t>Full</w:t>
            </w:r>
            <w:r w:rsidRPr="00BC1144">
              <w:noBreakHyphen/>
              <w:t>time work, employment in a managerial or professional occupation and average weekly pay excludes dropouts and students that are undertaking study.</w:t>
            </w:r>
          </w:p>
        </w:tc>
      </w:tr>
      <w:tr w:rsidR="006E391F" w:rsidRPr="00BC1144" w:rsidTr="00336FA0">
        <w:tc>
          <w:tcPr>
            <w:tcW w:w="5000" w:type="pct"/>
            <w:tcBorders>
              <w:top w:val="nil"/>
              <w:left w:val="nil"/>
              <w:bottom w:val="nil"/>
              <w:right w:val="nil"/>
            </w:tcBorders>
            <w:hideMark/>
          </w:tcPr>
          <w:p w:rsidR="006E391F" w:rsidRPr="00BC1144" w:rsidRDefault="006E391F" w:rsidP="00336FA0">
            <w:pPr>
              <w:pStyle w:val="Source"/>
            </w:pPr>
            <w:r w:rsidRPr="00BC1144">
              <w:rPr>
                <w:i/>
              </w:rPr>
              <w:t>Source</w:t>
            </w:r>
            <w:r w:rsidRPr="00BC1144">
              <w:t>: Productivity Commission estimates based on LSAY.</w:t>
            </w:r>
          </w:p>
        </w:tc>
      </w:tr>
      <w:tr w:rsidR="006E391F" w:rsidRPr="00BC1144" w:rsidTr="00336FA0">
        <w:tc>
          <w:tcPr>
            <w:tcW w:w="5000" w:type="pct"/>
            <w:tcBorders>
              <w:top w:val="nil"/>
              <w:left w:val="nil"/>
              <w:bottom w:val="single" w:sz="6" w:space="0" w:color="78A22F"/>
              <w:right w:val="nil"/>
            </w:tcBorders>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hideMark/>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B.15</w:t>
            </w:r>
            <w:r w:rsidRPr="00BC1144">
              <w:tab/>
              <w:t>Regression results: Attendance at a Group of Eight university by age 22 years</w:t>
            </w:r>
            <w:r w:rsidRPr="00BC1144">
              <w:rPr>
                <w:rStyle w:val="NoteLabel"/>
                <w:b/>
              </w:rPr>
              <w:t>a</w:t>
            </w:r>
          </w:p>
        </w:tc>
      </w:tr>
      <w:tr w:rsidR="006E391F" w:rsidRPr="00BC1144" w:rsidTr="00336FA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254"/>
              <w:gridCol w:w="794"/>
              <w:gridCol w:w="794"/>
              <w:gridCol w:w="709"/>
              <w:gridCol w:w="709"/>
              <w:gridCol w:w="708"/>
              <w:gridCol w:w="709"/>
              <w:gridCol w:w="708"/>
              <w:gridCol w:w="709"/>
              <w:gridCol w:w="708"/>
              <w:gridCol w:w="703"/>
            </w:tblGrid>
            <w:tr w:rsidR="006E391F" w:rsidRPr="00BC1144" w:rsidTr="00336FA0">
              <w:trPr>
                <w:trHeight w:val="329"/>
              </w:trPr>
              <w:tc>
                <w:tcPr>
                  <w:tcW w:w="737" w:type="pct"/>
                  <w:tcBorders>
                    <w:top w:val="single" w:sz="6" w:space="0" w:color="BFBFBF"/>
                  </w:tcBorders>
                </w:tcPr>
                <w:p w:rsidR="006E391F" w:rsidRPr="00BC1144" w:rsidRDefault="006E391F" w:rsidP="00336FA0">
                  <w:pPr>
                    <w:pStyle w:val="TableUnitsRow"/>
                    <w:jc w:val="left"/>
                  </w:pPr>
                </w:p>
              </w:tc>
              <w:tc>
                <w:tcPr>
                  <w:tcW w:w="934" w:type="pct"/>
                  <w:gridSpan w:val="2"/>
                  <w:tcBorders>
                    <w:top w:val="single" w:sz="6" w:space="0" w:color="BFBFBF"/>
                  </w:tcBorders>
                  <w:vAlign w:val="center"/>
                </w:tcPr>
                <w:p w:rsidR="006E391F" w:rsidRPr="00BC1144" w:rsidRDefault="006E391F" w:rsidP="00336FA0">
                  <w:pPr>
                    <w:pStyle w:val="TableUnitsRow"/>
                    <w:rPr>
                      <w:i/>
                    </w:rPr>
                  </w:pPr>
                  <w:r w:rsidRPr="00BC1144">
                    <w:rPr>
                      <w:i/>
                    </w:rPr>
                    <w:t>2003</w:t>
                  </w:r>
                </w:p>
              </w:tc>
              <w:tc>
                <w:tcPr>
                  <w:tcW w:w="834"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2006</w:t>
                  </w:r>
                </w:p>
              </w:tc>
              <w:tc>
                <w:tcPr>
                  <w:tcW w:w="833"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2010</w:t>
                  </w:r>
                </w:p>
              </w:tc>
              <w:tc>
                <w:tcPr>
                  <w:tcW w:w="833"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2013</w:t>
                  </w:r>
                </w:p>
              </w:tc>
              <w:tc>
                <w:tcPr>
                  <w:tcW w:w="830"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2016</w:t>
                  </w:r>
                </w:p>
              </w:tc>
            </w:tr>
            <w:tr w:rsidR="006E391F" w:rsidRPr="00BC1144" w:rsidTr="00336FA0">
              <w:trPr>
                <w:trHeight w:val="329"/>
              </w:trPr>
              <w:tc>
                <w:tcPr>
                  <w:tcW w:w="737" w:type="pct"/>
                  <w:tcBorders>
                    <w:top w:val="single" w:sz="6" w:space="0" w:color="BFBFBF"/>
                  </w:tcBorders>
                </w:tcPr>
                <w:p w:rsidR="006E391F" w:rsidRPr="00BC1144" w:rsidRDefault="006E391F" w:rsidP="00336FA0">
                  <w:pPr>
                    <w:pStyle w:val="TableUnitsRow"/>
                    <w:jc w:val="left"/>
                  </w:pPr>
                </w:p>
              </w:tc>
              <w:tc>
                <w:tcPr>
                  <w:tcW w:w="467" w:type="pct"/>
                  <w:tcBorders>
                    <w:top w:val="single" w:sz="6" w:space="0" w:color="BFBFBF"/>
                  </w:tcBorders>
                  <w:vAlign w:val="center"/>
                </w:tcPr>
                <w:p w:rsidR="006E391F" w:rsidRPr="00BC1144" w:rsidRDefault="006E391F" w:rsidP="00336FA0">
                  <w:pPr>
                    <w:pStyle w:val="TableUnitsRow"/>
                  </w:pPr>
                  <w:r w:rsidRPr="00BC1144">
                    <w:t>(i)</w:t>
                  </w:r>
                </w:p>
              </w:tc>
              <w:tc>
                <w:tcPr>
                  <w:tcW w:w="467" w:type="pct"/>
                  <w:tcBorders>
                    <w:top w:val="single" w:sz="6" w:space="0" w:color="BFBFBF"/>
                  </w:tcBorders>
                  <w:vAlign w:val="center"/>
                </w:tcPr>
                <w:p w:rsidR="006E391F" w:rsidRPr="00BC1144" w:rsidRDefault="006E391F" w:rsidP="00336FA0">
                  <w:pPr>
                    <w:pStyle w:val="TableUnitsRow"/>
                  </w:pPr>
                  <w:r w:rsidRPr="00BC1144">
                    <w:t>(ii)</w:t>
                  </w:r>
                </w:p>
              </w:tc>
              <w:tc>
                <w:tcPr>
                  <w:tcW w:w="417" w:type="pct"/>
                  <w:tcBorders>
                    <w:top w:val="single" w:sz="6" w:space="0" w:color="BFBFBF"/>
                  </w:tcBorders>
                  <w:vAlign w:val="center"/>
                </w:tcPr>
                <w:p w:rsidR="006E391F" w:rsidRPr="00BC1144" w:rsidRDefault="006E391F" w:rsidP="00336FA0">
                  <w:pPr>
                    <w:pStyle w:val="TableUnitsRow"/>
                    <w:ind w:right="28"/>
                  </w:pPr>
                  <w:r w:rsidRPr="00BC1144">
                    <w:t>(i)</w:t>
                  </w:r>
                </w:p>
              </w:tc>
              <w:tc>
                <w:tcPr>
                  <w:tcW w:w="417"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7"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7"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3" w:type="pct"/>
                  <w:tcBorders>
                    <w:top w:val="single" w:sz="6" w:space="0" w:color="BFBFBF"/>
                  </w:tcBorders>
                  <w:vAlign w:val="center"/>
                </w:tcPr>
                <w:p w:rsidR="006E391F" w:rsidRPr="00BC1144" w:rsidRDefault="006E391F" w:rsidP="00336FA0">
                  <w:pPr>
                    <w:pStyle w:val="TableUnitsRow"/>
                    <w:ind w:right="28"/>
                  </w:pPr>
                  <w:r w:rsidRPr="00BC1144">
                    <w:t>(ii)</w:t>
                  </w: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Gender: Female</w:t>
                  </w:r>
                </w:p>
              </w:tc>
              <w:tc>
                <w:tcPr>
                  <w:tcW w:w="467" w:type="pct"/>
                  <w:shd w:val="clear" w:color="auto" w:fill="F2F2F2" w:themeFill="background1" w:themeFillShade="F2"/>
                  <w:vAlign w:val="center"/>
                </w:tcPr>
                <w:p w:rsidR="006E391F" w:rsidRPr="00BC1144" w:rsidRDefault="006E391F" w:rsidP="00336FA0">
                  <w:pPr>
                    <w:pStyle w:val="TableBodyText"/>
                  </w:pPr>
                  <w:r w:rsidRPr="00BC1144">
                    <w:t>0.200</w:t>
                  </w:r>
                  <w:r w:rsidRPr="00BC1144">
                    <w:rPr>
                      <w:vertAlign w:val="superscript"/>
                    </w:rPr>
                    <w:t>**</w:t>
                  </w:r>
                </w:p>
              </w:tc>
              <w:tc>
                <w:tcPr>
                  <w:tcW w:w="467" w:type="pct"/>
                  <w:shd w:val="clear" w:color="auto" w:fill="F2F2F2" w:themeFill="background1" w:themeFillShade="F2"/>
                  <w:vAlign w:val="center"/>
                </w:tcPr>
                <w:p w:rsidR="006E391F" w:rsidRPr="00BC1144" w:rsidRDefault="006E391F" w:rsidP="00336FA0">
                  <w:pPr>
                    <w:pStyle w:val="TableBodyText"/>
                  </w:pPr>
                  <w:r w:rsidRPr="00BC1144">
                    <w:t>0.202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0.513</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0.526</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-0.045</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0.069</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-0.009</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0.120</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-0.061</w:t>
                  </w:r>
                </w:p>
              </w:tc>
              <w:tc>
                <w:tcPr>
                  <w:tcW w:w="413" w:type="pct"/>
                  <w:shd w:val="clear" w:color="auto" w:fill="F2F2F2" w:themeFill="background1" w:themeFillShade="F2"/>
                  <w:vAlign w:val="center"/>
                </w:tcPr>
                <w:p w:rsidR="006E391F" w:rsidRPr="00BC1144" w:rsidRDefault="006E391F" w:rsidP="00336FA0">
                  <w:pPr>
                    <w:pStyle w:val="TableBodyText"/>
                    <w:ind w:right="28"/>
                  </w:pPr>
                  <w:r w:rsidRPr="00BC1144">
                    <w:t>0.062</w:t>
                  </w: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(0.096)</w:t>
                  </w:r>
                </w:p>
              </w:tc>
              <w:tc>
                <w:tcPr>
                  <w:tcW w:w="467" w:type="pct"/>
                  <w:shd w:val="clear" w:color="auto" w:fill="F2F2F2" w:themeFill="background1" w:themeFillShade="F2"/>
                  <w:vAlign w:val="center"/>
                </w:tcPr>
                <w:p w:rsidR="006E391F" w:rsidRPr="00BC1144" w:rsidRDefault="006E391F" w:rsidP="00336FA0">
                  <w:pPr>
                    <w:pStyle w:val="TableBodyText"/>
                  </w:pPr>
                  <w:r w:rsidRPr="00BC1144">
                    <w:t>(0.097)</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(2.556)</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(2.520)</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(0.099)</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(0.096)</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(0.125)</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(0.125)</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(0.117)</w:t>
                  </w:r>
                </w:p>
              </w:tc>
              <w:tc>
                <w:tcPr>
                  <w:tcW w:w="413" w:type="pct"/>
                  <w:shd w:val="clear" w:color="auto" w:fill="F2F2F2" w:themeFill="background1" w:themeFillShade="F2"/>
                  <w:vAlign w:val="center"/>
                </w:tcPr>
                <w:p w:rsidR="006E391F" w:rsidRPr="00BC1144" w:rsidRDefault="006E391F" w:rsidP="00336FA0">
                  <w:pPr>
                    <w:pStyle w:val="TableBodyText"/>
                    <w:ind w:right="28"/>
                  </w:pPr>
                  <w:r w:rsidRPr="00BC1144">
                    <w:t>(0.110)</w:t>
                  </w: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Indigenous</w:t>
                  </w:r>
                </w:p>
              </w:tc>
              <w:tc>
                <w:tcPr>
                  <w:tcW w:w="467" w:type="pct"/>
                  <w:vAlign w:val="center"/>
                </w:tcPr>
                <w:p w:rsidR="006E391F" w:rsidRPr="00BC1144" w:rsidRDefault="006E391F" w:rsidP="00336FA0">
                  <w:pPr>
                    <w:pStyle w:val="TableBodyText"/>
                  </w:pPr>
                  <w:r w:rsidRPr="00BC1144">
                    <w:t>0.693</w:t>
                  </w:r>
                </w:p>
              </w:tc>
              <w:tc>
                <w:tcPr>
                  <w:tcW w:w="467" w:type="pct"/>
                  <w:vAlign w:val="center"/>
                </w:tcPr>
                <w:p w:rsidR="006E391F" w:rsidRPr="00BC1144" w:rsidRDefault="006E391F" w:rsidP="00336FA0">
                  <w:pPr>
                    <w:pStyle w:val="TableBodyText"/>
                  </w:pPr>
                  <w:r w:rsidRPr="00BC1144">
                    <w:t>0.697</w:t>
                  </w:r>
                </w:p>
              </w:tc>
              <w:tc>
                <w:tcPr>
                  <w:tcW w:w="417" w:type="pct"/>
                  <w:vAlign w:val="center"/>
                </w:tcPr>
                <w:p w:rsidR="006E391F" w:rsidRPr="00BC1144" w:rsidRDefault="006E391F" w:rsidP="00336FA0">
                  <w:pPr>
                    <w:pStyle w:val="TableBodyText"/>
                    <w:ind w:right="28"/>
                  </w:pPr>
                  <w:r w:rsidRPr="00BC1144">
                    <w:t>-0.184</w:t>
                  </w:r>
                </w:p>
              </w:tc>
              <w:tc>
                <w:tcPr>
                  <w:tcW w:w="417" w:type="pct"/>
                  <w:vAlign w:val="center"/>
                </w:tcPr>
                <w:p w:rsidR="006E391F" w:rsidRPr="00BC1144" w:rsidRDefault="006E391F" w:rsidP="00336FA0">
                  <w:pPr>
                    <w:pStyle w:val="TableBodyText"/>
                    <w:ind w:right="28"/>
                  </w:pPr>
                  <w:r w:rsidRPr="00BC1144">
                    <w:t>-0.280</w:t>
                  </w:r>
                </w:p>
              </w:tc>
              <w:tc>
                <w:tcPr>
                  <w:tcW w:w="416" w:type="pct"/>
                  <w:vAlign w:val="center"/>
                </w:tcPr>
                <w:p w:rsidR="006E391F" w:rsidRPr="00BC1144" w:rsidRDefault="006E391F" w:rsidP="00336FA0">
                  <w:pPr>
                    <w:pStyle w:val="TableBodyText"/>
                    <w:ind w:right="28"/>
                  </w:pPr>
                  <w:r w:rsidRPr="00BC1144">
                    <w:t>0.010</w:t>
                  </w:r>
                </w:p>
              </w:tc>
              <w:tc>
                <w:tcPr>
                  <w:tcW w:w="417" w:type="pct"/>
                  <w:vAlign w:val="center"/>
                </w:tcPr>
                <w:p w:rsidR="006E391F" w:rsidRPr="00BC1144" w:rsidRDefault="006E391F" w:rsidP="00336FA0">
                  <w:pPr>
                    <w:pStyle w:val="TableBodyText"/>
                    <w:ind w:right="28"/>
                  </w:pPr>
                  <w:r w:rsidRPr="00BC1144">
                    <w:t>-0.132</w:t>
                  </w:r>
                </w:p>
              </w:tc>
              <w:tc>
                <w:tcPr>
                  <w:tcW w:w="416" w:type="pct"/>
                  <w:vAlign w:val="center"/>
                </w:tcPr>
                <w:p w:rsidR="006E391F" w:rsidRPr="00BC1144" w:rsidRDefault="006E391F" w:rsidP="00336FA0">
                  <w:pPr>
                    <w:pStyle w:val="TableBodyText"/>
                    <w:ind w:right="28"/>
                  </w:pPr>
                  <w:r w:rsidRPr="00BC1144">
                    <w:t>-0.053</w:t>
                  </w:r>
                </w:p>
              </w:tc>
              <w:tc>
                <w:tcPr>
                  <w:tcW w:w="417" w:type="pct"/>
                  <w:vAlign w:val="center"/>
                </w:tcPr>
                <w:p w:rsidR="006E391F" w:rsidRPr="00BC1144" w:rsidRDefault="006E391F" w:rsidP="00336FA0">
                  <w:pPr>
                    <w:pStyle w:val="TableBodyText"/>
                    <w:ind w:right="28"/>
                  </w:pPr>
                  <w:r w:rsidRPr="00BC1144">
                    <w:t>-0.149</w:t>
                  </w:r>
                </w:p>
              </w:tc>
              <w:tc>
                <w:tcPr>
                  <w:tcW w:w="416" w:type="pct"/>
                  <w:vAlign w:val="center"/>
                </w:tcPr>
                <w:p w:rsidR="006E391F" w:rsidRPr="00BC1144" w:rsidRDefault="006E391F" w:rsidP="00336FA0">
                  <w:pPr>
                    <w:pStyle w:val="TableBodyText"/>
                    <w:ind w:right="28"/>
                  </w:pPr>
                  <w:r w:rsidRPr="00BC1144">
                    <w:t>0.493</w:t>
                  </w:r>
                </w:p>
              </w:tc>
              <w:tc>
                <w:tcPr>
                  <w:tcW w:w="413" w:type="pct"/>
                  <w:vAlign w:val="center"/>
                </w:tcPr>
                <w:p w:rsidR="006E391F" w:rsidRPr="00BC1144" w:rsidRDefault="006E391F" w:rsidP="00336FA0">
                  <w:pPr>
                    <w:pStyle w:val="TableBodyText"/>
                    <w:ind w:right="28"/>
                  </w:pPr>
                  <w:r w:rsidRPr="00BC1144">
                    <w:t>0.212</w:t>
                  </w: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r w:rsidRPr="00BC1144">
                    <w:t>(0.647)</w:t>
                  </w:r>
                </w:p>
              </w:tc>
              <w:tc>
                <w:tcPr>
                  <w:tcW w:w="467" w:type="pct"/>
                  <w:vAlign w:val="center"/>
                </w:tcPr>
                <w:p w:rsidR="006E391F" w:rsidRPr="00BC1144" w:rsidRDefault="006E391F" w:rsidP="00336FA0">
                  <w:pPr>
                    <w:pStyle w:val="TableBodyText"/>
                  </w:pPr>
                  <w:r w:rsidRPr="00BC1144">
                    <w:t>(0.667)</w:t>
                  </w:r>
                </w:p>
              </w:tc>
              <w:tc>
                <w:tcPr>
                  <w:tcW w:w="417" w:type="pct"/>
                  <w:vAlign w:val="center"/>
                </w:tcPr>
                <w:p w:rsidR="006E391F" w:rsidRPr="00BC1144" w:rsidRDefault="006E391F" w:rsidP="00336FA0">
                  <w:pPr>
                    <w:pStyle w:val="TableBodyText"/>
                    <w:ind w:right="28"/>
                  </w:pPr>
                  <w:r w:rsidRPr="00BC1144">
                    <w:t>(2.047)</w:t>
                  </w:r>
                </w:p>
              </w:tc>
              <w:tc>
                <w:tcPr>
                  <w:tcW w:w="417" w:type="pct"/>
                  <w:vAlign w:val="center"/>
                </w:tcPr>
                <w:p w:rsidR="006E391F" w:rsidRPr="00BC1144" w:rsidRDefault="006E391F" w:rsidP="00336FA0">
                  <w:pPr>
                    <w:pStyle w:val="TableBodyText"/>
                    <w:ind w:right="28"/>
                  </w:pPr>
                  <w:r w:rsidRPr="00BC1144">
                    <w:t>(2.197)</w:t>
                  </w:r>
                </w:p>
              </w:tc>
              <w:tc>
                <w:tcPr>
                  <w:tcW w:w="416" w:type="pct"/>
                  <w:vAlign w:val="center"/>
                </w:tcPr>
                <w:p w:rsidR="006E391F" w:rsidRPr="00BC1144" w:rsidRDefault="006E391F" w:rsidP="00336FA0">
                  <w:pPr>
                    <w:pStyle w:val="TableBodyText"/>
                    <w:ind w:right="28"/>
                  </w:pPr>
                  <w:r w:rsidRPr="00BC1144">
                    <w:t>(0.253)</w:t>
                  </w:r>
                </w:p>
              </w:tc>
              <w:tc>
                <w:tcPr>
                  <w:tcW w:w="417" w:type="pct"/>
                  <w:vAlign w:val="center"/>
                </w:tcPr>
                <w:p w:rsidR="006E391F" w:rsidRPr="00BC1144" w:rsidRDefault="006E391F" w:rsidP="00336FA0">
                  <w:pPr>
                    <w:pStyle w:val="TableBodyText"/>
                    <w:ind w:right="28"/>
                  </w:pPr>
                  <w:r w:rsidRPr="00BC1144">
                    <w:t>(0.180)</w:t>
                  </w:r>
                </w:p>
              </w:tc>
              <w:tc>
                <w:tcPr>
                  <w:tcW w:w="416" w:type="pct"/>
                  <w:vAlign w:val="center"/>
                </w:tcPr>
                <w:p w:rsidR="006E391F" w:rsidRPr="00BC1144" w:rsidRDefault="006E391F" w:rsidP="00336FA0">
                  <w:pPr>
                    <w:pStyle w:val="TableBodyText"/>
                    <w:ind w:right="28"/>
                  </w:pPr>
                  <w:r w:rsidRPr="00BC1144">
                    <w:t>(0.247)</w:t>
                  </w:r>
                </w:p>
              </w:tc>
              <w:tc>
                <w:tcPr>
                  <w:tcW w:w="417" w:type="pct"/>
                  <w:vAlign w:val="center"/>
                </w:tcPr>
                <w:p w:rsidR="006E391F" w:rsidRPr="00BC1144" w:rsidRDefault="006E391F" w:rsidP="00336FA0">
                  <w:pPr>
                    <w:pStyle w:val="TableBodyText"/>
                    <w:ind w:right="28"/>
                  </w:pPr>
                  <w:r w:rsidRPr="00BC1144">
                    <w:t>(0.229)</w:t>
                  </w:r>
                </w:p>
              </w:tc>
              <w:tc>
                <w:tcPr>
                  <w:tcW w:w="416" w:type="pct"/>
                  <w:vAlign w:val="center"/>
                </w:tcPr>
                <w:p w:rsidR="006E391F" w:rsidRPr="00BC1144" w:rsidRDefault="006E391F" w:rsidP="00336FA0">
                  <w:pPr>
                    <w:pStyle w:val="TableBodyText"/>
                    <w:ind w:right="28"/>
                  </w:pPr>
                  <w:r w:rsidRPr="00BC1144">
                    <w:t>(1.047)</w:t>
                  </w:r>
                </w:p>
              </w:tc>
              <w:tc>
                <w:tcPr>
                  <w:tcW w:w="413" w:type="pct"/>
                  <w:vAlign w:val="center"/>
                </w:tcPr>
                <w:p w:rsidR="006E391F" w:rsidRPr="00BC1144" w:rsidRDefault="006E391F" w:rsidP="00336FA0">
                  <w:pPr>
                    <w:pStyle w:val="TableBodyText"/>
                    <w:ind w:right="28"/>
                  </w:pPr>
                  <w:r w:rsidRPr="00BC1144">
                    <w:t>(0.437)</w:t>
                  </w: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Achievement</w:t>
                  </w:r>
                </w:p>
              </w:tc>
              <w:tc>
                <w:tcPr>
                  <w:tcW w:w="467" w:type="pct"/>
                  <w:shd w:val="clear" w:color="auto" w:fill="F2F2F2" w:themeFill="background1" w:themeFillShade="F2"/>
                  <w:vAlign w:val="center"/>
                </w:tcPr>
                <w:p w:rsidR="006E391F" w:rsidRPr="00BC1144" w:rsidRDefault="006E391F" w:rsidP="00336FA0">
                  <w:pPr>
                    <w:pStyle w:val="TableBodyText"/>
                  </w:pPr>
                  <w:r w:rsidRPr="00BC1144">
                    <w:t>0.128</w:t>
                  </w:r>
                  <w:r w:rsidRPr="00BC1144">
                    <w:rPr>
                      <w:vertAlign w:val="superscript"/>
                    </w:rPr>
                    <w:t>***</w:t>
                  </w:r>
                </w:p>
              </w:tc>
              <w:tc>
                <w:tcPr>
                  <w:tcW w:w="467" w:type="pct"/>
                  <w:shd w:val="clear" w:color="auto" w:fill="F2F2F2" w:themeFill="background1" w:themeFillShade="F2"/>
                  <w:vAlign w:val="center"/>
                </w:tcPr>
                <w:p w:rsidR="006E391F" w:rsidRPr="00BC1144" w:rsidRDefault="006E391F" w:rsidP="00336FA0">
                  <w:pPr>
                    <w:pStyle w:val="TableBodyText"/>
                  </w:pPr>
                  <w:r w:rsidRPr="00BC1144">
                    <w:t>0.128</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0.147</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0.147</w:t>
                  </w: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(0.031)</w:t>
                  </w:r>
                </w:p>
              </w:tc>
              <w:tc>
                <w:tcPr>
                  <w:tcW w:w="467" w:type="pct"/>
                  <w:shd w:val="clear" w:color="auto" w:fill="F2F2F2" w:themeFill="background1" w:themeFillShade="F2"/>
                  <w:vAlign w:val="center"/>
                </w:tcPr>
                <w:p w:rsidR="006E391F" w:rsidRPr="00BC1144" w:rsidRDefault="006E391F" w:rsidP="00336FA0">
                  <w:pPr>
                    <w:pStyle w:val="TableBodyText"/>
                  </w:pPr>
                  <w:r w:rsidRPr="00BC1144">
                    <w:t>(0.031)</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(0.183)</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(0.204)</w:t>
                  </w: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PISA</w:t>
                  </w: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0.002</w:t>
                  </w:r>
                </w:p>
              </w:tc>
              <w:tc>
                <w:tcPr>
                  <w:tcW w:w="417" w:type="pct"/>
                  <w:vAlign w:val="center"/>
                </w:tcPr>
                <w:p w:rsidR="006E391F" w:rsidRPr="00BC1144" w:rsidRDefault="006E391F" w:rsidP="00336FA0">
                  <w:pPr>
                    <w:pStyle w:val="TableBodyText"/>
                    <w:ind w:right="28"/>
                  </w:pPr>
                  <w:r w:rsidRPr="00BC1144">
                    <w:t>0.006</w:t>
                  </w:r>
                  <w:r w:rsidRPr="00BC1144">
                    <w:rPr>
                      <w:vertAlign w:val="superscript"/>
                    </w:rPr>
                    <w:t>***</w:t>
                  </w:r>
                </w:p>
              </w:tc>
              <w:tc>
                <w:tcPr>
                  <w:tcW w:w="416" w:type="pct"/>
                  <w:vAlign w:val="center"/>
                </w:tcPr>
                <w:p w:rsidR="006E391F" w:rsidRPr="00BC1144" w:rsidRDefault="006E391F" w:rsidP="00336FA0">
                  <w:pPr>
                    <w:pStyle w:val="TableBodyText"/>
                    <w:ind w:right="28"/>
                  </w:pPr>
                  <w:r w:rsidRPr="00BC1144">
                    <w:t>0.002</w:t>
                  </w:r>
                </w:p>
              </w:tc>
              <w:tc>
                <w:tcPr>
                  <w:tcW w:w="417" w:type="pct"/>
                  <w:vAlign w:val="center"/>
                </w:tcPr>
                <w:p w:rsidR="006E391F" w:rsidRPr="00BC1144" w:rsidRDefault="006E391F" w:rsidP="00336FA0">
                  <w:pPr>
                    <w:pStyle w:val="TableBodyText"/>
                    <w:ind w:right="28"/>
                  </w:pPr>
                  <w:r w:rsidRPr="00BC1144">
                    <w:t>0.008</w:t>
                  </w:r>
                  <w:r w:rsidRPr="00BC1144">
                    <w:rPr>
                      <w:vertAlign w:val="superscript"/>
                    </w:rPr>
                    <w:t>**</w:t>
                  </w:r>
                </w:p>
              </w:tc>
              <w:tc>
                <w:tcPr>
                  <w:tcW w:w="416" w:type="pct"/>
                  <w:vAlign w:val="center"/>
                </w:tcPr>
                <w:p w:rsidR="006E391F" w:rsidRPr="00BC1144" w:rsidRDefault="006E391F" w:rsidP="00336FA0">
                  <w:pPr>
                    <w:pStyle w:val="TableBodyText"/>
                    <w:ind w:right="28"/>
                  </w:pPr>
                  <w:r w:rsidRPr="00BC1144">
                    <w:t>0.005</w:t>
                  </w:r>
                  <w:r w:rsidRPr="00BC1144">
                    <w:rPr>
                      <w:vertAlign w:val="superscript"/>
                    </w:rPr>
                    <w:t>**</w:t>
                  </w:r>
                </w:p>
              </w:tc>
              <w:tc>
                <w:tcPr>
                  <w:tcW w:w="413" w:type="pct"/>
                  <w:vAlign w:val="center"/>
                </w:tcPr>
                <w:p w:rsidR="006E391F" w:rsidRPr="00BC1144" w:rsidRDefault="006E391F" w:rsidP="00336FA0">
                  <w:pPr>
                    <w:pStyle w:val="TableBodyText"/>
                    <w:ind w:right="28"/>
                  </w:pPr>
                  <w:r w:rsidRPr="00BC1144">
                    <w:t>0.008</w:t>
                  </w:r>
                  <w:r w:rsidRPr="00BC1144">
                    <w:rPr>
                      <w:vertAlign w:val="superscript"/>
                    </w:rPr>
                    <w:t>***</w:t>
                  </w: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(0.001)</w:t>
                  </w:r>
                </w:p>
              </w:tc>
              <w:tc>
                <w:tcPr>
                  <w:tcW w:w="417" w:type="pct"/>
                  <w:vAlign w:val="center"/>
                </w:tcPr>
                <w:p w:rsidR="006E391F" w:rsidRPr="00BC1144" w:rsidRDefault="006E391F" w:rsidP="00336FA0">
                  <w:pPr>
                    <w:pStyle w:val="TableBodyText"/>
                    <w:ind w:right="28"/>
                  </w:pPr>
                  <w:r w:rsidRPr="00BC1144">
                    <w:t>(0.001)</w:t>
                  </w:r>
                </w:p>
              </w:tc>
              <w:tc>
                <w:tcPr>
                  <w:tcW w:w="416" w:type="pct"/>
                  <w:vAlign w:val="center"/>
                </w:tcPr>
                <w:p w:rsidR="006E391F" w:rsidRPr="00BC1144" w:rsidRDefault="006E391F" w:rsidP="00336FA0">
                  <w:pPr>
                    <w:pStyle w:val="TableBodyText"/>
                    <w:ind w:right="28"/>
                  </w:pPr>
                  <w:r w:rsidRPr="00BC1144">
                    <w:t>(0.004)</w:t>
                  </w:r>
                </w:p>
              </w:tc>
              <w:tc>
                <w:tcPr>
                  <w:tcW w:w="417" w:type="pct"/>
                  <w:vAlign w:val="center"/>
                </w:tcPr>
                <w:p w:rsidR="006E391F" w:rsidRPr="00BC1144" w:rsidRDefault="006E391F" w:rsidP="00336FA0">
                  <w:pPr>
                    <w:pStyle w:val="TableBodyText"/>
                    <w:ind w:right="28"/>
                  </w:pPr>
                  <w:r w:rsidRPr="00BC1144">
                    <w:t>(0.004)</w:t>
                  </w:r>
                </w:p>
              </w:tc>
              <w:tc>
                <w:tcPr>
                  <w:tcW w:w="416" w:type="pct"/>
                  <w:vAlign w:val="center"/>
                </w:tcPr>
                <w:p w:rsidR="006E391F" w:rsidRPr="00BC1144" w:rsidRDefault="006E391F" w:rsidP="00336FA0">
                  <w:pPr>
                    <w:pStyle w:val="TableBodyText"/>
                    <w:ind w:right="28"/>
                  </w:pPr>
                  <w:r w:rsidRPr="00BC1144">
                    <w:t>(0.002)</w:t>
                  </w:r>
                </w:p>
              </w:tc>
              <w:tc>
                <w:tcPr>
                  <w:tcW w:w="413" w:type="pct"/>
                  <w:vAlign w:val="center"/>
                </w:tcPr>
                <w:p w:rsidR="006E391F" w:rsidRPr="00BC1144" w:rsidRDefault="006E391F" w:rsidP="00336FA0">
                  <w:pPr>
                    <w:pStyle w:val="TableBodyText"/>
                    <w:ind w:right="28"/>
                  </w:pPr>
                  <w:r w:rsidRPr="00BC1144">
                    <w:t>(0.002)</w:t>
                  </w: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ATAR group imputed: 80-90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-0.502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-0.554</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-0.388</w:t>
                  </w:r>
                  <w:r w:rsidRPr="00BC1144">
                    <w:rPr>
                      <w:vertAlign w:val="superscript"/>
                    </w:rPr>
                    <w:t>**</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(0.096)</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(0.145)</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(0.188)</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ATAR group imputed: 70-80</w:t>
                  </w: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-0.953</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-1.028</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-1.013</w:t>
                  </w:r>
                  <w:r w:rsidRPr="00BC1144">
                    <w:rPr>
                      <w:vertAlign w:val="superscript"/>
                    </w:rPr>
                    <w:t>***</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(0.118)</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(0.123)</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(0.250)</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ATAR group imputed: 60-70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-1.352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-1.552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-1.436</w:t>
                  </w:r>
                  <w:r w:rsidRPr="00BC1144">
                    <w:rPr>
                      <w:vertAlign w:val="superscript"/>
                    </w:rPr>
                    <w:t>**</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(0.189)</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(0.348)</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(0.558)</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ATAR group imputed: 50-60</w:t>
                  </w: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-1.714</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-1.989</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-1.781</w:t>
                  </w:r>
                  <w:r w:rsidRPr="00BC1144">
                    <w:rPr>
                      <w:vertAlign w:val="superscript"/>
                    </w:rPr>
                    <w:t>***</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(0.287)</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(0.529)</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(0.370)</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ATAR group imputed: 0-50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-1.690</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-1.998</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-2.020</w:t>
                  </w:r>
                  <w:r w:rsidRPr="00BC1144">
                    <w:rPr>
                      <w:vertAlign w:val="superscript"/>
                    </w:rPr>
                    <w:t>***</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(0.427)</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(0.870)</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(0.438)</w:t>
                  </w:r>
                </w:p>
              </w:tc>
              <w:tc>
                <w:tcPr>
                  <w:tcW w:w="41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ATAR group imputed: No ATAR</w:t>
                  </w: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-2.113</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-1.908</w:t>
                  </w:r>
                  <w:r w:rsidRPr="00BC1144">
                    <w:rPr>
                      <w:vertAlign w:val="superscript"/>
                    </w:rPr>
                    <w:t>***</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-1.315</w:t>
                  </w:r>
                  <w:r w:rsidRPr="00BC1144">
                    <w:rPr>
                      <w:vertAlign w:val="superscript"/>
                    </w:rPr>
                    <w:t>***</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p>
              </w:tc>
              <w:tc>
                <w:tcPr>
                  <w:tcW w:w="467" w:type="pct"/>
                  <w:vAlign w:val="center"/>
                </w:tcPr>
                <w:p w:rsidR="006E391F" w:rsidRPr="00BC1144" w:rsidRDefault="006E391F" w:rsidP="00336FA0">
                  <w:pPr>
                    <w:pStyle w:val="TableBodyText"/>
                  </w:pPr>
                </w:p>
              </w:tc>
              <w:tc>
                <w:tcPr>
                  <w:tcW w:w="417" w:type="pct"/>
                  <w:vAlign w:val="center"/>
                </w:tcPr>
                <w:p w:rsidR="006E391F" w:rsidRPr="00BC1144" w:rsidRDefault="006E391F" w:rsidP="00336FA0">
                  <w:pPr>
                    <w:pStyle w:val="TableBodyText"/>
                    <w:ind w:right="28"/>
                  </w:pP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(0.343)</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(0.677)</w:t>
                  </w:r>
                </w:p>
              </w:tc>
              <w:tc>
                <w:tcPr>
                  <w:tcW w:w="417" w:type="pct"/>
                  <w:vAlign w:val="center"/>
                </w:tcPr>
                <w:p w:rsidR="006E391F" w:rsidRPr="00BC1144" w:rsidRDefault="006E391F" w:rsidP="00336FA0">
                  <w:pPr>
                    <w:pStyle w:val="TableBodyText"/>
                    <w:ind w:right="28"/>
                  </w:pPr>
                </w:p>
              </w:tc>
              <w:tc>
                <w:tcPr>
                  <w:tcW w:w="416" w:type="pct"/>
                  <w:vAlign w:val="center"/>
                </w:tcPr>
                <w:p w:rsidR="006E391F" w:rsidRPr="00BC1144" w:rsidRDefault="006E391F" w:rsidP="00336FA0">
                  <w:pPr>
                    <w:pStyle w:val="TableBodyText"/>
                    <w:ind w:right="28"/>
                  </w:pPr>
                  <w:r w:rsidRPr="00BC1144">
                    <w:t>(0.381)</w:t>
                  </w:r>
                </w:p>
              </w:tc>
              <w:tc>
                <w:tcPr>
                  <w:tcW w:w="413" w:type="pct"/>
                  <w:vAlign w:val="center"/>
                </w:tcPr>
                <w:p w:rsidR="006E391F" w:rsidRPr="00BC1144" w:rsidRDefault="006E391F" w:rsidP="00336FA0">
                  <w:pPr>
                    <w:pStyle w:val="TableBodyText"/>
                    <w:ind w:right="28"/>
                  </w:pP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r w:rsidRPr="00BC1144">
                    <w:t>Hours worked in year 12</w:t>
                  </w:r>
                </w:p>
              </w:tc>
              <w:tc>
                <w:tcPr>
                  <w:tcW w:w="467" w:type="pct"/>
                  <w:shd w:val="clear" w:color="auto" w:fill="F2F2F2" w:themeFill="background1" w:themeFillShade="F2"/>
                  <w:vAlign w:val="center"/>
                </w:tcPr>
                <w:p w:rsidR="006E391F" w:rsidRPr="00BC1144" w:rsidRDefault="006E391F" w:rsidP="00336FA0">
                  <w:pPr>
                    <w:pStyle w:val="TableBodyText"/>
                  </w:pPr>
                  <w:r w:rsidRPr="00BC1144">
                    <w:t>-0.022</w:t>
                  </w:r>
                  <w:r w:rsidRPr="00BC1144">
                    <w:rPr>
                      <w:vertAlign w:val="superscript"/>
                    </w:rPr>
                    <w:t>***</w:t>
                  </w:r>
                </w:p>
              </w:tc>
              <w:tc>
                <w:tcPr>
                  <w:tcW w:w="467" w:type="pct"/>
                  <w:shd w:val="clear" w:color="auto" w:fill="F2F2F2" w:themeFill="background1" w:themeFillShade="F2"/>
                  <w:vAlign w:val="center"/>
                </w:tcPr>
                <w:p w:rsidR="006E391F" w:rsidRPr="00BC1144" w:rsidRDefault="006E391F" w:rsidP="00336FA0">
                  <w:pPr>
                    <w:pStyle w:val="TableBodyText"/>
                  </w:pPr>
                  <w:r w:rsidRPr="00BC1144">
                    <w:t>-0.022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-0.005</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-0.007</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-0.021</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-0.027</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-0.013</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-0.018</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-0.021</w:t>
                  </w:r>
                </w:p>
              </w:tc>
              <w:tc>
                <w:tcPr>
                  <w:tcW w:w="413" w:type="pct"/>
                  <w:shd w:val="clear" w:color="auto" w:fill="F2F2F2" w:themeFill="background1" w:themeFillShade="F2"/>
                  <w:vAlign w:val="center"/>
                </w:tcPr>
                <w:p w:rsidR="006E391F" w:rsidRPr="00BC1144" w:rsidRDefault="006E391F" w:rsidP="00336FA0">
                  <w:pPr>
                    <w:pStyle w:val="TableBodyText"/>
                    <w:ind w:right="28"/>
                  </w:pPr>
                  <w:r w:rsidRPr="00BC1144">
                    <w:t>-0.029</w:t>
                  </w:r>
                </w:p>
              </w:tc>
            </w:tr>
            <w:tr w:rsidR="006E391F" w:rsidRPr="00BC1144" w:rsidTr="00336FA0">
              <w:trPr>
                <w:trHeight w:val="329"/>
              </w:trPr>
              <w:tc>
                <w:tcPr>
                  <w:tcW w:w="737"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(0.008)</w:t>
                  </w:r>
                </w:p>
              </w:tc>
              <w:tc>
                <w:tcPr>
                  <w:tcW w:w="467" w:type="pct"/>
                  <w:shd w:val="clear" w:color="auto" w:fill="F2F2F2" w:themeFill="background1" w:themeFillShade="F2"/>
                  <w:vAlign w:val="center"/>
                </w:tcPr>
                <w:p w:rsidR="006E391F" w:rsidRPr="00BC1144" w:rsidRDefault="006E391F" w:rsidP="00336FA0">
                  <w:pPr>
                    <w:pStyle w:val="TableBodyText"/>
                  </w:pPr>
                  <w:r w:rsidRPr="00BC1144">
                    <w:t>(0.008)</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(0.166)</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(0.211)</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(0.014)</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(0.017)</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(0.014)</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(0.025)</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(0.018)</w:t>
                  </w:r>
                </w:p>
              </w:tc>
              <w:tc>
                <w:tcPr>
                  <w:tcW w:w="413" w:type="pct"/>
                  <w:shd w:val="clear" w:color="auto" w:fill="F2F2F2" w:themeFill="background1" w:themeFillShade="F2"/>
                  <w:vAlign w:val="center"/>
                </w:tcPr>
                <w:p w:rsidR="006E391F" w:rsidRPr="00BC1144" w:rsidRDefault="006E391F" w:rsidP="00336FA0">
                  <w:pPr>
                    <w:pStyle w:val="TableBodyText"/>
                    <w:ind w:right="28"/>
                  </w:pPr>
                  <w:r w:rsidRPr="00BC1144">
                    <w:t>(0.020)</w:t>
                  </w:r>
                </w:p>
              </w:tc>
            </w:tr>
            <w:tr w:rsidR="006E391F" w:rsidRPr="00BC1144" w:rsidTr="00336FA0">
              <w:trPr>
                <w:trHeight w:val="329"/>
              </w:trPr>
              <w:tc>
                <w:tcPr>
                  <w:tcW w:w="737" w:type="pct"/>
                  <w:vAlign w:val="center"/>
                </w:tcPr>
                <w:p w:rsidR="006E391F" w:rsidRPr="00BC1144" w:rsidRDefault="006E391F" w:rsidP="00336FA0">
                  <w:pPr>
                    <w:pStyle w:val="TableBodyText"/>
                    <w:jc w:val="left"/>
                  </w:pPr>
                  <w:r w:rsidRPr="00BC1144">
                    <w:t>Whether attended year 12: Not attended</w:t>
                  </w:r>
                </w:p>
              </w:tc>
              <w:tc>
                <w:tcPr>
                  <w:tcW w:w="467" w:type="pct"/>
                  <w:vAlign w:val="center"/>
                </w:tcPr>
                <w:p w:rsidR="006E391F" w:rsidRPr="00BC1144" w:rsidRDefault="006E391F" w:rsidP="00336FA0">
                  <w:pPr>
                    <w:pStyle w:val="TableBodyText"/>
                  </w:pPr>
                  <w:r w:rsidRPr="00BC1144">
                    <w:t>-3.843</w:t>
                  </w:r>
                  <w:r w:rsidRPr="00BC1144">
                    <w:rPr>
                      <w:vertAlign w:val="superscript"/>
                    </w:rPr>
                    <w:t>***</w:t>
                  </w:r>
                </w:p>
              </w:tc>
              <w:tc>
                <w:tcPr>
                  <w:tcW w:w="467" w:type="pct"/>
                  <w:vAlign w:val="center"/>
                </w:tcPr>
                <w:p w:rsidR="006E391F" w:rsidRPr="00BC1144" w:rsidRDefault="006E391F" w:rsidP="00336FA0">
                  <w:pPr>
                    <w:pStyle w:val="TableBodyText"/>
                  </w:pPr>
                  <w:r w:rsidRPr="00BC1144">
                    <w:t>-3.871</w:t>
                  </w:r>
                  <w:r w:rsidRPr="00BC1144">
                    <w:rPr>
                      <w:vertAlign w:val="superscript"/>
                    </w:rPr>
                    <w:t>***</w:t>
                  </w:r>
                </w:p>
              </w:tc>
              <w:tc>
                <w:tcPr>
                  <w:tcW w:w="417" w:type="pct"/>
                  <w:vAlign w:val="center"/>
                </w:tcPr>
                <w:p w:rsidR="006E391F" w:rsidRPr="00BC1144" w:rsidRDefault="006E391F" w:rsidP="00336FA0">
                  <w:pPr>
                    <w:pStyle w:val="TableBodyText"/>
                    <w:ind w:right="28"/>
                  </w:pPr>
                  <w:r w:rsidRPr="00BC1144">
                    <w:t>-0.294</w:t>
                  </w:r>
                </w:p>
              </w:tc>
              <w:tc>
                <w:tcPr>
                  <w:tcW w:w="417" w:type="pct"/>
                  <w:vAlign w:val="center"/>
                </w:tcPr>
                <w:p w:rsidR="006E391F" w:rsidRPr="00BC1144" w:rsidRDefault="006E391F" w:rsidP="00336FA0">
                  <w:pPr>
                    <w:pStyle w:val="TableBodyText"/>
                    <w:ind w:right="28"/>
                  </w:pPr>
                  <w:r w:rsidRPr="00BC1144">
                    <w:t>-0.329</w:t>
                  </w:r>
                </w:p>
              </w:tc>
              <w:tc>
                <w:tcPr>
                  <w:tcW w:w="416" w:type="pct"/>
                  <w:vAlign w:val="center"/>
                </w:tcPr>
                <w:p w:rsidR="006E391F" w:rsidRPr="00BC1144" w:rsidRDefault="006E391F" w:rsidP="00336FA0">
                  <w:pPr>
                    <w:pStyle w:val="TableBodyText"/>
                    <w:ind w:right="28"/>
                  </w:pPr>
                  <w:r w:rsidRPr="00BC1144">
                    <w:t>-1.350</w:t>
                  </w:r>
                  <w:r w:rsidRPr="00BC1144">
                    <w:rPr>
                      <w:vertAlign w:val="superscript"/>
                    </w:rPr>
                    <w:t>***</w:t>
                  </w:r>
                </w:p>
              </w:tc>
              <w:tc>
                <w:tcPr>
                  <w:tcW w:w="417" w:type="pct"/>
                  <w:vAlign w:val="center"/>
                </w:tcPr>
                <w:p w:rsidR="006E391F" w:rsidRPr="00BC1144" w:rsidRDefault="006E391F" w:rsidP="00336FA0">
                  <w:pPr>
                    <w:pStyle w:val="TableBodyText"/>
                    <w:ind w:right="28"/>
                  </w:pPr>
                  <w:r w:rsidRPr="00BC1144">
                    <w:t>-1.562</w:t>
                  </w:r>
                  <w:r w:rsidRPr="00BC1144">
                    <w:rPr>
                      <w:vertAlign w:val="superscript"/>
                    </w:rPr>
                    <w:t>***</w:t>
                  </w:r>
                </w:p>
              </w:tc>
              <w:tc>
                <w:tcPr>
                  <w:tcW w:w="416" w:type="pct"/>
                  <w:vAlign w:val="center"/>
                </w:tcPr>
                <w:p w:rsidR="006E391F" w:rsidRPr="00BC1144" w:rsidRDefault="006E391F" w:rsidP="00336FA0">
                  <w:pPr>
                    <w:pStyle w:val="TableBodyText"/>
                    <w:ind w:right="28"/>
                  </w:pPr>
                  <w:r w:rsidRPr="00BC1144">
                    <w:t>0.282</w:t>
                  </w:r>
                </w:p>
              </w:tc>
              <w:tc>
                <w:tcPr>
                  <w:tcW w:w="417" w:type="pct"/>
                  <w:vAlign w:val="center"/>
                </w:tcPr>
                <w:p w:rsidR="006E391F" w:rsidRPr="00BC1144" w:rsidRDefault="006E391F" w:rsidP="00336FA0">
                  <w:pPr>
                    <w:pStyle w:val="TableBodyText"/>
                    <w:ind w:right="28"/>
                  </w:pPr>
                  <w:r w:rsidRPr="00BC1144">
                    <w:t>-0.298</w:t>
                  </w:r>
                </w:p>
              </w:tc>
              <w:tc>
                <w:tcPr>
                  <w:tcW w:w="416" w:type="pct"/>
                  <w:vAlign w:val="center"/>
                </w:tcPr>
                <w:p w:rsidR="006E391F" w:rsidRPr="00BC1144" w:rsidRDefault="006E391F" w:rsidP="00336FA0">
                  <w:pPr>
                    <w:pStyle w:val="TableBodyText"/>
                    <w:ind w:right="28"/>
                  </w:pPr>
                  <w:r w:rsidRPr="00BC1144">
                    <w:t>-5.169</w:t>
                  </w:r>
                  <w:r w:rsidRPr="00BC1144">
                    <w:rPr>
                      <w:vertAlign w:val="superscript"/>
                    </w:rPr>
                    <w:t>***</w:t>
                  </w:r>
                </w:p>
              </w:tc>
              <w:tc>
                <w:tcPr>
                  <w:tcW w:w="413" w:type="pct"/>
                  <w:vAlign w:val="center"/>
                </w:tcPr>
                <w:p w:rsidR="006E391F" w:rsidRPr="00BC1144" w:rsidRDefault="006E391F" w:rsidP="00336FA0">
                  <w:pPr>
                    <w:pStyle w:val="TableBodyText"/>
                    <w:ind w:right="28"/>
                  </w:pPr>
                  <w:r w:rsidRPr="00BC1144">
                    <w:t>-5.212</w:t>
                  </w:r>
                  <w:r w:rsidRPr="00BC1144">
                    <w:rPr>
                      <w:vertAlign w:val="superscript"/>
                    </w:rPr>
                    <w:t>***</w:t>
                  </w:r>
                </w:p>
              </w:tc>
            </w:tr>
            <w:tr w:rsidR="006E391F" w:rsidRPr="00BC1144" w:rsidTr="00336FA0">
              <w:trPr>
                <w:trHeight w:val="329"/>
              </w:trPr>
              <w:tc>
                <w:tcPr>
                  <w:tcW w:w="737" w:type="pct"/>
                  <w:vAlign w:val="center"/>
                </w:tcPr>
                <w:p w:rsidR="006E391F" w:rsidRPr="00BC1144" w:rsidRDefault="006E391F" w:rsidP="00336FA0">
                  <w:pPr>
                    <w:pStyle w:val="TableBodyText"/>
                    <w:jc w:val="left"/>
                  </w:pPr>
                </w:p>
              </w:tc>
              <w:tc>
                <w:tcPr>
                  <w:tcW w:w="467" w:type="pct"/>
                  <w:vAlign w:val="center"/>
                </w:tcPr>
                <w:p w:rsidR="006E391F" w:rsidRPr="00BC1144" w:rsidRDefault="006E391F" w:rsidP="00336FA0">
                  <w:pPr>
                    <w:pStyle w:val="TableBodyText"/>
                  </w:pPr>
                  <w:r w:rsidRPr="00BC1144">
                    <w:t>(0.444)</w:t>
                  </w:r>
                </w:p>
              </w:tc>
              <w:tc>
                <w:tcPr>
                  <w:tcW w:w="467" w:type="pct"/>
                  <w:vAlign w:val="center"/>
                </w:tcPr>
                <w:p w:rsidR="006E391F" w:rsidRPr="00BC1144" w:rsidRDefault="006E391F" w:rsidP="00336FA0">
                  <w:pPr>
                    <w:pStyle w:val="TableBodyText"/>
                  </w:pPr>
                  <w:r w:rsidRPr="00BC1144">
                    <w:t>(0.441)</w:t>
                  </w:r>
                </w:p>
              </w:tc>
              <w:tc>
                <w:tcPr>
                  <w:tcW w:w="417" w:type="pct"/>
                  <w:vAlign w:val="center"/>
                </w:tcPr>
                <w:p w:rsidR="006E391F" w:rsidRPr="00BC1144" w:rsidRDefault="006E391F" w:rsidP="00336FA0">
                  <w:pPr>
                    <w:pStyle w:val="TableBodyText"/>
                    <w:ind w:right="28"/>
                  </w:pPr>
                  <w:r w:rsidRPr="00BC1144">
                    <w:t>(4.050)</w:t>
                  </w:r>
                </w:p>
              </w:tc>
              <w:tc>
                <w:tcPr>
                  <w:tcW w:w="417" w:type="pct"/>
                  <w:vAlign w:val="center"/>
                </w:tcPr>
                <w:p w:rsidR="006E391F" w:rsidRPr="00BC1144" w:rsidRDefault="006E391F" w:rsidP="00336FA0">
                  <w:pPr>
                    <w:pStyle w:val="TableBodyText"/>
                    <w:ind w:right="28"/>
                  </w:pPr>
                  <w:r w:rsidRPr="00BC1144">
                    <w:t>(5.012)</w:t>
                  </w:r>
                </w:p>
              </w:tc>
              <w:tc>
                <w:tcPr>
                  <w:tcW w:w="416" w:type="pct"/>
                  <w:vAlign w:val="center"/>
                </w:tcPr>
                <w:p w:rsidR="006E391F" w:rsidRPr="00BC1144" w:rsidRDefault="006E391F" w:rsidP="00336FA0">
                  <w:pPr>
                    <w:pStyle w:val="TableBodyText"/>
                    <w:ind w:right="28"/>
                  </w:pPr>
                  <w:r w:rsidRPr="00BC1144">
                    <w:t>(0.356)</w:t>
                  </w:r>
                </w:p>
              </w:tc>
              <w:tc>
                <w:tcPr>
                  <w:tcW w:w="417" w:type="pct"/>
                  <w:vAlign w:val="center"/>
                </w:tcPr>
                <w:p w:rsidR="006E391F" w:rsidRPr="00BC1144" w:rsidRDefault="006E391F" w:rsidP="00336FA0">
                  <w:pPr>
                    <w:pStyle w:val="TableBodyText"/>
                    <w:ind w:right="28"/>
                  </w:pPr>
                  <w:r w:rsidRPr="00BC1144">
                    <w:t>(0.152)</w:t>
                  </w:r>
                </w:p>
              </w:tc>
              <w:tc>
                <w:tcPr>
                  <w:tcW w:w="416" w:type="pct"/>
                  <w:vAlign w:val="center"/>
                </w:tcPr>
                <w:p w:rsidR="006E391F" w:rsidRPr="00BC1144" w:rsidRDefault="006E391F" w:rsidP="00336FA0">
                  <w:pPr>
                    <w:pStyle w:val="TableBodyText"/>
                    <w:ind w:right="28"/>
                  </w:pPr>
                  <w:r w:rsidRPr="00BC1144">
                    <w:t>(0.714)</w:t>
                  </w:r>
                </w:p>
              </w:tc>
              <w:tc>
                <w:tcPr>
                  <w:tcW w:w="417" w:type="pct"/>
                  <w:vAlign w:val="center"/>
                </w:tcPr>
                <w:p w:rsidR="006E391F" w:rsidRPr="00BC1144" w:rsidRDefault="006E391F" w:rsidP="00336FA0">
                  <w:pPr>
                    <w:pStyle w:val="TableBodyText"/>
                    <w:ind w:right="28"/>
                  </w:pPr>
                  <w:r w:rsidRPr="00BC1144">
                    <w:t>(0.587)</w:t>
                  </w:r>
                </w:p>
              </w:tc>
              <w:tc>
                <w:tcPr>
                  <w:tcW w:w="416" w:type="pct"/>
                  <w:vAlign w:val="center"/>
                </w:tcPr>
                <w:p w:rsidR="006E391F" w:rsidRPr="00BC1144" w:rsidRDefault="006E391F" w:rsidP="00336FA0">
                  <w:pPr>
                    <w:pStyle w:val="TableBodyText"/>
                    <w:ind w:right="28"/>
                  </w:pPr>
                  <w:r w:rsidRPr="00BC1144">
                    <w:t>(0.287)</w:t>
                  </w:r>
                </w:p>
              </w:tc>
              <w:tc>
                <w:tcPr>
                  <w:tcW w:w="413" w:type="pct"/>
                  <w:vAlign w:val="center"/>
                </w:tcPr>
                <w:p w:rsidR="006E391F" w:rsidRPr="00BC1144" w:rsidRDefault="006E391F" w:rsidP="00336FA0">
                  <w:pPr>
                    <w:pStyle w:val="TableBodyText"/>
                    <w:ind w:right="28"/>
                  </w:pPr>
                  <w:r w:rsidRPr="00BC1144">
                    <w:t>(0.132)</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pPr>
            <w:r w:rsidRPr="00BC1144">
              <w:t>(continued next page)</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spacing w:before="60" w:after="60"/>
            </w:pPr>
            <w:r w:rsidRPr="00BC1144">
              <w:rPr>
                <w:b w:val="0"/>
              </w:rPr>
              <w:t>Table B.15</w:t>
            </w:r>
            <w:r w:rsidRPr="00BC1144">
              <w:tab/>
            </w:r>
            <w:r w:rsidRPr="00BC1144">
              <w:rPr>
                <w:b w:val="0"/>
                <w:sz w:val="20"/>
                <w:szCs w:val="20"/>
              </w:rPr>
              <w:t>(continued)</w:t>
            </w:r>
          </w:p>
        </w:tc>
      </w:tr>
      <w:tr w:rsidR="006E391F" w:rsidRPr="00BC1144" w:rsidTr="00336FA0">
        <w:tc>
          <w:tcPr>
            <w:tcW w:w="5000" w:type="pct"/>
            <w:tcBorders>
              <w:top w:val="nil"/>
              <w:left w:val="nil"/>
              <w:bottom w:val="nil"/>
              <w:right w:val="nil"/>
            </w:tcBorders>
            <w:shd w:val="clear" w:color="auto" w:fill="auto"/>
          </w:tcPr>
          <w:tbl>
            <w:tblPr>
              <w:tblW w:w="8558" w:type="dxa"/>
              <w:tblCellMar>
                <w:top w:w="28" w:type="dxa"/>
                <w:left w:w="0" w:type="dxa"/>
                <w:right w:w="0" w:type="dxa"/>
              </w:tblCellMar>
              <w:tblLook w:val="0000" w:firstRow="0" w:lastRow="0" w:firstColumn="0" w:lastColumn="0" w:noHBand="0" w:noVBand="0"/>
            </w:tblPr>
            <w:tblGrid>
              <w:gridCol w:w="1250"/>
              <w:gridCol w:w="794"/>
              <w:gridCol w:w="796"/>
              <w:gridCol w:w="681"/>
              <w:gridCol w:w="681"/>
              <w:gridCol w:w="738"/>
              <w:gridCol w:w="738"/>
              <w:gridCol w:w="681"/>
              <w:gridCol w:w="681"/>
              <w:gridCol w:w="787"/>
              <w:gridCol w:w="731"/>
            </w:tblGrid>
            <w:tr w:rsidR="006E391F" w:rsidRPr="00BC1144" w:rsidTr="00336FA0">
              <w:trPr>
                <w:trHeight w:val="329"/>
              </w:trPr>
              <w:tc>
                <w:tcPr>
                  <w:tcW w:w="730" w:type="pct"/>
                  <w:tcBorders>
                    <w:top w:val="single" w:sz="6" w:space="0" w:color="BFBFBF"/>
                  </w:tcBorders>
                </w:tcPr>
                <w:p w:rsidR="006E391F" w:rsidRPr="00BC1144" w:rsidRDefault="006E391F" w:rsidP="00336FA0">
                  <w:pPr>
                    <w:pStyle w:val="TableUnitsRow"/>
                    <w:spacing w:before="0"/>
                    <w:rPr>
                      <w:i/>
                    </w:rPr>
                  </w:pPr>
                </w:p>
              </w:tc>
              <w:tc>
                <w:tcPr>
                  <w:tcW w:w="929" w:type="pct"/>
                  <w:gridSpan w:val="2"/>
                  <w:tcBorders>
                    <w:top w:val="single" w:sz="6" w:space="0" w:color="BFBFBF"/>
                  </w:tcBorders>
                  <w:vAlign w:val="center"/>
                </w:tcPr>
                <w:p w:rsidR="006E391F" w:rsidRPr="00BC1144" w:rsidRDefault="006E391F" w:rsidP="00336FA0">
                  <w:pPr>
                    <w:pStyle w:val="TableUnitsRow"/>
                    <w:spacing w:before="0"/>
                    <w:rPr>
                      <w:i/>
                    </w:rPr>
                  </w:pPr>
                  <w:r w:rsidRPr="00BC1144">
                    <w:rPr>
                      <w:i/>
                    </w:rPr>
                    <w:t>2003</w:t>
                  </w:r>
                </w:p>
              </w:tc>
              <w:tc>
                <w:tcPr>
                  <w:tcW w:w="796" w:type="pct"/>
                  <w:gridSpan w:val="2"/>
                  <w:tcBorders>
                    <w:top w:val="single" w:sz="6" w:space="0" w:color="BFBFBF"/>
                  </w:tcBorders>
                  <w:vAlign w:val="center"/>
                </w:tcPr>
                <w:p w:rsidR="006E391F" w:rsidRPr="00BC1144" w:rsidRDefault="006E391F" w:rsidP="00336FA0">
                  <w:pPr>
                    <w:pStyle w:val="TableUnitsRow"/>
                    <w:spacing w:before="0"/>
                    <w:rPr>
                      <w:i/>
                    </w:rPr>
                  </w:pPr>
                  <w:r w:rsidRPr="00BC1144">
                    <w:rPr>
                      <w:i/>
                    </w:rPr>
                    <w:t>2006</w:t>
                  </w:r>
                </w:p>
              </w:tc>
              <w:tc>
                <w:tcPr>
                  <w:tcW w:w="862" w:type="pct"/>
                  <w:gridSpan w:val="2"/>
                  <w:tcBorders>
                    <w:top w:val="single" w:sz="6" w:space="0" w:color="BFBFBF"/>
                  </w:tcBorders>
                  <w:vAlign w:val="center"/>
                </w:tcPr>
                <w:p w:rsidR="006E391F" w:rsidRPr="00BC1144" w:rsidRDefault="006E391F" w:rsidP="00336FA0">
                  <w:pPr>
                    <w:pStyle w:val="TableUnitsRow"/>
                    <w:spacing w:before="0"/>
                    <w:rPr>
                      <w:i/>
                    </w:rPr>
                  </w:pPr>
                  <w:r w:rsidRPr="00BC1144">
                    <w:rPr>
                      <w:i/>
                    </w:rPr>
                    <w:t>2010</w:t>
                  </w:r>
                </w:p>
              </w:tc>
              <w:tc>
                <w:tcPr>
                  <w:tcW w:w="796" w:type="pct"/>
                  <w:gridSpan w:val="2"/>
                  <w:tcBorders>
                    <w:top w:val="single" w:sz="6" w:space="0" w:color="BFBFBF"/>
                  </w:tcBorders>
                  <w:vAlign w:val="center"/>
                </w:tcPr>
                <w:p w:rsidR="006E391F" w:rsidRPr="00BC1144" w:rsidRDefault="006E391F" w:rsidP="00336FA0">
                  <w:pPr>
                    <w:pStyle w:val="TableUnitsRow"/>
                    <w:spacing w:before="0"/>
                    <w:rPr>
                      <w:i/>
                    </w:rPr>
                  </w:pPr>
                  <w:r w:rsidRPr="00BC1144">
                    <w:rPr>
                      <w:i/>
                    </w:rPr>
                    <w:t>2013</w:t>
                  </w:r>
                </w:p>
              </w:tc>
              <w:tc>
                <w:tcPr>
                  <w:tcW w:w="887" w:type="pct"/>
                  <w:gridSpan w:val="2"/>
                  <w:tcBorders>
                    <w:top w:val="single" w:sz="6" w:space="0" w:color="BFBFBF"/>
                  </w:tcBorders>
                  <w:vAlign w:val="center"/>
                </w:tcPr>
                <w:p w:rsidR="006E391F" w:rsidRPr="00BC1144" w:rsidRDefault="006E391F" w:rsidP="00336FA0">
                  <w:pPr>
                    <w:pStyle w:val="TableUnitsRow"/>
                    <w:spacing w:before="0"/>
                    <w:rPr>
                      <w:i/>
                    </w:rPr>
                  </w:pPr>
                  <w:r w:rsidRPr="00BC1144">
                    <w:rPr>
                      <w:i/>
                    </w:rPr>
                    <w:t>2013</w:t>
                  </w:r>
                </w:p>
              </w:tc>
            </w:tr>
            <w:tr w:rsidR="006E391F" w:rsidRPr="00BC1144" w:rsidTr="00336FA0">
              <w:trPr>
                <w:trHeight w:val="329"/>
              </w:trPr>
              <w:tc>
                <w:tcPr>
                  <w:tcW w:w="730" w:type="pct"/>
                  <w:tcBorders>
                    <w:top w:val="single" w:sz="6" w:space="0" w:color="BFBFBF"/>
                  </w:tcBorders>
                </w:tcPr>
                <w:p w:rsidR="006E391F" w:rsidRPr="00BC1144" w:rsidRDefault="006E391F" w:rsidP="00CC4DB6">
                  <w:pPr>
                    <w:pStyle w:val="TableUnitsRow"/>
                    <w:spacing w:before="0" w:after="0"/>
                    <w:jc w:val="left"/>
                  </w:pPr>
                </w:p>
              </w:tc>
              <w:tc>
                <w:tcPr>
                  <w:tcW w:w="464" w:type="pct"/>
                  <w:tcBorders>
                    <w:top w:val="single" w:sz="6" w:space="0" w:color="BFBFBF"/>
                  </w:tcBorders>
                  <w:vAlign w:val="center"/>
                </w:tcPr>
                <w:p w:rsidR="006E391F" w:rsidRPr="00BC1144" w:rsidRDefault="006E391F" w:rsidP="00CC4DB6">
                  <w:pPr>
                    <w:pStyle w:val="TableUnitsRow"/>
                    <w:spacing w:before="0" w:after="0"/>
                  </w:pPr>
                  <w:r w:rsidRPr="00BC1144">
                    <w:t>(i)</w:t>
                  </w:r>
                </w:p>
              </w:tc>
              <w:tc>
                <w:tcPr>
                  <w:tcW w:w="465" w:type="pct"/>
                  <w:tcBorders>
                    <w:top w:val="single" w:sz="6" w:space="0" w:color="BFBFBF"/>
                  </w:tcBorders>
                  <w:vAlign w:val="center"/>
                </w:tcPr>
                <w:p w:rsidR="006E391F" w:rsidRPr="00BC1144" w:rsidRDefault="006E391F" w:rsidP="00CC4DB6">
                  <w:pPr>
                    <w:pStyle w:val="TableUnitsRow"/>
                    <w:spacing w:before="0" w:after="0"/>
                  </w:pPr>
                  <w:r w:rsidRPr="00BC1144">
                    <w:t>(ii)</w:t>
                  </w:r>
                </w:p>
              </w:tc>
              <w:tc>
                <w:tcPr>
                  <w:tcW w:w="398" w:type="pct"/>
                  <w:tcBorders>
                    <w:top w:val="single" w:sz="6" w:space="0" w:color="BFBFBF"/>
                  </w:tcBorders>
                  <w:vAlign w:val="center"/>
                </w:tcPr>
                <w:p w:rsidR="006E391F" w:rsidRPr="00BC1144" w:rsidRDefault="006E391F" w:rsidP="00CC4DB6">
                  <w:pPr>
                    <w:pStyle w:val="TableUnitsRow"/>
                    <w:spacing w:before="0" w:after="0"/>
                    <w:ind w:right="28"/>
                  </w:pPr>
                  <w:r w:rsidRPr="00BC1144">
                    <w:t>(i)</w:t>
                  </w:r>
                </w:p>
              </w:tc>
              <w:tc>
                <w:tcPr>
                  <w:tcW w:w="398" w:type="pct"/>
                  <w:tcBorders>
                    <w:top w:val="single" w:sz="6" w:space="0" w:color="BFBFBF"/>
                  </w:tcBorders>
                  <w:vAlign w:val="center"/>
                </w:tcPr>
                <w:p w:rsidR="006E391F" w:rsidRPr="00BC1144" w:rsidRDefault="006E391F" w:rsidP="00CC4DB6">
                  <w:pPr>
                    <w:pStyle w:val="TableUnitsRow"/>
                    <w:spacing w:before="0" w:after="0"/>
                    <w:ind w:right="28"/>
                  </w:pPr>
                  <w:r w:rsidRPr="00BC1144">
                    <w:t>(ii)</w:t>
                  </w:r>
                </w:p>
              </w:tc>
              <w:tc>
                <w:tcPr>
                  <w:tcW w:w="431" w:type="pct"/>
                  <w:tcBorders>
                    <w:top w:val="single" w:sz="6" w:space="0" w:color="BFBFBF"/>
                  </w:tcBorders>
                  <w:vAlign w:val="center"/>
                </w:tcPr>
                <w:p w:rsidR="006E391F" w:rsidRPr="00BC1144" w:rsidRDefault="006E391F" w:rsidP="00CC4DB6">
                  <w:pPr>
                    <w:pStyle w:val="TableUnitsRow"/>
                    <w:spacing w:before="0" w:after="0"/>
                    <w:ind w:right="28"/>
                  </w:pPr>
                  <w:r w:rsidRPr="00BC1144">
                    <w:t>(i)</w:t>
                  </w:r>
                </w:p>
              </w:tc>
              <w:tc>
                <w:tcPr>
                  <w:tcW w:w="431" w:type="pct"/>
                  <w:tcBorders>
                    <w:top w:val="single" w:sz="6" w:space="0" w:color="BFBFBF"/>
                  </w:tcBorders>
                  <w:vAlign w:val="center"/>
                </w:tcPr>
                <w:p w:rsidR="006E391F" w:rsidRPr="00BC1144" w:rsidRDefault="006E391F" w:rsidP="00CC4DB6">
                  <w:pPr>
                    <w:pStyle w:val="TableUnitsRow"/>
                    <w:spacing w:before="0" w:after="0"/>
                    <w:ind w:right="28"/>
                  </w:pPr>
                  <w:r w:rsidRPr="00BC1144">
                    <w:t>(ii)</w:t>
                  </w:r>
                </w:p>
              </w:tc>
              <w:tc>
                <w:tcPr>
                  <w:tcW w:w="398" w:type="pct"/>
                  <w:tcBorders>
                    <w:top w:val="single" w:sz="6" w:space="0" w:color="BFBFBF"/>
                  </w:tcBorders>
                  <w:vAlign w:val="center"/>
                </w:tcPr>
                <w:p w:rsidR="006E391F" w:rsidRPr="00BC1144" w:rsidRDefault="006E391F" w:rsidP="00CC4DB6">
                  <w:pPr>
                    <w:pStyle w:val="TableUnitsRow"/>
                    <w:spacing w:before="0" w:after="0"/>
                    <w:ind w:right="28"/>
                  </w:pPr>
                  <w:r w:rsidRPr="00BC1144">
                    <w:t>(i)</w:t>
                  </w:r>
                </w:p>
              </w:tc>
              <w:tc>
                <w:tcPr>
                  <w:tcW w:w="398" w:type="pct"/>
                  <w:tcBorders>
                    <w:top w:val="single" w:sz="6" w:space="0" w:color="BFBFBF"/>
                  </w:tcBorders>
                  <w:vAlign w:val="center"/>
                </w:tcPr>
                <w:p w:rsidR="006E391F" w:rsidRPr="00BC1144" w:rsidRDefault="006E391F" w:rsidP="00CC4DB6">
                  <w:pPr>
                    <w:pStyle w:val="TableUnitsRow"/>
                    <w:spacing w:before="0" w:after="0"/>
                    <w:ind w:right="28"/>
                  </w:pPr>
                  <w:r w:rsidRPr="00BC1144">
                    <w:t>(ii)</w:t>
                  </w:r>
                </w:p>
              </w:tc>
              <w:tc>
                <w:tcPr>
                  <w:tcW w:w="460" w:type="pct"/>
                  <w:tcBorders>
                    <w:top w:val="single" w:sz="6" w:space="0" w:color="BFBFBF"/>
                  </w:tcBorders>
                  <w:vAlign w:val="center"/>
                </w:tcPr>
                <w:p w:rsidR="006E391F" w:rsidRPr="00BC1144" w:rsidRDefault="006E391F" w:rsidP="00CC4DB6">
                  <w:pPr>
                    <w:pStyle w:val="TableUnitsRow"/>
                    <w:spacing w:before="0" w:after="0"/>
                    <w:ind w:right="28"/>
                  </w:pPr>
                  <w:r w:rsidRPr="00BC1144">
                    <w:t>(i)</w:t>
                  </w:r>
                </w:p>
              </w:tc>
              <w:tc>
                <w:tcPr>
                  <w:tcW w:w="427" w:type="pct"/>
                  <w:tcBorders>
                    <w:top w:val="single" w:sz="6" w:space="0" w:color="BFBFBF"/>
                  </w:tcBorders>
                  <w:vAlign w:val="center"/>
                </w:tcPr>
                <w:p w:rsidR="006E391F" w:rsidRPr="00BC1144" w:rsidRDefault="006E391F" w:rsidP="00CC4DB6">
                  <w:pPr>
                    <w:pStyle w:val="TableUnitsRow"/>
                    <w:spacing w:before="0" w:after="0"/>
                    <w:ind w:right="28"/>
                  </w:pPr>
                  <w:r w:rsidRPr="00BC1144">
                    <w:t>(ii)</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Interaction of hours worked with year 12 attendance</w:t>
                  </w:r>
                </w:p>
              </w:tc>
              <w:tc>
                <w:tcPr>
                  <w:tcW w:w="464" w:type="pct"/>
                  <w:shd w:val="clear" w:color="auto" w:fill="F2F2F2" w:themeFill="background1" w:themeFillShade="F2"/>
                  <w:vAlign w:val="center"/>
                </w:tcPr>
                <w:p w:rsidR="006E391F" w:rsidRPr="00BC1144" w:rsidRDefault="006E391F" w:rsidP="00336FA0">
                  <w:pPr>
                    <w:pStyle w:val="TableBodyText"/>
                  </w:pPr>
                  <w:r w:rsidRPr="00BC1144">
                    <w:t>0.069</w:t>
                  </w:r>
                  <w:r w:rsidRPr="00BC1144">
                    <w:rPr>
                      <w:vertAlign w:val="superscript"/>
                    </w:rPr>
                    <w:t>***</w:t>
                  </w:r>
                </w:p>
              </w:tc>
              <w:tc>
                <w:tcPr>
                  <w:tcW w:w="465" w:type="pct"/>
                  <w:shd w:val="clear" w:color="auto" w:fill="F2F2F2" w:themeFill="background1" w:themeFillShade="F2"/>
                  <w:vAlign w:val="center"/>
                </w:tcPr>
                <w:p w:rsidR="006E391F" w:rsidRPr="00BC1144" w:rsidRDefault="006E391F" w:rsidP="00336FA0">
                  <w:pPr>
                    <w:pStyle w:val="TableBodyText"/>
                  </w:pPr>
                  <w:r w:rsidRPr="00BC1144">
                    <w:t>0.069</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-0.030</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-0.029</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0.028</w:t>
                  </w:r>
                  <w:r w:rsidRPr="00BC1144">
                    <w:rPr>
                      <w:vertAlign w:val="superscript"/>
                    </w:rPr>
                    <w:t>*</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0.030</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-0.034</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-0.032</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0.035</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0.044</w:t>
                  </w:r>
                  <w:r w:rsidRPr="00BC1144">
                    <w:rPr>
                      <w:vertAlign w:val="superscript"/>
                    </w:rPr>
                    <w:t>**</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p>
              </w:tc>
              <w:tc>
                <w:tcPr>
                  <w:tcW w:w="464" w:type="pct"/>
                  <w:shd w:val="clear" w:color="auto" w:fill="F2F2F2" w:themeFill="background1" w:themeFillShade="F2"/>
                  <w:vAlign w:val="center"/>
                </w:tcPr>
                <w:p w:rsidR="006E391F" w:rsidRPr="00BC1144" w:rsidRDefault="006E391F" w:rsidP="00336FA0">
                  <w:pPr>
                    <w:pStyle w:val="TableBodyText"/>
                  </w:pPr>
                  <w:r w:rsidRPr="00BC1144">
                    <w:t>(0.009)</w:t>
                  </w:r>
                </w:p>
              </w:tc>
              <w:tc>
                <w:tcPr>
                  <w:tcW w:w="465" w:type="pct"/>
                  <w:shd w:val="clear" w:color="auto" w:fill="F2F2F2" w:themeFill="background1" w:themeFillShade="F2"/>
                  <w:vAlign w:val="center"/>
                </w:tcPr>
                <w:p w:rsidR="006E391F" w:rsidRPr="00BC1144" w:rsidRDefault="006E391F" w:rsidP="00336FA0">
                  <w:pPr>
                    <w:pStyle w:val="TableBodyText"/>
                  </w:pPr>
                  <w:r w:rsidRPr="00BC1144">
                    <w:t>(0.009)</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(0.228)</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(0.284)</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(0.016)</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(0.017)</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(0.029)</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(0.032)</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(0.024)</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(0.018)</w:t>
                  </w:r>
                </w:p>
              </w:tc>
            </w:tr>
            <w:tr w:rsidR="006E391F" w:rsidRPr="00BC1144" w:rsidTr="00336FA0">
              <w:trPr>
                <w:trHeight w:val="329"/>
              </w:trPr>
              <w:tc>
                <w:tcPr>
                  <w:tcW w:w="730" w:type="pct"/>
                  <w:vAlign w:val="center"/>
                </w:tcPr>
                <w:p w:rsidR="006E391F" w:rsidRPr="00BC1144" w:rsidRDefault="006E391F" w:rsidP="00336FA0">
                  <w:pPr>
                    <w:pStyle w:val="TableBodyText"/>
                    <w:jc w:val="left"/>
                  </w:pPr>
                  <w:r w:rsidRPr="00BC1144">
                    <w:t>Ethnic background: Non-English</w:t>
                  </w:r>
                </w:p>
              </w:tc>
              <w:tc>
                <w:tcPr>
                  <w:tcW w:w="464" w:type="pct"/>
                  <w:vAlign w:val="center"/>
                </w:tcPr>
                <w:p w:rsidR="006E391F" w:rsidRPr="00BC1144" w:rsidRDefault="006E391F" w:rsidP="00336FA0">
                  <w:pPr>
                    <w:pStyle w:val="TableBodyText"/>
                  </w:pPr>
                  <w:r w:rsidRPr="00BC1144">
                    <w:t>1.082</w:t>
                  </w:r>
                  <w:r w:rsidRPr="00BC1144">
                    <w:rPr>
                      <w:vertAlign w:val="superscript"/>
                    </w:rPr>
                    <w:t>***</w:t>
                  </w:r>
                </w:p>
              </w:tc>
              <w:tc>
                <w:tcPr>
                  <w:tcW w:w="465" w:type="pct"/>
                  <w:vAlign w:val="center"/>
                </w:tcPr>
                <w:p w:rsidR="006E391F" w:rsidRPr="00BC1144" w:rsidRDefault="006E391F" w:rsidP="00336FA0">
                  <w:pPr>
                    <w:pStyle w:val="TableBodyText"/>
                  </w:pPr>
                  <w:r w:rsidRPr="00BC1144">
                    <w:t>1.078</w:t>
                  </w:r>
                  <w:r w:rsidRPr="00BC1144">
                    <w:rPr>
                      <w:vertAlign w:val="superscript"/>
                    </w:rPr>
                    <w:t>***</w:t>
                  </w:r>
                </w:p>
              </w:tc>
              <w:tc>
                <w:tcPr>
                  <w:tcW w:w="398" w:type="pct"/>
                  <w:vAlign w:val="center"/>
                </w:tcPr>
                <w:p w:rsidR="006E391F" w:rsidRPr="00BC1144" w:rsidRDefault="006E391F" w:rsidP="00336FA0">
                  <w:pPr>
                    <w:pStyle w:val="TableBodyText"/>
                    <w:ind w:right="28"/>
                  </w:pPr>
                  <w:r w:rsidRPr="00BC1144">
                    <w:t>-3.472</w:t>
                  </w:r>
                </w:p>
              </w:tc>
              <w:tc>
                <w:tcPr>
                  <w:tcW w:w="398" w:type="pct"/>
                  <w:vAlign w:val="center"/>
                </w:tcPr>
                <w:p w:rsidR="006E391F" w:rsidRPr="00BC1144" w:rsidRDefault="006E391F" w:rsidP="00336FA0">
                  <w:pPr>
                    <w:pStyle w:val="TableBodyText"/>
                    <w:ind w:right="28"/>
                  </w:pPr>
                  <w:r w:rsidRPr="00BC1144">
                    <w:t>-3.389</w:t>
                  </w:r>
                </w:p>
              </w:tc>
              <w:tc>
                <w:tcPr>
                  <w:tcW w:w="431" w:type="pct"/>
                  <w:vAlign w:val="center"/>
                </w:tcPr>
                <w:p w:rsidR="006E391F" w:rsidRPr="00BC1144" w:rsidRDefault="006E391F" w:rsidP="00336FA0">
                  <w:pPr>
                    <w:pStyle w:val="TableBodyText"/>
                    <w:ind w:right="28"/>
                  </w:pPr>
                  <w:r w:rsidRPr="00BC1144">
                    <w:t>0.398</w:t>
                  </w:r>
                </w:p>
              </w:tc>
              <w:tc>
                <w:tcPr>
                  <w:tcW w:w="431" w:type="pct"/>
                  <w:vAlign w:val="center"/>
                </w:tcPr>
                <w:p w:rsidR="006E391F" w:rsidRPr="00BC1144" w:rsidRDefault="006E391F" w:rsidP="00336FA0">
                  <w:pPr>
                    <w:pStyle w:val="TableBodyText"/>
                    <w:ind w:right="28"/>
                  </w:pPr>
                  <w:r w:rsidRPr="00BC1144">
                    <w:t>0.519</w:t>
                  </w:r>
                  <w:r w:rsidRPr="00BC1144">
                    <w:rPr>
                      <w:vertAlign w:val="superscript"/>
                    </w:rPr>
                    <w:t>**</w:t>
                  </w:r>
                </w:p>
              </w:tc>
              <w:tc>
                <w:tcPr>
                  <w:tcW w:w="398" w:type="pct"/>
                  <w:vAlign w:val="center"/>
                </w:tcPr>
                <w:p w:rsidR="006E391F" w:rsidRPr="00BC1144" w:rsidRDefault="006E391F" w:rsidP="00336FA0">
                  <w:pPr>
                    <w:pStyle w:val="TableBodyText"/>
                    <w:ind w:right="28"/>
                  </w:pPr>
                  <w:r w:rsidRPr="00BC1144">
                    <w:t>0.505</w:t>
                  </w:r>
                  <w:r w:rsidRPr="00BC1144">
                    <w:rPr>
                      <w:vertAlign w:val="superscript"/>
                    </w:rPr>
                    <w:t>*</w:t>
                  </w:r>
                </w:p>
              </w:tc>
              <w:tc>
                <w:tcPr>
                  <w:tcW w:w="398" w:type="pct"/>
                  <w:vAlign w:val="center"/>
                </w:tcPr>
                <w:p w:rsidR="006E391F" w:rsidRPr="00BC1144" w:rsidRDefault="006E391F" w:rsidP="00336FA0">
                  <w:pPr>
                    <w:pStyle w:val="TableBodyText"/>
                    <w:ind w:right="28"/>
                  </w:pPr>
                  <w:r w:rsidRPr="00BC1144">
                    <w:t>0.544</w:t>
                  </w:r>
                  <w:r w:rsidRPr="00BC1144">
                    <w:rPr>
                      <w:vertAlign w:val="superscript"/>
                    </w:rPr>
                    <w:t>*</w:t>
                  </w:r>
                </w:p>
              </w:tc>
              <w:tc>
                <w:tcPr>
                  <w:tcW w:w="460" w:type="pct"/>
                  <w:vAlign w:val="center"/>
                </w:tcPr>
                <w:p w:rsidR="006E391F" w:rsidRPr="00BC1144" w:rsidRDefault="006E391F" w:rsidP="00336FA0">
                  <w:pPr>
                    <w:pStyle w:val="TableBodyText"/>
                    <w:ind w:right="28"/>
                  </w:pPr>
                  <w:r w:rsidRPr="00BC1144">
                    <w:t>0.587</w:t>
                  </w:r>
                </w:p>
              </w:tc>
              <w:tc>
                <w:tcPr>
                  <w:tcW w:w="427" w:type="pct"/>
                  <w:vAlign w:val="center"/>
                </w:tcPr>
                <w:p w:rsidR="006E391F" w:rsidRPr="00BC1144" w:rsidRDefault="006E391F" w:rsidP="00336FA0">
                  <w:pPr>
                    <w:pStyle w:val="TableBodyText"/>
                    <w:ind w:right="28"/>
                  </w:pPr>
                  <w:r w:rsidRPr="00BC1144">
                    <w:t>0.786</w:t>
                  </w:r>
                </w:p>
              </w:tc>
            </w:tr>
            <w:tr w:rsidR="006E391F" w:rsidRPr="00BC1144" w:rsidTr="00336FA0">
              <w:trPr>
                <w:trHeight w:val="329"/>
              </w:trPr>
              <w:tc>
                <w:tcPr>
                  <w:tcW w:w="730" w:type="pct"/>
                  <w:vAlign w:val="center"/>
                </w:tcPr>
                <w:p w:rsidR="006E391F" w:rsidRPr="00BC1144" w:rsidRDefault="006E391F" w:rsidP="00CC4DB6">
                  <w:pPr>
                    <w:pStyle w:val="TableBodyText"/>
                    <w:spacing w:after="20"/>
                    <w:jc w:val="left"/>
                  </w:pPr>
                </w:p>
              </w:tc>
              <w:tc>
                <w:tcPr>
                  <w:tcW w:w="464" w:type="pct"/>
                  <w:vAlign w:val="center"/>
                </w:tcPr>
                <w:p w:rsidR="006E391F" w:rsidRPr="00BC1144" w:rsidRDefault="006E391F" w:rsidP="00CC4DB6">
                  <w:pPr>
                    <w:pStyle w:val="TableBodyText"/>
                    <w:spacing w:after="20"/>
                  </w:pPr>
                  <w:r w:rsidRPr="00BC1144">
                    <w:t>(0.294)</w:t>
                  </w:r>
                </w:p>
              </w:tc>
              <w:tc>
                <w:tcPr>
                  <w:tcW w:w="465" w:type="pct"/>
                  <w:vAlign w:val="center"/>
                </w:tcPr>
                <w:p w:rsidR="006E391F" w:rsidRPr="00BC1144" w:rsidRDefault="006E391F" w:rsidP="00CC4DB6">
                  <w:pPr>
                    <w:pStyle w:val="TableBodyText"/>
                    <w:spacing w:after="20"/>
                  </w:pPr>
                  <w:r w:rsidRPr="00BC1144">
                    <w:t>(0.297)</w:t>
                  </w:r>
                </w:p>
              </w:tc>
              <w:tc>
                <w:tcPr>
                  <w:tcW w:w="398" w:type="pct"/>
                  <w:vAlign w:val="center"/>
                </w:tcPr>
                <w:p w:rsidR="006E391F" w:rsidRPr="00BC1144" w:rsidRDefault="006E391F" w:rsidP="00CC4DB6">
                  <w:pPr>
                    <w:pStyle w:val="TableBodyText"/>
                    <w:spacing w:after="20"/>
                    <w:ind w:right="28"/>
                  </w:pPr>
                  <w:r w:rsidRPr="00BC1144">
                    <w:t>(2.948)</w:t>
                  </w:r>
                </w:p>
              </w:tc>
              <w:tc>
                <w:tcPr>
                  <w:tcW w:w="398" w:type="pct"/>
                  <w:vAlign w:val="center"/>
                </w:tcPr>
                <w:p w:rsidR="006E391F" w:rsidRPr="00BC1144" w:rsidRDefault="006E391F" w:rsidP="00CC4DB6">
                  <w:pPr>
                    <w:pStyle w:val="TableBodyText"/>
                    <w:spacing w:after="20"/>
                    <w:ind w:right="28"/>
                  </w:pPr>
                  <w:r w:rsidRPr="00BC1144">
                    <w:t>(2.965)</w:t>
                  </w:r>
                </w:p>
              </w:tc>
              <w:tc>
                <w:tcPr>
                  <w:tcW w:w="431" w:type="pct"/>
                  <w:vAlign w:val="center"/>
                </w:tcPr>
                <w:p w:rsidR="006E391F" w:rsidRPr="00BC1144" w:rsidRDefault="006E391F" w:rsidP="00CC4DB6">
                  <w:pPr>
                    <w:pStyle w:val="TableBodyText"/>
                    <w:spacing w:after="20"/>
                    <w:ind w:right="28"/>
                  </w:pPr>
                  <w:r w:rsidRPr="00BC1144">
                    <w:t>(0.250)</w:t>
                  </w:r>
                </w:p>
              </w:tc>
              <w:tc>
                <w:tcPr>
                  <w:tcW w:w="431" w:type="pct"/>
                  <w:vAlign w:val="center"/>
                </w:tcPr>
                <w:p w:rsidR="006E391F" w:rsidRPr="00BC1144" w:rsidRDefault="006E391F" w:rsidP="00CC4DB6">
                  <w:pPr>
                    <w:pStyle w:val="TableBodyText"/>
                    <w:spacing w:after="20"/>
                    <w:ind w:right="28"/>
                  </w:pPr>
                  <w:r w:rsidRPr="00BC1144">
                    <w:t>(0.234)</w:t>
                  </w:r>
                </w:p>
              </w:tc>
              <w:tc>
                <w:tcPr>
                  <w:tcW w:w="398" w:type="pct"/>
                  <w:vAlign w:val="center"/>
                </w:tcPr>
                <w:p w:rsidR="006E391F" w:rsidRPr="00BC1144" w:rsidRDefault="006E391F" w:rsidP="00CC4DB6">
                  <w:pPr>
                    <w:pStyle w:val="TableBodyText"/>
                    <w:spacing w:after="20"/>
                    <w:ind w:right="28"/>
                  </w:pPr>
                  <w:r w:rsidRPr="00BC1144">
                    <w:t>(0.283)</w:t>
                  </w:r>
                </w:p>
              </w:tc>
              <w:tc>
                <w:tcPr>
                  <w:tcW w:w="398" w:type="pct"/>
                  <w:vAlign w:val="center"/>
                </w:tcPr>
                <w:p w:rsidR="006E391F" w:rsidRPr="00BC1144" w:rsidRDefault="006E391F" w:rsidP="00CC4DB6">
                  <w:pPr>
                    <w:pStyle w:val="TableBodyText"/>
                    <w:spacing w:after="20"/>
                    <w:ind w:right="28"/>
                  </w:pPr>
                  <w:r w:rsidRPr="00BC1144">
                    <w:t>(0.302)</w:t>
                  </w:r>
                </w:p>
              </w:tc>
              <w:tc>
                <w:tcPr>
                  <w:tcW w:w="460" w:type="pct"/>
                  <w:vAlign w:val="center"/>
                </w:tcPr>
                <w:p w:rsidR="006E391F" w:rsidRPr="00BC1144" w:rsidRDefault="006E391F" w:rsidP="00CC4DB6">
                  <w:pPr>
                    <w:pStyle w:val="TableBodyText"/>
                    <w:spacing w:after="20"/>
                    <w:ind w:right="28"/>
                  </w:pPr>
                  <w:r w:rsidRPr="00BC1144">
                    <w:t>(0.650)</w:t>
                  </w:r>
                </w:p>
              </w:tc>
              <w:tc>
                <w:tcPr>
                  <w:tcW w:w="427" w:type="pct"/>
                  <w:vAlign w:val="center"/>
                </w:tcPr>
                <w:p w:rsidR="006E391F" w:rsidRPr="00BC1144" w:rsidRDefault="006E391F" w:rsidP="00CC4DB6">
                  <w:pPr>
                    <w:pStyle w:val="TableBodyText"/>
                    <w:spacing w:after="20"/>
                    <w:ind w:right="28"/>
                  </w:pPr>
                  <w:r w:rsidRPr="00BC1144">
                    <w:t>(1.473)</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Books: 101-500</w:t>
                  </w:r>
                </w:p>
              </w:tc>
              <w:tc>
                <w:tcPr>
                  <w:tcW w:w="464" w:type="pct"/>
                  <w:shd w:val="clear" w:color="auto" w:fill="F2F2F2" w:themeFill="background1" w:themeFillShade="F2"/>
                  <w:vAlign w:val="center"/>
                </w:tcPr>
                <w:p w:rsidR="006E391F" w:rsidRPr="00BC1144" w:rsidRDefault="006E391F" w:rsidP="00336FA0">
                  <w:pPr>
                    <w:pStyle w:val="TableBodyText"/>
                  </w:pPr>
                </w:p>
              </w:tc>
              <w:tc>
                <w:tcPr>
                  <w:tcW w:w="465" w:type="pct"/>
                  <w:shd w:val="clear" w:color="auto" w:fill="F2F2F2" w:themeFill="background1" w:themeFillShade="F2"/>
                  <w:vAlign w:val="center"/>
                </w:tcPr>
                <w:p w:rsidR="006E391F" w:rsidRPr="00BC1144" w:rsidRDefault="006E391F" w:rsidP="00336FA0">
                  <w:pPr>
                    <w:pStyle w:val="TableBodyText"/>
                  </w:pPr>
                  <w:r w:rsidRPr="00BC1144">
                    <w:t>0.007</w:t>
                  </w:r>
                </w:p>
              </w:tc>
              <w:tc>
                <w:tcPr>
                  <w:tcW w:w="398" w:type="pct"/>
                  <w:shd w:val="clear" w:color="auto" w:fill="F2F2F2" w:themeFill="background1" w:themeFillShade="F2"/>
                  <w:vAlign w:val="center"/>
                </w:tcPr>
                <w:p w:rsidR="006E391F" w:rsidRPr="00BC1144" w:rsidRDefault="006E391F" w:rsidP="00336FA0">
                  <w:pPr>
                    <w:pStyle w:val="TableBodyText"/>
                    <w:ind w:right="28"/>
                  </w:pP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-0.142</w:t>
                  </w:r>
                </w:p>
              </w:tc>
              <w:tc>
                <w:tcPr>
                  <w:tcW w:w="431" w:type="pct"/>
                  <w:shd w:val="clear" w:color="auto" w:fill="F2F2F2" w:themeFill="background1" w:themeFillShade="F2"/>
                  <w:vAlign w:val="center"/>
                </w:tcPr>
                <w:p w:rsidR="006E391F" w:rsidRPr="00BC1144" w:rsidRDefault="006E391F" w:rsidP="00336FA0">
                  <w:pPr>
                    <w:pStyle w:val="TableBodyText"/>
                    <w:ind w:right="28"/>
                  </w:pP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0.036</w:t>
                  </w:r>
                </w:p>
              </w:tc>
              <w:tc>
                <w:tcPr>
                  <w:tcW w:w="398" w:type="pct"/>
                  <w:shd w:val="clear" w:color="auto" w:fill="F2F2F2" w:themeFill="background1" w:themeFillShade="F2"/>
                  <w:vAlign w:val="center"/>
                </w:tcPr>
                <w:p w:rsidR="006E391F" w:rsidRPr="00BC1144" w:rsidRDefault="006E391F" w:rsidP="00336FA0">
                  <w:pPr>
                    <w:pStyle w:val="TableBodyText"/>
                    <w:ind w:right="28"/>
                  </w:pP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-0.229</w:t>
                  </w:r>
                  <w:r w:rsidRPr="00BC1144">
                    <w:rPr>
                      <w:vertAlign w:val="superscript"/>
                    </w:rPr>
                    <w:t>**</w:t>
                  </w:r>
                </w:p>
              </w:tc>
              <w:tc>
                <w:tcPr>
                  <w:tcW w:w="460" w:type="pct"/>
                  <w:shd w:val="clear" w:color="auto" w:fill="F2F2F2" w:themeFill="background1" w:themeFillShade="F2"/>
                  <w:vAlign w:val="center"/>
                </w:tcPr>
                <w:p w:rsidR="006E391F" w:rsidRPr="00BC1144" w:rsidRDefault="006E391F" w:rsidP="00336FA0">
                  <w:pPr>
                    <w:pStyle w:val="TableBodyText"/>
                    <w:ind w:right="28"/>
                  </w:pP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0.081</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p>
              </w:tc>
              <w:tc>
                <w:tcPr>
                  <w:tcW w:w="464" w:type="pct"/>
                  <w:shd w:val="clear" w:color="auto" w:fill="F2F2F2" w:themeFill="background1" w:themeFillShade="F2"/>
                  <w:vAlign w:val="center"/>
                </w:tcPr>
                <w:p w:rsidR="006E391F" w:rsidRPr="00BC1144" w:rsidRDefault="006E391F" w:rsidP="00336FA0">
                  <w:pPr>
                    <w:pStyle w:val="TableBodyText"/>
                  </w:pPr>
                </w:p>
              </w:tc>
              <w:tc>
                <w:tcPr>
                  <w:tcW w:w="465" w:type="pct"/>
                  <w:shd w:val="clear" w:color="auto" w:fill="F2F2F2" w:themeFill="background1" w:themeFillShade="F2"/>
                  <w:vAlign w:val="center"/>
                </w:tcPr>
                <w:p w:rsidR="006E391F" w:rsidRPr="00BC1144" w:rsidRDefault="006E391F" w:rsidP="00336FA0">
                  <w:pPr>
                    <w:pStyle w:val="TableBodyText"/>
                  </w:pPr>
                  <w:r w:rsidRPr="00BC1144">
                    <w:t>(0.085)</w:t>
                  </w:r>
                </w:p>
              </w:tc>
              <w:tc>
                <w:tcPr>
                  <w:tcW w:w="398" w:type="pct"/>
                  <w:shd w:val="clear" w:color="auto" w:fill="F2F2F2" w:themeFill="background1" w:themeFillShade="F2"/>
                  <w:vAlign w:val="center"/>
                </w:tcPr>
                <w:p w:rsidR="006E391F" w:rsidRPr="00BC1144" w:rsidRDefault="006E391F" w:rsidP="00336FA0">
                  <w:pPr>
                    <w:pStyle w:val="TableBodyText"/>
                    <w:ind w:right="28"/>
                  </w:pP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(2.327)</w:t>
                  </w:r>
                </w:p>
              </w:tc>
              <w:tc>
                <w:tcPr>
                  <w:tcW w:w="431" w:type="pct"/>
                  <w:shd w:val="clear" w:color="auto" w:fill="F2F2F2" w:themeFill="background1" w:themeFillShade="F2"/>
                  <w:vAlign w:val="center"/>
                </w:tcPr>
                <w:p w:rsidR="006E391F" w:rsidRPr="00BC1144" w:rsidRDefault="006E391F" w:rsidP="00336FA0">
                  <w:pPr>
                    <w:pStyle w:val="TableBodyText"/>
                    <w:ind w:right="28"/>
                  </w:pP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(0.089)</w:t>
                  </w:r>
                </w:p>
              </w:tc>
              <w:tc>
                <w:tcPr>
                  <w:tcW w:w="398" w:type="pct"/>
                  <w:shd w:val="clear" w:color="auto" w:fill="F2F2F2" w:themeFill="background1" w:themeFillShade="F2"/>
                  <w:vAlign w:val="center"/>
                </w:tcPr>
                <w:p w:rsidR="006E391F" w:rsidRPr="00BC1144" w:rsidRDefault="006E391F" w:rsidP="00336FA0">
                  <w:pPr>
                    <w:pStyle w:val="TableBodyText"/>
                    <w:ind w:right="28"/>
                  </w:pP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(0.091)</w:t>
                  </w:r>
                </w:p>
              </w:tc>
              <w:tc>
                <w:tcPr>
                  <w:tcW w:w="460" w:type="pct"/>
                  <w:shd w:val="clear" w:color="auto" w:fill="F2F2F2" w:themeFill="background1" w:themeFillShade="F2"/>
                  <w:vAlign w:val="center"/>
                </w:tcPr>
                <w:p w:rsidR="006E391F" w:rsidRPr="00BC1144" w:rsidRDefault="006E391F" w:rsidP="00336FA0">
                  <w:pPr>
                    <w:pStyle w:val="TableBodyText"/>
                    <w:ind w:right="28"/>
                  </w:pP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(0.140)</w:t>
                  </w:r>
                </w:p>
              </w:tc>
            </w:tr>
            <w:tr w:rsidR="006E391F" w:rsidRPr="00BC1144" w:rsidTr="00336FA0">
              <w:trPr>
                <w:trHeight w:val="329"/>
              </w:trPr>
              <w:tc>
                <w:tcPr>
                  <w:tcW w:w="730" w:type="pct"/>
                  <w:vAlign w:val="center"/>
                </w:tcPr>
                <w:p w:rsidR="006E391F" w:rsidRPr="00BC1144" w:rsidRDefault="006E391F" w:rsidP="00336FA0">
                  <w:pPr>
                    <w:pStyle w:val="TableBodyText"/>
                    <w:jc w:val="left"/>
                  </w:pPr>
                  <w:r w:rsidRPr="00BC1144">
                    <w:t>Books: 0-100</w:t>
                  </w:r>
                </w:p>
              </w:tc>
              <w:tc>
                <w:tcPr>
                  <w:tcW w:w="464" w:type="pct"/>
                  <w:vAlign w:val="center"/>
                </w:tcPr>
                <w:p w:rsidR="006E391F" w:rsidRPr="00BC1144" w:rsidRDefault="006E391F" w:rsidP="00336FA0">
                  <w:pPr>
                    <w:pStyle w:val="TableBodyText"/>
                  </w:pPr>
                </w:p>
              </w:tc>
              <w:tc>
                <w:tcPr>
                  <w:tcW w:w="465" w:type="pct"/>
                  <w:vAlign w:val="center"/>
                </w:tcPr>
                <w:p w:rsidR="006E391F" w:rsidRPr="00BC1144" w:rsidRDefault="006E391F" w:rsidP="00336FA0">
                  <w:pPr>
                    <w:pStyle w:val="TableBodyText"/>
                  </w:pPr>
                  <w:r w:rsidRPr="00BC1144">
                    <w:t>-0.051</w:t>
                  </w:r>
                </w:p>
              </w:tc>
              <w:tc>
                <w:tcPr>
                  <w:tcW w:w="398" w:type="pct"/>
                  <w:vAlign w:val="center"/>
                </w:tcPr>
                <w:p w:rsidR="006E391F" w:rsidRPr="00BC1144" w:rsidRDefault="006E391F" w:rsidP="00336FA0">
                  <w:pPr>
                    <w:pStyle w:val="TableBodyText"/>
                    <w:ind w:right="28"/>
                  </w:pPr>
                </w:p>
              </w:tc>
              <w:tc>
                <w:tcPr>
                  <w:tcW w:w="398" w:type="pct"/>
                  <w:vAlign w:val="center"/>
                </w:tcPr>
                <w:p w:rsidR="006E391F" w:rsidRPr="00BC1144" w:rsidRDefault="006E391F" w:rsidP="00336FA0">
                  <w:pPr>
                    <w:pStyle w:val="TableBodyText"/>
                    <w:ind w:right="28"/>
                  </w:pPr>
                  <w:r w:rsidRPr="00BC1144">
                    <w:t>0.009</w:t>
                  </w:r>
                </w:p>
              </w:tc>
              <w:tc>
                <w:tcPr>
                  <w:tcW w:w="431" w:type="pct"/>
                  <w:vAlign w:val="center"/>
                </w:tcPr>
                <w:p w:rsidR="006E391F" w:rsidRPr="00BC1144" w:rsidRDefault="006E391F" w:rsidP="00336FA0">
                  <w:pPr>
                    <w:pStyle w:val="TableBodyText"/>
                    <w:ind w:right="28"/>
                  </w:pPr>
                </w:p>
              </w:tc>
              <w:tc>
                <w:tcPr>
                  <w:tcW w:w="431" w:type="pct"/>
                  <w:vAlign w:val="center"/>
                </w:tcPr>
                <w:p w:rsidR="006E391F" w:rsidRPr="00BC1144" w:rsidRDefault="006E391F" w:rsidP="00336FA0">
                  <w:pPr>
                    <w:pStyle w:val="TableBodyText"/>
                    <w:ind w:right="28"/>
                  </w:pPr>
                  <w:r w:rsidRPr="00BC1144">
                    <w:t>-0.004</w:t>
                  </w:r>
                </w:p>
              </w:tc>
              <w:tc>
                <w:tcPr>
                  <w:tcW w:w="398" w:type="pct"/>
                  <w:vAlign w:val="center"/>
                </w:tcPr>
                <w:p w:rsidR="006E391F" w:rsidRPr="00BC1144" w:rsidRDefault="006E391F" w:rsidP="00336FA0">
                  <w:pPr>
                    <w:pStyle w:val="TableBodyText"/>
                    <w:ind w:right="28"/>
                  </w:pPr>
                </w:p>
              </w:tc>
              <w:tc>
                <w:tcPr>
                  <w:tcW w:w="398" w:type="pct"/>
                  <w:vAlign w:val="center"/>
                </w:tcPr>
                <w:p w:rsidR="006E391F" w:rsidRPr="00BC1144" w:rsidRDefault="006E391F" w:rsidP="00336FA0">
                  <w:pPr>
                    <w:pStyle w:val="TableBodyText"/>
                    <w:ind w:right="28"/>
                  </w:pPr>
                  <w:r w:rsidRPr="00BC1144">
                    <w:t>-0.069</w:t>
                  </w:r>
                </w:p>
              </w:tc>
              <w:tc>
                <w:tcPr>
                  <w:tcW w:w="460" w:type="pct"/>
                  <w:vAlign w:val="center"/>
                </w:tcPr>
                <w:p w:rsidR="006E391F" w:rsidRPr="00BC1144" w:rsidRDefault="006E391F" w:rsidP="00336FA0">
                  <w:pPr>
                    <w:pStyle w:val="TableBodyText"/>
                    <w:ind w:right="28"/>
                  </w:pPr>
                </w:p>
              </w:tc>
              <w:tc>
                <w:tcPr>
                  <w:tcW w:w="427" w:type="pct"/>
                  <w:vAlign w:val="center"/>
                </w:tcPr>
                <w:p w:rsidR="006E391F" w:rsidRPr="00BC1144" w:rsidRDefault="006E391F" w:rsidP="00336FA0">
                  <w:pPr>
                    <w:pStyle w:val="TableBodyText"/>
                    <w:ind w:right="28"/>
                  </w:pPr>
                  <w:r w:rsidRPr="00BC1144">
                    <w:t>0.073</w:t>
                  </w:r>
                </w:p>
              </w:tc>
            </w:tr>
            <w:tr w:rsidR="006E391F" w:rsidRPr="00BC1144" w:rsidTr="00336FA0">
              <w:trPr>
                <w:trHeight w:val="329"/>
              </w:trPr>
              <w:tc>
                <w:tcPr>
                  <w:tcW w:w="730" w:type="pct"/>
                  <w:vAlign w:val="center"/>
                </w:tcPr>
                <w:p w:rsidR="006E391F" w:rsidRPr="00BC1144" w:rsidRDefault="006E391F" w:rsidP="00CC4DB6">
                  <w:pPr>
                    <w:pStyle w:val="TableBodyText"/>
                    <w:spacing w:after="20"/>
                    <w:jc w:val="left"/>
                  </w:pPr>
                </w:p>
              </w:tc>
              <w:tc>
                <w:tcPr>
                  <w:tcW w:w="464" w:type="pct"/>
                  <w:vAlign w:val="center"/>
                </w:tcPr>
                <w:p w:rsidR="006E391F" w:rsidRPr="00BC1144" w:rsidRDefault="006E391F" w:rsidP="00CC4DB6">
                  <w:pPr>
                    <w:pStyle w:val="TableBodyText"/>
                    <w:spacing w:after="20"/>
                  </w:pPr>
                </w:p>
              </w:tc>
              <w:tc>
                <w:tcPr>
                  <w:tcW w:w="465" w:type="pct"/>
                  <w:vAlign w:val="center"/>
                </w:tcPr>
                <w:p w:rsidR="006E391F" w:rsidRPr="00BC1144" w:rsidRDefault="006E391F" w:rsidP="00CC4DB6">
                  <w:pPr>
                    <w:pStyle w:val="TableBodyText"/>
                    <w:spacing w:after="20"/>
                  </w:pPr>
                  <w:r w:rsidRPr="00BC1144">
                    <w:t>(0.124)</w:t>
                  </w:r>
                </w:p>
              </w:tc>
              <w:tc>
                <w:tcPr>
                  <w:tcW w:w="398" w:type="pct"/>
                  <w:vAlign w:val="center"/>
                </w:tcPr>
                <w:p w:rsidR="006E391F" w:rsidRPr="00BC1144" w:rsidRDefault="006E391F" w:rsidP="00CC4DB6">
                  <w:pPr>
                    <w:pStyle w:val="TableBodyText"/>
                    <w:spacing w:after="20"/>
                    <w:ind w:right="28"/>
                  </w:pPr>
                </w:p>
              </w:tc>
              <w:tc>
                <w:tcPr>
                  <w:tcW w:w="398" w:type="pct"/>
                  <w:vAlign w:val="center"/>
                </w:tcPr>
                <w:p w:rsidR="006E391F" w:rsidRPr="00BC1144" w:rsidRDefault="006E391F" w:rsidP="00CC4DB6">
                  <w:pPr>
                    <w:pStyle w:val="TableBodyText"/>
                    <w:spacing w:after="20"/>
                    <w:ind w:right="28"/>
                  </w:pPr>
                  <w:r w:rsidRPr="00BC1144">
                    <w:t>(3.073)</w:t>
                  </w:r>
                </w:p>
              </w:tc>
              <w:tc>
                <w:tcPr>
                  <w:tcW w:w="431" w:type="pct"/>
                  <w:vAlign w:val="center"/>
                </w:tcPr>
                <w:p w:rsidR="006E391F" w:rsidRPr="00BC1144" w:rsidRDefault="006E391F" w:rsidP="00CC4DB6">
                  <w:pPr>
                    <w:pStyle w:val="TableBodyText"/>
                    <w:spacing w:after="20"/>
                    <w:ind w:right="28"/>
                  </w:pPr>
                </w:p>
              </w:tc>
              <w:tc>
                <w:tcPr>
                  <w:tcW w:w="431" w:type="pct"/>
                  <w:vAlign w:val="center"/>
                </w:tcPr>
                <w:p w:rsidR="006E391F" w:rsidRPr="00BC1144" w:rsidRDefault="006E391F" w:rsidP="00CC4DB6">
                  <w:pPr>
                    <w:pStyle w:val="TableBodyText"/>
                    <w:spacing w:after="20"/>
                    <w:ind w:right="28"/>
                  </w:pPr>
                  <w:r w:rsidRPr="00BC1144">
                    <w:t>(0.120)</w:t>
                  </w:r>
                </w:p>
              </w:tc>
              <w:tc>
                <w:tcPr>
                  <w:tcW w:w="398" w:type="pct"/>
                  <w:vAlign w:val="center"/>
                </w:tcPr>
                <w:p w:rsidR="006E391F" w:rsidRPr="00BC1144" w:rsidRDefault="006E391F" w:rsidP="00CC4DB6">
                  <w:pPr>
                    <w:pStyle w:val="TableBodyText"/>
                    <w:spacing w:after="20"/>
                    <w:ind w:right="28"/>
                  </w:pPr>
                </w:p>
              </w:tc>
              <w:tc>
                <w:tcPr>
                  <w:tcW w:w="398" w:type="pct"/>
                  <w:vAlign w:val="center"/>
                </w:tcPr>
                <w:p w:rsidR="006E391F" w:rsidRPr="00BC1144" w:rsidRDefault="006E391F" w:rsidP="00CC4DB6">
                  <w:pPr>
                    <w:pStyle w:val="TableBodyText"/>
                    <w:spacing w:after="20"/>
                    <w:ind w:right="28"/>
                  </w:pPr>
                  <w:r w:rsidRPr="00BC1144">
                    <w:t>(0.111)</w:t>
                  </w:r>
                </w:p>
              </w:tc>
              <w:tc>
                <w:tcPr>
                  <w:tcW w:w="460" w:type="pct"/>
                  <w:vAlign w:val="center"/>
                </w:tcPr>
                <w:p w:rsidR="006E391F" w:rsidRPr="00BC1144" w:rsidRDefault="006E391F" w:rsidP="00CC4DB6">
                  <w:pPr>
                    <w:pStyle w:val="TableBodyText"/>
                    <w:spacing w:after="20"/>
                    <w:ind w:right="28"/>
                  </w:pPr>
                </w:p>
              </w:tc>
              <w:tc>
                <w:tcPr>
                  <w:tcW w:w="427" w:type="pct"/>
                  <w:vAlign w:val="center"/>
                </w:tcPr>
                <w:p w:rsidR="006E391F" w:rsidRPr="00BC1144" w:rsidRDefault="006E391F" w:rsidP="00CC4DB6">
                  <w:pPr>
                    <w:pStyle w:val="TableBodyText"/>
                    <w:spacing w:after="20"/>
                    <w:ind w:right="28"/>
                  </w:pPr>
                  <w:r w:rsidRPr="00BC1144">
                    <w:t>(0.150)</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Parent's occupation: Q3</w:t>
                  </w:r>
                </w:p>
              </w:tc>
              <w:tc>
                <w:tcPr>
                  <w:tcW w:w="464" w:type="pct"/>
                  <w:shd w:val="clear" w:color="auto" w:fill="F2F2F2" w:themeFill="background1" w:themeFillShade="F2"/>
                  <w:vAlign w:val="center"/>
                </w:tcPr>
                <w:p w:rsidR="006E391F" w:rsidRPr="00BC1144" w:rsidRDefault="006E391F" w:rsidP="00336FA0">
                  <w:pPr>
                    <w:pStyle w:val="TableBodyText"/>
                  </w:pPr>
                  <w:r w:rsidRPr="00BC1144">
                    <w:t>0.025</w:t>
                  </w:r>
                </w:p>
              </w:tc>
              <w:tc>
                <w:tcPr>
                  <w:tcW w:w="465" w:type="pct"/>
                  <w:shd w:val="clear" w:color="auto" w:fill="F2F2F2" w:themeFill="background1" w:themeFillShade="F2"/>
                  <w:vAlign w:val="center"/>
                </w:tcPr>
                <w:p w:rsidR="006E391F" w:rsidRPr="00BC1144" w:rsidRDefault="006E391F" w:rsidP="00336FA0">
                  <w:pPr>
                    <w:pStyle w:val="TableBodyText"/>
                  </w:pPr>
                  <w:r w:rsidRPr="00BC1144">
                    <w:t>0.025</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-0.439</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-0.439</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0.047</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-0.024</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-0.261</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-0.227</w:t>
                  </w:r>
                  <w:r w:rsidRPr="00BC1144">
                    <w:rPr>
                      <w:vertAlign w:val="superscript"/>
                    </w:rPr>
                    <w:t>*</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-0.202</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-0.234</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CC4DB6">
                  <w:pPr>
                    <w:pStyle w:val="TableBodyText"/>
                    <w:spacing w:after="0"/>
                    <w:jc w:val="left"/>
                  </w:pPr>
                </w:p>
              </w:tc>
              <w:tc>
                <w:tcPr>
                  <w:tcW w:w="464" w:type="pct"/>
                  <w:shd w:val="clear" w:color="auto" w:fill="F2F2F2" w:themeFill="background1" w:themeFillShade="F2"/>
                  <w:vAlign w:val="center"/>
                </w:tcPr>
                <w:p w:rsidR="006E391F" w:rsidRPr="00BC1144" w:rsidRDefault="006E391F" w:rsidP="00CC4DB6">
                  <w:pPr>
                    <w:pStyle w:val="TableBodyText"/>
                    <w:spacing w:after="0"/>
                  </w:pPr>
                  <w:r w:rsidRPr="00BC1144">
                    <w:t>(0.098)</w:t>
                  </w:r>
                </w:p>
              </w:tc>
              <w:tc>
                <w:tcPr>
                  <w:tcW w:w="465" w:type="pct"/>
                  <w:shd w:val="clear" w:color="auto" w:fill="F2F2F2" w:themeFill="background1" w:themeFillShade="F2"/>
                  <w:vAlign w:val="center"/>
                </w:tcPr>
                <w:p w:rsidR="006E391F" w:rsidRPr="00BC1144" w:rsidRDefault="006E391F" w:rsidP="00CC4DB6">
                  <w:pPr>
                    <w:pStyle w:val="TableBodyText"/>
                    <w:spacing w:after="0"/>
                  </w:pPr>
                  <w:r w:rsidRPr="00BC1144">
                    <w:t>(0.099)</w:t>
                  </w:r>
                </w:p>
              </w:tc>
              <w:tc>
                <w:tcPr>
                  <w:tcW w:w="398" w:type="pct"/>
                  <w:shd w:val="clear" w:color="auto" w:fill="F2F2F2" w:themeFill="background1" w:themeFillShade="F2"/>
                  <w:vAlign w:val="center"/>
                </w:tcPr>
                <w:p w:rsidR="006E391F" w:rsidRPr="00BC1144" w:rsidRDefault="006E391F" w:rsidP="00CC4DB6">
                  <w:pPr>
                    <w:pStyle w:val="TableBodyText"/>
                    <w:spacing w:after="0"/>
                    <w:ind w:right="28"/>
                  </w:pPr>
                  <w:r w:rsidRPr="00BC1144">
                    <w:t>(3.155)</w:t>
                  </w:r>
                </w:p>
              </w:tc>
              <w:tc>
                <w:tcPr>
                  <w:tcW w:w="398" w:type="pct"/>
                  <w:shd w:val="clear" w:color="auto" w:fill="F2F2F2" w:themeFill="background1" w:themeFillShade="F2"/>
                  <w:vAlign w:val="center"/>
                </w:tcPr>
                <w:p w:rsidR="006E391F" w:rsidRPr="00BC1144" w:rsidRDefault="006E391F" w:rsidP="00CC4DB6">
                  <w:pPr>
                    <w:pStyle w:val="TableBodyText"/>
                    <w:spacing w:after="0"/>
                    <w:ind w:right="28"/>
                  </w:pPr>
                  <w:r w:rsidRPr="00BC1144">
                    <w:t>(3.047)</w:t>
                  </w:r>
                </w:p>
              </w:tc>
              <w:tc>
                <w:tcPr>
                  <w:tcW w:w="431" w:type="pct"/>
                  <w:shd w:val="clear" w:color="auto" w:fill="F2F2F2" w:themeFill="background1" w:themeFillShade="F2"/>
                  <w:vAlign w:val="center"/>
                </w:tcPr>
                <w:p w:rsidR="006E391F" w:rsidRPr="00BC1144" w:rsidRDefault="006E391F" w:rsidP="00CC4DB6">
                  <w:pPr>
                    <w:pStyle w:val="TableBodyText"/>
                    <w:spacing w:after="0"/>
                    <w:ind w:right="28"/>
                  </w:pPr>
                  <w:r w:rsidRPr="00BC1144">
                    <w:t>(0.120)</w:t>
                  </w:r>
                </w:p>
              </w:tc>
              <w:tc>
                <w:tcPr>
                  <w:tcW w:w="431" w:type="pct"/>
                  <w:shd w:val="clear" w:color="auto" w:fill="F2F2F2" w:themeFill="background1" w:themeFillShade="F2"/>
                  <w:vAlign w:val="center"/>
                </w:tcPr>
                <w:p w:rsidR="006E391F" w:rsidRPr="00BC1144" w:rsidRDefault="006E391F" w:rsidP="00CC4DB6">
                  <w:pPr>
                    <w:pStyle w:val="TableBodyText"/>
                    <w:spacing w:after="0"/>
                    <w:ind w:right="28"/>
                  </w:pPr>
                  <w:r w:rsidRPr="00BC1144">
                    <w:t>(0.110)</w:t>
                  </w:r>
                </w:p>
              </w:tc>
              <w:tc>
                <w:tcPr>
                  <w:tcW w:w="398" w:type="pct"/>
                  <w:shd w:val="clear" w:color="auto" w:fill="F2F2F2" w:themeFill="background1" w:themeFillShade="F2"/>
                  <w:vAlign w:val="center"/>
                </w:tcPr>
                <w:p w:rsidR="006E391F" w:rsidRPr="00BC1144" w:rsidRDefault="006E391F" w:rsidP="00CC4DB6">
                  <w:pPr>
                    <w:pStyle w:val="TableBodyText"/>
                    <w:spacing w:after="0"/>
                    <w:ind w:right="28"/>
                  </w:pPr>
                  <w:r w:rsidRPr="00BC1144">
                    <w:t>(0.146)</w:t>
                  </w:r>
                </w:p>
              </w:tc>
              <w:tc>
                <w:tcPr>
                  <w:tcW w:w="398" w:type="pct"/>
                  <w:shd w:val="clear" w:color="auto" w:fill="F2F2F2" w:themeFill="background1" w:themeFillShade="F2"/>
                  <w:vAlign w:val="center"/>
                </w:tcPr>
                <w:p w:rsidR="006E391F" w:rsidRPr="00BC1144" w:rsidRDefault="006E391F" w:rsidP="00CC4DB6">
                  <w:pPr>
                    <w:pStyle w:val="TableBodyText"/>
                    <w:spacing w:after="0"/>
                    <w:ind w:right="28"/>
                  </w:pPr>
                  <w:r w:rsidRPr="00BC1144">
                    <w:t>(0.137)</w:t>
                  </w:r>
                </w:p>
              </w:tc>
              <w:tc>
                <w:tcPr>
                  <w:tcW w:w="460" w:type="pct"/>
                  <w:shd w:val="clear" w:color="auto" w:fill="F2F2F2" w:themeFill="background1" w:themeFillShade="F2"/>
                  <w:vAlign w:val="center"/>
                </w:tcPr>
                <w:p w:rsidR="006E391F" w:rsidRPr="00BC1144" w:rsidRDefault="006E391F" w:rsidP="00CC4DB6">
                  <w:pPr>
                    <w:pStyle w:val="TableBodyText"/>
                    <w:spacing w:after="0"/>
                    <w:ind w:right="28"/>
                  </w:pPr>
                  <w:r w:rsidRPr="00BC1144">
                    <w:t>(0.233)</w:t>
                  </w:r>
                </w:p>
              </w:tc>
              <w:tc>
                <w:tcPr>
                  <w:tcW w:w="427" w:type="pct"/>
                  <w:shd w:val="clear" w:color="auto" w:fill="F2F2F2" w:themeFill="background1" w:themeFillShade="F2"/>
                  <w:vAlign w:val="center"/>
                </w:tcPr>
                <w:p w:rsidR="006E391F" w:rsidRPr="00BC1144" w:rsidRDefault="006E391F" w:rsidP="00CC4DB6">
                  <w:pPr>
                    <w:pStyle w:val="TableBodyText"/>
                    <w:spacing w:after="0"/>
                    <w:ind w:right="28"/>
                  </w:pPr>
                  <w:r w:rsidRPr="00BC1144">
                    <w:t>(0.147)</w:t>
                  </w:r>
                </w:p>
              </w:tc>
            </w:tr>
            <w:tr w:rsidR="006E391F" w:rsidRPr="00BC1144" w:rsidTr="00336FA0">
              <w:trPr>
                <w:trHeight w:val="329"/>
              </w:trPr>
              <w:tc>
                <w:tcPr>
                  <w:tcW w:w="730" w:type="pct"/>
                  <w:vAlign w:val="center"/>
                </w:tcPr>
                <w:p w:rsidR="006E391F" w:rsidRPr="00BC1144" w:rsidRDefault="006E391F" w:rsidP="00336FA0">
                  <w:pPr>
                    <w:pStyle w:val="TableBodyText"/>
                    <w:jc w:val="left"/>
                  </w:pPr>
                  <w:r w:rsidRPr="00BC1144">
                    <w:t>Parent's occupation: Q2</w:t>
                  </w:r>
                </w:p>
              </w:tc>
              <w:tc>
                <w:tcPr>
                  <w:tcW w:w="464" w:type="pct"/>
                  <w:vAlign w:val="center"/>
                </w:tcPr>
                <w:p w:rsidR="006E391F" w:rsidRPr="00BC1144" w:rsidRDefault="006E391F" w:rsidP="00336FA0">
                  <w:pPr>
                    <w:pStyle w:val="TableBodyText"/>
                  </w:pPr>
                  <w:r w:rsidRPr="00BC1144">
                    <w:t>-0.091</w:t>
                  </w:r>
                </w:p>
              </w:tc>
              <w:tc>
                <w:tcPr>
                  <w:tcW w:w="465" w:type="pct"/>
                  <w:vAlign w:val="center"/>
                </w:tcPr>
                <w:p w:rsidR="006E391F" w:rsidRPr="00BC1144" w:rsidRDefault="006E391F" w:rsidP="00336FA0">
                  <w:pPr>
                    <w:pStyle w:val="TableBodyText"/>
                  </w:pPr>
                  <w:r w:rsidRPr="00BC1144">
                    <w:t>-0.091</w:t>
                  </w:r>
                </w:p>
              </w:tc>
              <w:tc>
                <w:tcPr>
                  <w:tcW w:w="398" w:type="pct"/>
                  <w:vAlign w:val="center"/>
                </w:tcPr>
                <w:p w:rsidR="006E391F" w:rsidRPr="00BC1144" w:rsidRDefault="006E391F" w:rsidP="00336FA0">
                  <w:pPr>
                    <w:pStyle w:val="TableBodyText"/>
                    <w:ind w:right="28"/>
                  </w:pPr>
                  <w:r w:rsidRPr="00BC1144">
                    <w:t>-0.382</w:t>
                  </w:r>
                </w:p>
              </w:tc>
              <w:tc>
                <w:tcPr>
                  <w:tcW w:w="398" w:type="pct"/>
                  <w:vAlign w:val="center"/>
                </w:tcPr>
                <w:p w:rsidR="006E391F" w:rsidRPr="00BC1144" w:rsidRDefault="006E391F" w:rsidP="00336FA0">
                  <w:pPr>
                    <w:pStyle w:val="TableBodyText"/>
                    <w:ind w:right="28"/>
                  </w:pPr>
                  <w:r w:rsidRPr="00BC1144">
                    <w:t>-0.347</w:t>
                  </w:r>
                </w:p>
              </w:tc>
              <w:tc>
                <w:tcPr>
                  <w:tcW w:w="431" w:type="pct"/>
                  <w:vAlign w:val="center"/>
                </w:tcPr>
                <w:p w:rsidR="006E391F" w:rsidRPr="00BC1144" w:rsidRDefault="006E391F" w:rsidP="00336FA0">
                  <w:pPr>
                    <w:pStyle w:val="TableBodyText"/>
                    <w:ind w:right="28"/>
                  </w:pPr>
                  <w:r w:rsidRPr="00BC1144">
                    <w:t>0.065</w:t>
                  </w:r>
                </w:p>
              </w:tc>
              <w:tc>
                <w:tcPr>
                  <w:tcW w:w="431" w:type="pct"/>
                  <w:vAlign w:val="center"/>
                </w:tcPr>
                <w:p w:rsidR="006E391F" w:rsidRPr="00BC1144" w:rsidRDefault="006E391F" w:rsidP="00336FA0">
                  <w:pPr>
                    <w:pStyle w:val="TableBodyText"/>
                    <w:ind w:right="28"/>
                  </w:pPr>
                  <w:r w:rsidRPr="00BC1144">
                    <w:t>-0.008</w:t>
                  </w:r>
                </w:p>
              </w:tc>
              <w:tc>
                <w:tcPr>
                  <w:tcW w:w="398" w:type="pct"/>
                  <w:vAlign w:val="center"/>
                </w:tcPr>
                <w:p w:rsidR="006E391F" w:rsidRPr="00BC1144" w:rsidRDefault="006E391F" w:rsidP="00336FA0">
                  <w:pPr>
                    <w:pStyle w:val="TableBodyText"/>
                    <w:ind w:right="28"/>
                  </w:pPr>
                  <w:r w:rsidRPr="00BC1144">
                    <w:t>-0.279</w:t>
                  </w:r>
                  <w:r w:rsidRPr="00BC1144">
                    <w:rPr>
                      <w:vertAlign w:val="superscript"/>
                    </w:rPr>
                    <w:t>*</w:t>
                  </w:r>
                </w:p>
              </w:tc>
              <w:tc>
                <w:tcPr>
                  <w:tcW w:w="398" w:type="pct"/>
                  <w:vAlign w:val="center"/>
                </w:tcPr>
                <w:p w:rsidR="006E391F" w:rsidRPr="00BC1144" w:rsidRDefault="006E391F" w:rsidP="00336FA0">
                  <w:pPr>
                    <w:pStyle w:val="TableBodyText"/>
                    <w:ind w:right="28"/>
                  </w:pPr>
                  <w:r w:rsidRPr="00BC1144">
                    <w:t>-0.275</w:t>
                  </w:r>
                  <w:r w:rsidRPr="00BC1144">
                    <w:rPr>
                      <w:vertAlign w:val="superscript"/>
                    </w:rPr>
                    <w:t>*</w:t>
                  </w:r>
                </w:p>
              </w:tc>
              <w:tc>
                <w:tcPr>
                  <w:tcW w:w="460" w:type="pct"/>
                  <w:vAlign w:val="center"/>
                </w:tcPr>
                <w:p w:rsidR="006E391F" w:rsidRPr="00BC1144" w:rsidRDefault="006E391F" w:rsidP="00336FA0">
                  <w:pPr>
                    <w:pStyle w:val="TableBodyText"/>
                    <w:ind w:right="28"/>
                  </w:pPr>
                  <w:r w:rsidRPr="00BC1144">
                    <w:t>-0.074</w:t>
                  </w:r>
                </w:p>
              </w:tc>
              <w:tc>
                <w:tcPr>
                  <w:tcW w:w="427" w:type="pct"/>
                  <w:vAlign w:val="center"/>
                </w:tcPr>
                <w:p w:rsidR="006E391F" w:rsidRPr="00BC1144" w:rsidRDefault="006E391F" w:rsidP="00336FA0">
                  <w:pPr>
                    <w:pStyle w:val="TableBodyText"/>
                    <w:ind w:right="28"/>
                  </w:pPr>
                  <w:r w:rsidRPr="00BC1144">
                    <w:t>-0.153</w:t>
                  </w:r>
                </w:p>
              </w:tc>
            </w:tr>
            <w:tr w:rsidR="006E391F" w:rsidRPr="00BC1144" w:rsidTr="00336FA0">
              <w:trPr>
                <w:trHeight w:val="329"/>
              </w:trPr>
              <w:tc>
                <w:tcPr>
                  <w:tcW w:w="730" w:type="pct"/>
                  <w:vAlign w:val="center"/>
                </w:tcPr>
                <w:p w:rsidR="006E391F" w:rsidRPr="00BC1144" w:rsidRDefault="006E391F" w:rsidP="00336FA0">
                  <w:pPr>
                    <w:pStyle w:val="TableBodyText"/>
                    <w:jc w:val="left"/>
                  </w:pPr>
                </w:p>
              </w:tc>
              <w:tc>
                <w:tcPr>
                  <w:tcW w:w="464" w:type="pct"/>
                  <w:vAlign w:val="center"/>
                </w:tcPr>
                <w:p w:rsidR="006E391F" w:rsidRPr="00BC1144" w:rsidRDefault="006E391F" w:rsidP="00336FA0">
                  <w:pPr>
                    <w:pStyle w:val="TableBodyText"/>
                  </w:pPr>
                  <w:r w:rsidRPr="00BC1144">
                    <w:t>(0.113)</w:t>
                  </w:r>
                </w:p>
              </w:tc>
              <w:tc>
                <w:tcPr>
                  <w:tcW w:w="465" w:type="pct"/>
                  <w:vAlign w:val="center"/>
                </w:tcPr>
                <w:p w:rsidR="006E391F" w:rsidRPr="00BC1144" w:rsidRDefault="006E391F" w:rsidP="00336FA0">
                  <w:pPr>
                    <w:pStyle w:val="TableBodyText"/>
                  </w:pPr>
                  <w:r w:rsidRPr="00BC1144">
                    <w:t>(0.112)</w:t>
                  </w:r>
                </w:p>
              </w:tc>
              <w:tc>
                <w:tcPr>
                  <w:tcW w:w="398" w:type="pct"/>
                  <w:vAlign w:val="center"/>
                </w:tcPr>
                <w:p w:rsidR="006E391F" w:rsidRPr="00BC1144" w:rsidRDefault="006E391F" w:rsidP="00336FA0">
                  <w:pPr>
                    <w:pStyle w:val="TableBodyText"/>
                    <w:ind w:right="28"/>
                  </w:pPr>
                  <w:r w:rsidRPr="00BC1144">
                    <w:t>(3.861)</w:t>
                  </w:r>
                </w:p>
              </w:tc>
              <w:tc>
                <w:tcPr>
                  <w:tcW w:w="398" w:type="pct"/>
                  <w:vAlign w:val="center"/>
                </w:tcPr>
                <w:p w:rsidR="006E391F" w:rsidRPr="00BC1144" w:rsidRDefault="006E391F" w:rsidP="00336FA0">
                  <w:pPr>
                    <w:pStyle w:val="TableBodyText"/>
                    <w:ind w:right="28"/>
                  </w:pPr>
                  <w:r w:rsidRPr="00BC1144">
                    <w:t>(3.493)</w:t>
                  </w:r>
                </w:p>
              </w:tc>
              <w:tc>
                <w:tcPr>
                  <w:tcW w:w="431" w:type="pct"/>
                  <w:vAlign w:val="center"/>
                </w:tcPr>
                <w:p w:rsidR="006E391F" w:rsidRPr="00BC1144" w:rsidRDefault="006E391F" w:rsidP="00336FA0">
                  <w:pPr>
                    <w:pStyle w:val="TableBodyText"/>
                    <w:ind w:right="28"/>
                  </w:pPr>
                  <w:r w:rsidRPr="00BC1144">
                    <w:t>(0.129)</w:t>
                  </w:r>
                </w:p>
              </w:tc>
              <w:tc>
                <w:tcPr>
                  <w:tcW w:w="431" w:type="pct"/>
                  <w:vAlign w:val="center"/>
                </w:tcPr>
                <w:p w:rsidR="006E391F" w:rsidRPr="00BC1144" w:rsidRDefault="006E391F" w:rsidP="00336FA0">
                  <w:pPr>
                    <w:pStyle w:val="TableBodyText"/>
                    <w:ind w:right="28"/>
                  </w:pPr>
                  <w:r w:rsidRPr="00BC1144">
                    <w:t>(0.122)</w:t>
                  </w:r>
                </w:p>
              </w:tc>
              <w:tc>
                <w:tcPr>
                  <w:tcW w:w="398" w:type="pct"/>
                  <w:vAlign w:val="center"/>
                </w:tcPr>
                <w:p w:rsidR="006E391F" w:rsidRPr="00BC1144" w:rsidRDefault="006E391F" w:rsidP="00336FA0">
                  <w:pPr>
                    <w:pStyle w:val="TableBodyText"/>
                    <w:ind w:right="28"/>
                  </w:pPr>
                  <w:r w:rsidRPr="00BC1144">
                    <w:t>(0.154)</w:t>
                  </w:r>
                </w:p>
              </w:tc>
              <w:tc>
                <w:tcPr>
                  <w:tcW w:w="398" w:type="pct"/>
                  <w:vAlign w:val="center"/>
                </w:tcPr>
                <w:p w:rsidR="006E391F" w:rsidRPr="00BC1144" w:rsidRDefault="006E391F" w:rsidP="00336FA0">
                  <w:pPr>
                    <w:pStyle w:val="TableBodyText"/>
                    <w:ind w:right="28"/>
                  </w:pPr>
                  <w:r w:rsidRPr="00BC1144">
                    <w:t>(0.149)</w:t>
                  </w:r>
                </w:p>
              </w:tc>
              <w:tc>
                <w:tcPr>
                  <w:tcW w:w="460" w:type="pct"/>
                  <w:vAlign w:val="center"/>
                </w:tcPr>
                <w:p w:rsidR="006E391F" w:rsidRPr="00BC1144" w:rsidRDefault="006E391F" w:rsidP="00336FA0">
                  <w:pPr>
                    <w:pStyle w:val="TableBodyText"/>
                    <w:ind w:right="28"/>
                  </w:pPr>
                  <w:r w:rsidRPr="00BC1144">
                    <w:t>(0.185)</w:t>
                  </w:r>
                </w:p>
              </w:tc>
              <w:tc>
                <w:tcPr>
                  <w:tcW w:w="427" w:type="pct"/>
                  <w:vAlign w:val="center"/>
                </w:tcPr>
                <w:p w:rsidR="006E391F" w:rsidRPr="00BC1144" w:rsidRDefault="006E391F" w:rsidP="00336FA0">
                  <w:pPr>
                    <w:pStyle w:val="TableBodyText"/>
                    <w:ind w:right="28"/>
                  </w:pPr>
                  <w:r w:rsidRPr="00BC1144">
                    <w:t>(0.150)</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Parent's occupation: Q1</w:t>
                  </w:r>
                </w:p>
              </w:tc>
              <w:tc>
                <w:tcPr>
                  <w:tcW w:w="464" w:type="pct"/>
                  <w:shd w:val="clear" w:color="auto" w:fill="F2F2F2" w:themeFill="background1" w:themeFillShade="F2"/>
                  <w:vAlign w:val="center"/>
                </w:tcPr>
                <w:p w:rsidR="006E391F" w:rsidRPr="00BC1144" w:rsidRDefault="006E391F" w:rsidP="00336FA0">
                  <w:pPr>
                    <w:pStyle w:val="TableBodyText"/>
                  </w:pPr>
                  <w:r w:rsidRPr="00BC1144">
                    <w:t>-0.233</w:t>
                  </w:r>
                </w:p>
              </w:tc>
              <w:tc>
                <w:tcPr>
                  <w:tcW w:w="465" w:type="pct"/>
                  <w:shd w:val="clear" w:color="auto" w:fill="F2F2F2" w:themeFill="background1" w:themeFillShade="F2"/>
                  <w:vAlign w:val="center"/>
                </w:tcPr>
                <w:p w:rsidR="006E391F" w:rsidRPr="00BC1144" w:rsidRDefault="006E391F" w:rsidP="00336FA0">
                  <w:pPr>
                    <w:pStyle w:val="TableBodyText"/>
                  </w:pPr>
                  <w:r w:rsidRPr="00BC1144">
                    <w:t>-0.233</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-0.388</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-0.400</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0.124</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0.046</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-0.268</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-0.262</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-0.044</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-0.153</w:t>
                  </w:r>
                </w:p>
              </w:tc>
            </w:tr>
            <w:tr w:rsidR="006E391F" w:rsidRPr="00BC1144" w:rsidTr="00336FA0">
              <w:trPr>
                <w:trHeight w:val="340"/>
              </w:trPr>
              <w:tc>
                <w:tcPr>
                  <w:tcW w:w="730" w:type="pct"/>
                  <w:shd w:val="clear" w:color="auto" w:fill="F2F2F2" w:themeFill="background1" w:themeFillShade="F2"/>
                  <w:vAlign w:val="center"/>
                </w:tcPr>
                <w:p w:rsidR="006E391F" w:rsidRPr="00BC1144" w:rsidRDefault="006E391F" w:rsidP="00336FA0">
                  <w:pPr>
                    <w:pStyle w:val="TableBodyText"/>
                    <w:jc w:val="left"/>
                  </w:pPr>
                </w:p>
              </w:tc>
              <w:tc>
                <w:tcPr>
                  <w:tcW w:w="464" w:type="pct"/>
                  <w:shd w:val="clear" w:color="auto" w:fill="F2F2F2" w:themeFill="background1" w:themeFillShade="F2"/>
                  <w:vAlign w:val="center"/>
                </w:tcPr>
                <w:p w:rsidR="006E391F" w:rsidRPr="00BC1144" w:rsidRDefault="006E391F" w:rsidP="00336FA0">
                  <w:pPr>
                    <w:pStyle w:val="TableBodyText"/>
                  </w:pPr>
                  <w:r w:rsidRPr="00BC1144">
                    <w:t>(0.179)</w:t>
                  </w:r>
                </w:p>
              </w:tc>
              <w:tc>
                <w:tcPr>
                  <w:tcW w:w="465" w:type="pct"/>
                  <w:shd w:val="clear" w:color="auto" w:fill="F2F2F2" w:themeFill="background1" w:themeFillShade="F2"/>
                  <w:vAlign w:val="center"/>
                </w:tcPr>
                <w:p w:rsidR="006E391F" w:rsidRPr="00BC1144" w:rsidRDefault="006E391F" w:rsidP="00336FA0">
                  <w:pPr>
                    <w:pStyle w:val="TableBodyText"/>
                  </w:pPr>
                  <w:r w:rsidRPr="00BC1144">
                    <w:t>(0.185)</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(4.324)</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(3.920)</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(0.189)</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(0.173)</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(0.424)</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(0.361)</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(0.323)</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(0.198)</w:t>
                  </w:r>
                </w:p>
              </w:tc>
            </w:tr>
            <w:tr w:rsidR="006E391F" w:rsidRPr="00BC1144" w:rsidTr="00336FA0">
              <w:trPr>
                <w:trHeight w:val="329"/>
              </w:trPr>
              <w:tc>
                <w:tcPr>
                  <w:tcW w:w="730" w:type="pct"/>
                  <w:vAlign w:val="center"/>
                </w:tcPr>
                <w:p w:rsidR="006E391F" w:rsidRPr="00BC1144" w:rsidRDefault="006E391F" w:rsidP="00336FA0">
                  <w:pPr>
                    <w:pStyle w:val="TableBodyText"/>
                    <w:jc w:val="left"/>
                  </w:pPr>
                  <w:r w:rsidRPr="00BC1144">
                    <w:t>Parent's education: Below university</w:t>
                  </w:r>
                </w:p>
              </w:tc>
              <w:tc>
                <w:tcPr>
                  <w:tcW w:w="464" w:type="pct"/>
                  <w:vAlign w:val="center"/>
                </w:tcPr>
                <w:p w:rsidR="006E391F" w:rsidRPr="00BC1144" w:rsidRDefault="006E391F" w:rsidP="00336FA0">
                  <w:pPr>
                    <w:pStyle w:val="TableBodyText"/>
                  </w:pPr>
                  <w:r w:rsidRPr="00BC1144">
                    <w:t>-0.313</w:t>
                  </w:r>
                  <w:r w:rsidRPr="00BC1144">
                    <w:rPr>
                      <w:vertAlign w:val="superscript"/>
                    </w:rPr>
                    <w:t>***</w:t>
                  </w:r>
                </w:p>
              </w:tc>
              <w:tc>
                <w:tcPr>
                  <w:tcW w:w="465" w:type="pct"/>
                  <w:vAlign w:val="center"/>
                </w:tcPr>
                <w:p w:rsidR="006E391F" w:rsidRPr="00BC1144" w:rsidRDefault="006E391F" w:rsidP="00336FA0">
                  <w:pPr>
                    <w:pStyle w:val="TableBodyText"/>
                  </w:pPr>
                  <w:r w:rsidRPr="00BC1144">
                    <w:t>-0.312</w:t>
                  </w:r>
                  <w:r w:rsidRPr="00BC1144">
                    <w:rPr>
                      <w:vertAlign w:val="superscript"/>
                    </w:rPr>
                    <w:t>***</w:t>
                  </w:r>
                </w:p>
              </w:tc>
              <w:tc>
                <w:tcPr>
                  <w:tcW w:w="398" w:type="pct"/>
                  <w:vAlign w:val="center"/>
                </w:tcPr>
                <w:p w:rsidR="006E391F" w:rsidRPr="00BC1144" w:rsidRDefault="006E391F" w:rsidP="00336FA0">
                  <w:pPr>
                    <w:pStyle w:val="TableBodyText"/>
                    <w:ind w:right="28"/>
                  </w:pPr>
                  <w:r w:rsidRPr="00BC1144">
                    <w:t>-0.321</w:t>
                  </w:r>
                </w:p>
              </w:tc>
              <w:tc>
                <w:tcPr>
                  <w:tcW w:w="398" w:type="pct"/>
                  <w:vAlign w:val="center"/>
                </w:tcPr>
                <w:p w:rsidR="006E391F" w:rsidRPr="00BC1144" w:rsidRDefault="006E391F" w:rsidP="00336FA0">
                  <w:pPr>
                    <w:pStyle w:val="TableBodyText"/>
                    <w:ind w:right="28"/>
                  </w:pPr>
                  <w:r w:rsidRPr="00BC1144">
                    <w:t>-0.353</w:t>
                  </w:r>
                </w:p>
              </w:tc>
              <w:tc>
                <w:tcPr>
                  <w:tcW w:w="431" w:type="pct"/>
                  <w:vAlign w:val="center"/>
                </w:tcPr>
                <w:p w:rsidR="006E391F" w:rsidRPr="00BC1144" w:rsidRDefault="006E391F" w:rsidP="00336FA0">
                  <w:pPr>
                    <w:pStyle w:val="TableBodyText"/>
                    <w:ind w:right="28"/>
                  </w:pPr>
                  <w:r w:rsidRPr="00BC1144">
                    <w:t>-0.228</w:t>
                  </w:r>
                  <w:r w:rsidRPr="00BC1144">
                    <w:rPr>
                      <w:vertAlign w:val="superscript"/>
                    </w:rPr>
                    <w:t>***</w:t>
                  </w:r>
                </w:p>
              </w:tc>
              <w:tc>
                <w:tcPr>
                  <w:tcW w:w="431" w:type="pct"/>
                  <w:vAlign w:val="center"/>
                </w:tcPr>
                <w:p w:rsidR="006E391F" w:rsidRPr="00BC1144" w:rsidRDefault="006E391F" w:rsidP="00336FA0">
                  <w:pPr>
                    <w:pStyle w:val="TableBodyText"/>
                    <w:ind w:right="28"/>
                  </w:pPr>
                  <w:r w:rsidRPr="00BC1144">
                    <w:t>-0.317</w:t>
                  </w:r>
                  <w:r w:rsidRPr="00BC1144">
                    <w:rPr>
                      <w:vertAlign w:val="superscript"/>
                    </w:rPr>
                    <w:t>***</w:t>
                  </w:r>
                </w:p>
              </w:tc>
              <w:tc>
                <w:tcPr>
                  <w:tcW w:w="398" w:type="pct"/>
                  <w:vAlign w:val="center"/>
                </w:tcPr>
                <w:p w:rsidR="006E391F" w:rsidRPr="00BC1144" w:rsidRDefault="006E391F" w:rsidP="00336FA0">
                  <w:pPr>
                    <w:pStyle w:val="TableBodyText"/>
                    <w:ind w:right="28"/>
                  </w:pPr>
                  <w:r w:rsidRPr="00BC1144">
                    <w:t>-0.026</w:t>
                  </w:r>
                </w:p>
              </w:tc>
              <w:tc>
                <w:tcPr>
                  <w:tcW w:w="398" w:type="pct"/>
                  <w:vAlign w:val="center"/>
                </w:tcPr>
                <w:p w:rsidR="006E391F" w:rsidRPr="00BC1144" w:rsidRDefault="006E391F" w:rsidP="00336FA0">
                  <w:pPr>
                    <w:pStyle w:val="TableBodyText"/>
                    <w:ind w:right="28"/>
                  </w:pPr>
                  <w:r w:rsidRPr="00BC1144">
                    <w:t>-0.153</w:t>
                  </w:r>
                </w:p>
              </w:tc>
              <w:tc>
                <w:tcPr>
                  <w:tcW w:w="460" w:type="pct"/>
                  <w:vAlign w:val="center"/>
                </w:tcPr>
                <w:p w:rsidR="006E391F" w:rsidRPr="00BC1144" w:rsidRDefault="006E391F" w:rsidP="00336FA0">
                  <w:pPr>
                    <w:pStyle w:val="TableBodyText"/>
                    <w:ind w:right="28"/>
                  </w:pPr>
                  <w:r w:rsidRPr="00BC1144">
                    <w:t>-0.283</w:t>
                  </w:r>
                </w:p>
              </w:tc>
              <w:tc>
                <w:tcPr>
                  <w:tcW w:w="427" w:type="pct"/>
                  <w:vAlign w:val="center"/>
                </w:tcPr>
                <w:p w:rsidR="006E391F" w:rsidRPr="00BC1144" w:rsidRDefault="006E391F" w:rsidP="00336FA0">
                  <w:pPr>
                    <w:pStyle w:val="TableBodyText"/>
                    <w:ind w:right="28"/>
                  </w:pPr>
                  <w:r w:rsidRPr="00BC1144">
                    <w:t>-0.347</w:t>
                  </w:r>
                  <w:r w:rsidRPr="00BC1144">
                    <w:rPr>
                      <w:vertAlign w:val="superscript"/>
                    </w:rPr>
                    <w:t>***</w:t>
                  </w:r>
                </w:p>
              </w:tc>
            </w:tr>
            <w:tr w:rsidR="006E391F" w:rsidRPr="00BC1144" w:rsidTr="00336FA0">
              <w:trPr>
                <w:trHeight w:val="329"/>
              </w:trPr>
              <w:tc>
                <w:tcPr>
                  <w:tcW w:w="730" w:type="pct"/>
                  <w:vAlign w:val="center"/>
                </w:tcPr>
                <w:p w:rsidR="006E391F" w:rsidRPr="00BC1144" w:rsidRDefault="006E391F" w:rsidP="00336FA0">
                  <w:pPr>
                    <w:pStyle w:val="TableBodyText"/>
                    <w:jc w:val="left"/>
                  </w:pPr>
                </w:p>
              </w:tc>
              <w:tc>
                <w:tcPr>
                  <w:tcW w:w="464" w:type="pct"/>
                  <w:vAlign w:val="center"/>
                </w:tcPr>
                <w:p w:rsidR="006E391F" w:rsidRPr="00BC1144" w:rsidRDefault="006E391F" w:rsidP="00336FA0">
                  <w:pPr>
                    <w:pStyle w:val="TableBodyText"/>
                  </w:pPr>
                  <w:r w:rsidRPr="00BC1144">
                    <w:t>(0.085)</w:t>
                  </w:r>
                </w:p>
              </w:tc>
              <w:tc>
                <w:tcPr>
                  <w:tcW w:w="465" w:type="pct"/>
                  <w:vAlign w:val="center"/>
                </w:tcPr>
                <w:p w:rsidR="006E391F" w:rsidRPr="00BC1144" w:rsidRDefault="006E391F" w:rsidP="00336FA0">
                  <w:pPr>
                    <w:pStyle w:val="TableBodyText"/>
                  </w:pPr>
                  <w:r w:rsidRPr="00BC1144">
                    <w:t>(0.088)</w:t>
                  </w:r>
                </w:p>
              </w:tc>
              <w:tc>
                <w:tcPr>
                  <w:tcW w:w="398" w:type="pct"/>
                  <w:vAlign w:val="center"/>
                </w:tcPr>
                <w:p w:rsidR="006E391F" w:rsidRPr="00BC1144" w:rsidRDefault="006E391F" w:rsidP="00336FA0">
                  <w:pPr>
                    <w:pStyle w:val="TableBodyText"/>
                    <w:ind w:right="28"/>
                  </w:pPr>
                  <w:r w:rsidRPr="00BC1144">
                    <w:t>(3.258)</w:t>
                  </w:r>
                </w:p>
              </w:tc>
              <w:tc>
                <w:tcPr>
                  <w:tcW w:w="398" w:type="pct"/>
                  <w:vAlign w:val="center"/>
                </w:tcPr>
                <w:p w:rsidR="006E391F" w:rsidRPr="00BC1144" w:rsidRDefault="006E391F" w:rsidP="00336FA0">
                  <w:pPr>
                    <w:pStyle w:val="TableBodyText"/>
                    <w:ind w:right="28"/>
                  </w:pPr>
                  <w:r w:rsidRPr="00BC1144">
                    <w:t>(3.355)</w:t>
                  </w:r>
                </w:p>
              </w:tc>
              <w:tc>
                <w:tcPr>
                  <w:tcW w:w="431" w:type="pct"/>
                  <w:vAlign w:val="center"/>
                </w:tcPr>
                <w:p w:rsidR="006E391F" w:rsidRPr="00BC1144" w:rsidRDefault="006E391F" w:rsidP="00336FA0">
                  <w:pPr>
                    <w:pStyle w:val="TableBodyText"/>
                    <w:ind w:right="28"/>
                  </w:pPr>
                  <w:r w:rsidRPr="00BC1144">
                    <w:t>(0.088)</w:t>
                  </w:r>
                </w:p>
              </w:tc>
              <w:tc>
                <w:tcPr>
                  <w:tcW w:w="431" w:type="pct"/>
                  <w:vAlign w:val="center"/>
                </w:tcPr>
                <w:p w:rsidR="006E391F" w:rsidRPr="00BC1144" w:rsidRDefault="006E391F" w:rsidP="00336FA0">
                  <w:pPr>
                    <w:pStyle w:val="TableBodyText"/>
                    <w:ind w:right="28"/>
                  </w:pPr>
                  <w:r w:rsidRPr="00BC1144">
                    <w:t>(0.088)</w:t>
                  </w:r>
                </w:p>
              </w:tc>
              <w:tc>
                <w:tcPr>
                  <w:tcW w:w="398" w:type="pct"/>
                  <w:vAlign w:val="center"/>
                </w:tcPr>
                <w:p w:rsidR="006E391F" w:rsidRPr="00BC1144" w:rsidRDefault="006E391F" w:rsidP="00336FA0">
                  <w:pPr>
                    <w:pStyle w:val="TableBodyText"/>
                    <w:ind w:right="28"/>
                  </w:pPr>
                  <w:r w:rsidRPr="00BC1144">
                    <w:t>(0.147)</w:t>
                  </w:r>
                </w:p>
              </w:tc>
              <w:tc>
                <w:tcPr>
                  <w:tcW w:w="398" w:type="pct"/>
                  <w:vAlign w:val="center"/>
                </w:tcPr>
                <w:p w:rsidR="006E391F" w:rsidRPr="00BC1144" w:rsidRDefault="006E391F" w:rsidP="00336FA0">
                  <w:pPr>
                    <w:pStyle w:val="TableBodyText"/>
                    <w:ind w:right="28"/>
                  </w:pPr>
                  <w:r w:rsidRPr="00BC1144">
                    <w:t>(0.144)</w:t>
                  </w:r>
                </w:p>
              </w:tc>
              <w:tc>
                <w:tcPr>
                  <w:tcW w:w="460" w:type="pct"/>
                  <w:vAlign w:val="center"/>
                </w:tcPr>
                <w:p w:rsidR="006E391F" w:rsidRPr="00BC1144" w:rsidRDefault="006E391F" w:rsidP="00336FA0">
                  <w:pPr>
                    <w:pStyle w:val="TableBodyText"/>
                    <w:ind w:right="28"/>
                  </w:pPr>
                  <w:r w:rsidRPr="00BC1144">
                    <w:t>(0.259)</w:t>
                  </w:r>
                </w:p>
              </w:tc>
              <w:tc>
                <w:tcPr>
                  <w:tcW w:w="427" w:type="pct"/>
                  <w:vAlign w:val="center"/>
                </w:tcPr>
                <w:p w:rsidR="006E391F" w:rsidRPr="00BC1144" w:rsidRDefault="006E391F" w:rsidP="00336FA0">
                  <w:pPr>
                    <w:pStyle w:val="TableBodyText"/>
                    <w:ind w:right="28"/>
                  </w:pPr>
                  <w:r w:rsidRPr="00BC1144">
                    <w:t>(0.125)</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SES of the school: Q3</w:t>
                  </w:r>
                </w:p>
              </w:tc>
              <w:tc>
                <w:tcPr>
                  <w:tcW w:w="464" w:type="pct"/>
                  <w:shd w:val="clear" w:color="auto" w:fill="F2F2F2" w:themeFill="background1" w:themeFillShade="F2"/>
                  <w:vAlign w:val="center"/>
                </w:tcPr>
                <w:p w:rsidR="006E391F" w:rsidRPr="00BC1144" w:rsidRDefault="006E391F" w:rsidP="00336FA0">
                  <w:pPr>
                    <w:pStyle w:val="TableBodyText"/>
                  </w:pPr>
                  <w:r w:rsidRPr="00BC1144">
                    <w:t>-0.441</w:t>
                  </w:r>
                  <w:r w:rsidRPr="00BC1144">
                    <w:rPr>
                      <w:vertAlign w:val="superscript"/>
                    </w:rPr>
                    <w:t>***</w:t>
                  </w:r>
                </w:p>
              </w:tc>
              <w:tc>
                <w:tcPr>
                  <w:tcW w:w="465" w:type="pct"/>
                  <w:shd w:val="clear" w:color="auto" w:fill="F2F2F2" w:themeFill="background1" w:themeFillShade="F2"/>
                  <w:vAlign w:val="center"/>
                </w:tcPr>
                <w:p w:rsidR="006E391F" w:rsidRPr="00BC1144" w:rsidRDefault="006E391F" w:rsidP="00336FA0">
                  <w:pPr>
                    <w:pStyle w:val="TableBodyText"/>
                  </w:pPr>
                  <w:r w:rsidRPr="00BC1144">
                    <w:t>-0.440</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0.125</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0.158</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-0.122</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-0.117</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-0.293</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-0.326</w:t>
                  </w:r>
                  <w:r w:rsidRPr="00BC1144">
                    <w:rPr>
                      <w:vertAlign w:val="superscript"/>
                    </w:rPr>
                    <w:t>**</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-0.101</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-0.194</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p>
              </w:tc>
              <w:tc>
                <w:tcPr>
                  <w:tcW w:w="464" w:type="pct"/>
                  <w:shd w:val="clear" w:color="auto" w:fill="F2F2F2" w:themeFill="background1" w:themeFillShade="F2"/>
                  <w:vAlign w:val="center"/>
                </w:tcPr>
                <w:p w:rsidR="006E391F" w:rsidRPr="00BC1144" w:rsidRDefault="006E391F" w:rsidP="00336FA0">
                  <w:pPr>
                    <w:pStyle w:val="TableBodyText"/>
                  </w:pPr>
                  <w:r w:rsidRPr="00BC1144">
                    <w:t>(0.132)</w:t>
                  </w:r>
                </w:p>
              </w:tc>
              <w:tc>
                <w:tcPr>
                  <w:tcW w:w="465" w:type="pct"/>
                  <w:shd w:val="clear" w:color="auto" w:fill="F2F2F2" w:themeFill="background1" w:themeFillShade="F2"/>
                  <w:vAlign w:val="center"/>
                </w:tcPr>
                <w:p w:rsidR="006E391F" w:rsidRPr="00BC1144" w:rsidRDefault="006E391F" w:rsidP="00336FA0">
                  <w:pPr>
                    <w:pStyle w:val="TableBodyText"/>
                  </w:pPr>
                  <w:r w:rsidRPr="00BC1144">
                    <w:t>(0.128)</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(3.247)</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(3.576)</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(0.106)</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(0.118)</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(0.117)</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(0.145)</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(0.214)</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(0.179)</w:t>
                  </w:r>
                </w:p>
              </w:tc>
            </w:tr>
            <w:tr w:rsidR="006E391F" w:rsidRPr="00BC1144" w:rsidTr="00336FA0">
              <w:trPr>
                <w:trHeight w:val="329"/>
              </w:trPr>
              <w:tc>
                <w:tcPr>
                  <w:tcW w:w="730" w:type="pct"/>
                  <w:vAlign w:val="center"/>
                </w:tcPr>
                <w:p w:rsidR="006E391F" w:rsidRPr="00BC1144" w:rsidRDefault="006E391F" w:rsidP="00336FA0">
                  <w:pPr>
                    <w:pStyle w:val="TableBodyText"/>
                    <w:jc w:val="left"/>
                  </w:pPr>
                  <w:r w:rsidRPr="00BC1144">
                    <w:t>SES of the school: Q2</w:t>
                  </w:r>
                </w:p>
              </w:tc>
              <w:tc>
                <w:tcPr>
                  <w:tcW w:w="464" w:type="pct"/>
                  <w:vAlign w:val="center"/>
                </w:tcPr>
                <w:p w:rsidR="006E391F" w:rsidRPr="00BC1144" w:rsidRDefault="006E391F" w:rsidP="00336FA0">
                  <w:pPr>
                    <w:pStyle w:val="TableBodyText"/>
                  </w:pPr>
                  <w:r w:rsidRPr="00BC1144">
                    <w:t>-0.448</w:t>
                  </w:r>
                  <w:r w:rsidRPr="00BC1144">
                    <w:rPr>
                      <w:vertAlign w:val="superscript"/>
                    </w:rPr>
                    <w:t>**</w:t>
                  </w:r>
                </w:p>
              </w:tc>
              <w:tc>
                <w:tcPr>
                  <w:tcW w:w="465" w:type="pct"/>
                  <w:vAlign w:val="center"/>
                </w:tcPr>
                <w:p w:rsidR="006E391F" w:rsidRPr="00BC1144" w:rsidRDefault="006E391F" w:rsidP="00336FA0">
                  <w:pPr>
                    <w:pStyle w:val="TableBodyText"/>
                  </w:pPr>
                  <w:r w:rsidRPr="00BC1144">
                    <w:t>-0.427</w:t>
                  </w:r>
                  <w:r w:rsidRPr="00BC1144">
                    <w:rPr>
                      <w:vertAlign w:val="superscript"/>
                    </w:rPr>
                    <w:t>**</w:t>
                  </w:r>
                </w:p>
              </w:tc>
              <w:tc>
                <w:tcPr>
                  <w:tcW w:w="398" w:type="pct"/>
                  <w:vAlign w:val="center"/>
                </w:tcPr>
                <w:p w:rsidR="006E391F" w:rsidRPr="00BC1144" w:rsidRDefault="006E391F" w:rsidP="00336FA0">
                  <w:pPr>
                    <w:pStyle w:val="TableBodyText"/>
                    <w:ind w:right="28"/>
                  </w:pPr>
                  <w:r w:rsidRPr="00BC1144">
                    <w:t>-0.283</w:t>
                  </w:r>
                </w:p>
              </w:tc>
              <w:tc>
                <w:tcPr>
                  <w:tcW w:w="398" w:type="pct"/>
                  <w:vAlign w:val="center"/>
                </w:tcPr>
                <w:p w:rsidR="006E391F" w:rsidRPr="00BC1144" w:rsidRDefault="006E391F" w:rsidP="00336FA0">
                  <w:pPr>
                    <w:pStyle w:val="TableBodyText"/>
                    <w:ind w:right="28"/>
                  </w:pPr>
                  <w:r w:rsidRPr="00BC1144">
                    <w:t>-0.259</w:t>
                  </w:r>
                </w:p>
              </w:tc>
              <w:tc>
                <w:tcPr>
                  <w:tcW w:w="431" w:type="pct"/>
                  <w:vAlign w:val="center"/>
                </w:tcPr>
                <w:p w:rsidR="006E391F" w:rsidRPr="00BC1144" w:rsidRDefault="006E391F" w:rsidP="00336FA0">
                  <w:pPr>
                    <w:pStyle w:val="TableBodyText"/>
                    <w:ind w:right="28"/>
                  </w:pPr>
                  <w:r w:rsidRPr="00BC1144">
                    <w:t>-0.071</w:t>
                  </w:r>
                </w:p>
              </w:tc>
              <w:tc>
                <w:tcPr>
                  <w:tcW w:w="431" w:type="pct"/>
                  <w:vAlign w:val="center"/>
                </w:tcPr>
                <w:p w:rsidR="006E391F" w:rsidRPr="00BC1144" w:rsidRDefault="006E391F" w:rsidP="00336FA0">
                  <w:pPr>
                    <w:pStyle w:val="TableBodyText"/>
                    <w:ind w:right="28"/>
                  </w:pPr>
                  <w:r w:rsidRPr="00BC1144">
                    <w:t>-0.074</w:t>
                  </w:r>
                </w:p>
              </w:tc>
              <w:tc>
                <w:tcPr>
                  <w:tcW w:w="398" w:type="pct"/>
                  <w:vAlign w:val="center"/>
                </w:tcPr>
                <w:p w:rsidR="006E391F" w:rsidRPr="00BC1144" w:rsidRDefault="006E391F" w:rsidP="00336FA0">
                  <w:pPr>
                    <w:pStyle w:val="TableBodyText"/>
                    <w:ind w:right="28"/>
                  </w:pPr>
                  <w:r w:rsidRPr="00BC1144">
                    <w:t>-0.369</w:t>
                  </w:r>
                </w:p>
              </w:tc>
              <w:tc>
                <w:tcPr>
                  <w:tcW w:w="398" w:type="pct"/>
                  <w:vAlign w:val="center"/>
                </w:tcPr>
                <w:p w:rsidR="006E391F" w:rsidRPr="00BC1144" w:rsidRDefault="006E391F" w:rsidP="00336FA0">
                  <w:pPr>
                    <w:pStyle w:val="TableBodyText"/>
                    <w:ind w:right="28"/>
                  </w:pPr>
                  <w:r w:rsidRPr="00BC1144">
                    <w:t>-0.466</w:t>
                  </w:r>
                  <w:r w:rsidRPr="00BC1144">
                    <w:rPr>
                      <w:vertAlign w:val="superscript"/>
                    </w:rPr>
                    <w:t>*</w:t>
                  </w:r>
                </w:p>
              </w:tc>
              <w:tc>
                <w:tcPr>
                  <w:tcW w:w="460" w:type="pct"/>
                  <w:vAlign w:val="center"/>
                </w:tcPr>
                <w:p w:rsidR="006E391F" w:rsidRPr="00BC1144" w:rsidRDefault="006E391F" w:rsidP="00336FA0">
                  <w:pPr>
                    <w:pStyle w:val="TableBodyText"/>
                    <w:ind w:right="28"/>
                  </w:pPr>
                  <w:r w:rsidRPr="00BC1144">
                    <w:t>-0.229</w:t>
                  </w:r>
                </w:p>
              </w:tc>
              <w:tc>
                <w:tcPr>
                  <w:tcW w:w="427" w:type="pct"/>
                  <w:vAlign w:val="center"/>
                </w:tcPr>
                <w:p w:rsidR="006E391F" w:rsidRPr="00BC1144" w:rsidRDefault="006E391F" w:rsidP="00336FA0">
                  <w:pPr>
                    <w:pStyle w:val="TableBodyText"/>
                    <w:ind w:right="28"/>
                  </w:pPr>
                  <w:r w:rsidRPr="00BC1144">
                    <w:t>-0.350</w:t>
                  </w:r>
                </w:p>
              </w:tc>
            </w:tr>
            <w:tr w:rsidR="006E391F" w:rsidRPr="00BC1144" w:rsidTr="00336FA0">
              <w:trPr>
                <w:trHeight w:val="329"/>
              </w:trPr>
              <w:tc>
                <w:tcPr>
                  <w:tcW w:w="730" w:type="pct"/>
                  <w:vAlign w:val="center"/>
                </w:tcPr>
                <w:p w:rsidR="006E391F" w:rsidRPr="00BC1144" w:rsidRDefault="006E391F" w:rsidP="00336FA0">
                  <w:pPr>
                    <w:pStyle w:val="TableBodyText"/>
                    <w:jc w:val="left"/>
                  </w:pPr>
                </w:p>
              </w:tc>
              <w:tc>
                <w:tcPr>
                  <w:tcW w:w="464" w:type="pct"/>
                  <w:vAlign w:val="center"/>
                </w:tcPr>
                <w:p w:rsidR="006E391F" w:rsidRPr="00BC1144" w:rsidRDefault="006E391F" w:rsidP="00336FA0">
                  <w:pPr>
                    <w:pStyle w:val="TableBodyText"/>
                  </w:pPr>
                  <w:r w:rsidRPr="00BC1144">
                    <w:t>(0.189)</w:t>
                  </w:r>
                </w:p>
              </w:tc>
              <w:tc>
                <w:tcPr>
                  <w:tcW w:w="465" w:type="pct"/>
                  <w:vAlign w:val="center"/>
                </w:tcPr>
                <w:p w:rsidR="006E391F" w:rsidRPr="00BC1144" w:rsidRDefault="006E391F" w:rsidP="00336FA0">
                  <w:pPr>
                    <w:pStyle w:val="TableBodyText"/>
                  </w:pPr>
                  <w:r w:rsidRPr="00BC1144">
                    <w:t>(0.188)</w:t>
                  </w:r>
                </w:p>
              </w:tc>
              <w:tc>
                <w:tcPr>
                  <w:tcW w:w="398" w:type="pct"/>
                  <w:vAlign w:val="center"/>
                </w:tcPr>
                <w:p w:rsidR="006E391F" w:rsidRPr="00BC1144" w:rsidRDefault="006E391F" w:rsidP="00336FA0">
                  <w:pPr>
                    <w:pStyle w:val="TableBodyText"/>
                    <w:ind w:right="28"/>
                  </w:pPr>
                  <w:r w:rsidRPr="00BC1144">
                    <w:t>(4.082)</w:t>
                  </w:r>
                </w:p>
              </w:tc>
              <w:tc>
                <w:tcPr>
                  <w:tcW w:w="398" w:type="pct"/>
                  <w:vAlign w:val="center"/>
                </w:tcPr>
                <w:p w:rsidR="006E391F" w:rsidRPr="00BC1144" w:rsidRDefault="006E391F" w:rsidP="00336FA0">
                  <w:pPr>
                    <w:pStyle w:val="TableBodyText"/>
                    <w:ind w:right="28"/>
                  </w:pPr>
                  <w:r w:rsidRPr="00BC1144">
                    <w:t>(4.500)</w:t>
                  </w:r>
                </w:p>
              </w:tc>
              <w:tc>
                <w:tcPr>
                  <w:tcW w:w="431" w:type="pct"/>
                  <w:vAlign w:val="center"/>
                </w:tcPr>
                <w:p w:rsidR="006E391F" w:rsidRPr="00BC1144" w:rsidRDefault="006E391F" w:rsidP="00336FA0">
                  <w:pPr>
                    <w:pStyle w:val="TableBodyText"/>
                    <w:ind w:right="28"/>
                  </w:pPr>
                  <w:r w:rsidRPr="00BC1144">
                    <w:t>(0.147)</w:t>
                  </w:r>
                </w:p>
              </w:tc>
              <w:tc>
                <w:tcPr>
                  <w:tcW w:w="431" w:type="pct"/>
                  <w:vAlign w:val="center"/>
                </w:tcPr>
                <w:p w:rsidR="006E391F" w:rsidRPr="00BC1144" w:rsidRDefault="006E391F" w:rsidP="00336FA0">
                  <w:pPr>
                    <w:pStyle w:val="TableBodyText"/>
                    <w:ind w:right="28"/>
                  </w:pPr>
                  <w:r w:rsidRPr="00BC1144">
                    <w:t>(0.130)</w:t>
                  </w:r>
                </w:p>
              </w:tc>
              <w:tc>
                <w:tcPr>
                  <w:tcW w:w="398" w:type="pct"/>
                  <w:vAlign w:val="center"/>
                </w:tcPr>
                <w:p w:rsidR="006E391F" w:rsidRPr="00BC1144" w:rsidRDefault="006E391F" w:rsidP="00336FA0">
                  <w:pPr>
                    <w:pStyle w:val="TableBodyText"/>
                    <w:ind w:right="28"/>
                  </w:pPr>
                  <w:r w:rsidRPr="00BC1144">
                    <w:t>(0.249)</w:t>
                  </w:r>
                </w:p>
              </w:tc>
              <w:tc>
                <w:tcPr>
                  <w:tcW w:w="398" w:type="pct"/>
                  <w:vAlign w:val="center"/>
                </w:tcPr>
                <w:p w:rsidR="006E391F" w:rsidRPr="00BC1144" w:rsidRDefault="006E391F" w:rsidP="00336FA0">
                  <w:pPr>
                    <w:pStyle w:val="TableBodyText"/>
                    <w:ind w:right="28"/>
                  </w:pPr>
                  <w:r w:rsidRPr="00BC1144">
                    <w:t>(0.257)</w:t>
                  </w:r>
                </w:p>
              </w:tc>
              <w:tc>
                <w:tcPr>
                  <w:tcW w:w="460" w:type="pct"/>
                  <w:vAlign w:val="center"/>
                </w:tcPr>
                <w:p w:rsidR="006E391F" w:rsidRPr="00BC1144" w:rsidRDefault="006E391F" w:rsidP="00336FA0">
                  <w:pPr>
                    <w:pStyle w:val="TableBodyText"/>
                    <w:ind w:right="28"/>
                  </w:pPr>
                  <w:r w:rsidRPr="00BC1144">
                    <w:t>(0.420)</w:t>
                  </w:r>
                </w:p>
              </w:tc>
              <w:tc>
                <w:tcPr>
                  <w:tcW w:w="427" w:type="pct"/>
                  <w:vAlign w:val="center"/>
                </w:tcPr>
                <w:p w:rsidR="006E391F" w:rsidRPr="00BC1144" w:rsidRDefault="006E391F" w:rsidP="00336FA0">
                  <w:pPr>
                    <w:pStyle w:val="TableBodyText"/>
                    <w:ind w:right="28"/>
                  </w:pPr>
                  <w:r w:rsidRPr="00BC1144">
                    <w:t>(0.251)</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r w:rsidRPr="00BC1144">
                    <w:t>SES of the school: Q1</w:t>
                  </w:r>
                </w:p>
              </w:tc>
              <w:tc>
                <w:tcPr>
                  <w:tcW w:w="464" w:type="pct"/>
                  <w:shd w:val="clear" w:color="auto" w:fill="F2F2F2" w:themeFill="background1" w:themeFillShade="F2"/>
                  <w:vAlign w:val="center"/>
                </w:tcPr>
                <w:p w:rsidR="006E391F" w:rsidRPr="00BC1144" w:rsidRDefault="006E391F" w:rsidP="00336FA0">
                  <w:pPr>
                    <w:pStyle w:val="TableBodyText"/>
                  </w:pPr>
                  <w:r w:rsidRPr="00BC1144">
                    <w:t>-0.458</w:t>
                  </w:r>
                  <w:r w:rsidRPr="00BC1144">
                    <w:rPr>
                      <w:vertAlign w:val="superscript"/>
                    </w:rPr>
                    <w:t>*</w:t>
                  </w:r>
                </w:p>
              </w:tc>
              <w:tc>
                <w:tcPr>
                  <w:tcW w:w="465" w:type="pct"/>
                  <w:shd w:val="clear" w:color="auto" w:fill="F2F2F2" w:themeFill="background1" w:themeFillShade="F2"/>
                  <w:vAlign w:val="center"/>
                </w:tcPr>
                <w:p w:rsidR="006E391F" w:rsidRPr="00BC1144" w:rsidRDefault="006E391F" w:rsidP="00336FA0">
                  <w:pPr>
                    <w:pStyle w:val="TableBodyText"/>
                  </w:pPr>
                  <w:r w:rsidRPr="00BC1144">
                    <w:t>-0.444</w:t>
                  </w:r>
                  <w:r w:rsidRPr="00BC1144">
                    <w:rPr>
                      <w:vertAlign w:val="superscript"/>
                    </w:rPr>
                    <w:t>*</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0.210</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0.185</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-0.233</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-0.200</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-0.551</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-0.569</w:t>
                  </w:r>
                  <w:r w:rsidRPr="00BC1144">
                    <w:rPr>
                      <w:vertAlign w:val="superscript"/>
                    </w:rPr>
                    <w:t>*</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-0.325</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-0.392</w:t>
                  </w:r>
                </w:p>
              </w:tc>
            </w:tr>
            <w:tr w:rsidR="006E391F" w:rsidRPr="00BC1144" w:rsidTr="00336FA0">
              <w:trPr>
                <w:trHeight w:val="329"/>
              </w:trPr>
              <w:tc>
                <w:tcPr>
                  <w:tcW w:w="730" w:type="pct"/>
                  <w:shd w:val="clear" w:color="auto" w:fill="F2F2F2" w:themeFill="background1" w:themeFillShade="F2"/>
                  <w:vAlign w:val="center"/>
                </w:tcPr>
                <w:p w:rsidR="006E391F" w:rsidRPr="00BC1144" w:rsidRDefault="006E391F" w:rsidP="00336FA0">
                  <w:pPr>
                    <w:pStyle w:val="TableBodyText"/>
                    <w:jc w:val="left"/>
                  </w:pPr>
                </w:p>
              </w:tc>
              <w:tc>
                <w:tcPr>
                  <w:tcW w:w="464" w:type="pct"/>
                  <w:shd w:val="clear" w:color="auto" w:fill="F2F2F2" w:themeFill="background1" w:themeFillShade="F2"/>
                  <w:vAlign w:val="center"/>
                </w:tcPr>
                <w:p w:rsidR="006E391F" w:rsidRPr="00BC1144" w:rsidRDefault="006E391F" w:rsidP="00336FA0">
                  <w:pPr>
                    <w:pStyle w:val="TableBodyText"/>
                  </w:pPr>
                  <w:r w:rsidRPr="00BC1144">
                    <w:t>(0.258)</w:t>
                  </w:r>
                </w:p>
              </w:tc>
              <w:tc>
                <w:tcPr>
                  <w:tcW w:w="465" w:type="pct"/>
                  <w:shd w:val="clear" w:color="auto" w:fill="F2F2F2" w:themeFill="background1" w:themeFillShade="F2"/>
                  <w:vAlign w:val="center"/>
                </w:tcPr>
                <w:p w:rsidR="006E391F" w:rsidRPr="00BC1144" w:rsidRDefault="006E391F" w:rsidP="00336FA0">
                  <w:pPr>
                    <w:pStyle w:val="TableBodyText"/>
                  </w:pPr>
                  <w:r w:rsidRPr="00BC1144">
                    <w:t>(0.265)</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(4.339)</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(4.621)</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(0.206)</w:t>
                  </w:r>
                </w:p>
              </w:tc>
              <w:tc>
                <w:tcPr>
                  <w:tcW w:w="431" w:type="pct"/>
                  <w:shd w:val="clear" w:color="auto" w:fill="F2F2F2" w:themeFill="background1" w:themeFillShade="F2"/>
                  <w:vAlign w:val="center"/>
                </w:tcPr>
                <w:p w:rsidR="006E391F" w:rsidRPr="00BC1144" w:rsidRDefault="006E391F" w:rsidP="00336FA0">
                  <w:pPr>
                    <w:pStyle w:val="TableBodyText"/>
                    <w:ind w:right="28"/>
                  </w:pPr>
                  <w:r w:rsidRPr="00BC1144">
                    <w:t>(0.203)</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(0.349)</w:t>
                  </w:r>
                </w:p>
              </w:tc>
              <w:tc>
                <w:tcPr>
                  <w:tcW w:w="398" w:type="pct"/>
                  <w:shd w:val="clear" w:color="auto" w:fill="F2F2F2" w:themeFill="background1" w:themeFillShade="F2"/>
                  <w:vAlign w:val="center"/>
                </w:tcPr>
                <w:p w:rsidR="006E391F" w:rsidRPr="00BC1144" w:rsidRDefault="006E391F" w:rsidP="00336FA0">
                  <w:pPr>
                    <w:pStyle w:val="TableBodyText"/>
                    <w:ind w:right="28"/>
                  </w:pPr>
                  <w:r w:rsidRPr="00BC1144">
                    <w:t>(0.309)</w:t>
                  </w:r>
                </w:p>
              </w:tc>
              <w:tc>
                <w:tcPr>
                  <w:tcW w:w="460" w:type="pct"/>
                  <w:shd w:val="clear" w:color="auto" w:fill="F2F2F2" w:themeFill="background1" w:themeFillShade="F2"/>
                  <w:vAlign w:val="center"/>
                </w:tcPr>
                <w:p w:rsidR="006E391F" w:rsidRPr="00BC1144" w:rsidRDefault="006E391F" w:rsidP="00336FA0">
                  <w:pPr>
                    <w:pStyle w:val="TableBodyText"/>
                    <w:ind w:right="28"/>
                  </w:pPr>
                  <w:r w:rsidRPr="00BC1144">
                    <w:t>(0.389)</w:t>
                  </w:r>
                </w:p>
              </w:tc>
              <w:tc>
                <w:tcPr>
                  <w:tcW w:w="427" w:type="pct"/>
                  <w:shd w:val="clear" w:color="auto" w:fill="F2F2F2" w:themeFill="background1" w:themeFillShade="F2"/>
                  <w:vAlign w:val="center"/>
                </w:tcPr>
                <w:p w:rsidR="006E391F" w:rsidRPr="00BC1144" w:rsidRDefault="006E391F" w:rsidP="00336FA0">
                  <w:pPr>
                    <w:pStyle w:val="TableBodyText"/>
                    <w:ind w:right="28"/>
                  </w:pPr>
                  <w:r w:rsidRPr="00BC1144">
                    <w:t>(0.277)</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spacing w:before="120"/>
            </w:pPr>
            <w:r w:rsidRPr="00BC1144">
              <w:t>(continued next page)</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B.15</w:t>
            </w:r>
            <w:r w:rsidRPr="00BC1144">
              <w:tab/>
            </w:r>
            <w:r w:rsidRPr="00BC1144">
              <w:rPr>
                <w:b w:val="0"/>
                <w:sz w:val="20"/>
                <w:szCs w:val="20"/>
              </w:rPr>
              <w:t>(continued)</w:t>
            </w:r>
          </w:p>
        </w:tc>
      </w:tr>
      <w:tr w:rsidR="006E391F" w:rsidRPr="00BC1144" w:rsidTr="00336FA0">
        <w:tc>
          <w:tcPr>
            <w:tcW w:w="5000" w:type="pct"/>
            <w:tcBorders>
              <w:top w:val="nil"/>
              <w:left w:val="nil"/>
              <w:bottom w:val="nil"/>
              <w:right w:val="nil"/>
            </w:tcBorders>
            <w:shd w:val="clear" w:color="auto" w:fill="auto"/>
          </w:tcPr>
          <w:tbl>
            <w:tblPr>
              <w:tblW w:w="8560" w:type="dxa"/>
              <w:tblCellMar>
                <w:top w:w="28" w:type="dxa"/>
                <w:left w:w="0" w:type="dxa"/>
                <w:right w:w="0" w:type="dxa"/>
              </w:tblCellMar>
              <w:tblLook w:val="0000" w:firstRow="0" w:lastRow="0" w:firstColumn="0" w:lastColumn="0" w:noHBand="0" w:noVBand="0"/>
            </w:tblPr>
            <w:tblGrid>
              <w:gridCol w:w="1350"/>
              <w:gridCol w:w="793"/>
              <w:gridCol w:w="793"/>
              <w:gridCol w:w="709"/>
              <w:gridCol w:w="710"/>
              <w:gridCol w:w="709"/>
              <w:gridCol w:w="710"/>
              <w:gridCol w:w="709"/>
              <w:gridCol w:w="710"/>
              <w:gridCol w:w="680"/>
              <w:gridCol w:w="687"/>
            </w:tblGrid>
            <w:tr w:rsidR="006E391F" w:rsidRPr="00BC1144" w:rsidTr="00336FA0">
              <w:trPr>
                <w:trHeight w:val="329"/>
              </w:trPr>
              <w:tc>
                <w:tcPr>
                  <w:tcW w:w="789" w:type="pct"/>
                  <w:tcBorders>
                    <w:top w:val="single" w:sz="6" w:space="0" w:color="BFBFBF"/>
                  </w:tcBorders>
                </w:tcPr>
                <w:p w:rsidR="006E391F" w:rsidRPr="00BC1144" w:rsidRDefault="006E391F" w:rsidP="00336FA0">
                  <w:pPr>
                    <w:pStyle w:val="TableUnitsRow"/>
                    <w:jc w:val="left"/>
                    <w:rPr>
                      <w:i/>
                    </w:rPr>
                  </w:pPr>
                </w:p>
              </w:tc>
              <w:tc>
                <w:tcPr>
                  <w:tcW w:w="926" w:type="pct"/>
                  <w:gridSpan w:val="2"/>
                  <w:tcBorders>
                    <w:top w:val="single" w:sz="6" w:space="0" w:color="BFBFBF"/>
                  </w:tcBorders>
                  <w:vAlign w:val="center"/>
                </w:tcPr>
                <w:p w:rsidR="006E391F" w:rsidRPr="00BC1144" w:rsidRDefault="006E391F" w:rsidP="00336FA0">
                  <w:pPr>
                    <w:pStyle w:val="TableUnitsRow"/>
                    <w:rPr>
                      <w:i/>
                    </w:rPr>
                  </w:pPr>
                  <w:r w:rsidRPr="00BC1144">
                    <w:rPr>
                      <w:i/>
                    </w:rPr>
                    <w:t>2003</w:t>
                  </w:r>
                </w:p>
              </w:tc>
              <w:tc>
                <w:tcPr>
                  <w:tcW w:w="829"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2006</w:t>
                  </w:r>
                </w:p>
              </w:tc>
              <w:tc>
                <w:tcPr>
                  <w:tcW w:w="829"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2010</w:t>
                  </w:r>
                </w:p>
              </w:tc>
              <w:tc>
                <w:tcPr>
                  <w:tcW w:w="829"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2013</w:t>
                  </w:r>
                </w:p>
              </w:tc>
              <w:tc>
                <w:tcPr>
                  <w:tcW w:w="798" w:type="pct"/>
                  <w:gridSpan w:val="2"/>
                  <w:tcBorders>
                    <w:top w:val="single" w:sz="6" w:space="0" w:color="BFBFBF"/>
                  </w:tcBorders>
                  <w:vAlign w:val="center"/>
                </w:tcPr>
                <w:p w:rsidR="006E391F" w:rsidRPr="00BC1144" w:rsidRDefault="006E391F" w:rsidP="00336FA0">
                  <w:pPr>
                    <w:pStyle w:val="TableUnitsRow"/>
                    <w:ind w:right="28"/>
                    <w:rPr>
                      <w:i/>
                    </w:rPr>
                  </w:pPr>
                  <w:r w:rsidRPr="00BC1144">
                    <w:rPr>
                      <w:i/>
                    </w:rPr>
                    <w:t>2016</w:t>
                  </w:r>
                </w:p>
              </w:tc>
            </w:tr>
            <w:tr w:rsidR="006E391F" w:rsidRPr="00BC1144" w:rsidTr="00CC4DB6">
              <w:trPr>
                <w:trHeight w:val="329"/>
              </w:trPr>
              <w:tc>
                <w:tcPr>
                  <w:tcW w:w="789" w:type="pct"/>
                  <w:tcBorders>
                    <w:top w:val="single" w:sz="6" w:space="0" w:color="BFBFBF"/>
                    <w:bottom w:val="single" w:sz="6" w:space="0" w:color="BFBFBF"/>
                  </w:tcBorders>
                </w:tcPr>
                <w:p w:rsidR="006E391F" w:rsidRPr="00BC1144" w:rsidRDefault="006E391F" w:rsidP="00336FA0">
                  <w:pPr>
                    <w:pStyle w:val="TableUnitsRow"/>
                    <w:jc w:val="left"/>
                  </w:pPr>
                </w:p>
              </w:tc>
              <w:tc>
                <w:tcPr>
                  <w:tcW w:w="463" w:type="pct"/>
                  <w:tcBorders>
                    <w:top w:val="single" w:sz="6" w:space="0" w:color="BFBFBF"/>
                    <w:bottom w:val="single" w:sz="6" w:space="0" w:color="BFBFBF"/>
                  </w:tcBorders>
                  <w:vAlign w:val="center"/>
                </w:tcPr>
                <w:p w:rsidR="006E391F" w:rsidRPr="00BC1144" w:rsidRDefault="006E391F" w:rsidP="00336FA0">
                  <w:pPr>
                    <w:pStyle w:val="TableUnitsRow"/>
                  </w:pPr>
                  <w:r w:rsidRPr="00BC1144">
                    <w:t>(i)</w:t>
                  </w:r>
                </w:p>
              </w:tc>
              <w:tc>
                <w:tcPr>
                  <w:tcW w:w="463" w:type="pct"/>
                  <w:tcBorders>
                    <w:top w:val="single" w:sz="6" w:space="0" w:color="BFBFBF"/>
                    <w:bottom w:val="single" w:sz="6" w:space="0" w:color="BFBFBF"/>
                  </w:tcBorders>
                  <w:vAlign w:val="center"/>
                </w:tcPr>
                <w:p w:rsidR="006E391F" w:rsidRPr="00BC1144" w:rsidRDefault="006E391F" w:rsidP="00336FA0">
                  <w:pPr>
                    <w:pStyle w:val="TableUnitsRow"/>
                  </w:pPr>
                  <w:r w:rsidRPr="00BC1144">
                    <w:t>(ii)</w:t>
                  </w:r>
                </w:p>
              </w:tc>
              <w:tc>
                <w:tcPr>
                  <w:tcW w:w="414"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5"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414"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5"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414"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5"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397"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01"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r>
            <w:tr w:rsidR="00CC4DB6" w:rsidRPr="00BC1144" w:rsidTr="00CC4DB6">
              <w:trPr>
                <w:trHeight w:val="329"/>
              </w:trPr>
              <w:tc>
                <w:tcPr>
                  <w:tcW w:w="789" w:type="pct"/>
                  <w:tcBorders>
                    <w:top w:val="single" w:sz="6" w:space="0" w:color="BFBFBF"/>
                  </w:tcBorders>
                  <w:vAlign w:val="center"/>
                </w:tcPr>
                <w:p w:rsidR="00CC4DB6" w:rsidRPr="00BC1144" w:rsidRDefault="00CC4DB6" w:rsidP="00CC4DB6">
                  <w:pPr>
                    <w:pStyle w:val="TableBodyText"/>
                    <w:jc w:val="left"/>
                  </w:pPr>
                  <w:r w:rsidRPr="00BC1144">
                    <w:t>Sector: Catholic</w:t>
                  </w:r>
                </w:p>
              </w:tc>
              <w:tc>
                <w:tcPr>
                  <w:tcW w:w="463" w:type="pct"/>
                  <w:tcBorders>
                    <w:top w:val="single" w:sz="6" w:space="0" w:color="BFBFBF"/>
                  </w:tcBorders>
                  <w:vAlign w:val="center"/>
                </w:tcPr>
                <w:p w:rsidR="00CC4DB6" w:rsidRPr="00BC1144" w:rsidRDefault="00CC4DB6" w:rsidP="00CC4DB6">
                  <w:pPr>
                    <w:pStyle w:val="TableBodyText"/>
                  </w:pPr>
                  <w:r w:rsidRPr="00BC1144">
                    <w:t>0.078</w:t>
                  </w:r>
                </w:p>
              </w:tc>
              <w:tc>
                <w:tcPr>
                  <w:tcW w:w="463" w:type="pct"/>
                  <w:tcBorders>
                    <w:top w:val="single" w:sz="6" w:space="0" w:color="BFBFBF"/>
                  </w:tcBorders>
                  <w:vAlign w:val="center"/>
                </w:tcPr>
                <w:p w:rsidR="00CC4DB6" w:rsidRPr="00BC1144" w:rsidRDefault="00CC4DB6" w:rsidP="00CC4DB6">
                  <w:pPr>
                    <w:pStyle w:val="TableBodyText"/>
                  </w:pPr>
                  <w:r w:rsidRPr="00BC1144">
                    <w:t>0.091</w:t>
                  </w:r>
                </w:p>
              </w:tc>
              <w:tc>
                <w:tcPr>
                  <w:tcW w:w="414" w:type="pct"/>
                  <w:tcBorders>
                    <w:top w:val="single" w:sz="6" w:space="0" w:color="BFBFBF"/>
                  </w:tcBorders>
                  <w:vAlign w:val="center"/>
                </w:tcPr>
                <w:p w:rsidR="00CC4DB6" w:rsidRPr="00BC1144" w:rsidRDefault="00CC4DB6" w:rsidP="00CC4DB6">
                  <w:pPr>
                    <w:pStyle w:val="TableBodyText"/>
                    <w:ind w:right="28"/>
                  </w:pPr>
                  <w:r w:rsidRPr="00BC1144">
                    <w:t>-0.794</w:t>
                  </w:r>
                </w:p>
              </w:tc>
              <w:tc>
                <w:tcPr>
                  <w:tcW w:w="415" w:type="pct"/>
                  <w:tcBorders>
                    <w:top w:val="single" w:sz="6" w:space="0" w:color="BFBFBF"/>
                  </w:tcBorders>
                  <w:vAlign w:val="center"/>
                </w:tcPr>
                <w:p w:rsidR="00CC4DB6" w:rsidRPr="00BC1144" w:rsidRDefault="00CC4DB6" w:rsidP="00CC4DB6">
                  <w:pPr>
                    <w:pStyle w:val="TableBodyText"/>
                    <w:ind w:right="28"/>
                  </w:pPr>
                  <w:r w:rsidRPr="00BC1144">
                    <w:t>-0.807</w:t>
                  </w:r>
                </w:p>
              </w:tc>
              <w:tc>
                <w:tcPr>
                  <w:tcW w:w="414" w:type="pct"/>
                  <w:tcBorders>
                    <w:top w:val="single" w:sz="6" w:space="0" w:color="BFBFBF"/>
                  </w:tcBorders>
                  <w:vAlign w:val="center"/>
                </w:tcPr>
                <w:p w:rsidR="00CC4DB6" w:rsidRPr="00BC1144" w:rsidRDefault="00CC4DB6" w:rsidP="00CC4DB6">
                  <w:pPr>
                    <w:pStyle w:val="TableBodyText"/>
                    <w:ind w:right="28"/>
                  </w:pPr>
                  <w:r w:rsidRPr="00BC1144">
                    <w:t>-0.139</w:t>
                  </w:r>
                </w:p>
              </w:tc>
              <w:tc>
                <w:tcPr>
                  <w:tcW w:w="415" w:type="pct"/>
                  <w:tcBorders>
                    <w:top w:val="single" w:sz="6" w:space="0" w:color="BFBFBF"/>
                  </w:tcBorders>
                  <w:vAlign w:val="center"/>
                </w:tcPr>
                <w:p w:rsidR="00CC4DB6" w:rsidRPr="00BC1144" w:rsidRDefault="00CC4DB6" w:rsidP="00CC4DB6">
                  <w:pPr>
                    <w:pStyle w:val="TableBodyText"/>
                    <w:ind w:right="28"/>
                  </w:pPr>
                  <w:r w:rsidRPr="00BC1144">
                    <w:t>-0.188</w:t>
                  </w:r>
                </w:p>
              </w:tc>
              <w:tc>
                <w:tcPr>
                  <w:tcW w:w="414" w:type="pct"/>
                  <w:tcBorders>
                    <w:top w:val="single" w:sz="6" w:space="0" w:color="BFBFBF"/>
                  </w:tcBorders>
                  <w:vAlign w:val="center"/>
                </w:tcPr>
                <w:p w:rsidR="00CC4DB6" w:rsidRPr="00BC1144" w:rsidRDefault="00CC4DB6" w:rsidP="00CC4DB6">
                  <w:pPr>
                    <w:pStyle w:val="TableBodyText"/>
                    <w:ind w:right="28"/>
                  </w:pPr>
                  <w:r w:rsidRPr="00BC1144">
                    <w:t>0.109</w:t>
                  </w:r>
                </w:p>
              </w:tc>
              <w:tc>
                <w:tcPr>
                  <w:tcW w:w="415" w:type="pct"/>
                  <w:tcBorders>
                    <w:top w:val="single" w:sz="6" w:space="0" w:color="BFBFBF"/>
                  </w:tcBorders>
                  <w:vAlign w:val="center"/>
                </w:tcPr>
                <w:p w:rsidR="00CC4DB6" w:rsidRPr="00BC1144" w:rsidRDefault="00CC4DB6" w:rsidP="00CC4DB6">
                  <w:pPr>
                    <w:pStyle w:val="TableBodyText"/>
                    <w:ind w:right="28"/>
                  </w:pPr>
                  <w:r w:rsidRPr="00BC1144">
                    <w:t>0.133</w:t>
                  </w:r>
                </w:p>
              </w:tc>
              <w:tc>
                <w:tcPr>
                  <w:tcW w:w="397" w:type="pct"/>
                  <w:tcBorders>
                    <w:top w:val="single" w:sz="6" w:space="0" w:color="BFBFBF"/>
                  </w:tcBorders>
                  <w:vAlign w:val="center"/>
                </w:tcPr>
                <w:p w:rsidR="00CC4DB6" w:rsidRPr="00BC1144" w:rsidRDefault="00CC4DB6" w:rsidP="00CC4DB6">
                  <w:pPr>
                    <w:pStyle w:val="TableBodyText"/>
                    <w:ind w:right="28"/>
                  </w:pPr>
                  <w:r w:rsidRPr="00BC1144">
                    <w:t>0.057</w:t>
                  </w:r>
                </w:p>
              </w:tc>
              <w:tc>
                <w:tcPr>
                  <w:tcW w:w="401" w:type="pct"/>
                  <w:tcBorders>
                    <w:top w:val="single" w:sz="6" w:space="0" w:color="BFBFBF"/>
                  </w:tcBorders>
                  <w:vAlign w:val="center"/>
                </w:tcPr>
                <w:p w:rsidR="00CC4DB6" w:rsidRPr="00BC1144" w:rsidRDefault="00CC4DB6" w:rsidP="00CC4DB6">
                  <w:pPr>
                    <w:pStyle w:val="TableBodyText"/>
                    <w:ind w:right="28"/>
                  </w:pPr>
                  <w:r w:rsidRPr="00BC1144">
                    <w:t>0.025</w:t>
                  </w:r>
                </w:p>
              </w:tc>
            </w:tr>
            <w:tr w:rsidR="00CC4DB6" w:rsidRPr="00BC1144" w:rsidTr="00CC4DB6">
              <w:trPr>
                <w:trHeight w:val="329"/>
              </w:trPr>
              <w:tc>
                <w:tcPr>
                  <w:tcW w:w="789" w:type="pct"/>
                  <w:vAlign w:val="center"/>
                </w:tcPr>
                <w:p w:rsidR="00CC4DB6" w:rsidRPr="00BC1144" w:rsidRDefault="00CC4DB6" w:rsidP="00CC4DB6">
                  <w:pPr>
                    <w:pStyle w:val="TableBodyText"/>
                    <w:jc w:val="left"/>
                  </w:pPr>
                </w:p>
              </w:tc>
              <w:tc>
                <w:tcPr>
                  <w:tcW w:w="463" w:type="pct"/>
                  <w:vAlign w:val="center"/>
                </w:tcPr>
                <w:p w:rsidR="00CC4DB6" w:rsidRPr="00BC1144" w:rsidRDefault="00CC4DB6" w:rsidP="00CC4DB6">
                  <w:pPr>
                    <w:pStyle w:val="TableBodyText"/>
                  </w:pPr>
                  <w:r w:rsidRPr="00BC1144">
                    <w:t>(0.136)</w:t>
                  </w:r>
                </w:p>
              </w:tc>
              <w:tc>
                <w:tcPr>
                  <w:tcW w:w="463" w:type="pct"/>
                  <w:vAlign w:val="center"/>
                </w:tcPr>
                <w:p w:rsidR="00CC4DB6" w:rsidRPr="00BC1144" w:rsidRDefault="00CC4DB6" w:rsidP="00CC4DB6">
                  <w:pPr>
                    <w:pStyle w:val="TableBodyText"/>
                  </w:pPr>
                  <w:r w:rsidRPr="00BC1144">
                    <w:t>(0.137)</w:t>
                  </w:r>
                </w:p>
              </w:tc>
              <w:tc>
                <w:tcPr>
                  <w:tcW w:w="414" w:type="pct"/>
                  <w:vAlign w:val="center"/>
                </w:tcPr>
                <w:p w:rsidR="00CC4DB6" w:rsidRPr="00BC1144" w:rsidRDefault="00CC4DB6" w:rsidP="00CC4DB6">
                  <w:pPr>
                    <w:pStyle w:val="TableBodyText"/>
                    <w:ind w:right="28"/>
                  </w:pPr>
                  <w:r w:rsidRPr="00BC1144">
                    <w:t>(0.931)</w:t>
                  </w:r>
                </w:p>
              </w:tc>
              <w:tc>
                <w:tcPr>
                  <w:tcW w:w="415" w:type="pct"/>
                  <w:vAlign w:val="center"/>
                </w:tcPr>
                <w:p w:rsidR="00CC4DB6" w:rsidRPr="00BC1144" w:rsidRDefault="00CC4DB6" w:rsidP="00CC4DB6">
                  <w:pPr>
                    <w:pStyle w:val="TableBodyText"/>
                    <w:ind w:right="28"/>
                  </w:pPr>
                  <w:r w:rsidRPr="00BC1144">
                    <w:t>(1.213)</w:t>
                  </w:r>
                </w:p>
              </w:tc>
              <w:tc>
                <w:tcPr>
                  <w:tcW w:w="414" w:type="pct"/>
                  <w:vAlign w:val="center"/>
                </w:tcPr>
                <w:p w:rsidR="00CC4DB6" w:rsidRPr="00BC1144" w:rsidRDefault="00CC4DB6" w:rsidP="00CC4DB6">
                  <w:pPr>
                    <w:pStyle w:val="TableBodyText"/>
                    <w:ind w:right="28"/>
                  </w:pPr>
                  <w:r w:rsidRPr="00BC1144">
                    <w:t>(0.160)</w:t>
                  </w:r>
                </w:p>
              </w:tc>
              <w:tc>
                <w:tcPr>
                  <w:tcW w:w="415" w:type="pct"/>
                  <w:vAlign w:val="center"/>
                </w:tcPr>
                <w:p w:rsidR="00CC4DB6" w:rsidRPr="00BC1144" w:rsidRDefault="00CC4DB6" w:rsidP="00CC4DB6">
                  <w:pPr>
                    <w:pStyle w:val="TableBodyText"/>
                    <w:ind w:right="28"/>
                  </w:pPr>
                  <w:r w:rsidRPr="00BC1144">
                    <w:t>(0.145)</w:t>
                  </w:r>
                </w:p>
              </w:tc>
              <w:tc>
                <w:tcPr>
                  <w:tcW w:w="414" w:type="pct"/>
                  <w:vAlign w:val="center"/>
                </w:tcPr>
                <w:p w:rsidR="00CC4DB6" w:rsidRPr="00BC1144" w:rsidRDefault="00CC4DB6" w:rsidP="00CC4DB6">
                  <w:pPr>
                    <w:pStyle w:val="TableBodyText"/>
                    <w:ind w:right="28"/>
                  </w:pPr>
                  <w:r w:rsidRPr="00BC1144">
                    <w:t>(0.147)</w:t>
                  </w:r>
                </w:p>
              </w:tc>
              <w:tc>
                <w:tcPr>
                  <w:tcW w:w="415" w:type="pct"/>
                  <w:vAlign w:val="center"/>
                </w:tcPr>
                <w:p w:rsidR="00CC4DB6" w:rsidRPr="00BC1144" w:rsidRDefault="00CC4DB6" w:rsidP="00CC4DB6">
                  <w:pPr>
                    <w:pStyle w:val="TableBodyText"/>
                    <w:ind w:right="28"/>
                  </w:pPr>
                  <w:r w:rsidRPr="00BC1144">
                    <w:t>(0.131)</w:t>
                  </w:r>
                </w:p>
              </w:tc>
              <w:tc>
                <w:tcPr>
                  <w:tcW w:w="397" w:type="pct"/>
                  <w:vAlign w:val="center"/>
                </w:tcPr>
                <w:p w:rsidR="00CC4DB6" w:rsidRPr="00BC1144" w:rsidRDefault="00CC4DB6" w:rsidP="00CC4DB6">
                  <w:pPr>
                    <w:pStyle w:val="TableBodyText"/>
                    <w:ind w:right="28"/>
                  </w:pPr>
                  <w:r w:rsidRPr="00BC1144">
                    <w:t>(0.313)</w:t>
                  </w:r>
                </w:p>
              </w:tc>
              <w:tc>
                <w:tcPr>
                  <w:tcW w:w="401" w:type="pct"/>
                  <w:vAlign w:val="center"/>
                </w:tcPr>
                <w:p w:rsidR="00CC4DB6" w:rsidRPr="00BC1144" w:rsidRDefault="00CC4DB6" w:rsidP="00CC4DB6">
                  <w:pPr>
                    <w:pStyle w:val="TableBodyText"/>
                    <w:ind w:right="28"/>
                  </w:pPr>
                  <w:r w:rsidRPr="00BC1144">
                    <w:t>(0.198)</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Sector: Public</w:t>
                  </w:r>
                </w:p>
              </w:tc>
              <w:tc>
                <w:tcPr>
                  <w:tcW w:w="463" w:type="pct"/>
                  <w:shd w:val="clear" w:color="auto" w:fill="F2F2F2" w:themeFill="background1" w:themeFillShade="F2"/>
                  <w:vAlign w:val="center"/>
                </w:tcPr>
                <w:p w:rsidR="006E391F" w:rsidRPr="00BC1144" w:rsidRDefault="006E391F" w:rsidP="00336FA0">
                  <w:pPr>
                    <w:pStyle w:val="TableBodyText"/>
                  </w:pPr>
                  <w:r w:rsidRPr="00BC1144">
                    <w:t>-0.183</w:t>
                  </w:r>
                </w:p>
              </w:tc>
              <w:tc>
                <w:tcPr>
                  <w:tcW w:w="463" w:type="pct"/>
                  <w:shd w:val="clear" w:color="auto" w:fill="F2F2F2" w:themeFill="background1" w:themeFillShade="F2"/>
                  <w:vAlign w:val="center"/>
                </w:tcPr>
                <w:p w:rsidR="006E391F" w:rsidRPr="00BC1144" w:rsidRDefault="006E391F" w:rsidP="00336FA0">
                  <w:pPr>
                    <w:pStyle w:val="TableBodyText"/>
                  </w:pPr>
                  <w:r w:rsidRPr="00BC1144">
                    <w:t>-0.180</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-0.521</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-0.526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-0.142</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-0.311</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0.132</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0.053</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0.147</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0.006</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(0.147)</w:t>
                  </w:r>
                </w:p>
              </w:tc>
              <w:tc>
                <w:tcPr>
                  <w:tcW w:w="463" w:type="pct"/>
                  <w:shd w:val="clear" w:color="auto" w:fill="F2F2F2" w:themeFill="background1" w:themeFillShade="F2"/>
                  <w:vAlign w:val="center"/>
                </w:tcPr>
                <w:p w:rsidR="006E391F" w:rsidRPr="00BC1144" w:rsidRDefault="006E391F" w:rsidP="00336FA0">
                  <w:pPr>
                    <w:pStyle w:val="TableBodyText"/>
                  </w:pPr>
                  <w:r w:rsidRPr="00BC1144">
                    <w:t>(0.148)</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(3.264)</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(3.558)</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(0.129)</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(0.127)</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(0.203)</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(0.183)</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(0.410)</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(0.243)</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r w:rsidRPr="00BC1144">
                    <w:t>Neighbourhood SES: Q3</w:t>
                  </w:r>
                </w:p>
              </w:tc>
              <w:tc>
                <w:tcPr>
                  <w:tcW w:w="463" w:type="pct"/>
                  <w:shd w:val="clear" w:color="auto" w:fill="auto"/>
                  <w:vAlign w:val="center"/>
                </w:tcPr>
                <w:p w:rsidR="006E391F" w:rsidRPr="00BC1144" w:rsidRDefault="006E391F" w:rsidP="00336FA0">
                  <w:pPr>
                    <w:pStyle w:val="TableBodyText"/>
                  </w:pPr>
                  <w:r w:rsidRPr="00BC1144">
                    <w:t>0.059</w:t>
                  </w:r>
                </w:p>
              </w:tc>
              <w:tc>
                <w:tcPr>
                  <w:tcW w:w="463" w:type="pct"/>
                  <w:shd w:val="clear" w:color="auto" w:fill="auto"/>
                  <w:vAlign w:val="center"/>
                </w:tcPr>
                <w:p w:rsidR="006E391F" w:rsidRPr="00BC1144" w:rsidRDefault="006E391F" w:rsidP="00336FA0">
                  <w:pPr>
                    <w:pStyle w:val="TableBodyText"/>
                  </w:pPr>
                  <w:r w:rsidRPr="00BC1144">
                    <w:t>0.051</w:t>
                  </w:r>
                </w:p>
              </w:tc>
              <w:tc>
                <w:tcPr>
                  <w:tcW w:w="414" w:type="pct"/>
                  <w:shd w:val="clear" w:color="auto" w:fill="auto"/>
                  <w:vAlign w:val="center"/>
                </w:tcPr>
                <w:p w:rsidR="006E391F" w:rsidRPr="00BC1144" w:rsidRDefault="006E391F" w:rsidP="00336FA0">
                  <w:pPr>
                    <w:pStyle w:val="TableBodyText"/>
                    <w:ind w:right="28"/>
                  </w:pPr>
                  <w:r w:rsidRPr="00BC1144">
                    <w:t>0.005</w:t>
                  </w:r>
                </w:p>
              </w:tc>
              <w:tc>
                <w:tcPr>
                  <w:tcW w:w="415" w:type="pct"/>
                  <w:shd w:val="clear" w:color="auto" w:fill="auto"/>
                  <w:vAlign w:val="center"/>
                </w:tcPr>
                <w:p w:rsidR="006E391F" w:rsidRPr="00BC1144" w:rsidRDefault="006E391F" w:rsidP="00336FA0">
                  <w:pPr>
                    <w:pStyle w:val="TableBodyText"/>
                    <w:ind w:right="28"/>
                  </w:pPr>
                  <w:r w:rsidRPr="00BC1144">
                    <w:t>0.066</w:t>
                  </w:r>
                </w:p>
              </w:tc>
              <w:tc>
                <w:tcPr>
                  <w:tcW w:w="414" w:type="pct"/>
                  <w:shd w:val="clear" w:color="auto" w:fill="auto"/>
                  <w:vAlign w:val="center"/>
                </w:tcPr>
                <w:p w:rsidR="006E391F" w:rsidRPr="00BC1144" w:rsidRDefault="006E391F" w:rsidP="00336FA0">
                  <w:pPr>
                    <w:pStyle w:val="TableBodyText"/>
                    <w:ind w:right="28"/>
                  </w:pPr>
                  <w:r w:rsidRPr="00BC1144">
                    <w:t>-0.225</w:t>
                  </w:r>
                  <w:r w:rsidRPr="00BC1144">
                    <w:rPr>
                      <w:vertAlign w:val="superscript"/>
                    </w:rPr>
                    <w:t>**</w:t>
                  </w:r>
                </w:p>
              </w:tc>
              <w:tc>
                <w:tcPr>
                  <w:tcW w:w="415" w:type="pct"/>
                  <w:shd w:val="clear" w:color="auto" w:fill="auto"/>
                  <w:vAlign w:val="center"/>
                </w:tcPr>
                <w:p w:rsidR="006E391F" w:rsidRPr="00BC1144" w:rsidRDefault="006E391F" w:rsidP="00336FA0">
                  <w:pPr>
                    <w:pStyle w:val="TableBodyText"/>
                    <w:ind w:right="28"/>
                  </w:pPr>
                  <w:r w:rsidRPr="00BC1144">
                    <w:t>-0.234</w:t>
                  </w:r>
                  <w:r w:rsidRPr="00BC1144">
                    <w:rPr>
                      <w:vertAlign w:val="superscript"/>
                    </w:rPr>
                    <w:t>**</w:t>
                  </w:r>
                </w:p>
              </w:tc>
              <w:tc>
                <w:tcPr>
                  <w:tcW w:w="414" w:type="pct"/>
                  <w:shd w:val="clear" w:color="auto" w:fill="auto"/>
                  <w:vAlign w:val="center"/>
                </w:tcPr>
                <w:p w:rsidR="006E391F" w:rsidRPr="00BC1144" w:rsidRDefault="006E391F" w:rsidP="00336FA0">
                  <w:pPr>
                    <w:pStyle w:val="TableBodyText"/>
                    <w:ind w:right="28"/>
                  </w:pPr>
                  <w:r w:rsidRPr="00BC1144">
                    <w:t>-0.009</w:t>
                  </w:r>
                </w:p>
              </w:tc>
              <w:tc>
                <w:tcPr>
                  <w:tcW w:w="415" w:type="pct"/>
                  <w:shd w:val="clear" w:color="auto" w:fill="auto"/>
                  <w:vAlign w:val="center"/>
                </w:tcPr>
                <w:p w:rsidR="006E391F" w:rsidRPr="00BC1144" w:rsidRDefault="006E391F" w:rsidP="00336FA0">
                  <w:pPr>
                    <w:pStyle w:val="TableBodyText"/>
                    <w:ind w:right="28"/>
                  </w:pPr>
                  <w:r w:rsidRPr="00BC1144">
                    <w:t>0.019</w:t>
                  </w:r>
                </w:p>
              </w:tc>
              <w:tc>
                <w:tcPr>
                  <w:tcW w:w="397" w:type="pct"/>
                  <w:shd w:val="clear" w:color="auto" w:fill="auto"/>
                  <w:vAlign w:val="center"/>
                </w:tcPr>
                <w:p w:rsidR="006E391F" w:rsidRPr="00BC1144" w:rsidRDefault="006E391F" w:rsidP="00336FA0">
                  <w:pPr>
                    <w:pStyle w:val="TableBodyText"/>
                    <w:ind w:right="28"/>
                  </w:pPr>
                  <w:r w:rsidRPr="00BC1144">
                    <w:t>-0.203</w:t>
                  </w:r>
                </w:p>
              </w:tc>
              <w:tc>
                <w:tcPr>
                  <w:tcW w:w="401" w:type="pct"/>
                  <w:shd w:val="clear" w:color="auto" w:fill="auto"/>
                  <w:vAlign w:val="center"/>
                </w:tcPr>
                <w:p w:rsidR="006E391F" w:rsidRPr="00BC1144" w:rsidRDefault="006E391F" w:rsidP="00336FA0">
                  <w:pPr>
                    <w:pStyle w:val="TableBodyText"/>
                    <w:ind w:right="28"/>
                  </w:pPr>
                  <w:r w:rsidRPr="00BC1144">
                    <w:t>-0.264</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p>
              </w:tc>
              <w:tc>
                <w:tcPr>
                  <w:tcW w:w="463" w:type="pct"/>
                  <w:shd w:val="clear" w:color="auto" w:fill="auto"/>
                  <w:vAlign w:val="center"/>
                </w:tcPr>
                <w:p w:rsidR="006E391F" w:rsidRPr="00BC1144" w:rsidRDefault="006E391F" w:rsidP="00336FA0">
                  <w:pPr>
                    <w:pStyle w:val="TableBodyText"/>
                  </w:pPr>
                  <w:r w:rsidRPr="00BC1144">
                    <w:t>(0.129)</w:t>
                  </w:r>
                </w:p>
              </w:tc>
              <w:tc>
                <w:tcPr>
                  <w:tcW w:w="463" w:type="pct"/>
                  <w:shd w:val="clear" w:color="auto" w:fill="auto"/>
                  <w:vAlign w:val="center"/>
                </w:tcPr>
                <w:p w:rsidR="006E391F" w:rsidRPr="00BC1144" w:rsidRDefault="006E391F" w:rsidP="00336FA0">
                  <w:pPr>
                    <w:pStyle w:val="TableBodyText"/>
                  </w:pPr>
                  <w:r w:rsidRPr="00BC1144">
                    <w:t>(0.128)</w:t>
                  </w:r>
                </w:p>
              </w:tc>
              <w:tc>
                <w:tcPr>
                  <w:tcW w:w="414" w:type="pct"/>
                  <w:shd w:val="clear" w:color="auto" w:fill="auto"/>
                  <w:vAlign w:val="center"/>
                </w:tcPr>
                <w:p w:rsidR="006E391F" w:rsidRPr="00BC1144" w:rsidRDefault="006E391F" w:rsidP="00336FA0">
                  <w:pPr>
                    <w:pStyle w:val="TableBodyText"/>
                    <w:ind w:right="28"/>
                  </w:pPr>
                  <w:r w:rsidRPr="00BC1144">
                    <w:t>(1.822)</w:t>
                  </w:r>
                </w:p>
              </w:tc>
              <w:tc>
                <w:tcPr>
                  <w:tcW w:w="415" w:type="pct"/>
                  <w:shd w:val="clear" w:color="auto" w:fill="auto"/>
                  <w:vAlign w:val="center"/>
                </w:tcPr>
                <w:p w:rsidR="006E391F" w:rsidRPr="00BC1144" w:rsidRDefault="006E391F" w:rsidP="00336FA0">
                  <w:pPr>
                    <w:pStyle w:val="TableBodyText"/>
                    <w:ind w:right="28"/>
                  </w:pPr>
                  <w:r w:rsidRPr="00BC1144">
                    <w:t>(1.959)</w:t>
                  </w:r>
                </w:p>
              </w:tc>
              <w:tc>
                <w:tcPr>
                  <w:tcW w:w="414" w:type="pct"/>
                  <w:shd w:val="clear" w:color="auto" w:fill="auto"/>
                  <w:vAlign w:val="center"/>
                </w:tcPr>
                <w:p w:rsidR="006E391F" w:rsidRPr="00BC1144" w:rsidRDefault="006E391F" w:rsidP="00336FA0">
                  <w:pPr>
                    <w:pStyle w:val="TableBodyText"/>
                    <w:ind w:right="28"/>
                  </w:pPr>
                  <w:r w:rsidRPr="00BC1144">
                    <w:t>(0.110)</w:t>
                  </w:r>
                </w:p>
              </w:tc>
              <w:tc>
                <w:tcPr>
                  <w:tcW w:w="415" w:type="pct"/>
                  <w:shd w:val="clear" w:color="auto" w:fill="auto"/>
                  <w:vAlign w:val="center"/>
                </w:tcPr>
                <w:p w:rsidR="006E391F" w:rsidRPr="00BC1144" w:rsidRDefault="006E391F" w:rsidP="00336FA0">
                  <w:pPr>
                    <w:pStyle w:val="TableBodyText"/>
                    <w:ind w:right="28"/>
                  </w:pPr>
                  <w:r w:rsidRPr="00BC1144">
                    <w:t>(0.107)</w:t>
                  </w:r>
                </w:p>
              </w:tc>
              <w:tc>
                <w:tcPr>
                  <w:tcW w:w="414" w:type="pct"/>
                  <w:shd w:val="clear" w:color="auto" w:fill="auto"/>
                  <w:vAlign w:val="center"/>
                </w:tcPr>
                <w:p w:rsidR="006E391F" w:rsidRPr="00BC1144" w:rsidRDefault="006E391F" w:rsidP="00336FA0">
                  <w:pPr>
                    <w:pStyle w:val="TableBodyText"/>
                    <w:ind w:right="28"/>
                  </w:pPr>
                  <w:r w:rsidRPr="00BC1144">
                    <w:t>(0.179)</w:t>
                  </w:r>
                </w:p>
              </w:tc>
              <w:tc>
                <w:tcPr>
                  <w:tcW w:w="415" w:type="pct"/>
                  <w:shd w:val="clear" w:color="auto" w:fill="auto"/>
                  <w:vAlign w:val="center"/>
                </w:tcPr>
                <w:p w:rsidR="006E391F" w:rsidRPr="00BC1144" w:rsidRDefault="006E391F" w:rsidP="00336FA0">
                  <w:pPr>
                    <w:pStyle w:val="TableBodyText"/>
                    <w:ind w:right="28"/>
                  </w:pPr>
                  <w:r w:rsidRPr="00BC1144">
                    <w:t>(0.201)</w:t>
                  </w:r>
                </w:p>
              </w:tc>
              <w:tc>
                <w:tcPr>
                  <w:tcW w:w="397" w:type="pct"/>
                  <w:shd w:val="clear" w:color="auto" w:fill="auto"/>
                  <w:vAlign w:val="center"/>
                </w:tcPr>
                <w:p w:rsidR="006E391F" w:rsidRPr="00BC1144" w:rsidRDefault="006E391F" w:rsidP="00336FA0">
                  <w:pPr>
                    <w:pStyle w:val="TableBodyText"/>
                    <w:ind w:right="28"/>
                  </w:pPr>
                  <w:r w:rsidRPr="00BC1144">
                    <w:t>(0.218)</w:t>
                  </w:r>
                </w:p>
              </w:tc>
              <w:tc>
                <w:tcPr>
                  <w:tcW w:w="401" w:type="pct"/>
                  <w:shd w:val="clear" w:color="auto" w:fill="auto"/>
                  <w:vAlign w:val="center"/>
                </w:tcPr>
                <w:p w:rsidR="006E391F" w:rsidRPr="00BC1144" w:rsidRDefault="006E391F" w:rsidP="00336FA0">
                  <w:pPr>
                    <w:pStyle w:val="TableBodyText"/>
                    <w:ind w:right="28"/>
                  </w:pPr>
                  <w:r w:rsidRPr="00BC1144">
                    <w:t>(0.163)</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Neighbourhood SES: Q2</w:t>
                  </w:r>
                </w:p>
              </w:tc>
              <w:tc>
                <w:tcPr>
                  <w:tcW w:w="463" w:type="pct"/>
                  <w:shd w:val="clear" w:color="auto" w:fill="F2F2F2" w:themeFill="background1" w:themeFillShade="F2"/>
                  <w:vAlign w:val="center"/>
                </w:tcPr>
                <w:p w:rsidR="006E391F" w:rsidRPr="00BC1144" w:rsidRDefault="006E391F" w:rsidP="00336FA0">
                  <w:pPr>
                    <w:pStyle w:val="TableBodyText"/>
                  </w:pPr>
                  <w:r w:rsidRPr="00BC1144">
                    <w:t>0.228</w:t>
                  </w:r>
                </w:p>
              </w:tc>
              <w:tc>
                <w:tcPr>
                  <w:tcW w:w="463" w:type="pct"/>
                  <w:shd w:val="clear" w:color="auto" w:fill="F2F2F2" w:themeFill="background1" w:themeFillShade="F2"/>
                  <w:vAlign w:val="center"/>
                </w:tcPr>
                <w:p w:rsidR="006E391F" w:rsidRPr="00BC1144" w:rsidRDefault="006E391F" w:rsidP="00336FA0">
                  <w:pPr>
                    <w:pStyle w:val="TableBodyText"/>
                  </w:pPr>
                  <w:r w:rsidRPr="00BC1144">
                    <w:t>0.230</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-0.049</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0.041</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-0.376</w:t>
                  </w:r>
                  <w:r w:rsidRPr="00BC1144">
                    <w:rPr>
                      <w:vertAlign w:val="superscript"/>
                    </w:rPr>
                    <w:t>***</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-0.351</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-0.255</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-0.266</w:t>
                  </w:r>
                  <w:r w:rsidRPr="00BC1144">
                    <w:rPr>
                      <w:vertAlign w:val="superscript"/>
                    </w:rPr>
                    <w:t>*</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-0.213</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-0.280</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(0.165)</w:t>
                  </w:r>
                </w:p>
              </w:tc>
              <w:tc>
                <w:tcPr>
                  <w:tcW w:w="463" w:type="pct"/>
                  <w:shd w:val="clear" w:color="auto" w:fill="F2F2F2" w:themeFill="background1" w:themeFillShade="F2"/>
                  <w:vAlign w:val="center"/>
                </w:tcPr>
                <w:p w:rsidR="006E391F" w:rsidRPr="00BC1144" w:rsidRDefault="006E391F" w:rsidP="00336FA0">
                  <w:pPr>
                    <w:pStyle w:val="TableBodyText"/>
                  </w:pPr>
                  <w:r w:rsidRPr="00BC1144">
                    <w:t>(0.165)</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(1.440)</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(1.776)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(0.121)</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(0.110)</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(0.219)</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(0.144)</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(0.300)</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(0.216)</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r w:rsidRPr="00BC1144">
                    <w:t>Neighbourhood SES: Q1</w:t>
                  </w:r>
                </w:p>
              </w:tc>
              <w:tc>
                <w:tcPr>
                  <w:tcW w:w="463" w:type="pct"/>
                  <w:shd w:val="clear" w:color="auto" w:fill="auto"/>
                  <w:vAlign w:val="center"/>
                </w:tcPr>
                <w:p w:rsidR="006E391F" w:rsidRPr="00BC1144" w:rsidRDefault="006E391F" w:rsidP="00336FA0">
                  <w:pPr>
                    <w:pStyle w:val="TableBodyText"/>
                  </w:pPr>
                  <w:r w:rsidRPr="00BC1144">
                    <w:t>0.177</w:t>
                  </w:r>
                </w:p>
              </w:tc>
              <w:tc>
                <w:tcPr>
                  <w:tcW w:w="463" w:type="pct"/>
                  <w:shd w:val="clear" w:color="auto" w:fill="auto"/>
                  <w:vAlign w:val="center"/>
                </w:tcPr>
                <w:p w:rsidR="006E391F" w:rsidRPr="00BC1144" w:rsidRDefault="006E391F" w:rsidP="00336FA0">
                  <w:pPr>
                    <w:pStyle w:val="TableBodyText"/>
                  </w:pPr>
                  <w:r w:rsidRPr="00BC1144">
                    <w:t>0.168</w:t>
                  </w:r>
                </w:p>
              </w:tc>
              <w:tc>
                <w:tcPr>
                  <w:tcW w:w="414" w:type="pct"/>
                  <w:shd w:val="clear" w:color="auto" w:fill="auto"/>
                  <w:vAlign w:val="center"/>
                </w:tcPr>
                <w:p w:rsidR="006E391F" w:rsidRPr="00BC1144" w:rsidRDefault="006E391F" w:rsidP="00336FA0">
                  <w:pPr>
                    <w:pStyle w:val="TableBodyText"/>
                    <w:ind w:right="28"/>
                  </w:pPr>
                  <w:r w:rsidRPr="00BC1144">
                    <w:t>-0.432</w:t>
                  </w:r>
                </w:p>
              </w:tc>
              <w:tc>
                <w:tcPr>
                  <w:tcW w:w="415" w:type="pct"/>
                  <w:shd w:val="clear" w:color="auto" w:fill="auto"/>
                  <w:vAlign w:val="center"/>
                </w:tcPr>
                <w:p w:rsidR="006E391F" w:rsidRPr="00BC1144" w:rsidRDefault="006E391F" w:rsidP="00336FA0">
                  <w:pPr>
                    <w:pStyle w:val="TableBodyText"/>
                    <w:ind w:right="28"/>
                  </w:pPr>
                  <w:r w:rsidRPr="00BC1144">
                    <w:t>-0.366</w:t>
                  </w:r>
                </w:p>
              </w:tc>
              <w:tc>
                <w:tcPr>
                  <w:tcW w:w="414" w:type="pct"/>
                  <w:shd w:val="clear" w:color="auto" w:fill="auto"/>
                  <w:vAlign w:val="center"/>
                </w:tcPr>
                <w:p w:rsidR="006E391F" w:rsidRPr="00BC1144" w:rsidRDefault="006E391F" w:rsidP="00336FA0">
                  <w:pPr>
                    <w:pStyle w:val="TableBodyText"/>
                    <w:ind w:right="28"/>
                  </w:pPr>
                  <w:r w:rsidRPr="00BC1144">
                    <w:t>-0.227</w:t>
                  </w:r>
                </w:p>
              </w:tc>
              <w:tc>
                <w:tcPr>
                  <w:tcW w:w="415" w:type="pct"/>
                  <w:shd w:val="clear" w:color="auto" w:fill="auto"/>
                  <w:vAlign w:val="center"/>
                </w:tcPr>
                <w:p w:rsidR="006E391F" w:rsidRPr="00BC1144" w:rsidRDefault="006E391F" w:rsidP="00336FA0">
                  <w:pPr>
                    <w:pStyle w:val="TableBodyText"/>
                    <w:ind w:right="28"/>
                  </w:pPr>
                  <w:r w:rsidRPr="00BC1144">
                    <w:t>-0.119</w:t>
                  </w:r>
                </w:p>
              </w:tc>
              <w:tc>
                <w:tcPr>
                  <w:tcW w:w="414" w:type="pct"/>
                  <w:shd w:val="clear" w:color="auto" w:fill="auto"/>
                  <w:vAlign w:val="center"/>
                </w:tcPr>
                <w:p w:rsidR="006E391F" w:rsidRPr="00BC1144" w:rsidRDefault="006E391F" w:rsidP="00336FA0">
                  <w:pPr>
                    <w:pStyle w:val="TableBodyText"/>
                    <w:ind w:right="28"/>
                  </w:pPr>
                  <w:r w:rsidRPr="00BC1144">
                    <w:t>0.079</w:t>
                  </w:r>
                </w:p>
              </w:tc>
              <w:tc>
                <w:tcPr>
                  <w:tcW w:w="415" w:type="pct"/>
                  <w:shd w:val="clear" w:color="auto" w:fill="auto"/>
                  <w:vAlign w:val="center"/>
                </w:tcPr>
                <w:p w:rsidR="006E391F" w:rsidRPr="00BC1144" w:rsidRDefault="006E391F" w:rsidP="00336FA0">
                  <w:pPr>
                    <w:pStyle w:val="TableBodyText"/>
                    <w:ind w:right="28"/>
                  </w:pPr>
                  <w:r w:rsidRPr="00BC1144">
                    <w:t>0.040</w:t>
                  </w:r>
                </w:p>
              </w:tc>
              <w:tc>
                <w:tcPr>
                  <w:tcW w:w="397" w:type="pct"/>
                  <w:shd w:val="clear" w:color="auto" w:fill="auto"/>
                  <w:vAlign w:val="center"/>
                </w:tcPr>
                <w:p w:rsidR="006E391F" w:rsidRPr="00BC1144" w:rsidRDefault="006E391F" w:rsidP="00336FA0">
                  <w:pPr>
                    <w:pStyle w:val="TableBodyText"/>
                    <w:ind w:right="28"/>
                  </w:pPr>
                  <w:r w:rsidRPr="00BC1144">
                    <w:t>-0.270</w:t>
                  </w:r>
                </w:p>
              </w:tc>
              <w:tc>
                <w:tcPr>
                  <w:tcW w:w="401" w:type="pct"/>
                  <w:shd w:val="clear" w:color="auto" w:fill="auto"/>
                  <w:vAlign w:val="center"/>
                </w:tcPr>
                <w:p w:rsidR="006E391F" w:rsidRPr="00BC1144" w:rsidRDefault="006E391F" w:rsidP="00336FA0">
                  <w:pPr>
                    <w:pStyle w:val="TableBodyText"/>
                    <w:ind w:right="28"/>
                  </w:pPr>
                  <w:r w:rsidRPr="00BC1144">
                    <w:t>-0.363</w:t>
                  </w:r>
                  <w:r w:rsidRPr="00BC1144">
                    <w:rPr>
                      <w:vertAlign w:val="superscript"/>
                    </w:rPr>
                    <w:t>*</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p>
              </w:tc>
              <w:tc>
                <w:tcPr>
                  <w:tcW w:w="463" w:type="pct"/>
                  <w:shd w:val="clear" w:color="auto" w:fill="auto"/>
                  <w:vAlign w:val="center"/>
                </w:tcPr>
                <w:p w:rsidR="006E391F" w:rsidRPr="00BC1144" w:rsidRDefault="006E391F" w:rsidP="00336FA0">
                  <w:pPr>
                    <w:pStyle w:val="TableBodyText"/>
                  </w:pPr>
                  <w:r w:rsidRPr="00BC1144">
                    <w:t>(0.214)</w:t>
                  </w:r>
                </w:p>
              </w:tc>
              <w:tc>
                <w:tcPr>
                  <w:tcW w:w="463" w:type="pct"/>
                  <w:shd w:val="clear" w:color="auto" w:fill="auto"/>
                  <w:vAlign w:val="center"/>
                </w:tcPr>
                <w:p w:rsidR="006E391F" w:rsidRPr="00BC1144" w:rsidRDefault="006E391F" w:rsidP="00336FA0">
                  <w:pPr>
                    <w:pStyle w:val="TableBodyText"/>
                  </w:pPr>
                  <w:r w:rsidRPr="00BC1144">
                    <w:t>(0.219)</w:t>
                  </w:r>
                </w:p>
              </w:tc>
              <w:tc>
                <w:tcPr>
                  <w:tcW w:w="414" w:type="pct"/>
                  <w:shd w:val="clear" w:color="auto" w:fill="auto"/>
                  <w:vAlign w:val="center"/>
                </w:tcPr>
                <w:p w:rsidR="006E391F" w:rsidRPr="00BC1144" w:rsidRDefault="006E391F" w:rsidP="00336FA0">
                  <w:pPr>
                    <w:pStyle w:val="TableBodyText"/>
                    <w:ind w:right="28"/>
                  </w:pPr>
                  <w:r w:rsidRPr="00BC1144">
                    <w:t>(2.182)</w:t>
                  </w:r>
                </w:p>
              </w:tc>
              <w:tc>
                <w:tcPr>
                  <w:tcW w:w="415" w:type="pct"/>
                  <w:shd w:val="clear" w:color="auto" w:fill="auto"/>
                  <w:vAlign w:val="center"/>
                </w:tcPr>
                <w:p w:rsidR="006E391F" w:rsidRPr="00BC1144" w:rsidRDefault="006E391F" w:rsidP="00336FA0">
                  <w:pPr>
                    <w:pStyle w:val="TableBodyText"/>
                    <w:ind w:right="28"/>
                  </w:pPr>
                  <w:r w:rsidRPr="00BC1144">
                    <w:t>(2.604)</w:t>
                  </w:r>
                </w:p>
              </w:tc>
              <w:tc>
                <w:tcPr>
                  <w:tcW w:w="414" w:type="pct"/>
                  <w:shd w:val="clear" w:color="auto" w:fill="auto"/>
                  <w:vAlign w:val="center"/>
                </w:tcPr>
                <w:p w:rsidR="006E391F" w:rsidRPr="00BC1144" w:rsidRDefault="006E391F" w:rsidP="00336FA0">
                  <w:pPr>
                    <w:pStyle w:val="TableBodyText"/>
                    <w:ind w:right="28"/>
                  </w:pPr>
                  <w:r w:rsidRPr="00BC1144">
                    <w:t>(0.149)</w:t>
                  </w:r>
                </w:p>
              </w:tc>
              <w:tc>
                <w:tcPr>
                  <w:tcW w:w="415" w:type="pct"/>
                  <w:shd w:val="clear" w:color="auto" w:fill="auto"/>
                  <w:vAlign w:val="center"/>
                </w:tcPr>
                <w:p w:rsidR="006E391F" w:rsidRPr="00BC1144" w:rsidRDefault="006E391F" w:rsidP="00336FA0">
                  <w:pPr>
                    <w:pStyle w:val="TableBodyText"/>
                    <w:ind w:right="28"/>
                  </w:pPr>
                  <w:r w:rsidRPr="00BC1144">
                    <w:t>(0.154)</w:t>
                  </w:r>
                </w:p>
              </w:tc>
              <w:tc>
                <w:tcPr>
                  <w:tcW w:w="414" w:type="pct"/>
                  <w:shd w:val="clear" w:color="auto" w:fill="auto"/>
                  <w:vAlign w:val="center"/>
                </w:tcPr>
                <w:p w:rsidR="006E391F" w:rsidRPr="00BC1144" w:rsidRDefault="006E391F" w:rsidP="00336FA0">
                  <w:pPr>
                    <w:pStyle w:val="TableBodyText"/>
                    <w:ind w:right="28"/>
                  </w:pPr>
                  <w:r w:rsidRPr="00BC1144">
                    <w:t>(0.210)</w:t>
                  </w:r>
                </w:p>
              </w:tc>
              <w:tc>
                <w:tcPr>
                  <w:tcW w:w="415" w:type="pct"/>
                  <w:shd w:val="clear" w:color="auto" w:fill="auto"/>
                  <w:vAlign w:val="center"/>
                </w:tcPr>
                <w:p w:rsidR="006E391F" w:rsidRPr="00BC1144" w:rsidRDefault="006E391F" w:rsidP="00336FA0">
                  <w:pPr>
                    <w:pStyle w:val="TableBodyText"/>
                    <w:ind w:right="28"/>
                  </w:pPr>
                  <w:r w:rsidRPr="00BC1144">
                    <w:t>(0.191)</w:t>
                  </w:r>
                </w:p>
              </w:tc>
              <w:tc>
                <w:tcPr>
                  <w:tcW w:w="397" w:type="pct"/>
                  <w:shd w:val="clear" w:color="auto" w:fill="auto"/>
                  <w:vAlign w:val="center"/>
                </w:tcPr>
                <w:p w:rsidR="006E391F" w:rsidRPr="00BC1144" w:rsidRDefault="006E391F" w:rsidP="00336FA0">
                  <w:pPr>
                    <w:pStyle w:val="TableBodyText"/>
                    <w:ind w:right="28"/>
                  </w:pPr>
                  <w:r w:rsidRPr="00BC1144">
                    <w:t>(0.285)</w:t>
                  </w:r>
                </w:p>
              </w:tc>
              <w:tc>
                <w:tcPr>
                  <w:tcW w:w="401" w:type="pct"/>
                  <w:shd w:val="clear" w:color="auto" w:fill="auto"/>
                  <w:vAlign w:val="center"/>
                </w:tcPr>
                <w:p w:rsidR="006E391F" w:rsidRPr="00BC1144" w:rsidRDefault="006E391F" w:rsidP="00336FA0">
                  <w:pPr>
                    <w:pStyle w:val="TableBodyText"/>
                    <w:ind w:right="28"/>
                  </w:pPr>
                  <w:r w:rsidRPr="00BC1144">
                    <w:t>(0.195)</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Distance</w:t>
                  </w:r>
                </w:p>
              </w:tc>
              <w:tc>
                <w:tcPr>
                  <w:tcW w:w="463" w:type="pct"/>
                  <w:shd w:val="clear" w:color="auto" w:fill="F2F2F2" w:themeFill="background1" w:themeFillShade="F2"/>
                  <w:vAlign w:val="center"/>
                </w:tcPr>
                <w:p w:rsidR="006E391F" w:rsidRPr="00BC1144" w:rsidRDefault="006E391F" w:rsidP="00336FA0">
                  <w:pPr>
                    <w:pStyle w:val="TableBodyText"/>
                  </w:pPr>
                  <w:r w:rsidRPr="00BC1144">
                    <w:t>-0.024</w:t>
                  </w:r>
                </w:p>
              </w:tc>
              <w:tc>
                <w:tcPr>
                  <w:tcW w:w="463" w:type="pct"/>
                  <w:shd w:val="clear" w:color="auto" w:fill="F2F2F2" w:themeFill="background1" w:themeFillShade="F2"/>
                  <w:vAlign w:val="center"/>
                </w:tcPr>
                <w:p w:rsidR="006E391F" w:rsidRPr="00BC1144" w:rsidRDefault="006E391F" w:rsidP="00336FA0">
                  <w:pPr>
                    <w:pStyle w:val="TableBodyText"/>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-0.050</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0.051</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-0.033</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-0.047</w:t>
                  </w:r>
                </w:p>
              </w:tc>
              <w:tc>
                <w:tcPr>
                  <w:tcW w:w="40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445"/>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(0.035)</w:t>
                  </w:r>
                </w:p>
              </w:tc>
              <w:tc>
                <w:tcPr>
                  <w:tcW w:w="463" w:type="pct"/>
                  <w:shd w:val="clear" w:color="auto" w:fill="F2F2F2" w:themeFill="background1" w:themeFillShade="F2"/>
                  <w:vAlign w:val="center"/>
                </w:tcPr>
                <w:p w:rsidR="006E391F" w:rsidRPr="00BC1144" w:rsidRDefault="006E391F" w:rsidP="00336FA0">
                  <w:pPr>
                    <w:pStyle w:val="TableBodyText"/>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(0.223)</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(0.046)</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(0.035)</w:t>
                  </w:r>
                </w:p>
              </w:tc>
              <w:tc>
                <w:tcPr>
                  <w:tcW w:w="415" w:type="pct"/>
                  <w:shd w:val="clear" w:color="auto" w:fill="F2F2F2" w:themeFill="background1" w:themeFillShade="F2"/>
                  <w:vAlign w:val="center"/>
                </w:tcPr>
                <w:p w:rsidR="006E391F" w:rsidRPr="00BC1144" w:rsidRDefault="006E391F" w:rsidP="00336FA0">
                  <w:pPr>
                    <w:pStyle w:val="TableBodyText"/>
                    <w:ind w:right="28"/>
                  </w:pP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(0.048)</w:t>
                  </w:r>
                </w:p>
              </w:tc>
              <w:tc>
                <w:tcPr>
                  <w:tcW w:w="40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r w:rsidRPr="00BC1144">
                    <w:t>Location: Regional or remote</w:t>
                  </w:r>
                </w:p>
              </w:tc>
              <w:tc>
                <w:tcPr>
                  <w:tcW w:w="463" w:type="pct"/>
                  <w:shd w:val="clear" w:color="auto" w:fill="auto"/>
                  <w:vAlign w:val="center"/>
                </w:tcPr>
                <w:p w:rsidR="006E391F" w:rsidRPr="00BC1144" w:rsidRDefault="006E391F" w:rsidP="00336FA0">
                  <w:pPr>
                    <w:pStyle w:val="TableBodyText"/>
                  </w:pPr>
                </w:p>
              </w:tc>
              <w:tc>
                <w:tcPr>
                  <w:tcW w:w="463" w:type="pct"/>
                  <w:shd w:val="clear" w:color="auto" w:fill="auto"/>
                  <w:vAlign w:val="center"/>
                </w:tcPr>
                <w:p w:rsidR="006E391F" w:rsidRPr="00BC1144" w:rsidRDefault="006E391F" w:rsidP="00336FA0">
                  <w:pPr>
                    <w:pStyle w:val="TableBodyText"/>
                  </w:pPr>
                  <w:r w:rsidRPr="00BC1144">
                    <w:t>-0.086</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-0.340</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-0.078</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-0.277</w:t>
                  </w:r>
                  <w:r w:rsidRPr="00BC1144">
                    <w:rPr>
                      <w:vertAlign w:val="superscript"/>
                    </w:rPr>
                    <w:t>*</w:t>
                  </w:r>
                </w:p>
              </w:tc>
              <w:tc>
                <w:tcPr>
                  <w:tcW w:w="397" w:type="pct"/>
                  <w:shd w:val="clear" w:color="auto" w:fill="auto"/>
                  <w:vAlign w:val="center"/>
                </w:tcPr>
                <w:p w:rsidR="006E391F" w:rsidRPr="00BC1144" w:rsidRDefault="006E391F" w:rsidP="00336FA0">
                  <w:pPr>
                    <w:pStyle w:val="TableBodyText"/>
                    <w:ind w:right="28"/>
                  </w:pPr>
                </w:p>
              </w:tc>
              <w:tc>
                <w:tcPr>
                  <w:tcW w:w="401" w:type="pct"/>
                  <w:shd w:val="clear" w:color="auto" w:fill="auto"/>
                  <w:vAlign w:val="center"/>
                </w:tcPr>
                <w:p w:rsidR="006E391F" w:rsidRPr="00BC1144" w:rsidRDefault="006E391F" w:rsidP="00336FA0">
                  <w:pPr>
                    <w:pStyle w:val="TableBodyText"/>
                    <w:ind w:right="28"/>
                  </w:pPr>
                  <w:r w:rsidRPr="00BC1144">
                    <w:t>-0.229</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p>
              </w:tc>
              <w:tc>
                <w:tcPr>
                  <w:tcW w:w="463" w:type="pct"/>
                  <w:shd w:val="clear" w:color="auto" w:fill="auto"/>
                  <w:vAlign w:val="center"/>
                </w:tcPr>
                <w:p w:rsidR="006E391F" w:rsidRPr="00BC1144" w:rsidRDefault="006E391F" w:rsidP="00336FA0">
                  <w:pPr>
                    <w:pStyle w:val="TableBodyText"/>
                  </w:pPr>
                </w:p>
              </w:tc>
              <w:tc>
                <w:tcPr>
                  <w:tcW w:w="463" w:type="pct"/>
                  <w:shd w:val="clear" w:color="auto" w:fill="auto"/>
                  <w:vAlign w:val="center"/>
                </w:tcPr>
                <w:p w:rsidR="006E391F" w:rsidRPr="00BC1144" w:rsidRDefault="006E391F" w:rsidP="00336FA0">
                  <w:pPr>
                    <w:pStyle w:val="TableBodyText"/>
                  </w:pPr>
                  <w:r w:rsidRPr="00BC1144">
                    <w:t>(0.106)</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(0.311)</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(0.158)</w:t>
                  </w:r>
                </w:p>
              </w:tc>
              <w:tc>
                <w:tcPr>
                  <w:tcW w:w="414" w:type="pct"/>
                  <w:shd w:val="clear" w:color="auto" w:fill="auto"/>
                  <w:vAlign w:val="center"/>
                </w:tcPr>
                <w:p w:rsidR="006E391F" w:rsidRPr="00BC1144" w:rsidRDefault="006E391F" w:rsidP="00336FA0">
                  <w:pPr>
                    <w:pStyle w:val="TableBodyText"/>
                    <w:ind w:right="28"/>
                  </w:pPr>
                </w:p>
              </w:tc>
              <w:tc>
                <w:tcPr>
                  <w:tcW w:w="415" w:type="pct"/>
                  <w:shd w:val="clear" w:color="auto" w:fill="auto"/>
                  <w:vAlign w:val="center"/>
                </w:tcPr>
                <w:p w:rsidR="006E391F" w:rsidRPr="00BC1144" w:rsidRDefault="006E391F" w:rsidP="00336FA0">
                  <w:pPr>
                    <w:pStyle w:val="TableBodyText"/>
                    <w:ind w:right="28"/>
                  </w:pPr>
                  <w:r w:rsidRPr="00BC1144">
                    <w:t>(0.143)</w:t>
                  </w:r>
                </w:p>
              </w:tc>
              <w:tc>
                <w:tcPr>
                  <w:tcW w:w="397" w:type="pct"/>
                  <w:shd w:val="clear" w:color="auto" w:fill="auto"/>
                  <w:vAlign w:val="center"/>
                </w:tcPr>
                <w:p w:rsidR="006E391F" w:rsidRPr="00BC1144" w:rsidRDefault="006E391F" w:rsidP="00336FA0">
                  <w:pPr>
                    <w:pStyle w:val="TableBodyText"/>
                    <w:ind w:right="28"/>
                  </w:pPr>
                </w:p>
              </w:tc>
              <w:tc>
                <w:tcPr>
                  <w:tcW w:w="401" w:type="pct"/>
                  <w:shd w:val="clear" w:color="auto" w:fill="auto"/>
                  <w:vAlign w:val="center"/>
                </w:tcPr>
                <w:p w:rsidR="006E391F" w:rsidRPr="00BC1144" w:rsidRDefault="006E391F" w:rsidP="00336FA0">
                  <w:pPr>
                    <w:pStyle w:val="TableBodyText"/>
                    <w:ind w:right="28"/>
                  </w:pPr>
                  <w:r w:rsidRPr="00BC1144">
                    <w:t>(0.178)</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State: VIC</w:t>
                  </w:r>
                </w:p>
              </w:tc>
              <w:tc>
                <w:tcPr>
                  <w:tcW w:w="463" w:type="pct"/>
                  <w:shd w:val="clear" w:color="auto" w:fill="F2F2F2" w:themeFill="background1" w:themeFillShade="F2"/>
                  <w:vAlign w:val="center"/>
                </w:tcPr>
                <w:p w:rsidR="006E391F" w:rsidRPr="00BC1144" w:rsidRDefault="006E391F" w:rsidP="00336FA0">
                  <w:pPr>
                    <w:pStyle w:val="TableBodyText"/>
                  </w:pPr>
                  <w:r w:rsidRPr="00BC1144">
                    <w:t>0.548</w:t>
                  </w:r>
                  <w:r w:rsidRPr="00BC1144">
                    <w:rPr>
                      <w:vertAlign w:val="superscript"/>
                    </w:rPr>
                    <w:t>***</w:t>
                  </w:r>
                </w:p>
              </w:tc>
              <w:tc>
                <w:tcPr>
                  <w:tcW w:w="463" w:type="pct"/>
                  <w:shd w:val="clear" w:color="auto" w:fill="F2F2F2" w:themeFill="background1" w:themeFillShade="F2"/>
                  <w:vAlign w:val="center"/>
                </w:tcPr>
                <w:p w:rsidR="006E391F" w:rsidRPr="00BC1144" w:rsidRDefault="006E391F" w:rsidP="00336FA0">
                  <w:pPr>
                    <w:pStyle w:val="TableBodyText"/>
                  </w:pPr>
                  <w:r w:rsidRPr="00BC1144">
                    <w:t>0.531</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0.580</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0.576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0.088</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0.157</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0.037</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0.054</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0.524</w:t>
                  </w:r>
                  <w:r w:rsidRPr="00BC1144">
                    <w:rPr>
                      <w:vertAlign w:val="superscript"/>
                    </w:rPr>
                    <w:t>**</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0.488</w:t>
                  </w:r>
                  <w:r w:rsidRPr="00BC1144">
                    <w:rPr>
                      <w:vertAlign w:val="superscript"/>
                    </w:rPr>
                    <w:t>**</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(0.179)</w:t>
                  </w:r>
                </w:p>
              </w:tc>
              <w:tc>
                <w:tcPr>
                  <w:tcW w:w="463" w:type="pct"/>
                  <w:shd w:val="clear" w:color="auto" w:fill="F2F2F2" w:themeFill="background1" w:themeFillShade="F2"/>
                  <w:vAlign w:val="center"/>
                </w:tcPr>
                <w:p w:rsidR="006E391F" w:rsidRPr="00BC1144" w:rsidRDefault="006E391F" w:rsidP="00336FA0">
                  <w:pPr>
                    <w:pStyle w:val="TableBodyText"/>
                  </w:pPr>
                  <w:r w:rsidRPr="00BC1144">
                    <w:t>(0.185)</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(0.727)</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(0.936)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(0.128)</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(0.116)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(0.153)</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(0.138)</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(0.266)</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(0.217)</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r w:rsidRPr="00BC1144">
                    <w:t>State: QLD</w:t>
                  </w:r>
                </w:p>
              </w:tc>
              <w:tc>
                <w:tcPr>
                  <w:tcW w:w="463" w:type="pct"/>
                  <w:shd w:val="clear" w:color="auto" w:fill="auto"/>
                  <w:vAlign w:val="center"/>
                </w:tcPr>
                <w:p w:rsidR="006E391F" w:rsidRPr="00BC1144" w:rsidRDefault="006E391F" w:rsidP="00336FA0">
                  <w:pPr>
                    <w:pStyle w:val="TableBodyText"/>
                  </w:pPr>
                  <w:r w:rsidRPr="00BC1144">
                    <w:t>0.130</w:t>
                  </w:r>
                </w:p>
              </w:tc>
              <w:tc>
                <w:tcPr>
                  <w:tcW w:w="463" w:type="pct"/>
                  <w:shd w:val="clear" w:color="auto" w:fill="auto"/>
                  <w:vAlign w:val="center"/>
                </w:tcPr>
                <w:p w:rsidR="006E391F" w:rsidRPr="00BC1144" w:rsidRDefault="006E391F" w:rsidP="00336FA0">
                  <w:pPr>
                    <w:pStyle w:val="TableBodyText"/>
                  </w:pPr>
                  <w:r w:rsidRPr="00BC1144">
                    <w:t>0.128</w:t>
                  </w:r>
                </w:p>
              </w:tc>
              <w:tc>
                <w:tcPr>
                  <w:tcW w:w="414" w:type="pct"/>
                  <w:shd w:val="clear" w:color="auto" w:fill="auto"/>
                  <w:vAlign w:val="center"/>
                </w:tcPr>
                <w:p w:rsidR="006E391F" w:rsidRPr="00BC1144" w:rsidRDefault="006E391F" w:rsidP="00336FA0">
                  <w:pPr>
                    <w:pStyle w:val="TableBodyText"/>
                    <w:ind w:right="28"/>
                  </w:pPr>
                  <w:r w:rsidRPr="00BC1144">
                    <w:t>0.357</w:t>
                  </w:r>
                </w:p>
              </w:tc>
              <w:tc>
                <w:tcPr>
                  <w:tcW w:w="415" w:type="pct"/>
                  <w:shd w:val="clear" w:color="auto" w:fill="auto"/>
                  <w:vAlign w:val="center"/>
                </w:tcPr>
                <w:p w:rsidR="006E391F" w:rsidRPr="00BC1144" w:rsidRDefault="006E391F" w:rsidP="00336FA0">
                  <w:pPr>
                    <w:pStyle w:val="TableBodyText"/>
                    <w:ind w:right="28"/>
                  </w:pPr>
                  <w:r w:rsidRPr="00BC1144">
                    <w:t>0.402</w:t>
                  </w:r>
                </w:p>
              </w:tc>
              <w:tc>
                <w:tcPr>
                  <w:tcW w:w="414" w:type="pct"/>
                  <w:shd w:val="clear" w:color="auto" w:fill="auto"/>
                  <w:vAlign w:val="center"/>
                </w:tcPr>
                <w:p w:rsidR="006E391F" w:rsidRPr="00BC1144" w:rsidRDefault="006E391F" w:rsidP="00336FA0">
                  <w:pPr>
                    <w:pStyle w:val="TableBodyText"/>
                    <w:ind w:right="28"/>
                  </w:pPr>
                  <w:r w:rsidRPr="00BC1144">
                    <w:t>0.171</w:t>
                  </w:r>
                </w:p>
              </w:tc>
              <w:tc>
                <w:tcPr>
                  <w:tcW w:w="415" w:type="pct"/>
                  <w:shd w:val="clear" w:color="auto" w:fill="auto"/>
                  <w:vAlign w:val="center"/>
                </w:tcPr>
                <w:p w:rsidR="006E391F" w:rsidRPr="00BC1144" w:rsidRDefault="006E391F" w:rsidP="00336FA0">
                  <w:pPr>
                    <w:pStyle w:val="TableBodyText"/>
                    <w:ind w:right="28"/>
                  </w:pPr>
                  <w:r w:rsidRPr="00BC1144">
                    <w:t>-0.049</w:t>
                  </w:r>
                </w:p>
              </w:tc>
              <w:tc>
                <w:tcPr>
                  <w:tcW w:w="414" w:type="pct"/>
                  <w:shd w:val="clear" w:color="auto" w:fill="auto"/>
                  <w:vAlign w:val="center"/>
                </w:tcPr>
                <w:p w:rsidR="006E391F" w:rsidRPr="00BC1144" w:rsidRDefault="006E391F" w:rsidP="00336FA0">
                  <w:pPr>
                    <w:pStyle w:val="TableBodyText"/>
                    <w:ind w:right="28"/>
                  </w:pPr>
                  <w:r w:rsidRPr="00BC1144">
                    <w:t>-0.132</w:t>
                  </w:r>
                </w:p>
              </w:tc>
              <w:tc>
                <w:tcPr>
                  <w:tcW w:w="415" w:type="pct"/>
                  <w:shd w:val="clear" w:color="auto" w:fill="auto"/>
                  <w:vAlign w:val="center"/>
                </w:tcPr>
                <w:p w:rsidR="006E391F" w:rsidRPr="00BC1144" w:rsidRDefault="006E391F" w:rsidP="00336FA0">
                  <w:pPr>
                    <w:pStyle w:val="TableBodyText"/>
                    <w:ind w:right="28"/>
                  </w:pPr>
                  <w:r w:rsidRPr="00BC1144">
                    <w:t>-0.056</w:t>
                  </w:r>
                </w:p>
              </w:tc>
              <w:tc>
                <w:tcPr>
                  <w:tcW w:w="397" w:type="pct"/>
                  <w:shd w:val="clear" w:color="auto" w:fill="auto"/>
                  <w:vAlign w:val="center"/>
                </w:tcPr>
                <w:p w:rsidR="006E391F" w:rsidRPr="00BC1144" w:rsidRDefault="006E391F" w:rsidP="00336FA0">
                  <w:pPr>
                    <w:pStyle w:val="TableBodyText"/>
                    <w:ind w:right="28"/>
                  </w:pPr>
                  <w:r w:rsidRPr="00BC1144">
                    <w:t>0.068</w:t>
                  </w:r>
                </w:p>
              </w:tc>
              <w:tc>
                <w:tcPr>
                  <w:tcW w:w="401" w:type="pct"/>
                  <w:shd w:val="clear" w:color="auto" w:fill="auto"/>
                  <w:vAlign w:val="center"/>
                </w:tcPr>
                <w:p w:rsidR="006E391F" w:rsidRPr="00BC1144" w:rsidRDefault="006E391F" w:rsidP="00336FA0">
                  <w:pPr>
                    <w:pStyle w:val="TableBodyText"/>
                    <w:ind w:right="28"/>
                  </w:pPr>
                  <w:r w:rsidRPr="00BC1144">
                    <w:t>0.106</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p>
              </w:tc>
              <w:tc>
                <w:tcPr>
                  <w:tcW w:w="463" w:type="pct"/>
                  <w:shd w:val="clear" w:color="auto" w:fill="auto"/>
                  <w:vAlign w:val="center"/>
                </w:tcPr>
                <w:p w:rsidR="006E391F" w:rsidRPr="00BC1144" w:rsidRDefault="006E391F" w:rsidP="00336FA0">
                  <w:pPr>
                    <w:pStyle w:val="TableBodyText"/>
                  </w:pPr>
                  <w:r w:rsidRPr="00BC1144">
                    <w:t>(0.216)</w:t>
                  </w:r>
                </w:p>
              </w:tc>
              <w:tc>
                <w:tcPr>
                  <w:tcW w:w="463" w:type="pct"/>
                  <w:shd w:val="clear" w:color="auto" w:fill="auto"/>
                  <w:vAlign w:val="center"/>
                </w:tcPr>
                <w:p w:rsidR="006E391F" w:rsidRPr="00BC1144" w:rsidRDefault="006E391F" w:rsidP="00336FA0">
                  <w:pPr>
                    <w:pStyle w:val="TableBodyText"/>
                  </w:pPr>
                  <w:r w:rsidRPr="00BC1144">
                    <w:t>(0.214)</w:t>
                  </w:r>
                </w:p>
              </w:tc>
              <w:tc>
                <w:tcPr>
                  <w:tcW w:w="414" w:type="pct"/>
                  <w:shd w:val="clear" w:color="auto" w:fill="auto"/>
                  <w:vAlign w:val="center"/>
                </w:tcPr>
                <w:p w:rsidR="006E391F" w:rsidRPr="00BC1144" w:rsidRDefault="006E391F" w:rsidP="00336FA0">
                  <w:pPr>
                    <w:pStyle w:val="TableBodyText"/>
                    <w:ind w:right="28"/>
                  </w:pPr>
                  <w:r w:rsidRPr="00BC1144">
                    <w:t>(1.091)</w:t>
                  </w:r>
                </w:p>
              </w:tc>
              <w:tc>
                <w:tcPr>
                  <w:tcW w:w="415" w:type="pct"/>
                  <w:shd w:val="clear" w:color="auto" w:fill="auto"/>
                  <w:vAlign w:val="center"/>
                </w:tcPr>
                <w:p w:rsidR="006E391F" w:rsidRPr="00BC1144" w:rsidRDefault="006E391F" w:rsidP="00336FA0">
                  <w:pPr>
                    <w:pStyle w:val="TableBodyText"/>
                    <w:ind w:right="28"/>
                  </w:pPr>
                  <w:r w:rsidRPr="00BC1144">
                    <w:t>(1.349)</w:t>
                  </w:r>
                </w:p>
              </w:tc>
              <w:tc>
                <w:tcPr>
                  <w:tcW w:w="414" w:type="pct"/>
                  <w:shd w:val="clear" w:color="auto" w:fill="auto"/>
                  <w:vAlign w:val="center"/>
                </w:tcPr>
                <w:p w:rsidR="006E391F" w:rsidRPr="00BC1144" w:rsidRDefault="006E391F" w:rsidP="00336FA0">
                  <w:pPr>
                    <w:pStyle w:val="TableBodyText"/>
                    <w:ind w:right="28"/>
                  </w:pPr>
                  <w:r w:rsidRPr="00BC1144">
                    <w:t>(0.198)</w:t>
                  </w:r>
                </w:p>
              </w:tc>
              <w:tc>
                <w:tcPr>
                  <w:tcW w:w="415" w:type="pct"/>
                  <w:shd w:val="clear" w:color="auto" w:fill="auto"/>
                  <w:vAlign w:val="center"/>
                </w:tcPr>
                <w:p w:rsidR="006E391F" w:rsidRPr="00BC1144" w:rsidRDefault="006E391F" w:rsidP="00336FA0">
                  <w:pPr>
                    <w:pStyle w:val="TableBodyText"/>
                    <w:ind w:right="28"/>
                  </w:pPr>
                  <w:r w:rsidRPr="00BC1144">
                    <w:t>(0.147)</w:t>
                  </w:r>
                </w:p>
              </w:tc>
              <w:tc>
                <w:tcPr>
                  <w:tcW w:w="414" w:type="pct"/>
                  <w:shd w:val="clear" w:color="auto" w:fill="auto"/>
                  <w:vAlign w:val="center"/>
                </w:tcPr>
                <w:p w:rsidR="006E391F" w:rsidRPr="00BC1144" w:rsidRDefault="006E391F" w:rsidP="00336FA0">
                  <w:pPr>
                    <w:pStyle w:val="TableBodyText"/>
                    <w:ind w:right="28"/>
                  </w:pPr>
                  <w:r w:rsidRPr="00BC1144">
                    <w:t>(0.355)</w:t>
                  </w:r>
                </w:p>
              </w:tc>
              <w:tc>
                <w:tcPr>
                  <w:tcW w:w="415" w:type="pct"/>
                  <w:shd w:val="clear" w:color="auto" w:fill="auto"/>
                  <w:vAlign w:val="center"/>
                </w:tcPr>
                <w:p w:rsidR="006E391F" w:rsidRPr="00BC1144" w:rsidRDefault="006E391F" w:rsidP="00336FA0">
                  <w:pPr>
                    <w:pStyle w:val="TableBodyText"/>
                    <w:ind w:right="28"/>
                  </w:pPr>
                  <w:r w:rsidRPr="00BC1144">
                    <w:t>(0.422)</w:t>
                  </w:r>
                </w:p>
              </w:tc>
              <w:tc>
                <w:tcPr>
                  <w:tcW w:w="397" w:type="pct"/>
                  <w:shd w:val="clear" w:color="auto" w:fill="auto"/>
                  <w:vAlign w:val="center"/>
                </w:tcPr>
                <w:p w:rsidR="006E391F" w:rsidRPr="00BC1144" w:rsidRDefault="006E391F" w:rsidP="00336FA0">
                  <w:pPr>
                    <w:pStyle w:val="TableBodyText"/>
                    <w:ind w:right="28"/>
                  </w:pPr>
                  <w:r w:rsidRPr="00BC1144">
                    <w:t>(0.274)</w:t>
                  </w:r>
                </w:p>
              </w:tc>
              <w:tc>
                <w:tcPr>
                  <w:tcW w:w="401" w:type="pct"/>
                  <w:shd w:val="clear" w:color="auto" w:fill="auto"/>
                  <w:vAlign w:val="center"/>
                </w:tcPr>
                <w:p w:rsidR="006E391F" w:rsidRPr="00BC1144" w:rsidRDefault="006E391F" w:rsidP="00336FA0">
                  <w:pPr>
                    <w:pStyle w:val="TableBodyText"/>
                    <w:ind w:right="28"/>
                  </w:pPr>
                  <w:r w:rsidRPr="00BC1144">
                    <w:t>(0.141)</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State: SA</w:t>
                  </w:r>
                </w:p>
              </w:tc>
              <w:tc>
                <w:tcPr>
                  <w:tcW w:w="463" w:type="pct"/>
                  <w:shd w:val="clear" w:color="auto" w:fill="F2F2F2" w:themeFill="background1" w:themeFillShade="F2"/>
                  <w:vAlign w:val="center"/>
                </w:tcPr>
                <w:p w:rsidR="006E391F" w:rsidRPr="00BC1144" w:rsidRDefault="006E391F" w:rsidP="00336FA0">
                  <w:pPr>
                    <w:pStyle w:val="TableBodyText"/>
                  </w:pPr>
                  <w:r w:rsidRPr="00BC1144">
                    <w:t>0.126</w:t>
                  </w:r>
                </w:p>
              </w:tc>
              <w:tc>
                <w:tcPr>
                  <w:tcW w:w="463" w:type="pct"/>
                  <w:shd w:val="clear" w:color="auto" w:fill="F2F2F2" w:themeFill="background1" w:themeFillShade="F2"/>
                  <w:vAlign w:val="center"/>
                </w:tcPr>
                <w:p w:rsidR="006E391F" w:rsidRPr="00BC1144" w:rsidRDefault="006E391F" w:rsidP="00336FA0">
                  <w:pPr>
                    <w:pStyle w:val="TableBodyText"/>
                  </w:pPr>
                  <w:r w:rsidRPr="00BC1144">
                    <w:t>0.112</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0.542</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0.545</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-0.024</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0.028</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0.206</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0.243</w:t>
                  </w:r>
                  <w:r w:rsidRPr="00BC1144">
                    <w:rPr>
                      <w:vertAlign w:val="superscript"/>
                    </w:rPr>
                    <w:t>*</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0.639</w:t>
                  </w:r>
                  <w:r w:rsidRPr="00BC1144">
                    <w:rPr>
                      <w:vertAlign w:val="superscript"/>
                    </w:rPr>
                    <w:t>*</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0.720</w:t>
                  </w:r>
                  <w:r w:rsidRPr="00BC1144">
                    <w:rPr>
                      <w:vertAlign w:val="superscript"/>
                    </w:rPr>
                    <w:t>***</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(0.167)</w:t>
                  </w:r>
                </w:p>
              </w:tc>
              <w:tc>
                <w:tcPr>
                  <w:tcW w:w="463" w:type="pct"/>
                  <w:shd w:val="clear" w:color="auto" w:fill="F2F2F2" w:themeFill="background1" w:themeFillShade="F2"/>
                  <w:vAlign w:val="center"/>
                </w:tcPr>
                <w:p w:rsidR="006E391F" w:rsidRPr="00BC1144" w:rsidRDefault="006E391F" w:rsidP="00336FA0">
                  <w:pPr>
                    <w:pStyle w:val="TableBodyText"/>
                  </w:pPr>
                  <w:r w:rsidRPr="00BC1144">
                    <w:t>(0.172)</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(0.733)</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(1.064)</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(0.250)</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(0.201)</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(0.157)</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(0.137)</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(0.353)</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(0.196)</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r w:rsidRPr="00BC1144">
                    <w:t>State: WA</w:t>
                  </w:r>
                </w:p>
              </w:tc>
              <w:tc>
                <w:tcPr>
                  <w:tcW w:w="463" w:type="pct"/>
                  <w:shd w:val="clear" w:color="auto" w:fill="auto"/>
                  <w:vAlign w:val="center"/>
                </w:tcPr>
                <w:p w:rsidR="006E391F" w:rsidRPr="00BC1144" w:rsidRDefault="006E391F" w:rsidP="00336FA0">
                  <w:pPr>
                    <w:pStyle w:val="TableBodyText"/>
                  </w:pPr>
                  <w:r w:rsidRPr="00BC1144">
                    <w:t>0.339</w:t>
                  </w:r>
                  <w:r w:rsidRPr="00BC1144">
                    <w:rPr>
                      <w:vertAlign w:val="superscript"/>
                    </w:rPr>
                    <w:t>*</w:t>
                  </w:r>
                </w:p>
              </w:tc>
              <w:tc>
                <w:tcPr>
                  <w:tcW w:w="463" w:type="pct"/>
                  <w:shd w:val="clear" w:color="auto" w:fill="auto"/>
                  <w:vAlign w:val="center"/>
                </w:tcPr>
                <w:p w:rsidR="006E391F" w:rsidRPr="00BC1144" w:rsidRDefault="006E391F" w:rsidP="00336FA0">
                  <w:pPr>
                    <w:pStyle w:val="TableBodyText"/>
                  </w:pPr>
                  <w:r w:rsidRPr="00BC1144">
                    <w:t>0.322</w:t>
                  </w:r>
                  <w:r w:rsidRPr="00BC1144">
                    <w:rPr>
                      <w:vertAlign w:val="superscript"/>
                    </w:rPr>
                    <w:t>*</w:t>
                  </w:r>
                </w:p>
              </w:tc>
              <w:tc>
                <w:tcPr>
                  <w:tcW w:w="414" w:type="pct"/>
                  <w:shd w:val="clear" w:color="auto" w:fill="auto"/>
                  <w:vAlign w:val="center"/>
                </w:tcPr>
                <w:p w:rsidR="006E391F" w:rsidRPr="00BC1144" w:rsidRDefault="006E391F" w:rsidP="00336FA0">
                  <w:pPr>
                    <w:pStyle w:val="TableBodyText"/>
                    <w:ind w:right="28"/>
                  </w:pPr>
                  <w:r w:rsidRPr="00BC1144">
                    <w:t>0.576</w:t>
                  </w:r>
                  <w:r w:rsidRPr="00BC1144">
                    <w:rPr>
                      <w:vertAlign w:val="superscript"/>
                    </w:rPr>
                    <w:t>*</w:t>
                  </w:r>
                </w:p>
              </w:tc>
              <w:tc>
                <w:tcPr>
                  <w:tcW w:w="415" w:type="pct"/>
                  <w:shd w:val="clear" w:color="auto" w:fill="auto"/>
                  <w:vAlign w:val="center"/>
                </w:tcPr>
                <w:p w:rsidR="006E391F" w:rsidRPr="00BC1144" w:rsidRDefault="006E391F" w:rsidP="00336FA0">
                  <w:pPr>
                    <w:pStyle w:val="TableBodyText"/>
                    <w:ind w:right="28"/>
                  </w:pPr>
                  <w:r w:rsidRPr="00BC1144">
                    <w:t>0.593</w:t>
                  </w:r>
                  <w:r w:rsidRPr="00BC1144">
                    <w:rPr>
                      <w:vertAlign w:val="superscript"/>
                    </w:rPr>
                    <w:t>*</w:t>
                  </w:r>
                </w:p>
              </w:tc>
              <w:tc>
                <w:tcPr>
                  <w:tcW w:w="414" w:type="pct"/>
                  <w:shd w:val="clear" w:color="auto" w:fill="auto"/>
                  <w:vAlign w:val="center"/>
                </w:tcPr>
                <w:p w:rsidR="006E391F" w:rsidRPr="00BC1144" w:rsidRDefault="006E391F" w:rsidP="00336FA0">
                  <w:pPr>
                    <w:pStyle w:val="TableBodyText"/>
                    <w:ind w:right="28"/>
                  </w:pPr>
                  <w:r w:rsidRPr="00BC1144">
                    <w:t>-0.174</w:t>
                  </w:r>
                </w:p>
              </w:tc>
              <w:tc>
                <w:tcPr>
                  <w:tcW w:w="415" w:type="pct"/>
                  <w:shd w:val="clear" w:color="auto" w:fill="auto"/>
                  <w:vAlign w:val="center"/>
                </w:tcPr>
                <w:p w:rsidR="006E391F" w:rsidRPr="00BC1144" w:rsidRDefault="006E391F" w:rsidP="00336FA0">
                  <w:pPr>
                    <w:pStyle w:val="TableBodyText"/>
                    <w:ind w:right="28"/>
                  </w:pPr>
                  <w:r w:rsidRPr="00BC1144">
                    <w:t>-0.206</w:t>
                  </w:r>
                  <w:r w:rsidRPr="00BC1144">
                    <w:rPr>
                      <w:vertAlign w:val="superscript"/>
                    </w:rPr>
                    <w:t>*</w:t>
                  </w:r>
                </w:p>
              </w:tc>
              <w:tc>
                <w:tcPr>
                  <w:tcW w:w="414" w:type="pct"/>
                  <w:shd w:val="clear" w:color="auto" w:fill="auto"/>
                  <w:vAlign w:val="center"/>
                </w:tcPr>
                <w:p w:rsidR="006E391F" w:rsidRPr="00BC1144" w:rsidRDefault="006E391F" w:rsidP="00336FA0">
                  <w:pPr>
                    <w:pStyle w:val="TableBodyText"/>
                    <w:ind w:right="28"/>
                  </w:pPr>
                  <w:r w:rsidRPr="00BC1144">
                    <w:t>-0.107</w:t>
                  </w:r>
                </w:p>
              </w:tc>
              <w:tc>
                <w:tcPr>
                  <w:tcW w:w="415" w:type="pct"/>
                  <w:shd w:val="clear" w:color="auto" w:fill="auto"/>
                  <w:vAlign w:val="center"/>
                </w:tcPr>
                <w:p w:rsidR="006E391F" w:rsidRPr="00BC1144" w:rsidRDefault="006E391F" w:rsidP="00336FA0">
                  <w:pPr>
                    <w:pStyle w:val="TableBodyText"/>
                    <w:ind w:right="28"/>
                  </w:pPr>
                  <w:r w:rsidRPr="00BC1144">
                    <w:t>-0.120</w:t>
                  </w:r>
                </w:p>
              </w:tc>
              <w:tc>
                <w:tcPr>
                  <w:tcW w:w="397" w:type="pct"/>
                  <w:shd w:val="clear" w:color="auto" w:fill="auto"/>
                  <w:vAlign w:val="center"/>
                </w:tcPr>
                <w:p w:rsidR="006E391F" w:rsidRPr="00BC1144" w:rsidRDefault="006E391F" w:rsidP="00336FA0">
                  <w:pPr>
                    <w:pStyle w:val="TableBodyText"/>
                    <w:ind w:right="28"/>
                  </w:pPr>
                  <w:r w:rsidRPr="00BC1144">
                    <w:t>0.245</w:t>
                  </w:r>
                </w:p>
              </w:tc>
              <w:tc>
                <w:tcPr>
                  <w:tcW w:w="401" w:type="pct"/>
                  <w:shd w:val="clear" w:color="auto" w:fill="auto"/>
                  <w:vAlign w:val="center"/>
                </w:tcPr>
                <w:p w:rsidR="006E391F" w:rsidRPr="00BC1144" w:rsidRDefault="006E391F" w:rsidP="00336FA0">
                  <w:pPr>
                    <w:pStyle w:val="TableBodyText"/>
                    <w:ind w:right="28"/>
                  </w:pPr>
                  <w:r w:rsidRPr="00BC1144">
                    <w:t>0.118</w:t>
                  </w:r>
                </w:p>
              </w:tc>
            </w:tr>
            <w:tr w:rsidR="006E391F" w:rsidRPr="00BC1144" w:rsidTr="00336FA0">
              <w:trPr>
                <w:trHeight w:val="329"/>
              </w:trPr>
              <w:tc>
                <w:tcPr>
                  <w:tcW w:w="789" w:type="pct"/>
                  <w:shd w:val="clear" w:color="auto" w:fill="auto"/>
                  <w:vAlign w:val="center"/>
                </w:tcPr>
                <w:p w:rsidR="006E391F" w:rsidRPr="00BC1144" w:rsidRDefault="006E391F" w:rsidP="00336FA0">
                  <w:pPr>
                    <w:pStyle w:val="TableBodyText"/>
                    <w:jc w:val="left"/>
                  </w:pPr>
                </w:p>
              </w:tc>
              <w:tc>
                <w:tcPr>
                  <w:tcW w:w="463" w:type="pct"/>
                  <w:shd w:val="clear" w:color="auto" w:fill="auto"/>
                  <w:vAlign w:val="center"/>
                </w:tcPr>
                <w:p w:rsidR="006E391F" w:rsidRPr="00BC1144" w:rsidRDefault="006E391F" w:rsidP="00336FA0">
                  <w:pPr>
                    <w:pStyle w:val="TableBodyText"/>
                  </w:pPr>
                  <w:r w:rsidRPr="00BC1144">
                    <w:t>(0.184)</w:t>
                  </w:r>
                </w:p>
              </w:tc>
              <w:tc>
                <w:tcPr>
                  <w:tcW w:w="463" w:type="pct"/>
                  <w:shd w:val="clear" w:color="auto" w:fill="auto"/>
                  <w:vAlign w:val="center"/>
                </w:tcPr>
                <w:p w:rsidR="006E391F" w:rsidRPr="00BC1144" w:rsidRDefault="006E391F" w:rsidP="00336FA0">
                  <w:pPr>
                    <w:pStyle w:val="TableBodyText"/>
                  </w:pPr>
                  <w:r w:rsidRPr="00BC1144">
                    <w:t>(0.187)</w:t>
                  </w:r>
                </w:p>
              </w:tc>
              <w:tc>
                <w:tcPr>
                  <w:tcW w:w="414" w:type="pct"/>
                  <w:shd w:val="clear" w:color="auto" w:fill="auto"/>
                  <w:vAlign w:val="center"/>
                </w:tcPr>
                <w:p w:rsidR="006E391F" w:rsidRPr="00BC1144" w:rsidRDefault="006E391F" w:rsidP="00336FA0">
                  <w:pPr>
                    <w:pStyle w:val="TableBodyText"/>
                    <w:ind w:right="28"/>
                  </w:pPr>
                  <w:r w:rsidRPr="00BC1144">
                    <w:t>(0.306)</w:t>
                  </w:r>
                </w:p>
              </w:tc>
              <w:tc>
                <w:tcPr>
                  <w:tcW w:w="415" w:type="pct"/>
                  <w:shd w:val="clear" w:color="auto" w:fill="auto"/>
                  <w:vAlign w:val="center"/>
                </w:tcPr>
                <w:p w:rsidR="006E391F" w:rsidRPr="00BC1144" w:rsidRDefault="006E391F" w:rsidP="00336FA0">
                  <w:pPr>
                    <w:pStyle w:val="TableBodyText"/>
                    <w:ind w:right="28"/>
                  </w:pPr>
                  <w:r w:rsidRPr="00BC1144">
                    <w:t>(0.319)</w:t>
                  </w:r>
                </w:p>
              </w:tc>
              <w:tc>
                <w:tcPr>
                  <w:tcW w:w="414" w:type="pct"/>
                  <w:shd w:val="clear" w:color="auto" w:fill="auto"/>
                  <w:vAlign w:val="center"/>
                </w:tcPr>
                <w:p w:rsidR="006E391F" w:rsidRPr="00BC1144" w:rsidRDefault="006E391F" w:rsidP="00336FA0">
                  <w:pPr>
                    <w:pStyle w:val="TableBodyText"/>
                    <w:ind w:right="28"/>
                  </w:pPr>
                  <w:r w:rsidRPr="00BC1144">
                    <w:t>(0.149)</w:t>
                  </w:r>
                </w:p>
              </w:tc>
              <w:tc>
                <w:tcPr>
                  <w:tcW w:w="415" w:type="pct"/>
                  <w:shd w:val="clear" w:color="auto" w:fill="auto"/>
                  <w:vAlign w:val="center"/>
                </w:tcPr>
                <w:p w:rsidR="006E391F" w:rsidRPr="00BC1144" w:rsidRDefault="006E391F" w:rsidP="00336FA0">
                  <w:pPr>
                    <w:pStyle w:val="TableBodyText"/>
                    <w:ind w:right="28"/>
                  </w:pPr>
                  <w:r w:rsidRPr="00BC1144">
                    <w:t>(0.116)</w:t>
                  </w:r>
                </w:p>
              </w:tc>
              <w:tc>
                <w:tcPr>
                  <w:tcW w:w="414" w:type="pct"/>
                  <w:shd w:val="clear" w:color="auto" w:fill="auto"/>
                  <w:vAlign w:val="center"/>
                </w:tcPr>
                <w:p w:rsidR="006E391F" w:rsidRPr="00BC1144" w:rsidRDefault="006E391F" w:rsidP="00336FA0">
                  <w:pPr>
                    <w:pStyle w:val="TableBodyText"/>
                    <w:ind w:right="28"/>
                  </w:pPr>
                  <w:r w:rsidRPr="00BC1144">
                    <w:t>(0.222)</w:t>
                  </w:r>
                </w:p>
              </w:tc>
              <w:tc>
                <w:tcPr>
                  <w:tcW w:w="415" w:type="pct"/>
                  <w:shd w:val="clear" w:color="auto" w:fill="auto"/>
                  <w:vAlign w:val="center"/>
                </w:tcPr>
                <w:p w:rsidR="006E391F" w:rsidRPr="00BC1144" w:rsidRDefault="006E391F" w:rsidP="00336FA0">
                  <w:pPr>
                    <w:pStyle w:val="TableBodyText"/>
                    <w:ind w:right="28"/>
                  </w:pPr>
                  <w:r w:rsidRPr="00BC1144">
                    <w:t>(0.163)</w:t>
                  </w:r>
                </w:p>
              </w:tc>
              <w:tc>
                <w:tcPr>
                  <w:tcW w:w="397" w:type="pct"/>
                  <w:shd w:val="clear" w:color="auto" w:fill="auto"/>
                  <w:vAlign w:val="center"/>
                </w:tcPr>
                <w:p w:rsidR="006E391F" w:rsidRPr="00BC1144" w:rsidRDefault="006E391F" w:rsidP="00336FA0">
                  <w:pPr>
                    <w:pStyle w:val="TableBodyText"/>
                    <w:ind w:right="28"/>
                  </w:pPr>
                  <w:r w:rsidRPr="00BC1144">
                    <w:t>(0.294)</w:t>
                  </w:r>
                </w:p>
              </w:tc>
              <w:tc>
                <w:tcPr>
                  <w:tcW w:w="401" w:type="pct"/>
                  <w:shd w:val="clear" w:color="auto" w:fill="auto"/>
                  <w:vAlign w:val="center"/>
                </w:tcPr>
                <w:p w:rsidR="006E391F" w:rsidRPr="00BC1144" w:rsidRDefault="006E391F" w:rsidP="00336FA0">
                  <w:pPr>
                    <w:pStyle w:val="TableBodyText"/>
                    <w:ind w:right="28"/>
                  </w:pPr>
                  <w:r w:rsidRPr="00BC1144">
                    <w:t>(0.124)</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State: TAS</w:t>
                  </w:r>
                </w:p>
              </w:tc>
              <w:tc>
                <w:tcPr>
                  <w:tcW w:w="463" w:type="pct"/>
                  <w:shd w:val="clear" w:color="auto" w:fill="F2F2F2" w:themeFill="background1" w:themeFillShade="F2"/>
                  <w:vAlign w:val="center"/>
                </w:tcPr>
                <w:p w:rsidR="006E391F" w:rsidRPr="00BC1144" w:rsidRDefault="006E391F" w:rsidP="00336FA0">
                  <w:pPr>
                    <w:pStyle w:val="TableBodyText"/>
                  </w:pPr>
                  <w:r w:rsidRPr="00BC1144">
                    <w:t>-0.588</w:t>
                  </w:r>
                  <w:r w:rsidRPr="00BC1144">
                    <w:rPr>
                      <w:vertAlign w:val="superscript"/>
                    </w:rPr>
                    <w:t>***</w:t>
                  </w:r>
                </w:p>
              </w:tc>
              <w:tc>
                <w:tcPr>
                  <w:tcW w:w="463" w:type="pct"/>
                  <w:shd w:val="clear" w:color="auto" w:fill="F2F2F2" w:themeFill="background1" w:themeFillShade="F2"/>
                  <w:vAlign w:val="center"/>
                </w:tcPr>
                <w:p w:rsidR="006E391F" w:rsidRPr="00BC1144" w:rsidRDefault="006E391F" w:rsidP="00336FA0">
                  <w:pPr>
                    <w:pStyle w:val="TableBodyText"/>
                  </w:pPr>
                  <w:r w:rsidRPr="00BC1144">
                    <w:t>-0.559</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-0.396</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-0.121</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-1.280</w:t>
                  </w:r>
                  <w:r w:rsidRPr="00BC1144">
                    <w:rPr>
                      <w:vertAlign w:val="superscript"/>
                    </w:rPr>
                    <w:t>***</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-0.870</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-1.569</w:t>
                  </w:r>
                  <w:r w:rsidRPr="00BC1144">
                    <w:rPr>
                      <w:vertAlign w:val="superscript"/>
                    </w:rPr>
                    <w:t>***</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-1.251</w:t>
                  </w:r>
                  <w:r w:rsidRPr="00BC1144">
                    <w:rPr>
                      <w:vertAlign w:val="superscript"/>
                    </w:rPr>
                    <w:t>***</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-0.274</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0.022</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(0.204)</w:t>
                  </w:r>
                </w:p>
              </w:tc>
              <w:tc>
                <w:tcPr>
                  <w:tcW w:w="463" w:type="pct"/>
                  <w:shd w:val="clear" w:color="auto" w:fill="F2F2F2" w:themeFill="background1" w:themeFillShade="F2"/>
                  <w:vAlign w:val="center"/>
                </w:tcPr>
                <w:p w:rsidR="006E391F" w:rsidRPr="00BC1144" w:rsidRDefault="006E391F" w:rsidP="00336FA0">
                  <w:pPr>
                    <w:pStyle w:val="TableBodyText"/>
                  </w:pPr>
                  <w:r w:rsidRPr="00BC1144">
                    <w:t>(0.206)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(0.731)</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(0.626)</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(0.130)</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(0.174)</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(0.149)</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(0.256)</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(0.262)</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(0.264)</w:t>
                  </w:r>
                </w:p>
              </w:tc>
            </w:tr>
            <w:tr w:rsidR="006E391F" w:rsidRPr="00BC1144" w:rsidTr="00336FA0">
              <w:trPr>
                <w:trHeight w:val="329"/>
              </w:trPr>
              <w:tc>
                <w:tcPr>
                  <w:tcW w:w="789" w:type="pct"/>
                  <w:vAlign w:val="center"/>
                </w:tcPr>
                <w:p w:rsidR="006E391F" w:rsidRPr="00BC1144" w:rsidRDefault="006E391F" w:rsidP="00336FA0">
                  <w:pPr>
                    <w:pStyle w:val="TableBodyText"/>
                    <w:jc w:val="left"/>
                  </w:pPr>
                  <w:r w:rsidRPr="00BC1144">
                    <w:t>State: NT</w:t>
                  </w:r>
                </w:p>
              </w:tc>
              <w:tc>
                <w:tcPr>
                  <w:tcW w:w="463" w:type="pct"/>
                  <w:vAlign w:val="center"/>
                </w:tcPr>
                <w:p w:rsidR="006E391F" w:rsidRPr="00BC1144" w:rsidRDefault="006E391F" w:rsidP="00336FA0">
                  <w:pPr>
                    <w:pStyle w:val="TableBodyText"/>
                  </w:pPr>
                  <w:r w:rsidRPr="00BC1144">
                    <w:t>-0.477</w:t>
                  </w:r>
                  <w:r w:rsidRPr="00BC1144">
                    <w:rPr>
                      <w:vertAlign w:val="superscript"/>
                    </w:rPr>
                    <w:t>***</w:t>
                  </w:r>
                </w:p>
              </w:tc>
              <w:tc>
                <w:tcPr>
                  <w:tcW w:w="463" w:type="pct"/>
                  <w:vAlign w:val="center"/>
                </w:tcPr>
                <w:p w:rsidR="006E391F" w:rsidRPr="00BC1144" w:rsidRDefault="006E391F" w:rsidP="00336FA0">
                  <w:pPr>
                    <w:pStyle w:val="TableBodyText"/>
                  </w:pPr>
                  <w:r w:rsidRPr="00BC1144">
                    <w:t>-0.450</w:t>
                  </w:r>
                  <w:r w:rsidRPr="00BC1144">
                    <w:rPr>
                      <w:vertAlign w:val="superscript"/>
                    </w:rPr>
                    <w:t>***</w:t>
                  </w:r>
                </w:p>
              </w:tc>
              <w:tc>
                <w:tcPr>
                  <w:tcW w:w="414" w:type="pct"/>
                  <w:vAlign w:val="center"/>
                </w:tcPr>
                <w:p w:rsidR="006E391F" w:rsidRPr="00BC1144" w:rsidRDefault="006E391F" w:rsidP="00336FA0">
                  <w:pPr>
                    <w:pStyle w:val="TableBodyText"/>
                    <w:ind w:right="28"/>
                  </w:pPr>
                  <w:r w:rsidRPr="00BC1144">
                    <w:t>-0.603</w:t>
                  </w:r>
                </w:p>
              </w:tc>
              <w:tc>
                <w:tcPr>
                  <w:tcW w:w="415" w:type="pct"/>
                  <w:vAlign w:val="center"/>
                </w:tcPr>
                <w:p w:rsidR="006E391F" w:rsidRPr="00BC1144" w:rsidRDefault="006E391F" w:rsidP="00336FA0">
                  <w:pPr>
                    <w:pStyle w:val="TableBodyText"/>
                    <w:ind w:right="28"/>
                  </w:pPr>
                  <w:r w:rsidRPr="00BC1144">
                    <w:t>-0.404</w:t>
                  </w:r>
                </w:p>
              </w:tc>
              <w:tc>
                <w:tcPr>
                  <w:tcW w:w="414" w:type="pct"/>
                  <w:vAlign w:val="center"/>
                </w:tcPr>
                <w:p w:rsidR="006E391F" w:rsidRPr="00BC1144" w:rsidRDefault="006E391F" w:rsidP="00336FA0">
                  <w:pPr>
                    <w:pStyle w:val="TableBodyText"/>
                    <w:ind w:right="28"/>
                  </w:pPr>
                  <w:r w:rsidRPr="00BC1144">
                    <w:t>-0.209</w:t>
                  </w:r>
                  <w:r w:rsidRPr="00BC1144">
                    <w:rPr>
                      <w:vertAlign w:val="superscript"/>
                    </w:rPr>
                    <w:t>*</w:t>
                  </w:r>
                </w:p>
              </w:tc>
              <w:tc>
                <w:tcPr>
                  <w:tcW w:w="415" w:type="pct"/>
                  <w:vAlign w:val="center"/>
                </w:tcPr>
                <w:p w:rsidR="006E391F" w:rsidRPr="00BC1144" w:rsidRDefault="006E391F" w:rsidP="00336FA0">
                  <w:pPr>
                    <w:pStyle w:val="TableBodyText"/>
                    <w:ind w:right="28"/>
                  </w:pPr>
                  <w:r w:rsidRPr="00BC1144">
                    <w:t>-0.120</w:t>
                  </w:r>
                </w:p>
              </w:tc>
              <w:tc>
                <w:tcPr>
                  <w:tcW w:w="414" w:type="pct"/>
                  <w:vAlign w:val="center"/>
                </w:tcPr>
                <w:p w:rsidR="006E391F" w:rsidRPr="00BC1144" w:rsidRDefault="006E391F" w:rsidP="00336FA0">
                  <w:pPr>
                    <w:pStyle w:val="TableBodyText"/>
                    <w:ind w:right="28"/>
                  </w:pPr>
                  <w:r w:rsidRPr="00BC1144">
                    <w:t>-0.212</w:t>
                  </w:r>
                </w:p>
              </w:tc>
              <w:tc>
                <w:tcPr>
                  <w:tcW w:w="415" w:type="pct"/>
                  <w:vAlign w:val="center"/>
                </w:tcPr>
                <w:p w:rsidR="006E391F" w:rsidRPr="00BC1144" w:rsidRDefault="006E391F" w:rsidP="00336FA0">
                  <w:pPr>
                    <w:pStyle w:val="TableBodyText"/>
                    <w:ind w:right="28"/>
                  </w:pPr>
                  <w:r w:rsidRPr="00BC1144">
                    <w:t>0.026</w:t>
                  </w:r>
                </w:p>
              </w:tc>
              <w:tc>
                <w:tcPr>
                  <w:tcW w:w="397" w:type="pct"/>
                  <w:vAlign w:val="center"/>
                </w:tcPr>
                <w:p w:rsidR="006E391F" w:rsidRPr="00BC1144" w:rsidRDefault="006E391F" w:rsidP="00336FA0">
                  <w:pPr>
                    <w:pStyle w:val="TableBodyText"/>
                    <w:ind w:right="28"/>
                  </w:pPr>
                  <w:r w:rsidRPr="00BC1144">
                    <w:t>-0.237</w:t>
                  </w:r>
                </w:p>
              </w:tc>
              <w:tc>
                <w:tcPr>
                  <w:tcW w:w="401" w:type="pct"/>
                  <w:vAlign w:val="center"/>
                </w:tcPr>
                <w:p w:rsidR="006E391F" w:rsidRPr="00BC1144" w:rsidRDefault="006E391F" w:rsidP="00336FA0">
                  <w:pPr>
                    <w:pStyle w:val="TableBodyText"/>
                    <w:ind w:right="28"/>
                  </w:pPr>
                  <w:r w:rsidRPr="00BC1144">
                    <w:t>0.072</w:t>
                  </w:r>
                </w:p>
              </w:tc>
            </w:tr>
            <w:tr w:rsidR="006E391F" w:rsidRPr="00BC1144" w:rsidTr="00336FA0">
              <w:trPr>
                <w:trHeight w:val="329"/>
              </w:trPr>
              <w:tc>
                <w:tcPr>
                  <w:tcW w:w="789" w:type="pct"/>
                  <w:vAlign w:val="center"/>
                </w:tcPr>
                <w:p w:rsidR="006E391F" w:rsidRPr="00BC1144" w:rsidRDefault="006E391F" w:rsidP="00336FA0">
                  <w:pPr>
                    <w:pStyle w:val="TableBodyText"/>
                    <w:jc w:val="left"/>
                  </w:pPr>
                </w:p>
              </w:tc>
              <w:tc>
                <w:tcPr>
                  <w:tcW w:w="463" w:type="pct"/>
                  <w:vAlign w:val="center"/>
                </w:tcPr>
                <w:p w:rsidR="006E391F" w:rsidRPr="00BC1144" w:rsidRDefault="006E391F" w:rsidP="00336FA0">
                  <w:pPr>
                    <w:pStyle w:val="TableBodyText"/>
                  </w:pPr>
                  <w:r w:rsidRPr="00BC1144">
                    <w:t>(0.160)</w:t>
                  </w:r>
                </w:p>
              </w:tc>
              <w:tc>
                <w:tcPr>
                  <w:tcW w:w="463" w:type="pct"/>
                  <w:vAlign w:val="center"/>
                </w:tcPr>
                <w:p w:rsidR="006E391F" w:rsidRPr="00BC1144" w:rsidRDefault="006E391F" w:rsidP="00336FA0">
                  <w:pPr>
                    <w:pStyle w:val="TableBodyText"/>
                  </w:pPr>
                  <w:r w:rsidRPr="00BC1144">
                    <w:t>(0.167)</w:t>
                  </w:r>
                </w:p>
              </w:tc>
              <w:tc>
                <w:tcPr>
                  <w:tcW w:w="414" w:type="pct"/>
                  <w:vAlign w:val="center"/>
                </w:tcPr>
                <w:p w:rsidR="006E391F" w:rsidRPr="00BC1144" w:rsidRDefault="006E391F" w:rsidP="00336FA0">
                  <w:pPr>
                    <w:pStyle w:val="TableBodyText"/>
                    <w:ind w:right="28"/>
                  </w:pPr>
                  <w:r w:rsidRPr="00BC1144">
                    <w:t>(0.778)</w:t>
                  </w:r>
                </w:p>
              </w:tc>
              <w:tc>
                <w:tcPr>
                  <w:tcW w:w="415" w:type="pct"/>
                  <w:vAlign w:val="center"/>
                </w:tcPr>
                <w:p w:rsidR="006E391F" w:rsidRPr="00BC1144" w:rsidRDefault="006E391F" w:rsidP="00336FA0">
                  <w:pPr>
                    <w:pStyle w:val="TableBodyText"/>
                    <w:ind w:right="28"/>
                  </w:pPr>
                  <w:r w:rsidRPr="00BC1144">
                    <w:t>(1.220)</w:t>
                  </w:r>
                </w:p>
              </w:tc>
              <w:tc>
                <w:tcPr>
                  <w:tcW w:w="414" w:type="pct"/>
                  <w:vAlign w:val="center"/>
                </w:tcPr>
                <w:p w:rsidR="006E391F" w:rsidRPr="00BC1144" w:rsidRDefault="006E391F" w:rsidP="00336FA0">
                  <w:pPr>
                    <w:pStyle w:val="TableBodyText"/>
                    <w:ind w:right="28"/>
                  </w:pPr>
                  <w:r w:rsidRPr="00BC1144">
                    <w:t>(0.127)</w:t>
                  </w:r>
                </w:p>
              </w:tc>
              <w:tc>
                <w:tcPr>
                  <w:tcW w:w="415" w:type="pct"/>
                  <w:vAlign w:val="center"/>
                </w:tcPr>
                <w:p w:rsidR="006E391F" w:rsidRPr="00BC1144" w:rsidRDefault="006E391F" w:rsidP="00336FA0">
                  <w:pPr>
                    <w:pStyle w:val="TableBodyText"/>
                    <w:ind w:right="28"/>
                  </w:pPr>
                  <w:r w:rsidRPr="00BC1144">
                    <w:t>(0.154)</w:t>
                  </w:r>
                </w:p>
              </w:tc>
              <w:tc>
                <w:tcPr>
                  <w:tcW w:w="414" w:type="pct"/>
                  <w:vAlign w:val="center"/>
                </w:tcPr>
                <w:p w:rsidR="006E391F" w:rsidRPr="00BC1144" w:rsidRDefault="006E391F" w:rsidP="00336FA0">
                  <w:pPr>
                    <w:pStyle w:val="TableBodyText"/>
                    <w:ind w:right="28"/>
                  </w:pPr>
                  <w:r w:rsidRPr="00BC1144">
                    <w:t>(0.197)</w:t>
                  </w:r>
                </w:p>
              </w:tc>
              <w:tc>
                <w:tcPr>
                  <w:tcW w:w="415" w:type="pct"/>
                  <w:vAlign w:val="center"/>
                </w:tcPr>
                <w:p w:rsidR="006E391F" w:rsidRPr="00BC1144" w:rsidRDefault="006E391F" w:rsidP="00336FA0">
                  <w:pPr>
                    <w:pStyle w:val="TableBodyText"/>
                    <w:ind w:right="28"/>
                  </w:pPr>
                  <w:r w:rsidRPr="00BC1144">
                    <w:t>(0.150)</w:t>
                  </w:r>
                </w:p>
              </w:tc>
              <w:tc>
                <w:tcPr>
                  <w:tcW w:w="397" w:type="pct"/>
                  <w:vAlign w:val="center"/>
                </w:tcPr>
                <w:p w:rsidR="006E391F" w:rsidRPr="00BC1144" w:rsidRDefault="006E391F" w:rsidP="00336FA0">
                  <w:pPr>
                    <w:pStyle w:val="TableBodyText"/>
                    <w:ind w:right="28"/>
                  </w:pPr>
                  <w:r w:rsidRPr="00BC1144">
                    <w:t>(0.373)</w:t>
                  </w:r>
                </w:p>
              </w:tc>
              <w:tc>
                <w:tcPr>
                  <w:tcW w:w="401" w:type="pct"/>
                  <w:vAlign w:val="center"/>
                </w:tcPr>
                <w:p w:rsidR="006E391F" w:rsidRPr="00BC1144" w:rsidRDefault="006E391F" w:rsidP="00336FA0">
                  <w:pPr>
                    <w:pStyle w:val="TableBodyText"/>
                    <w:ind w:right="28"/>
                  </w:pPr>
                  <w:r w:rsidRPr="00BC1144">
                    <w:t>(0.220)</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r w:rsidRPr="00BC1144">
                    <w:t>State: ACT</w:t>
                  </w:r>
                </w:p>
              </w:tc>
              <w:tc>
                <w:tcPr>
                  <w:tcW w:w="463" w:type="pct"/>
                  <w:shd w:val="clear" w:color="auto" w:fill="F2F2F2" w:themeFill="background1" w:themeFillShade="F2"/>
                  <w:vAlign w:val="center"/>
                </w:tcPr>
                <w:p w:rsidR="006E391F" w:rsidRPr="00BC1144" w:rsidRDefault="006E391F" w:rsidP="00336FA0">
                  <w:pPr>
                    <w:pStyle w:val="TableBodyText"/>
                  </w:pPr>
                  <w:r w:rsidRPr="00BC1144">
                    <w:t>0.495</w:t>
                  </w:r>
                  <w:r w:rsidRPr="00BC1144">
                    <w:rPr>
                      <w:vertAlign w:val="superscript"/>
                    </w:rPr>
                    <w:t>***</w:t>
                  </w:r>
                </w:p>
              </w:tc>
              <w:tc>
                <w:tcPr>
                  <w:tcW w:w="463" w:type="pct"/>
                  <w:shd w:val="clear" w:color="auto" w:fill="F2F2F2" w:themeFill="background1" w:themeFillShade="F2"/>
                  <w:vAlign w:val="center"/>
                </w:tcPr>
                <w:p w:rsidR="006E391F" w:rsidRPr="00BC1144" w:rsidRDefault="006E391F" w:rsidP="00336FA0">
                  <w:pPr>
                    <w:pStyle w:val="TableBodyText"/>
                  </w:pPr>
                  <w:r w:rsidRPr="00BC1144">
                    <w:t>0.453</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0.073</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0.062</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0.248</w:t>
                  </w:r>
                  <w:r w:rsidRPr="00BC1144">
                    <w:rPr>
                      <w:vertAlign w:val="superscript"/>
                    </w:rPr>
                    <w:t>**</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0.220</w:t>
                  </w:r>
                  <w:r w:rsidRPr="00BC1144">
                    <w:rPr>
                      <w:vertAlign w:val="superscript"/>
                    </w:rPr>
                    <w:t>**</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0.079</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-0.029</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0.346</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0.246</w:t>
                  </w:r>
                </w:p>
              </w:tc>
            </w:tr>
            <w:tr w:rsidR="006E391F" w:rsidRPr="00BC1144" w:rsidTr="00336FA0">
              <w:trPr>
                <w:trHeight w:val="329"/>
              </w:trPr>
              <w:tc>
                <w:tcPr>
                  <w:tcW w:w="789" w:type="pct"/>
                  <w:shd w:val="clear" w:color="auto" w:fill="F2F2F2" w:themeFill="background1" w:themeFillShade="F2"/>
                  <w:vAlign w:val="center"/>
                </w:tcPr>
                <w:p w:rsidR="006E391F" w:rsidRPr="00BC1144" w:rsidRDefault="006E391F" w:rsidP="00336FA0">
                  <w:pPr>
                    <w:pStyle w:val="TableBodyText"/>
                    <w:jc w:val="left"/>
                  </w:pPr>
                </w:p>
              </w:tc>
              <w:tc>
                <w:tcPr>
                  <w:tcW w:w="463" w:type="pct"/>
                  <w:shd w:val="clear" w:color="auto" w:fill="F2F2F2" w:themeFill="background1" w:themeFillShade="F2"/>
                  <w:vAlign w:val="center"/>
                </w:tcPr>
                <w:p w:rsidR="006E391F" w:rsidRPr="00BC1144" w:rsidRDefault="006E391F" w:rsidP="00336FA0">
                  <w:pPr>
                    <w:pStyle w:val="TableBodyText"/>
                  </w:pPr>
                  <w:r w:rsidRPr="00BC1144">
                    <w:t>(0.139)</w:t>
                  </w:r>
                </w:p>
              </w:tc>
              <w:tc>
                <w:tcPr>
                  <w:tcW w:w="463" w:type="pct"/>
                  <w:shd w:val="clear" w:color="auto" w:fill="F2F2F2" w:themeFill="background1" w:themeFillShade="F2"/>
                  <w:vAlign w:val="center"/>
                </w:tcPr>
                <w:p w:rsidR="006E391F" w:rsidRPr="00BC1144" w:rsidRDefault="006E391F" w:rsidP="00336FA0">
                  <w:pPr>
                    <w:pStyle w:val="TableBodyText"/>
                  </w:pPr>
                  <w:r w:rsidRPr="00BC1144">
                    <w:t>(0.151)</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(2.914)</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(3.105)</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(0.097)</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(0.088)</w:t>
                  </w:r>
                </w:p>
              </w:tc>
              <w:tc>
                <w:tcPr>
                  <w:tcW w:w="414" w:type="pct"/>
                  <w:shd w:val="clear" w:color="auto" w:fill="F2F2F2" w:themeFill="background1" w:themeFillShade="F2"/>
                  <w:vAlign w:val="center"/>
                </w:tcPr>
                <w:p w:rsidR="006E391F" w:rsidRPr="00BC1144" w:rsidRDefault="006E391F" w:rsidP="00336FA0">
                  <w:pPr>
                    <w:pStyle w:val="TableBodyText"/>
                    <w:ind w:right="28"/>
                  </w:pPr>
                  <w:r w:rsidRPr="00BC1144">
                    <w:t>(0.132)</w:t>
                  </w:r>
                </w:p>
              </w:tc>
              <w:tc>
                <w:tcPr>
                  <w:tcW w:w="415" w:type="pct"/>
                  <w:shd w:val="clear" w:color="auto" w:fill="F2F2F2" w:themeFill="background1" w:themeFillShade="F2"/>
                  <w:vAlign w:val="center"/>
                </w:tcPr>
                <w:p w:rsidR="006E391F" w:rsidRPr="00BC1144" w:rsidRDefault="006E391F" w:rsidP="00336FA0">
                  <w:pPr>
                    <w:pStyle w:val="TableBodyText"/>
                    <w:ind w:right="28"/>
                  </w:pPr>
                  <w:r w:rsidRPr="00BC1144">
                    <w:t>(0.127)</w:t>
                  </w:r>
                </w:p>
              </w:tc>
              <w:tc>
                <w:tcPr>
                  <w:tcW w:w="397" w:type="pct"/>
                  <w:shd w:val="clear" w:color="auto" w:fill="F2F2F2" w:themeFill="background1" w:themeFillShade="F2"/>
                  <w:vAlign w:val="center"/>
                </w:tcPr>
                <w:p w:rsidR="006E391F" w:rsidRPr="00BC1144" w:rsidRDefault="006E391F" w:rsidP="00336FA0">
                  <w:pPr>
                    <w:pStyle w:val="TableBodyText"/>
                    <w:ind w:right="28"/>
                  </w:pPr>
                  <w:r w:rsidRPr="00BC1144">
                    <w:t>(0.244)</w:t>
                  </w:r>
                </w:p>
              </w:tc>
              <w:tc>
                <w:tcPr>
                  <w:tcW w:w="401" w:type="pct"/>
                  <w:shd w:val="clear" w:color="auto" w:fill="F2F2F2" w:themeFill="background1" w:themeFillShade="F2"/>
                  <w:vAlign w:val="center"/>
                </w:tcPr>
                <w:p w:rsidR="006E391F" w:rsidRPr="00BC1144" w:rsidRDefault="006E391F" w:rsidP="00336FA0">
                  <w:pPr>
                    <w:pStyle w:val="TableBodyText"/>
                    <w:ind w:right="28"/>
                  </w:pPr>
                  <w:r w:rsidRPr="00BC1144">
                    <w:t>(0.151)</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pPr>
            <w:r w:rsidRPr="00BC1144">
              <w:t>(continued next page)</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B.15</w:t>
            </w:r>
            <w:r w:rsidRPr="00BC1144">
              <w:tab/>
            </w:r>
            <w:r w:rsidRPr="00BC1144">
              <w:rPr>
                <w:b w:val="0"/>
                <w:sz w:val="20"/>
                <w:szCs w:val="20"/>
              </w:rPr>
              <w:t>(continued)</w:t>
            </w:r>
          </w:p>
        </w:tc>
      </w:tr>
      <w:tr w:rsidR="006E391F" w:rsidRPr="00BC1144" w:rsidTr="00336FA0">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1253"/>
              <w:gridCol w:w="795"/>
              <w:gridCol w:w="796"/>
              <w:gridCol w:w="709"/>
              <w:gridCol w:w="709"/>
              <w:gridCol w:w="708"/>
              <w:gridCol w:w="711"/>
              <w:gridCol w:w="708"/>
              <w:gridCol w:w="711"/>
              <w:gridCol w:w="708"/>
              <w:gridCol w:w="699"/>
            </w:tblGrid>
            <w:tr w:rsidR="006E391F" w:rsidRPr="00BC1144" w:rsidTr="00CC4DB6">
              <w:trPr>
                <w:tblHeader/>
              </w:trPr>
              <w:tc>
                <w:tcPr>
                  <w:tcW w:w="73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p>
              </w:tc>
              <w:tc>
                <w:tcPr>
                  <w:tcW w:w="935" w:type="pct"/>
                  <w:gridSpan w:val="2"/>
                  <w:tcBorders>
                    <w:top w:val="single" w:sz="6" w:space="0" w:color="BFBFBF"/>
                    <w:bottom w:val="single" w:sz="6" w:space="0" w:color="BFBFBF"/>
                  </w:tcBorders>
                </w:tcPr>
                <w:p w:rsidR="006E391F" w:rsidRPr="00BC1144" w:rsidRDefault="006E391F" w:rsidP="00336FA0">
                  <w:pPr>
                    <w:pStyle w:val="TableColumnHeading"/>
                  </w:pPr>
                  <w:r w:rsidRPr="00BC1144">
                    <w:t>2003</w:t>
                  </w:r>
                </w:p>
              </w:tc>
              <w:tc>
                <w:tcPr>
                  <w:tcW w:w="833" w:type="pct"/>
                  <w:gridSpan w:val="2"/>
                  <w:tcBorders>
                    <w:top w:val="single" w:sz="6" w:space="0" w:color="BFBFBF"/>
                    <w:bottom w:val="single" w:sz="6" w:space="0" w:color="BFBFBF"/>
                  </w:tcBorders>
                </w:tcPr>
                <w:p w:rsidR="006E391F" w:rsidRPr="00BC1144" w:rsidRDefault="006E391F" w:rsidP="00336FA0">
                  <w:pPr>
                    <w:pStyle w:val="TableColumnHeading"/>
                  </w:pPr>
                  <w:r w:rsidRPr="00BC1144">
                    <w:t>2006</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2010</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2013</w:t>
                  </w:r>
                </w:p>
              </w:tc>
              <w:tc>
                <w:tcPr>
                  <w:tcW w:w="827" w:type="pct"/>
                  <w:gridSpan w:val="2"/>
                  <w:tcBorders>
                    <w:top w:val="single" w:sz="6" w:space="0" w:color="BFBFBF"/>
                    <w:bottom w:val="single" w:sz="6" w:space="0" w:color="BFBFBF"/>
                  </w:tcBorders>
                </w:tcPr>
                <w:p w:rsidR="006E391F" w:rsidRPr="00BC1144" w:rsidRDefault="006E391F" w:rsidP="00336FA0">
                  <w:pPr>
                    <w:pStyle w:val="TableColumnHeading"/>
                    <w:ind w:right="28"/>
                  </w:pPr>
                  <w:r w:rsidRPr="00BC1144">
                    <w:t>2016</w:t>
                  </w:r>
                </w:p>
              </w:tc>
            </w:tr>
            <w:tr w:rsidR="006E391F" w:rsidRPr="00BC1144" w:rsidTr="00CC4DB6">
              <w:trPr>
                <w:trHeight w:val="329"/>
              </w:trPr>
              <w:tc>
                <w:tcPr>
                  <w:tcW w:w="736" w:type="pct"/>
                  <w:tcBorders>
                    <w:top w:val="single" w:sz="6" w:space="0" w:color="BFBFBF"/>
                    <w:bottom w:val="single" w:sz="6" w:space="0" w:color="BFBFBF"/>
                  </w:tcBorders>
                </w:tcPr>
                <w:p w:rsidR="006E391F" w:rsidRPr="00BC1144" w:rsidRDefault="006E391F" w:rsidP="00336FA0">
                  <w:pPr>
                    <w:pStyle w:val="TableUnitsRow"/>
                    <w:jc w:val="left"/>
                  </w:pPr>
                </w:p>
              </w:tc>
              <w:tc>
                <w:tcPr>
                  <w:tcW w:w="467" w:type="pct"/>
                  <w:tcBorders>
                    <w:top w:val="single" w:sz="6" w:space="0" w:color="BFBFBF"/>
                    <w:bottom w:val="single" w:sz="6" w:space="0" w:color="BFBFBF"/>
                  </w:tcBorders>
                  <w:vAlign w:val="center"/>
                </w:tcPr>
                <w:p w:rsidR="006E391F" w:rsidRPr="00BC1144" w:rsidRDefault="006E391F" w:rsidP="00336FA0">
                  <w:pPr>
                    <w:pStyle w:val="TableUnitsRow"/>
                  </w:pPr>
                  <w:r w:rsidRPr="00BC1144">
                    <w:t>(i)</w:t>
                  </w:r>
                </w:p>
              </w:tc>
              <w:tc>
                <w:tcPr>
                  <w:tcW w:w="468" w:type="pct"/>
                  <w:tcBorders>
                    <w:top w:val="single" w:sz="6" w:space="0" w:color="BFBFBF"/>
                    <w:bottom w:val="single" w:sz="6" w:space="0" w:color="BFBFBF"/>
                  </w:tcBorders>
                  <w:vAlign w:val="center"/>
                </w:tcPr>
                <w:p w:rsidR="006E391F" w:rsidRPr="00BC1144" w:rsidRDefault="006E391F" w:rsidP="00336FA0">
                  <w:pPr>
                    <w:pStyle w:val="TableUnitsRow"/>
                  </w:pPr>
                  <w:r w:rsidRPr="00BC1144">
                    <w:t>(ii)</w:t>
                  </w:r>
                </w:p>
              </w:tc>
              <w:tc>
                <w:tcPr>
                  <w:tcW w:w="417"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7"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8"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8"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w:t>
                  </w:r>
                </w:p>
              </w:tc>
              <w:tc>
                <w:tcPr>
                  <w:tcW w:w="411" w:type="pct"/>
                  <w:tcBorders>
                    <w:top w:val="single" w:sz="6" w:space="0" w:color="BFBFBF"/>
                    <w:bottom w:val="single" w:sz="6" w:space="0" w:color="BFBFBF"/>
                  </w:tcBorders>
                  <w:vAlign w:val="center"/>
                </w:tcPr>
                <w:p w:rsidR="006E391F" w:rsidRPr="00BC1144" w:rsidRDefault="006E391F" w:rsidP="00336FA0">
                  <w:pPr>
                    <w:pStyle w:val="TableUnitsRow"/>
                    <w:ind w:right="28"/>
                  </w:pPr>
                  <w:r w:rsidRPr="00BC1144">
                    <w:t>(ii)</w:t>
                  </w:r>
                </w:p>
              </w:tc>
            </w:tr>
            <w:tr w:rsidR="00CC4DB6" w:rsidRPr="00BC1144" w:rsidTr="00DC5BB6">
              <w:trPr>
                <w:trHeight w:val="329"/>
              </w:trPr>
              <w:tc>
                <w:tcPr>
                  <w:tcW w:w="736" w:type="pct"/>
                  <w:tcBorders>
                    <w:top w:val="single" w:sz="6" w:space="0" w:color="BFBFBF"/>
                  </w:tcBorders>
                  <w:vAlign w:val="center"/>
                </w:tcPr>
                <w:p w:rsidR="00CC4DB6" w:rsidRPr="00BC1144" w:rsidRDefault="00CC4DB6" w:rsidP="00CC4DB6">
                  <w:pPr>
                    <w:pStyle w:val="TableBodyText"/>
                    <w:jc w:val="left"/>
                  </w:pPr>
                  <w:r w:rsidRPr="00BC1144">
                    <w:t>Grade</w:t>
                  </w:r>
                </w:p>
              </w:tc>
              <w:tc>
                <w:tcPr>
                  <w:tcW w:w="467" w:type="pct"/>
                  <w:tcBorders>
                    <w:top w:val="single" w:sz="6" w:space="0" w:color="BFBFBF"/>
                  </w:tcBorders>
                  <w:vAlign w:val="center"/>
                </w:tcPr>
                <w:p w:rsidR="00CC4DB6" w:rsidRPr="00BC1144" w:rsidRDefault="00CC4DB6" w:rsidP="00CC4DB6">
                  <w:pPr>
                    <w:pStyle w:val="TableBodyText"/>
                  </w:pPr>
                </w:p>
              </w:tc>
              <w:tc>
                <w:tcPr>
                  <w:tcW w:w="468" w:type="pct"/>
                  <w:tcBorders>
                    <w:top w:val="single" w:sz="6" w:space="0" w:color="BFBFBF"/>
                  </w:tcBorders>
                  <w:vAlign w:val="center"/>
                </w:tcPr>
                <w:p w:rsidR="00CC4DB6" w:rsidRPr="00BC1144" w:rsidRDefault="00CC4DB6" w:rsidP="00CC4DB6">
                  <w:pPr>
                    <w:pStyle w:val="TableBodyText"/>
                  </w:pPr>
                </w:p>
              </w:tc>
              <w:tc>
                <w:tcPr>
                  <w:tcW w:w="417" w:type="pct"/>
                  <w:tcBorders>
                    <w:top w:val="single" w:sz="6" w:space="0" w:color="BFBFBF"/>
                  </w:tcBorders>
                  <w:vAlign w:val="center"/>
                </w:tcPr>
                <w:p w:rsidR="00CC4DB6" w:rsidRPr="00BC1144" w:rsidRDefault="00CC4DB6" w:rsidP="00CC4DB6">
                  <w:pPr>
                    <w:pStyle w:val="TableBodyText"/>
                    <w:ind w:right="28"/>
                  </w:pPr>
                </w:p>
              </w:tc>
              <w:tc>
                <w:tcPr>
                  <w:tcW w:w="417" w:type="pct"/>
                  <w:tcBorders>
                    <w:top w:val="single" w:sz="6" w:space="0" w:color="BFBFBF"/>
                  </w:tcBorders>
                  <w:vAlign w:val="center"/>
                </w:tcPr>
                <w:p w:rsidR="00CC4DB6" w:rsidRPr="00BC1144" w:rsidRDefault="00CC4DB6" w:rsidP="00CC4DB6">
                  <w:pPr>
                    <w:pStyle w:val="TableBodyText"/>
                    <w:ind w:right="28"/>
                  </w:pPr>
                </w:p>
              </w:tc>
              <w:tc>
                <w:tcPr>
                  <w:tcW w:w="416" w:type="pct"/>
                  <w:tcBorders>
                    <w:top w:val="single" w:sz="6" w:space="0" w:color="BFBFBF"/>
                  </w:tcBorders>
                  <w:vAlign w:val="center"/>
                </w:tcPr>
                <w:p w:rsidR="00CC4DB6" w:rsidRPr="00BC1144" w:rsidRDefault="00CC4DB6" w:rsidP="00CC4DB6">
                  <w:pPr>
                    <w:pStyle w:val="TableBodyText"/>
                    <w:ind w:right="28"/>
                  </w:pPr>
                  <w:r w:rsidRPr="00BC1144">
                    <w:t>-0.108</w:t>
                  </w:r>
                </w:p>
              </w:tc>
              <w:tc>
                <w:tcPr>
                  <w:tcW w:w="418" w:type="pct"/>
                  <w:tcBorders>
                    <w:top w:val="single" w:sz="6" w:space="0" w:color="BFBFBF"/>
                  </w:tcBorders>
                  <w:vAlign w:val="center"/>
                </w:tcPr>
                <w:p w:rsidR="00CC4DB6" w:rsidRPr="00BC1144" w:rsidRDefault="00CC4DB6" w:rsidP="00CC4DB6">
                  <w:pPr>
                    <w:pStyle w:val="TableBodyText"/>
                    <w:ind w:right="28"/>
                  </w:pPr>
                </w:p>
              </w:tc>
              <w:tc>
                <w:tcPr>
                  <w:tcW w:w="416" w:type="pct"/>
                  <w:tcBorders>
                    <w:top w:val="single" w:sz="6" w:space="0" w:color="BFBFBF"/>
                  </w:tcBorders>
                  <w:vAlign w:val="center"/>
                </w:tcPr>
                <w:p w:rsidR="00CC4DB6" w:rsidRPr="00BC1144" w:rsidRDefault="00CC4DB6" w:rsidP="00CC4DB6">
                  <w:pPr>
                    <w:pStyle w:val="TableBodyText"/>
                    <w:ind w:right="28"/>
                  </w:pPr>
                  <w:r w:rsidRPr="00BC1144">
                    <w:t>-0.006</w:t>
                  </w:r>
                </w:p>
              </w:tc>
              <w:tc>
                <w:tcPr>
                  <w:tcW w:w="418" w:type="pct"/>
                  <w:tcBorders>
                    <w:top w:val="single" w:sz="6" w:space="0" w:color="BFBFBF"/>
                  </w:tcBorders>
                  <w:vAlign w:val="center"/>
                </w:tcPr>
                <w:p w:rsidR="00CC4DB6" w:rsidRPr="00BC1144" w:rsidRDefault="00CC4DB6" w:rsidP="00CC4DB6">
                  <w:pPr>
                    <w:pStyle w:val="TableBodyText"/>
                    <w:ind w:right="28"/>
                  </w:pPr>
                </w:p>
              </w:tc>
              <w:tc>
                <w:tcPr>
                  <w:tcW w:w="416" w:type="pct"/>
                  <w:tcBorders>
                    <w:top w:val="single" w:sz="6" w:space="0" w:color="BFBFBF"/>
                  </w:tcBorders>
                  <w:vAlign w:val="center"/>
                </w:tcPr>
                <w:p w:rsidR="00CC4DB6" w:rsidRPr="00BC1144" w:rsidRDefault="00CC4DB6" w:rsidP="00CC4DB6">
                  <w:pPr>
                    <w:pStyle w:val="TableBodyText"/>
                    <w:ind w:right="28"/>
                  </w:pPr>
                  <w:r w:rsidRPr="00BC1144">
                    <w:t>-0.139</w:t>
                  </w:r>
                </w:p>
              </w:tc>
              <w:tc>
                <w:tcPr>
                  <w:tcW w:w="411" w:type="pct"/>
                  <w:tcBorders>
                    <w:top w:val="single" w:sz="6" w:space="0" w:color="BFBFBF"/>
                  </w:tcBorders>
                  <w:vAlign w:val="center"/>
                </w:tcPr>
                <w:p w:rsidR="00CC4DB6" w:rsidRPr="00BC1144" w:rsidRDefault="00CC4DB6" w:rsidP="00CC4DB6">
                  <w:pPr>
                    <w:pStyle w:val="TableBodyText"/>
                    <w:ind w:right="28"/>
                  </w:pPr>
                </w:p>
              </w:tc>
            </w:tr>
            <w:tr w:rsidR="00CC4DB6" w:rsidRPr="00BC1144" w:rsidTr="00CC4DB6">
              <w:trPr>
                <w:trHeight w:val="329"/>
              </w:trPr>
              <w:tc>
                <w:tcPr>
                  <w:tcW w:w="736" w:type="pct"/>
                  <w:vAlign w:val="center"/>
                </w:tcPr>
                <w:p w:rsidR="00CC4DB6" w:rsidRPr="00BC1144" w:rsidRDefault="00CC4DB6" w:rsidP="00CC4DB6">
                  <w:pPr>
                    <w:pStyle w:val="TableBodyText"/>
                    <w:jc w:val="left"/>
                  </w:pPr>
                </w:p>
              </w:tc>
              <w:tc>
                <w:tcPr>
                  <w:tcW w:w="467" w:type="pct"/>
                  <w:vAlign w:val="center"/>
                </w:tcPr>
                <w:p w:rsidR="00CC4DB6" w:rsidRPr="00BC1144" w:rsidRDefault="00CC4DB6" w:rsidP="00CC4DB6">
                  <w:pPr>
                    <w:pStyle w:val="TableBodyText"/>
                  </w:pPr>
                </w:p>
              </w:tc>
              <w:tc>
                <w:tcPr>
                  <w:tcW w:w="468" w:type="pct"/>
                  <w:vAlign w:val="center"/>
                </w:tcPr>
                <w:p w:rsidR="00CC4DB6" w:rsidRPr="00BC1144" w:rsidRDefault="00CC4DB6" w:rsidP="00CC4DB6">
                  <w:pPr>
                    <w:pStyle w:val="TableBodyText"/>
                  </w:pPr>
                </w:p>
              </w:tc>
              <w:tc>
                <w:tcPr>
                  <w:tcW w:w="417" w:type="pct"/>
                  <w:vAlign w:val="center"/>
                </w:tcPr>
                <w:p w:rsidR="00CC4DB6" w:rsidRPr="00BC1144" w:rsidRDefault="00CC4DB6" w:rsidP="00CC4DB6">
                  <w:pPr>
                    <w:pStyle w:val="TableBodyText"/>
                    <w:ind w:right="28"/>
                  </w:pPr>
                </w:p>
              </w:tc>
              <w:tc>
                <w:tcPr>
                  <w:tcW w:w="417" w:type="pct"/>
                  <w:vAlign w:val="center"/>
                </w:tcPr>
                <w:p w:rsidR="00CC4DB6" w:rsidRPr="00BC1144" w:rsidRDefault="00CC4DB6" w:rsidP="00CC4DB6">
                  <w:pPr>
                    <w:pStyle w:val="TableBodyText"/>
                    <w:ind w:right="28"/>
                  </w:pPr>
                </w:p>
              </w:tc>
              <w:tc>
                <w:tcPr>
                  <w:tcW w:w="416" w:type="pct"/>
                  <w:vAlign w:val="center"/>
                </w:tcPr>
                <w:p w:rsidR="00CC4DB6" w:rsidRPr="00BC1144" w:rsidRDefault="00CC4DB6" w:rsidP="00CC4DB6">
                  <w:pPr>
                    <w:pStyle w:val="TableBodyText"/>
                    <w:ind w:right="28"/>
                  </w:pPr>
                  <w:r w:rsidRPr="00BC1144">
                    <w:t>(0.095)</w:t>
                  </w:r>
                </w:p>
              </w:tc>
              <w:tc>
                <w:tcPr>
                  <w:tcW w:w="418" w:type="pct"/>
                  <w:vAlign w:val="center"/>
                </w:tcPr>
                <w:p w:rsidR="00CC4DB6" w:rsidRPr="00BC1144" w:rsidRDefault="00CC4DB6" w:rsidP="00CC4DB6">
                  <w:pPr>
                    <w:pStyle w:val="TableBodyText"/>
                    <w:ind w:right="28"/>
                  </w:pPr>
                </w:p>
              </w:tc>
              <w:tc>
                <w:tcPr>
                  <w:tcW w:w="416" w:type="pct"/>
                  <w:vAlign w:val="center"/>
                </w:tcPr>
                <w:p w:rsidR="00CC4DB6" w:rsidRPr="00BC1144" w:rsidRDefault="00CC4DB6" w:rsidP="00CC4DB6">
                  <w:pPr>
                    <w:pStyle w:val="TableBodyText"/>
                    <w:ind w:right="28"/>
                  </w:pPr>
                  <w:r w:rsidRPr="00BC1144">
                    <w:t>(0.150)</w:t>
                  </w:r>
                </w:p>
              </w:tc>
              <w:tc>
                <w:tcPr>
                  <w:tcW w:w="418" w:type="pct"/>
                  <w:vAlign w:val="center"/>
                </w:tcPr>
                <w:p w:rsidR="00CC4DB6" w:rsidRPr="00BC1144" w:rsidRDefault="00CC4DB6" w:rsidP="00CC4DB6">
                  <w:pPr>
                    <w:pStyle w:val="TableBodyText"/>
                    <w:ind w:right="28"/>
                  </w:pPr>
                </w:p>
              </w:tc>
              <w:tc>
                <w:tcPr>
                  <w:tcW w:w="416" w:type="pct"/>
                  <w:vAlign w:val="center"/>
                </w:tcPr>
                <w:p w:rsidR="00CC4DB6" w:rsidRPr="00BC1144" w:rsidRDefault="00CC4DB6" w:rsidP="00CC4DB6">
                  <w:pPr>
                    <w:pStyle w:val="TableBodyText"/>
                    <w:ind w:right="28"/>
                  </w:pPr>
                  <w:r w:rsidRPr="00BC1144">
                    <w:t>(0.191)</w:t>
                  </w:r>
                </w:p>
              </w:tc>
              <w:tc>
                <w:tcPr>
                  <w:tcW w:w="411" w:type="pct"/>
                  <w:vAlign w:val="center"/>
                </w:tcPr>
                <w:p w:rsidR="00CC4DB6" w:rsidRPr="00BC1144" w:rsidRDefault="00CC4DB6" w:rsidP="00CC4DB6">
                  <w:pPr>
                    <w:pStyle w:val="TableBodyText"/>
                    <w:ind w:right="28"/>
                  </w:pPr>
                </w:p>
              </w:tc>
            </w:tr>
            <w:tr w:rsidR="00CC4DB6" w:rsidRPr="00BC1144" w:rsidTr="00336FA0">
              <w:trPr>
                <w:trHeight w:val="329"/>
              </w:trPr>
              <w:tc>
                <w:tcPr>
                  <w:tcW w:w="736" w:type="pct"/>
                  <w:shd w:val="clear" w:color="auto" w:fill="F2F2F2" w:themeFill="background1" w:themeFillShade="F2"/>
                  <w:vAlign w:val="center"/>
                </w:tcPr>
                <w:p w:rsidR="00CC4DB6" w:rsidRPr="00BC1144" w:rsidRDefault="00CC4DB6" w:rsidP="00CC4DB6">
                  <w:pPr>
                    <w:pStyle w:val="TableBodyText"/>
                    <w:jc w:val="left"/>
                  </w:pPr>
                  <w:r w:rsidRPr="00BC1144">
                    <w:t>Constant</w:t>
                  </w:r>
                </w:p>
              </w:tc>
              <w:tc>
                <w:tcPr>
                  <w:tcW w:w="467" w:type="pct"/>
                  <w:shd w:val="clear" w:color="auto" w:fill="F2F2F2" w:themeFill="background1" w:themeFillShade="F2"/>
                  <w:vAlign w:val="center"/>
                </w:tcPr>
                <w:p w:rsidR="00CC4DB6" w:rsidRPr="00BC1144" w:rsidRDefault="00CC4DB6" w:rsidP="00CC4DB6">
                  <w:pPr>
                    <w:pStyle w:val="TableBodyText"/>
                  </w:pPr>
                </w:p>
              </w:tc>
              <w:tc>
                <w:tcPr>
                  <w:tcW w:w="468" w:type="pct"/>
                  <w:shd w:val="clear" w:color="auto" w:fill="F2F2F2" w:themeFill="background1" w:themeFillShade="F2"/>
                  <w:vAlign w:val="center"/>
                </w:tcPr>
                <w:p w:rsidR="00CC4DB6" w:rsidRPr="00BC1144" w:rsidRDefault="00CC4DB6" w:rsidP="00CC4DB6">
                  <w:pPr>
                    <w:pStyle w:val="TableBodyText"/>
                  </w:pPr>
                </w:p>
              </w:tc>
              <w:tc>
                <w:tcPr>
                  <w:tcW w:w="417" w:type="pct"/>
                  <w:shd w:val="clear" w:color="auto" w:fill="F2F2F2" w:themeFill="background1" w:themeFillShade="F2"/>
                  <w:vAlign w:val="center"/>
                </w:tcPr>
                <w:p w:rsidR="00CC4DB6" w:rsidRPr="00BC1144" w:rsidRDefault="00CC4DB6" w:rsidP="00CC4DB6">
                  <w:pPr>
                    <w:pStyle w:val="TableBodyText"/>
                    <w:ind w:right="28"/>
                  </w:pPr>
                </w:p>
              </w:tc>
              <w:tc>
                <w:tcPr>
                  <w:tcW w:w="417"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-0.299</w:t>
                  </w:r>
                </w:p>
              </w:tc>
              <w:tc>
                <w:tcPr>
                  <w:tcW w:w="418"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-0.346</w:t>
                  </w:r>
                </w:p>
              </w:tc>
              <w:tc>
                <w:tcPr>
                  <w:tcW w:w="418"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-0.477</w:t>
                  </w:r>
                </w:p>
              </w:tc>
              <w:tc>
                <w:tcPr>
                  <w:tcW w:w="411" w:type="pct"/>
                  <w:shd w:val="clear" w:color="auto" w:fill="F2F2F2" w:themeFill="background1" w:themeFillShade="F2"/>
                  <w:vAlign w:val="center"/>
                </w:tcPr>
                <w:p w:rsidR="00CC4DB6" w:rsidRPr="00BC1144" w:rsidRDefault="00CC4DB6" w:rsidP="00CC4DB6">
                  <w:pPr>
                    <w:pStyle w:val="TableBodyText"/>
                    <w:ind w:right="28"/>
                  </w:pPr>
                </w:p>
              </w:tc>
            </w:tr>
            <w:tr w:rsidR="00CC4DB6" w:rsidRPr="00BC1144" w:rsidTr="00336FA0">
              <w:trPr>
                <w:trHeight w:val="329"/>
              </w:trPr>
              <w:tc>
                <w:tcPr>
                  <w:tcW w:w="736" w:type="pct"/>
                  <w:shd w:val="clear" w:color="auto" w:fill="F2F2F2" w:themeFill="background1" w:themeFillShade="F2"/>
                  <w:vAlign w:val="center"/>
                </w:tcPr>
                <w:p w:rsidR="00CC4DB6" w:rsidRPr="00BC1144" w:rsidRDefault="00CC4DB6" w:rsidP="00CC4DB6">
                  <w:pPr>
                    <w:pStyle w:val="TableBodyText"/>
                    <w:jc w:val="left"/>
                  </w:pPr>
                </w:p>
              </w:tc>
              <w:tc>
                <w:tcPr>
                  <w:tcW w:w="467" w:type="pct"/>
                  <w:shd w:val="clear" w:color="auto" w:fill="F2F2F2" w:themeFill="background1" w:themeFillShade="F2"/>
                  <w:vAlign w:val="center"/>
                </w:tcPr>
                <w:p w:rsidR="00CC4DB6" w:rsidRPr="00BC1144" w:rsidRDefault="00CC4DB6" w:rsidP="00CC4DB6">
                  <w:pPr>
                    <w:pStyle w:val="TableBodyText"/>
                  </w:pPr>
                </w:p>
              </w:tc>
              <w:tc>
                <w:tcPr>
                  <w:tcW w:w="468" w:type="pct"/>
                  <w:shd w:val="clear" w:color="auto" w:fill="F2F2F2" w:themeFill="background1" w:themeFillShade="F2"/>
                  <w:vAlign w:val="center"/>
                </w:tcPr>
                <w:p w:rsidR="00CC4DB6" w:rsidRPr="00BC1144" w:rsidRDefault="00CC4DB6" w:rsidP="00CC4DB6">
                  <w:pPr>
                    <w:pStyle w:val="TableBodyText"/>
                  </w:pPr>
                </w:p>
              </w:tc>
              <w:tc>
                <w:tcPr>
                  <w:tcW w:w="417" w:type="pct"/>
                  <w:shd w:val="clear" w:color="auto" w:fill="F2F2F2" w:themeFill="background1" w:themeFillShade="F2"/>
                  <w:vAlign w:val="center"/>
                </w:tcPr>
                <w:p w:rsidR="00CC4DB6" w:rsidRPr="00BC1144" w:rsidRDefault="00CC4DB6" w:rsidP="00CC4DB6">
                  <w:pPr>
                    <w:pStyle w:val="TableBodyText"/>
                    <w:ind w:right="28"/>
                  </w:pPr>
                </w:p>
              </w:tc>
              <w:tc>
                <w:tcPr>
                  <w:tcW w:w="417"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(0.216)</w:t>
                  </w:r>
                </w:p>
              </w:tc>
              <w:tc>
                <w:tcPr>
                  <w:tcW w:w="418"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(0.476)</w:t>
                  </w:r>
                </w:p>
              </w:tc>
              <w:tc>
                <w:tcPr>
                  <w:tcW w:w="418" w:type="pct"/>
                  <w:shd w:val="clear" w:color="auto" w:fill="F2F2F2" w:themeFill="background1" w:themeFillShade="F2"/>
                  <w:vAlign w:val="center"/>
                </w:tcPr>
                <w:p w:rsidR="00CC4DB6" w:rsidRPr="00BC1144" w:rsidRDefault="00CC4DB6" w:rsidP="00CC4DB6">
                  <w:pPr>
                    <w:pStyle w:val="TableBodyText"/>
                    <w:ind w:right="28"/>
                  </w:pPr>
                </w:p>
              </w:tc>
              <w:tc>
                <w:tcPr>
                  <w:tcW w:w="416" w:type="pct"/>
                  <w:shd w:val="clear" w:color="auto" w:fill="F2F2F2" w:themeFill="background1" w:themeFillShade="F2"/>
                  <w:vAlign w:val="center"/>
                </w:tcPr>
                <w:p w:rsidR="00CC4DB6" w:rsidRPr="00BC1144" w:rsidRDefault="00CC4DB6" w:rsidP="00CC4DB6">
                  <w:pPr>
                    <w:pStyle w:val="TableBodyText"/>
                    <w:ind w:right="28"/>
                  </w:pPr>
                  <w:r w:rsidRPr="00BC1144">
                    <w:t>(0.525)</w:t>
                  </w:r>
                </w:p>
              </w:tc>
              <w:tc>
                <w:tcPr>
                  <w:tcW w:w="411" w:type="pct"/>
                  <w:shd w:val="clear" w:color="auto" w:fill="F2F2F2" w:themeFill="background1" w:themeFillShade="F2"/>
                  <w:vAlign w:val="center"/>
                </w:tcPr>
                <w:p w:rsidR="00CC4DB6" w:rsidRPr="00BC1144" w:rsidRDefault="00CC4DB6" w:rsidP="00CC4DB6">
                  <w:pPr>
                    <w:pStyle w:val="TableBodyText"/>
                    <w:ind w:right="28"/>
                  </w:pPr>
                </w:p>
              </w:tc>
            </w:tr>
            <w:tr w:rsidR="00CC4DB6" w:rsidRPr="00BC1144" w:rsidTr="00336FA0">
              <w:trPr>
                <w:trHeight w:val="329"/>
              </w:trPr>
              <w:tc>
                <w:tcPr>
                  <w:tcW w:w="736" w:type="pct"/>
                  <w:shd w:val="clear" w:color="auto" w:fill="auto"/>
                  <w:vAlign w:val="center"/>
                </w:tcPr>
                <w:p w:rsidR="00CC4DB6" w:rsidRPr="00BC1144" w:rsidRDefault="00CC4DB6" w:rsidP="00CC4DB6">
                  <w:pPr>
                    <w:pStyle w:val="TableBodyText"/>
                    <w:jc w:val="left"/>
                  </w:pPr>
                  <w:r w:rsidRPr="00BC1144">
                    <w:t>ATAR missing dummy: Missing</w:t>
                  </w:r>
                </w:p>
              </w:tc>
              <w:tc>
                <w:tcPr>
                  <w:tcW w:w="467" w:type="pct"/>
                  <w:shd w:val="clear" w:color="auto" w:fill="auto"/>
                  <w:vAlign w:val="center"/>
                </w:tcPr>
                <w:p w:rsidR="00CC4DB6" w:rsidRPr="00BC1144" w:rsidRDefault="00CC4DB6" w:rsidP="00CC4DB6">
                  <w:pPr>
                    <w:pStyle w:val="TableBodyText"/>
                  </w:pPr>
                  <w:r w:rsidRPr="00BC1144">
                    <w:t>-2.126</w:t>
                  </w:r>
                  <w:r w:rsidRPr="00BC1144">
                    <w:rPr>
                      <w:vertAlign w:val="superscript"/>
                    </w:rPr>
                    <w:t>***</w:t>
                  </w:r>
                </w:p>
              </w:tc>
              <w:tc>
                <w:tcPr>
                  <w:tcW w:w="468" w:type="pct"/>
                  <w:shd w:val="clear" w:color="auto" w:fill="auto"/>
                  <w:vAlign w:val="center"/>
                </w:tcPr>
                <w:p w:rsidR="00CC4DB6" w:rsidRPr="00BC1144" w:rsidRDefault="00CC4DB6" w:rsidP="00CC4DB6">
                  <w:pPr>
                    <w:pStyle w:val="TableBodyText"/>
                  </w:pPr>
                  <w:r w:rsidRPr="00BC1144">
                    <w:t>-2.316</w:t>
                  </w:r>
                  <w:r w:rsidRPr="00BC1144">
                    <w:rPr>
                      <w:vertAlign w:val="superscript"/>
                    </w:rPr>
                    <w:t>***</w:t>
                  </w:r>
                </w:p>
              </w:tc>
              <w:tc>
                <w:tcPr>
                  <w:tcW w:w="417" w:type="pct"/>
                  <w:shd w:val="clear" w:color="auto" w:fill="auto"/>
                  <w:vAlign w:val="center"/>
                </w:tcPr>
                <w:p w:rsidR="00CC4DB6" w:rsidRPr="00BC1144" w:rsidRDefault="00CC4DB6" w:rsidP="00CC4DB6">
                  <w:pPr>
                    <w:pStyle w:val="TableBodyText"/>
                    <w:ind w:right="28"/>
                  </w:pPr>
                  <w:r w:rsidRPr="00BC1144">
                    <w:t>-2.330</w:t>
                  </w:r>
                </w:p>
              </w:tc>
              <w:tc>
                <w:tcPr>
                  <w:tcW w:w="417" w:type="pct"/>
                  <w:shd w:val="clear" w:color="auto" w:fill="auto"/>
                  <w:vAlign w:val="center"/>
                </w:tcPr>
                <w:p w:rsidR="00CC4DB6" w:rsidRPr="00BC1144" w:rsidRDefault="00CC4DB6" w:rsidP="00CC4DB6">
                  <w:pPr>
                    <w:pStyle w:val="TableBodyText"/>
                    <w:ind w:right="28"/>
                  </w:pPr>
                  <w:r w:rsidRPr="00BC1144">
                    <w:t>-2.698</w:t>
                  </w:r>
                </w:p>
              </w:tc>
              <w:tc>
                <w:tcPr>
                  <w:tcW w:w="416" w:type="pct"/>
                  <w:shd w:val="clear" w:color="auto" w:fill="auto"/>
                  <w:vAlign w:val="center"/>
                </w:tcPr>
                <w:p w:rsidR="00CC4DB6" w:rsidRPr="00BC1144" w:rsidRDefault="00CC4DB6" w:rsidP="00CC4DB6">
                  <w:pPr>
                    <w:pStyle w:val="TableBodyText"/>
                    <w:ind w:right="28"/>
                  </w:pPr>
                  <w:r w:rsidRPr="00BC1144">
                    <w:t>-0.765</w:t>
                  </w:r>
                </w:p>
              </w:tc>
              <w:tc>
                <w:tcPr>
                  <w:tcW w:w="418" w:type="pct"/>
                  <w:shd w:val="clear" w:color="auto" w:fill="auto"/>
                  <w:vAlign w:val="center"/>
                </w:tcPr>
                <w:p w:rsidR="00CC4DB6" w:rsidRPr="00BC1144" w:rsidRDefault="00CC4DB6" w:rsidP="00CC4DB6">
                  <w:pPr>
                    <w:pStyle w:val="TableBodyText"/>
                    <w:ind w:right="28"/>
                  </w:pPr>
                  <w:r w:rsidRPr="00BC1144">
                    <w:t>-3.864</w:t>
                  </w:r>
                  <w:r w:rsidRPr="00BC1144">
                    <w:rPr>
                      <w:vertAlign w:val="superscript"/>
                    </w:rPr>
                    <w:t>***</w:t>
                  </w:r>
                </w:p>
              </w:tc>
              <w:tc>
                <w:tcPr>
                  <w:tcW w:w="416" w:type="pct"/>
                  <w:shd w:val="clear" w:color="auto" w:fill="auto"/>
                  <w:vAlign w:val="center"/>
                </w:tcPr>
                <w:p w:rsidR="00CC4DB6" w:rsidRPr="00BC1144" w:rsidRDefault="00CC4DB6" w:rsidP="00CC4DB6">
                  <w:pPr>
                    <w:pStyle w:val="TableBodyText"/>
                    <w:ind w:right="28"/>
                  </w:pPr>
                  <w:r w:rsidRPr="00BC1144">
                    <w:t>-0.552</w:t>
                  </w:r>
                </w:p>
              </w:tc>
              <w:tc>
                <w:tcPr>
                  <w:tcW w:w="418" w:type="pct"/>
                  <w:shd w:val="clear" w:color="auto" w:fill="auto"/>
                  <w:vAlign w:val="center"/>
                </w:tcPr>
                <w:p w:rsidR="00CC4DB6" w:rsidRPr="00BC1144" w:rsidRDefault="00CC4DB6" w:rsidP="00CC4DB6">
                  <w:pPr>
                    <w:pStyle w:val="TableBodyText"/>
                    <w:ind w:right="28"/>
                  </w:pPr>
                  <w:r w:rsidRPr="00BC1144">
                    <w:t>-4.506</w:t>
                  </w:r>
                  <w:r w:rsidRPr="00BC1144">
                    <w:rPr>
                      <w:vertAlign w:val="superscript"/>
                    </w:rPr>
                    <w:t>**</w:t>
                  </w:r>
                </w:p>
              </w:tc>
              <w:tc>
                <w:tcPr>
                  <w:tcW w:w="416" w:type="pct"/>
                  <w:shd w:val="clear" w:color="auto" w:fill="auto"/>
                  <w:vAlign w:val="center"/>
                </w:tcPr>
                <w:p w:rsidR="00CC4DB6" w:rsidRPr="00BC1144" w:rsidRDefault="00CC4DB6" w:rsidP="00CC4DB6">
                  <w:pPr>
                    <w:pStyle w:val="TableBodyText"/>
                    <w:ind w:right="28"/>
                  </w:pPr>
                  <w:r w:rsidRPr="00BC1144">
                    <w:t>-2.061</w:t>
                  </w:r>
                </w:p>
              </w:tc>
              <w:tc>
                <w:tcPr>
                  <w:tcW w:w="411" w:type="pct"/>
                  <w:shd w:val="clear" w:color="auto" w:fill="auto"/>
                  <w:vAlign w:val="center"/>
                </w:tcPr>
                <w:p w:rsidR="00CC4DB6" w:rsidRPr="00BC1144" w:rsidRDefault="00CC4DB6" w:rsidP="00CC4DB6">
                  <w:pPr>
                    <w:pStyle w:val="TableBodyText"/>
                    <w:ind w:right="28"/>
                  </w:pPr>
                  <w:r w:rsidRPr="00BC1144">
                    <w:t>-5.102</w:t>
                  </w:r>
                  <w:r w:rsidRPr="00BC1144">
                    <w:rPr>
                      <w:vertAlign w:val="superscript"/>
                    </w:rPr>
                    <w:t>***</w:t>
                  </w:r>
                </w:p>
              </w:tc>
            </w:tr>
            <w:tr w:rsidR="00CC4DB6" w:rsidRPr="00BC1144" w:rsidTr="00E349EB">
              <w:trPr>
                <w:trHeight w:val="329"/>
              </w:trPr>
              <w:tc>
                <w:tcPr>
                  <w:tcW w:w="736" w:type="pct"/>
                  <w:shd w:val="clear" w:color="auto" w:fill="auto"/>
                  <w:vAlign w:val="center"/>
                </w:tcPr>
                <w:p w:rsidR="00CC4DB6" w:rsidRPr="00BC1144" w:rsidRDefault="00CC4DB6" w:rsidP="00CC4DB6">
                  <w:pPr>
                    <w:pStyle w:val="TableBodyText"/>
                    <w:jc w:val="left"/>
                  </w:pPr>
                </w:p>
              </w:tc>
              <w:tc>
                <w:tcPr>
                  <w:tcW w:w="467" w:type="pct"/>
                  <w:shd w:val="clear" w:color="auto" w:fill="auto"/>
                  <w:vAlign w:val="center"/>
                </w:tcPr>
                <w:p w:rsidR="00CC4DB6" w:rsidRPr="00BC1144" w:rsidRDefault="00CC4DB6" w:rsidP="00CC4DB6">
                  <w:pPr>
                    <w:pStyle w:val="TableBodyText"/>
                  </w:pPr>
                  <w:r w:rsidRPr="00BC1144">
                    <w:t>(0.691)</w:t>
                  </w:r>
                </w:p>
              </w:tc>
              <w:tc>
                <w:tcPr>
                  <w:tcW w:w="468" w:type="pct"/>
                  <w:shd w:val="clear" w:color="auto" w:fill="auto"/>
                  <w:vAlign w:val="center"/>
                </w:tcPr>
                <w:p w:rsidR="00CC4DB6" w:rsidRPr="00BC1144" w:rsidRDefault="00CC4DB6" w:rsidP="00CC4DB6">
                  <w:pPr>
                    <w:pStyle w:val="TableBodyText"/>
                  </w:pPr>
                  <w:r w:rsidRPr="00BC1144">
                    <w:t>(0.607)</w:t>
                  </w:r>
                </w:p>
              </w:tc>
              <w:tc>
                <w:tcPr>
                  <w:tcW w:w="417" w:type="pct"/>
                  <w:shd w:val="clear" w:color="auto" w:fill="auto"/>
                  <w:vAlign w:val="center"/>
                </w:tcPr>
                <w:p w:rsidR="00CC4DB6" w:rsidRPr="00BC1144" w:rsidRDefault="00CC4DB6" w:rsidP="00CC4DB6">
                  <w:pPr>
                    <w:pStyle w:val="TableBodyText"/>
                    <w:ind w:right="28"/>
                  </w:pPr>
                  <w:r w:rsidRPr="00BC1144">
                    <w:t>(3.445)</w:t>
                  </w:r>
                </w:p>
              </w:tc>
              <w:tc>
                <w:tcPr>
                  <w:tcW w:w="417" w:type="pct"/>
                  <w:shd w:val="clear" w:color="auto" w:fill="auto"/>
                  <w:vAlign w:val="center"/>
                </w:tcPr>
                <w:p w:rsidR="00CC4DB6" w:rsidRPr="00BC1144" w:rsidRDefault="00CC4DB6" w:rsidP="00CC4DB6">
                  <w:pPr>
                    <w:pStyle w:val="TableBodyText"/>
                    <w:ind w:right="28"/>
                  </w:pPr>
                  <w:r w:rsidRPr="00BC1144">
                    <w:t>(6.667)</w:t>
                  </w:r>
                </w:p>
              </w:tc>
              <w:tc>
                <w:tcPr>
                  <w:tcW w:w="416" w:type="pct"/>
                  <w:shd w:val="clear" w:color="auto" w:fill="auto"/>
                  <w:vAlign w:val="center"/>
                </w:tcPr>
                <w:p w:rsidR="00CC4DB6" w:rsidRPr="00BC1144" w:rsidRDefault="00CC4DB6" w:rsidP="00CC4DB6">
                  <w:pPr>
                    <w:pStyle w:val="TableBodyText"/>
                    <w:ind w:right="28"/>
                  </w:pPr>
                  <w:r w:rsidRPr="00BC1144">
                    <w:t>(0.787)</w:t>
                  </w:r>
                </w:p>
              </w:tc>
              <w:tc>
                <w:tcPr>
                  <w:tcW w:w="418" w:type="pct"/>
                  <w:shd w:val="clear" w:color="auto" w:fill="auto"/>
                  <w:vAlign w:val="center"/>
                </w:tcPr>
                <w:p w:rsidR="00CC4DB6" w:rsidRPr="00BC1144" w:rsidRDefault="00CC4DB6" w:rsidP="00CC4DB6">
                  <w:pPr>
                    <w:pStyle w:val="TableBodyText"/>
                    <w:ind w:right="28"/>
                  </w:pPr>
                  <w:r w:rsidRPr="00BC1144">
                    <w:t>(0.838)</w:t>
                  </w:r>
                </w:p>
              </w:tc>
              <w:tc>
                <w:tcPr>
                  <w:tcW w:w="416" w:type="pct"/>
                  <w:shd w:val="clear" w:color="auto" w:fill="auto"/>
                  <w:vAlign w:val="center"/>
                </w:tcPr>
                <w:p w:rsidR="00CC4DB6" w:rsidRPr="00BC1144" w:rsidRDefault="00CC4DB6" w:rsidP="00CC4DB6">
                  <w:pPr>
                    <w:pStyle w:val="TableBodyText"/>
                    <w:ind w:right="28"/>
                  </w:pPr>
                  <w:r w:rsidRPr="00BC1144">
                    <w:t>(2.583)</w:t>
                  </w:r>
                </w:p>
              </w:tc>
              <w:tc>
                <w:tcPr>
                  <w:tcW w:w="418" w:type="pct"/>
                  <w:shd w:val="clear" w:color="auto" w:fill="auto"/>
                  <w:vAlign w:val="center"/>
                </w:tcPr>
                <w:p w:rsidR="00CC4DB6" w:rsidRPr="00BC1144" w:rsidRDefault="00CC4DB6" w:rsidP="00CC4DB6">
                  <w:pPr>
                    <w:pStyle w:val="TableBodyText"/>
                    <w:ind w:right="28"/>
                  </w:pPr>
                  <w:r w:rsidRPr="00BC1144">
                    <w:t>(2.016)</w:t>
                  </w:r>
                </w:p>
              </w:tc>
              <w:tc>
                <w:tcPr>
                  <w:tcW w:w="416" w:type="pct"/>
                  <w:shd w:val="clear" w:color="auto" w:fill="auto"/>
                  <w:vAlign w:val="center"/>
                </w:tcPr>
                <w:p w:rsidR="00CC4DB6" w:rsidRPr="00BC1144" w:rsidRDefault="00CC4DB6" w:rsidP="00CC4DB6">
                  <w:pPr>
                    <w:pStyle w:val="TableBodyText"/>
                    <w:ind w:right="28"/>
                  </w:pPr>
                  <w:r w:rsidRPr="00BC1144">
                    <w:t>(1.467)</w:t>
                  </w:r>
                </w:p>
              </w:tc>
              <w:tc>
                <w:tcPr>
                  <w:tcW w:w="411" w:type="pct"/>
                  <w:shd w:val="clear" w:color="auto" w:fill="auto"/>
                  <w:vAlign w:val="center"/>
                </w:tcPr>
                <w:p w:rsidR="00CC4DB6" w:rsidRPr="00BC1144" w:rsidRDefault="00CC4DB6" w:rsidP="00CC4DB6">
                  <w:pPr>
                    <w:pStyle w:val="TableBodyText"/>
                    <w:ind w:right="28"/>
                  </w:pPr>
                  <w:r w:rsidRPr="00BC1144">
                    <w:t>(1.079)</w:t>
                  </w:r>
                </w:p>
              </w:tc>
            </w:tr>
            <w:tr w:rsidR="00CC4DB6" w:rsidRPr="00BC1144" w:rsidTr="00E349EB">
              <w:trPr>
                <w:trHeight w:val="329"/>
              </w:trPr>
              <w:tc>
                <w:tcPr>
                  <w:tcW w:w="736"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jc w:val="left"/>
                  </w:pPr>
                  <w:r w:rsidRPr="00BC1144">
                    <w:t>Observations</w:t>
                  </w:r>
                </w:p>
              </w:tc>
              <w:tc>
                <w:tcPr>
                  <w:tcW w:w="467"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pPr>
                  <w:r w:rsidRPr="00BC1144">
                    <w:t>3,551</w:t>
                  </w:r>
                </w:p>
              </w:tc>
              <w:tc>
                <w:tcPr>
                  <w:tcW w:w="468"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pPr>
                  <w:r w:rsidRPr="00BC1144">
                    <w:t>3,537</w:t>
                  </w:r>
                </w:p>
              </w:tc>
              <w:tc>
                <w:tcPr>
                  <w:tcW w:w="417"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1,272</w:t>
                  </w:r>
                </w:p>
              </w:tc>
              <w:tc>
                <w:tcPr>
                  <w:tcW w:w="417"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1,271</w:t>
                  </w:r>
                </w:p>
              </w:tc>
              <w:tc>
                <w:tcPr>
                  <w:tcW w:w="416"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4,354</w:t>
                  </w:r>
                </w:p>
              </w:tc>
              <w:tc>
                <w:tcPr>
                  <w:tcW w:w="418"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4,351</w:t>
                  </w:r>
                </w:p>
              </w:tc>
              <w:tc>
                <w:tcPr>
                  <w:tcW w:w="416"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3,788</w:t>
                  </w:r>
                </w:p>
              </w:tc>
              <w:tc>
                <w:tcPr>
                  <w:tcW w:w="418"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3,846</w:t>
                  </w:r>
                </w:p>
              </w:tc>
              <w:tc>
                <w:tcPr>
                  <w:tcW w:w="416"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3,620</w:t>
                  </w:r>
                </w:p>
              </w:tc>
              <w:tc>
                <w:tcPr>
                  <w:tcW w:w="411" w:type="pct"/>
                  <w:tcBorders>
                    <w:bottom w:val="single" w:sz="4" w:space="0" w:color="BFBFBF"/>
                  </w:tcBorders>
                  <w:shd w:val="clear" w:color="auto" w:fill="F2F2F2" w:themeFill="background1" w:themeFillShade="F2"/>
                  <w:vAlign w:val="center"/>
                </w:tcPr>
                <w:p w:rsidR="00CC4DB6" w:rsidRPr="00BC1144" w:rsidRDefault="00CC4DB6" w:rsidP="00CC4DB6">
                  <w:pPr>
                    <w:pStyle w:val="TableBodyText"/>
                    <w:ind w:right="28"/>
                  </w:pPr>
                  <w:r w:rsidRPr="00BC1144">
                    <w:t>3,616</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 **, * indicate significant at 1%, 5% and 10% respectively, standard errors are in parentheses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jc w:val="left"/>
            </w:pPr>
            <w:r w:rsidRPr="00BC1144">
              <w:rPr>
                <w:i/>
              </w:rPr>
              <w:t xml:space="preserve">Source: </w:t>
            </w:r>
            <w:r w:rsidRPr="00BC1144">
              <w:t>Productivity Commission estimates based on LSAY</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E349EB">
      <w:pPr>
        <w:pStyle w:val="BodyText"/>
      </w:pPr>
      <w:r w:rsidRPr="00BC1144">
        <w:br w:type="page"/>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E349EB">
            <w:pPr>
              <w:pStyle w:val="TableTitle"/>
            </w:pPr>
            <w:r w:rsidRPr="00BC1144">
              <w:rPr>
                <w:b w:val="0"/>
              </w:rPr>
              <w:lastRenderedPageBreak/>
              <w:t>Table B.16</w:t>
            </w:r>
            <w:r w:rsidRPr="00BC1144">
              <w:tab/>
              <w:t>Regression results: Attendance at any university by age 22 years</w:t>
            </w:r>
            <w:r w:rsidRPr="00BC1144">
              <w:rPr>
                <w:rStyle w:val="NoteLabel"/>
                <w:b/>
              </w:rPr>
              <w:t>a</w:t>
            </w:r>
          </w:p>
        </w:tc>
      </w:tr>
      <w:tr w:rsidR="006E391F" w:rsidRPr="00BC1144" w:rsidTr="00336FA0">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1253"/>
              <w:gridCol w:w="795"/>
              <w:gridCol w:w="796"/>
              <w:gridCol w:w="709"/>
              <w:gridCol w:w="709"/>
              <w:gridCol w:w="708"/>
              <w:gridCol w:w="711"/>
              <w:gridCol w:w="708"/>
              <w:gridCol w:w="711"/>
              <w:gridCol w:w="708"/>
              <w:gridCol w:w="699"/>
            </w:tblGrid>
            <w:tr w:rsidR="006E391F" w:rsidRPr="00BC1144" w:rsidTr="00336FA0">
              <w:trPr>
                <w:tblHeader/>
              </w:trPr>
              <w:tc>
                <w:tcPr>
                  <w:tcW w:w="73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p>
              </w:tc>
              <w:tc>
                <w:tcPr>
                  <w:tcW w:w="935" w:type="pct"/>
                  <w:gridSpan w:val="2"/>
                  <w:tcBorders>
                    <w:top w:val="single" w:sz="6" w:space="0" w:color="BFBFBF"/>
                    <w:bottom w:val="single" w:sz="6" w:space="0" w:color="BFBFBF"/>
                  </w:tcBorders>
                </w:tcPr>
                <w:p w:rsidR="006E391F" w:rsidRPr="00BC1144" w:rsidRDefault="006E391F" w:rsidP="00336FA0">
                  <w:pPr>
                    <w:pStyle w:val="TableColumnHeading"/>
                  </w:pPr>
                  <w:r w:rsidRPr="00BC1144">
                    <w:t>2003</w:t>
                  </w:r>
                </w:p>
              </w:tc>
              <w:tc>
                <w:tcPr>
                  <w:tcW w:w="833" w:type="pct"/>
                  <w:gridSpan w:val="2"/>
                  <w:tcBorders>
                    <w:top w:val="single" w:sz="6" w:space="0" w:color="BFBFBF"/>
                    <w:bottom w:val="single" w:sz="6" w:space="0" w:color="BFBFBF"/>
                  </w:tcBorders>
                </w:tcPr>
                <w:p w:rsidR="006E391F" w:rsidRPr="00BC1144" w:rsidRDefault="006E391F" w:rsidP="00336FA0">
                  <w:pPr>
                    <w:pStyle w:val="TableColumnHeading"/>
                  </w:pPr>
                  <w:r w:rsidRPr="00BC1144">
                    <w:t>2006</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2010</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2013</w:t>
                  </w:r>
                </w:p>
              </w:tc>
              <w:tc>
                <w:tcPr>
                  <w:tcW w:w="828" w:type="pct"/>
                  <w:gridSpan w:val="2"/>
                  <w:tcBorders>
                    <w:top w:val="single" w:sz="6" w:space="0" w:color="BFBFBF"/>
                    <w:bottom w:val="single" w:sz="6" w:space="0" w:color="BFBFBF"/>
                  </w:tcBorders>
                </w:tcPr>
                <w:p w:rsidR="006E391F" w:rsidRPr="00BC1144" w:rsidRDefault="006E391F" w:rsidP="00336FA0">
                  <w:pPr>
                    <w:pStyle w:val="TableColumnHeading"/>
                    <w:ind w:right="28"/>
                  </w:pPr>
                  <w:r w:rsidRPr="00BC1144">
                    <w:t>2016</w:t>
                  </w:r>
                </w:p>
              </w:tc>
            </w:tr>
            <w:tr w:rsidR="006E391F" w:rsidRPr="00BC1144" w:rsidTr="00336FA0">
              <w:trPr>
                <w:trHeight w:val="329"/>
              </w:trPr>
              <w:tc>
                <w:tcPr>
                  <w:tcW w:w="736" w:type="pct"/>
                  <w:tcBorders>
                    <w:top w:val="single" w:sz="6" w:space="0" w:color="BFBFBF"/>
                  </w:tcBorders>
                </w:tcPr>
                <w:p w:rsidR="006E391F" w:rsidRPr="00BC1144" w:rsidRDefault="006E391F" w:rsidP="00336FA0">
                  <w:pPr>
                    <w:pStyle w:val="TableUnitsRow"/>
                    <w:jc w:val="left"/>
                  </w:pPr>
                </w:p>
              </w:tc>
              <w:tc>
                <w:tcPr>
                  <w:tcW w:w="467" w:type="pct"/>
                  <w:tcBorders>
                    <w:top w:val="single" w:sz="6" w:space="0" w:color="BFBFBF"/>
                  </w:tcBorders>
                  <w:vAlign w:val="center"/>
                </w:tcPr>
                <w:p w:rsidR="006E391F" w:rsidRPr="00BC1144" w:rsidRDefault="006E391F" w:rsidP="00336FA0">
                  <w:pPr>
                    <w:pStyle w:val="TableUnitsRow"/>
                  </w:pPr>
                  <w:r w:rsidRPr="00BC1144">
                    <w:t>(i)</w:t>
                  </w:r>
                </w:p>
              </w:tc>
              <w:tc>
                <w:tcPr>
                  <w:tcW w:w="468" w:type="pct"/>
                  <w:tcBorders>
                    <w:top w:val="single" w:sz="6" w:space="0" w:color="BFBFBF"/>
                  </w:tcBorders>
                  <w:vAlign w:val="center"/>
                </w:tcPr>
                <w:p w:rsidR="006E391F" w:rsidRPr="00BC1144" w:rsidRDefault="006E391F" w:rsidP="00336FA0">
                  <w:pPr>
                    <w:pStyle w:val="TableUnitsRow"/>
                  </w:pPr>
                  <w:r w:rsidRPr="00BC1144">
                    <w:t>(ii)</w:t>
                  </w:r>
                </w:p>
              </w:tc>
              <w:tc>
                <w:tcPr>
                  <w:tcW w:w="417" w:type="pct"/>
                  <w:tcBorders>
                    <w:top w:val="single" w:sz="6" w:space="0" w:color="BFBFBF"/>
                  </w:tcBorders>
                  <w:vAlign w:val="center"/>
                </w:tcPr>
                <w:p w:rsidR="006E391F" w:rsidRPr="00BC1144" w:rsidRDefault="006E391F" w:rsidP="00336FA0">
                  <w:pPr>
                    <w:pStyle w:val="TableUnitsRow"/>
                    <w:ind w:right="28"/>
                  </w:pPr>
                  <w:r w:rsidRPr="00BC1144">
                    <w:t>(i)</w:t>
                  </w:r>
                </w:p>
              </w:tc>
              <w:tc>
                <w:tcPr>
                  <w:tcW w:w="417"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8"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8" w:type="pct"/>
                  <w:tcBorders>
                    <w:top w:val="single" w:sz="6" w:space="0" w:color="BFBFBF"/>
                  </w:tcBorders>
                  <w:vAlign w:val="center"/>
                </w:tcPr>
                <w:p w:rsidR="006E391F" w:rsidRPr="00BC1144" w:rsidRDefault="006E391F" w:rsidP="00336FA0">
                  <w:pPr>
                    <w:pStyle w:val="TableUnitsRow"/>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ind w:right="28"/>
                  </w:pPr>
                  <w:r w:rsidRPr="00BC1144">
                    <w:t>(i)</w:t>
                  </w:r>
                </w:p>
              </w:tc>
              <w:tc>
                <w:tcPr>
                  <w:tcW w:w="411" w:type="pct"/>
                  <w:tcBorders>
                    <w:top w:val="single" w:sz="6" w:space="0" w:color="BFBFBF"/>
                  </w:tcBorders>
                  <w:vAlign w:val="center"/>
                </w:tcPr>
                <w:p w:rsidR="006E391F" w:rsidRPr="00BC1144" w:rsidRDefault="006E391F" w:rsidP="00336FA0">
                  <w:pPr>
                    <w:pStyle w:val="TableUnitsRow"/>
                    <w:ind w:right="28"/>
                  </w:pPr>
                  <w:r w:rsidRPr="00BC1144">
                    <w:t>(ii)</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Gender: Female</w:t>
                  </w:r>
                </w:p>
              </w:tc>
              <w:tc>
                <w:tcPr>
                  <w:tcW w:w="467" w:type="pct"/>
                  <w:shd w:val="clear" w:color="auto" w:fill="F2F2F2" w:themeFill="background1" w:themeFillShade="F2"/>
                  <w:vAlign w:val="center"/>
                </w:tcPr>
                <w:p w:rsidR="006E391F" w:rsidRPr="00BC1144" w:rsidRDefault="006E391F" w:rsidP="00336FA0">
                  <w:pPr>
                    <w:pStyle w:val="TableBodyText"/>
                  </w:pPr>
                  <w:r w:rsidRPr="00BC1144">
                    <w:t>0.275</w:t>
                  </w:r>
                  <w:r w:rsidRPr="00BC1144">
                    <w:rPr>
                      <w:vertAlign w:val="superscript"/>
                    </w:rPr>
                    <w:t>***</w:t>
                  </w:r>
                </w:p>
              </w:tc>
              <w:tc>
                <w:tcPr>
                  <w:tcW w:w="468" w:type="pct"/>
                  <w:shd w:val="clear" w:color="auto" w:fill="F2F2F2" w:themeFill="background1" w:themeFillShade="F2"/>
                  <w:vAlign w:val="center"/>
                </w:tcPr>
                <w:p w:rsidR="006E391F" w:rsidRPr="00BC1144" w:rsidRDefault="006E391F" w:rsidP="00336FA0">
                  <w:pPr>
                    <w:pStyle w:val="TableBodyText"/>
                  </w:pPr>
                  <w:r w:rsidRPr="00BC1144">
                    <w:t>0.286</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0.599</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0.603</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0.319</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0.384</w:t>
                  </w:r>
                  <w:r w:rsidRPr="00BC1144">
                    <w:rPr>
                      <w:vertAlign w:val="superscript"/>
                    </w:rPr>
                    <w:t>***</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0.296</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0.382</w:t>
                  </w:r>
                  <w:r w:rsidRPr="00BC1144">
                    <w:rPr>
                      <w:vertAlign w:val="superscript"/>
                    </w:rPr>
                    <w:t>***</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0.325</w:t>
                  </w:r>
                </w:p>
              </w:tc>
              <w:tc>
                <w:tcPr>
                  <w:tcW w:w="411" w:type="pct"/>
                  <w:shd w:val="clear" w:color="auto" w:fill="F2F2F2" w:themeFill="background1" w:themeFillShade="F2"/>
                  <w:vAlign w:val="center"/>
                </w:tcPr>
                <w:p w:rsidR="006E391F" w:rsidRPr="00BC1144" w:rsidRDefault="006E391F" w:rsidP="00336FA0">
                  <w:pPr>
                    <w:pStyle w:val="TableBodyText"/>
                    <w:ind w:right="28"/>
                  </w:pPr>
                  <w:r w:rsidRPr="00BC1144">
                    <w:t>0.429</w:t>
                  </w:r>
                  <w:r w:rsidRPr="00BC1144">
                    <w:rPr>
                      <w:vertAlign w:val="superscript"/>
                    </w:rPr>
                    <w:t>**</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(0.091)</w:t>
                  </w:r>
                </w:p>
              </w:tc>
              <w:tc>
                <w:tcPr>
                  <w:tcW w:w="468" w:type="pct"/>
                  <w:shd w:val="clear" w:color="auto" w:fill="F2F2F2" w:themeFill="background1" w:themeFillShade="F2"/>
                  <w:vAlign w:val="center"/>
                </w:tcPr>
                <w:p w:rsidR="006E391F" w:rsidRPr="00BC1144" w:rsidRDefault="006E391F" w:rsidP="00336FA0">
                  <w:pPr>
                    <w:pStyle w:val="TableBodyText"/>
                  </w:pPr>
                  <w:r w:rsidRPr="00BC1144">
                    <w:t>(0.090)</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(0.477)</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(0.443)</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(0.095)</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(0.086)</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(0.151)</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(0.129)</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(0.259)</w:t>
                  </w:r>
                </w:p>
              </w:tc>
              <w:tc>
                <w:tcPr>
                  <w:tcW w:w="411" w:type="pct"/>
                  <w:shd w:val="clear" w:color="auto" w:fill="F2F2F2" w:themeFill="background1" w:themeFillShade="F2"/>
                  <w:vAlign w:val="center"/>
                </w:tcPr>
                <w:p w:rsidR="006E391F" w:rsidRPr="00BC1144" w:rsidRDefault="006E391F" w:rsidP="00336FA0">
                  <w:pPr>
                    <w:pStyle w:val="TableBodyText"/>
                    <w:ind w:right="28"/>
                  </w:pPr>
                  <w:r w:rsidRPr="00BC1144">
                    <w:t>(0.181)</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Indigenous</w:t>
                  </w:r>
                </w:p>
              </w:tc>
              <w:tc>
                <w:tcPr>
                  <w:tcW w:w="467" w:type="pct"/>
                  <w:shd w:val="clear" w:color="auto" w:fill="auto"/>
                  <w:vAlign w:val="center"/>
                </w:tcPr>
                <w:p w:rsidR="006E391F" w:rsidRPr="00BC1144" w:rsidRDefault="006E391F" w:rsidP="00336FA0">
                  <w:pPr>
                    <w:pStyle w:val="TableBodyText"/>
                  </w:pPr>
                  <w:r w:rsidRPr="00BC1144">
                    <w:t>0.370</w:t>
                  </w:r>
                </w:p>
              </w:tc>
              <w:tc>
                <w:tcPr>
                  <w:tcW w:w="468" w:type="pct"/>
                  <w:shd w:val="clear" w:color="auto" w:fill="auto"/>
                  <w:vAlign w:val="center"/>
                </w:tcPr>
                <w:p w:rsidR="006E391F" w:rsidRPr="00BC1144" w:rsidRDefault="006E391F" w:rsidP="00336FA0">
                  <w:pPr>
                    <w:pStyle w:val="TableBodyText"/>
                  </w:pPr>
                  <w:r w:rsidRPr="00BC1144">
                    <w:t>0.340</w:t>
                  </w:r>
                </w:p>
              </w:tc>
              <w:tc>
                <w:tcPr>
                  <w:tcW w:w="417" w:type="pct"/>
                  <w:shd w:val="clear" w:color="auto" w:fill="auto"/>
                  <w:vAlign w:val="center"/>
                </w:tcPr>
                <w:p w:rsidR="006E391F" w:rsidRPr="00BC1144" w:rsidRDefault="006E391F" w:rsidP="00336FA0">
                  <w:pPr>
                    <w:pStyle w:val="TableBodyText"/>
                    <w:ind w:right="28"/>
                  </w:pPr>
                  <w:r w:rsidRPr="00BC1144">
                    <w:t>0.445</w:t>
                  </w:r>
                </w:p>
              </w:tc>
              <w:tc>
                <w:tcPr>
                  <w:tcW w:w="417" w:type="pct"/>
                  <w:shd w:val="clear" w:color="auto" w:fill="auto"/>
                  <w:vAlign w:val="center"/>
                </w:tcPr>
                <w:p w:rsidR="006E391F" w:rsidRPr="00BC1144" w:rsidRDefault="006E391F" w:rsidP="00336FA0">
                  <w:pPr>
                    <w:pStyle w:val="TableBodyText"/>
                    <w:ind w:right="28"/>
                  </w:pPr>
                  <w:r w:rsidRPr="00BC1144">
                    <w:t>0.439</w:t>
                  </w:r>
                </w:p>
              </w:tc>
              <w:tc>
                <w:tcPr>
                  <w:tcW w:w="416" w:type="pct"/>
                  <w:shd w:val="clear" w:color="auto" w:fill="auto"/>
                  <w:vAlign w:val="center"/>
                </w:tcPr>
                <w:p w:rsidR="006E391F" w:rsidRPr="00BC1144" w:rsidRDefault="006E391F" w:rsidP="00336FA0">
                  <w:pPr>
                    <w:pStyle w:val="TableBodyText"/>
                    <w:ind w:right="28"/>
                  </w:pPr>
                  <w:r w:rsidRPr="00BC1144">
                    <w:t>-0.179</w:t>
                  </w:r>
                </w:p>
              </w:tc>
              <w:tc>
                <w:tcPr>
                  <w:tcW w:w="418" w:type="pct"/>
                  <w:shd w:val="clear" w:color="auto" w:fill="auto"/>
                  <w:vAlign w:val="center"/>
                </w:tcPr>
                <w:p w:rsidR="006E391F" w:rsidRPr="00BC1144" w:rsidRDefault="006E391F" w:rsidP="00336FA0">
                  <w:pPr>
                    <w:pStyle w:val="TableBodyText"/>
                    <w:ind w:right="28"/>
                  </w:pPr>
                  <w:r w:rsidRPr="00BC1144">
                    <w:t>-0.183</w:t>
                  </w:r>
                </w:p>
              </w:tc>
              <w:tc>
                <w:tcPr>
                  <w:tcW w:w="416" w:type="pct"/>
                  <w:shd w:val="clear" w:color="auto" w:fill="auto"/>
                  <w:vAlign w:val="center"/>
                </w:tcPr>
                <w:p w:rsidR="006E391F" w:rsidRPr="00BC1144" w:rsidRDefault="006E391F" w:rsidP="00336FA0">
                  <w:pPr>
                    <w:pStyle w:val="TableBodyText"/>
                    <w:ind w:right="28"/>
                  </w:pPr>
                  <w:r w:rsidRPr="00BC1144">
                    <w:t>-0.280</w:t>
                  </w:r>
                </w:p>
              </w:tc>
              <w:tc>
                <w:tcPr>
                  <w:tcW w:w="418" w:type="pct"/>
                  <w:shd w:val="clear" w:color="auto" w:fill="auto"/>
                  <w:vAlign w:val="center"/>
                </w:tcPr>
                <w:p w:rsidR="006E391F" w:rsidRPr="00BC1144" w:rsidRDefault="006E391F" w:rsidP="00336FA0">
                  <w:pPr>
                    <w:pStyle w:val="TableBodyText"/>
                    <w:ind w:right="28"/>
                  </w:pPr>
                  <w:r w:rsidRPr="00BC1144">
                    <w:t>-0.354</w:t>
                  </w:r>
                  <w:r w:rsidRPr="00BC1144">
                    <w:rPr>
                      <w:vertAlign w:val="superscript"/>
                    </w:rPr>
                    <w:t>*</w:t>
                  </w:r>
                </w:p>
              </w:tc>
              <w:tc>
                <w:tcPr>
                  <w:tcW w:w="416" w:type="pct"/>
                  <w:shd w:val="clear" w:color="auto" w:fill="auto"/>
                  <w:vAlign w:val="center"/>
                </w:tcPr>
                <w:p w:rsidR="006E391F" w:rsidRPr="00BC1144" w:rsidRDefault="006E391F" w:rsidP="00336FA0">
                  <w:pPr>
                    <w:pStyle w:val="TableBodyText"/>
                    <w:ind w:right="28"/>
                  </w:pPr>
                  <w:r w:rsidRPr="00BC1144">
                    <w:t>-0.439</w:t>
                  </w:r>
                </w:p>
              </w:tc>
              <w:tc>
                <w:tcPr>
                  <w:tcW w:w="411" w:type="pct"/>
                  <w:shd w:val="clear" w:color="auto" w:fill="auto"/>
                  <w:vAlign w:val="center"/>
                </w:tcPr>
                <w:p w:rsidR="006E391F" w:rsidRPr="00BC1144" w:rsidRDefault="006E391F" w:rsidP="00336FA0">
                  <w:pPr>
                    <w:pStyle w:val="TableBodyText"/>
                    <w:ind w:right="28"/>
                  </w:pPr>
                  <w:r w:rsidRPr="00BC1144">
                    <w:t>-0.488</w:t>
                  </w:r>
                  <w:r w:rsidRPr="00BC1144">
                    <w:rPr>
                      <w:vertAlign w:val="superscript"/>
                    </w:rPr>
                    <w:t>*</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r w:rsidRPr="00BC1144">
                    <w:t>(0.506)</w:t>
                  </w:r>
                </w:p>
              </w:tc>
              <w:tc>
                <w:tcPr>
                  <w:tcW w:w="468" w:type="pct"/>
                  <w:shd w:val="clear" w:color="auto" w:fill="auto"/>
                  <w:vAlign w:val="center"/>
                </w:tcPr>
                <w:p w:rsidR="006E391F" w:rsidRPr="00BC1144" w:rsidRDefault="006E391F" w:rsidP="00336FA0">
                  <w:pPr>
                    <w:pStyle w:val="TableBodyText"/>
                  </w:pPr>
                  <w:r w:rsidRPr="00BC1144">
                    <w:t>(0.437)</w:t>
                  </w:r>
                </w:p>
              </w:tc>
              <w:tc>
                <w:tcPr>
                  <w:tcW w:w="417" w:type="pct"/>
                  <w:shd w:val="clear" w:color="auto" w:fill="auto"/>
                  <w:vAlign w:val="center"/>
                </w:tcPr>
                <w:p w:rsidR="006E391F" w:rsidRPr="00BC1144" w:rsidRDefault="006E391F" w:rsidP="00336FA0">
                  <w:pPr>
                    <w:pStyle w:val="TableBodyText"/>
                    <w:ind w:right="28"/>
                  </w:pPr>
                  <w:r w:rsidRPr="00BC1144">
                    <w:t>(0.939)</w:t>
                  </w:r>
                </w:p>
              </w:tc>
              <w:tc>
                <w:tcPr>
                  <w:tcW w:w="417" w:type="pct"/>
                  <w:shd w:val="clear" w:color="auto" w:fill="auto"/>
                  <w:vAlign w:val="center"/>
                </w:tcPr>
                <w:p w:rsidR="006E391F" w:rsidRPr="00BC1144" w:rsidRDefault="006E391F" w:rsidP="00336FA0">
                  <w:pPr>
                    <w:pStyle w:val="TableBodyText"/>
                    <w:ind w:right="28"/>
                  </w:pPr>
                  <w:r w:rsidRPr="00BC1144">
                    <w:t>(1.083)</w:t>
                  </w:r>
                </w:p>
              </w:tc>
              <w:tc>
                <w:tcPr>
                  <w:tcW w:w="416" w:type="pct"/>
                  <w:shd w:val="clear" w:color="auto" w:fill="auto"/>
                  <w:vAlign w:val="center"/>
                </w:tcPr>
                <w:p w:rsidR="006E391F" w:rsidRPr="00BC1144" w:rsidRDefault="006E391F" w:rsidP="00336FA0">
                  <w:pPr>
                    <w:pStyle w:val="TableBodyText"/>
                    <w:ind w:right="28"/>
                  </w:pPr>
                  <w:r w:rsidRPr="00BC1144">
                    <w:t>(0.182)</w:t>
                  </w:r>
                </w:p>
              </w:tc>
              <w:tc>
                <w:tcPr>
                  <w:tcW w:w="418" w:type="pct"/>
                  <w:shd w:val="clear" w:color="auto" w:fill="auto"/>
                  <w:vAlign w:val="center"/>
                </w:tcPr>
                <w:p w:rsidR="006E391F" w:rsidRPr="00BC1144" w:rsidRDefault="006E391F" w:rsidP="00336FA0">
                  <w:pPr>
                    <w:pStyle w:val="TableBodyText"/>
                    <w:ind w:right="28"/>
                  </w:pPr>
                  <w:r w:rsidRPr="00BC1144">
                    <w:t>(0.173)</w:t>
                  </w:r>
                </w:p>
              </w:tc>
              <w:tc>
                <w:tcPr>
                  <w:tcW w:w="416" w:type="pct"/>
                  <w:shd w:val="clear" w:color="auto" w:fill="auto"/>
                  <w:vAlign w:val="center"/>
                </w:tcPr>
                <w:p w:rsidR="006E391F" w:rsidRPr="00BC1144" w:rsidRDefault="006E391F" w:rsidP="00336FA0">
                  <w:pPr>
                    <w:pStyle w:val="TableBodyText"/>
                    <w:ind w:right="28"/>
                  </w:pPr>
                  <w:r w:rsidRPr="00BC1144">
                    <w:t>(0.218)</w:t>
                  </w:r>
                </w:p>
              </w:tc>
              <w:tc>
                <w:tcPr>
                  <w:tcW w:w="418" w:type="pct"/>
                  <w:shd w:val="clear" w:color="auto" w:fill="auto"/>
                  <w:vAlign w:val="center"/>
                </w:tcPr>
                <w:p w:rsidR="006E391F" w:rsidRPr="00BC1144" w:rsidRDefault="006E391F" w:rsidP="00336FA0">
                  <w:pPr>
                    <w:pStyle w:val="TableBodyText"/>
                    <w:ind w:right="28"/>
                  </w:pPr>
                  <w:r w:rsidRPr="00BC1144">
                    <w:t>(0.187)</w:t>
                  </w:r>
                </w:p>
              </w:tc>
              <w:tc>
                <w:tcPr>
                  <w:tcW w:w="416" w:type="pct"/>
                  <w:shd w:val="clear" w:color="auto" w:fill="auto"/>
                  <w:vAlign w:val="center"/>
                </w:tcPr>
                <w:p w:rsidR="006E391F" w:rsidRPr="00BC1144" w:rsidRDefault="006E391F" w:rsidP="00336FA0">
                  <w:pPr>
                    <w:pStyle w:val="TableBodyText"/>
                    <w:ind w:right="28"/>
                  </w:pPr>
                  <w:r w:rsidRPr="00BC1144">
                    <w:t>(0.513)</w:t>
                  </w:r>
                </w:p>
              </w:tc>
              <w:tc>
                <w:tcPr>
                  <w:tcW w:w="411" w:type="pct"/>
                  <w:shd w:val="clear" w:color="auto" w:fill="auto"/>
                  <w:vAlign w:val="center"/>
                </w:tcPr>
                <w:p w:rsidR="006E391F" w:rsidRPr="00BC1144" w:rsidRDefault="006E391F" w:rsidP="00336FA0">
                  <w:pPr>
                    <w:pStyle w:val="TableBodyText"/>
                    <w:ind w:right="28"/>
                  </w:pPr>
                  <w:r w:rsidRPr="00BC1144">
                    <w:t>(0.269)</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Achievement</w:t>
                  </w:r>
                </w:p>
              </w:tc>
              <w:tc>
                <w:tcPr>
                  <w:tcW w:w="467" w:type="pct"/>
                  <w:shd w:val="clear" w:color="auto" w:fill="F2F2F2" w:themeFill="background1" w:themeFillShade="F2"/>
                  <w:vAlign w:val="center"/>
                </w:tcPr>
                <w:p w:rsidR="006E391F" w:rsidRPr="00BC1144" w:rsidRDefault="006E391F" w:rsidP="00336FA0">
                  <w:pPr>
                    <w:pStyle w:val="TableBodyText"/>
                  </w:pPr>
                  <w:r w:rsidRPr="00BC1144">
                    <w:t>0.142</w:t>
                  </w:r>
                  <w:r w:rsidRPr="00BC1144">
                    <w:rPr>
                      <w:vertAlign w:val="superscript"/>
                    </w:rPr>
                    <w:t>***</w:t>
                  </w:r>
                </w:p>
              </w:tc>
              <w:tc>
                <w:tcPr>
                  <w:tcW w:w="468" w:type="pct"/>
                  <w:shd w:val="clear" w:color="auto" w:fill="F2F2F2" w:themeFill="background1" w:themeFillShade="F2"/>
                  <w:vAlign w:val="center"/>
                </w:tcPr>
                <w:p w:rsidR="006E391F" w:rsidRPr="00BC1144" w:rsidRDefault="006E391F" w:rsidP="00336FA0">
                  <w:pPr>
                    <w:pStyle w:val="TableBodyText"/>
                  </w:pPr>
                  <w:r w:rsidRPr="00BC1144">
                    <w:t>0.138</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0.128</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0.126</w:t>
                  </w: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(0.022)</w:t>
                  </w:r>
                </w:p>
              </w:tc>
              <w:tc>
                <w:tcPr>
                  <w:tcW w:w="468" w:type="pct"/>
                  <w:shd w:val="clear" w:color="auto" w:fill="F2F2F2" w:themeFill="background1" w:themeFillShade="F2"/>
                  <w:vAlign w:val="center"/>
                </w:tcPr>
                <w:p w:rsidR="006E391F" w:rsidRPr="00BC1144" w:rsidRDefault="006E391F" w:rsidP="00336FA0">
                  <w:pPr>
                    <w:pStyle w:val="TableBodyText"/>
                  </w:pPr>
                  <w:r w:rsidRPr="00BC1144">
                    <w:t>(0.023)</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(0.075)</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(0.077)</w:t>
                  </w: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PISA</w:t>
                  </w: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0.003</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r w:rsidRPr="00BC1144">
                    <w:t>0.008</w:t>
                  </w:r>
                  <w:r w:rsidRPr="00BC1144">
                    <w:rPr>
                      <w:vertAlign w:val="superscript"/>
                    </w:rPr>
                    <w:t>***</w:t>
                  </w:r>
                </w:p>
              </w:tc>
              <w:tc>
                <w:tcPr>
                  <w:tcW w:w="416" w:type="pct"/>
                  <w:shd w:val="clear" w:color="auto" w:fill="auto"/>
                  <w:vAlign w:val="center"/>
                </w:tcPr>
                <w:p w:rsidR="006E391F" w:rsidRPr="00BC1144" w:rsidRDefault="006E391F" w:rsidP="00336FA0">
                  <w:pPr>
                    <w:pStyle w:val="TableBodyText"/>
                    <w:ind w:right="28"/>
                  </w:pPr>
                  <w:r w:rsidRPr="00BC1144">
                    <w:t>0.002</w:t>
                  </w:r>
                </w:p>
              </w:tc>
              <w:tc>
                <w:tcPr>
                  <w:tcW w:w="418" w:type="pct"/>
                  <w:shd w:val="clear" w:color="auto" w:fill="auto"/>
                  <w:vAlign w:val="center"/>
                </w:tcPr>
                <w:p w:rsidR="006E391F" w:rsidRPr="00BC1144" w:rsidRDefault="006E391F" w:rsidP="00336FA0">
                  <w:pPr>
                    <w:pStyle w:val="TableBodyText"/>
                    <w:ind w:right="28"/>
                  </w:pPr>
                  <w:r w:rsidRPr="00BC1144">
                    <w:t>0.008</w:t>
                  </w:r>
                  <w:r w:rsidRPr="00BC1144">
                    <w:rPr>
                      <w:vertAlign w:val="superscript"/>
                    </w:rPr>
                    <w:t>***</w:t>
                  </w:r>
                </w:p>
              </w:tc>
              <w:tc>
                <w:tcPr>
                  <w:tcW w:w="416" w:type="pct"/>
                  <w:shd w:val="clear" w:color="auto" w:fill="auto"/>
                  <w:vAlign w:val="center"/>
                </w:tcPr>
                <w:p w:rsidR="006E391F" w:rsidRPr="00BC1144" w:rsidRDefault="006E391F" w:rsidP="00336FA0">
                  <w:pPr>
                    <w:pStyle w:val="TableBodyText"/>
                    <w:ind w:right="28"/>
                  </w:pPr>
                  <w:r w:rsidRPr="00BC1144">
                    <w:t>0.003</w:t>
                  </w:r>
                </w:p>
              </w:tc>
              <w:tc>
                <w:tcPr>
                  <w:tcW w:w="411" w:type="pct"/>
                  <w:shd w:val="clear" w:color="auto" w:fill="auto"/>
                  <w:vAlign w:val="center"/>
                </w:tcPr>
                <w:p w:rsidR="006E391F" w:rsidRPr="00BC1144" w:rsidRDefault="006E391F" w:rsidP="00336FA0">
                  <w:pPr>
                    <w:pStyle w:val="TableBodyText"/>
                    <w:ind w:right="28"/>
                  </w:pPr>
                  <w:r w:rsidRPr="00BC1144">
                    <w:t>0.008</w:t>
                  </w:r>
                  <w:r w:rsidRPr="00BC1144">
                    <w:rPr>
                      <w:vertAlign w:val="superscript"/>
                    </w:rPr>
                    <w:t>***</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(0.001)</w:t>
                  </w:r>
                </w:p>
              </w:tc>
              <w:tc>
                <w:tcPr>
                  <w:tcW w:w="418" w:type="pct"/>
                  <w:shd w:val="clear" w:color="auto" w:fill="auto"/>
                  <w:vAlign w:val="center"/>
                </w:tcPr>
                <w:p w:rsidR="006E391F" w:rsidRPr="00BC1144" w:rsidRDefault="006E391F" w:rsidP="00336FA0">
                  <w:pPr>
                    <w:pStyle w:val="TableBodyText"/>
                    <w:ind w:right="28"/>
                  </w:pPr>
                  <w:r w:rsidRPr="00BC1144">
                    <w:t>(0.001)</w:t>
                  </w:r>
                </w:p>
              </w:tc>
              <w:tc>
                <w:tcPr>
                  <w:tcW w:w="416" w:type="pct"/>
                  <w:shd w:val="clear" w:color="auto" w:fill="auto"/>
                  <w:vAlign w:val="center"/>
                </w:tcPr>
                <w:p w:rsidR="006E391F" w:rsidRPr="00BC1144" w:rsidRDefault="006E391F" w:rsidP="00336FA0">
                  <w:pPr>
                    <w:pStyle w:val="TableBodyText"/>
                    <w:ind w:right="28"/>
                  </w:pPr>
                  <w:r w:rsidRPr="00BC1144">
                    <w:t>(0.002)</w:t>
                  </w:r>
                </w:p>
              </w:tc>
              <w:tc>
                <w:tcPr>
                  <w:tcW w:w="418" w:type="pct"/>
                  <w:shd w:val="clear" w:color="auto" w:fill="auto"/>
                  <w:vAlign w:val="center"/>
                </w:tcPr>
                <w:p w:rsidR="006E391F" w:rsidRPr="00BC1144" w:rsidRDefault="006E391F" w:rsidP="00336FA0">
                  <w:pPr>
                    <w:pStyle w:val="TableBodyText"/>
                    <w:ind w:right="28"/>
                  </w:pPr>
                  <w:r w:rsidRPr="00BC1144">
                    <w:t>(0.002)</w:t>
                  </w:r>
                </w:p>
              </w:tc>
              <w:tc>
                <w:tcPr>
                  <w:tcW w:w="416" w:type="pct"/>
                  <w:shd w:val="clear" w:color="auto" w:fill="auto"/>
                  <w:vAlign w:val="center"/>
                </w:tcPr>
                <w:p w:rsidR="006E391F" w:rsidRPr="00BC1144" w:rsidRDefault="006E391F" w:rsidP="00336FA0">
                  <w:pPr>
                    <w:pStyle w:val="TableBodyText"/>
                    <w:ind w:right="28"/>
                  </w:pPr>
                  <w:r w:rsidRPr="00BC1144">
                    <w:t>(0.003)</w:t>
                  </w:r>
                </w:p>
              </w:tc>
              <w:tc>
                <w:tcPr>
                  <w:tcW w:w="411" w:type="pct"/>
                  <w:shd w:val="clear" w:color="auto" w:fill="auto"/>
                  <w:vAlign w:val="center"/>
                </w:tcPr>
                <w:p w:rsidR="006E391F" w:rsidRPr="00BC1144" w:rsidRDefault="006E391F" w:rsidP="00336FA0">
                  <w:pPr>
                    <w:pStyle w:val="TableBodyText"/>
                    <w:ind w:right="28"/>
                  </w:pPr>
                  <w:r w:rsidRPr="00BC1144">
                    <w:t>(0.002)</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ATAR group imputed: 80-90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-0.297</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-0.321</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-0.136</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(0.119)</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(0.246)</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(0.261)</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ATAR group imputed: 70-80</w:t>
                  </w: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-0.636</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-0.504</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-0.332</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(0.124)</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(0.253)</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(0.251)</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ATAR group imputed: 60-70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-0.963</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-0.803</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-0.763</w:t>
                  </w:r>
                  <w:r w:rsidRPr="00BC1144">
                    <w:rPr>
                      <w:vertAlign w:val="superscript"/>
                    </w:rPr>
                    <w:t>**</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(0.139)</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(0.297)</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(0.316)</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ATAR group imputed: 50-60</w:t>
                  </w: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-1.299</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-1.135</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-0.953</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(0.160)</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(0.374)</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(0.730)</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ATAR group imputed: 0-50</w:t>
                  </w: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-1.622</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-1.643</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-1.174</w:t>
                  </w:r>
                  <w:r w:rsidRPr="00BC1144">
                    <w:rPr>
                      <w:vertAlign w:val="superscript"/>
                    </w:rPr>
                    <w:t>**</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p>
              </w:tc>
              <w:tc>
                <w:tcPr>
                  <w:tcW w:w="468" w:type="pct"/>
                  <w:shd w:val="clear" w:color="auto" w:fill="F2F2F2" w:themeFill="background1" w:themeFillShade="F2"/>
                  <w:vAlign w:val="center"/>
                </w:tcPr>
                <w:p w:rsidR="006E391F" w:rsidRPr="00BC1144" w:rsidRDefault="006E391F" w:rsidP="00336FA0">
                  <w:pPr>
                    <w:pStyle w:val="TableBodyText"/>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(0.224)</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(0.398)</w:t>
                  </w:r>
                </w:p>
              </w:tc>
              <w:tc>
                <w:tcPr>
                  <w:tcW w:w="418" w:type="pct"/>
                  <w:shd w:val="clear" w:color="auto" w:fill="F2F2F2" w:themeFill="background1" w:themeFillShade="F2"/>
                  <w:vAlign w:val="center"/>
                </w:tcPr>
                <w:p w:rsidR="006E391F" w:rsidRPr="00BC1144" w:rsidRDefault="006E391F" w:rsidP="00336FA0">
                  <w:pPr>
                    <w:pStyle w:val="TableBodyText"/>
                    <w:ind w:right="28"/>
                  </w:pP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(0.526)</w:t>
                  </w:r>
                </w:p>
              </w:tc>
              <w:tc>
                <w:tcPr>
                  <w:tcW w:w="411"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ATAR group imputed: No ATAR</w:t>
                  </w: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-2.386</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-2.330</w:t>
                  </w:r>
                  <w:r w:rsidRPr="00BC1144">
                    <w:rPr>
                      <w:vertAlign w:val="superscript"/>
                    </w:rPr>
                    <w:t>***</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-2.046</w:t>
                  </w:r>
                  <w:r w:rsidRPr="00BC1144">
                    <w:rPr>
                      <w:vertAlign w:val="superscript"/>
                    </w:rPr>
                    <w:t>***</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p>
              </w:tc>
              <w:tc>
                <w:tcPr>
                  <w:tcW w:w="468" w:type="pct"/>
                  <w:shd w:val="clear" w:color="auto" w:fill="auto"/>
                  <w:vAlign w:val="center"/>
                </w:tcPr>
                <w:p w:rsidR="006E391F" w:rsidRPr="00BC1144" w:rsidRDefault="006E391F" w:rsidP="00336FA0">
                  <w:pPr>
                    <w:pStyle w:val="TableBodyText"/>
                  </w:pPr>
                </w:p>
              </w:tc>
              <w:tc>
                <w:tcPr>
                  <w:tcW w:w="417" w:type="pct"/>
                  <w:shd w:val="clear" w:color="auto" w:fill="auto"/>
                  <w:vAlign w:val="center"/>
                </w:tcPr>
                <w:p w:rsidR="006E391F" w:rsidRPr="00BC1144" w:rsidRDefault="006E391F" w:rsidP="00336FA0">
                  <w:pPr>
                    <w:pStyle w:val="TableBodyText"/>
                    <w:ind w:right="28"/>
                  </w:pPr>
                </w:p>
              </w:tc>
              <w:tc>
                <w:tcPr>
                  <w:tcW w:w="417"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(0.166)</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(0.296)</w:t>
                  </w:r>
                </w:p>
              </w:tc>
              <w:tc>
                <w:tcPr>
                  <w:tcW w:w="418" w:type="pct"/>
                  <w:shd w:val="clear" w:color="auto" w:fill="auto"/>
                  <w:vAlign w:val="center"/>
                </w:tcPr>
                <w:p w:rsidR="006E391F" w:rsidRPr="00BC1144" w:rsidRDefault="006E391F" w:rsidP="00336FA0">
                  <w:pPr>
                    <w:pStyle w:val="TableBodyText"/>
                    <w:ind w:right="28"/>
                  </w:pPr>
                </w:p>
              </w:tc>
              <w:tc>
                <w:tcPr>
                  <w:tcW w:w="416" w:type="pct"/>
                  <w:shd w:val="clear" w:color="auto" w:fill="auto"/>
                  <w:vAlign w:val="center"/>
                </w:tcPr>
                <w:p w:rsidR="006E391F" w:rsidRPr="00BC1144" w:rsidRDefault="006E391F" w:rsidP="00336FA0">
                  <w:pPr>
                    <w:pStyle w:val="TableBodyText"/>
                    <w:ind w:right="28"/>
                  </w:pPr>
                  <w:r w:rsidRPr="00BC1144">
                    <w:t>(0.287)</w:t>
                  </w:r>
                </w:p>
              </w:tc>
              <w:tc>
                <w:tcPr>
                  <w:tcW w:w="411"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Hours worked in year 12</w:t>
                  </w:r>
                </w:p>
              </w:tc>
              <w:tc>
                <w:tcPr>
                  <w:tcW w:w="467" w:type="pct"/>
                  <w:shd w:val="clear" w:color="auto" w:fill="F2F2F2" w:themeFill="background1" w:themeFillShade="F2"/>
                  <w:vAlign w:val="center"/>
                </w:tcPr>
                <w:p w:rsidR="006E391F" w:rsidRPr="00BC1144" w:rsidRDefault="006E391F" w:rsidP="00336FA0">
                  <w:pPr>
                    <w:pStyle w:val="TableBodyText"/>
                  </w:pPr>
                  <w:r w:rsidRPr="00BC1144">
                    <w:t>-0.012</w:t>
                  </w:r>
                  <w:r w:rsidRPr="00BC1144">
                    <w:rPr>
                      <w:vertAlign w:val="superscript"/>
                    </w:rPr>
                    <w:t>**</w:t>
                  </w:r>
                </w:p>
              </w:tc>
              <w:tc>
                <w:tcPr>
                  <w:tcW w:w="468" w:type="pct"/>
                  <w:shd w:val="clear" w:color="auto" w:fill="F2F2F2" w:themeFill="background1" w:themeFillShade="F2"/>
                  <w:vAlign w:val="center"/>
                </w:tcPr>
                <w:p w:rsidR="006E391F" w:rsidRPr="00BC1144" w:rsidRDefault="006E391F" w:rsidP="00336FA0">
                  <w:pPr>
                    <w:pStyle w:val="TableBodyText"/>
                  </w:pPr>
                  <w:r w:rsidRPr="00BC1144">
                    <w:t>-0.012</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-0.026</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-0.028</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-0.008</w:t>
                  </w:r>
                  <w:r w:rsidRPr="00BC1144">
                    <w:rPr>
                      <w:vertAlign w:val="superscript"/>
                    </w:rPr>
                    <w:t>**</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-0.015</w:t>
                  </w:r>
                  <w:r w:rsidRPr="00BC1144">
                    <w:rPr>
                      <w:vertAlign w:val="superscript"/>
                    </w:rPr>
                    <w:t>***</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-0.005</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-0.014</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-0.020</w:t>
                  </w:r>
                  <w:r w:rsidRPr="00BC1144">
                    <w:rPr>
                      <w:vertAlign w:val="superscript"/>
                    </w:rPr>
                    <w:t>*</w:t>
                  </w:r>
                </w:p>
              </w:tc>
              <w:tc>
                <w:tcPr>
                  <w:tcW w:w="411" w:type="pct"/>
                  <w:shd w:val="clear" w:color="auto" w:fill="F2F2F2" w:themeFill="background1" w:themeFillShade="F2"/>
                  <w:vAlign w:val="center"/>
                </w:tcPr>
                <w:p w:rsidR="006E391F" w:rsidRPr="00BC1144" w:rsidRDefault="006E391F" w:rsidP="00336FA0">
                  <w:pPr>
                    <w:pStyle w:val="TableBodyText"/>
                    <w:ind w:right="28"/>
                  </w:pPr>
                  <w:r w:rsidRPr="00BC1144">
                    <w:t>-0.025</w:t>
                  </w:r>
                  <w:r w:rsidRPr="00BC1144">
                    <w:rPr>
                      <w:vertAlign w:val="superscript"/>
                    </w:rPr>
                    <w:t>***</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67" w:type="pct"/>
                  <w:shd w:val="clear" w:color="auto" w:fill="F2F2F2" w:themeFill="background1" w:themeFillShade="F2"/>
                  <w:vAlign w:val="center"/>
                </w:tcPr>
                <w:p w:rsidR="006E391F" w:rsidRPr="00BC1144" w:rsidRDefault="006E391F" w:rsidP="00336FA0">
                  <w:pPr>
                    <w:pStyle w:val="TableBodyText"/>
                  </w:pPr>
                  <w:r w:rsidRPr="00BC1144">
                    <w:t>(0.006)</w:t>
                  </w:r>
                </w:p>
              </w:tc>
              <w:tc>
                <w:tcPr>
                  <w:tcW w:w="468" w:type="pct"/>
                  <w:shd w:val="clear" w:color="auto" w:fill="F2F2F2" w:themeFill="background1" w:themeFillShade="F2"/>
                  <w:vAlign w:val="center"/>
                </w:tcPr>
                <w:p w:rsidR="006E391F" w:rsidRPr="00BC1144" w:rsidRDefault="006E391F" w:rsidP="00336FA0">
                  <w:pPr>
                    <w:pStyle w:val="TableBodyText"/>
                  </w:pPr>
                  <w:r w:rsidRPr="00BC1144">
                    <w:t>(0.006)</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(0.039)</w:t>
                  </w:r>
                </w:p>
              </w:tc>
              <w:tc>
                <w:tcPr>
                  <w:tcW w:w="417" w:type="pct"/>
                  <w:shd w:val="clear" w:color="auto" w:fill="F2F2F2" w:themeFill="background1" w:themeFillShade="F2"/>
                  <w:vAlign w:val="center"/>
                </w:tcPr>
                <w:p w:rsidR="006E391F" w:rsidRPr="00BC1144" w:rsidRDefault="006E391F" w:rsidP="00336FA0">
                  <w:pPr>
                    <w:pStyle w:val="TableBodyText"/>
                    <w:ind w:right="28"/>
                  </w:pPr>
                  <w:r w:rsidRPr="00BC1144">
                    <w:t>(0.035)</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(0.004)</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(0.004)</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(0.022)</w:t>
                  </w:r>
                </w:p>
              </w:tc>
              <w:tc>
                <w:tcPr>
                  <w:tcW w:w="418" w:type="pct"/>
                  <w:shd w:val="clear" w:color="auto" w:fill="F2F2F2" w:themeFill="background1" w:themeFillShade="F2"/>
                  <w:vAlign w:val="center"/>
                </w:tcPr>
                <w:p w:rsidR="006E391F" w:rsidRPr="00BC1144" w:rsidRDefault="006E391F" w:rsidP="00336FA0">
                  <w:pPr>
                    <w:pStyle w:val="TableBodyText"/>
                    <w:ind w:right="28"/>
                  </w:pPr>
                  <w:r w:rsidRPr="00BC1144">
                    <w:t>(0.013)</w:t>
                  </w:r>
                </w:p>
              </w:tc>
              <w:tc>
                <w:tcPr>
                  <w:tcW w:w="416" w:type="pct"/>
                  <w:shd w:val="clear" w:color="auto" w:fill="F2F2F2" w:themeFill="background1" w:themeFillShade="F2"/>
                  <w:vAlign w:val="center"/>
                </w:tcPr>
                <w:p w:rsidR="006E391F" w:rsidRPr="00BC1144" w:rsidRDefault="006E391F" w:rsidP="00336FA0">
                  <w:pPr>
                    <w:pStyle w:val="TableBodyText"/>
                    <w:ind w:right="28"/>
                  </w:pPr>
                  <w:r w:rsidRPr="00BC1144">
                    <w:t>(0.010)</w:t>
                  </w:r>
                </w:p>
              </w:tc>
              <w:tc>
                <w:tcPr>
                  <w:tcW w:w="411" w:type="pct"/>
                  <w:shd w:val="clear" w:color="auto" w:fill="F2F2F2" w:themeFill="background1" w:themeFillShade="F2"/>
                  <w:vAlign w:val="center"/>
                </w:tcPr>
                <w:p w:rsidR="006E391F" w:rsidRPr="00BC1144" w:rsidRDefault="006E391F" w:rsidP="00336FA0">
                  <w:pPr>
                    <w:pStyle w:val="TableBodyText"/>
                    <w:ind w:right="28"/>
                  </w:pPr>
                  <w:r w:rsidRPr="00BC1144">
                    <w:t>(0.009)</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Whether attended year 12: Not attended</w:t>
                  </w:r>
                </w:p>
              </w:tc>
              <w:tc>
                <w:tcPr>
                  <w:tcW w:w="467" w:type="pct"/>
                  <w:shd w:val="clear" w:color="auto" w:fill="auto"/>
                  <w:vAlign w:val="center"/>
                </w:tcPr>
                <w:p w:rsidR="006E391F" w:rsidRPr="00BC1144" w:rsidRDefault="006E391F" w:rsidP="00336FA0">
                  <w:pPr>
                    <w:pStyle w:val="TableBodyText"/>
                  </w:pPr>
                  <w:r w:rsidRPr="00BC1144">
                    <w:t>-1.811</w:t>
                  </w:r>
                  <w:r w:rsidRPr="00BC1144">
                    <w:rPr>
                      <w:vertAlign w:val="superscript"/>
                    </w:rPr>
                    <w:t>***</w:t>
                  </w:r>
                </w:p>
              </w:tc>
              <w:tc>
                <w:tcPr>
                  <w:tcW w:w="468" w:type="pct"/>
                  <w:shd w:val="clear" w:color="auto" w:fill="auto"/>
                  <w:vAlign w:val="center"/>
                </w:tcPr>
                <w:p w:rsidR="006E391F" w:rsidRPr="00BC1144" w:rsidRDefault="006E391F" w:rsidP="00336FA0">
                  <w:pPr>
                    <w:pStyle w:val="TableBodyText"/>
                  </w:pPr>
                  <w:r w:rsidRPr="00BC1144">
                    <w:t>-1.813</w:t>
                  </w:r>
                  <w:r w:rsidRPr="00BC1144">
                    <w:rPr>
                      <w:vertAlign w:val="superscript"/>
                    </w:rPr>
                    <w:t>***</w:t>
                  </w:r>
                </w:p>
              </w:tc>
              <w:tc>
                <w:tcPr>
                  <w:tcW w:w="417" w:type="pct"/>
                  <w:shd w:val="clear" w:color="auto" w:fill="auto"/>
                  <w:vAlign w:val="center"/>
                </w:tcPr>
                <w:p w:rsidR="006E391F" w:rsidRPr="00BC1144" w:rsidRDefault="006E391F" w:rsidP="00336FA0">
                  <w:pPr>
                    <w:pStyle w:val="TableBodyText"/>
                    <w:ind w:right="28"/>
                  </w:pPr>
                  <w:r w:rsidRPr="00BC1144">
                    <w:t>-1.163</w:t>
                  </w:r>
                </w:p>
              </w:tc>
              <w:tc>
                <w:tcPr>
                  <w:tcW w:w="417" w:type="pct"/>
                  <w:shd w:val="clear" w:color="auto" w:fill="auto"/>
                  <w:vAlign w:val="center"/>
                </w:tcPr>
                <w:p w:rsidR="006E391F" w:rsidRPr="00BC1144" w:rsidRDefault="006E391F" w:rsidP="00336FA0">
                  <w:pPr>
                    <w:pStyle w:val="TableBodyText"/>
                    <w:ind w:right="28"/>
                  </w:pPr>
                  <w:r w:rsidRPr="00BC1144">
                    <w:t>-1.188</w:t>
                  </w:r>
                </w:p>
              </w:tc>
              <w:tc>
                <w:tcPr>
                  <w:tcW w:w="416" w:type="pct"/>
                  <w:shd w:val="clear" w:color="auto" w:fill="auto"/>
                  <w:vAlign w:val="center"/>
                </w:tcPr>
                <w:p w:rsidR="006E391F" w:rsidRPr="00BC1144" w:rsidRDefault="006E391F" w:rsidP="00336FA0">
                  <w:pPr>
                    <w:pStyle w:val="TableBodyText"/>
                    <w:ind w:right="28"/>
                  </w:pPr>
                  <w:r w:rsidRPr="00BC1144">
                    <w:t>-0.533</w:t>
                  </w:r>
                </w:p>
              </w:tc>
              <w:tc>
                <w:tcPr>
                  <w:tcW w:w="418" w:type="pct"/>
                  <w:shd w:val="clear" w:color="auto" w:fill="auto"/>
                  <w:vAlign w:val="center"/>
                </w:tcPr>
                <w:p w:rsidR="006E391F" w:rsidRPr="00BC1144" w:rsidRDefault="006E391F" w:rsidP="00336FA0">
                  <w:pPr>
                    <w:pStyle w:val="TableBodyText"/>
                    <w:ind w:right="28"/>
                  </w:pPr>
                  <w:r w:rsidRPr="00BC1144">
                    <w:t>-1.226</w:t>
                  </w:r>
                  <w:r w:rsidRPr="00BC1144">
                    <w:rPr>
                      <w:vertAlign w:val="superscript"/>
                    </w:rPr>
                    <w:t>**</w:t>
                  </w:r>
                </w:p>
              </w:tc>
              <w:tc>
                <w:tcPr>
                  <w:tcW w:w="416" w:type="pct"/>
                  <w:shd w:val="clear" w:color="auto" w:fill="auto"/>
                  <w:vAlign w:val="center"/>
                </w:tcPr>
                <w:p w:rsidR="006E391F" w:rsidRPr="00BC1144" w:rsidRDefault="006E391F" w:rsidP="00336FA0">
                  <w:pPr>
                    <w:pStyle w:val="TableBodyText"/>
                    <w:ind w:right="28"/>
                  </w:pPr>
                  <w:r w:rsidRPr="00BC1144">
                    <w:t>-0.388</w:t>
                  </w:r>
                </w:p>
              </w:tc>
              <w:tc>
                <w:tcPr>
                  <w:tcW w:w="418" w:type="pct"/>
                  <w:shd w:val="clear" w:color="auto" w:fill="auto"/>
                  <w:vAlign w:val="center"/>
                </w:tcPr>
                <w:p w:rsidR="006E391F" w:rsidRPr="00BC1144" w:rsidRDefault="006E391F" w:rsidP="00336FA0">
                  <w:pPr>
                    <w:pStyle w:val="TableBodyText"/>
                    <w:ind w:right="28"/>
                  </w:pPr>
                  <w:r w:rsidRPr="00BC1144">
                    <w:t>-1.189</w:t>
                  </w:r>
                  <w:r w:rsidRPr="00BC1144">
                    <w:rPr>
                      <w:vertAlign w:val="superscript"/>
                    </w:rPr>
                    <w:t>*</w:t>
                  </w:r>
                </w:p>
              </w:tc>
              <w:tc>
                <w:tcPr>
                  <w:tcW w:w="416" w:type="pct"/>
                  <w:shd w:val="clear" w:color="auto" w:fill="auto"/>
                  <w:vAlign w:val="center"/>
                </w:tcPr>
                <w:p w:rsidR="006E391F" w:rsidRPr="00BC1144" w:rsidRDefault="006E391F" w:rsidP="00336FA0">
                  <w:pPr>
                    <w:pStyle w:val="TableBodyText"/>
                    <w:ind w:right="28"/>
                  </w:pPr>
                  <w:r w:rsidRPr="00BC1144">
                    <w:t>-0.638</w:t>
                  </w:r>
                </w:p>
              </w:tc>
              <w:tc>
                <w:tcPr>
                  <w:tcW w:w="411" w:type="pct"/>
                  <w:shd w:val="clear" w:color="auto" w:fill="auto"/>
                  <w:vAlign w:val="center"/>
                </w:tcPr>
                <w:p w:rsidR="006E391F" w:rsidRPr="00BC1144" w:rsidRDefault="006E391F" w:rsidP="00336FA0">
                  <w:pPr>
                    <w:pStyle w:val="TableBodyText"/>
                    <w:ind w:right="28"/>
                  </w:pPr>
                  <w:r w:rsidRPr="00BC1144">
                    <w:t>-1.425</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p>
              </w:tc>
              <w:tc>
                <w:tcPr>
                  <w:tcW w:w="467" w:type="pct"/>
                  <w:shd w:val="clear" w:color="auto" w:fill="auto"/>
                  <w:vAlign w:val="center"/>
                </w:tcPr>
                <w:p w:rsidR="006E391F" w:rsidRPr="00BC1144" w:rsidRDefault="006E391F" w:rsidP="00336FA0">
                  <w:pPr>
                    <w:pStyle w:val="TableBodyText"/>
                  </w:pPr>
                  <w:r w:rsidRPr="00BC1144">
                    <w:t>(0.427)</w:t>
                  </w:r>
                </w:p>
              </w:tc>
              <w:tc>
                <w:tcPr>
                  <w:tcW w:w="468" w:type="pct"/>
                  <w:shd w:val="clear" w:color="auto" w:fill="auto"/>
                  <w:vAlign w:val="center"/>
                </w:tcPr>
                <w:p w:rsidR="006E391F" w:rsidRPr="00BC1144" w:rsidRDefault="006E391F" w:rsidP="00336FA0">
                  <w:pPr>
                    <w:pStyle w:val="TableBodyText"/>
                  </w:pPr>
                  <w:r w:rsidRPr="00BC1144">
                    <w:t>(0.445)</w:t>
                  </w:r>
                </w:p>
              </w:tc>
              <w:tc>
                <w:tcPr>
                  <w:tcW w:w="417" w:type="pct"/>
                  <w:shd w:val="clear" w:color="auto" w:fill="auto"/>
                  <w:vAlign w:val="center"/>
                </w:tcPr>
                <w:p w:rsidR="006E391F" w:rsidRPr="00BC1144" w:rsidRDefault="006E391F" w:rsidP="00336FA0">
                  <w:pPr>
                    <w:pStyle w:val="TableBodyText"/>
                    <w:ind w:right="28"/>
                  </w:pPr>
                  <w:r w:rsidRPr="00BC1144">
                    <w:t>(3.037)</w:t>
                  </w:r>
                </w:p>
              </w:tc>
              <w:tc>
                <w:tcPr>
                  <w:tcW w:w="417" w:type="pct"/>
                  <w:shd w:val="clear" w:color="auto" w:fill="auto"/>
                  <w:vAlign w:val="center"/>
                </w:tcPr>
                <w:p w:rsidR="006E391F" w:rsidRPr="00BC1144" w:rsidRDefault="006E391F" w:rsidP="00336FA0">
                  <w:pPr>
                    <w:pStyle w:val="TableBodyText"/>
                    <w:ind w:right="28"/>
                  </w:pPr>
                  <w:r w:rsidRPr="00BC1144">
                    <w:t>(3.184)</w:t>
                  </w:r>
                </w:p>
              </w:tc>
              <w:tc>
                <w:tcPr>
                  <w:tcW w:w="416" w:type="pct"/>
                  <w:shd w:val="clear" w:color="auto" w:fill="auto"/>
                  <w:vAlign w:val="center"/>
                </w:tcPr>
                <w:p w:rsidR="006E391F" w:rsidRPr="00BC1144" w:rsidRDefault="006E391F" w:rsidP="00336FA0">
                  <w:pPr>
                    <w:pStyle w:val="TableBodyText"/>
                    <w:ind w:right="28"/>
                  </w:pPr>
                  <w:r w:rsidRPr="00BC1144">
                    <w:t>(0.622)</w:t>
                  </w:r>
                </w:p>
              </w:tc>
              <w:tc>
                <w:tcPr>
                  <w:tcW w:w="418" w:type="pct"/>
                  <w:shd w:val="clear" w:color="auto" w:fill="auto"/>
                  <w:vAlign w:val="center"/>
                </w:tcPr>
                <w:p w:rsidR="006E391F" w:rsidRPr="00BC1144" w:rsidRDefault="006E391F" w:rsidP="00336FA0">
                  <w:pPr>
                    <w:pStyle w:val="TableBodyText"/>
                    <w:ind w:right="28"/>
                  </w:pPr>
                  <w:r w:rsidRPr="00BC1144">
                    <w:t>(0.602)</w:t>
                  </w:r>
                </w:p>
              </w:tc>
              <w:tc>
                <w:tcPr>
                  <w:tcW w:w="416" w:type="pct"/>
                  <w:shd w:val="clear" w:color="auto" w:fill="auto"/>
                  <w:vAlign w:val="center"/>
                </w:tcPr>
                <w:p w:rsidR="006E391F" w:rsidRPr="00BC1144" w:rsidRDefault="006E391F" w:rsidP="00336FA0">
                  <w:pPr>
                    <w:pStyle w:val="TableBodyText"/>
                    <w:ind w:right="28"/>
                  </w:pPr>
                  <w:r w:rsidRPr="00BC1144">
                    <w:t>(0.860)</w:t>
                  </w:r>
                </w:p>
              </w:tc>
              <w:tc>
                <w:tcPr>
                  <w:tcW w:w="418" w:type="pct"/>
                  <w:shd w:val="clear" w:color="auto" w:fill="auto"/>
                  <w:vAlign w:val="center"/>
                </w:tcPr>
                <w:p w:rsidR="006E391F" w:rsidRPr="00BC1144" w:rsidRDefault="006E391F" w:rsidP="00336FA0">
                  <w:pPr>
                    <w:pStyle w:val="TableBodyText"/>
                    <w:ind w:right="28"/>
                  </w:pPr>
                  <w:r w:rsidRPr="00BC1144">
                    <w:t>(0.636)</w:t>
                  </w:r>
                </w:p>
              </w:tc>
              <w:tc>
                <w:tcPr>
                  <w:tcW w:w="416" w:type="pct"/>
                  <w:shd w:val="clear" w:color="auto" w:fill="auto"/>
                  <w:vAlign w:val="center"/>
                </w:tcPr>
                <w:p w:rsidR="006E391F" w:rsidRPr="00BC1144" w:rsidRDefault="006E391F" w:rsidP="00336FA0">
                  <w:pPr>
                    <w:pStyle w:val="TableBodyText"/>
                    <w:ind w:right="28"/>
                  </w:pPr>
                  <w:r w:rsidRPr="00BC1144">
                    <w:t>(1.828)</w:t>
                  </w:r>
                </w:p>
              </w:tc>
              <w:tc>
                <w:tcPr>
                  <w:tcW w:w="411" w:type="pct"/>
                  <w:shd w:val="clear" w:color="auto" w:fill="auto"/>
                  <w:vAlign w:val="center"/>
                </w:tcPr>
                <w:p w:rsidR="006E391F" w:rsidRPr="00BC1144" w:rsidRDefault="006E391F" w:rsidP="00336FA0">
                  <w:pPr>
                    <w:pStyle w:val="TableBodyText"/>
                    <w:ind w:right="28"/>
                  </w:pPr>
                  <w:r w:rsidRPr="00BC1144">
                    <w:t>(1.237)</w:t>
                  </w:r>
                </w:p>
              </w:tc>
            </w:tr>
          </w:tbl>
          <w:p w:rsidR="006E391F" w:rsidRPr="00BC1144" w:rsidRDefault="006E391F" w:rsidP="00336FA0">
            <w:pPr>
              <w:pStyle w:val="Box"/>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pPr>
            <w:r w:rsidRPr="00BC1144">
              <w:t>(continued next page)</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spacing w:before="0" w:line="120" w:lineRule="exact"/>
            </w:pPr>
          </w:p>
        </w:tc>
      </w:tr>
      <w:tr w:rsidR="006E391F" w:rsidRPr="00BC1144" w:rsidTr="00336FA0">
        <w:tc>
          <w:tcPr>
            <w:tcW w:w="5000" w:type="pct"/>
            <w:tcBorders>
              <w:top w:val="single" w:sz="6" w:space="0" w:color="78A22F"/>
              <w:left w:val="nil"/>
              <w:bottom w:val="nil"/>
              <w:right w:val="nil"/>
            </w:tcBorders>
          </w:tcPr>
          <w:p w:rsidR="006E391F" w:rsidRPr="00BC1144" w:rsidRDefault="006E391F" w:rsidP="00336FA0">
            <w:pPr>
              <w:pStyle w:val="BoxSpaceBelow"/>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rPr>
          <w:tblHeader/>
        </w:trPr>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spacing w:before="60" w:after="0"/>
            </w:pPr>
            <w:r w:rsidRPr="00BC1144">
              <w:rPr>
                <w:b w:val="0"/>
              </w:rPr>
              <w:t>Table B.16</w:t>
            </w:r>
            <w:r w:rsidRPr="00BC1144">
              <w:tab/>
            </w:r>
            <w:r w:rsidRPr="00BC1144">
              <w:rPr>
                <w:b w:val="0"/>
                <w:sz w:val="20"/>
                <w:szCs w:val="20"/>
              </w:rPr>
              <w:t>(continued)</w:t>
            </w:r>
          </w:p>
        </w:tc>
      </w:tr>
      <w:tr w:rsidR="006E391F" w:rsidRPr="00BC1144" w:rsidTr="00336FA0">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1253"/>
              <w:gridCol w:w="795"/>
              <w:gridCol w:w="796"/>
              <w:gridCol w:w="709"/>
              <w:gridCol w:w="709"/>
              <w:gridCol w:w="708"/>
              <w:gridCol w:w="711"/>
              <w:gridCol w:w="708"/>
              <w:gridCol w:w="711"/>
              <w:gridCol w:w="708"/>
              <w:gridCol w:w="699"/>
            </w:tblGrid>
            <w:tr w:rsidR="006E391F" w:rsidRPr="00BC1144" w:rsidTr="00336FA0">
              <w:trPr>
                <w:tblHeader/>
              </w:trPr>
              <w:tc>
                <w:tcPr>
                  <w:tcW w:w="73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keepNext w:val="0"/>
                    <w:keepLines w:val="0"/>
                    <w:spacing w:before="40" w:after="0"/>
                    <w:jc w:val="left"/>
                  </w:pPr>
                </w:p>
              </w:tc>
              <w:tc>
                <w:tcPr>
                  <w:tcW w:w="935" w:type="pct"/>
                  <w:gridSpan w:val="2"/>
                  <w:tcBorders>
                    <w:top w:val="single" w:sz="6" w:space="0" w:color="BFBFBF"/>
                    <w:bottom w:val="single" w:sz="6" w:space="0" w:color="BFBFBF"/>
                  </w:tcBorders>
                </w:tcPr>
                <w:p w:rsidR="006E391F" w:rsidRPr="00BC1144" w:rsidRDefault="006E391F" w:rsidP="00336FA0">
                  <w:pPr>
                    <w:pStyle w:val="TableColumnHeading"/>
                    <w:keepNext w:val="0"/>
                    <w:keepLines w:val="0"/>
                    <w:spacing w:before="40" w:after="0"/>
                  </w:pPr>
                  <w:r w:rsidRPr="00BC1144">
                    <w:t>2003</w:t>
                  </w:r>
                </w:p>
              </w:tc>
              <w:tc>
                <w:tcPr>
                  <w:tcW w:w="833" w:type="pct"/>
                  <w:gridSpan w:val="2"/>
                  <w:tcBorders>
                    <w:top w:val="single" w:sz="6" w:space="0" w:color="BFBFBF"/>
                    <w:bottom w:val="single" w:sz="6" w:space="0" w:color="BFBFBF"/>
                  </w:tcBorders>
                </w:tcPr>
                <w:p w:rsidR="006E391F" w:rsidRPr="00BC1144" w:rsidRDefault="006E391F" w:rsidP="00336FA0">
                  <w:pPr>
                    <w:pStyle w:val="TableColumnHeading"/>
                    <w:keepNext w:val="0"/>
                    <w:keepLines w:val="0"/>
                    <w:spacing w:before="40" w:after="0"/>
                  </w:pPr>
                  <w:r w:rsidRPr="00BC1144">
                    <w:t>2006</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keepNext w:val="0"/>
                    <w:keepLines w:val="0"/>
                    <w:spacing w:before="40" w:after="0"/>
                  </w:pPr>
                  <w:r w:rsidRPr="00BC1144">
                    <w:t>2010</w:t>
                  </w:r>
                </w:p>
              </w:tc>
              <w:tc>
                <w:tcPr>
                  <w:tcW w:w="834"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keepNext w:val="0"/>
                    <w:keepLines w:val="0"/>
                    <w:spacing w:before="40" w:after="0"/>
                    <w:ind w:right="28"/>
                  </w:pPr>
                  <w:r w:rsidRPr="00BC1144">
                    <w:t>2013</w:t>
                  </w:r>
                </w:p>
              </w:tc>
              <w:tc>
                <w:tcPr>
                  <w:tcW w:w="828" w:type="pct"/>
                  <w:gridSpan w:val="2"/>
                  <w:tcBorders>
                    <w:top w:val="single" w:sz="6" w:space="0" w:color="BFBFBF"/>
                    <w:bottom w:val="single" w:sz="6" w:space="0" w:color="BFBFBF"/>
                  </w:tcBorders>
                </w:tcPr>
                <w:p w:rsidR="006E391F" w:rsidRPr="00BC1144" w:rsidRDefault="006E391F" w:rsidP="00336FA0">
                  <w:pPr>
                    <w:pStyle w:val="TableColumnHeading"/>
                    <w:keepNext w:val="0"/>
                    <w:keepLines w:val="0"/>
                    <w:spacing w:before="40" w:after="0"/>
                    <w:ind w:right="28"/>
                  </w:pPr>
                  <w:r w:rsidRPr="00BC1144">
                    <w:t>2016</w:t>
                  </w:r>
                </w:p>
              </w:tc>
            </w:tr>
            <w:tr w:rsidR="006E391F" w:rsidRPr="00BC1144" w:rsidTr="00336FA0">
              <w:trPr>
                <w:trHeight w:val="329"/>
              </w:trPr>
              <w:tc>
                <w:tcPr>
                  <w:tcW w:w="736" w:type="pct"/>
                  <w:tcBorders>
                    <w:top w:val="single" w:sz="6" w:space="0" w:color="BFBFBF"/>
                  </w:tcBorders>
                </w:tcPr>
                <w:p w:rsidR="006E391F" w:rsidRPr="00BC1144" w:rsidRDefault="006E391F" w:rsidP="00336FA0">
                  <w:pPr>
                    <w:pStyle w:val="TableUnitsRow"/>
                    <w:keepNext w:val="0"/>
                    <w:keepLines w:val="0"/>
                    <w:spacing w:before="20" w:after="20"/>
                    <w:jc w:val="left"/>
                  </w:pPr>
                </w:p>
              </w:tc>
              <w:tc>
                <w:tcPr>
                  <w:tcW w:w="467" w:type="pct"/>
                  <w:tcBorders>
                    <w:top w:val="single" w:sz="6" w:space="0" w:color="BFBFBF"/>
                  </w:tcBorders>
                  <w:vAlign w:val="center"/>
                </w:tcPr>
                <w:p w:rsidR="006E391F" w:rsidRPr="00BC1144" w:rsidRDefault="006E391F" w:rsidP="00336FA0">
                  <w:pPr>
                    <w:pStyle w:val="TableUnitsRow"/>
                    <w:keepNext w:val="0"/>
                    <w:keepLines w:val="0"/>
                    <w:spacing w:before="20" w:after="20"/>
                  </w:pPr>
                  <w:r w:rsidRPr="00BC1144">
                    <w:t>(i)</w:t>
                  </w:r>
                </w:p>
              </w:tc>
              <w:tc>
                <w:tcPr>
                  <w:tcW w:w="468" w:type="pct"/>
                  <w:tcBorders>
                    <w:top w:val="single" w:sz="6" w:space="0" w:color="BFBFBF"/>
                  </w:tcBorders>
                  <w:vAlign w:val="center"/>
                </w:tcPr>
                <w:p w:rsidR="006E391F" w:rsidRPr="00BC1144" w:rsidRDefault="006E391F" w:rsidP="00336FA0">
                  <w:pPr>
                    <w:pStyle w:val="TableUnitsRow"/>
                    <w:keepNext w:val="0"/>
                    <w:keepLines w:val="0"/>
                    <w:spacing w:before="20" w:after="20"/>
                  </w:pPr>
                  <w:r w:rsidRPr="00BC1144">
                    <w:t>(ii)</w:t>
                  </w:r>
                </w:p>
              </w:tc>
              <w:tc>
                <w:tcPr>
                  <w:tcW w:w="417"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w:t>
                  </w:r>
                </w:p>
              </w:tc>
              <w:tc>
                <w:tcPr>
                  <w:tcW w:w="417"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w:t>
                  </w:r>
                </w:p>
              </w:tc>
              <w:tc>
                <w:tcPr>
                  <w:tcW w:w="418"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w:t>
                  </w:r>
                </w:p>
              </w:tc>
              <w:tc>
                <w:tcPr>
                  <w:tcW w:w="418"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(ii)</w:t>
                  </w:r>
                </w:p>
              </w:tc>
              <w:tc>
                <w:tcPr>
                  <w:tcW w:w="416"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w:t>
                  </w:r>
                </w:p>
              </w:tc>
              <w:tc>
                <w:tcPr>
                  <w:tcW w:w="411" w:type="pct"/>
                  <w:tcBorders>
                    <w:top w:val="single" w:sz="6" w:space="0" w:color="BFBFBF"/>
                  </w:tcBorders>
                  <w:vAlign w:val="center"/>
                </w:tcPr>
                <w:p w:rsidR="006E391F" w:rsidRPr="00BC1144" w:rsidRDefault="006E391F" w:rsidP="00336FA0">
                  <w:pPr>
                    <w:pStyle w:val="TableUnitsRow"/>
                    <w:keepNext w:val="0"/>
                    <w:keepLines w:val="0"/>
                    <w:spacing w:before="20" w:after="20"/>
                    <w:ind w:right="28"/>
                  </w:pPr>
                  <w:r w:rsidRPr="00BC1144">
                    <w:t>(ii)</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Interaction of hours worked with year 12 attendance</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0.014</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0.014</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0.006</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-0.002</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0.004</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-0.010</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-0.006</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0.016</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0.024</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(0.014)</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(0.014)</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(0.071)</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(0.074)</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(0.023)</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(0.019)</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(0.040)</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(0.025)</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(0.058)</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(0.039)</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Ethnic background: Non-English</w:t>
                  </w:r>
                </w:p>
              </w:tc>
              <w:tc>
                <w:tcPr>
                  <w:tcW w:w="467" w:type="pct"/>
                  <w:shd w:val="clear" w:color="auto" w:fill="auto"/>
                  <w:vAlign w:val="center"/>
                </w:tcPr>
                <w:p w:rsidR="006E391F" w:rsidRPr="00BC1144" w:rsidRDefault="006E391F" w:rsidP="00336FA0">
                  <w:pPr>
                    <w:pStyle w:val="TableBodyText"/>
                    <w:keepNext w:val="0"/>
                    <w:keepLines w:val="0"/>
                  </w:pPr>
                  <w:r w:rsidRPr="00BC1144">
                    <w:t>0.818</w:t>
                  </w:r>
                </w:p>
              </w:tc>
              <w:tc>
                <w:tcPr>
                  <w:tcW w:w="468" w:type="pct"/>
                  <w:shd w:val="clear" w:color="auto" w:fill="auto"/>
                  <w:vAlign w:val="center"/>
                </w:tcPr>
                <w:p w:rsidR="006E391F" w:rsidRPr="00BC1144" w:rsidRDefault="006E391F" w:rsidP="00336FA0">
                  <w:pPr>
                    <w:pStyle w:val="TableBodyText"/>
                    <w:keepNext w:val="0"/>
                    <w:keepLines w:val="0"/>
                  </w:pPr>
                  <w:r w:rsidRPr="00BC1144">
                    <w:t>0.850</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1.475</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1.573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0.573</w:t>
                  </w:r>
                  <w:r w:rsidRPr="00BC1144">
                    <w:rPr>
                      <w:vertAlign w:val="superscript"/>
                    </w:rPr>
                    <w:t>**</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0.776</w:t>
                  </w:r>
                  <w:r w:rsidRPr="00BC1144">
                    <w:rPr>
                      <w:vertAlign w:val="superscript"/>
                    </w:rPr>
                    <w:t>***</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0.850</w:t>
                  </w:r>
                  <w:r w:rsidRPr="00BC1144">
                    <w:rPr>
                      <w:vertAlign w:val="superscript"/>
                    </w:rPr>
                    <w:t>*</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1.018</w:t>
                  </w:r>
                  <w:r w:rsidRPr="00BC1144">
                    <w:rPr>
                      <w:vertAlign w:val="superscript"/>
                    </w:rPr>
                    <w:t>***</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0.976</w:t>
                  </w:r>
                  <w:r w:rsidRPr="00BC1144">
                    <w:rPr>
                      <w:vertAlign w:val="superscript"/>
                    </w:rPr>
                    <w:t>*</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1.258</w:t>
                  </w:r>
                  <w:r w:rsidRPr="00BC1144">
                    <w:rPr>
                      <w:vertAlign w:val="superscript"/>
                    </w:rPr>
                    <w:t>**</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r w:rsidRPr="00BC1144">
                    <w:t>(0.507)</w:t>
                  </w:r>
                </w:p>
              </w:tc>
              <w:tc>
                <w:tcPr>
                  <w:tcW w:w="468" w:type="pct"/>
                  <w:shd w:val="clear" w:color="auto" w:fill="auto"/>
                  <w:vAlign w:val="center"/>
                </w:tcPr>
                <w:p w:rsidR="006E391F" w:rsidRPr="00BC1144" w:rsidRDefault="006E391F" w:rsidP="00336FA0">
                  <w:pPr>
                    <w:pStyle w:val="TableBodyText"/>
                    <w:keepNext w:val="0"/>
                    <w:keepLines w:val="0"/>
                  </w:pPr>
                  <w:r w:rsidRPr="00BC1144">
                    <w:t>(0.585)</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(2.071)</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(2.288)</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(0.234)</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(0.223)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(0.438)</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(0.305)</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(0.526)</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(0.564)</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Books: 101-500</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0.066</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-0.198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0.001</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0.019</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0.063</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(0.096)</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(0.507)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(0.086)</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(0.264)</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(0.174)</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Books: 0-100</w:t>
                  </w:r>
                </w:p>
              </w:tc>
              <w:tc>
                <w:tcPr>
                  <w:tcW w:w="467" w:type="pct"/>
                  <w:shd w:val="clear" w:color="auto" w:fill="auto"/>
                  <w:vAlign w:val="center"/>
                </w:tcPr>
                <w:p w:rsidR="006E391F" w:rsidRPr="00BC1144" w:rsidRDefault="006E391F" w:rsidP="00336FA0">
                  <w:pPr>
                    <w:pStyle w:val="TableBodyText"/>
                    <w:keepNext w:val="0"/>
                    <w:keepLines w:val="0"/>
                  </w:pPr>
                </w:p>
              </w:tc>
              <w:tc>
                <w:tcPr>
                  <w:tcW w:w="468" w:type="pct"/>
                  <w:shd w:val="clear" w:color="auto" w:fill="auto"/>
                  <w:vAlign w:val="center"/>
                </w:tcPr>
                <w:p w:rsidR="006E391F" w:rsidRPr="00BC1144" w:rsidRDefault="006E391F" w:rsidP="00336FA0">
                  <w:pPr>
                    <w:pStyle w:val="TableBodyText"/>
                    <w:keepNext w:val="0"/>
                    <w:keepLines w:val="0"/>
                  </w:pPr>
                  <w:r w:rsidRPr="00BC1144">
                    <w:t>-0.101</w:t>
                  </w:r>
                </w:p>
              </w:tc>
              <w:tc>
                <w:tcPr>
                  <w:tcW w:w="417" w:type="pct"/>
                  <w:shd w:val="clear" w:color="auto" w:fill="auto"/>
                  <w:vAlign w:val="center"/>
                </w:tcPr>
                <w:p w:rsidR="006E391F" w:rsidRPr="00BC1144" w:rsidRDefault="006E391F" w:rsidP="00336FA0">
                  <w:pPr>
                    <w:pStyle w:val="TableBodyText"/>
                    <w:keepNext w:val="0"/>
                    <w:keepLines w:val="0"/>
                    <w:ind w:right="28"/>
                  </w:pPr>
                </w:p>
              </w:tc>
              <w:tc>
                <w:tcPr>
                  <w:tcW w:w="417" w:type="pct"/>
                  <w:shd w:val="clear" w:color="auto" w:fill="auto"/>
                  <w:vAlign w:val="center"/>
                </w:tcPr>
                <w:p w:rsidR="006E391F" w:rsidRPr="00BC1144" w:rsidRDefault="006E391F" w:rsidP="00336FA0">
                  <w:pPr>
                    <w:pStyle w:val="TableBodyText"/>
                    <w:keepNext w:val="0"/>
                    <w:keepLines w:val="0"/>
                    <w:ind w:right="28"/>
                  </w:pPr>
                  <w:r w:rsidRPr="00BC1144">
                    <w:t>-0.332</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8" w:type="pct"/>
                  <w:shd w:val="clear" w:color="auto" w:fill="auto"/>
                  <w:vAlign w:val="center"/>
                </w:tcPr>
                <w:p w:rsidR="006E391F" w:rsidRPr="00BC1144" w:rsidRDefault="006E391F" w:rsidP="00336FA0">
                  <w:pPr>
                    <w:pStyle w:val="TableBodyText"/>
                    <w:keepNext w:val="0"/>
                    <w:keepLines w:val="0"/>
                    <w:ind w:right="28"/>
                  </w:pPr>
                  <w:r w:rsidRPr="00BC1144">
                    <w:t>-0.004</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8" w:type="pct"/>
                  <w:shd w:val="clear" w:color="auto" w:fill="auto"/>
                  <w:vAlign w:val="center"/>
                </w:tcPr>
                <w:p w:rsidR="006E391F" w:rsidRPr="00BC1144" w:rsidRDefault="006E391F" w:rsidP="00336FA0">
                  <w:pPr>
                    <w:pStyle w:val="TableBodyText"/>
                    <w:keepNext w:val="0"/>
                    <w:keepLines w:val="0"/>
                    <w:ind w:right="28"/>
                  </w:pPr>
                  <w:r w:rsidRPr="00BC1144">
                    <w:t>-0.002</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1" w:type="pct"/>
                  <w:shd w:val="clear" w:color="auto" w:fill="auto"/>
                  <w:vAlign w:val="center"/>
                </w:tcPr>
                <w:p w:rsidR="006E391F" w:rsidRPr="00BC1144" w:rsidRDefault="006E391F" w:rsidP="00336FA0">
                  <w:pPr>
                    <w:pStyle w:val="TableBodyText"/>
                    <w:keepNext w:val="0"/>
                    <w:keepLines w:val="0"/>
                    <w:ind w:right="28"/>
                  </w:pPr>
                  <w:r w:rsidRPr="00BC1144">
                    <w:t>0.059</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p>
              </w:tc>
              <w:tc>
                <w:tcPr>
                  <w:tcW w:w="468" w:type="pct"/>
                  <w:shd w:val="clear" w:color="auto" w:fill="auto"/>
                  <w:vAlign w:val="center"/>
                </w:tcPr>
                <w:p w:rsidR="006E391F" w:rsidRPr="00BC1144" w:rsidRDefault="006E391F" w:rsidP="00336FA0">
                  <w:pPr>
                    <w:pStyle w:val="TableBodyText"/>
                    <w:keepNext w:val="0"/>
                    <w:keepLines w:val="0"/>
                  </w:pPr>
                  <w:r w:rsidRPr="00BC1144">
                    <w:t>(0.119)</w:t>
                  </w:r>
                </w:p>
              </w:tc>
              <w:tc>
                <w:tcPr>
                  <w:tcW w:w="417" w:type="pct"/>
                  <w:shd w:val="clear" w:color="auto" w:fill="auto"/>
                  <w:vAlign w:val="center"/>
                </w:tcPr>
                <w:p w:rsidR="006E391F" w:rsidRPr="00BC1144" w:rsidRDefault="006E391F" w:rsidP="00336FA0">
                  <w:pPr>
                    <w:pStyle w:val="TableBodyText"/>
                    <w:keepNext w:val="0"/>
                    <w:keepLines w:val="0"/>
                    <w:ind w:right="28"/>
                  </w:pPr>
                </w:p>
              </w:tc>
              <w:tc>
                <w:tcPr>
                  <w:tcW w:w="417" w:type="pct"/>
                  <w:shd w:val="clear" w:color="auto" w:fill="auto"/>
                  <w:vAlign w:val="center"/>
                </w:tcPr>
                <w:p w:rsidR="006E391F" w:rsidRPr="00BC1144" w:rsidRDefault="006E391F" w:rsidP="00336FA0">
                  <w:pPr>
                    <w:pStyle w:val="TableBodyText"/>
                    <w:keepNext w:val="0"/>
                    <w:keepLines w:val="0"/>
                    <w:ind w:right="28"/>
                  </w:pPr>
                  <w:r w:rsidRPr="00BC1144">
                    <w:t>(0.727)</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8" w:type="pct"/>
                  <w:shd w:val="clear" w:color="auto" w:fill="auto"/>
                  <w:vAlign w:val="center"/>
                </w:tcPr>
                <w:p w:rsidR="006E391F" w:rsidRPr="00BC1144" w:rsidRDefault="006E391F" w:rsidP="00336FA0">
                  <w:pPr>
                    <w:pStyle w:val="TableBodyText"/>
                    <w:keepNext w:val="0"/>
                    <w:keepLines w:val="0"/>
                    <w:ind w:right="28"/>
                  </w:pPr>
                  <w:r w:rsidRPr="00BC1144">
                    <w:t>(0.110)</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8" w:type="pct"/>
                  <w:shd w:val="clear" w:color="auto" w:fill="auto"/>
                  <w:vAlign w:val="center"/>
                </w:tcPr>
                <w:p w:rsidR="006E391F" w:rsidRPr="00BC1144" w:rsidRDefault="006E391F" w:rsidP="00336FA0">
                  <w:pPr>
                    <w:pStyle w:val="TableBodyText"/>
                    <w:keepNext w:val="0"/>
                    <w:keepLines w:val="0"/>
                    <w:ind w:right="28"/>
                  </w:pPr>
                  <w:r w:rsidRPr="00BC1144">
                    <w:t>(0.280)</w:t>
                  </w:r>
                </w:p>
              </w:tc>
              <w:tc>
                <w:tcPr>
                  <w:tcW w:w="416" w:type="pct"/>
                  <w:shd w:val="clear" w:color="auto" w:fill="auto"/>
                  <w:vAlign w:val="center"/>
                </w:tcPr>
                <w:p w:rsidR="006E391F" w:rsidRPr="00BC1144" w:rsidRDefault="006E391F" w:rsidP="00336FA0">
                  <w:pPr>
                    <w:pStyle w:val="TableBodyText"/>
                    <w:keepNext w:val="0"/>
                    <w:keepLines w:val="0"/>
                    <w:ind w:right="28"/>
                  </w:pPr>
                </w:p>
              </w:tc>
              <w:tc>
                <w:tcPr>
                  <w:tcW w:w="411" w:type="pct"/>
                  <w:shd w:val="clear" w:color="auto" w:fill="auto"/>
                  <w:vAlign w:val="center"/>
                </w:tcPr>
                <w:p w:rsidR="006E391F" w:rsidRPr="00BC1144" w:rsidRDefault="006E391F" w:rsidP="00336FA0">
                  <w:pPr>
                    <w:pStyle w:val="TableBodyText"/>
                    <w:keepNext w:val="0"/>
                    <w:keepLines w:val="0"/>
                    <w:ind w:right="28"/>
                  </w:pPr>
                  <w:r w:rsidRPr="00BC1144">
                    <w:t>(0.209)</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Parent's occupation: Q3</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-0.017</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-0.012</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-0.454</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-0.462</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-0.006</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-0.055</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-0.028</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-0.077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0.122</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0.038</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(0.110)</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(0.107)</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(0.714)</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(0.668)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(0.111)</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(0.103)</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(0.224)</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(0.165)</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(0.323)</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(0.233)</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Parent's occupation: Q2</w:t>
                  </w:r>
                </w:p>
              </w:tc>
              <w:tc>
                <w:tcPr>
                  <w:tcW w:w="467" w:type="pct"/>
                  <w:shd w:val="clear" w:color="auto" w:fill="auto"/>
                  <w:vAlign w:val="center"/>
                </w:tcPr>
                <w:p w:rsidR="006E391F" w:rsidRPr="00BC1144" w:rsidRDefault="006E391F" w:rsidP="00336FA0">
                  <w:pPr>
                    <w:pStyle w:val="TableBodyText"/>
                    <w:keepNext w:val="0"/>
                    <w:keepLines w:val="0"/>
                  </w:pPr>
                  <w:r w:rsidRPr="00BC1144">
                    <w:t>-0.222</w:t>
                  </w:r>
                  <w:r w:rsidRPr="00BC1144">
                    <w:rPr>
                      <w:vertAlign w:val="superscript"/>
                    </w:rPr>
                    <w:t>**</w:t>
                  </w:r>
                </w:p>
              </w:tc>
              <w:tc>
                <w:tcPr>
                  <w:tcW w:w="468" w:type="pct"/>
                  <w:shd w:val="clear" w:color="auto" w:fill="auto"/>
                  <w:vAlign w:val="center"/>
                </w:tcPr>
                <w:p w:rsidR="006E391F" w:rsidRPr="00BC1144" w:rsidRDefault="006E391F" w:rsidP="00336FA0">
                  <w:pPr>
                    <w:pStyle w:val="TableBodyText"/>
                    <w:keepNext w:val="0"/>
                    <w:keepLines w:val="0"/>
                  </w:pPr>
                  <w:r w:rsidRPr="00BC1144">
                    <w:t>-0.209</w:t>
                  </w:r>
                  <w:r w:rsidRPr="00BC1144">
                    <w:rPr>
                      <w:vertAlign w:val="superscript"/>
                    </w:rPr>
                    <w:t>**</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-0.459</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-0.441</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0.028</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0.012</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-0.181</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-0.217</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0.102</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0.034</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r w:rsidRPr="00BC1144">
                    <w:t>(0.104)</w:t>
                  </w:r>
                </w:p>
              </w:tc>
              <w:tc>
                <w:tcPr>
                  <w:tcW w:w="468" w:type="pct"/>
                  <w:shd w:val="clear" w:color="auto" w:fill="auto"/>
                  <w:vAlign w:val="center"/>
                </w:tcPr>
                <w:p w:rsidR="006E391F" w:rsidRPr="00BC1144" w:rsidRDefault="006E391F" w:rsidP="00336FA0">
                  <w:pPr>
                    <w:pStyle w:val="TableBodyText"/>
                    <w:keepNext w:val="0"/>
                    <w:keepLines w:val="0"/>
                  </w:pPr>
                  <w:r w:rsidRPr="00BC1144">
                    <w:t>(0.104)</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(0.659)</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(0.603)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(0.110)</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(0.113)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(0.168)</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(0.176)</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(0.478)</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(0.321)</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Parent's occupation: Q1</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-0.171</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-0.143</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-0.605</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-0.557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-0.023</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-0.068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-0.075</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-0.157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0.266</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0.130</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(0.153)</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(0.157)</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(0.913)</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(0.904)</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(0.139)</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(0.143)</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(0.242)</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(0.238)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(0.468)</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(0.309)</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Parent's education: Below university</w:t>
                  </w:r>
                </w:p>
              </w:tc>
              <w:tc>
                <w:tcPr>
                  <w:tcW w:w="467" w:type="pct"/>
                  <w:shd w:val="clear" w:color="auto" w:fill="auto"/>
                  <w:vAlign w:val="center"/>
                </w:tcPr>
                <w:p w:rsidR="006E391F" w:rsidRPr="00BC1144" w:rsidRDefault="006E391F" w:rsidP="00336FA0">
                  <w:pPr>
                    <w:pStyle w:val="TableBodyText"/>
                    <w:keepNext w:val="0"/>
                    <w:keepLines w:val="0"/>
                  </w:pPr>
                  <w:r w:rsidRPr="00BC1144">
                    <w:t>-0.329</w:t>
                  </w:r>
                  <w:r w:rsidRPr="00BC1144">
                    <w:rPr>
                      <w:vertAlign w:val="superscript"/>
                    </w:rPr>
                    <w:t>***</w:t>
                  </w:r>
                </w:p>
              </w:tc>
              <w:tc>
                <w:tcPr>
                  <w:tcW w:w="468" w:type="pct"/>
                  <w:shd w:val="clear" w:color="auto" w:fill="auto"/>
                  <w:vAlign w:val="center"/>
                </w:tcPr>
                <w:p w:rsidR="006E391F" w:rsidRPr="00BC1144" w:rsidRDefault="006E391F" w:rsidP="00336FA0">
                  <w:pPr>
                    <w:pStyle w:val="TableBodyText"/>
                    <w:keepNext w:val="0"/>
                    <w:keepLines w:val="0"/>
                  </w:pPr>
                  <w:r w:rsidRPr="00BC1144">
                    <w:t>-0.331</w:t>
                  </w:r>
                  <w:r w:rsidRPr="00BC1144">
                    <w:rPr>
                      <w:vertAlign w:val="superscript"/>
                    </w:rPr>
                    <w:t>***</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-0.184</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-0.155</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-0.311</w:t>
                  </w:r>
                  <w:r w:rsidRPr="00BC1144">
                    <w:rPr>
                      <w:vertAlign w:val="superscript"/>
                    </w:rPr>
                    <w:t>***</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-0.369</w:t>
                  </w:r>
                  <w:r w:rsidRPr="00BC1144">
                    <w:rPr>
                      <w:vertAlign w:val="superscript"/>
                    </w:rPr>
                    <w:t>***</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-0.226</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-0.370</w:t>
                  </w:r>
                  <w:r w:rsidRPr="00BC1144">
                    <w:rPr>
                      <w:vertAlign w:val="superscript"/>
                    </w:rPr>
                    <w:t>**</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-0.304</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-0.406</w:t>
                  </w:r>
                  <w:r w:rsidRPr="00BC1144">
                    <w:rPr>
                      <w:vertAlign w:val="superscript"/>
                    </w:rPr>
                    <w:t>**</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r w:rsidRPr="00BC1144">
                    <w:t>(0.099)</w:t>
                  </w:r>
                </w:p>
              </w:tc>
              <w:tc>
                <w:tcPr>
                  <w:tcW w:w="468" w:type="pct"/>
                  <w:shd w:val="clear" w:color="auto" w:fill="auto"/>
                  <w:vAlign w:val="center"/>
                </w:tcPr>
                <w:p w:rsidR="006E391F" w:rsidRPr="00BC1144" w:rsidRDefault="006E391F" w:rsidP="00336FA0">
                  <w:pPr>
                    <w:pStyle w:val="TableBodyText"/>
                    <w:keepNext w:val="0"/>
                    <w:keepLines w:val="0"/>
                  </w:pPr>
                  <w:r w:rsidRPr="00BC1144">
                    <w:t>(0.101)</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(0.512)</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(0.493)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(0.093)</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(0.092)</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(0.160)</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(0.153)</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(0.299)</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(0.202)</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SES of the school: Q3</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-0.290</w:t>
                  </w:r>
                  <w:r w:rsidRPr="00BC1144">
                    <w:rPr>
                      <w:vertAlign w:val="superscript"/>
                    </w:rPr>
                    <w:t>**</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-0.300</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-0.117</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-0.124</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0.100</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0.066</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-0.063</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-0.078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-0.039</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-0.198</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(0.144)</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(0.140)</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(0.842)</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(0.785)</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(0.111)</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(0.106)</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(0.150)</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(0.168)</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(0.342)</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(0.275)</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SES of the school: Q2</w:t>
                  </w:r>
                </w:p>
              </w:tc>
              <w:tc>
                <w:tcPr>
                  <w:tcW w:w="467" w:type="pct"/>
                  <w:shd w:val="clear" w:color="auto" w:fill="auto"/>
                  <w:vAlign w:val="center"/>
                </w:tcPr>
                <w:p w:rsidR="006E391F" w:rsidRPr="00BC1144" w:rsidRDefault="006E391F" w:rsidP="00336FA0">
                  <w:pPr>
                    <w:pStyle w:val="TableBodyText"/>
                    <w:keepNext w:val="0"/>
                    <w:keepLines w:val="0"/>
                  </w:pPr>
                  <w:r w:rsidRPr="00BC1144">
                    <w:t>-0.354</w:t>
                  </w:r>
                  <w:r w:rsidRPr="00BC1144">
                    <w:rPr>
                      <w:vertAlign w:val="superscript"/>
                    </w:rPr>
                    <w:t>**</w:t>
                  </w:r>
                </w:p>
              </w:tc>
              <w:tc>
                <w:tcPr>
                  <w:tcW w:w="468" w:type="pct"/>
                  <w:shd w:val="clear" w:color="auto" w:fill="auto"/>
                  <w:vAlign w:val="center"/>
                </w:tcPr>
                <w:p w:rsidR="006E391F" w:rsidRPr="00BC1144" w:rsidRDefault="006E391F" w:rsidP="00336FA0">
                  <w:pPr>
                    <w:pStyle w:val="TableBodyText"/>
                    <w:keepNext w:val="0"/>
                    <w:keepLines w:val="0"/>
                  </w:pPr>
                  <w:r w:rsidRPr="00BC1144">
                    <w:t>-0.369</w:t>
                  </w:r>
                  <w:r w:rsidRPr="00BC1144">
                    <w:rPr>
                      <w:vertAlign w:val="superscript"/>
                    </w:rPr>
                    <w:t>**</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-0.413</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-0.395</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0.201</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0.164</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-0.171</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-0.317</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-0.025</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-0.233</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r w:rsidRPr="00BC1144">
                    <w:t>(0.161)</w:t>
                  </w:r>
                </w:p>
              </w:tc>
              <w:tc>
                <w:tcPr>
                  <w:tcW w:w="468" w:type="pct"/>
                  <w:shd w:val="clear" w:color="auto" w:fill="auto"/>
                  <w:vAlign w:val="center"/>
                </w:tcPr>
                <w:p w:rsidR="006E391F" w:rsidRPr="00BC1144" w:rsidRDefault="006E391F" w:rsidP="00336FA0">
                  <w:pPr>
                    <w:pStyle w:val="TableBodyText"/>
                    <w:keepNext w:val="0"/>
                    <w:keepLines w:val="0"/>
                  </w:pPr>
                  <w:r w:rsidRPr="00BC1144">
                    <w:t>(0.162)</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(0.858)</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(0.921)</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(0.144)</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(0.127)</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(0.323)</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(0.405)</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(0.358)</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(0.310)</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r w:rsidRPr="00BC1144">
                    <w:t>SES of the school: Q1</w:t>
                  </w: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-0.271</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-0.263</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-0.376</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-0.369</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0.137</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0.156</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-0.181</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-0.217</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0.063</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-0.097</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keepNext w:val="0"/>
                    <w:keepLines w:val="0"/>
                    <w:jc w:val="left"/>
                  </w:pPr>
                </w:p>
              </w:tc>
              <w:tc>
                <w:tcPr>
                  <w:tcW w:w="467" w:type="pct"/>
                  <w:shd w:val="clear" w:color="auto" w:fill="F2F2F2" w:themeFill="background1" w:themeFillShade="F2"/>
                  <w:vAlign w:val="center"/>
                </w:tcPr>
                <w:p w:rsidR="006E391F" w:rsidRPr="00BC1144" w:rsidRDefault="006E391F" w:rsidP="00336FA0">
                  <w:pPr>
                    <w:pStyle w:val="TableBodyText"/>
                    <w:keepNext w:val="0"/>
                    <w:keepLines w:val="0"/>
                  </w:pPr>
                  <w:r w:rsidRPr="00BC1144">
                    <w:t>(0.180)</w:t>
                  </w:r>
                </w:p>
              </w:tc>
              <w:tc>
                <w:tcPr>
                  <w:tcW w:w="468" w:type="pct"/>
                  <w:shd w:val="clear" w:color="auto" w:fill="F2F2F2" w:themeFill="background1" w:themeFillShade="F2"/>
                  <w:vAlign w:val="center"/>
                </w:tcPr>
                <w:p w:rsidR="006E391F" w:rsidRPr="00BC1144" w:rsidRDefault="006E391F" w:rsidP="00336FA0">
                  <w:pPr>
                    <w:pStyle w:val="TableBodyText"/>
                    <w:keepNext w:val="0"/>
                    <w:keepLines w:val="0"/>
                  </w:pPr>
                  <w:r w:rsidRPr="00BC1144">
                    <w:t>(0.180)</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(1.008)</w:t>
                  </w:r>
                </w:p>
              </w:tc>
              <w:tc>
                <w:tcPr>
                  <w:tcW w:w="417"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(1.019)</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(0.170)</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(0.145)</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(0.268)</w:t>
                  </w:r>
                </w:p>
              </w:tc>
              <w:tc>
                <w:tcPr>
                  <w:tcW w:w="418"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(0.332)</w:t>
                  </w:r>
                </w:p>
              </w:tc>
              <w:tc>
                <w:tcPr>
                  <w:tcW w:w="416"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(0.481)</w:t>
                  </w:r>
                </w:p>
              </w:tc>
              <w:tc>
                <w:tcPr>
                  <w:tcW w:w="411" w:type="pct"/>
                  <w:shd w:val="clear" w:color="auto" w:fill="F2F2F2" w:themeFill="background1" w:themeFillShade="F2"/>
                  <w:vAlign w:val="center"/>
                </w:tcPr>
                <w:p w:rsidR="006E391F" w:rsidRPr="00BC1144" w:rsidRDefault="006E391F" w:rsidP="00336FA0">
                  <w:pPr>
                    <w:pStyle w:val="TableBodyText"/>
                    <w:keepNext w:val="0"/>
                    <w:keepLines w:val="0"/>
                    <w:ind w:right="28"/>
                  </w:pPr>
                  <w:r w:rsidRPr="00BC1144">
                    <w:t>(0.398)</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r w:rsidRPr="00BC1144">
                    <w:t>Sector: Catholic</w:t>
                  </w:r>
                </w:p>
              </w:tc>
              <w:tc>
                <w:tcPr>
                  <w:tcW w:w="467" w:type="pct"/>
                  <w:shd w:val="clear" w:color="auto" w:fill="auto"/>
                  <w:vAlign w:val="center"/>
                </w:tcPr>
                <w:p w:rsidR="006E391F" w:rsidRPr="00BC1144" w:rsidRDefault="006E391F" w:rsidP="00336FA0">
                  <w:pPr>
                    <w:pStyle w:val="TableBodyText"/>
                    <w:keepNext w:val="0"/>
                    <w:keepLines w:val="0"/>
                  </w:pPr>
                  <w:r w:rsidRPr="00BC1144">
                    <w:t>0.016</w:t>
                  </w:r>
                </w:p>
              </w:tc>
              <w:tc>
                <w:tcPr>
                  <w:tcW w:w="468" w:type="pct"/>
                  <w:shd w:val="clear" w:color="auto" w:fill="auto"/>
                  <w:vAlign w:val="center"/>
                </w:tcPr>
                <w:p w:rsidR="006E391F" w:rsidRPr="00BC1144" w:rsidRDefault="006E391F" w:rsidP="00336FA0">
                  <w:pPr>
                    <w:pStyle w:val="TableBodyText"/>
                    <w:keepNext w:val="0"/>
                    <w:keepLines w:val="0"/>
                  </w:pPr>
                  <w:r w:rsidRPr="00BC1144">
                    <w:t>0.052</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0.406</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0.421</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-0.039</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-0.094</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0.209</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0.201</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0.033</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-0.013</w:t>
                  </w: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keepNext w:val="0"/>
                    <w:keepLines w:val="0"/>
                    <w:jc w:val="left"/>
                  </w:pPr>
                </w:p>
              </w:tc>
              <w:tc>
                <w:tcPr>
                  <w:tcW w:w="467" w:type="pct"/>
                  <w:shd w:val="clear" w:color="auto" w:fill="auto"/>
                  <w:vAlign w:val="center"/>
                </w:tcPr>
                <w:p w:rsidR="006E391F" w:rsidRPr="00BC1144" w:rsidRDefault="006E391F" w:rsidP="00336FA0">
                  <w:pPr>
                    <w:pStyle w:val="TableBodyText"/>
                    <w:keepNext w:val="0"/>
                    <w:keepLines w:val="0"/>
                  </w:pPr>
                  <w:r w:rsidRPr="00BC1144">
                    <w:t>(0.142)</w:t>
                  </w:r>
                </w:p>
              </w:tc>
              <w:tc>
                <w:tcPr>
                  <w:tcW w:w="468" w:type="pct"/>
                  <w:shd w:val="clear" w:color="auto" w:fill="auto"/>
                  <w:vAlign w:val="center"/>
                </w:tcPr>
                <w:p w:rsidR="006E391F" w:rsidRPr="00BC1144" w:rsidRDefault="006E391F" w:rsidP="00336FA0">
                  <w:pPr>
                    <w:pStyle w:val="TableBodyText"/>
                    <w:keepNext w:val="0"/>
                    <w:keepLines w:val="0"/>
                  </w:pPr>
                  <w:r w:rsidRPr="00BC1144">
                    <w:t>(0.152)</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(0.911)</w:t>
                  </w:r>
                </w:p>
              </w:tc>
              <w:tc>
                <w:tcPr>
                  <w:tcW w:w="417" w:type="pct"/>
                  <w:shd w:val="clear" w:color="auto" w:fill="auto"/>
                  <w:vAlign w:val="center"/>
                </w:tcPr>
                <w:p w:rsidR="006E391F" w:rsidRPr="00BC1144" w:rsidRDefault="006E391F" w:rsidP="00336FA0">
                  <w:pPr>
                    <w:pStyle w:val="TableBodyText"/>
                    <w:keepNext w:val="0"/>
                    <w:keepLines w:val="0"/>
                    <w:ind w:right="28"/>
                  </w:pPr>
                  <w:r w:rsidRPr="00BC1144">
                    <w:t>(0.852)</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(0.133)</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(0.124)</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(0.153)</w:t>
                  </w:r>
                </w:p>
              </w:tc>
              <w:tc>
                <w:tcPr>
                  <w:tcW w:w="418" w:type="pct"/>
                  <w:shd w:val="clear" w:color="auto" w:fill="auto"/>
                  <w:vAlign w:val="center"/>
                </w:tcPr>
                <w:p w:rsidR="006E391F" w:rsidRPr="00BC1144" w:rsidRDefault="006E391F" w:rsidP="00336FA0">
                  <w:pPr>
                    <w:pStyle w:val="TableBodyText"/>
                    <w:keepNext w:val="0"/>
                    <w:keepLines w:val="0"/>
                    <w:ind w:right="28"/>
                  </w:pPr>
                  <w:r w:rsidRPr="00BC1144">
                    <w:t>(0.225)</w:t>
                  </w:r>
                </w:p>
              </w:tc>
              <w:tc>
                <w:tcPr>
                  <w:tcW w:w="416" w:type="pct"/>
                  <w:shd w:val="clear" w:color="auto" w:fill="auto"/>
                  <w:vAlign w:val="center"/>
                </w:tcPr>
                <w:p w:rsidR="006E391F" w:rsidRPr="00BC1144" w:rsidRDefault="006E391F" w:rsidP="00336FA0">
                  <w:pPr>
                    <w:pStyle w:val="TableBodyText"/>
                    <w:keepNext w:val="0"/>
                    <w:keepLines w:val="0"/>
                    <w:ind w:right="28"/>
                  </w:pPr>
                  <w:r w:rsidRPr="00BC1144">
                    <w:t>(0.617)</w:t>
                  </w:r>
                </w:p>
              </w:tc>
              <w:tc>
                <w:tcPr>
                  <w:tcW w:w="411" w:type="pct"/>
                  <w:shd w:val="clear" w:color="auto" w:fill="auto"/>
                  <w:vAlign w:val="center"/>
                </w:tcPr>
                <w:p w:rsidR="006E391F" w:rsidRPr="00BC1144" w:rsidRDefault="006E391F" w:rsidP="00336FA0">
                  <w:pPr>
                    <w:pStyle w:val="TableBodyText"/>
                    <w:keepNext w:val="0"/>
                    <w:keepLines w:val="0"/>
                    <w:ind w:right="28"/>
                  </w:pPr>
                  <w:r w:rsidRPr="00BC1144">
                    <w:t>(0.388)</w:t>
                  </w:r>
                </w:p>
              </w:tc>
            </w:tr>
          </w:tbl>
          <w:p w:rsidR="006E391F" w:rsidRPr="00BC1144" w:rsidRDefault="006E391F" w:rsidP="00336FA0">
            <w:pPr>
              <w:pStyle w:val="Box"/>
              <w:keepNext w:val="0"/>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Continued"/>
              <w:spacing w:before="120"/>
            </w:pPr>
            <w:r w:rsidRPr="00BC1144">
              <w:t>(continued next page)</w:t>
            </w:r>
          </w:p>
        </w:tc>
      </w:tr>
      <w:tr w:rsidR="006E391F" w:rsidRPr="00BC1144" w:rsidTr="00336FA0">
        <w:tc>
          <w:tcPr>
            <w:tcW w:w="5000" w:type="pct"/>
            <w:tcBorders>
              <w:top w:val="nil"/>
              <w:left w:val="nil"/>
              <w:bottom w:val="single" w:sz="6" w:space="0" w:color="78A22F"/>
              <w:right w:val="nil"/>
            </w:tcBorders>
            <w:shd w:val="clear" w:color="auto" w:fill="auto"/>
          </w:tcPr>
          <w:p w:rsidR="006E391F" w:rsidRPr="00BC1144" w:rsidRDefault="006E391F" w:rsidP="00336FA0">
            <w:pPr>
              <w:pStyle w:val="Box"/>
              <w:keepNext w:val="0"/>
              <w:spacing w:before="0" w:line="120" w:lineRule="exact"/>
            </w:pPr>
          </w:p>
        </w:tc>
      </w:tr>
    </w:tbl>
    <w:p w:rsidR="006E391F" w:rsidRPr="00BC1144" w:rsidRDefault="006E391F" w:rsidP="00336FA0">
      <w:pPr>
        <w:pStyle w:val="BoxSpaceAbove"/>
        <w:keepNext w:val="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B.16</w:t>
            </w:r>
            <w:r w:rsidRPr="00BC1144">
              <w:rPr>
                <w:b w:val="0"/>
              </w:rPr>
              <w:tab/>
            </w:r>
            <w:r w:rsidRPr="00BC1144">
              <w:rPr>
                <w:b w:val="0"/>
                <w:sz w:val="20"/>
                <w:szCs w:val="20"/>
              </w:rPr>
              <w:t>(continued)</w:t>
            </w:r>
          </w:p>
        </w:tc>
      </w:tr>
      <w:tr w:rsidR="006E391F" w:rsidRPr="00BC1144" w:rsidTr="00A0508D">
        <w:tc>
          <w:tcPr>
            <w:tcW w:w="5000" w:type="pct"/>
            <w:tcBorders>
              <w:top w:val="single" w:sz="6" w:space="0" w:color="78A22F"/>
              <w:left w:val="nil"/>
              <w:bottom w:val="nil"/>
              <w:right w:val="nil"/>
            </w:tcBorders>
            <w:shd w:val="clear" w:color="auto" w:fill="auto"/>
          </w:tcPr>
          <w:tbl>
            <w:tblPr>
              <w:tblW w:w="8528" w:type="dxa"/>
              <w:tblCellMar>
                <w:top w:w="28" w:type="dxa"/>
                <w:left w:w="0" w:type="dxa"/>
                <w:right w:w="0" w:type="dxa"/>
              </w:tblCellMar>
              <w:tblLook w:val="0000" w:firstRow="0" w:lastRow="0" w:firstColumn="0" w:lastColumn="0" w:noHBand="0" w:noVBand="0"/>
            </w:tblPr>
            <w:tblGrid>
              <w:gridCol w:w="1355"/>
              <w:gridCol w:w="799"/>
              <w:gridCol w:w="795"/>
              <w:gridCol w:w="699"/>
              <w:gridCol w:w="699"/>
              <w:gridCol w:w="699"/>
              <w:gridCol w:w="626"/>
              <w:gridCol w:w="73"/>
              <w:gridCol w:w="699"/>
              <w:gridCol w:w="699"/>
              <w:gridCol w:w="85"/>
              <w:gridCol w:w="614"/>
              <w:gridCol w:w="686"/>
            </w:tblGrid>
            <w:tr w:rsidR="006E391F" w:rsidRPr="00BC1144" w:rsidTr="00336FA0">
              <w:trPr>
                <w:tblHeader/>
              </w:trPr>
              <w:tc>
                <w:tcPr>
                  <w:tcW w:w="794"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p>
              </w:tc>
              <w:tc>
                <w:tcPr>
                  <w:tcW w:w="934" w:type="pct"/>
                  <w:gridSpan w:val="2"/>
                  <w:tcBorders>
                    <w:top w:val="single" w:sz="6" w:space="0" w:color="BFBFBF"/>
                    <w:bottom w:val="single" w:sz="6" w:space="0" w:color="BFBFBF"/>
                  </w:tcBorders>
                </w:tcPr>
                <w:p w:rsidR="006E391F" w:rsidRPr="00BC1144" w:rsidRDefault="006E391F" w:rsidP="00336FA0">
                  <w:pPr>
                    <w:pStyle w:val="TableColumnHeading"/>
                  </w:pPr>
                  <w:r w:rsidRPr="00BC1144">
                    <w:t>2003</w:t>
                  </w:r>
                </w:p>
              </w:tc>
              <w:tc>
                <w:tcPr>
                  <w:tcW w:w="820" w:type="pct"/>
                  <w:gridSpan w:val="2"/>
                  <w:tcBorders>
                    <w:top w:val="single" w:sz="6" w:space="0" w:color="BFBFBF"/>
                    <w:bottom w:val="single" w:sz="6" w:space="0" w:color="BFBFBF"/>
                  </w:tcBorders>
                </w:tcPr>
                <w:p w:rsidR="006E391F" w:rsidRPr="00BC1144" w:rsidRDefault="006E391F" w:rsidP="00336FA0">
                  <w:pPr>
                    <w:pStyle w:val="TableColumnHeading"/>
                  </w:pPr>
                  <w:r w:rsidRPr="00BC1144">
                    <w:t>2006</w:t>
                  </w:r>
                </w:p>
              </w:tc>
              <w:tc>
                <w:tcPr>
                  <w:tcW w:w="777" w:type="pct"/>
                  <w:gridSpan w:val="2"/>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2010</w:t>
                  </w:r>
                </w:p>
              </w:tc>
              <w:tc>
                <w:tcPr>
                  <w:tcW w:w="913" w:type="pct"/>
                  <w:gridSpan w:val="4"/>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2013</w:t>
                  </w:r>
                </w:p>
              </w:tc>
              <w:tc>
                <w:tcPr>
                  <w:tcW w:w="762" w:type="pct"/>
                  <w:gridSpan w:val="2"/>
                  <w:tcBorders>
                    <w:top w:val="single" w:sz="6" w:space="0" w:color="BFBFBF"/>
                    <w:bottom w:val="single" w:sz="6" w:space="0" w:color="BFBFBF"/>
                  </w:tcBorders>
                </w:tcPr>
                <w:p w:rsidR="006E391F" w:rsidRPr="00BC1144" w:rsidRDefault="006E391F" w:rsidP="00336FA0">
                  <w:pPr>
                    <w:pStyle w:val="TableColumnHeading"/>
                    <w:ind w:right="28"/>
                  </w:pPr>
                  <w:r w:rsidRPr="00BC1144">
                    <w:t>2016</w:t>
                  </w:r>
                </w:p>
              </w:tc>
            </w:tr>
            <w:tr w:rsidR="006E391F" w:rsidRPr="00BC1144" w:rsidTr="00336FA0">
              <w:trPr>
                <w:trHeight w:val="329"/>
              </w:trPr>
              <w:tc>
                <w:tcPr>
                  <w:tcW w:w="794" w:type="pct"/>
                  <w:tcBorders>
                    <w:top w:val="single" w:sz="6" w:space="0" w:color="BFBFBF"/>
                  </w:tcBorders>
                </w:tcPr>
                <w:p w:rsidR="006E391F" w:rsidRPr="00BC1144" w:rsidRDefault="006E391F" w:rsidP="00336FA0">
                  <w:pPr>
                    <w:pStyle w:val="TableUnitsRow"/>
                    <w:jc w:val="left"/>
                  </w:pPr>
                </w:p>
              </w:tc>
              <w:tc>
                <w:tcPr>
                  <w:tcW w:w="468" w:type="pct"/>
                  <w:tcBorders>
                    <w:top w:val="single" w:sz="6" w:space="0" w:color="BFBFBF"/>
                  </w:tcBorders>
                  <w:vAlign w:val="center"/>
                </w:tcPr>
                <w:p w:rsidR="006E391F" w:rsidRPr="00BC1144" w:rsidRDefault="006E391F" w:rsidP="00336FA0">
                  <w:pPr>
                    <w:pStyle w:val="TableUnitsRow"/>
                  </w:pPr>
                  <w:r w:rsidRPr="00BC1144">
                    <w:t>(i)</w:t>
                  </w:r>
                </w:p>
              </w:tc>
              <w:tc>
                <w:tcPr>
                  <w:tcW w:w="466" w:type="pct"/>
                  <w:tcBorders>
                    <w:top w:val="single" w:sz="6" w:space="0" w:color="BFBFBF"/>
                  </w:tcBorders>
                  <w:vAlign w:val="center"/>
                </w:tcPr>
                <w:p w:rsidR="006E391F" w:rsidRPr="00BC1144" w:rsidRDefault="006E391F" w:rsidP="00336FA0">
                  <w:pPr>
                    <w:pStyle w:val="TableUnitsRow"/>
                  </w:pPr>
                  <w:r w:rsidRPr="00BC1144">
                    <w:t>(ii)</w:t>
                  </w:r>
                </w:p>
              </w:tc>
              <w:tc>
                <w:tcPr>
                  <w:tcW w:w="410" w:type="pct"/>
                  <w:tcBorders>
                    <w:top w:val="single" w:sz="6" w:space="0" w:color="BFBFBF"/>
                  </w:tcBorders>
                  <w:vAlign w:val="center"/>
                </w:tcPr>
                <w:p w:rsidR="006E391F" w:rsidRPr="00BC1144" w:rsidRDefault="006E391F" w:rsidP="00336FA0">
                  <w:pPr>
                    <w:pStyle w:val="TableUnitsRow"/>
                    <w:ind w:right="28"/>
                  </w:pPr>
                  <w:r w:rsidRPr="00BC1144">
                    <w:t>(i)</w:t>
                  </w:r>
                </w:p>
              </w:tc>
              <w:tc>
                <w:tcPr>
                  <w:tcW w:w="410" w:type="pct"/>
                  <w:tcBorders>
                    <w:top w:val="single" w:sz="6" w:space="0" w:color="BFBFBF"/>
                  </w:tcBorders>
                  <w:vAlign w:val="center"/>
                </w:tcPr>
                <w:p w:rsidR="006E391F" w:rsidRPr="00BC1144" w:rsidRDefault="006E391F" w:rsidP="00336FA0">
                  <w:pPr>
                    <w:pStyle w:val="TableUnitsRow"/>
                    <w:ind w:right="28"/>
                  </w:pPr>
                  <w:r w:rsidRPr="00BC1144">
                    <w:t>(ii)</w:t>
                  </w:r>
                </w:p>
              </w:tc>
              <w:tc>
                <w:tcPr>
                  <w:tcW w:w="410" w:type="pct"/>
                  <w:tcBorders>
                    <w:top w:val="single" w:sz="6" w:space="0" w:color="BFBFBF"/>
                  </w:tcBorders>
                  <w:vAlign w:val="center"/>
                </w:tcPr>
                <w:p w:rsidR="006E391F" w:rsidRPr="00BC1144" w:rsidRDefault="006E391F" w:rsidP="00336FA0">
                  <w:pPr>
                    <w:pStyle w:val="TableUnitsRow"/>
                    <w:ind w:right="28"/>
                  </w:pPr>
                  <w:r w:rsidRPr="00BC1144">
                    <w:t>(i)</w:t>
                  </w:r>
                </w:p>
              </w:tc>
              <w:tc>
                <w:tcPr>
                  <w:tcW w:w="410" w:type="pct"/>
                  <w:gridSpan w:val="2"/>
                  <w:tcBorders>
                    <w:top w:val="single" w:sz="6" w:space="0" w:color="BFBFBF"/>
                  </w:tcBorders>
                  <w:vAlign w:val="center"/>
                </w:tcPr>
                <w:p w:rsidR="006E391F" w:rsidRPr="00BC1144" w:rsidRDefault="006E391F" w:rsidP="00336FA0">
                  <w:pPr>
                    <w:pStyle w:val="TableUnitsRow"/>
                    <w:ind w:right="28"/>
                  </w:pPr>
                  <w:r w:rsidRPr="00BC1144">
                    <w:t>(ii)</w:t>
                  </w:r>
                </w:p>
              </w:tc>
              <w:tc>
                <w:tcPr>
                  <w:tcW w:w="410" w:type="pct"/>
                  <w:tcBorders>
                    <w:top w:val="single" w:sz="6" w:space="0" w:color="BFBFBF"/>
                  </w:tcBorders>
                  <w:vAlign w:val="center"/>
                </w:tcPr>
                <w:p w:rsidR="006E391F" w:rsidRPr="00BC1144" w:rsidRDefault="006E391F" w:rsidP="00336FA0">
                  <w:pPr>
                    <w:pStyle w:val="TableUnitsRow"/>
                    <w:ind w:right="28"/>
                  </w:pPr>
                  <w:r w:rsidRPr="00BC1144">
                    <w:t>(i)</w:t>
                  </w:r>
                </w:p>
              </w:tc>
              <w:tc>
                <w:tcPr>
                  <w:tcW w:w="410" w:type="pct"/>
                  <w:tcBorders>
                    <w:top w:val="single" w:sz="6" w:space="0" w:color="BFBFBF"/>
                  </w:tcBorders>
                  <w:vAlign w:val="center"/>
                </w:tcPr>
                <w:p w:rsidR="006E391F" w:rsidRPr="00BC1144" w:rsidRDefault="006E391F" w:rsidP="00336FA0">
                  <w:pPr>
                    <w:pStyle w:val="TableUnitsRow"/>
                    <w:ind w:right="28"/>
                  </w:pPr>
                  <w:r w:rsidRPr="00BC1144">
                    <w:t>(ii)</w:t>
                  </w:r>
                </w:p>
              </w:tc>
              <w:tc>
                <w:tcPr>
                  <w:tcW w:w="410" w:type="pct"/>
                  <w:gridSpan w:val="2"/>
                  <w:tcBorders>
                    <w:top w:val="single" w:sz="6" w:space="0" w:color="BFBFBF"/>
                  </w:tcBorders>
                  <w:vAlign w:val="center"/>
                </w:tcPr>
                <w:p w:rsidR="006E391F" w:rsidRPr="00BC1144" w:rsidRDefault="006E391F" w:rsidP="00336FA0">
                  <w:pPr>
                    <w:pStyle w:val="TableUnitsRow"/>
                    <w:ind w:right="28"/>
                  </w:pPr>
                  <w:r w:rsidRPr="00BC1144">
                    <w:t>(i)</w:t>
                  </w:r>
                </w:p>
              </w:tc>
              <w:tc>
                <w:tcPr>
                  <w:tcW w:w="403" w:type="pct"/>
                  <w:tcBorders>
                    <w:top w:val="single" w:sz="6" w:space="0" w:color="BFBFBF"/>
                  </w:tcBorders>
                  <w:vAlign w:val="center"/>
                </w:tcPr>
                <w:p w:rsidR="006E391F" w:rsidRPr="00BC1144" w:rsidRDefault="006E391F" w:rsidP="00336FA0">
                  <w:pPr>
                    <w:pStyle w:val="TableUnitsRow"/>
                    <w:ind w:right="28"/>
                  </w:pPr>
                  <w:r w:rsidRPr="00BC1144">
                    <w:t>(ii)</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Sector: Public</w:t>
                  </w:r>
                </w:p>
              </w:tc>
              <w:tc>
                <w:tcPr>
                  <w:tcW w:w="468" w:type="pct"/>
                  <w:shd w:val="clear" w:color="auto" w:fill="F2F2F2" w:themeFill="background1" w:themeFillShade="F2"/>
                  <w:vAlign w:val="center"/>
                </w:tcPr>
                <w:p w:rsidR="006E391F" w:rsidRPr="00BC1144" w:rsidRDefault="006E391F" w:rsidP="00336FA0">
                  <w:pPr>
                    <w:pStyle w:val="TableBodyText"/>
                  </w:pPr>
                  <w:r w:rsidRPr="00BC1144">
                    <w:t>-0.266</w:t>
                  </w:r>
                  <w:r w:rsidRPr="00BC1144">
                    <w:rPr>
                      <w:vertAlign w:val="superscript"/>
                    </w:rPr>
                    <w:t>**</w:t>
                  </w:r>
                </w:p>
              </w:tc>
              <w:tc>
                <w:tcPr>
                  <w:tcW w:w="466" w:type="pct"/>
                  <w:shd w:val="clear" w:color="auto" w:fill="F2F2F2" w:themeFill="background1" w:themeFillShade="F2"/>
                  <w:vAlign w:val="center"/>
                </w:tcPr>
                <w:p w:rsidR="006E391F" w:rsidRPr="00BC1144" w:rsidRDefault="006E391F" w:rsidP="00336FA0">
                  <w:pPr>
                    <w:pStyle w:val="TableBodyText"/>
                  </w:pPr>
                  <w:r w:rsidRPr="00BC1144">
                    <w:t>-0.267</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-0.000</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0.013</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-0.253</w:t>
                  </w:r>
                  <w:r w:rsidRPr="00BC1144">
                    <w:rPr>
                      <w:vertAlign w:val="superscript"/>
                    </w:rPr>
                    <w:t>**</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-0.449</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0.079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-0.068</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-0.193</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-0.331</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(0.131)</w:t>
                  </w:r>
                </w:p>
              </w:tc>
              <w:tc>
                <w:tcPr>
                  <w:tcW w:w="466" w:type="pct"/>
                  <w:shd w:val="clear" w:color="auto" w:fill="F2F2F2" w:themeFill="background1" w:themeFillShade="F2"/>
                  <w:vAlign w:val="center"/>
                </w:tcPr>
                <w:p w:rsidR="006E391F" w:rsidRPr="00BC1144" w:rsidRDefault="006E391F" w:rsidP="00336FA0">
                  <w:pPr>
                    <w:pStyle w:val="TableBodyText"/>
                  </w:pPr>
                  <w:r w:rsidRPr="00BC1144">
                    <w:t>(0.134)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(1.036)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(0.942)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(0.115)</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(0.110)</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(0.172)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(0.296)</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(0.560)</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(0.352)</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Neighbourhood SES: Q3</w:t>
                  </w:r>
                </w:p>
              </w:tc>
              <w:tc>
                <w:tcPr>
                  <w:tcW w:w="468" w:type="pct"/>
                  <w:shd w:val="clear" w:color="auto" w:fill="auto"/>
                  <w:vAlign w:val="center"/>
                </w:tcPr>
                <w:p w:rsidR="006E391F" w:rsidRPr="00BC1144" w:rsidRDefault="006E391F" w:rsidP="00336FA0">
                  <w:pPr>
                    <w:pStyle w:val="TableBodyText"/>
                  </w:pPr>
                  <w:r w:rsidRPr="00BC1144">
                    <w:t>0.088</w:t>
                  </w:r>
                </w:p>
              </w:tc>
              <w:tc>
                <w:tcPr>
                  <w:tcW w:w="466" w:type="pct"/>
                  <w:shd w:val="clear" w:color="auto" w:fill="auto"/>
                  <w:vAlign w:val="center"/>
                </w:tcPr>
                <w:p w:rsidR="006E391F" w:rsidRPr="00BC1144" w:rsidRDefault="006E391F" w:rsidP="00336FA0">
                  <w:pPr>
                    <w:pStyle w:val="TableBodyText"/>
                  </w:pPr>
                  <w:r w:rsidRPr="00BC1144">
                    <w:t>0.055</w:t>
                  </w:r>
                </w:p>
              </w:tc>
              <w:tc>
                <w:tcPr>
                  <w:tcW w:w="410" w:type="pct"/>
                  <w:shd w:val="clear" w:color="auto" w:fill="auto"/>
                  <w:vAlign w:val="center"/>
                </w:tcPr>
                <w:p w:rsidR="006E391F" w:rsidRPr="00BC1144" w:rsidRDefault="006E391F" w:rsidP="00336FA0">
                  <w:pPr>
                    <w:pStyle w:val="TableBodyText"/>
                    <w:ind w:right="28"/>
                  </w:pPr>
                  <w:r w:rsidRPr="00BC1144">
                    <w:t>0.188</w:t>
                  </w:r>
                </w:p>
              </w:tc>
              <w:tc>
                <w:tcPr>
                  <w:tcW w:w="410" w:type="pct"/>
                  <w:shd w:val="clear" w:color="auto" w:fill="auto"/>
                  <w:vAlign w:val="center"/>
                </w:tcPr>
                <w:p w:rsidR="006E391F" w:rsidRPr="00BC1144" w:rsidRDefault="006E391F" w:rsidP="00336FA0">
                  <w:pPr>
                    <w:pStyle w:val="TableBodyText"/>
                    <w:ind w:right="28"/>
                  </w:pPr>
                  <w:r w:rsidRPr="00BC1144">
                    <w:t>0.191</w:t>
                  </w:r>
                </w:p>
              </w:tc>
              <w:tc>
                <w:tcPr>
                  <w:tcW w:w="410" w:type="pct"/>
                  <w:shd w:val="clear" w:color="auto" w:fill="auto"/>
                  <w:vAlign w:val="center"/>
                </w:tcPr>
                <w:p w:rsidR="006E391F" w:rsidRPr="00BC1144" w:rsidRDefault="006E391F" w:rsidP="00336FA0">
                  <w:pPr>
                    <w:pStyle w:val="TableBodyText"/>
                    <w:ind w:right="28"/>
                  </w:pPr>
                  <w:r w:rsidRPr="00BC1144">
                    <w:t>-0.064</w:t>
                  </w:r>
                </w:p>
              </w:tc>
              <w:tc>
                <w:tcPr>
                  <w:tcW w:w="410" w:type="pct"/>
                  <w:gridSpan w:val="2"/>
                  <w:shd w:val="clear" w:color="auto" w:fill="auto"/>
                  <w:vAlign w:val="center"/>
                </w:tcPr>
                <w:p w:rsidR="006E391F" w:rsidRPr="00BC1144" w:rsidRDefault="006E391F" w:rsidP="00336FA0">
                  <w:pPr>
                    <w:pStyle w:val="TableBodyText"/>
                    <w:ind w:right="28"/>
                  </w:pPr>
                  <w:r w:rsidRPr="00BC1144">
                    <w:t>-0.152</w:t>
                  </w:r>
                </w:p>
              </w:tc>
              <w:tc>
                <w:tcPr>
                  <w:tcW w:w="410" w:type="pct"/>
                  <w:shd w:val="clear" w:color="auto" w:fill="auto"/>
                  <w:vAlign w:val="center"/>
                </w:tcPr>
                <w:p w:rsidR="006E391F" w:rsidRPr="00BC1144" w:rsidRDefault="006E391F" w:rsidP="00336FA0">
                  <w:pPr>
                    <w:pStyle w:val="TableBodyText"/>
                    <w:ind w:right="28"/>
                  </w:pPr>
                  <w:r w:rsidRPr="00BC1144">
                    <w:t>-0.123</w:t>
                  </w:r>
                </w:p>
              </w:tc>
              <w:tc>
                <w:tcPr>
                  <w:tcW w:w="410" w:type="pct"/>
                  <w:shd w:val="clear" w:color="auto" w:fill="auto"/>
                  <w:vAlign w:val="center"/>
                </w:tcPr>
                <w:p w:rsidR="006E391F" w:rsidRPr="00BC1144" w:rsidRDefault="006E391F" w:rsidP="00336FA0">
                  <w:pPr>
                    <w:pStyle w:val="TableBodyText"/>
                    <w:ind w:right="28"/>
                  </w:pPr>
                  <w:r w:rsidRPr="00BC1144">
                    <w:t>-0.141</w:t>
                  </w:r>
                </w:p>
              </w:tc>
              <w:tc>
                <w:tcPr>
                  <w:tcW w:w="410" w:type="pct"/>
                  <w:gridSpan w:val="2"/>
                  <w:shd w:val="clear" w:color="auto" w:fill="auto"/>
                  <w:vAlign w:val="center"/>
                </w:tcPr>
                <w:p w:rsidR="006E391F" w:rsidRPr="00BC1144" w:rsidRDefault="006E391F" w:rsidP="00336FA0">
                  <w:pPr>
                    <w:pStyle w:val="TableBodyText"/>
                    <w:ind w:right="28"/>
                  </w:pPr>
                  <w:r w:rsidRPr="00BC1144">
                    <w:t>-0.083</w:t>
                  </w:r>
                </w:p>
              </w:tc>
              <w:tc>
                <w:tcPr>
                  <w:tcW w:w="403" w:type="pct"/>
                  <w:shd w:val="clear" w:color="auto" w:fill="auto"/>
                  <w:vAlign w:val="center"/>
                </w:tcPr>
                <w:p w:rsidR="006E391F" w:rsidRPr="00BC1144" w:rsidRDefault="006E391F" w:rsidP="00336FA0">
                  <w:pPr>
                    <w:pStyle w:val="TableBodyText"/>
                    <w:ind w:right="28"/>
                  </w:pPr>
                  <w:r w:rsidRPr="00BC1144">
                    <w:t>-0.153</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r w:rsidRPr="00BC1144">
                    <w:t>(0.132)</w:t>
                  </w:r>
                </w:p>
              </w:tc>
              <w:tc>
                <w:tcPr>
                  <w:tcW w:w="466" w:type="pct"/>
                  <w:shd w:val="clear" w:color="auto" w:fill="auto"/>
                  <w:vAlign w:val="center"/>
                </w:tcPr>
                <w:p w:rsidR="006E391F" w:rsidRPr="00BC1144" w:rsidRDefault="006E391F" w:rsidP="00336FA0">
                  <w:pPr>
                    <w:pStyle w:val="TableBodyText"/>
                  </w:pPr>
                  <w:r w:rsidRPr="00BC1144">
                    <w:t>(0.131)</w:t>
                  </w:r>
                </w:p>
              </w:tc>
              <w:tc>
                <w:tcPr>
                  <w:tcW w:w="410" w:type="pct"/>
                  <w:shd w:val="clear" w:color="auto" w:fill="auto"/>
                  <w:vAlign w:val="center"/>
                </w:tcPr>
                <w:p w:rsidR="006E391F" w:rsidRPr="00BC1144" w:rsidRDefault="006E391F" w:rsidP="00336FA0">
                  <w:pPr>
                    <w:pStyle w:val="TableBodyText"/>
                    <w:ind w:right="28"/>
                  </w:pPr>
                  <w:r w:rsidRPr="00BC1144">
                    <w:t>(0.315)</w:t>
                  </w:r>
                </w:p>
              </w:tc>
              <w:tc>
                <w:tcPr>
                  <w:tcW w:w="410" w:type="pct"/>
                  <w:shd w:val="clear" w:color="auto" w:fill="auto"/>
                  <w:vAlign w:val="center"/>
                </w:tcPr>
                <w:p w:rsidR="006E391F" w:rsidRPr="00BC1144" w:rsidRDefault="006E391F" w:rsidP="00336FA0">
                  <w:pPr>
                    <w:pStyle w:val="TableBodyText"/>
                    <w:ind w:right="28"/>
                  </w:pPr>
                  <w:r w:rsidRPr="00BC1144">
                    <w:t>(0.318)</w:t>
                  </w:r>
                </w:p>
              </w:tc>
              <w:tc>
                <w:tcPr>
                  <w:tcW w:w="410" w:type="pct"/>
                  <w:shd w:val="clear" w:color="auto" w:fill="auto"/>
                  <w:vAlign w:val="center"/>
                </w:tcPr>
                <w:p w:rsidR="006E391F" w:rsidRPr="00BC1144" w:rsidRDefault="006E391F" w:rsidP="00336FA0">
                  <w:pPr>
                    <w:pStyle w:val="TableBodyText"/>
                    <w:ind w:right="28"/>
                  </w:pPr>
                  <w:r w:rsidRPr="00BC1144">
                    <w:t>(0.138)</w:t>
                  </w:r>
                </w:p>
              </w:tc>
              <w:tc>
                <w:tcPr>
                  <w:tcW w:w="410" w:type="pct"/>
                  <w:gridSpan w:val="2"/>
                  <w:shd w:val="clear" w:color="auto" w:fill="auto"/>
                  <w:vAlign w:val="center"/>
                </w:tcPr>
                <w:p w:rsidR="006E391F" w:rsidRPr="00BC1144" w:rsidRDefault="006E391F" w:rsidP="00336FA0">
                  <w:pPr>
                    <w:pStyle w:val="TableBodyText"/>
                    <w:ind w:right="28"/>
                  </w:pPr>
                  <w:r w:rsidRPr="00BC1144">
                    <w:t>(0.129)</w:t>
                  </w:r>
                </w:p>
              </w:tc>
              <w:tc>
                <w:tcPr>
                  <w:tcW w:w="410" w:type="pct"/>
                  <w:shd w:val="clear" w:color="auto" w:fill="auto"/>
                  <w:vAlign w:val="center"/>
                </w:tcPr>
                <w:p w:rsidR="006E391F" w:rsidRPr="00BC1144" w:rsidRDefault="006E391F" w:rsidP="00336FA0">
                  <w:pPr>
                    <w:pStyle w:val="TableBodyText"/>
                    <w:ind w:right="28"/>
                  </w:pPr>
                  <w:r w:rsidRPr="00BC1144">
                    <w:t>(0.231)</w:t>
                  </w:r>
                </w:p>
              </w:tc>
              <w:tc>
                <w:tcPr>
                  <w:tcW w:w="410" w:type="pct"/>
                  <w:shd w:val="clear" w:color="auto" w:fill="auto"/>
                  <w:vAlign w:val="center"/>
                </w:tcPr>
                <w:p w:rsidR="006E391F" w:rsidRPr="00BC1144" w:rsidRDefault="006E391F" w:rsidP="00336FA0">
                  <w:pPr>
                    <w:pStyle w:val="TableBodyText"/>
                    <w:ind w:right="28"/>
                  </w:pPr>
                  <w:r w:rsidRPr="00BC1144">
                    <w:t>(0.260)</w:t>
                  </w:r>
                </w:p>
              </w:tc>
              <w:tc>
                <w:tcPr>
                  <w:tcW w:w="410" w:type="pct"/>
                  <w:gridSpan w:val="2"/>
                  <w:shd w:val="clear" w:color="auto" w:fill="auto"/>
                  <w:vAlign w:val="center"/>
                </w:tcPr>
                <w:p w:rsidR="006E391F" w:rsidRPr="00BC1144" w:rsidRDefault="006E391F" w:rsidP="00336FA0">
                  <w:pPr>
                    <w:pStyle w:val="TableBodyText"/>
                    <w:ind w:right="28"/>
                  </w:pPr>
                  <w:r w:rsidRPr="00BC1144">
                    <w:t>(0.520)</w:t>
                  </w:r>
                </w:p>
              </w:tc>
              <w:tc>
                <w:tcPr>
                  <w:tcW w:w="403" w:type="pct"/>
                  <w:shd w:val="clear" w:color="auto" w:fill="auto"/>
                  <w:vAlign w:val="center"/>
                </w:tcPr>
                <w:p w:rsidR="006E391F" w:rsidRPr="00BC1144" w:rsidRDefault="006E391F" w:rsidP="00336FA0">
                  <w:pPr>
                    <w:pStyle w:val="TableBodyText"/>
                    <w:ind w:right="28"/>
                  </w:pPr>
                  <w:r w:rsidRPr="00BC1144">
                    <w:t>(0.357)</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Neighbourhood SES: Q2</w:t>
                  </w:r>
                </w:p>
              </w:tc>
              <w:tc>
                <w:tcPr>
                  <w:tcW w:w="468" w:type="pct"/>
                  <w:shd w:val="clear" w:color="auto" w:fill="F2F2F2" w:themeFill="background1" w:themeFillShade="F2"/>
                  <w:vAlign w:val="center"/>
                </w:tcPr>
                <w:p w:rsidR="006E391F" w:rsidRPr="00BC1144" w:rsidRDefault="006E391F" w:rsidP="00336FA0">
                  <w:pPr>
                    <w:pStyle w:val="TableBodyText"/>
                  </w:pPr>
                  <w:r w:rsidRPr="00BC1144">
                    <w:t>0.357</w:t>
                  </w:r>
                  <w:r w:rsidRPr="00BC1144">
                    <w:rPr>
                      <w:vertAlign w:val="superscript"/>
                    </w:rPr>
                    <w:t>**</w:t>
                  </w:r>
                </w:p>
              </w:tc>
              <w:tc>
                <w:tcPr>
                  <w:tcW w:w="466" w:type="pct"/>
                  <w:shd w:val="clear" w:color="auto" w:fill="F2F2F2" w:themeFill="background1" w:themeFillShade="F2"/>
                  <w:vAlign w:val="center"/>
                </w:tcPr>
                <w:p w:rsidR="006E391F" w:rsidRPr="00BC1144" w:rsidRDefault="006E391F" w:rsidP="00336FA0">
                  <w:pPr>
                    <w:pStyle w:val="TableBodyText"/>
                  </w:pPr>
                  <w:r w:rsidRPr="00BC1144">
                    <w:t>0.271</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0.217</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0.196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0.005</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-0.216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-0.162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-0.150</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-0.142</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-0.225</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(0.163)</w:t>
                  </w:r>
                </w:p>
              </w:tc>
              <w:tc>
                <w:tcPr>
                  <w:tcW w:w="466" w:type="pct"/>
                  <w:shd w:val="clear" w:color="auto" w:fill="F2F2F2" w:themeFill="background1" w:themeFillShade="F2"/>
                  <w:vAlign w:val="center"/>
                </w:tcPr>
                <w:p w:rsidR="006E391F" w:rsidRPr="00BC1144" w:rsidRDefault="006E391F" w:rsidP="00336FA0">
                  <w:pPr>
                    <w:pStyle w:val="TableBodyText"/>
                  </w:pPr>
                  <w:r w:rsidRPr="00BC1144">
                    <w:t>(0.162)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(0.363)</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(0.371)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(0.187)</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(0.165)</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(0.286)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(0.306)</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(0.563)</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(0.386)</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Neighbourhood SES: Q1</w:t>
                  </w:r>
                </w:p>
              </w:tc>
              <w:tc>
                <w:tcPr>
                  <w:tcW w:w="468" w:type="pct"/>
                  <w:shd w:val="clear" w:color="auto" w:fill="auto"/>
                  <w:vAlign w:val="center"/>
                </w:tcPr>
                <w:p w:rsidR="006E391F" w:rsidRPr="00BC1144" w:rsidRDefault="006E391F" w:rsidP="00336FA0">
                  <w:pPr>
                    <w:pStyle w:val="TableBodyText"/>
                  </w:pPr>
                  <w:r w:rsidRPr="00BC1144">
                    <w:t>0.281</w:t>
                  </w:r>
                </w:p>
              </w:tc>
              <w:tc>
                <w:tcPr>
                  <w:tcW w:w="466" w:type="pct"/>
                  <w:shd w:val="clear" w:color="auto" w:fill="auto"/>
                  <w:vAlign w:val="center"/>
                </w:tcPr>
                <w:p w:rsidR="006E391F" w:rsidRPr="00BC1144" w:rsidRDefault="006E391F" w:rsidP="00336FA0">
                  <w:pPr>
                    <w:pStyle w:val="TableBodyText"/>
                  </w:pPr>
                  <w:r w:rsidRPr="00BC1144">
                    <w:t>0.189</w:t>
                  </w:r>
                </w:p>
              </w:tc>
              <w:tc>
                <w:tcPr>
                  <w:tcW w:w="410" w:type="pct"/>
                  <w:shd w:val="clear" w:color="auto" w:fill="auto"/>
                  <w:vAlign w:val="center"/>
                </w:tcPr>
                <w:p w:rsidR="006E391F" w:rsidRPr="00BC1144" w:rsidRDefault="006E391F" w:rsidP="00336FA0">
                  <w:pPr>
                    <w:pStyle w:val="TableBodyText"/>
                    <w:ind w:right="28"/>
                  </w:pPr>
                  <w:r w:rsidRPr="00BC1144">
                    <w:t>0.047</w:t>
                  </w:r>
                </w:p>
              </w:tc>
              <w:tc>
                <w:tcPr>
                  <w:tcW w:w="410" w:type="pct"/>
                  <w:shd w:val="clear" w:color="auto" w:fill="auto"/>
                  <w:vAlign w:val="center"/>
                </w:tcPr>
                <w:p w:rsidR="006E391F" w:rsidRPr="00BC1144" w:rsidRDefault="006E391F" w:rsidP="00336FA0">
                  <w:pPr>
                    <w:pStyle w:val="TableBodyText"/>
                    <w:ind w:right="28"/>
                  </w:pPr>
                  <w:r w:rsidRPr="00BC1144">
                    <w:t>0.037</w:t>
                  </w:r>
                </w:p>
              </w:tc>
              <w:tc>
                <w:tcPr>
                  <w:tcW w:w="410" w:type="pct"/>
                  <w:shd w:val="clear" w:color="auto" w:fill="auto"/>
                  <w:vAlign w:val="center"/>
                </w:tcPr>
                <w:p w:rsidR="006E391F" w:rsidRPr="00BC1144" w:rsidRDefault="006E391F" w:rsidP="00336FA0">
                  <w:pPr>
                    <w:pStyle w:val="TableBodyText"/>
                    <w:ind w:right="28"/>
                  </w:pPr>
                  <w:r w:rsidRPr="00BC1144">
                    <w:t>-0.098</w:t>
                  </w:r>
                </w:p>
              </w:tc>
              <w:tc>
                <w:tcPr>
                  <w:tcW w:w="410" w:type="pct"/>
                  <w:gridSpan w:val="2"/>
                  <w:shd w:val="clear" w:color="auto" w:fill="auto"/>
                  <w:vAlign w:val="center"/>
                </w:tcPr>
                <w:p w:rsidR="006E391F" w:rsidRPr="00BC1144" w:rsidRDefault="006E391F" w:rsidP="00336FA0">
                  <w:pPr>
                    <w:pStyle w:val="TableBodyText"/>
                    <w:ind w:right="28"/>
                  </w:pPr>
                  <w:r w:rsidRPr="00BC1144">
                    <w:t>-0.247</w:t>
                  </w:r>
                </w:p>
              </w:tc>
              <w:tc>
                <w:tcPr>
                  <w:tcW w:w="410" w:type="pct"/>
                  <w:shd w:val="clear" w:color="auto" w:fill="auto"/>
                  <w:vAlign w:val="center"/>
                </w:tcPr>
                <w:p w:rsidR="006E391F" w:rsidRPr="00BC1144" w:rsidRDefault="006E391F" w:rsidP="00336FA0">
                  <w:pPr>
                    <w:pStyle w:val="TableBodyText"/>
                    <w:ind w:right="28"/>
                  </w:pPr>
                  <w:r w:rsidRPr="00BC1144">
                    <w:t>-0.180</w:t>
                  </w:r>
                </w:p>
              </w:tc>
              <w:tc>
                <w:tcPr>
                  <w:tcW w:w="410" w:type="pct"/>
                  <w:shd w:val="clear" w:color="auto" w:fill="auto"/>
                  <w:vAlign w:val="center"/>
                </w:tcPr>
                <w:p w:rsidR="006E391F" w:rsidRPr="00BC1144" w:rsidRDefault="006E391F" w:rsidP="00336FA0">
                  <w:pPr>
                    <w:pStyle w:val="TableBodyText"/>
                    <w:ind w:right="28"/>
                  </w:pPr>
                  <w:r w:rsidRPr="00BC1144">
                    <w:t>-0.207</w:t>
                  </w:r>
                </w:p>
              </w:tc>
              <w:tc>
                <w:tcPr>
                  <w:tcW w:w="410" w:type="pct"/>
                  <w:gridSpan w:val="2"/>
                  <w:shd w:val="clear" w:color="auto" w:fill="auto"/>
                  <w:vAlign w:val="center"/>
                </w:tcPr>
                <w:p w:rsidR="006E391F" w:rsidRPr="00BC1144" w:rsidRDefault="006E391F" w:rsidP="00336FA0">
                  <w:pPr>
                    <w:pStyle w:val="TableBodyText"/>
                    <w:ind w:right="28"/>
                  </w:pPr>
                  <w:r w:rsidRPr="00BC1144">
                    <w:t>-0.182</w:t>
                  </w:r>
                </w:p>
              </w:tc>
              <w:tc>
                <w:tcPr>
                  <w:tcW w:w="403" w:type="pct"/>
                  <w:shd w:val="clear" w:color="auto" w:fill="auto"/>
                  <w:vAlign w:val="center"/>
                </w:tcPr>
                <w:p w:rsidR="006E391F" w:rsidRPr="00BC1144" w:rsidRDefault="006E391F" w:rsidP="00336FA0">
                  <w:pPr>
                    <w:pStyle w:val="TableBodyText"/>
                    <w:ind w:right="28"/>
                  </w:pPr>
                  <w:r w:rsidRPr="00BC1144">
                    <w:t>-0.340</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r w:rsidRPr="00BC1144">
                    <w:t>(0.175)</w:t>
                  </w:r>
                </w:p>
              </w:tc>
              <w:tc>
                <w:tcPr>
                  <w:tcW w:w="466" w:type="pct"/>
                  <w:shd w:val="clear" w:color="auto" w:fill="auto"/>
                  <w:vAlign w:val="center"/>
                </w:tcPr>
                <w:p w:rsidR="006E391F" w:rsidRPr="00BC1144" w:rsidRDefault="006E391F" w:rsidP="00336FA0">
                  <w:pPr>
                    <w:pStyle w:val="TableBodyText"/>
                  </w:pPr>
                  <w:r w:rsidRPr="00BC1144">
                    <w:t>(0.172)</w:t>
                  </w:r>
                </w:p>
              </w:tc>
              <w:tc>
                <w:tcPr>
                  <w:tcW w:w="410" w:type="pct"/>
                  <w:shd w:val="clear" w:color="auto" w:fill="auto"/>
                  <w:vAlign w:val="center"/>
                </w:tcPr>
                <w:p w:rsidR="006E391F" w:rsidRPr="00BC1144" w:rsidRDefault="006E391F" w:rsidP="00336FA0">
                  <w:pPr>
                    <w:pStyle w:val="TableBodyText"/>
                    <w:ind w:right="28"/>
                  </w:pPr>
                  <w:r w:rsidRPr="00BC1144">
                    <w:t>(0.380)</w:t>
                  </w:r>
                </w:p>
              </w:tc>
              <w:tc>
                <w:tcPr>
                  <w:tcW w:w="410" w:type="pct"/>
                  <w:shd w:val="clear" w:color="auto" w:fill="auto"/>
                  <w:vAlign w:val="center"/>
                </w:tcPr>
                <w:p w:rsidR="006E391F" w:rsidRPr="00BC1144" w:rsidRDefault="006E391F" w:rsidP="00336FA0">
                  <w:pPr>
                    <w:pStyle w:val="TableBodyText"/>
                    <w:ind w:right="28"/>
                  </w:pPr>
                  <w:r w:rsidRPr="00BC1144">
                    <w:t>(0.394)</w:t>
                  </w:r>
                </w:p>
              </w:tc>
              <w:tc>
                <w:tcPr>
                  <w:tcW w:w="410" w:type="pct"/>
                  <w:shd w:val="clear" w:color="auto" w:fill="auto"/>
                  <w:vAlign w:val="center"/>
                </w:tcPr>
                <w:p w:rsidR="006E391F" w:rsidRPr="00BC1144" w:rsidRDefault="006E391F" w:rsidP="00336FA0">
                  <w:pPr>
                    <w:pStyle w:val="TableBodyText"/>
                    <w:ind w:right="28"/>
                  </w:pPr>
                  <w:r w:rsidRPr="00BC1144">
                    <w:t>(0.199)</w:t>
                  </w:r>
                </w:p>
              </w:tc>
              <w:tc>
                <w:tcPr>
                  <w:tcW w:w="410" w:type="pct"/>
                  <w:gridSpan w:val="2"/>
                  <w:shd w:val="clear" w:color="auto" w:fill="auto"/>
                  <w:vAlign w:val="center"/>
                </w:tcPr>
                <w:p w:rsidR="006E391F" w:rsidRPr="00BC1144" w:rsidRDefault="006E391F" w:rsidP="00336FA0">
                  <w:pPr>
                    <w:pStyle w:val="TableBodyText"/>
                    <w:ind w:right="28"/>
                  </w:pPr>
                  <w:r w:rsidRPr="00BC1144">
                    <w:t>(0.178)</w:t>
                  </w:r>
                </w:p>
              </w:tc>
              <w:tc>
                <w:tcPr>
                  <w:tcW w:w="410" w:type="pct"/>
                  <w:shd w:val="clear" w:color="auto" w:fill="auto"/>
                  <w:vAlign w:val="center"/>
                </w:tcPr>
                <w:p w:rsidR="006E391F" w:rsidRPr="00BC1144" w:rsidRDefault="006E391F" w:rsidP="00336FA0">
                  <w:pPr>
                    <w:pStyle w:val="TableBodyText"/>
                    <w:ind w:right="28"/>
                  </w:pPr>
                  <w:r w:rsidRPr="00BC1144">
                    <w:t>(0.323)</w:t>
                  </w:r>
                </w:p>
              </w:tc>
              <w:tc>
                <w:tcPr>
                  <w:tcW w:w="410" w:type="pct"/>
                  <w:shd w:val="clear" w:color="auto" w:fill="auto"/>
                  <w:vAlign w:val="center"/>
                </w:tcPr>
                <w:p w:rsidR="006E391F" w:rsidRPr="00BC1144" w:rsidRDefault="006E391F" w:rsidP="00336FA0">
                  <w:pPr>
                    <w:pStyle w:val="TableBodyText"/>
                    <w:ind w:right="28"/>
                  </w:pPr>
                  <w:r w:rsidRPr="00BC1144">
                    <w:t>(0.323)</w:t>
                  </w:r>
                </w:p>
              </w:tc>
              <w:tc>
                <w:tcPr>
                  <w:tcW w:w="410" w:type="pct"/>
                  <w:gridSpan w:val="2"/>
                  <w:shd w:val="clear" w:color="auto" w:fill="auto"/>
                  <w:vAlign w:val="center"/>
                </w:tcPr>
                <w:p w:rsidR="006E391F" w:rsidRPr="00BC1144" w:rsidRDefault="006E391F" w:rsidP="00336FA0">
                  <w:pPr>
                    <w:pStyle w:val="TableBodyText"/>
                    <w:ind w:right="28"/>
                  </w:pPr>
                  <w:r w:rsidRPr="00BC1144">
                    <w:t>(0.560)</w:t>
                  </w:r>
                </w:p>
              </w:tc>
              <w:tc>
                <w:tcPr>
                  <w:tcW w:w="403" w:type="pct"/>
                  <w:shd w:val="clear" w:color="auto" w:fill="auto"/>
                  <w:vAlign w:val="center"/>
                </w:tcPr>
                <w:p w:rsidR="006E391F" w:rsidRPr="00BC1144" w:rsidRDefault="006E391F" w:rsidP="00336FA0">
                  <w:pPr>
                    <w:pStyle w:val="TableBodyText"/>
                    <w:ind w:right="28"/>
                  </w:pPr>
                  <w:r w:rsidRPr="00BC1144">
                    <w:t>(0.404)</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Distance</w:t>
                  </w:r>
                </w:p>
              </w:tc>
              <w:tc>
                <w:tcPr>
                  <w:tcW w:w="468" w:type="pct"/>
                  <w:shd w:val="clear" w:color="auto" w:fill="F2F2F2" w:themeFill="background1" w:themeFillShade="F2"/>
                  <w:vAlign w:val="center"/>
                </w:tcPr>
                <w:p w:rsidR="006E391F" w:rsidRPr="00BC1144" w:rsidRDefault="006E391F" w:rsidP="00336FA0">
                  <w:pPr>
                    <w:pStyle w:val="TableBodyText"/>
                  </w:pPr>
                  <w:r w:rsidRPr="00BC1144">
                    <w:t>-0.066</w:t>
                  </w:r>
                  <w:r w:rsidRPr="00BC1144">
                    <w:rPr>
                      <w:vertAlign w:val="superscript"/>
                    </w:rPr>
                    <w:t>**</w:t>
                  </w:r>
                </w:p>
              </w:tc>
              <w:tc>
                <w:tcPr>
                  <w:tcW w:w="466" w:type="pct"/>
                  <w:shd w:val="clear" w:color="auto" w:fill="F2F2F2" w:themeFill="background1" w:themeFillShade="F2"/>
                  <w:vAlign w:val="center"/>
                </w:tcPr>
                <w:p w:rsidR="006E391F" w:rsidRPr="00BC1144" w:rsidRDefault="006E391F" w:rsidP="00336FA0">
                  <w:pPr>
                    <w:pStyle w:val="TableBodyText"/>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-0.053</w:t>
                  </w:r>
                </w:p>
              </w:tc>
              <w:tc>
                <w:tcPr>
                  <w:tcW w:w="410" w:type="pct"/>
                  <w:shd w:val="clear" w:color="auto" w:fill="F2F2F2" w:themeFill="background1" w:themeFillShade="F2"/>
                  <w:vAlign w:val="center"/>
                </w:tcPr>
                <w:p w:rsidR="006E391F" w:rsidRPr="00BC1144" w:rsidRDefault="006E391F" w:rsidP="00336FA0">
                  <w:pPr>
                    <w:pStyle w:val="TableBodyText"/>
                    <w:ind w:right="28"/>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-0.031</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-0.062</w:t>
                  </w:r>
                </w:p>
              </w:tc>
              <w:tc>
                <w:tcPr>
                  <w:tcW w:w="410" w:type="pct"/>
                  <w:shd w:val="clear" w:color="auto" w:fill="F2F2F2" w:themeFill="background1" w:themeFillShade="F2"/>
                  <w:vAlign w:val="center"/>
                </w:tcPr>
                <w:p w:rsidR="006E391F" w:rsidRPr="00BC1144" w:rsidRDefault="006E391F" w:rsidP="00336FA0">
                  <w:pPr>
                    <w:pStyle w:val="TableBodyText"/>
                    <w:ind w:right="28"/>
                  </w:pP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-0.094</w:t>
                  </w:r>
                </w:p>
              </w:tc>
              <w:tc>
                <w:tcPr>
                  <w:tcW w:w="40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(0.029)</w:t>
                  </w:r>
                </w:p>
              </w:tc>
              <w:tc>
                <w:tcPr>
                  <w:tcW w:w="466" w:type="pct"/>
                  <w:shd w:val="clear" w:color="auto" w:fill="F2F2F2" w:themeFill="background1" w:themeFillShade="F2"/>
                  <w:vAlign w:val="center"/>
                </w:tcPr>
                <w:p w:rsidR="006E391F" w:rsidRPr="00BC1144" w:rsidRDefault="006E391F" w:rsidP="00336FA0">
                  <w:pPr>
                    <w:pStyle w:val="TableBodyText"/>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(0.130)</w:t>
                  </w:r>
                </w:p>
              </w:tc>
              <w:tc>
                <w:tcPr>
                  <w:tcW w:w="410" w:type="pct"/>
                  <w:shd w:val="clear" w:color="auto" w:fill="F2F2F2" w:themeFill="background1" w:themeFillShade="F2"/>
                  <w:vAlign w:val="center"/>
                </w:tcPr>
                <w:p w:rsidR="006E391F" w:rsidRPr="00BC1144" w:rsidRDefault="006E391F" w:rsidP="00336FA0">
                  <w:pPr>
                    <w:pStyle w:val="TableBodyText"/>
                    <w:ind w:right="28"/>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(0.035)</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(0.040)</w:t>
                  </w:r>
                </w:p>
              </w:tc>
              <w:tc>
                <w:tcPr>
                  <w:tcW w:w="410" w:type="pct"/>
                  <w:shd w:val="clear" w:color="auto" w:fill="F2F2F2" w:themeFill="background1" w:themeFillShade="F2"/>
                  <w:vAlign w:val="center"/>
                </w:tcPr>
                <w:p w:rsidR="006E391F" w:rsidRPr="00BC1144" w:rsidRDefault="006E391F" w:rsidP="00336FA0">
                  <w:pPr>
                    <w:pStyle w:val="TableBodyText"/>
                    <w:ind w:right="28"/>
                  </w:pP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(0.065)</w:t>
                  </w:r>
                </w:p>
              </w:tc>
              <w:tc>
                <w:tcPr>
                  <w:tcW w:w="403"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Location: Regional or remote</w:t>
                  </w:r>
                </w:p>
              </w:tc>
              <w:tc>
                <w:tcPr>
                  <w:tcW w:w="468" w:type="pct"/>
                  <w:shd w:val="clear" w:color="auto" w:fill="auto"/>
                  <w:vAlign w:val="center"/>
                </w:tcPr>
                <w:p w:rsidR="006E391F" w:rsidRPr="00BC1144" w:rsidRDefault="006E391F" w:rsidP="00336FA0">
                  <w:pPr>
                    <w:pStyle w:val="TableBodyText"/>
                  </w:pPr>
                </w:p>
              </w:tc>
              <w:tc>
                <w:tcPr>
                  <w:tcW w:w="466" w:type="pct"/>
                  <w:shd w:val="clear" w:color="auto" w:fill="auto"/>
                  <w:vAlign w:val="center"/>
                </w:tcPr>
                <w:p w:rsidR="006E391F" w:rsidRPr="00BC1144" w:rsidRDefault="006E391F" w:rsidP="00336FA0">
                  <w:pPr>
                    <w:pStyle w:val="TableBodyText"/>
                  </w:pPr>
                  <w:r w:rsidRPr="00BC1144">
                    <w:t>-0.022</w:t>
                  </w: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-0.116</w:t>
                  </w:r>
                </w:p>
              </w:tc>
              <w:tc>
                <w:tcPr>
                  <w:tcW w:w="410" w:type="pct"/>
                  <w:shd w:val="clear" w:color="auto" w:fill="auto"/>
                  <w:vAlign w:val="center"/>
                </w:tcPr>
                <w:p w:rsidR="006E391F" w:rsidRPr="00BC1144" w:rsidRDefault="006E391F" w:rsidP="00336FA0">
                  <w:pPr>
                    <w:pStyle w:val="TableBodyText"/>
                    <w:ind w:right="28"/>
                  </w:pPr>
                </w:p>
              </w:tc>
              <w:tc>
                <w:tcPr>
                  <w:tcW w:w="410" w:type="pct"/>
                  <w:gridSpan w:val="2"/>
                  <w:shd w:val="clear" w:color="auto" w:fill="auto"/>
                  <w:vAlign w:val="center"/>
                </w:tcPr>
                <w:p w:rsidR="006E391F" w:rsidRPr="00BC1144" w:rsidRDefault="006E391F" w:rsidP="00336FA0">
                  <w:pPr>
                    <w:pStyle w:val="TableBodyText"/>
                    <w:ind w:right="28"/>
                  </w:pPr>
                  <w:r w:rsidRPr="00BC1144">
                    <w:t>-0.005</w:t>
                  </w: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-0.193</w:t>
                  </w:r>
                </w:p>
              </w:tc>
              <w:tc>
                <w:tcPr>
                  <w:tcW w:w="410" w:type="pct"/>
                  <w:gridSpan w:val="2"/>
                  <w:shd w:val="clear" w:color="auto" w:fill="auto"/>
                  <w:vAlign w:val="center"/>
                </w:tcPr>
                <w:p w:rsidR="006E391F" w:rsidRPr="00BC1144" w:rsidRDefault="006E391F" w:rsidP="00336FA0">
                  <w:pPr>
                    <w:pStyle w:val="TableBodyText"/>
                    <w:ind w:right="28"/>
                  </w:pPr>
                </w:p>
              </w:tc>
              <w:tc>
                <w:tcPr>
                  <w:tcW w:w="403" w:type="pct"/>
                  <w:shd w:val="clear" w:color="auto" w:fill="auto"/>
                  <w:vAlign w:val="center"/>
                </w:tcPr>
                <w:p w:rsidR="006E391F" w:rsidRPr="00BC1144" w:rsidRDefault="006E391F" w:rsidP="00336FA0">
                  <w:pPr>
                    <w:pStyle w:val="TableBodyText"/>
                    <w:ind w:right="28"/>
                  </w:pPr>
                  <w:r w:rsidRPr="00BC1144">
                    <w:t>-0.187</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p>
              </w:tc>
              <w:tc>
                <w:tcPr>
                  <w:tcW w:w="466" w:type="pct"/>
                  <w:shd w:val="clear" w:color="auto" w:fill="auto"/>
                  <w:vAlign w:val="center"/>
                </w:tcPr>
                <w:p w:rsidR="006E391F" w:rsidRPr="00BC1144" w:rsidRDefault="006E391F" w:rsidP="00336FA0">
                  <w:pPr>
                    <w:pStyle w:val="TableBodyText"/>
                  </w:pPr>
                  <w:r w:rsidRPr="00BC1144">
                    <w:t>(0.125)</w:t>
                  </w: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(0.200)</w:t>
                  </w:r>
                </w:p>
              </w:tc>
              <w:tc>
                <w:tcPr>
                  <w:tcW w:w="410" w:type="pct"/>
                  <w:shd w:val="clear" w:color="auto" w:fill="auto"/>
                  <w:vAlign w:val="center"/>
                </w:tcPr>
                <w:p w:rsidR="006E391F" w:rsidRPr="00BC1144" w:rsidRDefault="006E391F" w:rsidP="00336FA0">
                  <w:pPr>
                    <w:pStyle w:val="TableBodyText"/>
                    <w:ind w:right="28"/>
                  </w:pPr>
                </w:p>
              </w:tc>
              <w:tc>
                <w:tcPr>
                  <w:tcW w:w="410" w:type="pct"/>
                  <w:gridSpan w:val="2"/>
                  <w:shd w:val="clear" w:color="auto" w:fill="auto"/>
                  <w:vAlign w:val="center"/>
                </w:tcPr>
                <w:p w:rsidR="006E391F" w:rsidRPr="00BC1144" w:rsidRDefault="006E391F" w:rsidP="00336FA0">
                  <w:pPr>
                    <w:pStyle w:val="TableBodyText"/>
                    <w:ind w:right="28"/>
                  </w:pPr>
                  <w:r w:rsidRPr="00BC1144">
                    <w:t>(0.130)</w:t>
                  </w: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(0.158)</w:t>
                  </w:r>
                </w:p>
              </w:tc>
              <w:tc>
                <w:tcPr>
                  <w:tcW w:w="410" w:type="pct"/>
                  <w:gridSpan w:val="2"/>
                  <w:shd w:val="clear" w:color="auto" w:fill="auto"/>
                  <w:vAlign w:val="center"/>
                </w:tcPr>
                <w:p w:rsidR="006E391F" w:rsidRPr="00BC1144" w:rsidRDefault="006E391F" w:rsidP="00336FA0">
                  <w:pPr>
                    <w:pStyle w:val="TableBodyText"/>
                    <w:ind w:right="28"/>
                  </w:pPr>
                </w:p>
              </w:tc>
              <w:tc>
                <w:tcPr>
                  <w:tcW w:w="403" w:type="pct"/>
                  <w:shd w:val="clear" w:color="auto" w:fill="auto"/>
                  <w:vAlign w:val="center"/>
                </w:tcPr>
                <w:p w:rsidR="006E391F" w:rsidRPr="00BC1144" w:rsidRDefault="006E391F" w:rsidP="00336FA0">
                  <w:pPr>
                    <w:pStyle w:val="TableBodyText"/>
                    <w:ind w:right="28"/>
                  </w:pPr>
                  <w:r w:rsidRPr="00BC1144">
                    <w:t>(0.215)</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State: VIC</w:t>
                  </w:r>
                </w:p>
              </w:tc>
              <w:tc>
                <w:tcPr>
                  <w:tcW w:w="468" w:type="pct"/>
                  <w:shd w:val="clear" w:color="auto" w:fill="F2F2F2" w:themeFill="background1" w:themeFillShade="F2"/>
                  <w:vAlign w:val="center"/>
                </w:tcPr>
                <w:p w:rsidR="006E391F" w:rsidRPr="00BC1144" w:rsidRDefault="006E391F" w:rsidP="00336FA0">
                  <w:pPr>
                    <w:pStyle w:val="TableBodyText"/>
                  </w:pPr>
                  <w:r w:rsidRPr="00BC1144">
                    <w:t>0.324</w:t>
                  </w:r>
                  <w:r w:rsidRPr="00BC1144">
                    <w:rPr>
                      <w:vertAlign w:val="superscript"/>
                    </w:rPr>
                    <w:t>**</w:t>
                  </w:r>
                </w:p>
              </w:tc>
              <w:tc>
                <w:tcPr>
                  <w:tcW w:w="466" w:type="pct"/>
                  <w:shd w:val="clear" w:color="auto" w:fill="F2F2F2" w:themeFill="background1" w:themeFillShade="F2"/>
                  <w:vAlign w:val="center"/>
                </w:tcPr>
                <w:p w:rsidR="006E391F" w:rsidRPr="00BC1144" w:rsidRDefault="006E391F" w:rsidP="00336FA0">
                  <w:pPr>
                    <w:pStyle w:val="TableBodyText"/>
                  </w:pPr>
                  <w:r w:rsidRPr="00BC1144">
                    <w:t>0.308</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0.258</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0.231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-0.066</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0.081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-0.060</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0.103</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-0.216</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-0.159</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(0.155)</w:t>
                  </w:r>
                </w:p>
              </w:tc>
              <w:tc>
                <w:tcPr>
                  <w:tcW w:w="466" w:type="pct"/>
                  <w:shd w:val="clear" w:color="auto" w:fill="F2F2F2" w:themeFill="background1" w:themeFillShade="F2"/>
                  <w:vAlign w:val="center"/>
                </w:tcPr>
                <w:p w:rsidR="006E391F" w:rsidRPr="00BC1144" w:rsidRDefault="006E391F" w:rsidP="00336FA0">
                  <w:pPr>
                    <w:pStyle w:val="TableBodyText"/>
                  </w:pPr>
                  <w:r w:rsidRPr="00BC1144">
                    <w:t>(0.158)</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(0.273)</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(0.279)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(0.124)</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(0.126)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(0.204)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(0.221)</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(0.503)</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(0.345)</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State: QLD</w:t>
                  </w:r>
                </w:p>
              </w:tc>
              <w:tc>
                <w:tcPr>
                  <w:tcW w:w="468" w:type="pct"/>
                  <w:shd w:val="clear" w:color="auto" w:fill="auto"/>
                  <w:vAlign w:val="center"/>
                </w:tcPr>
                <w:p w:rsidR="006E391F" w:rsidRPr="00BC1144" w:rsidRDefault="006E391F" w:rsidP="00336FA0">
                  <w:pPr>
                    <w:pStyle w:val="TableBodyText"/>
                  </w:pPr>
                  <w:r w:rsidRPr="00BC1144">
                    <w:t>-0.019</w:t>
                  </w:r>
                </w:p>
              </w:tc>
              <w:tc>
                <w:tcPr>
                  <w:tcW w:w="466" w:type="pct"/>
                  <w:shd w:val="clear" w:color="auto" w:fill="auto"/>
                  <w:vAlign w:val="center"/>
                </w:tcPr>
                <w:p w:rsidR="006E391F" w:rsidRPr="00BC1144" w:rsidRDefault="006E391F" w:rsidP="00336FA0">
                  <w:pPr>
                    <w:pStyle w:val="TableBodyText"/>
                  </w:pPr>
                  <w:r w:rsidRPr="00BC1144">
                    <w:t>-0.009</w:t>
                  </w:r>
                </w:p>
              </w:tc>
              <w:tc>
                <w:tcPr>
                  <w:tcW w:w="410" w:type="pct"/>
                  <w:shd w:val="clear" w:color="auto" w:fill="auto"/>
                  <w:vAlign w:val="center"/>
                </w:tcPr>
                <w:p w:rsidR="006E391F" w:rsidRPr="00BC1144" w:rsidRDefault="006E391F" w:rsidP="00336FA0">
                  <w:pPr>
                    <w:pStyle w:val="TableBodyText"/>
                    <w:ind w:right="28"/>
                  </w:pPr>
                  <w:r w:rsidRPr="00BC1144">
                    <w:t>0.233</w:t>
                  </w:r>
                </w:p>
              </w:tc>
              <w:tc>
                <w:tcPr>
                  <w:tcW w:w="410" w:type="pct"/>
                  <w:shd w:val="clear" w:color="auto" w:fill="auto"/>
                  <w:vAlign w:val="center"/>
                </w:tcPr>
                <w:p w:rsidR="006E391F" w:rsidRPr="00BC1144" w:rsidRDefault="006E391F" w:rsidP="00336FA0">
                  <w:pPr>
                    <w:pStyle w:val="TableBodyText"/>
                    <w:ind w:right="28"/>
                  </w:pPr>
                  <w:r w:rsidRPr="00BC1144">
                    <w:t>0.256</w:t>
                  </w:r>
                </w:p>
              </w:tc>
              <w:tc>
                <w:tcPr>
                  <w:tcW w:w="410" w:type="pct"/>
                  <w:shd w:val="clear" w:color="auto" w:fill="auto"/>
                  <w:vAlign w:val="center"/>
                </w:tcPr>
                <w:p w:rsidR="006E391F" w:rsidRPr="00BC1144" w:rsidRDefault="006E391F" w:rsidP="00336FA0">
                  <w:pPr>
                    <w:pStyle w:val="TableBodyText"/>
                    <w:ind w:right="28"/>
                  </w:pPr>
                  <w:r w:rsidRPr="00BC1144">
                    <w:t>0.097</w:t>
                  </w:r>
                </w:p>
              </w:tc>
              <w:tc>
                <w:tcPr>
                  <w:tcW w:w="410" w:type="pct"/>
                  <w:gridSpan w:val="2"/>
                  <w:shd w:val="clear" w:color="auto" w:fill="auto"/>
                  <w:vAlign w:val="center"/>
                </w:tcPr>
                <w:p w:rsidR="006E391F" w:rsidRPr="00BC1144" w:rsidRDefault="006E391F" w:rsidP="00336FA0">
                  <w:pPr>
                    <w:pStyle w:val="TableBodyText"/>
                    <w:ind w:right="28"/>
                  </w:pPr>
                  <w:r w:rsidRPr="00BC1144">
                    <w:t>-0.096</w:t>
                  </w:r>
                </w:p>
              </w:tc>
              <w:tc>
                <w:tcPr>
                  <w:tcW w:w="410" w:type="pct"/>
                  <w:shd w:val="clear" w:color="auto" w:fill="auto"/>
                  <w:vAlign w:val="center"/>
                </w:tcPr>
                <w:p w:rsidR="006E391F" w:rsidRPr="00BC1144" w:rsidRDefault="006E391F" w:rsidP="00336FA0">
                  <w:pPr>
                    <w:pStyle w:val="TableBodyText"/>
                    <w:ind w:right="28"/>
                  </w:pPr>
                  <w:r w:rsidRPr="00BC1144">
                    <w:t>-0.418</w:t>
                  </w:r>
                  <w:r w:rsidRPr="00BC1144">
                    <w:rPr>
                      <w:vertAlign w:val="superscript"/>
                    </w:rPr>
                    <w:t>**</w:t>
                  </w:r>
                </w:p>
              </w:tc>
              <w:tc>
                <w:tcPr>
                  <w:tcW w:w="410" w:type="pct"/>
                  <w:shd w:val="clear" w:color="auto" w:fill="auto"/>
                  <w:vAlign w:val="center"/>
                </w:tcPr>
                <w:p w:rsidR="006E391F" w:rsidRPr="00BC1144" w:rsidRDefault="006E391F" w:rsidP="00336FA0">
                  <w:pPr>
                    <w:pStyle w:val="TableBodyText"/>
                    <w:ind w:right="28"/>
                  </w:pPr>
                  <w:r w:rsidRPr="00BC1144">
                    <w:t>-0.124</w:t>
                  </w:r>
                </w:p>
              </w:tc>
              <w:tc>
                <w:tcPr>
                  <w:tcW w:w="410" w:type="pct"/>
                  <w:gridSpan w:val="2"/>
                  <w:shd w:val="clear" w:color="auto" w:fill="auto"/>
                  <w:vAlign w:val="center"/>
                </w:tcPr>
                <w:p w:rsidR="006E391F" w:rsidRPr="00BC1144" w:rsidRDefault="006E391F" w:rsidP="00336FA0">
                  <w:pPr>
                    <w:pStyle w:val="TableBodyText"/>
                    <w:ind w:right="28"/>
                  </w:pPr>
                  <w:r w:rsidRPr="00BC1144">
                    <w:t>-0.280</w:t>
                  </w:r>
                </w:p>
              </w:tc>
              <w:tc>
                <w:tcPr>
                  <w:tcW w:w="403" w:type="pct"/>
                  <w:shd w:val="clear" w:color="auto" w:fill="auto"/>
                  <w:vAlign w:val="center"/>
                </w:tcPr>
                <w:p w:rsidR="006E391F" w:rsidRPr="00BC1144" w:rsidRDefault="006E391F" w:rsidP="00336FA0">
                  <w:pPr>
                    <w:pStyle w:val="TableBodyText"/>
                    <w:ind w:right="28"/>
                  </w:pPr>
                  <w:r w:rsidRPr="00BC1144">
                    <w:t>-0.292</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r w:rsidRPr="00BC1144">
                    <w:t>(0.158)</w:t>
                  </w:r>
                </w:p>
              </w:tc>
              <w:tc>
                <w:tcPr>
                  <w:tcW w:w="466" w:type="pct"/>
                  <w:shd w:val="clear" w:color="auto" w:fill="auto"/>
                  <w:vAlign w:val="center"/>
                </w:tcPr>
                <w:p w:rsidR="006E391F" w:rsidRPr="00BC1144" w:rsidRDefault="006E391F" w:rsidP="00336FA0">
                  <w:pPr>
                    <w:pStyle w:val="TableBodyText"/>
                  </w:pPr>
                  <w:r w:rsidRPr="00BC1144">
                    <w:t>(0.157)</w:t>
                  </w:r>
                </w:p>
              </w:tc>
              <w:tc>
                <w:tcPr>
                  <w:tcW w:w="410" w:type="pct"/>
                  <w:shd w:val="clear" w:color="auto" w:fill="auto"/>
                  <w:vAlign w:val="center"/>
                </w:tcPr>
                <w:p w:rsidR="006E391F" w:rsidRPr="00BC1144" w:rsidRDefault="006E391F" w:rsidP="00336FA0">
                  <w:pPr>
                    <w:pStyle w:val="TableBodyText"/>
                    <w:ind w:right="28"/>
                  </w:pPr>
                  <w:r w:rsidRPr="00BC1144">
                    <w:t>(0.217)</w:t>
                  </w:r>
                </w:p>
              </w:tc>
              <w:tc>
                <w:tcPr>
                  <w:tcW w:w="410" w:type="pct"/>
                  <w:shd w:val="clear" w:color="auto" w:fill="auto"/>
                  <w:vAlign w:val="center"/>
                </w:tcPr>
                <w:p w:rsidR="006E391F" w:rsidRPr="00BC1144" w:rsidRDefault="006E391F" w:rsidP="00336FA0">
                  <w:pPr>
                    <w:pStyle w:val="TableBodyText"/>
                    <w:ind w:right="28"/>
                  </w:pPr>
                  <w:r w:rsidRPr="00BC1144">
                    <w:t>(0.212)</w:t>
                  </w:r>
                </w:p>
              </w:tc>
              <w:tc>
                <w:tcPr>
                  <w:tcW w:w="410" w:type="pct"/>
                  <w:shd w:val="clear" w:color="auto" w:fill="auto"/>
                  <w:vAlign w:val="center"/>
                </w:tcPr>
                <w:p w:rsidR="006E391F" w:rsidRPr="00BC1144" w:rsidRDefault="006E391F" w:rsidP="00336FA0">
                  <w:pPr>
                    <w:pStyle w:val="TableBodyText"/>
                    <w:ind w:right="28"/>
                  </w:pPr>
                  <w:r w:rsidRPr="00BC1144">
                    <w:t>(0.192)</w:t>
                  </w:r>
                </w:p>
              </w:tc>
              <w:tc>
                <w:tcPr>
                  <w:tcW w:w="410" w:type="pct"/>
                  <w:gridSpan w:val="2"/>
                  <w:shd w:val="clear" w:color="auto" w:fill="auto"/>
                  <w:vAlign w:val="center"/>
                </w:tcPr>
                <w:p w:rsidR="006E391F" w:rsidRPr="00BC1144" w:rsidRDefault="006E391F" w:rsidP="00336FA0">
                  <w:pPr>
                    <w:pStyle w:val="TableBodyText"/>
                    <w:ind w:right="28"/>
                  </w:pPr>
                  <w:r w:rsidRPr="00BC1144">
                    <w:t>(0.145)</w:t>
                  </w:r>
                </w:p>
              </w:tc>
              <w:tc>
                <w:tcPr>
                  <w:tcW w:w="410" w:type="pct"/>
                  <w:shd w:val="clear" w:color="auto" w:fill="auto"/>
                  <w:vAlign w:val="center"/>
                </w:tcPr>
                <w:p w:rsidR="006E391F" w:rsidRPr="00BC1144" w:rsidRDefault="006E391F" w:rsidP="00336FA0">
                  <w:pPr>
                    <w:pStyle w:val="TableBodyText"/>
                    <w:ind w:right="28"/>
                  </w:pPr>
                  <w:r w:rsidRPr="00BC1144">
                    <w:t>(0.196)</w:t>
                  </w:r>
                </w:p>
              </w:tc>
              <w:tc>
                <w:tcPr>
                  <w:tcW w:w="410" w:type="pct"/>
                  <w:shd w:val="clear" w:color="auto" w:fill="auto"/>
                  <w:vAlign w:val="center"/>
                </w:tcPr>
                <w:p w:rsidR="006E391F" w:rsidRPr="00BC1144" w:rsidRDefault="006E391F" w:rsidP="00336FA0">
                  <w:pPr>
                    <w:pStyle w:val="TableBodyText"/>
                    <w:ind w:right="28"/>
                  </w:pPr>
                  <w:r w:rsidRPr="00BC1144">
                    <w:t>(0.203)</w:t>
                  </w:r>
                </w:p>
              </w:tc>
              <w:tc>
                <w:tcPr>
                  <w:tcW w:w="410" w:type="pct"/>
                  <w:gridSpan w:val="2"/>
                  <w:shd w:val="clear" w:color="auto" w:fill="auto"/>
                  <w:vAlign w:val="center"/>
                </w:tcPr>
                <w:p w:rsidR="006E391F" w:rsidRPr="00BC1144" w:rsidRDefault="006E391F" w:rsidP="00336FA0">
                  <w:pPr>
                    <w:pStyle w:val="TableBodyText"/>
                    <w:ind w:right="28"/>
                  </w:pPr>
                  <w:r w:rsidRPr="00BC1144">
                    <w:t>(0.328)</w:t>
                  </w:r>
                </w:p>
              </w:tc>
              <w:tc>
                <w:tcPr>
                  <w:tcW w:w="403" w:type="pct"/>
                  <w:shd w:val="clear" w:color="auto" w:fill="auto"/>
                  <w:vAlign w:val="center"/>
                </w:tcPr>
                <w:p w:rsidR="006E391F" w:rsidRPr="00BC1144" w:rsidRDefault="006E391F" w:rsidP="00336FA0">
                  <w:pPr>
                    <w:pStyle w:val="TableBodyText"/>
                    <w:ind w:right="28"/>
                  </w:pPr>
                  <w:r w:rsidRPr="00BC1144">
                    <w:t>(0.232)</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State: SA</w:t>
                  </w:r>
                </w:p>
              </w:tc>
              <w:tc>
                <w:tcPr>
                  <w:tcW w:w="468" w:type="pct"/>
                  <w:shd w:val="clear" w:color="auto" w:fill="F2F2F2" w:themeFill="background1" w:themeFillShade="F2"/>
                  <w:vAlign w:val="center"/>
                </w:tcPr>
                <w:p w:rsidR="006E391F" w:rsidRPr="00BC1144" w:rsidRDefault="006E391F" w:rsidP="00336FA0">
                  <w:pPr>
                    <w:pStyle w:val="TableBodyText"/>
                  </w:pPr>
                  <w:r w:rsidRPr="00BC1144">
                    <w:t>0.068</w:t>
                  </w:r>
                </w:p>
              </w:tc>
              <w:tc>
                <w:tcPr>
                  <w:tcW w:w="466" w:type="pct"/>
                  <w:shd w:val="clear" w:color="auto" w:fill="F2F2F2" w:themeFill="background1" w:themeFillShade="F2"/>
                  <w:vAlign w:val="center"/>
                </w:tcPr>
                <w:p w:rsidR="006E391F" w:rsidRPr="00BC1144" w:rsidRDefault="006E391F" w:rsidP="00336FA0">
                  <w:pPr>
                    <w:pStyle w:val="TableBodyText"/>
                  </w:pPr>
                  <w:r w:rsidRPr="00BC1144">
                    <w:t>0.040</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-0.059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-0.074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-0.057</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-0.049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-0.058</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-0.017</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-0.135</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-0.008</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(0.132)</w:t>
                  </w:r>
                </w:p>
              </w:tc>
              <w:tc>
                <w:tcPr>
                  <w:tcW w:w="466" w:type="pct"/>
                  <w:shd w:val="clear" w:color="auto" w:fill="F2F2F2" w:themeFill="background1" w:themeFillShade="F2"/>
                  <w:vAlign w:val="center"/>
                </w:tcPr>
                <w:p w:rsidR="006E391F" w:rsidRPr="00BC1144" w:rsidRDefault="006E391F" w:rsidP="00336FA0">
                  <w:pPr>
                    <w:pStyle w:val="TableBodyText"/>
                  </w:pPr>
                  <w:r w:rsidRPr="00BC1144">
                    <w:t>(0.135)</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(0.253)</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(0.262)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(0.163)</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(0.124)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(0.482)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(0.248)</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(0.360)</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(0.341)</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State: WA</w:t>
                  </w:r>
                </w:p>
              </w:tc>
              <w:tc>
                <w:tcPr>
                  <w:tcW w:w="468" w:type="pct"/>
                  <w:shd w:val="clear" w:color="auto" w:fill="auto"/>
                  <w:vAlign w:val="center"/>
                </w:tcPr>
                <w:p w:rsidR="006E391F" w:rsidRPr="00BC1144" w:rsidRDefault="006E391F" w:rsidP="00336FA0">
                  <w:pPr>
                    <w:pStyle w:val="TableBodyText"/>
                  </w:pPr>
                  <w:r w:rsidRPr="00BC1144">
                    <w:t>-0.087</w:t>
                  </w:r>
                </w:p>
              </w:tc>
              <w:tc>
                <w:tcPr>
                  <w:tcW w:w="466" w:type="pct"/>
                  <w:shd w:val="clear" w:color="auto" w:fill="auto"/>
                  <w:vAlign w:val="center"/>
                </w:tcPr>
                <w:p w:rsidR="006E391F" w:rsidRPr="00BC1144" w:rsidRDefault="006E391F" w:rsidP="00336FA0">
                  <w:pPr>
                    <w:pStyle w:val="TableBodyText"/>
                  </w:pPr>
                  <w:r w:rsidRPr="00BC1144">
                    <w:t>-0.115</w:t>
                  </w:r>
                </w:p>
              </w:tc>
              <w:tc>
                <w:tcPr>
                  <w:tcW w:w="410" w:type="pct"/>
                  <w:shd w:val="clear" w:color="auto" w:fill="auto"/>
                  <w:vAlign w:val="center"/>
                </w:tcPr>
                <w:p w:rsidR="006E391F" w:rsidRPr="00BC1144" w:rsidRDefault="006E391F" w:rsidP="00336FA0">
                  <w:pPr>
                    <w:pStyle w:val="TableBodyText"/>
                    <w:ind w:right="28"/>
                  </w:pPr>
                  <w:r w:rsidRPr="00BC1144">
                    <w:t>-0.023</w:t>
                  </w:r>
                </w:p>
              </w:tc>
              <w:tc>
                <w:tcPr>
                  <w:tcW w:w="410" w:type="pct"/>
                  <w:shd w:val="clear" w:color="auto" w:fill="auto"/>
                  <w:vAlign w:val="center"/>
                </w:tcPr>
                <w:p w:rsidR="006E391F" w:rsidRPr="00BC1144" w:rsidRDefault="006E391F" w:rsidP="00336FA0">
                  <w:pPr>
                    <w:pStyle w:val="TableBodyText"/>
                    <w:ind w:right="28"/>
                  </w:pPr>
                  <w:r w:rsidRPr="00BC1144">
                    <w:t>-0.049</w:t>
                  </w:r>
                </w:p>
              </w:tc>
              <w:tc>
                <w:tcPr>
                  <w:tcW w:w="410" w:type="pct"/>
                  <w:shd w:val="clear" w:color="auto" w:fill="auto"/>
                  <w:vAlign w:val="center"/>
                </w:tcPr>
                <w:p w:rsidR="006E391F" w:rsidRPr="00BC1144" w:rsidRDefault="006E391F" w:rsidP="00336FA0">
                  <w:pPr>
                    <w:pStyle w:val="TableBodyText"/>
                    <w:ind w:right="28"/>
                  </w:pPr>
                  <w:r w:rsidRPr="00BC1144">
                    <w:t>0.251</w:t>
                  </w:r>
                </w:p>
              </w:tc>
              <w:tc>
                <w:tcPr>
                  <w:tcW w:w="410" w:type="pct"/>
                  <w:gridSpan w:val="2"/>
                  <w:shd w:val="clear" w:color="auto" w:fill="auto"/>
                  <w:vAlign w:val="center"/>
                </w:tcPr>
                <w:p w:rsidR="006E391F" w:rsidRPr="00BC1144" w:rsidRDefault="006E391F" w:rsidP="00336FA0">
                  <w:pPr>
                    <w:pStyle w:val="TableBodyText"/>
                    <w:ind w:right="28"/>
                  </w:pPr>
                  <w:r w:rsidRPr="00BC1144">
                    <w:t>-0.123</w:t>
                  </w:r>
                </w:p>
              </w:tc>
              <w:tc>
                <w:tcPr>
                  <w:tcW w:w="410" w:type="pct"/>
                  <w:shd w:val="clear" w:color="auto" w:fill="auto"/>
                  <w:vAlign w:val="center"/>
                </w:tcPr>
                <w:p w:rsidR="006E391F" w:rsidRPr="00BC1144" w:rsidRDefault="006E391F" w:rsidP="00336FA0">
                  <w:pPr>
                    <w:pStyle w:val="TableBodyText"/>
                    <w:ind w:right="28"/>
                  </w:pPr>
                  <w:r w:rsidRPr="00BC1144">
                    <w:t>0.091</w:t>
                  </w:r>
                </w:p>
              </w:tc>
              <w:tc>
                <w:tcPr>
                  <w:tcW w:w="410" w:type="pct"/>
                  <w:shd w:val="clear" w:color="auto" w:fill="auto"/>
                  <w:vAlign w:val="center"/>
                </w:tcPr>
                <w:p w:rsidR="006E391F" w:rsidRPr="00BC1144" w:rsidRDefault="006E391F" w:rsidP="00336FA0">
                  <w:pPr>
                    <w:pStyle w:val="TableBodyText"/>
                    <w:ind w:right="28"/>
                  </w:pPr>
                  <w:r w:rsidRPr="00BC1144">
                    <w:t>-0.145</w:t>
                  </w:r>
                </w:p>
              </w:tc>
              <w:tc>
                <w:tcPr>
                  <w:tcW w:w="410" w:type="pct"/>
                  <w:gridSpan w:val="2"/>
                  <w:shd w:val="clear" w:color="auto" w:fill="auto"/>
                  <w:vAlign w:val="center"/>
                </w:tcPr>
                <w:p w:rsidR="006E391F" w:rsidRPr="00BC1144" w:rsidRDefault="006E391F" w:rsidP="00336FA0">
                  <w:pPr>
                    <w:pStyle w:val="TableBodyText"/>
                    <w:ind w:right="28"/>
                  </w:pPr>
                  <w:r w:rsidRPr="00BC1144">
                    <w:t>0.281</w:t>
                  </w:r>
                </w:p>
              </w:tc>
              <w:tc>
                <w:tcPr>
                  <w:tcW w:w="403" w:type="pct"/>
                  <w:shd w:val="clear" w:color="auto" w:fill="auto"/>
                  <w:vAlign w:val="center"/>
                </w:tcPr>
                <w:p w:rsidR="006E391F" w:rsidRPr="00BC1144" w:rsidRDefault="006E391F" w:rsidP="00336FA0">
                  <w:pPr>
                    <w:pStyle w:val="TableBodyText"/>
                    <w:ind w:right="28"/>
                  </w:pPr>
                  <w:r w:rsidRPr="00BC1144">
                    <w:t>-0.069</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r w:rsidRPr="00BC1144">
                    <w:t>(0.154)</w:t>
                  </w:r>
                </w:p>
              </w:tc>
              <w:tc>
                <w:tcPr>
                  <w:tcW w:w="466" w:type="pct"/>
                  <w:shd w:val="clear" w:color="auto" w:fill="auto"/>
                  <w:vAlign w:val="center"/>
                </w:tcPr>
                <w:p w:rsidR="006E391F" w:rsidRPr="00BC1144" w:rsidRDefault="006E391F" w:rsidP="00336FA0">
                  <w:pPr>
                    <w:pStyle w:val="TableBodyText"/>
                  </w:pPr>
                  <w:r w:rsidRPr="00BC1144">
                    <w:t>(0.152)</w:t>
                  </w:r>
                </w:p>
              </w:tc>
              <w:tc>
                <w:tcPr>
                  <w:tcW w:w="410" w:type="pct"/>
                  <w:shd w:val="clear" w:color="auto" w:fill="auto"/>
                  <w:vAlign w:val="center"/>
                </w:tcPr>
                <w:p w:rsidR="006E391F" w:rsidRPr="00BC1144" w:rsidRDefault="006E391F" w:rsidP="00336FA0">
                  <w:pPr>
                    <w:pStyle w:val="TableBodyText"/>
                    <w:ind w:right="28"/>
                  </w:pPr>
                  <w:r w:rsidRPr="00BC1144">
                    <w:t>(0.209)</w:t>
                  </w:r>
                </w:p>
              </w:tc>
              <w:tc>
                <w:tcPr>
                  <w:tcW w:w="410" w:type="pct"/>
                  <w:shd w:val="clear" w:color="auto" w:fill="auto"/>
                  <w:vAlign w:val="center"/>
                </w:tcPr>
                <w:p w:rsidR="006E391F" w:rsidRPr="00BC1144" w:rsidRDefault="006E391F" w:rsidP="00336FA0">
                  <w:pPr>
                    <w:pStyle w:val="TableBodyText"/>
                    <w:ind w:right="28"/>
                  </w:pPr>
                  <w:r w:rsidRPr="00BC1144">
                    <w:t>(0.224)</w:t>
                  </w:r>
                </w:p>
              </w:tc>
              <w:tc>
                <w:tcPr>
                  <w:tcW w:w="410" w:type="pct"/>
                  <w:shd w:val="clear" w:color="auto" w:fill="auto"/>
                  <w:vAlign w:val="center"/>
                </w:tcPr>
                <w:p w:rsidR="006E391F" w:rsidRPr="00BC1144" w:rsidRDefault="006E391F" w:rsidP="00336FA0">
                  <w:pPr>
                    <w:pStyle w:val="TableBodyText"/>
                    <w:ind w:right="28"/>
                  </w:pPr>
                  <w:r w:rsidRPr="00BC1144">
                    <w:t>(0.182)</w:t>
                  </w:r>
                </w:p>
              </w:tc>
              <w:tc>
                <w:tcPr>
                  <w:tcW w:w="410" w:type="pct"/>
                  <w:gridSpan w:val="2"/>
                  <w:shd w:val="clear" w:color="auto" w:fill="auto"/>
                  <w:vAlign w:val="center"/>
                </w:tcPr>
                <w:p w:rsidR="006E391F" w:rsidRPr="00BC1144" w:rsidRDefault="006E391F" w:rsidP="00336FA0">
                  <w:pPr>
                    <w:pStyle w:val="TableBodyText"/>
                    <w:ind w:right="28"/>
                  </w:pPr>
                  <w:r w:rsidRPr="00BC1144">
                    <w:t>(0.111)</w:t>
                  </w:r>
                </w:p>
              </w:tc>
              <w:tc>
                <w:tcPr>
                  <w:tcW w:w="410" w:type="pct"/>
                  <w:shd w:val="clear" w:color="auto" w:fill="auto"/>
                  <w:vAlign w:val="center"/>
                </w:tcPr>
                <w:p w:rsidR="006E391F" w:rsidRPr="00BC1144" w:rsidRDefault="006E391F" w:rsidP="00336FA0">
                  <w:pPr>
                    <w:pStyle w:val="TableBodyText"/>
                    <w:ind w:right="28"/>
                  </w:pPr>
                  <w:r w:rsidRPr="00BC1144">
                    <w:t>(0.287)</w:t>
                  </w:r>
                </w:p>
              </w:tc>
              <w:tc>
                <w:tcPr>
                  <w:tcW w:w="410" w:type="pct"/>
                  <w:shd w:val="clear" w:color="auto" w:fill="auto"/>
                  <w:vAlign w:val="center"/>
                </w:tcPr>
                <w:p w:rsidR="006E391F" w:rsidRPr="00BC1144" w:rsidRDefault="006E391F" w:rsidP="00336FA0">
                  <w:pPr>
                    <w:pStyle w:val="TableBodyText"/>
                    <w:ind w:right="28"/>
                  </w:pPr>
                  <w:r w:rsidRPr="00BC1144">
                    <w:t>(0.191)</w:t>
                  </w:r>
                </w:p>
              </w:tc>
              <w:tc>
                <w:tcPr>
                  <w:tcW w:w="410" w:type="pct"/>
                  <w:gridSpan w:val="2"/>
                  <w:shd w:val="clear" w:color="auto" w:fill="auto"/>
                  <w:vAlign w:val="center"/>
                </w:tcPr>
                <w:p w:rsidR="006E391F" w:rsidRPr="00BC1144" w:rsidRDefault="006E391F" w:rsidP="00336FA0">
                  <w:pPr>
                    <w:pStyle w:val="TableBodyText"/>
                    <w:ind w:right="28"/>
                  </w:pPr>
                  <w:r w:rsidRPr="00BC1144">
                    <w:t>(0.426)</w:t>
                  </w:r>
                </w:p>
              </w:tc>
              <w:tc>
                <w:tcPr>
                  <w:tcW w:w="403" w:type="pct"/>
                  <w:shd w:val="clear" w:color="auto" w:fill="auto"/>
                  <w:vAlign w:val="center"/>
                </w:tcPr>
                <w:p w:rsidR="006E391F" w:rsidRPr="00BC1144" w:rsidRDefault="006E391F" w:rsidP="00336FA0">
                  <w:pPr>
                    <w:pStyle w:val="TableBodyText"/>
                    <w:ind w:right="28"/>
                  </w:pPr>
                  <w:r w:rsidRPr="00BC1144">
                    <w:t>(0.290)</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State: TAS</w:t>
                  </w:r>
                </w:p>
              </w:tc>
              <w:tc>
                <w:tcPr>
                  <w:tcW w:w="468" w:type="pct"/>
                  <w:shd w:val="clear" w:color="auto" w:fill="F2F2F2" w:themeFill="background1" w:themeFillShade="F2"/>
                  <w:vAlign w:val="center"/>
                </w:tcPr>
                <w:p w:rsidR="006E391F" w:rsidRPr="00BC1144" w:rsidRDefault="006E391F" w:rsidP="00336FA0">
                  <w:pPr>
                    <w:pStyle w:val="TableBodyText"/>
                  </w:pPr>
                  <w:r w:rsidRPr="00BC1144">
                    <w:t>-0.137</w:t>
                  </w:r>
                </w:p>
              </w:tc>
              <w:tc>
                <w:tcPr>
                  <w:tcW w:w="466" w:type="pct"/>
                  <w:shd w:val="clear" w:color="auto" w:fill="F2F2F2" w:themeFill="background1" w:themeFillShade="F2"/>
                  <w:vAlign w:val="center"/>
                </w:tcPr>
                <w:p w:rsidR="006E391F" w:rsidRPr="00BC1144" w:rsidRDefault="006E391F" w:rsidP="00336FA0">
                  <w:pPr>
                    <w:pStyle w:val="TableBodyText"/>
                  </w:pPr>
                  <w:r w:rsidRPr="00BC1144">
                    <w:t>-0.154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0.457</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0.467</w:t>
                  </w:r>
                  <w:r w:rsidRPr="00BC1144">
                    <w:rPr>
                      <w:vertAlign w:val="superscript"/>
                    </w:rPr>
                    <w:t>*</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0.095</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0.097</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0.128</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0.122</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-0.097</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0.046</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(0.174)</w:t>
                  </w:r>
                </w:p>
              </w:tc>
              <w:tc>
                <w:tcPr>
                  <w:tcW w:w="466" w:type="pct"/>
                  <w:shd w:val="clear" w:color="auto" w:fill="F2F2F2" w:themeFill="background1" w:themeFillShade="F2"/>
                  <w:vAlign w:val="center"/>
                </w:tcPr>
                <w:p w:rsidR="006E391F" w:rsidRPr="00BC1144" w:rsidRDefault="006E391F" w:rsidP="00336FA0">
                  <w:pPr>
                    <w:pStyle w:val="TableBodyText"/>
                  </w:pPr>
                  <w:r w:rsidRPr="00BC1144">
                    <w:t>(0.215)</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(0.243)</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(0.267)</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(0.158)</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(0.169)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(0.256)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(0.161)</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(0.321)</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(0.283)</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State: NT</w:t>
                  </w:r>
                </w:p>
              </w:tc>
              <w:tc>
                <w:tcPr>
                  <w:tcW w:w="468" w:type="pct"/>
                  <w:shd w:val="clear" w:color="auto" w:fill="auto"/>
                  <w:vAlign w:val="center"/>
                </w:tcPr>
                <w:p w:rsidR="006E391F" w:rsidRPr="00BC1144" w:rsidRDefault="006E391F" w:rsidP="00336FA0">
                  <w:pPr>
                    <w:pStyle w:val="TableBodyText"/>
                  </w:pPr>
                  <w:r w:rsidRPr="00BC1144">
                    <w:t>0.403</w:t>
                  </w:r>
                  <w:r w:rsidRPr="00BC1144">
                    <w:rPr>
                      <w:vertAlign w:val="superscript"/>
                    </w:rPr>
                    <w:t>**</w:t>
                  </w:r>
                </w:p>
              </w:tc>
              <w:tc>
                <w:tcPr>
                  <w:tcW w:w="466" w:type="pct"/>
                  <w:shd w:val="clear" w:color="auto" w:fill="auto"/>
                  <w:vAlign w:val="center"/>
                </w:tcPr>
                <w:p w:rsidR="006E391F" w:rsidRPr="00BC1144" w:rsidRDefault="006E391F" w:rsidP="00336FA0">
                  <w:pPr>
                    <w:pStyle w:val="TableBodyText"/>
                  </w:pPr>
                  <w:r w:rsidRPr="00BC1144">
                    <w:t>0.334</w:t>
                  </w:r>
                </w:p>
              </w:tc>
              <w:tc>
                <w:tcPr>
                  <w:tcW w:w="410" w:type="pct"/>
                  <w:shd w:val="clear" w:color="auto" w:fill="auto"/>
                  <w:vAlign w:val="center"/>
                </w:tcPr>
                <w:p w:rsidR="006E391F" w:rsidRPr="00BC1144" w:rsidRDefault="006E391F" w:rsidP="00336FA0">
                  <w:pPr>
                    <w:pStyle w:val="TableBodyText"/>
                    <w:ind w:right="28"/>
                  </w:pPr>
                  <w:r w:rsidRPr="00BC1144">
                    <w:t>0.223</w:t>
                  </w:r>
                </w:p>
              </w:tc>
              <w:tc>
                <w:tcPr>
                  <w:tcW w:w="410" w:type="pct"/>
                  <w:shd w:val="clear" w:color="auto" w:fill="auto"/>
                  <w:vAlign w:val="center"/>
                </w:tcPr>
                <w:p w:rsidR="006E391F" w:rsidRPr="00BC1144" w:rsidRDefault="006E391F" w:rsidP="00336FA0">
                  <w:pPr>
                    <w:pStyle w:val="TableBodyText"/>
                    <w:ind w:right="28"/>
                  </w:pPr>
                  <w:r w:rsidRPr="00BC1144">
                    <w:t>0.283</w:t>
                  </w:r>
                </w:p>
              </w:tc>
              <w:tc>
                <w:tcPr>
                  <w:tcW w:w="410" w:type="pct"/>
                  <w:shd w:val="clear" w:color="auto" w:fill="auto"/>
                  <w:vAlign w:val="center"/>
                </w:tcPr>
                <w:p w:rsidR="006E391F" w:rsidRPr="00BC1144" w:rsidRDefault="006E391F" w:rsidP="00336FA0">
                  <w:pPr>
                    <w:pStyle w:val="TableBodyText"/>
                    <w:ind w:right="28"/>
                  </w:pPr>
                  <w:r w:rsidRPr="00BC1144">
                    <w:t>-0.012</w:t>
                  </w:r>
                </w:p>
              </w:tc>
              <w:tc>
                <w:tcPr>
                  <w:tcW w:w="410" w:type="pct"/>
                  <w:gridSpan w:val="2"/>
                  <w:shd w:val="clear" w:color="auto" w:fill="auto"/>
                  <w:vAlign w:val="center"/>
                </w:tcPr>
                <w:p w:rsidR="006E391F" w:rsidRPr="00BC1144" w:rsidRDefault="006E391F" w:rsidP="00336FA0">
                  <w:pPr>
                    <w:pStyle w:val="TableBodyText"/>
                    <w:ind w:right="28"/>
                  </w:pPr>
                  <w:r w:rsidRPr="00BC1144">
                    <w:t>-0.018</w:t>
                  </w:r>
                </w:p>
              </w:tc>
              <w:tc>
                <w:tcPr>
                  <w:tcW w:w="410" w:type="pct"/>
                  <w:shd w:val="clear" w:color="auto" w:fill="auto"/>
                  <w:vAlign w:val="center"/>
                </w:tcPr>
                <w:p w:rsidR="006E391F" w:rsidRPr="00BC1144" w:rsidRDefault="006E391F" w:rsidP="00336FA0">
                  <w:pPr>
                    <w:pStyle w:val="TableBodyText"/>
                    <w:ind w:right="28"/>
                  </w:pPr>
                  <w:r w:rsidRPr="00BC1144">
                    <w:t>-0.155</w:t>
                  </w:r>
                </w:p>
              </w:tc>
              <w:tc>
                <w:tcPr>
                  <w:tcW w:w="410" w:type="pct"/>
                  <w:shd w:val="clear" w:color="auto" w:fill="auto"/>
                  <w:vAlign w:val="center"/>
                </w:tcPr>
                <w:p w:rsidR="006E391F" w:rsidRPr="00BC1144" w:rsidRDefault="006E391F" w:rsidP="00336FA0">
                  <w:pPr>
                    <w:pStyle w:val="TableBodyText"/>
                    <w:ind w:right="28"/>
                  </w:pPr>
                  <w:r w:rsidRPr="00BC1144">
                    <w:t>-0.121</w:t>
                  </w:r>
                </w:p>
              </w:tc>
              <w:tc>
                <w:tcPr>
                  <w:tcW w:w="410" w:type="pct"/>
                  <w:gridSpan w:val="2"/>
                  <w:shd w:val="clear" w:color="auto" w:fill="auto"/>
                  <w:vAlign w:val="center"/>
                </w:tcPr>
                <w:p w:rsidR="006E391F" w:rsidRPr="00BC1144" w:rsidRDefault="006E391F" w:rsidP="00336FA0">
                  <w:pPr>
                    <w:pStyle w:val="TableBodyText"/>
                    <w:ind w:right="28"/>
                  </w:pPr>
                  <w:r w:rsidRPr="00BC1144">
                    <w:t>-0.107</w:t>
                  </w:r>
                </w:p>
              </w:tc>
              <w:tc>
                <w:tcPr>
                  <w:tcW w:w="403" w:type="pct"/>
                  <w:shd w:val="clear" w:color="auto" w:fill="auto"/>
                  <w:vAlign w:val="center"/>
                </w:tcPr>
                <w:p w:rsidR="006E391F" w:rsidRPr="00BC1144" w:rsidRDefault="006E391F" w:rsidP="00336FA0">
                  <w:pPr>
                    <w:pStyle w:val="TableBodyText"/>
                    <w:ind w:right="28"/>
                  </w:pPr>
                  <w:r w:rsidRPr="00BC1144">
                    <w:t>0.075</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r w:rsidRPr="00BC1144">
                    <w:t>(0.174)</w:t>
                  </w:r>
                </w:p>
              </w:tc>
              <w:tc>
                <w:tcPr>
                  <w:tcW w:w="466" w:type="pct"/>
                  <w:shd w:val="clear" w:color="auto" w:fill="auto"/>
                  <w:vAlign w:val="center"/>
                </w:tcPr>
                <w:p w:rsidR="006E391F" w:rsidRPr="00BC1144" w:rsidRDefault="006E391F" w:rsidP="00336FA0">
                  <w:pPr>
                    <w:pStyle w:val="TableBodyText"/>
                  </w:pPr>
                  <w:r w:rsidRPr="00BC1144">
                    <w:t>(0.214)</w:t>
                  </w:r>
                </w:p>
              </w:tc>
              <w:tc>
                <w:tcPr>
                  <w:tcW w:w="410" w:type="pct"/>
                  <w:shd w:val="clear" w:color="auto" w:fill="auto"/>
                  <w:vAlign w:val="center"/>
                </w:tcPr>
                <w:p w:rsidR="006E391F" w:rsidRPr="00BC1144" w:rsidRDefault="006E391F" w:rsidP="00336FA0">
                  <w:pPr>
                    <w:pStyle w:val="TableBodyText"/>
                    <w:ind w:right="28"/>
                  </w:pPr>
                  <w:r w:rsidRPr="00BC1144">
                    <w:t>(0.477)</w:t>
                  </w:r>
                </w:p>
              </w:tc>
              <w:tc>
                <w:tcPr>
                  <w:tcW w:w="410" w:type="pct"/>
                  <w:shd w:val="clear" w:color="auto" w:fill="auto"/>
                  <w:vAlign w:val="center"/>
                </w:tcPr>
                <w:p w:rsidR="006E391F" w:rsidRPr="00BC1144" w:rsidRDefault="006E391F" w:rsidP="00336FA0">
                  <w:pPr>
                    <w:pStyle w:val="TableBodyText"/>
                    <w:ind w:right="28"/>
                  </w:pPr>
                  <w:r w:rsidRPr="00BC1144">
                    <w:t>(0.537)</w:t>
                  </w:r>
                </w:p>
              </w:tc>
              <w:tc>
                <w:tcPr>
                  <w:tcW w:w="410" w:type="pct"/>
                  <w:shd w:val="clear" w:color="auto" w:fill="auto"/>
                  <w:vAlign w:val="center"/>
                </w:tcPr>
                <w:p w:rsidR="006E391F" w:rsidRPr="00BC1144" w:rsidRDefault="006E391F" w:rsidP="00336FA0">
                  <w:pPr>
                    <w:pStyle w:val="TableBodyText"/>
                    <w:ind w:right="28"/>
                  </w:pPr>
                  <w:r w:rsidRPr="00BC1144">
                    <w:t>(0.143)</w:t>
                  </w:r>
                </w:p>
              </w:tc>
              <w:tc>
                <w:tcPr>
                  <w:tcW w:w="410" w:type="pct"/>
                  <w:gridSpan w:val="2"/>
                  <w:shd w:val="clear" w:color="auto" w:fill="auto"/>
                  <w:vAlign w:val="center"/>
                </w:tcPr>
                <w:p w:rsidR="006E391F" w:rsidRPr="00BC1144" w:rsidRDefault="006E391F" w:rsidP="00336FA0">
                  <w:pPr>
                    <w:pStyle w:val="TableBodyText"/>
                    <w:ind w:right="28"/>
                  </w:pPr>
                  <w:r w:rsidRPr="00BC1144">
                    <w:t>(0.189)</w:t>
                  </w:r>
                </w:p>
              </w:tc>
              <w:tc>
                <w:tcPr>
                  <w:tcW w:w="410" w:type="pct"/>
                  <w:shd w:val="clear" w:color="auto" w:fill="auto"/>
                  <w:vAlign w:val="center"/>
                </w:tcPr>
                <w:p w:rsidR="006E391F" w:rsidRPr="00BC1144" w:rsidRDefault="006E391F" w:rsidP="00336FA0">
                  <w:pPr>
                    <w:pStyle w:val="TableBodyText"/>
                    <w:ind w:right="28"/>
                  </w:pPr>
                  <w:r w:rsidRPr="00BC1144">
                    <w:t>(0.305)</w:t>
                  </w:r>
                </w:p>
              </w:tc>
              <w:tc>
                <w:tcPr>
                  <w:tcW w:w="410" w:type="pct"/>
                  <w:shd w:val="clear" w:color="auto" w:fill="auto"/>
                  <w:vAlign w:val="center"/>
                </w:tcPr>
                <w:p w:rsidR="006E391F" w:rsidRPr="00BC1144" w:rsidRDefault="006E391F" w:rsidP="00336FA0">
                  <w:pPr>
                    <w:pStyle w:val="TableBodyText"/>
                    <w:ind w:right="28"/>
                  </w:pPr>
                  <w:r w:rsidRPr="00BC1144">
                    <w:t>(0.283)</w:t>
                  </w:r>
                </w:p>
              </w:tc>
              <w:tc>
                <w:tcPr>
                  <w:tcW w:w="410" w:type="pct"/>
                  <w:gridSpan w:val="2"/>
                  <w:shd w:val="clear" w:color="auto" w:fill="auto"/>
                  <w:vAlign w:val="center"/>
                </w:tcPr>
                <w:p w:rsidR="006E391F" w:rsidRPr="00BC1144" w:rsidRDefault="006E391F" w:rsidP="00336FA0">
                  <w:pPr>
                    <w:pStyle w:val="TableBodyText"/>
                    <w:ind w:right="28"/>
                  </w:pPr>
                  <w:r w:rsidRPr="00BC1144">
                    <w:t>(0.260)</w:t>
                  </w:r>
                </w:p>
              </w:tc>
              <w:tc>
                <w:tcPr>
                  <w:tcW w:w="403" w:type="pct"/>
                  <w:shd w:val="clear" w:color="auto" w:fill="auto"/>
                  <w:vAlign w:val="center"/>
                </w:tcPr>
                <w:p w:rsidR="006E391F" w:rsidRPr="00BC1144" w:rsidRDefault="006E391F" w:rsidP="00336FA0">
                  <w:pPr>
                    <w:pStyle w:val="TableBodyText"/>
                    <w:ind w:right="28"/>
                  </w:pPr>
                  <w:r w:rsidRPr="00BC1144">
                    <w:t>(0.267)</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r w:rsidRPr="00BC1144">
                    <w:t>State: ACT</w:t>
                  </w:r>
                </w:p>
              </w:tc>
              <w:tc>
                <w:tcPr>
                  <w:tcW w:w="468" w:type="pct"/>
                  <w:shd w:val="clear" w:color="auto" w:fill="F2F2F2" w:themeFill="background1" w:themeFillShade="F2"/>
                  <w:vAlign w:val="center"/>
                </w:tcPr>
                <w:p w:rsidR="006E391F" w:rsidRPr="00BC1144" w:rsidRDefault="006E391F" w:rsidP="00336FA0">
                  <w:pPr>
                    <w:pStyle w:val="TableBodyText"/>
                  </w:pPr>
                  <w:r w:rsidRPr="00BC1144">
                    <w:t>0.347</w:t>
                  </w:r>
                </w:p>
              </w:tc>
              <w:tc>
                <w:tcPr>
                  <w:tcW w:w="466" w:type="pct"/>
                  <w:shd w:val="clear" w:color="auto" w:fill="F2F2F2" w:themeFill="background1" w:themeFillShade="F2"/>
                  <w:vAlign w:val="center"/>
                </w:tcPr>
                <w:p w:rsidR="006E391F" w:rsidRPr="00BC1144" w:rsidRDefault="006E391F" w:rsidP="00336FA0">
                  <w:pPr>
                    <w:pStyle w:val="TableBodyText"/>
                  </w:pPr>
                  <w:r w:rsidRPr="00BC1144">
                    <w:t>0.272</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0.088</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0.057</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-0.033</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-0.206</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-0.265</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-0.462</w:t>
                  </w:r>
                  <w:r w:rsidRPr="00BC1144">
                    <w:rPr>
                      <w:vertAlign w:val="superscript"/>
                    </w:rPr>
                    <w:t>***</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0.034</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-0.294</w:t>
                  </w:r>
                </w:p>
              </w:tc>
            </w:tr>
            <w:tr w:rsidR="006E391F" w:rsidRPr="00BC1144" w:rsidTr="00336FA0">
              <w:trPr>
                <w:trHeight w:val="329"/>
              </w:trPr>
              <w:tc>
                <w:tcPr>
                  <w:tcW w:w="794" w:type="pct"/>
                  <w:shd w:val="clear" w:color="auto" w:fill="F2F2F2" w:themeFill="background1" w:themeFillShade="F2"/>
                  <w:vAlign w:val="center"/>
                </w:tcPr>
                <w:p w:rsidR="006E391F" w:rsidRPr="00BC1144" w:rsidRDefault="006E391F" w:rsidP="00336FA0">
                  <w:pPr>
                    <w:pStyle w:val="TableBodyText"/>
                    <w:jc w:val="left"/>
                  </w:pPr>
                </w:p>
              </w:tc>
              <w:tc>
                <w:tcPr>
                  <w:tcW w:w="468" w:type="pct"/>
                  <w:shd w:val="clear" w:color="auto" w:fill="F2F2F2" w:themeFill="background1" w:themeFillShade="F2"/>
                  <w:vAlign w:val="center"/>
                </w:tcPr>
                <w:p w:rsidR="006E391F" w:rsidRPr="00BC1144" w:rsidRDefault="006E391F" w:rsidP="00336FA0">
                  <w:pPr>
                    <w:pStyle w:val="TableBodyText"/>
                  </w:pPr>
                  <w:r w:rsidRPr="00BC1144">
                    <w:t>(0.213)</w:t>
                  </w:r>
                </w:p>
              </w:tc>
              <w:tc>
                <w:tcPr>
                  <w:tcW w:w="466" w:type="pct"/>
                  <w:shd w:val="clear" w:color="auto" w:fill="F2F2F2" w:themeFill="background1" w:themeFillShade="F2"/>
                  <w:vAlign w:val="center"/>
                </w:tcPr>
                <w:p w:rsidR="006E391F" w:rsidRPr="00BC1144" w:rsidRDefault="006E391F" w:rsidP="00336FA0">
                  <w:pPr>
                    <w:pStyle w:val="TableBodyText"/>
                  </w:pPr>
                  <w:r w:rsidRPr="00BC1144">
                    <w:t>(0.211)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(1.049)</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(1.021)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(0.164)</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(0.131)</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(0.234)</w:t>
                  </w:r>
                </w:p>
              </w:tc>
              <w:tc>
                <w:tcPr>
                  <w:tcW w:w="410" w:type="pct"/>
                  <w:shd w:val="clear" w:color="auto" w:fill="F2F2F2" w:themeFill="background1" w:themeFillShade="F2"/>
                  <w:vAlign w:val="center"/>
                </w:tcPr>
                <w:p w:rsidR="006E391F" w:rsidRPr="00BC1144" w:rsidRDefault="006E391F" w:rsidP="00336FA0">
                  <w:pPr>
                    <w:pStyle w:val="TableBodyText"/>
                    <w:ind w:right="28"/>
                  </w:pPr>
                  <w:r w:rsidRPr="00BC1144">
                    <w:t>(0.150)</w:t>
                  </w:r>
                </w:p>
              </w:tc>
              <w:tc>
                <w:tcPr>
                  <w:tcW w:w="410" w:type="pct"/>
                  <w:gridSpan w:val="2"/>
                  <w:shd w:val="clear" w:color="auto" w:fill="F2F2F2" w:themeFill="background1" w:themeFillShade="F2"/>
                  <w:vAlign w:val="center"/>
                </w:tcPr>
                <w:p w:rsidR="006E391F" w:rsidRPr="00BC1144" w:rsidRDefault="006E391F" w:rsidP="00336FA0">
                  <w:pPr>
                    <w:pStyle w:val="TableBodyText"/>
                    <w:ind w:right="28"/>
                  </w:pPr>
                  <w:r w:rsidRPr="00BC1144">
                    <w:t>(0.377)</w:t>
                  </w:r>
                </w:p>
              </w:tc>
              <w:tc>
                <w:tcPr>
                  <w:tcW w:w="403" w:type="pct"/>
                  <w:shd w:val="clear" w:color="auto" w:fill="F2F2F2" w:themeFill="background1" w:themeFillShade="F2"/>
                  <w:vAlign w:val="center"/>
                </w:tcPr>
                <w:p w:rsidR="006E391F" w:rsidRPr="00BC1144" w:rsidRDefault="006E391F" w:rsidP="00336FA0">
                  <w:pPr>
                    <w:pStyle w:val="TableBodyText"/>
                    <w:ind w:right="28"/>
                  </w:pPr>
                  <w:r w:rsidRPr="00BC1144">
                    <w:t>(0.346)</w:t>
                  </w: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r w:rsidRPr="00BC1144">
                    <w:t>Grade</w:t>
                  </w:r>
                </w:p>
              </w:tc>
              <w:tc>
                <w:tcPr>
                  <w:tcW w:w="468" w:type="pct"/>
                  <w:shd w:val="clear" w:color="auto" w:fill="auto"/>
                  <w:vAlign w:val="center"/>
                </w:tcPr>
                <w:p w:rsidR="006E391F" w:rsidRPr="00BC1144" w:rsidRDefault="006E391F" w:rsidP="00336FA0">
                  <w:pPr>
                    <w:pStyle w:val="TableBodyText"/>
                  </w:pPr>
                </w:p>
              </w:tc>
              <w:tc>
                <w:tcPr>
                  <w:tcW w:w="466" w:type="pct"/>
                  <w:shd w:val="clear" w:color="auto" w:fill="auto"/>
                  <w:vAlign w:val="center"/>
                </w:tcPr>
                <w:p w:rsidR="006E391F" w:rsidRPr="00BC1144" w:rsidRDefault="006E391F" w:rsidP="00336FA0">
                  <w:pPr>
                    <w:pStyle w:val="TableBodyText"/>
                  </w:pP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-0.080</w:t>
                  </w:r>
                </w:p>
              </w:tc>
              <w:tc>
                <w:tcPr>
                  <w:tcW w:w="410" w:type="pct"/>
                  <w:gridSpan w:val="2"/>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0.093</w:t>
                  </w:r>
                </w:p>
              </w:tc>
              <w:tc>
                <w:tcPr>
                  <w:tcW w:w="410" w:type="pct"/>
                  <w:shd w:val="clear" w:color="auto" w:fill="auto"/>
                  <w:vAlign w:val="center"/>
                </w:tcPr>
                <w:p w:rsidR="006E391F" w:rsidRPr="00BC1144" w:rsidRDefault="006E391F" w:rsidP="00336FA0">
                  <w:pPr>
                    <w:pStyle w:val="TableBodyText"/>
                    <w:ind w:right="28"/>
                  </w:pPr>
                </w:p>
              </w:tc>
              <w:tc>
                <w:tcPr>
                  <w:tcW w:w="410" w:type="pct"/>
                  <w:gridSpan w:val="2"/>
                  <w:shd w:val="clear" w:color="auto" w:fill="auto"/>
                  <w:vAlign w:val="center"/>
                </w:tcPr>
                <w:p w:rsidR="006E391F" w:rsidRPr="00BC1144" w:rsidRDefault="006E391F" w:rsidP="00336FA0">
                  <w:pPr>
                    <w:pStyle w:val="TableBodyText"/>
                    <w:ind w:right="28"/>
                  </w:pPr>
                  <w:r w:rsidRPr="00BC1144">
                    <w:t>-0.044</w:t>
                  </w:r>
                </w:p>
              </w:tc>
              <w:tc>
                <w:tcPr>
                  <w:tcW w:w="403" w:type="pct"/>
                  <w:shd w:val="clear" w:color="auto" w:fill="auto"/>
                  <w:vAlign w:val="center"/>
                </w:tcPr>
                <w:p w:rsidR="006E391F" w:rsidRPr="00BC1144" w:rsidRDefault="006E391F" w:rsidP="00336FA0">
                  <w:pPr>
                    <w:pStyle w:val="TableBodyText"/>
                    <w:ind w:right="28"/>
                  </w:pPr>
                </w:p>
              </w:tc>
            </w:tr>
            <w:tr w:rsidR="006E391F" w:rsidRPr="00BC1144" w:rsidTr="00336FA0">
              <w:trPr>
                <w:trHeight w:val="329"/>
              </w:trPr>
              <w:tc>
                <w:tcPr>
                  <w:tcW w:w="794" w:type="pct"/>
                  <w:shd w:val="clear" w:color="auto" w:fill="auto"/>
                  <w:vAlign w:val="center"/>
                </w:tcPr>
                <w:p w:rsidR="006E391F" w:rsidRPr="00BC1144" w:rsidRDefault="006E391F" w:rsidP="00336FA0">
                  <w:pPr>
                    <w:pStyle w:val="TableBodyText"/>
                    <w:jc w:val="left"/>
                  </w:pPr>
                </w:p>
              </w:tc>
              <w:tc>
                <w:tcPr>
                  <w:tcW w:w="468" w:type="pct"/>
                  <w:shd w:val="clear" w:color="auto" w:fill="auto"/>
                  <w:vAlign w:val="center"/>
                </w:tcPr>
                <w:p w:rsidR="006E391F" w:rsidRPr="00BC1144" w:rsidRDefault="006E391F" w:rsidP="00336FA0">
                  <w:pPr>
                    <w:pStyle w:val="TableBodyText"/>
                  </w:pPr>
                </w:p>
              </w:tc>
              <w:tc>
                <w:tcPr>
                  <w:tcW w:w="466" w:type="pct"/>
                  <w:shd w:val="clear" w:color="auto" w:fill="auto"/>
                  <w:vAlign w:val="center"/>
                </w:tcPr>
                <w:p w:rsidR="006E391F" w:rsidRPr="00BC1144" w:rsidRDefault="006E391F" w:rsidP="00336FA0">
                  <w:pPr>
                    <w:pStyle w:val="TableBodyText"/>
                  </w:pP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(0.084)</w:t>
                  </w:r>
                </w:p>
              </w:tc>
              <w:tc>
                <w:tcPr>
                  <w:tcW w:w="410" w:type="pct"/>
                  <w:gridSpan w:val="2"/>
                  <w:shd w:val="clear" w:color="auto" w:fill="auto"/>
                  <w:vAlign w:val="center"/>
                </w:tcPr>
                <w:p w:rsidR="006E391F" w:rsidRPr="00BC1144" w:rsidRDefault="006E391F" w:rsidP="00336FA0">
                  <w:pPr>
                    <w:pStyle w:val="TableBodyText"/>
                    <w:ind w:right="28"/>
                  </w:pPr>
                </w:p>
              </w:tc>
              <w:tc>
                <w:tcPr>
                  <w:tcW w:w="410" w:type="pct"/>
                  <w:shd w:val="clear" w:color="auto" w:fill="auto"/>
                  <w:vAlign w:val="center"/>
                </w:tcPr>
                <w:p w:rsidR="006E391F" w:rsidRPr="00BC1144" w:rsidRDefault="006E391F" w:rsidP="00336FA0">
                  <w:pPr>
                    <w:pStyle w:val="TableBodyText"/>
                    <w:ind w:right="28"/>
                  </w:pPr>
                  <w:r w:rsidRPr="00BC1144">
                    <w:t>(0.152)</w:t>
                  </w:r>
                </w:p>
              </w:tc>
              <w:tc>
                <w:tcPr>
                  <w:tcW w:w="410" w:type="pct"/>
                  <w:shd w:val="clear" w:color="auto" w:fill="auto"/>
                  <w:vAlign w:val="center"/>
                </w:tcPr>
                <w:p w:rsidR="006E391F" w:rsidRPr="00BC1144" w:rsidRDefault="006E391F" w:rsidP="00336FA0">
                  <w:pPr>
                    <w:pStyle w:val="TableBodyText"/>
                    <w:ind w:right="28"/>
                  </w:pPr>
                </w:p>
              </w:tc>
              <w:tc>
                <w:tcPr>
                  <w:tcW w:w="410" w:type="pct"/>
                  <w:gridSpan w:val="2"/>
                  <w:shd w:val="clear" w:color="auto" w:fill="auto"/>
                  <w:vAlign w:val="center"/>
                </w:tcPr>
                <w:p w:rsidR="006E391F" w:rsidRPr="00BC1144" w:rsidRDefault="006E391F" w:rsidP="00336FA0">
                  <w:pPr>
                    <w:pStyle w:val="TableBodyText"/>
                    <w:ind w:right="28"/>
                  </w:pPr>
                  <w:r w:rsidRPr="00BC1144">
                    <w:t>(0.267)</w:t>
                  </w:r>
                </w:p>
              </w:tc>
              <w:tc>
                <w:tcPr>
                  <w:tcW w:w="403" w:type="pct"/>
                  <w:shd w:val="clear" w:color="auto" w:fill="auto"/>
                  <w:vAlign w:val="center"/>
                </w:tcPr>
                <w:p w:rsidR="006E391F" w:rsidRPr="00BC1144" w:rsidRDefault="006E391F" w:rsidP="00336FA0">
                  <w:pPr>
                    <w:pStyle w:val="TableBodyText"/>
                    <w:ind w:right="28"/>
                  </w:pPr>
                </w:p>
              </w:tc>
            </w:tr>
          </w:tbl>
          <w:p w:rsidR="006E391F" w:rsidRPr="00BC1144" w:rsidRDefault="006E391F" w:rsidP="00336FA0">
            <w:pPr>
              <w:pStyle w:val="BoxSpaceBelow"/>
              <w:rPr>
                <w:rFonts w:ascii="Times New Roman" w:hAnsi="Times New Roman"/>
                <w:b/>
                <w:vanish/>
                <w:color w:val="FF00FF"/>
              </w:rPr>
            </w:pPr>
          </w:p>
        </w:tc>
      </w:tr>
      <w:tr w:rsidR="006E391F" w:rsidRPr="00BC1144" w:rsidTr="00A0508D">
        <w:tc>
          <w:tcPr>
            <w:tcW w:w="5000" w:type="pct"/>
            <w:tcBorders>
              <w:top w:val="nil"/>
              <w:left w:val="nil"/>
              <w:bottom w:val="single" w:sz="6" w:space="0" w:color="78A22F"/>
              <w:right w:val="nil"/>
            </w:tcBorders>
            <w:shd w:val="clear" w:color="auto" w:fill="auto"/>
          </w:tcPr>
          <w:p w:rsidR="006E391F" w:rsidRPr="00BC1144" w:rsidRDefault="006E391F" w:rsidP="00336FA0">
            <w:pPr>
              <w:pStyle w:val="Continued"/>
            </w:pPr>
            <w:r w:rsidRPr="00BC1144">
              <w:t>(continued next page)</w:t>
            </w:r>
          </w:p>
        </w:tc>
      </w:tr>
      <w:tr w:rsidR="006E391F" w:rsidRPr="00BC1144" w:rsidTr="00A0508D">
        <w:trPr>
          <w:hidden/>
        </w:trPr>
        <w:tc>
          <w:tcPr>
            <w:tcW w:w="5000" w:type="pct"/>
            <w:tcBorders>
              <w:top w:val="single" w:sz="6" w:space="0" w:color="78A22F"/>
              <w:left w:val="nil"/>
              <w:bottom w:val="nil"/>
              <w:right w:val="nil"/>
            </w:tcBorders>
            <w:shd w:val="clear" w:color="auto" w:fill="auto"/>
          </w:tcPr>
          <w:p w:rsidR="006E391F" w:rsidRPr="00BC1144" w:rsidRDefault="006E391F" w:rsidP="00336FA0">
            <w:pPr>
              <w:pStyle w:val="BoxSpaceBelow"/>
              <w:rPr>
                <w:rFonts w:ascii="Times New Roman" w:hAnsi="Times New Roman"/>
                <w:b/>
                <w:vanish/>
                <w:color w:val="FF00FF"/>
              </w:rPr>
            </w:pPr>
          </w:p>
        </w:tc>
      </w:tr>
    </w:tbl>
    <w:p w:rsidR="006E391F" w:rsidRPr="00BC1144" w:rsidRDefault="006E391F" w:rsidP="00336FA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E391F" w:rsidRPr="00BC1144" w:rsidTr="00336FA0">
        <w:tc>
          <w:tcPr>
            <w:tcW w:w="5000" w:type="pct"/>
            <w:tcBorders>
              <w:top w:val="single" w:sz="6" w:space="0" w:color="78A22F"/>
              <w:left w:val="nil"/>
              <w:bottom w:val="nil"/>
              <w:right w:val="nil"/>
            </w:tcBorders>
            <w:shd w:val="clear" w:color="auto" w:fill="auto"/>
          </w:tcPr>
          <w:p w:rsidR="006E391F" w:rsidRPr="00BC1144" w:rsidRDefault="006E391F" w:rsidP="00336FA0">
            <w:pPr>
              <w:pStyle w:val="TableTitle"/>
            </w:pPr>
            <w:r w:rsidRPr="00BC1144">
              <w:rPr>
                <w:b w:val="0"/>
              </w:rPr>
              <w:t>Table B.16</w:t>
            </w:r>
            <w:r w:rsidRPr="00BC1144">
              <w:rPr>
                <w:b w:val="0"/>
              </w:rPr>
              <w:tab/>
            </w:r>
            <w:r w:rsidRPr="00BC1144">
              <w:rPr>
                <w:b w:val="0"/>
                <w:sz w:val="20"/>
                <w:szCs w:val="20"/>
              </w:rPr>
              <w:t>(continued)</w:t>
            </w:r>
          </w:p>
        </w:tc>
      </w:tr>
      <w:tr w:rsidR="006E391F" w:rsidRPr="00BC1144" w:rsidTr="00336FA0">
        <w:tc>
          <w:tcPr>
            <w:tcW w:w="5000" w:type="pct"/>
            <w:tcBorders>
              <w:top w:val="single" w:sz="6" w:space="0" w:color="78A22F"/>
              <w:left w:val="nil"/>
              <w:bottom w:val="nil"/>
              <w:right w:val="nil"/>
            </w:tcBorders>
            <w:shd w:val="clear" w:color="auto" w:fill="auto"/>
          </w:tcPr>
          <w:tbl>
            <w:tblPr>
              <w:tblW w:w="8508" w:type="dxa"/>
              <w:tblCellMar>
                <w:top w:w="28" w:type="dxa"/>
                <w:left w:w="0" w:type="dxa"/>
                <w:right w:w="0" w:type="dxa"/>
              </w:tblCellMar>
              <w:tblLook w:val="0000" w:firstRow="0" w:lastRow="0" w:firstColumn="0" w:lastColumn="0" w:noHBand="0" w:noVBand="0"/>
            </w:tblPr>
            <w:tblGrid>
              <w:gridCol w:w="1253"/>
              <w:gridCol w:w="712"/>
              <w:gridCol w:w="90"/>
              <w:gridCol w:w="798"/>
              <w:gridCol w:w="539"/>
              <w:gridCol w:w="170"/>
              <w:gridCol w:w="710"/>
              <w:gridCol w:w="539"/>
              <w:gridCol w:w="170"/>
              <w:gridCol w:w="710"/>
              <w:gridCol w:w="539"/>
              <w:gridCol w:w="170"/>
              <w:gridCol w:w="710"/>
              <w:gridCol w:w="539"/>
              <w:gridCol w:w="170"/>
              <w:gridCol w:w="689"/>
            </w:tblGrid>
            <w:tr w:rsidR="006E391F" w:rsidRPr="00BC1144" w:rsidTr="00336FA0">
              <w:trPr>
                <w:tblHeader/>
              </w:trPr>
              <w:tc>
                <w:tcPr>
                  <w:tcW w:w="736" w:type="pct"/>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jc w:val="left"/>
                  </w:pPr>
                </w:p>
              </w:tc>
              <w:tc>
                <w:tcPr>
                  <w:tcW w:w="940" w:type="pct"/>
                  <w:gridSpan w:val="3"/>
                  <w:tcBorders>
                    <w:top w:val="single" w:sz="6" w:space="0" w:color="BFBFBF"/>
                    <w:bottom w:val="single" w:sz="6" w:space="0" w:color="BFBFBF"/>
                  </w:tcBorders>
                </w:tcPr>
                <w:p w:rsidR="006E391F" w:rsidRPr="00BC1144" w:rsidRDefault="006E391F" w:rsidP="00336FA0">
                  <w:pPr>
                    <w:pStyle w:val="TableColumnHeading"/>
                  </w:pPr>
                  <w:r w:rsidRPr="00BC1144">
                    <w:t>2003</w:t>
                  </w:r>
                </w:p>
              </w:tc>
              <w:tc>
                <w:tcPr>
                  <w:tcW w:w="834" w:type="pct"/>
                  <w:gridSpan w:val="3"/>
                  <w:tcBorders>
                    <w:top w:val="single" w:sz="6" w:space="0" w:color="BFBFBF"/>
                    <w:bottom w:val="single" w:sz="6" w:space="0" w:color="BFBFBF"/>
                  </w:tcBorders>
                </w:tcPr>
                <w:p w:rsidR="006E391F" w:rsidRPr="00BC1144" w:rsidRDefault="006E391F" w:rsidP="00336FA0">
                  <w:pPr>
                    <w:pStyle w:val="TableColumnHeading"/>
                  </w:pPr>
                  <w:r w:rsidRPr="00BC1144">
                    <w:t>2006</w:t>
                  </w:r>
                </w:p>
              </w:tc>
              <w:tc>
                <w:tcPr>
                  <w:tcW w:w="834" w:type="pct"/>
                  <w:gridSpan w:val="3"/>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pPr>
                  <w:r w:rsidRPr="00BC1144">
                    <w:t>2010</w:t>
                  </w:r>
                </w:p>
              </w:tc>
              <w:tc>
                <w:tcPr>
                  <w:tcW w:w="834" w:type="pct"/>
                  <w:gridSpan w:val="3"/>
                  <w:tcBorders>
                    <w:top w:val="single" w:sz="6" w:space="0" w:color="BFBFBF"/>
                    <w:bottom w:val="single" w:sz="6" w:space="0" w:color="BFBFBF"/>
                  </w:tcBorders>
                  <w:shd w:val="clear" w:color="auto" w:fill="auto"/>
                  <w:tcMar>
                    <w:top w:w="28" w:type="dxa"/>
                  </w:tcMar>
                </w:tcPr>
                <w:p w:rsidR="006E391F" w:rsidRPr="00BC1144" w:rsidRDefault="006E391F" w:rsidP="00336FA0">
                  <w:pPr>
                    <w:pStyle w:val="TableColumnHeading"/>
                    <w:ind w:right="28"/>
                  </w:pPr>
                  <w:r w:rsidRPr="00BC1144">
                    <w:t>2013</w:t>
                  </w:r>
                </w:p>
              </w:tc>
              <w:tc>
                <w:tcPr>
                  <w:tcW w:w="822" w:type="pct"/>
                  <w:gridSpan w:val="3"/>
                  <w:tcBorders>
                    <w:top w:val="single" w:sz="6" w:space="0" w:color="BFBFBF"/>
                    <w:bottom w:val="single" w:sz="6" w:space="0" w:color="BFBFBF"/>
                  </w:tcBorders>
                </w:tcPr>
                <w:p w:rsidR="006E391F" w:rsidRPr="00BC1144" w:rsidRDefault="006E391F" w:rsidP="00336FA0">
                  <w:pPr>
                    <w:pStyle w:val="TableColumnHeading"/>
                    <w:ind w:right="28"/>
                  </w:pPr>
                  <w:r w:rsidRPr="00BC1144">
                    <w:t>2016</w:t>
                  </w:r>
                </w:p>
              </w:tc>
            </w:tr>
            <w:tr w:rsidR="006E391F" w:rsidRPr="00BC1144" w:rsidTr="00336FA0">
              <w:trPr>
                <w:trHeight w:val="329"/>
              </w:trPr>
              <w:tc>
                <w:tcPr>
                  <w:tcW w:w="736" w:type="pct"/>
                  <w:tcBorders>
                    <w:top w:val="single" w:sz="6" w:space="0" w:color="BFBFBF"/>
                  </w:tcBorders>
                </w:tcPr>
                <w:p w:rsidR="006E391F" w:rsidRPr="00BC1144" w:rsidRDefault="006E391F" w:rsidP="00336FA0">
                  <w:pPr>
                    <w:pStyle w:val="TableUnitsRow"/>
                    <w:jc w:val="left"/>
                  </w:pPr>
                </w:p>
              </w:tc>
              <w:tc>
                <w:tcPr>
                  <w:tcW w:w="418" w:type="pct"/>
                  <w:tcBorders>
                    <w:top w:val="single" w:sz="6" w:space="0" w:color="BFBFBF"/>
                  </w:tcBorders>
                  <w:vAlign w:val="center"/>
                </w:tcPr>
                <w:p w:rsidR="006E391F" w:rsidRPr="00BC1144" w:rsidRDefault="006E391F" w:rsidP="00336FA0">
                  <w:pPr>
                    <w:pStyle w:val="TableUnitsRow"/>
                  </w:pPr>
                  <w:r w:rsidRPr="00BC1144">
                    <w:t>(i)</w:t>
                  </w:r>
                </w:p>
              </w:tc>
              <w:tc>
                <w:tcPr>
                  <w:tcW w:w="522" w:type="pct"/>
                  <w:gridSpan w:val="2"/>
                  <w:tcBorders>
                    <w:top w:val="single" w:sz="6" w:space="0" w:color="BFBFBF"/>
                  </w:tcBorders>
                  <w:vAlign w:val="center"/>
                </w:tcPr>
                <w:p w:rsidR="006E391F" w:rsidRPr="00BC1144" w:rsidRDefault="006E391F" w:rsidP="00336FA0">
                  <w:pPr>
                    <w:pStyle w:val="TableUnitsRow"/>
                  </w:pPr>
                  <w:r w:rsidRPr="00BC1144">
                    <w:t>(ii)</w:t>
                  </w:r>
                </w:p>
              </w:tc>
              <w:tc>
                <w:tcPr>
                  <w:tcW w:w="317" w:type="pct"/>
                  <w:tcBorders>
                    <w:top w:val="single" w:sz="6" w:space="0" w:color="BFBFBF"/>
                  </w:tcBorders>
                  <w:vAlign w:val="center"/>
                </w:tcPr>
                <w:p w:rsidR="006E391F" w:rsidRPr="00BC1144" w:rsidRDefault="006E391F" w:rsidP="00336FA0">
                  <w:pPr>
                    <w:pStyle w:val="TableUnitsRow"/>
                    <w:ind w:right="28"/>
                  </w:pPr>
                  <w:r w:rsidRPr="00BC1144">
                    <w:t>(i)</w:t>
                  </w:r>
                </w:p>
              </w:tc>
              <w:tc>
                <w:tcPr>
                  <w:tcW w:w="517" w:type="pct"/>
                  <w:gridSpan w:val="2"/>
                  <w:tcBorders>
                    <w:top w:val="single" w:sz="6" w:space="0" w:color="BFBFBF"/>
                  </w:tcBorders>
                  <w:vAlign w:val="center"/>
                </w:tcPr>
                <w:p w:rsidR="006E391F" w:rsidRPr="00BC1144" w:rsidRDefault="006E391F" w:rsidP="00336FA0">
                  <w:pPr>
                    <w:pStyle w:val="TableUnitsRow"/>
                    <w:ind w:right="28"/>
                  </w:pPr>
                  <w:r w:rsidRPr="00BC1144">
                    <w:t>(ii)</w:t>
                  </w:r>
                </w:p>
              </w:tc>
              <w:tc>
                <w:tcPr>
                  <w:tcW w:w="317" w:type="pct"/>
                  <w:tcBorders>
                    <w:top w:val="single" w:sz="6" w:space="0" w:color="BFBFBF"/>
                  </w:tcBorders>
                  <w:vAlign w:val="center"/>
                </w:tcPr>
                <w:p w:rsidR="006E391F" w:rsidRPr="00BC1144" w:rsidRDefault="006E391F" w:rsidP="00336FA0">
                  <w:pPr>
                    <w:pStyle w:val="TableUnitsRow"/>
                    <w:ind w:right="28"/>
                  </w:pPr>
                  <w:r w:rsidRPr="00BC1144">
                    <w:t>(i)</w:t>
                  </w:r>
                </w:p>
              </w:tc>
              <w:tc>
                <w:tcPr>
                  <w:tcW w:w="517" w:type="pct"/>
                  <w:gridSpan w:val="2"/>
                  <w:tcBorders>
                    <w:top w:val="single" w:sz="6" w:space="0" w:color="BFBFBF"/>
                  </w:tcBorders>
                  <w:vAlign w:val="center"/>
                </w:tcPr>
                <w:p w:rsidR="006E391F" w:rsidRPr="00BC1144" w:rsidRDefault="006E391F" w:rsidP="00336FA0">
                  <w:pPr>
                    <w:pStyle w:val="TableUnitsRow"/>
                    <w:ind w:right="28"/>
                  </w:pPr>
                  <w:r w:rsidRPr="00BC1144">
                    <w:t>(ii)</w:t>
                  </w:r>
                </w:p>
              </w:tc>
              <w:tc>
                <w:tcPr>
                  <w:tcW w:w="317" w:type="pct"/>
                  <w:tcBorders>
                    <w:top w:val="single" w:sz="6" w:space="0" w:color="BFBFBF"/>
                  </w:tcBorders>
                  <w:vAlign w:val="center"/>
                </w:tcPr>
                <w:p w:rsidR="006E391F" w:rsidRPr="00BC1144" w:rsidRDefault="006E391F" w:rsidP="00336FA0">
                  <w:pPr>
                    <w:pStyle w:val="TableUnitsRow"/>
                    <w:ind w:right="28"/>
                  </w:pPr>
                  <w:r w:rsidRPr="00BC1144">
                    <w:t>(i)</w:t>
                  </w:r>
                </w:p>
              </w:tc>
              <w:tc>
                <w:tcPr>
                  <w:tcW w:w="517" w:type="pct"/>
                  <w:gridSpan w:val="2"/>
                  <w:tcBorders>
                    <w:top w:val="single" w:sz="6" w:space="0" w:color="BFBFBF"/>
                  </w:tcBorders>
                  <w:vAlign w:val="center"/>
                </w:tcPr>
                <w:p w:rsidR="006E391F" w:rsidRPr="00BC1144" w:rsidRDefault="006E391F" w:rsidP="00336FA0">
                  <w:pPr>
                    <w:pStyle w:val="TableUnitsRow"/>
                    <w:ind w:right="28"/>
                  </w:pPr>
                  <w:r w:rsidRPr="00BC1144">
                    <w:t>(ii)</w:t>
                  </w:r>
                </w:p>
              </w:tc>
              <w:tc>
                <w:tcPr>
                  <w:tcW w:w="317" w:type="pct"/>
                  <w:tcBorders>
                    <w:top w:val="single" w:sz="6" w:space="0" w:color="BFBFBF"/>
                  </w:tcBorders>
                  <w:vAlign w:val="center"/>
                </w:tcPr>
                <w:p w:rsidR="006E391F" w:rsidRPr="00BC1144" w:rsidRDefault="006E391F" w:rsidP="00336FA0">
                  <w:pPr>
                    <w:pStyle w:val="TableUnitsRow"/>
                    <w:ind w:right="28"/>
                  </w:pPr>
                  <w:r w:rsidRPr="00BC1144">
                    <w:t>(i)</w:t>
                  </w:r>
                </w:p>
              </w:tc>
              <w:tc>
                <w:tcPr>
                  <w:tcW w:w="505" w:type="pct"/>
                  <w:gridSpan w:val="2"/>
                  <w:tcBorders>
                    <w:top w:val="single" w:sz="6" w:space="0" w:color="BFBFBF"/>
                  </w:tcBorders>
                  <w:vAlign w:val="center"/>
                </w:tcPr>
                <w:p w:rsidR="006E391F" w:rsidRPr="00BC1144" w:rsidRDefault="006E391F" w:rsidP="00336FA0">
                  <w:pPr>
                    <w:pStyle w:val="TableUnitsRow"/>
                    <w:ind w:right="28"/>
                  </w:pPr>
                  <w:r w:rsidRPr="00BC1144">
                    <w:t>(ii)</w:t>
                  </w: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r w:rsidRPr="00BC1144">
                    <w:t>Constant</w:t>
                  </w:r>
                </w:p>
              </w:tc>
              <w:tc>
                <w:tcPr>
                  <w:tcW w:w="471" w:type="pct"/>
                  <w:gridSpan w:val="2"/>
                  <w:shd w:val="clear" w:color="auto" w:fill="F2F2F2" w:themeFill="background1" w:themeFillShade="F2"/>
                  <w:vAlign w:val="center"/>
                </w:tcPr>
                <w:p w:rsidR="006E391F" w:rsidRPr="00BC1144" w:rsidRDefault="006E391F" w:rsidP="00336FA0">
                  <w:pPr>
                    <w:pStyle w:val="TableBodyText"/>
                  </w:pPr>
                </w:p>
              </w:tc>
              <w:tc>
                <w:tcPr>
                  <w:tcW w:w="469" w:type="pct"/>
                  <w:shd w:val="clear" w:color="auto" w:fill="F2F2F2" w:themeFill="background1" w:themeFillShade="F2"/>
                  <w:vAlign w:val="center"/>
                </w:tcPr>
                <w:p w:rsidR="006E391F" w:rsidRPr="00BC1144" w:rsidRDefault="006E391F" w:rsidP="00336FA0">
                  <w:pPr>
                    <w:pStyle w:val="TableBodyText"/>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-0.504</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-0.907</w:t>
                  </w:r>
                  <w:r w:rsidRPr="00BC1144">
                    <w:rPr>
                      <w:vertAlign w:val="superscript"/>
                    </w:rPr>
                    <w:t>**</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-0.658</w:t>
                  </w:r>
                </w:p>
              </w:tc>
              <w:tc>
                <w:tcPr>
                  <w:tcW w:w="405"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F2F2F2" w:themeFill="background1" w:themeFillShade="F2"/>
                  <w:vAlign w:val="center"/>
                </w:tcPr>
                <w:p w:rsidR="006E391F" w:rsidRPr="00BC1144" w:rsidRDefault="006E391F" w:rsidP="00336FA0">
                  <w:pPr>
                    <w:pStyle w:val="TableBodyText"/>
                    <w:jc w:val="left"/>
                  </w:pPr>
                </w:p>
              </w:tc>
              <w:tc>
                <w:tcPr>
                  <w:tcW w:w="471" w:type="pct"/>
                  <w:gridSpan w:val="2"/>
                  <w:shd w:val="clear" w:color="auto" w:fill="F2F2F2" w:themeFill="background1" w:themeFillShade="F2"/>
                  <w:vAlign w:val="center"/>
                </w:tcPr>
                <w:p w:rsidR="006E391F" w:rsidRPr="00BC1144" w:rsidRDefault="006E391F" w:rsidP="00336FA0">
                  <w:pPr>
                    <w:pStyle w:val="TableBodyText"/>
                  </w:pPr>
                </w:p>
              </w:tc>
              <w:tc>
                <w:tcPr>
                  <w:tcW w:w="469" w:type="pct"/>
                  <w:shd w:val="clear" w:color="auto" w:fill="F2F2F2" w:themeFill="background1" w:themeFillShade="F2"/>
                  <w:vAlign w:val="center"/>
                </w:tcPr>
                <w:p w:rsidR="006E391F" w:rsidRPr="00BC1144" w:rsidRDefault="006E391F" w:rsidP="00336FA0">
                  <w:pPr>
                    <w:pStyle w:val="TableBodyText"/>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(0.182)</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(0.460)</w:t>
                  </w:r>
                </w:p>
              </w:tc>
              <w:tc>
                <w:tcPr>
                  <w:tcW w:w="417" w:type="pct"/>
                  <w:shd w:val="clear" w:color="auto" w:fill="F2F2F2" w:themeFill="background1" w:themeFillShade="F2"/>
                  <w:vAlign w:val="center"/>
                </w:tcPr>
                <w:p w:rsidR="006E391F" w:rsidRPr="00BC1144" w:rsidRDefault="006E391F" w:rsidP="00336FA0">
                  <w:pPr>
                    <w:pStyle w:val="TableBodyText"/>
                    <w:ind w:right="28"/>
                  </w:pPr>
                </w:p>
              </w:tc>
              <w:tc>
                <w:tcPr>
                  <w:tcW w:w="417" w:type="pct"/>
                  <w:gridSpan w:val="2"/>
                  <w:shd w:val="clear" w:color="auto" w:fill="F2F2F2" w:themeFill="background1" w:themeFillShade="F2"/>
                  <w:vAlign w:val="center"/>
                </w:tcPr>
                <w:p w:rsidR="006E391F" w:rsidRPr="00BC1144" w:rsidRDefault="006E391F" w:rsidP="00336FA0">
                  <w:pPr>
                    <w:pStyle w:val="TableBodyText"/>
                    <w:ind w:right="28"/>
                  </w:pPr>
                  <w:r w:rsidRPr="00BC1144">
                    <w:t>(0.415)</w:t>
                  </w:r>
                </w:p>
              </w:tc>
              <w:tc>
                <w:tcPr>
                  <w:tcW w:w="405" w:type="pct"/>
                  <w:shd w:val="clear" w:color="auto" w:fill="F2F2F2" w:themeFill="background1" w:themeFillShade="F2"/>
                  <w:vAlign w:val="center"/>
                </w:tcPr>
                <w:p w:rsidR="006E391F" w:rsidRPr="00BC1144" w:rsidRDefault="006E391F" w:rsidP="00336FA0">
                  <w:pPr>
                    <w:pStyle w:val="TableBodyText"/>
                    <w:ind w:right="28"/>
                  </w:pPr>
                </w:p>
              </w:tc>
            </w:tr>
            <w:tr w:rsidR="006E391F" w:rsidRPr="00BC1144" w:rsidTr="00336FA0">
              <w:trPr>
                <w:trHeight w:val="329"/>
              </w:trPr>
              <w:tc>
                <w:tcPr>
                  <w:tcW w:w="736" w:type="pct"/>
                  <w:shd w:val="clear" w:color="auto" w:fill="auto"/>
                  <w:vAlign w:val="center"/>
                </w:tcPr>
                <w:p w:rsidR="006E391F" w:rsidRPr="00BC1144" w:rsidRDefault="006E391F" w:rsidP="00336FA0">
                  <w:pPr>
                    <w:pStyle w:val="TableBodyText"/>
                    <w:jc w:val="left"/>
                  </w:pPr>
                  <w:r w:rsidRPr="00BC1144">
                    <w:t>ATAR missing dummy: Missing</w:t>
                  </w:r>
                </w:p>
              </w:tc>
              <w:tc>
                <w:tcPr>
                  <w:tcW w:w="471" w:type="pct"/>
                  <w:gridSpan w:val="2"/>
                  <w:shd w:val="clear" w:color="auto" w:fill="auto"/>
                  <w:vAlign w:val="center"/>
                </w:tcPr>
                <w:p w:rsidR="006E391F" w:rsidRPr="00BC1144" w:rsidRDefault="006E391F" w:rsidP="00336FA0">
                  <w:pPr>
                    <w:pStyle w:val="TableBodyText"/>
                  </w:pPr>
                  <w:r w:rsidRPr="00BC1144">
                    <w:t>-0.653</w:t>
                  </w:r>
                </w:p>
              </w:tc>
              <w:tc>
                <w:tcPr>
                  <w:tcW w:w="469" w:type="pct"/>
                  <w:shd w:val="clear" w:color="auto" w:fill="auto"/>
                  <w:vAlign w:val="center"/>
                </w:tcPr>
                <w:p w:rsidR="006E391F" w:rsidRPr="00BC1144" w:rsidRDefault="006E391F" w:rsidP="00336FA0">
                  <w:pPr>
                    <w:pStyle w:val="TableBodyText"/>
                  </w:pPr>
                  <w:r w:rsidRPr="00BC1144">
                    <w:t>-1.199</w:t>
                  </w:r>
                  <w:r w:rsidRPr="00BC1144">
                    <w:rPr>
                      <w:vertAlign w:val="superscript"/>
                    </w:rPr>
                    <w:t>***</w:t>
                  </w:r>
                </w:p>
              </w:tc>
              <w:tc>
                <w:tcPr>
                  <w:tcW w:w="417" w:type="pct"/>
                  <w:gridSpan w:val="2"/>
                  <w:shd w:val="clear" w:color="auto" w:fill="auto"/>
                  <w:vAlign w:val="center"/>
                </w:tcPr>
                <w:p w:rsidR="006E391F" w:rsidRPr="00BC1144" w:rsidRDefault="006E391F" w:rsidP="00336FA0">
                  <w:pPr>
                    <w:pStyle w:val="TableBodyText"/>
                    <w:ind w:right="28"/>
                  </w:pPr>
                  <w:r w:rsidRPr="00BC1144">
                    <w:t>-0.508</w:t>
                  </w:r>
                </w:p>
              </w:tc>
              <w:tc>
                <w:tcPr>
                  <w:tcW w:w="417" w:type="pct"/>
                  <w:shd w:val="clear" w:color="auto" w:fill="auto"/>
                  <w:vAlign w:val="center"/>
                </w:tcPr>
                <w:p w:rsidR="006E391F" w:rsidRPr="00BC1144" w:rsidRDefault="006E391F" w:rsidP="00336FA0">
                  <w:pPr>
                    <w:pStyle w:val="TableBodyText"/>
                    <w:ind w:right="28"/>
                  </w:pPr>
                  <w:r w:rsidRPr="00BC1144">
                    <w:t>-0.787</w:t>
                  </w:r>
                </w:p>
              </w:tc>
              <w:tc>
                <w:tcPr>
                  <w:tcW w:w="417" w:type="pct"/>
                  <w:gridSpan w:val="2"/>
                  <w:shd w:val="clear" w:color="auto" w:fill="auto"/>
                  <w:vAlign w:val="center"/>
                </w:tcPr>
                <w:p w:rsidR="006E391F" w:rsidRPr="00BC1144" w:rsidRDefault="006E391F" w:rsidP="00336FA0">
                  <w:pPr>
                    <w:pStyle w:val="TableBodyText"/>
                    <w:ind w:right="28"/>
                  </w:pPr>
                  <w:r w:rsidRPr="00BC1144">
                    <w:t>0.254</w:t>
                  </w:r>
                </w:p>
              </w:tc>
              <w:tc>
                <w:tcPr>
                  <w:tcW w:w="417" w:type="pct"/>
                  <w:shd w:val="clear" w:color="auto" w:fill="auto"/>
                  <w:vAlign w:val="center"/>
                </w:tcPr>
                <w:p w:rsidR="006E391F" w:rsidRPr="00BC1144" w:rsidRDefault="006E391F" w:rsidP="00336FA0">
                  <w:pPr>
                    <w:pStyle w:val="TableBodyText"/>
                    <w:ind w:right="28"/>
                  </w:pPr>
                  <w:r w:rsidRPr="00BC1144">
                    <w:t>-3.607</w:t>
                  </w:r>
                  <w:r w:rsidRPr="00BC1144">
                    <w:rPr>
                      <w:vertAlign w:val="superscript"/>
                    </w:rPr>
                    <w:t>***</w:t>
                  </w:r>
                </w:p>
              </w:tc>
              <w:tc>
                <w:tcPr>
                  <w:tcW w:w="417" w:type="pct"/>
                  <w:gridSpan w:val="2"/>
                  <w:shd w:val="clear" w:color="auto" w:fill="auto"/>
                  <w:vAlign w:val="center"/>
                </w:tcPr>
                <w:p w:rsidR="006E391F" w:rsidRPr="00BC1144" w:rsidRDefault="006E391F" w:rsidP="00336FA0">
                  <w:pPr>
                    <w:pStyle w:val="TableBodyText"/>
                    <w:ind w:right="28"/>
                  </w:pPr>
                  <w:r w:rsidRPr="00BC1144">
                    <w:t>1.301</w:t>
                  </w:r>
                </w:p>
              </w:tc>
              <w:tc>
                <w:tcPr>
                  <w:tcW w:w="417" w:type="pct"/>
                  <w:shd w:val="clear" w:color="auto" w:fill="auto"/>
                  <w:vAlign w:val="center"/>
                </w:tcPr>
                <w:p w:rsidR="006E391F" w:rsidRPr="00BC1144" w:rsidRDefault="006E391F" w:rsidP="00336FA0">
                  <w:pPr>
                    <w:pStyle w:val="TableBodyText"/>
                    <w:ind w:right="28"/>
                  </w:pPr>
                  <w:r w:rsidRPr="00BC1144">
                    <w:t>-3.109</w:t>
                  </w:r>
                  <w:r w:rsidRPr="00BC1144">
                    <w:rPr>
                      <w:vertAlign w:val="superscript"/>
                    </w:rPr>
                    <w:t>***</w:t>
                  </w:r>
                </w:p>
              </w:tc>
              <w:tc>
                <w:tcPr>
                  <w:tcW w:w="417" w:type="pct"/>
                  <w:gridSpan w:val="2"/>
                  <w:shd w:val="clear" w:color="auto" w:fill="auto"/>
                  <w:vAlign w:val="center"/>
                </w:tcPr>
                <w:p w:rsidR="006E391F" w:rsidRPr="00BC1144" w:rsidRDefault="006E391F" w:rsidP="00336FA0">
                  <w:pPr>
                    <w:pStyle w:val="TableBodyText"/>
                    <w:ind w:right="28"/>
                  </w:pPr>
                  <w:r w:rsidRPr="00BC1144">
                    <w:t>0.835</w:t>
                  </w:r>
                </w:p>
              </w:tc>
              <w:tc>
                <w:tcPr>
                  <w:tcW w:w="405" w:type="pct"/>
                  <w:shd w:val="clear" w:color="auto" w:fill="auto"/>
                  <w:vAlign w:val="center"/>
                </w:tcPr>
                <w:p w:rsidR="006E391F" w:rsidRPr="00BC1144" w:rsidRDefault="006E391F" w:rsidP="00336FA0">
                  <w:pPr>
                    <w:pStyle w:val="TableBodyText"/>
                    <w:ind w:right="28"/>
                  </w:pPr>
                  <w:r w:rsidRPr="00BC1144">
                    <w:t>-2.852</w:t>
                  </w:r>
                  <w:r w:rsidRPr="00BC1144">
                    <w:rPr>
                      <w:vertAlign w:val="superscript"/>
                    </w:rPr>
                    <w:t>*</w:t>
                  </w:r>
                </w:p>
              </w:tc>
            </w:tr>
            <w:tr w:rsidR="006E391F" w:rsidRPr="00BC1144" w:rsidTr="00A0508D">
              <w:trPr>
                <w:trHeight w:val="329"/>
              </w:trPr>
              <w:tc>
                <w:tcPr>
                  <w:tcW w:w="736" w:type="pct"/>
                  <w:shd w:val="clear" w:color="auto" w:fill="auto"/>
                  <w:vAlign w:val="center"/>
                </w:tcPr>
                <w:p w:rsidR="006E391F" w:rsidRPr="00BC1144" w:rsidRDefault="006E391F" w:rsidP="00336FA0">
                  <w:pPr>
                    <w:pStyle w:val="TableBodyText"/>
                    <w:jc w:val="left"/>
                  </w:pPr>
                </w:p>
              </w:tc>
              <w:tc>
                <w:tcPr>
                  <w:tcW w:w="471" w:type="pct"/>
                  <w:gridSpan w:val="2"/>
                  <w:shd w:val="clear" w:color="auto" w:fill="auto"/>
                  <w:vAlign w:val="center"/>
                </w:tcPr>
                <w:p w:rsidR="006E391F" w:rsidRPr="00BC1144" w:rsidRDefault="006E391F" w:rsidP="00336FA0">
                  <w:pPr>
                    <w:pStyle w:val="TableBodyText"/>
                  </w:pPr>
                  <w:r w:rsidRPr="00BC1144">
                    <w:t>(0.492)</w:t>
                  </w:r>
                </w:p>
              </w:tc>
              <w:tc>
                <w:tcPr>
                  <w:tcW w:w="469" w:type="pct"/>
                  <w:shd w:val="clear" w:color="auto" w:fill="auto"/>
                  <w:vAlign w:val="center"/>
                </w:tcPr>
                <w:p w:rsidR="006E391F" w:rsidRPr="00BC1144" w:rsidRDefault="006E391F" w:rsidP="00336FA0">
                  <w:pPr>
                    <w:pStyle w:val="TableBodyText"/>
                  </w:pPr>
                  <w:r w:rsidRPr="00BC1144">
                    <w:t>(0.449)</w:t>
                  </w:r>
                </w:p>
              </w:tc>
              <w:tc>
                <w:tcPr>
                  <w:tcW w:w="417" w:type="pct"/>
                  <w:gridSpan w:val="2"/>
                  <w:shd w:val="clear" w:color="auto" w:fill="auto"/>
                  <w:vAlign w:val="center"/>
                </w:tcPr>
                <w:p w:rsidR="006E391F" w:rsidRPr="00BC1144" w:rsidRDefault="006E391F" w:rsidP="00336FA0">
                  <w:pPr>
                    <w:pStyle w:val="TableBodyText"/>
                    <w:ind w:right="28"/>
                  </w:pPr>
                  <w:r w:rsidRPr="00BC1144">
                    <w:t>(1.466)</w:t>
                  </w:r>
                </w:p>
              </w:tc>
              <w:tc>
                <w:tcPr>
                  <w:tcW w:w="417" w:type="pct"/>
                  <w:shd w:val="clear" w:color="auto" w:fill="auto"/>
                  <w:vAlign w:val="center"/>
                </w:tcPr>
                <w:p w:rsidR="006E391F" w:rsidRPr="00BC1144" w:rsidRDefault="006E391F" w:rsidP="00336FA0">
                  <w:pPr>
                    <w:pStyle w:val="TableBodyText"/>
                    <w:ind w:right="28"/>
                  </w:pPr>
                  <w:r w:rsidRPr="00BC1144">
                    <w:t>(0.949)</w:t>
                  </w:r>
                </w:p>
              </w:tc>
              <w:tc>
                <w:tcPr>
                  <w:tcW w:w="417" w:type="pct"/>
                  <w:gridSpan w:val="2"/>
                  <w:shd w:val="clear" w:color="auto" w:fill="auto"/>
                  <w:vAlign w:val="center"/>
                </w:tcPr>
                <w:p w:rsidR="006E391F" w:rsidRPr="00BC1144" w:rsidRDefault="006E391F" w:rsidP="00336FA0">
                  <w:pPr>
                    <w:pStyle w:val="TableBodyText"/>
                    <w:ind w:right="28"/>
                  </w:pPr>
                  <w:r w:rsidRPr="00BC1144">
                    <w:t>(0.556)</w:t>
                  </w:r>
                </w:p>
              </w:tc>
              <w:tc>
                <w:tcPr>
                  <w:tcW w:w="417" w:type="pct"/>
                  <w:shd w:val="clear" w:color="auto" w:fill="auto"/>
                  <w:vAlign w:val="center"/>
                </w:tcPr>
                <w:p w:rsidR="006E391F" w:rsidRPr="00BC1144" w:rsidRDefault="006E391F" w:rsidP="00336FA0">
                  <w:pPr>
                    <w:pStyle w:val="TableBodyText"/>
                    <w:ind w:right="28"/>
                  </w:pPr>
                  <w:r w:rsidRPr="00BC1144">
                    <w:t>(0.570)</w:t>
                  </w:r>
                </w:p>
              </w:tc>
              <w:tc>
                <w:tcPr>
                  <w:tcW w:w="417" w:type="pct"/>
                  <w:gridSpan w:val="2"/>
                  <w:shd w:val="clear" w:color="auto" w:fill="auto"/>
                  <w:vAlign w:val="center"/>
                </w:tcPr>
                <w:p w:rsidR="006E391F" w:rsidRPr="00BC1144" w:rsidRDefault="006E391F" w:rsidP="00336FA0">
                  <w:pPr>
                    <w:pStyle w:val="TableBodyText"/>
                    <w:ind w:right="28"/>
                  </w:pPr>
                  <w:r w:rsidRPr="00BC1144">
                    <w:t>(1.201)</w:t>
                  </w:r>
                </w:p>
              </w:tc>
              <w:tc>
                <w:tcPr>
                  <w:tcW w:w="417" w:type="pct"/>
                  <w:shd w:val="clear" w:color="auto" w:fill="auto"/>
                  <w:vAlign w:val="center"/>
                </w:tcPr>
                <w:p w:rsidR="006E391F" w:rsidRPr="00BC1144" w:rsidRDefault="006E391F" w:rsidP="00336FA0">
                  <w:pPr>
                    <w:pStyle w:val="TableBodyText"/>
                    <w:ind w:right="28"/>
                  </w:pPr>
                  <w:r w:rsidRPr="00BC1144">
                    <w:t>(0.960)</w:t>
                  </w:r>
                </w:p>
              </w:tc>
              <w:tc>
                <w:tcPr>
                  <w:tcW w:w="417" w:type="pct"/>
                  <w:gridSpan w:val="2"/>
                  <w:shd w:val="clear" w:color="auto" w:fill="auto"/>
                  <w:vAlign w:val="center"/>
                </w:tcPr>
                <w:p w:rsidR="006E391F" w:rsidRPr="00BC1144" w:rsidRDefault="006E391F" w:rsidP="00336FA0">
                  <w:pPr>
                    <w:pStyle w:val="TableBodyText"/>
                    <w:ind w:right="28"/>
                  </w:pPr>
                  <w:r w:rsidRPr="00BC1144">
                    <w:t>(2.711)</w:t>
                  </w:r>
                </w:p>
              </w:tc>
              <w:tc>
                <w:tcPr>
                  <w:tcW w:w="405" w:type="pct"/>
                  <w:shd w:val="clear" w:color="auto" w:fill="auto"/>
                  <w:vAlign w:val="center"/>
                </w:tcPr>
                <w:p w:rsidR="006E391F" w:rsidRPr="00BC1144" w:rsidRDefault="006E391F" w:rsidP="00336FA0">
                  <w:pPr>
                    <w:pStyle w:val="TableBodyText"/>
                    <w:ind w:right="28"/>
                  </w:pPr>
                  <w:r w:rsidRPr="00BC1144">
                    <w:t>(1.482)</w:t>
                  </w:r>
                </w:p>
              </w:tc>
            </w:tr>
            <w:tr w:rsidR="006E391F" w:rsidRPr="00BC1144" w:rsidTr="00A0508D">
              <w:trPr>
                <w:trHeight w:val="329"/>
              </w:trPr>
              <w:tc>
                <w:tcPr>
                  <w:tcW w:w="736"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jc w:val="left"/>
                  </w:pPr>
                  <w:r w:rsidRPr="00BC1144">
                    <w:t>Observations</w:t>
                  </w:r>
                </w:p>
              </w:tc>
              <w:tc>
                <w:tcPr>
                  <w:tcW w:w="471" w:type="pct"/>
                  <w:gridSpan w:val="2"/>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pPr>
                  <w:r w:rsidRPr="00BC1144">
                    <w:t>3,796</w:t>
                  </w:r>
                </w:p>
              </w:tc>
              <w:tc>
                <w:tcPr>
                  <w:tcW w:w="469"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pPr>
                  <w:r w:rsidRPr="00BC1144">
                    <w:t>3,782</w:t>
                  </w:r>
                </w:p>
              </w:tc>
              <w:tc>
                <w:tcPr>
                  <w:tcW w:w="417" w:type="pct"/>
                  <w:gridSpan w:val="2"/>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2,198</w:t>
                  </w:r>
                </w:p>
              </w:tc>
              <w:tc>
                <w:tcPr>
                  <w:tcW w:w="417"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2,197</w:t>
                  </w:r>
                </w:p>
              </w:tc>
              <w:tc>
                <w:tcPr>
                  <w:tcW w:w="417" w:type="pct"/>
                  <w:gridSpan w:val="2"/>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4,603</w:t>
                  </w:r>
                </w:p>
              </w:tc>
              <w:tc>
                <w:tcPr>
                  <w:tcW w:w="417"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4,602</w:t>
                  </w:r>
                </w:p>
              </w:tc>
              <w:tc>
                <w:tcPr>
                  <w:tcW w:w="417" w:type="pct"/>
                  <w:gridSpan w:val="2"/>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3,986</w:t>
                  </w:r>
                </w:p>
              </w:tc>
              <w:tc>
                <w:tcPr>
                  <w:tcW w:w="417"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4,047</w:t>
                  </w:r>
                </w:p>
              </w:tc>
              <w:tc>
                <w:tcPr>
                  <w:tcW w:w="417" w:type="pct"/>
                  <w:gridSpan w:val="2"/>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3,833</w:t>
                  </w:r>
                </w:p>
              </w:tc>
              <w:tc>
                <w:tcPr>
                  <w:tcW w:w="405" w:type="pct"/>
                  <w:tcBorders>
                    <w:bottom w:val="single" w:sz="4" w:space="0" w:color="D9D9D9" w:themeColor="background1" w:themeShade="D9"/>
                  </w:tcBorders>
                  <w:shd w:val="clear" w:color="auto" w:fill="F2F2F2" w:themeFill="background1" w:themeFillShade="F2"/>
                  <w:vAlign w:val="center"/>
                </w:tcPr>
                <w:p w:rsidR="006E391F" w:rsidRPr="00BC1144" w:rsidRDefault="006E391F" w:rsidP="00336FA0">
                  <w:pPr>
                    <w:pStyle w:val="TableBodyText"/>
                    <w:ind w:right="28"/>
                  </w:pPr>
                  <w:r w:rsidRPr="00BC1144">
                    <w:t>3,828</w:t>
                  </w:r>
                </w:p>
              </w:tc>
            </w:tr>
          </w:tbl>
          <w:p w:rsidR="006E391F" w:rsidRPr="00BC1144" w:rsidRDefault="006E391F" w:rsidP="00336FA0">
            <w:pPr>
              <w:pStyle w:val="BoxSpaceBelow"/>
              <w:rPr>
                <w:rFonts w:ascii="Times New Roman" w:hAnsi="Times New Roman"/>
                <w:b/>
                <w:vanish/>
                <w:color w:val="FF00FF"/>
              </w:rPr>
            </w:pP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Note"/>
            </w:pPr>
            <w:r w:rsidRPr="00BC1144">
              <w:rPr>
                <w:rStyle w:val="NoteLabel"/>
              </w:rPr>
              <w:t>a</w:t>
            </w:r>
            <w:r w:rsidRPr="00BC1144">
              <w:t xml:space="preserve"> ***, **, * indicate significant at 1%, 5% and 10% respectively, standard errors are in parentheses</w:t>
            </w:r>
          </w:p>
        </w:tc>
      </w:tr>
      <w:tr w:rsidR="006E391F" w:rsidRPr="00BC1144" w:rsidTr="00336FA0">
        <w:tc>
          <w:tcPr>
            <w:tcW w:w="5000" w:type="pct"/>
            <w:tcBorders>
              <w:top w:val="nil"/>
              <w:left w:val="nil"/>
              <w:bottom w:val="nil"/>
              <w:right w:val="nil"/>
            </w:tcBorders>
            <w:shd w:val="clear" w:color="auto" w:fill="auto"/>
          </w:tcPr>
          <w:p w:rsidR="006E391F" w:rsidRPr="00BC1144" w:rsidRDefault="006E391F" w:rsidP="00336FA0">
            <w:pPr>
              <w:pStyle w:val="Source"/>
            </w:pPr>
            <w:r w:rsidRPr="00BC1144">
              <w:rPr>
                <w:i/>
              </w:rPr>
              <w:t xml:space="preserve">Source: </w:t>
            </w:r>
            <w:r w:rsidRPr="00BC1144">
              <w:t>Productivity Commission estimates based on LSAY</w:t>
            </w:r>
          </w:p>
        </w:tc>
      </w:tr>
      <w:tr w:rsidR="006E391F" w:rsidRPr="00BC1144" w:rsidTr="00336FA0">
        <w:tc>
          <w:tcPr>
            <w:tcW w:w="5000" w:type="pct"/>
            <w:tcBorders>
              <w:top w:val="single" w:sz="6" w:space="0" w:color="78A22F"/>
              <w:left w:val="nil"/>
              <w:bottom w:val="nil"/>
              <w:right w:val="nil"/>
            </w:tcBorders>
            <w:shd w:val="clear" w:color="auto" w:fill="auto"/>
          </w:tcPr>
          <w:p w:rsidR="006E391F" w:rsidRPr="00BC1144" w:rsidRDefault="006E391F" w:rsidP="00E349EB">
            <w:pPr>
              <w:pStyle w:val="BoxSpaceBelow"/>
            </w:pPr>
          </w:p>
        </w:tc>
      </w:tr>
    </w:tbl>
    <w:p w:rsidR="006E391F" w:rsidRPr="00BC1144" w:rsidRDefault="006E391F">
      <w:pPr>
        <w:rPr>
          <w:szCs w:val="20"/>
        </w:rPr>
      </w:pPr>
    </w:p>
    <w:p w:rsidR="006E391F" w:rsidRPr="00BC1144" w:rsidRDefault="006E391F" w:rsidP="006E391F">
      <w:pPr>
        <w:sectPr w:rsidR="006E391F" w:rsidRPr="00BC1144" w:rsidSect="006E391F">
          <w:headerReference w:type="even" r:id="rId148"/>
          <w:headerReference w:type="default" r:id="rId149"/>
          <w:footerReference w:type="even" r:id="rId150"/>
          <w:footerReference w:type="default" r:id="rId151"/>
          <w:type w:val="oddPage"/>
          <w:pgSz w:w="11907" w:h="16840" w:code="9"/>
          <w:pgMar w:top="1985" w:right="1304" w:bottom="1247" w:left="1814" w:header="1701" w:footer="397" w:gutter="0"/>
          <w:pgNumType w:chapSep="period"/>
          <w:cols w:space="720"/>
          <w:docGrid w:linePitch="326"/>
        </w:sectPr>
      </w:pPr>
    </w:p>
    <w:p w:rsidR="006E391F" w:rsidRPr="00BC1144" w:rsidRDefault="006E391F" w:rsidP="006E391F">
      <w:pPr>
        <w:pStyle w:val="Heading1"/>
      </w:pPr>
      <w:bookmarkStart w:id="76" w:name="_Toc10805481"/>
      <w:r w:rsidRPr="00BC1144">
        <w:lastRenderedPageBreak/>
        <w:t>References</w:t>
      </w:r>
      <w:bookmarkEnd w:id="76"/>
    </w:p>
    <w:p w:rsidR="0092626E" w:rsidRPr="00BC1144" w:rsidRDefault="0092626E" w:rsidP="0092626E">
      <w:pPr>
        <w:pStyle w:val="Reference"/>
      </w:pPr>
      <w:r w:rsidRPr="00BC1144">
        <w:t>ABS (Australian Bureau of Statistics) 2006a, 2006 ABS Census of Population and Housing, ‘Persons by place of usual residence, filtered by highest level of post-school qualification, by field of education, labour force status’.</w:t>
      </w:r>
    </w:p>
    <w:p w:rsidR="0092626E" w:rsidRPr="00BC1144" w:rsidRDefault="0092626E" w:rsidP="0092626E">
      <w:pPr>
        <w:pStyle w:val="Reference"/>
      </w:pPr>
      <w:r w:rsidRPr="00BC1144">
        <w:t>—— 2006b, 2006 ABS Census of Population and Housing, ‘Persons by place of usual residence, filtered by highest level of post-school qualification, by field of education, occupation division (ANZCO)’.</w:t>
      </w:r>
    </w:p>
    <w:p w:rsidR="0092626E" w:rsidRPr="00BC1144" w:rsidRDefault="0092626E" w:rsidP="0092626E">
      <w:pPr>
        <w:pStyle w:val="Reference"/>
      </w:pPr>
      <w:r w:rsidRPr="00BC1144">
        <w:t>—— 2011a, 2011 ABS Census of Population and Housing, ‘Persons by place of usual residence, filtered by highest level of post-school qualification, by field of education, labour force status’.</w:t>
      </w:r>
    </w:p>
    <w:p w:rsidR="0092626E" w:rsidRPr="00BC1144" w:rsidRDefault="0092626E" w:rsidP="0092626E">
      <w:pPr>
        <w:pStyle w:val="Reference"/>
      </w:pPr>
      <w:r w:rsidRPr="00BC1144">
        <w:t>—— 2011b, 2011 ABS Census of Population and Housing, ‘Persons by place of usual residence, filtered by highest level of post-school qualification, by field of education, occupation division (ANZCO)’.</w:t>
      </w:r>
    </w:p>
    <w:p w:rsidR="0092626E" w:rsidRPr="00BC1144" w:rsidRDefault="0092626E" w:rsidP="0092626E">
      <w:pPr>
        <w:pStyle w:val="Reference"/>
      </w:pPr>
      <w:r w:rsidRPr="00BC1144">
        <w:t>—— 2016a, 1996 ABS Census of Population and Housing Customised data report, ‘Persons by place of usual residence, filtered by highest level of post-school qualification, by field of education, individual income (gross weekly)’.</w:t>
      </w:r>
    </w:p>
    <w:p w:rsidR="0092626E" w:rsidRPr="00BC1144" w:rsidRDefault="0092626E" w:rsidP="0092626E">
      <w:pPr>
        <w:pStyle w:val="Reference"/>
      </w:pPr>
      <w:r w:rsidRPr="00BC1144">
        <w:t>—— 2016b, 1996 ABS Census of Population and Housing Customised data report, ‘Persons by place of usual residence, filtered by highest level of post-school qualification, by field of education, occupation division (ANZCO)’.</w:t>
      </w:r>
    </w:p>
    <w:p w:rsidR="0092626E" w:rsidRPr="00BC1144" w:rsidRDefault="0092626E" w:rsidP="0092626E">
      <w:pPr>
        <w:pStyle w:val="Reference"/>
      </w:pPr>
      <w:r w:rsidRPr="00BC1144">
        <w:t>—— 2016c, 2001 ABS Census of Population and Housing Customised data report, ‘Persons by place of usual residence, filtered by highest level of post-school qualification, by field of education, occupation division (ANZCO)’.</w:t>
      </w:r>
    </w:p>
    <w:p w:rsidR="0092626E" w:rsidRPr="00BC1144" w:rsidRDefault="0092626E" w:rsidP="0092626E">
      <w:pPr>
        <w:pStyle w:val="Reference"/>
      </w:pPr>
      <w:r w:rsidRPr="00BC1144">
        <w:t>—— 2016d, 2006 ABS Census of Population and Housing, ‘Persons by place of usual residence, filtered by highest level of post-school qualification, by field of education, individual income (gross weekly)’.</w:t>
      </w:r>
    </w:p>
    <w:p w:rsidR="0092626E" w:rsidRPr="00BC1144" w:rsidRDefault="0092626E" w:rsidP="0092626E">
      <w:pPr>
        <w:pStyle w:val="Reference"/>
      </w:pPr>
      <w:r w:rsidRPr="00BC1144">
        <w:t>—— 2016e, 2016 ABS Census of Population and Housing, ‘Persons by place of usual residence, filtered by highest level of post-school qualification, by field of education, individual income (gross weekly)’.</w:t>
      </w:r>
    </w:p>
    <w:p w:rsidR="0092626E" w:rsidRPr="00BC1144" w:rsidRDefault="0092626E" w:rsidP="0092626E">
      <w:pPr>
        <w:pStyle w:val="Reference"/>
      </w:pPr>
      <w:r w:rsidRPr="00BC1144">
        <w:t>—— 2016f, 2016 ABS Census of Population and Housing, ‘Persons by place of usual residence, filtered by highest level of post-school qualification, by field of education, labour force status’.</w:t>
      </w:r>
    </w:p>
    <w:p w:rsidR="0092626E" w:rsidRPr="00BC1144" w:rsidRDefault="0092626E" w:rsidP="0092626E">
      <w:pPr>
        <w:pStyle w:val="Reference"/>
      </w:pPr>
      <w:r w:rsidRPr="00BC1144">
        <w:t>—— 2016g, 2016 ABS Census of Population and Housing, ‘Persons by place of usual residence, filtered by highest level of post-school qualification, by field of education, occupation division (ANZCO)’.</w:t>
      </w:r>
    </w:p>
    <w:p w:rsidR="0092626E" w:rsidRPr="00BC1144" w:rsidRDefault="0092626E" w:rsidP="0092626E">
      <w:pPr>
        <w:pStyle w:val="Reference"/>
      </w:pPr>
      <w:r w:rsidRPr="00BC1144">
        <w:lastRenderedPageBreak/>
        <w:t>—— 2019a, 1996 ABS Census of Population and Housing, Customised data report, ‘Persons by place of usual residence, filtered by highest level of post-school qualification, by field of education, labour force status’.</w:t>
      </w:r>
    </w:p>
    <w:p w:rsidR="0092626E" w:rsidRPr="00BC1144" w:rsidRDefault="0092626E" w:rsidP="0092626E">
      <w:pPr>
        <w:pStyle w:val="Reference"/>
      </w:pPr>
      <w:r w:rsidRPr="00BC1144">
        <w:t>—— 2019b, 2001 ABS Census of Population and Housing, Customised data report, ‘Persons by place of usual residence, filtered by highest level of post-school qualification, by field of education, labour force status’.</w:t>
      </w:r>
    </w:p>
    <w:p w:rsidR="0092626E" w:rsidRPr="00BC1144" w:rsidRDefault="0092626E" w:rsidP="0092626E">
      <w:pPr>
        <w:pStyle w:val="Reference"/>
      </w:pPr>
      <w:r w:rsidRPr="00BC1144">
        <w:t>—— 2019c, Labour Force, Australia, Detailed, Quarterly, Feb 2019, datacube EQ07a, Cat. no. 6291.0.55.003, April.</w:t>
      </w:r>
    </w:p>
    <w:p w:rsidR="0092626E" w:rsidRPr="00BC1144" w:rsidRDefault="0092626E" w:rsidP="0092626E">
      <w:pPr>
        <w:pStyle w:val="Reference"/>
      </w:pPr>
      <w:r w:rsidRPr="00BC1144">
        <w:t>Access Economics 2008, Future Demand for Higher Education - Report for Department of Education, Employment and Workplace Relations, Department of Education, Employment and Workplace Relations, Canberra.</w:t>
      </w:r>
    </w:p>
    <w:p w:rsidR="0092626E" w:rsidRPr="00BC1144" w:rsidRDefault="0092626E" w:rsidP="0092626E">
      <w:pPr>
        <w:pStyle w:val="Reference"/>
      </w:pPr>
      <w:r w:rsidRPr="00BC1144">
        <w:t>Acil Allen Consulting 2017, Evaluation of the HEPPP, Report to Department of Education and Training, Canberra.</w:t>
      </w:r>
    </w:p>
    <w:p w:rsidR="0092626E" w:rsidRPr="00BC1144" w:rsidRDefault="0092626E" w:rsidP="0092626E">
      <w:pPr>
        <w:pStyle w:val="Reference"/>
      </w:pPr>
      <w:r w:rsidRPr="00BC1144">
        <w:t>Anlezark, A. and Lim, P. 2011, Does combining school and work affect school and post-school outcomes?, Research Paper, National Centre for Vocational Education Research.</w:t>
      </w:r>
    </w:p>
    <w:p w:rsidR="0092626E" w:rsidRPr="00BC1144" w:rsidRDefault="0092626E" w:rsidP="0092626E">
      <w:pPr>
        <w:pStyle w:val="Reference"/>
      </w:pPr>
      <w:r w:rsidRPr="00BC1144">
        <w:t>Australian Government 2009, Transforming Australia’s Higher Education Sector Policy Statement.</w:t>
      </w:r>
    </w:p>
    <w:p w:rsidR="0092626E" w:rsidRPr="00BC1144" w:rsidRDefault="0092626E" w:rsidP="0092626E">
      <w:pPr>
        <w:pStyle w:val="Reference"/>
      </w:pPr>
      <w:r w:rsidRPr="00BC1144">
        <w:t>—— 2017a, MYEFO 2017-18, Canberra.</w:t>
      </w:r>
    </w:p>
    <w:p w:rsidR="0092626E" w:rsidRPr="00BC1144" w:rsidRDefault="0092626E" w:rsidP="0092626E">
      <w:pPr>
        <w:pStyle w:val="Reference"/>
        <w:rPr>
          <w:spacing w:val="-4"/>
        </w:rPr>
      </w:pPr>
      <w:r w:rsidRPr="00BC1144">
        <w:rPr>
          <w:spacing w:val="-4"/>
        </w:rPr>
        <w:t>—— 2017b, Statement on Performance-Based Funding for the Commonwealth Grant Scheme.</w:t>
      </w:r>
    </w:p>
    <w:p w:rsidR="0092626E" w:rsidRPr="00BC1144" w:rsidRDefault="0092626E" w:rsidP="0092626E">
      <w:pPr>
        <w:pStyle w:val="Reference"/>
      </w:pPr>
      <w:r w:rsidRPr="00BC1144">
        <w:t>—— 2018, Terms of Reference - Performance-Based Funding for the Commonwealth Grant Scheme, Department of Education and Training.</w:t>
      </w:r>
    </w:p>
    <w:p w:rsidR="0092626E" w:rsidRPr="00BC1144" w:rsidRDefault="0092626E" w:rsidP="0092626E">
      <w:pPr>
        <w:pStyle w:val="Reference"/>
      </w:pPr>
      <w:r w:rsidRPr="00BC1144">
        <w:t>Australian Institute of Health and Welfare 2011, Principles on the use of direct age-standardisation in administrative data collections: for measuring the gap between Indigenous and non-Indigenous Australians, Cat. no. CSI 12.</w:t>
      </w:r>
    </w:p>
    <w:p w:rsidR="0092626E" w:rsidRPr="00BC1144" w:rsidRDefault="0092626E" w:rsidP="0092626E">
      <w:pPr>
        <w:pStyle w:val="Reference"/>
      </w:pPr>
      <w:r w:rsidRPr="00BC1144">
        <w:t>Azur, M.J., Stuart, E., Frangakis, C. and Leaf, P. 2011, ‘Multiple imputation by chained equations: what is it and how does it work?’, International Journal of Methods in Psychiatric Research, vol. 20, no. 1, pp. 40–49.</w:t>
      </w:r>
    </w:p>
    <w:p w:rsidR="0092626E" w:rsidRPr="00BC1144" w:rsidRDefault="0092626E" w:rsidP="0092626E">
      <w:pPr>
        <w:pStyle w:val="Reference"/>
      </w:pPr>
      <w:r w:rsidRPr="00BC1144">
        <w:t>Becker, G. 1962, ‘Investment in Human Capital: A Theoretical Analysis’, Journal of Political Economy, vol. LXX, no. 5.</w:t>
      </w:r>
    </w:p>
    <w:p w:rsidR="0092626E" w:rsidRPr="00BC1144" w:rsidRDefault="0092626E" w:rsidP="0092626E">
      <w:pPr>
        <w:pStyle w:val="Reference"/>
      </w:pPr>
      <w:r w:rsidRPr="00BC1144">
        <w:t>Behrendt, L. 2012, Review of Higher Education Access and Outcomes for Aboriginal and Torres Strait Islander People, Department of Education and Training, Canberra.</w:t>
      </w:r>
    </w:p>
    <w:p w:rsidR="0092626E" w:rsidRPr="00BC1144" w:rsidRDefault="0092626E" w:rsidP="0092626E">
      <w:pPr>
        <w:pStyle w:val="Reference"/>
      </w:pPr>
      <w:r w:rsidRPr="00BC1144">
        <w:t>Blinder, A. 1973, ‘Wage discrimination: reduced form and structural estimates’, Journal of Human Resources, vol. 8, no. 4, pp. 436–455.</w:t>
      </w:r>
    </w:p>
    <w:p w:rsidR="0092626E" w:rsidRPr="00BC1144" w:rsidRDefault="0092626E" w:rsidP="0092626E">
      <w:pPr>
        <w:pStyle w:val="Reference"/>
      </w:pPr>
      <w:r w:rsidRPr="00BC1144">
        <w:t>Bourdieu, P. and Passeron, J.-C. 1990, Reproduction in Education, Society and Culture, SAGE Publications.</w:t>
      </w:r>
    </w:p>
    <w:p w:rsidR="0092626E" w:rsidRPr="00BC1144" w:rsidRDefault="0092626E" w:rsidP="0092626E">
      <w:pPr>
        <w:pStyle w:val="Reference"/>
      </w:pPr>
      <w:r w:rsidRPr="00BC1144">
        <w:t>Bowden, M. and Doughney, J. 2012, The importance of cultural and economic influences behind the decision to attend higher education, vol 41.</w:t>
      </w:r>
    </w:p>
    <w:p w:rsidR="0092626E" w:rsidRPr="00BC1144" w:rsidRDefault="0092626E" w:rsidP="0092626E">
      <w:pPr>
        <w:pStyle w:val="Reference"/>
      </w:pPr>
      <w:r w:rsidRPr="00BC1144">
        <w:lastRenderedPageBreak/>
        <w:t>Cardak, B., Brett, M., Barry, P., McAllister, R., Bowden, M., Bahtsevanoglu, J. and Vecci, J. 2017, Regional Student Participation and Migration Analysis of factors influencing regional student participation and internal migration in Australian higher education, National Centre for Student Equity in Higher Education, Curtin University.</w:t>
      </w:r>
    </w:p>
    <w:p w:rsidR="0092626E" w:rsidRPr="00BC1144" w:rsidRDefault="0092626E" w:rsidP="0092626E">
      <w:pPr>
        <w:pStyle w:val="Reference"/>
      </w:pPr>
      <w:r w:rsidRPr="00BC1144">
        <w:t>Cardak, B.A. and Ryan, C. 2009, ‘Participation in higher education in Australia: equity and access’, Economic Record, vol. 85, no. 271, pp. 433–448.</w:t>
      </w:r>
    </w:p>
    <w:p w:rsidR="0092626E" w:rsidRPr="00BC1144" w:rsidRDefault="0092626E" w:rsidP="0092626E">
      <w:pPr>
        <w:pStyle w:val="Reference"/>
        <w:rPr>
          <w:spacing w:val="-4"/>
        </w:rPr>
      </w:pPr>
      <w:r w:rsidRPr="00BC1144">
        <w:rPr>
          <w:spacing w:val="-4"/>
        </w:rPr>
        <w:t>Carpenter, J.R. and Kenward, M.G. 2013, Multiple Imputation and its Application, First, Wiley.</w:t>
      </w:r>
    </w:p>
    <w:p w:rsidR="0092626E" w:rsidRPr="00BC1144" w:rsidRDefault="0092626E" w:rsidP="0092626E">
      <w:pPr>
        <w:pStyle w:val="Reference"/>
      </w:pPr>
      <w:r w:rsidRPr="00BC1144">
        <w:t>Choi, S. 2015, ‘When everyone goes to college: the causal effect of college expansion on earnings’, Social Science Research, vol. 50, pp. 229–245.</w:t>
      </w:r>
    </w:p>
    <w:p w:rsidR="0092626E" w:rsidRPr="00BC1144" w:rsidRDefault="0092626E" w:rsidP="0092626E">
      <w:pPr>
        <w:pStyle w:val="Reference"/>
      </w:pPr>
      <w:r w:rsidRPr="00BC1144">
        <w:t>Cooper, G., Baglin, J. and Strathdee, R. 2017, Access to Higher Education: Does Distance Impact Students’ Intentions to Attend University?, National Centre for Student Equity in Higher Education, Curtin University, Perth.</w:t>
      </w:r>
    </w:p>
    <w:p w:rsidR="0092626E" w:rsidRPr="00BC1144" w:rsidRDefault="0092626E" w:rsidP="0092626E">
      <w:pPr>
        <w:pStyle w:val="Reference"/>
      </w:pPr>
      <w:r w:rsidRPr="00BC1144">
        <w:t>Crawford, H. and Biddle, N. 2015, Paper 17 Education Part 3: Tertiary education, CAEPR Indigenous Population Project 2011 Census Papers.</w:t>
      </w:r>
    </w:p>
    <w:p w:rsidR="0092626E" w:rsidRPr="00BC1144" w:rsidRDefault="0092626E" w:rsidP="0092626E">
      <w:pPr>
        <w:pStyle w:val="Reference"/>
      </w:pPr>
      <w:r w:rsidRPr="00BC1144">
        <w:t>Dawkins, J. 1987, Higher education : a policy discussion paper, December, Australian Department of Employment, Education and Training, Canberra.</w:t>
      </w:r>
    </w:p>
    <w:p w:rsidR="0092626E" w:rsidRPr="00BC1144" w:rsidRDefault="0092626E" w:rsidP="0092626E">
      <w:pPr>
        <w:pStyle w:val="Reference"/>
      </w:pPr>
      <w:r w:rsidRPr="00BC1144">
        <w:t>—— 1990, Higher Education: The Challenge Ahead. A working draft, Higher Education Council of the National Board of Employment, Education and Training, Canberra.</w:t>
      </w:r>
    </w:p>
    <w:p w:rsidR="0092626E" w:rsidRPr="00BC1144" w:rsidRDefault="0092626E" w:rsidP="0092626E">
      <w:pPr>
        <w:pStyle w:val="Reference"/>
      </w:pPr>
      <w:r w:rsidRPr="00BC1144">
        <w:t>DET (Department of Education and Training) 2008, Selected Higher Education Statistics – Time Series Data, 1949-2000.</w:t>
      </w:r>
    </w:p>
    <w:p w:rsidR="0092626E" w:rsidRPr="00BC1144" w:rsidRDefault="0092626E" w:rsidP="0092626E">
      <w:pPr>
        <w:pStyle w:val="Reference"/>
      </w:pPr>
      <w:r w:rsidRPr="00BC1144">
        <w:t>—— 2013a, 2011 Overseas students.</w:t>
      </w:r>
    </w:p>
    <w:p w:rsidR="0092626E" w:rsidRPr="00BC1144" w:rsidRDefault="0092626E" w:rsidP="0092626E">
      <w:pPr>
        <w:pStyle w:val="Reference"/>
      </w:pPr>
      <w:r w:rsidRPr="00BC1144">
        <w:t>—— 2013b, Selected Higher Education Statistics – 2008 Student Data, Appendix 2 – Equity Groups.</w:t>
      </w:r>
    </w:p>
    <w:p w:rsidR="0092626E" w:rsidRPr="00BC1144" w:rsidRDefault="0092626E" w:rsidP="0092626E">
      <w:pPr>
        <w:pStyle w:val="Reference"/>
      </w:pPr>
      <w:r w:rsidRPr="00BC1144">
        <w:t>—— 2013c, Selected Higher Education Statistics – Undergraduate Applications, Offers and Acceptances 2008 Appendix Table A1.</w:t>
      </w:r>
    </w:p>
    <w:p w:rsidR="0092626E" w:rsidRPr="00BC1144" w:rsidRDefault="0092626E" w:rsidP="0092626E">
      <w:pPr>
        <w:pStyle w:val="Reference"/>
      </w:pPr>
      <w:r w:rsidRPr="00BC1144">
        <w:t>—— 2013d, Undergraduate Applications, Offers and Acceptances 2008- Appendix Table on Current Year 12 Applications, Offers and Acceptances by state by ATAR.</w:t>
      </w:r>
    </w:p>
    <w:p w:rsidR="0092626E" w:rsidRPr="00BC1144" w:rsidRDefault="0092626E" w:rsidP="0092626E">
      <w:pPr>
        <w:pStyle w:val="Reference"/>
      </w:pPr>
      <w:r w:rsidRPr="00BC1144">
        <w:t>—— 2013e, Undergraduate Applications, Offers and Acceptances 2009.</w:t>
      </w:r>
    </w:p>
    <w:p w:rsidR="0092626E" w:rsidRPr="00BC1144" w:rsidRDefault="0092626E" w:rsidP="0092626E">
      <w:pPr>
        <w:pStyle w:val="Reference"/>
      </w:pPr>
      <w:r w:rsidRPr="00BC1144">
        <w:t>—— 2013f, Undergraduate Applications, Offers and Acceptances 2009- Appendix Table on Current Year 12 Applications, Offers and Acceptances by state by ATAR.</w:t>
      </w:r>
    </w:p>
    <w:p w:rsidR="0092626E" w:rsidRPr="00BC1144" w:rsidRDefault="0092626E" w:rsidP="0092626E">
      <w:pPr>
        <w:pStyle w:val="Reference"/>
      </w:pPr>
      <w:r w:rsidRPr="00BC1144">
        <w:t>—— 2013g, Undergraduate Applications, Offers and Acceptances 2010.</w:t>
      </w:r>
    </w:p>
    <w:p w:rsidR="0092626E" w:rsidRPr="00BC1144" w:rsidRDefault="0092626E" w:rsidP="0092626E">
      <w:pPr>
        <w:pStyle w:val="Reference"/>
      </w:pPr>
      <w:r w:rsidRPr="00BC1144">
        <w:t>—— 2013h, Undergraduate Applications, Offers and Acceptances 2010- Appendix Table on Current Year 12 Applications, Offers and Acceptances by state by ATAR.</w:t>
      </w:r>
    </w:p>
    <w:p w:rsidR="0092626E" w:rsidRPr="00BC1144" w:rsidRDefault="0092626E" w:rsidP="0092626E">
      <w:pPr>
        <w:pStyle w:val="Reference"/>
      </w:pPr>
      <w:r w:rsidRPr="00BC1144">
        <w:t>—— 2013i, Undergraduate Applications, Offers and Acceptances 2011.</w:t>
      </w:r>
    </w:p>
    <w:p w:rsidR="0092626E" w:rsidRPr="00BC1144" w:rsidRDefault="0092626E" w:rsidP="0092626E">
      <w:pPr>
        <w:pStyle w:val="Reference"/>
      </w:pPr>
      <w:r w:rsidRPr="00BC1144">
        <w:t>—— 2013j, Undergraduate Applications, Offers and Acceptances 2011- Appendix Table on Current Year 12 Applications, Offers and Acceptances by state by ATAR.</w:t>
      </w:r>
    </w:p>
    <w:p w:rsidR="0092626E" w:rsidRPr="00BC1144" w:rsidRDefault="0092626E" w:rsidP="0092626E">
      <w:pPr>
        <w:pStyle w:val="Reference"/>
      </w:pPr>
      <w:r w:rsidRPr="00BC1144">
        <w:t>—— 2013k, Undergraduate Applications, Offers and Acceptances 2012.</w:t>
      </w:r>
    </w:p>
    <w:p w:rsidR="0092626E" w:rsidRPr="00BC1144" w:rsidRDefault="0092626E" w:rsidP="0092626E">
      <w:pPr>
        <w:pStyle w:val="Reference"/>
      </w:pPr>
      <w:r w:rsidRPr="00BC1144">
        <w:lastRenderedPageBreak/>
        <w:t>—— 2013l, Undergraduate Applications, Offers and Acceptances 2012- Appendix Table on Current Year 12 Applications, Offers and Acceptances by state by ATAR.</w:t>
      </w:r>
    </w:p>
    <w:p w:rsidR="0092626E" w:rsidRPr="00BC1144" w:rsidRDefault="0092626E" w:rsidP="0092626E">
      <w:pPr>
        <w:pStyle w:val="Reference"/>
      </w:pPr>
      <w:r w:rsidRPr="00BC1144">
        <w:t>—— 2013m, Undergraduate Applications, Offers and Acceptances 2013.</w:t>
      </w:r>
    </w:p>
    <w:p w:rsidR="0092626E" w:rsidRPr="00BC1144" w:rsidRDefault="0092626E" w:rsidP="0092626E">
      <w:pPr>
        <w:pStyle w:val="Reference"/>
      </w:pPr>
      <w:r w:rsidRPr="00BC1144">
        <w:t>—— 2013n, Undergraduate Applications, Offers and Acceptances 2013- Appendix Table on Current Year 12 Applications, Offers and Acceptances by state by ATAR.</w:t>
      </w:r>
    </w:p>
    <w:p w:rsidR="0092626E" w:rsidRPr="00BC1144" w:rsidRDefault="0092626E" w:rsidP="0092626E">
      <w:pPr>
        <w:pStyle w:val="Reference"/>
      </w:pPr>
      <w:r w:rsidRPr="00BC1144">
        <w:t>—— 2014a, Undergraduate Applications, Offers and Acceptances 2014.</w:t>
      </w:r>
    </w:p>
    <w:p w:rsidR="0092626E" w:rsidRPr="00BC1144" w:rsidRDefault="0092626E" w:rsidP="0092626E">
      <w:pPr>
        <w:pStyle w:val="Reference"/>
      </w:pPr>
      <w:r w:rsidRPr="00BC1144">
        <w:t>—— 2014b, Undergraduate Applications, Offers and Acceptances 2014- Appendix Table on Current Year 12 Applications, Offers and Acceptances by state by ATAR.</w:t>
      </w:r>
    </w:p>
    <w:p w:rsidR="0092626E" w:rsidRPr="00BC1144" w:rsidRDefault="0092626E" w:rsidP="0092626E">
      <w:pPr>
        <w:pStyle w:val="Reference"/>
      </w:pPr>
      <w:r w:rsidRPr="00BC1144">
        <w:t>—— 2015a, Selected Higher Education Statistics – 2014 Student Data, Appendix 2 – Equity Groups.</w:t>
      </w:r>
    </w:p>
    <w:p w:rsidR="0092626E" w:rsidRPr="00BC1144" w:rsidRDefault="0092626E" w:rsidP="0092626E">
      <w:pPr>
        <w:pStyle w:val="Reference"/>
      </w:pPr>
      <w:r w:rsidRPr="00BC1144">
        <w:t>—— 2015b, Undergraduate Applications, Offers and Acceptances 2015.</w:t>
      </w:r>
    </w:p>
    <w:p w:rsidR="0092626E" w:rsidRPr="00BC1144" w:rsidRDefault="0092626E" w:rsidP="0092626E">
      <w:pPr>
        <w:pStyle w:val="Reference"/>
      </w:pPr>
      <w:r w:rsidRPr="00BC1144">
        <w:t>—— 2015c, Undergraduate Applications, Offers and Acceptances 2015- Appendix Table on Current Year 12 Applications, Offers and Acceptances by state by ATAR.</w:t>
      </w:r>
    </w:p>
    <w:p w:rsidR="0092626E" w:rsidRPr="00BC1144" w:rsidRDefault="0092626E" w:rsidP="0092626E">
      <w:pPr>
        <w:pStyle w:val="Reference"/>
      </w:pPr>
      <w:r w:rsidRPr="00BC1144">
        <w:t>—— 2016a, 2016 Overseas students.</w:t>
      </w:r>
    </w:p>
    <w:p w:rsidR="0092626E" w:rsidRPr="00BC1144" w:rsidRDefault="0092626E" w:rsidP="0092626E">
      <w:pPr>
        <w:pStyle w:val="Reference"/>
      </w:pPr>
      <w:r w:rsidRPr="00BC1144">
        <w:t>—— 2016b, Higher Education Standards Panel - Improving the transparency of higher education admissions.</w:t>
      </w:r>
    </w:p>
    <w:p w:rsidR="0092626E" w:rsidRPr="00BC1144" w:rsidRDefault="0092626E" w:rsidP="0092626E">
      <w:pPr>
        <w:pStyle w:val="Reference"/>
      </w:pPr>
      <w:r w:rsidRPr="00BC1144">
        <w:t>—— 2016c, International student data 2006.</w:t>
      </w:r>
    </w:p>
    <w:p w:rsidR="0092626E" w:rsidRPr="00BC1144" w:rsidRDefault="0092626E" w:rsidP="0092626E">
      <w:pPr>
        <w:pStyle w:val="Reference"/>
      </w:pPr>
      <w:r w:rsidRPr="00BC1144">
        <w:t>—— 2016d, Undergraduate Applications, Offers and Acceptances 2016.</w:t>
      </w:r>
    </w:p>
    <w:p w:rsidR="0092626E" w:rsidRPr="00BC1144" w:rsidRDefault="0092626E" w:rsidP="0092626E">
      <w:pPr>
        <w:pStyle w:val="Reference"/>
      </w:pPr>
      <w:r w:rsidRPr="00BC1144">
        <w:t>—— 2016e, Undergraduate Applications, Offers and Acceptances 2016- Appendix Table on Current Year 12 Applications, Offers and Acceptances by state by ATAR.</w:t>
      </w:r>
    </w:p>
    <w:p w:rsidR="0092626E" w:rsidRPr="00BC1144" w:rsidRDefault="0092626E" w:rsidP="0092626E">
      <w:pPr>
        <w:pStyle w:val="Reference"/>
      </w:pPr>
      <w:r w:rsidRPr="00BC1144">
        <w:t>—— 2017a, Undergraduate Applications, Offers and Acceptances 2017.</w:t>
      </w:r>
    </w:p>
    <w:p w:rsidR="0092626E" w:rsidRPr="00BC1144" w:rsidRDefault="0092626E" w:rsidP="0092626E">
      <w:pPr>
        <w:pStyle w:val="Reference"/>
      </w:pPr>
      <w:r w:rsidRPr="00BC1144">
        <w:t>—— 2017b, Undergraduate Applications, Offers and Acceptances 2017- Appendix Table on Current Year 12 Applications, Offers and Acceptances by state by ATAR.</w:t>
      </w:r>
    </w:p>
    <w:p w:rsidR="0092626E" w:rsidRPr="00BC1144" w:rsidRDefault="0092626E" w:rsidP="0092626E">
      <w:pPr>
        <w:pStyle w:val="Reference"/>
      </w:pPr>
      <w:r w:rsidRPr="00BC1144">
        <w:t>—— 2018a, Completion Rates of Higher Education Students - Cohort Analysis, 2005-2017, Tables 1, 2, 3.</w:t>
      </w:r>
    </w:p>
    <w:p w:rsidR="0092626E" w:rsidRPr="00BC1144" w:rsidRDefault="0092626E" w:rsidP="0092626E">
      <w:pPr>
        <w:pStyle w:val="Reference"/>
      </w:pPr>
      <w:r w:rsidRPr="00BC1144">
        <w:t>—— 2018b, Selected Higher Education Statistics – 2017 Student data, Full Year Data, Enrolments Time Series.</w:t>
      </w:r>
    </w:p>
    <w:p w:rsidR="0092626E" w:rsidRPr="00BC1144" w:rsidRDefault="0092626E" w:rsidP="0092626E">
      <w:pPr>
        <w:pStyle w:val="Reference"/>
      </w:pPr>
      <w:r w:rsidRPr="00BC1144">
        <w:t>—— 2018c, Selected Higher Education Statistics – 2017 Student Data, Section 11 – Equity Groups.</w:t>
      </w:r>
    </w:p>
    <w:p w:rsidR="0092626E" w:rsidRPr="00BC1144" w:rsidRDefault="0092626E" w:rsidP="0092626E">
      <w:pPr>
        <w:pStyle w:val="Reference"/>
      </w:pPr>
      <w:r w:rsidRPr="00BC1144">
        <w:t>—— 2018d, Selected Higher Education Statistics – Undergraduate Applications, Offers and Acceptances 2018 Appendix Table A2.</w:t>
      </w:r>
    </w:p>
    <w:p w:rsidR="0092626E" w:rsidRPr="00BC1144" w:rsidRDefault="0092626E" w:rsidP="0092626E">
      <w:pPr>
        <w:pStyle w:val="Reference"/>
      </w:pPr>
      <w:r w:rsidRPr="00BC1144">
        <w:t>—— 2018e, Undergraduate Applications, Offers and Acceptances 2018.</w:t>
      </w:r>
    </w:p>
    <w:p w:rsidR="0092626E" w:rsidRPr="00BC1144" w:rsidRDefault="0092626E" w:rsidP="0092626E">
      <w:pPr>
        <w:pStyle w:val="Reference"/>
      </w:pPr>
      <w:r w:rsidRPr="00BC1144">
        <w:t>—— 2018f, Undergraduate Applications, Offers and Acceptances 2018 - Appendix Table on Current Year 12 Applications, Offers and Acceptances by state by ATAR.</w:t>
      </w:r>
    </w:p>
    <w:p w:rsidR="0092626E" w:rsidRPr="00BC1144" w:rsidRDefault="0092626E" w:rsidP="0092626E">
      <w:pPr>
        <w:pStyle w:val="Reference"/>
      </w:pPr>
      <w:r w:rsidRPr="00BC1144">
        <w:t>—— 2019, Student Enrolments Time Series - Visual Analytics.</w:t>
      </w:r>
    </w:p>
    <w:p w:rsidR="0092626E" w:rsidRPr="00BC1144" w:rsidRDefault="0092626E" w:rsidP="0088622A">
      <w:pPr>
        <w:pStyle w:val="Reference"/>
        <w:spacing w:before="100"/>
        <w:rPr>
          <w:spacing w:val="-4"/>
        </w:rPr>
      </w:pPr>
      <w:r w:rsidRPr="00BC1144">
        <w:rPr>
          <w:spacing w:val="-4"/>
        </w:rPr>
        <w:lastRenderedPageBreak/>
        <w:t>Fairlie, R. 2005, ‘An extension of the Blinder-Oaxaca decomposition technique to logit and probit models’, Journal of Economic and Social Measurement, vol. 30, no. 4, pp. 305–216.</w:t>
      </w:r>
    </w:p>
    <w:p w:rsidR="0092626E" w:rsidRPr="00BC1144" w:rsidRDefault="0092626E" w:rsidP="0088622A">
      <w:pPr>
        <w:pStyle w:val="Reference"/>
        <w:spacing w:before="100"/>
      </w:pPr>
      <w:r w:rsidRPr="00BC1144">
        <w:t>Frenette, M. 2007, ‘Too far to go on: distance to school and university participation’, Education Economics, vol. 14, no. 3, pp. 31–58.</w:t>
      </w:r>
    </w:p>
    <w:p w:rsidR="0092626E" w:rsidRPr="00BC1144" w:rsidRDefault="0092626E" w:rsidP="0088622A">
      <w:pPr>
        <w:pStyle w:val="Reference"/>
        <w:spacing w:before="100"/>
      </w:pPr>
      <w:r w:rsidRPr="00BC1144">
        <w:t>Gale, T. and Parker, S. 2013, Widening participation in Australian higher education - Report to the Higher Education Funding Council for England, CFE (Research and Consulting) Ltd and Edge Hill University.</w:t>
      </w:r>
    </w:p>
    <w:p w:rsidR="0092626E" w:rsidRPr="00BC1144" w:rsidRDefault="0092626E" w:rsidP="0088622A">
      <w:pPr>
        <w:pStyle w:val="Reference"/>
        <w:spacing w:before="100"/>
      </w:pPr>
      <w:r w:rsidRPr="00BC1144">
        <w:t>GCA (Graduate Careers Australia) 2016, Graduate Destinations Report 2015.</w:t>
      </w:r>
    </w:p>
    <w:p w:rsidR="0092626E" w:rsidRPr="00BC1144" w:rsidRDefault="0092626E" w:rsidP="0088622A">
      <w:pPr>
        <w:pStyle w:val="Reference"/>
        <w:spacing w:before="100"/>
        <w:rPr>
          <w:spacing w:val="-4"/>
        </w:rPr>
      </w:pPr>
      <w:r w:rsidRPr="00BC1144">
        <w:rPr>
          <w:spacing w:val="-4"/>
        </w:rPr>
        <w:t>—— 2018, Employment and salary outcomes of higher education graduates from 2017, February, p. 3.</w:t>
      </w:r>
    </w:p>
    <w:p w:rsidR="0092626E" w:rsidRPr="00BC1144" w:rsidRDefault="0092626E" w:rsidP="0088622A">
      <w:pPr>
        <w:pStyle w:val="Reference"/>
        <w:spacing w:before="100"/>
      </w:pPr>
      <w:r w:rsidRPr="00BC1144">
        <w:t>Glaeser, E. and Saiz, A. 2003, The rise of the skilled city, NBER Working Paper no. 10191, December.</w:t>
      </w:r>
    </w:p>
    <w:p w:rsidR="0092626E" w:rsidRPr="00BC1144" w:rsidRDefault="0092626E" w:rsidP="0088622A">
      <w:pPr>
        <w:pStyle w:val="Reference"/>
        <w:spacing w:before="100"/>
      </w:pPr>
      <w:r w:rsidRPr="00BC1144">
        <w:t>Gong, X. and Tanton, R. 2018, Returns to education in Australia 2006-2016, A study commissioned by KPMG, February, NATSEM, University of Canberra.</w:t>
      </w:r>
    </w:p>
    <w:p w:rsidR="0092626E" w:rsidRPr="00BC1144" w:rsidRDefault="0092626E" w:rsidP="0088622A">
      <w:pPr>
        <w:pStyle w:val="Reference"/>
        <w:spacing w:before="100"/>
      </w:pPr>
      <w:r w:rsidRPr="00BC1144">
        <w:t>Halsey, J. 2018, Independent Review into Regional, Rural and Remote Education, Department of Education and Training, Canberra.</w:t>
      </w:r>
    </w:p>
    <w:p w:rsidR="0092626E" w:rsidRPr="00BC1144" w:rsidRDefault="0092626E" w:rsidP="0088622A">
      <w:pPr>
        <w:pStyle w:val="Reference"/>
        <w:spacing w:before="100"/>
      </w:pPr>
      <w:r w:rsidRPr="00BC1144">
        <w:t>Herault, N. and Zakirova, R. 2013, ‘Returns to education: accounting for enrolment and completion effects’, Education Economics, vol. 23, no. 1, pp. 84–100.</w:t>
      </w:r>
    </w:p>
    <w:p w:rsidR="0092626E" w:rsidRPr="00BC1144" w:rsidRDefault="0092626E" w:rsidP="0088622A">
      <w:pPr>
        <w:pStyle w:val="Reference"/>
        <w:spacing w:before="100"/>
      </w:pPr>
      <w:r w:rsidRPr="00BC1144">
        <w:t>Homel, J. and Ryan, C. 2014, Educational outcomes: the impact of aspirations and the role of student background characteristics, Research Report 65, National Centre for Vocational Education Research, Adelaide.</w:t>
      </w:r>
    </w:p>
    <w:p w:rsidR="0092626E" w:rsidRPr="00BC1144" w:rsidRDefault="0092626E" w:rsidP="0088622A">
      <w:pPr>
        <w:pStyle w:val="Reference"/>
        <w:spacing w:before="100"/>
      </w:pPr>
      <w:r w:rsidRPr="00BC1144">
        <w:t>Hungerford, T. and Solon, G. 1987, ‘Sheepskin Effects in the Returns to Education’, The Review of Economics and Statistics, vol. 69, no. 1, pp. 175–177.</w:t>
      </w:r>
    </w:p>
    <w:p w:rsidR="0092626E" w:rsidRPr="00BC1144" w:rsidRDefault="0092626E" w:rsidP="0088622A">
      <w:pPr>
        <w:pStyle w:val="Reference"/>
        <w:spacing w:before="100"/>
        <w:rPr>
          <w:spacing w:val="-4"/>
        </w:rPr>
      </w:pPr>
      <w:r w:rsidRPr="00BC1144">
        <w:rPr>
          <w:spacing w:val="-4"/>
        </w:rPr>
        <w:t>Jaeger, D. and Page, E. 1996, ‘Degrees matter: new evidence on Sheepskin Effects in the Returns to Education’, The Review of Economics and Statistics, vol. 78, no. 4, pp. 733–740.</w:t>
      </w:r>
    </w:p>
    <w:p w:rsidR="0092626E" w:rsidRPr="00BC1144" w:rsidRDefault="0092626E" w:rsidP="0088622A">
      <w:pPr>
        <w:pStyle w:val="Reference"/>
        <w:spacing w:before="100"/>
      </w:pPr>
      <w:r w:rsidRPr="00BC1144">
        <w:t>Johnston, D., Shah, C., Shields, M. and Spinks, J. 2014, Are neighbourhood characteristics important in predicting the post-school destinations of young Australians?, Occasional Paper, National Centre for Vocational Education Research, Adelaide.</w:t>
      </w:r>
    </w:p>
    <w:p w:rsidR="0092626E" w:rsidRPr="00BC1144" w:rsidRDefault="0092626E" w:rsidP="0088622A">
      <w:pPr>
        <w:pStyle w:val="Reference"/>
        <w:spacing w:before="100"/>
      </w:pPr>
      <w:r w:rsidRPr="00BC1144">
        <w:t>Kemp, D. and Norton, A. 2014, Report of the Review of the Demand Driven Funding System, Department of Education, Canberra.</w:t>
      </w:r>
    </w:p>
    <w:p w:rsidR="0092626E" w:rsidRPr="00BC1144" w:rsidRDefault="0092626E" w:rsidP="0088622A">
      <w:pPr>
        <w:pStyle w:val="Reference"/>
        <w:spacing w:before="100"/>
      </w:pPr>
      <w:r w:rsidRPr="00BC1144">
        <w:t>Leigh, A. and Ryan, C. 2011, ‘Long-run trends in school productivity: evidence from Australia’, Education Finance and Policy, vol. 6, no. 1, pp. 105–135.</w:t>
      </w:r>
    </w:p>
    <w:p w:rsidR="0092626E" w:rsidRPr="00BC1144" w:rsidRDefault="0092626E" w:rsidP="0088622A">
      <w:pPr>
        <w:pStyle w:val="Reference"/>
        <w:spacing w:before="100"/>
      </w:pPr>
      <w:r w:rsidRPr="00BC1144">
        <w:t>Lim, P. 2011, Weighting the LSAY Programme of International Student Assessment cohorts, Technical Report 61, National Centre for Vocational Education Research.</w:t>
      </w:r>
    </w:p>
    <w:p w:rsidR="0092626E" w:rsidRPr="00BC1144" w:rsidRDefault="0092626E" w:rsidP="0088622A">
      <w:pPr>
        <w:pStyle w:val="Reference"/>
        <w:spacing w:before="100"/>
        <w:rPr>
          <w:spacing w:val="-2"/>
        </w:rPr>
      </w:pPr>
      <w:r w:rsidRPr="00BC1144">
        <w:rPr>
          <w:spacing w:val="-2"/>
        </w:rPr>
        <w:t>Miller, P. and Le, A. 2004, High School Graduation in Australia: Do Schools Matter?, vol 51.</w:t>
      </w:r>
    </w:p>
    <w:p w:rsidR="0092626E" w:rsidRPr="00BC1144" w:rsidRDefault="0092626E" w:rsidP="0088622A">
      <w:pPr>
        <w:pStyle w:val="Reference"/>
        <w:spacing w:before="100"/>
      </w:pPr>
      <w:r w:rsidRPr="00BC1144">
        <w:t>NCVER (National Centre for Vocational Education Research) 2018, LSAY User Gudies.</w:t>
      </w:r>
    </w:p>
    <w:p w:rsidR="0092626E" w:rsidRPr="00BC1144" w:rsidRDefault="0092626E" w:rsidP="0088622A">
      <w:pPr>
        <w:pStyle w:val="Reference"/>
        <w:spacing w:before="100"/>
      </w:pPr>
      <w:r w:rsidRPr="00BC1144">
        <w:t>Nelson, B. 2002, Higher education at the crossroads: an overview paper, Australian Department of Education, Science and Training, Canberra.</w:t>
      </w:r>
    </w:p>
    <w:p w:rsidR="0092626E" w:rsidRPr="00BC1144" w:rsidRDefault="0092626E" w:rsidP="0088622A">
      <w:pPr>
        <w:pStyle w:val="Reference"/>
        <w:spacing w:before="100"/>
        <w:rPr>
          <w:spacing w:val="-4"/>
        </w:rPr>
      </w:pPr>
      <w:r w:rsidRPr="00BC1144">
        <w:rPr>
          <w:spacing w:val="-4"/>
        </w:rPr>
        <w:lastRenderedPageBreak/>
        <w:t>Noble, J. and Davies, P. 2009, ‘Cultural capital as an explanation of variation in participation in higher education’, British Journal of Sociology of Education, vol. 30, no. 5, pp. 591–605.</w:t>
      </w:r>
    </w:p>
    <w:p w:rsidR="0092626E" w:rsidRPr="00BC1144" w:rsidRDefault="0092626E" w:rsidP="0088622A">
      <w:pPr>
        <w:pStyle w:val="Reference"/>
        <w:spacing w:before="100"/>
      </w:pPr>
      <w:r w:rsidRPr="00BC1144">
        <w:t>Norton, A. and Cherastidtham, I. 2018, Dropping out - the benefits and costs of trying university, 2018–07, Grattan Institute.</w:t>
      </w:r>
    </w:p>
    <w:p w:rsidR="0092626E" w:rsidRPr="00BC1144" w:rsidRDefault="0092626E" w:rsidP="0088622A">
      <w:pPr>
        <w:pStyle w:val="Reference"/>
        <w:spacing w:before="100"/>
      </w:pPr>
      <w:r w:rsidRPr="00BC1144">
        <w:t>Oaxaca, R. 1973, ‘Male-female wage differentials in urban labor markets’, International Economic Review, vol. 14, no. 3, pp. 693–709.</w:t>
      </w:r>
    </w:p>
    <w:p w:rsidR="0092626E" w:rsidRPr="00BC1144" w:rsidRDefault="0092626E" w:rsidP="0088622A">
      <w:pPr>
        <w:pStyle w:val="Reference"/>
        <w:spacing w:before="100"/>
      </w:pPr>
      <w:r w:rsidRPr="00BC1144">
        <w:t>OECD 2006, Education at a Glance 2006.</w:t>
      </w:r>
    </w:p>
    <w:p w:rsidR="0092626E" w:rsidRPr="00BC1144" w:rsidRDefault="0092626E" w:rsidP="0088622A">
      <w:pPr>
        <w:pStyle w:val="Reference"/>
        <w:spacing w:before="100"/>
      </w:pPr>
      <w:r w:rsidRPr="00BC1144">
        <w:t>—— 2008, OECD Economic Outlook, Volume 2008, Issue 1.</w:t>
      </w:r>
    </w:p>
    <w:p w:rsidR="0092626E" w:rsidRPr="00BC1144" w:rsidRDefault="0092626E" w:rsidP="0088622A">
      <w:pPr>
        <w:pStyle w:val="Reference"/>
        <w:spacing w:before="100"/>
      </w:pPr>
      <w:r w:rsidRPr="00BC1144">
        <w:t>—— 2017, Education at a Glance 2017.</w:t>
      </w:r>
    </w:p>
    <w:p w:rsidR="0092626E" w:rsidRPr="00BC1144" w:rsidRDefault="0092626E" w:rsidP="0088622A">
      <w:pPr>
        <w:pStyle w:val="Reference"/>
        <w:spacing w:before="100"/>
        <w:rPr>
          <w:spacing w:val="-4"/>
        </w:rPr>
      </w:pPr>
      <w:r w:rsidRPr="00BC1144">
        <w:rPr>
          <w:spacing w:val="-4"/>
        </w:rPr>
        <w:t>PC (Productivity Commission) 2016, National Education Evidence Base, Report no. 80, Canberra.</w:t>
      </w:r>
    </w:p>
    <w:p w:rsidR="0092626E" w:rsidRPr="00BC1144" w:rsidRDefault="0092626E" w:rsidP="0088622A">
      <w:pPr>
        <w:pStyle w:val="Reference"/>
        <w:spacing w:before="100"/>
      </w:pPr>
      <w:r w:rsidRPr="00BC1144">
        <w:t>—— 2017, Shifting the Dial: 5 Year Productivity Review, Report no. 84, Canberra.</w:t>
      </w:r>
    </w:p>
    <w:p w:rsidR="0092626E" w:rsidRPr="00BC1144" w:rsidRDefault="0092626E" w:rsidP="0088622A">
      <w:pPr>
        <w:pStyle w:val="Reference"/>
        <w:spacing w:before="100"/>
      </w:pPr>
      <w:r w:rsidRPr="00BC1144">
        <w:t>Pilcher, S. and Torii, K. 2018, Crunching the number: Exploring the use and usefulness of the Australian Tertiary Admission Rank (ATAR), Mitchell Institute at Victoria University, Melbourne.</w:t>
      </w:r>
    </w:p>
    <w:p w:rsidR="0092626E" w:rsidRPr="00BC1144" w:rsidRDefault="0092626E" w:rsidP="0088622A">
      <w:pPr>
        <w:pStyle w:val="Reference"/>
        <w:spacing w:before="100"/>
      </w:pPr>
      <w:r w:rsidRPr="00BC1144">
        <w:t>Schwiebert, J. 2015, ‘A detailed decomposition for non-linear econometric models’, Journal of Economic Inequality, vol. 13, no. 1, pp. 53–67.</w:t>
      </w:r>
    </w:p>
    <w:p w:rsidR="0092626E" w:rsidRPr="00BC1144" w:rsidRDefault="0092626E" w:rsidP="0088622A">
      <w:pPr>
        <w:pStyle w:val="Reference"/>
        <w:spacing w:before="100"/>
      </w:pPr>
      <w:r w:rsidRPr="00BC1144">
        <w:t>Social Research Centre 2018, 2018 Graduate Outcomes Survey - Longitudinal (GOS-L) National Report, QILT, Quality Indicators for Leaning and Teaching, October, National Report, Social Research Centre.</w:t>
      </w:r>
    </w:p>
    <w:p w:rsidR="0092626E" w:rsidRPr="00BC1144" w:rsidRDefault="0092626E" w:rsidP="0088622A">
      <w:pPr>
        <w:pStyle w:val="Reference"/>
        <w:spacing w:before="100"/>
      </w:pPr>
      <w:r w:rsidRPr="00BC1144">
        <w:t>—— 2019a, 2018 Graduate Outcomes Survey (GOS) National Report, QILT, Quality Indicators for Leaning and Teaching, January, National Report, Social Research Centre.</w:t>
      </w:r>
    </w:p>
    <w:p w:rsidR="0092626E" w:rsidRPr="00BC1144" w:rsidRDefault="0092626E" w:rsidP="0088622A">
      <w:pPr>
        <w:pStyle w:val="Reference"/>
        <w:spacing w:before="100"/>
      </w:pPr>
      <w:r w:rsidRPr="00BC1144">
        <w:t>—— 2019b, 2018 Student Experience Survey National Report, QILT, Quality Indicators for Leaning and Teaching, April, National Report, Social Research Centre.</w:t>
      </w:r>
    </w:p>
    <w:p w:rsidR="0092626E" w:rsidRPr="00BC1144" w:rsidRDefault="0092626E" w:rsidP="0088622A">
      <w:pPr>
        <w:pStyle w:val="Reference"/>
        <w:spacing w:before="100"/>
      </w:pPr>
      <w:r w:rsidRPr="00BC1144">
        <w:t>Talent 100 2018, How does HSC scaling work for Year 12 students?, Talent 100 - HSC Success. Simplified., 5 June.</w:t>
      </w:r>
    </w:p>
    <w:p w:rsidR="0092626E" w:rsidRPr="00BC1144" w:rsidRDefault="0092626E" w:rsidP="0088622A">
      <w:pPr>
        <w:pStyle w:val="Reference"/>
        <w:spacing w:before="100"/>
      </w:pPr>
      <w:r w:rsidRPr="00BC1144">
        <w:t>UAC (Universities Admissions Centre) 2019, Australian Tertiary Admission Rank.</w:t>
      </w:r>
    </w:p>
    <w:p w:rsidR="0092626E" w:rsidRPr="00BC1144" w:rsidRDefault="0092626E" w:rsidP="0088622A">
      <w:pPr>
        <w:pStyle w:val="Reference"/>
        <w:spacing w:before="100"/>
      </w:pPr>
      <w:r w:rsidRPr="00BC1144">
        <w:t>Venn, D. and Crawford, H. 2016, Post-school education, CAEPR Census Paper no. 11.</w:t>
      </w:r>
    </w:p>
    <w:p w:rsidR="0092626E" w:rsidRPr="00BC1144" w:rsidRDefault="0092626E" w:rsidP="0088622A">
      <w:pPr>
        <w:pStyle w:val="Reference"/>
        <w:spacing w:before="100"/>
      </w:pPr>
      <w:r w:rsidRPr="00BC1144">
        <w:t>Watson, N. and Wooden, M. 2009, ‘Identifying Factors Affecting Longitudinal Survey Response’, Methodology of Longitudinal Surveys, John Wiley &amp; Sons, pp. 157–181.</w:t>
      </w:r>
    </w:p>
    <w:p w:rsidR="0092626E" w:rsidRPr="00BC1144" w:rsidRDefault="0092626E" w:rsidP="0088622A">
      <w:pPr>
        <w:pStyle w:val="Reference"/>
        <w:spacing w:before="100"/>
      </w:pPr>
      <w:r w:rsidRPr="00BC1144">
        <w:t>Wei, H. 2010, Measuring economic returns to post-school education in Australia: evidence from the 1981-2006 Australian Censuses, ABS Catalogue no. 1351.0.55.032.</w:t>
      </w:r>
    </w:p>
    <w:p w:rsidR="0092626E" w:rsidRPr="00BC1144" w:rsidRDefault="0092626E" w:rsidP="0088622A">
      <w:pPr>
        <w:pStyle w:val="Reference"/>
        <w:spacing w:before="100"/>
      </w:pPr>
      <w:r w:rsidRPr="00BC1144">
        <w:t>West, R. 1998, Learning for Life: review of higher education financing and policy: final report, Australia. Department of Employment, Education, Training and Youth Affairs. Higher Education Financing and Policy Review Committee, Canberra.</w:t>
      </w:r>
    </w:p>
    <w:p w:rsidR="0092626E" w:rsidRPr="0092626E" w:rsidRDefault="0092626E" w:rsidP="0092626E">
      <w:pPr>
        <w:pStyle w:val="Reference"/>
      </w:pPr>
      <w:r w:rsidRPr="00BC1144">
        <w:t>Yun, M. 2004, ‘Decomposing differences in the first moment’, Economic Letters, vol. 82, no. 2, pp. 275–280.</w:t>
      </w:r>
    </w:p>
    <w:sectPr w:rsidR="0092626E" w:rsidRPr="0092626E" w:rsidSect="006E391F">
      <w:headerReference w:type="even" r:id="rId152"/>
      <w:headerReference w:type="default" r:id="rId153"/>
      <w:footerReference w:type="even" r:id="rId154"/>
      <w:footerReference w:type="default" r:id="rId155"/>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44" w:rsidRDefault="00BC1144">
      <w:r>
        <w:separator/>
      </w:r>
    </w:p>
  </w:endnote>
  <w:endnote w:type="continuationSeparator" w:id="0">
    <w:p w:rsidR="00BC1144" w:rsidRDefault="00BC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Pr="000A26A1" w:rsidRDefault="00BC1144" w:rsidP="0019293B">
          <w:pPr>
            <w:pStyle w:val="Footer"/>
            <w:tabs>
              <w:tab w:val="left" w:pos="0"/>
            </w:tabs>
            <w:ind w:right="0"/>
            <w:rPr>
              <w:rStyle w:val="PageNumber"/>
              <w:caps w:val="0"/>
            </w:rPr>
          </w:pPr>
          <w:r w:rsidRPr="000A26A1">
            <w:rPr>
              <w:rStyle w:val="PageNumber"/>
              <w:caps w:val="0"/>
            </w:rPr>
            <w:fldChar w:fldCharType="begin"/>
          </w:r>
          <w:r w:rsidRPr="000A26A1">
            <w:rPr>
              <w:rStyle w:val="PageNumber"/>
              <w:caps w:val="0"/>
            </w:rPr>
            <w:instrText xml:space="preserve">PAGE  </w:instrText>
          </w:r>
          <w:r w:rsidRPr="000A26A1">
            <w:rPr>
              <w:rStyle w:val="PageNumber"/>
              <w:caps w:val="0"/>
            </w:rPr>
            <w:fldChar w:fldCharType="separate"/>
          </w:r>
          <w:r w:rsidR="00EF7456">
            <w:rPr>
              <w:rStyle w:val="PageNumber"/>
              <w:caps w:val="0"/>
              <w:noProof/>
            </w:rPr>
            <w:t>iv</w:t>
          </w:r>
          <w:r w:rsidRPr="000A26A1">
            <w:rPr>
              <w:rStyle w:val="PageNumber"/>
              <w:caps w:val="0"/>
            </w:rPr>
            <w:fldChar w:fldCharType="end"/>
          </w:r>
        </w:p>
      </w:tc>
      <w:tc>
        <w:tcPr>
          <w:tcW w:w="7767" w:type="dxa"/>
        </w:tcPr>
        <w:p w:rsidR="00BC1144" w:rsidRPr="0013739A" w:rsidRDefault="00BC1144" w:rsidP="003E0F06">
          <w:pPr>
            <w:pStyle w:val="Footer"/>
            <w:rPr>
              <w:rFonts w:cs="Arial"/>
            </w:rPr>
          </w:pPr>
          <w:r>
            <w:rPr>
              <w:rFonts w:cs="Arial"/>
            </w:rPr>
            <w:t>The Demand Driven University System: A Mixed Report Card</w:t>
          </w:r>
        </w:p>
      </w:tc>
      <w:tc>
        <w:tcPr>
          <w:tcW w:w="510" w:type="dxa"/>
        </w:tcPr>
        <w:p w:rsidR="00BC1144" w:rsidRDefault="00BC1144" w:rsidP="0019293B">
          <w:pPr>
            <w:pStyle w:val="Footer"/>
          </w:pPr>
        </w:p>
      </w:tc>
    </w:tr>
  </w:tbl>
  <w:p w:rsidR="00BC1144" w:rsidRDefault="00BC1144" w:rsidP="0019293B">
    <w:pPr>
      <w:pStyle w:val="FooterEnd"/>
    </w:pPr>
  </w:p>
  <w:p w:rsidR="00BC1144" w:rsidRDefault="00BC1144">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28</w:t>
          </w:r>
          <w:r>
            <w:rPr>
              <w:rStyle w:val="PageNumber"/>
            </w:rPr>
            <w:fldChar w:fldCharType="end"/>
          </w:r>
        </w:p>
      </w:tc>
      <w:tc>
        <w:tcPr>
          <w:tcW w:w="7767" w:type="dxa"/>
          <w:tcBorders>
            <w:top w:val="single" w:sz="4" w:space="0" w:color="auto"/>
          </w:tcBorders>
          <w:shd w:val="clear" w:color="auto" w:fill="auto"/>
        </w:tcPr>
        <w:p w:rsidR="00BC1144" w:rsidRDefault="00BC1144" w:rsidP="0092626E">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INTRODUCTION</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29</w:t>
          </w:r>
          <w:r>
            <w:rPr>
              <w:rStyle w:val="PageNumber"/>
            </w:rPr>
            <w:fldChar w:fldCharType="end"/>
          </w:r>
        </w:p>
      </w:tc>
    </w:tr>
  </w:tbl>
  <w:p w:rsidR="00BC1144" w:rsidRPr="006E391F" w:rsidRDefault="00BC1144" w:rsidP="006E391F">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40</w:t>
          </w:r>
          <w:r>
            <w:rPr>
              <w:rStyle w:val="PageNumber"/>
            </w:rPr>
            <w:fldChar w:fldCharType="end"/>
          </w:r>
        </w:p>
      </w:tc>
      <w:tc>
        <w:tcPr>
          <w:tcW w:w="7767" w:type="dxa"/>
          <w:tcBorders>
            <w:top w:val="single" w:sz="4" w:space="0" w:color="auto"/>
          </w:tcBorders>
          <w:shd w:val="clear" w:color="auto" w:fill="auto"/>
        </w:tcPr>
        <w:p w:rsidR="00BC1144" w:rsidRDefault="00BC1144" w:rsidP="006E391F">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GROWTH IN THE HIGHER EDUCATION SYSTEM</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41</w:t>
          </w:r>
          <w:r>
            <w:rPr>
              <w:rStyle w:val="PageNumber"/>
            </w:rPr>
            <w:fldChar w:fldCharType="end"/>
          </w:r>
        </w:p>
      </w:tc>
    </w:tr>
  </w:tbl>
  <w:p w:rsidR="00BC1144" w:rsidRPr="006E391F" w:rsidRDefault="00BC1144" w:rsidP="006E391F">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42</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43</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46</w:t>
          </w:r>
          <w:r>
            <w:rPr>
              <w:rStyle w:val="PageNumber"/>
            </w:rPr>
            <w:fldChar w:fldCharType="end"/>
          </w:r>
        </w:p>
      </w:tc>
      <w:tc>
        <w:tcPr>
          <w:tcW w:w="7767" w:type="dxa"/>
          <w:tcBorders>
            <w:top w:val="single" w:sz="4" w:space="0" w:color="auto"/>
          </w:tcBorders>
          <w:shd w:val="clear" w:color="auto" w:fill="auto"/>
        </w:tcPr>
        <w:p w:rsidR="00BC1144" w:rsidRDefault="00BC1144" w:rsidP="00765B24">
          <w:pPr>
            <w:pStyle w:val="Footer"/>
            <w:rPr>
              <w:rStyle w:val="PageNumber"/>
              <w:b w:val="0"/>
            </w:rPr>
          </w:pPr>
          <w:r>
            <w:t>THE DEMAND DRIVEN UNIVERSITY SYSTEM: A MIXED Report Card</w:t>
          </w:r>
        </w:p>
      </w:tc>
      <w:tc>
        <w:tcPr>
          <w:tcW w:w="510" w:type="dxa"/>
          <w:tcBorders>
            <w:top w:val="single" w:sz="4" w:space="0" w:color="auto"/>
          </w:tcBorders>
          <w:shd w:val="clear" w:color="auto" w:fill="auto"/>
        </w:tcPr>
        <w:p w:rsidR="00BC1144" w:rsidRDefault="00BC1144" w:rsidP="006E391F">
          <w:pPr>
            <w:pStyle w:val="Footer"/>
            <w:rPr>
              <w:rStyle w:val="PageNumber"/>
              <w:b w:val="0"/>
            </w:rPr>
          </w:pPr>
        </w:p>
      </w:tc>
    </w:tr>
  </w:tbl>
  <w:p w:rsidR="00BC1144" w:rsidRPr="006E391F" w:rsidRDefault="00BC1144" w:rsidP="006E391F">
    <w:pPr>
      <w:pStyle w:val="FooterEnd"/>
      <w:rPr>
        <w:rStyle w:val="PageNumber"/>
        <w:b w:val="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rPr>
              <w:rStyle w:val="PageNumber"/>
              <w:b w:val="0"/>
            </w:rPr>
          </w:pPr>
        </w:p>
      </w:tc>
      <w:tc>
        <w:tcPr>
          <w:tcW w:w="7767" w:type="dxa"/>
          <w:tcBorders>
            <w:top w:val="single" w:sz="4" w:space="0" w:color="auto"/>
          </w:tcBorders>
          <w:shd w:val="clear" w:color="auto" w:fill="auto"/>
        </w:tcPr>
        <w:p w:rsidR="00BC1144" w:rsidRDefault="00BC1144" w:rsidP="006E391F">
          <w:pPr>
            <w:pStyle w:val="Footer"/>
            <w:jc w:val="right"/>
            <w:rPr>
              <w:rStyle w:val="PageNumber"/>
              <w:b w:val="0"/>
            </w:rPr>
          </w:pPr>
          <w:r>
            <w:rPr>
              <w:rStyle w:val="PageNumber"/>
              <w:b w:val="0"/>
            </w:rPr>
            <w:t>GROWTH IN THE HIGHER EDUCATION SYSTEM</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47</w:t>
          </w:r>
          <w:r>
            <w:rPr>
              <w:rStyle w:val="PageNumber"/>
            </w:rPr>
            <w:fldChar w:fldCharType="end"/>
          </w:r>
        </w:p>
      </w:tc>
    </w:tr>
  </w:tbl>
  <w:p w:rsidR="00BC1144" w:rsidRPr="006E391F" w:rsidRDefault="00BC1144" w:rsidP="006E391F">
    <w:pPr>
      <w:pStyle w:val="FooterEnd"/>
      <w:rPr>
        <w:rStyle w:val="PageNumber"/>
        <w:b w:val="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66</w:t>
          </w:r>
          <w:r>
            <w:rPr>
              <w:rStyle w:val="PageNumber"/>
            </w:rPr>
            <w:fldChar w:fldCharType="end"/>
          </w:r>
        </w:p>
      </w:tc>
      <w:tc>
        <w:tcPr>
          <w:tcW w:w="7767" w:type="dxa"/>
          <w:tcBorders>
            <w:top w:val="single" w:sz="4" w:space="0" w:color="auto"/>
          </w:tcBorders>
          <w:shd w:val="clear" w:color="auto" w:fill="auto"/>
        </w:tcPr>
        <w:p w:rsidR="00BC1144" w:rsidRDefault="00BC1144" w:rsidP="00DC5BB6">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EQUITY OF ACCESS DURING THE DEMAND DRIVEN SYSTEM</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65</w:t>
          </w:r>
          <w:r>
            <w:rPr>
              <w:rStyle w:val="PageNumber"/>
            </w:rPr>
            <w:fldChar w:fldCharType="end"/>
          </w:r>
        </w:p>
      </w:tc>
    </w:tr>
  </w:tbl>
  <w:p w:rsidR="00BC1144" w:rsidRPr="00987993" w:rsidRDefault="00BC1144" w:rsidP="0098799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Default="00BC1144">
          <w:pPr>
            <w:pStyle w:val="Footer"/>
            <w:ind w:right="360" w:firstLine="360"/>
          </w:pPr>
        </w:p>
      </w:tc>
      <w:tc>
        <w:tcPr>
          <w:tcW w:w="7767" w:type="dxa"/>
        </w:tcPr>
        <w:p w:rsidR="00BC1144" w:rsidRPr="000A26A1" w:rsidRDefault="00290842" w:rsidP="0052369A">
          <w:pPr>
            <w:pStyle w:val="Footer"/>
            <w:jc w:val="right"/>
            <w:rPr>
              <w:rFonts w:cs="Arial"/>
            </w:rPr>
          </w:pPr>
          <w:r>
            <w:rPr>
              <w:bCs/>
              <w:noProof/>
              <w:lang w:val="en-US"/>
            </w:rPr>
            <w:t>contents</w:t>
          </w:r>
        </w:p>
      </w:tc>
      <w:tc>
        <w:tcPr>
          <w:tcW w:w="510" w:type="dxa"/>
        </w:tcPr>
        <w:p w:rsidR="00BC1144" w:rsidRPr="00A24443" w:rsidRDefault="00BC11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F7456">
            <w:rPr>
              <w:rStyle w:val="PageNumber"/>
              <w:caps w:val="0"/>
              <w:noProof/>
            </w:rPr>
            <w:t>iii</w:t>
          </w:r>
          <w:r w:rsidRPr="00A24443">
            <w:rPr>
              <w:rStyle w:val="PageNumber"/>
              <w:caps w:val="0"/>
            </w:rPr>
            <w:fldChar w:fldCharType="end"/>
          </w:r>
        </w:p>
      </w:tc>
    </w:tr>
  </w:tbl>
  <w:p w:rsidR="00BC1144" w:rsidRDefault="00BC1144">
    <w:pPr>
      <w:pStyle w:val="FooterEnd"/>
    </w:pPr>
  </w:p>
  <w:p w:rsidR="00BC1144" w:rsidRDefault="00BC1144">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68</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67</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68</w:t>
          </w:r>
          <w:r>
            <w:rPr>
              <w:rStyle w:val="PageNumber"/>
            </w:rPr>
            <w:fldChar w:fldCharType="end"/>
          </w:r>
        </w:p>
      </w:tc>
      <w:tc>
        <w:tcPr>
          <w:tcW w:w="7767" w:type="dxa"/>
          <w:tcBorders>
            <w:top w:val="single" w:sz="4" w:space="0" w:color="auto"/>
          </w:tcBorders>
          <w:shd w:val="clear" w:color="auto" w:fill="auto"/>
        </w:tcPr>
        <w:p w:rsidR="00BC1144" w:rsidRDefault="00BC1144" w:rsidP="00420DAD">
          <w:pPr>
            <w:pStyle w:val="Footer"/>
            <w:rPr>
              <w:rStyle w:val="PageNumber"/>
              <w:b w:val="0"/>
            </w:rPr>
          </w:pPr>
          <w:r>
            <w:t>THE DEMAND DRIVEN UNIVERSITY SYSTEM: A MIXED REPORT CARD</w:t>
          </w:r>
        </w:p>
      </w:tc>
      <w:tc>
        <w:tcPr>
          <w:tcW w:w="510" w:type="dxa"/>
          <w:tcBorders>
            <w:top w:val="single" w:sz="4" w:space="0" w:color="auto"/>
          </w:tcBorders>
          <w:shd w:val="clear" w:color="auto" w:fill="auto"/>
        </w:tcPr>
        <w:p w:rsidR="00BC1144" w:rsidRDefault="00BC1144" w:rsidP="006E391F">
          <w:pPr>
            <w:pStyle w:val="Footer"/>
            <w:rPr>
              <w:rStyle w:val="PageNumber"/>
              <w:b w:val="0"/>
            </w:rPr>
          </w:pPr>
        </w:p>
      </w:tc>
    </w:tr>
  </w:tbl>
  <w:p w:rsidR="00BC1144" w:rsidRPr="006E391F" w:rsidRDefault="00BC1144" w:rsidP="006E391F">
    <w:pPr>
      <w:pStyle w:val="FooterEnd"/>
      <w:rPr>
        <w:rStyle w:val="PageNumber"/>
        <w:b w:val="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rPr>
              <w:rStyle w:val="PageNumber"/>
              <w:b w:val="0"/>
            </w:rPr>
          </w:pPr>
        </w:p>
      </w:tc>
      <w:tc>
        <w:tcPr>
          <w:tcW w:w="7767" w:type="dxa"/>
          <w:tcBorders>
            <w:top w:val="single" w:sz="4" w:space="0" w:color="auto"/>
          </w:tcBorders>
          <w:shd w:val="clear" w:color="auto" w:fill="auto"/>
        </w:tcPr>
        <w:p w:rsidR="00BC1144" w:rsidRDefault="00BC1144" w:rsidP="006E391F">
          <w:pPr>
            <w:pStyle w:val="Footer"/>
            <w:jc w:val="right"/>
            <w:rPr>
              <w:rStyle w:val="PageNumber"/>
              <w:b w:val="0"/>
            </w:rPr>
          </w:pPr>
          <w:r>
            <w:rPr>
              <w:rStyle w:val="PageNumber"/>
              <w:b w:val="0"/>
            </w:rPr>
            <w:t>EQUITY OF ACCESS DURING THE DEMAND DRIVEN SYSTEM</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69</w:t>
          </w:r>
          <w:r>
            <w:rPr>
              <w:rStyle w:val="PageNumber"/>
            </w:rPr>
            <w:fldChar w:fldCharType="end"/>
          </w:r>
        </w:p>
      </w:tc>
    </w:tr>
  </w:tbl>
  <w:p w:rsidR="00BC1144" w:rsidRPr="006E391F" w:rsidRDefault="00BC1144" w:rsidP="006E391F">
    <w:pPr>
      <w:pStyle w:val="FooterEnd"/>
      <w:rPr>
        <w:rStyle w:val="PageNumber"/>
        <w:b w:val="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82</w:t>
          </w:r>
          <w:r>
            <w:rPr>
              <w:rStyle w:val="PageNumber"/>
            </w:rPr>
            <w:fldChar w:fldCharType="end"/>
          </w:r>
        </w:p>
      </w:tc>
      <w:tc>
        <w:tcPr>
          <w:tcW w:w="7767" w:type="dxa"/>
          <w:tcBorders>
            <w:top w:val="single" w:sz="4" w:space="0" w:color="auto"/>
          </w:tcBorders>
          <w:shd w:val="clear" w:color="auto" w:fill="auto"/>
        </w:tcPr>
        <w:p w:rsidR="00BC1144" w:rsidRDefault="00BC1144" w:rsidP="0092626E">
          <w:pPr>
            <w:pStyle w:val="Footer"/>
            <w:rPr>
              <w:rStyle w:val="PageNumber"/>
              <w:b w:val="0"/>
            </w:rP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rPr>
              <w:rStyle w:val="PageNumber"/>
              <w:b w:val="0"/>
            </w:rPr>
          </w:pPr>
        </w:p>
      </w:tc>
    </w:tr>
  </w:tbl>
  <w:p w:rsidR="00BC1144" w:rsidRPr="006E391F" w:rsidRDefault="00BC1144" w:rsidP="006E391F">
    <w:pPr>
      <w:pStyle w:val="FooterEnd"/>
      <w:rPr>
        <w:rStyle w:val="PageNumber"/>
        <w:b w:val="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rPr>
              <w:rStyle w:val="PageNumber"/>
              <w:b w:val="0"/>
            </w:rPr>
          </w:pPr>
        </w:p>
      </w:tc>
      <w:tc>
        <w:tcPr>
          <w:tcW w:w="7767" w:type="dxa"/>
          <w:tcBorders>
            <w:top w:val="single" w:sz="4" w:space="0" w:color="auto"/>
          </w:tcBorders>
          <w:shd w:val="clear" w:color="auto" w:fill="auto"/>
        </w:tcPr>
        <w:p w:rsidR="00BC1144" w:rsidRDefault="00BC1144" w:rsidP="006E391F">
          <w:pPr>
            <w:pStyle w:val="Footer"/>
            <w:jc w:val="right"/>
            <w:rPr>
              <w:rStyle w:val="PageNumber"/>
              <w:b w:val="0"/>
            </w:rPr>
          </w:pPr>
          <w:r>
            <w:rPr>
              <w:rStyle w:val="PageNumber"/>
              <w:b w:val="0"/>
            </w:rPr>
            <w:t>A SNAPSHOT FROM AGGREGATE DATA</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83</w:t>
          </w:r>
          <w:r>
            <w:rPr>
              <w:rStyle w:val="PageNumber"/>
            </w:rPr>
            <w:fldChar w:fldCharType="end"/>
          </w:r>
        </w:p>
      </w:tc>
    </w:tr>
  </w:tbl>
  <w:p w:rsidR="00BC1144" w:rsidRPr="006E391F" w:rsidRDefault="00BC1144" w:rsidP="006E391F">
    <w:pPr>
      <w:pStyle w:val="FooterEnd"/>
      <w:rPr>
        <w:rStyle w:val="PageNumber"/>
        <w:b w:val="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86</w:t>
          </w:r>
          <w:r>
            <w:rPr>
              <w:rStyle w:val="PageNumber"/>
            </w:rPr>
            <w:fldChar w:fldCharType="end"/>
          </w:r>
        </w:p>
      </w:tc>
      <w:tc>
        <w:tcPr>
          <w:tcW w:w="7767" w:type="dxa"/>
          <w:tcBorders>
            <w:top w:val="single" w:sz="4" w:space="0" w:color="auto"/>
          </w:tcBorders>
          <w:shd w:val="clear" w:color="auto" w:fill="auto"/>
        </w:tcPr>
        <w:p w:rsidR="00BC1144" w:rsidRDefault="00BC1144" w:rsidP="00A771E8">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DATA AND METHODOLOGY</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87</w:t>
          </w:r>
          <w:r>
            <w:rPr>
              <w:rStyle w:val="PageNumber"/>
            </w:rPr>
            <w:fldChar w:fldCharType="end"/>
          </w:r>
        </w:p>
      </w:tc>
    </w:tr>
  </w:tbl>
  <w:p w:rsidR="00BC1144" w:rsidRPr="006E391F" w:rsidRDefault="00BC1144" w:rsidP="006E391F">
    <w:pPr>
      <w:pStyle w:val="FooterEnd"/>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88</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Pr="00A24443" w:rsidRDefault="00BC114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7C02">
            <w:rPr>
              <w:rStyle w:val="PageNumber"/>
              <w:caps w:val="0"/>
              <w:noProof/>
            </w:rPr>
            <w:t>vi</w:t>
          </w:r>
          <w:r w:rsidRPr="00A24443">
            <w:rPr>
              <w:rStyle w:val="PageNumber"/>
              <w:caps w:val="0"/>
            </w:rPr>
            <w:fldChar w:fldCharType="end"/>
          </w:r>
        </w:p>
      </w:tc>
      <w:tc>
        <w:tcPr>
          <w:tcW w:w="7767" w:type="dxa"/>
        </w:tcPr>
        <w:p w:rsidR="00BC1144" w:rsidRPr="0013739A" w:rsidRDefault="00BC1144" w:rsidP="005236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690A5D">
            <w:rPr>
              <w:rFonts w:cs="Arial"/>
            </w:rPr>
            <w:t>The Demand Driven University System: A Mixed Report Card - Research Paper</w:t>
          </w:r>
          <w:r w:rsidRPr="00BA5B14">
            <w:rPr>
              <w:rFonts w:cs="Arial"/>
            </w:rPr>
            <w:fldChar w:fldCharType="end"/>
          </w:r>
        </w:p>
      </w:tc>
      <w:tc>
        <w:tcPr>
          <w:tcW w:w="510" w:type="dxa"/>
        </w:tcPr>
        <w:p w:rsidR="00BC1144" w:rsidRDefault="00BC1144" w:rsidP="0019293B">
          <w:pPr>
            <w:pStyle w:val="Footer"/>
          </w:pPr>
        </w:p>
      </w:tc>
    </w:tr>
  </w:tbl>
  <w:p w:rsidR="00BC1144" w:rsidRDefault="00BC1144" w:rsidP="0019293B">
    <w:pPr>
      <w:pStyle w:val="FooterEnd"/>
    </w:pPr>
  </w:p>
  <w:p w:rsidR="00BC1144" w:rsidRDefault="00BC1144">
    <w:pPr>
      <w:pStyle w:val="FooterEn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106</w:t>
          </w:r>
          <w:r>
            <w:rPr>
              <w:rStyle w:val="PageNumber"/>
            </w:rPr>
            <w:fldChar w:fldCharType="end"/>
          </w:r>
        </w:p>
      </w:tc>
      <w:tc>
        <w:tcPr>
          <w:tcW w:w="7767" w:type="dxa"/>
          <w:tcBorders>
            <w:top w:val="single" w:sz="4" w:space="0" w:color="auto"/>
          </w:tcBorders>
          <w:shd w:val="clear" w:color="auto" w:fill="auto"/>
        </w:tcPr>
        <w:p w:rsidR="00BC1144" w:rsidRDefault="00BC1144" w:rsidP="006E391F">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DATA AND METHODOLOGY</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105</w:t>
          </w:r>
          <w:r>
            <w:rPr>
              <w:rStyle w:val="PageNumber"/>
            </w:rPr>
            <w:fldChar w:fldCharType="end"/>
          </w:r>
        </w:p>
      </w:tc>
    </w:tr>
  </w:tbl>
  <w:p w:rsidR="00BC1144" w:rsidRPr="006E391F" w:rsidRDefault="00BC1144" w:rsidP="006E391F">
    <w:pPr>
      <w:pStyle w:val="FooterEnd"/>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107</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108</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21</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124</w:t>
          </w:r>
          <w:r>
            <w:rPr>
              <w:rStyle w:val="PageNumber"/>
            </w:rPr>
            <w:fldChar w:fldCharType="end"/>
          </w:r>
        </w:p>
      </w:tc>
      <w:tc>
        <w:tcPr>
          <w:tcW w:w="7767" w:type="dxa"/>
          <w:tcBorders>
            <w:top w:val="single" w:sz="4" w:space="0" w:color="auto"/>
          </w:tcBorders>
          <w:shd w:val="clear" w:color="auto" w:fill="auto"/>
        </w:tcPr>
        <w:p w:rsidR="00BC1144" w:rsidRDefault="00BC1144" w:rsidP="006E391F">
          <w:pPr>
            <w:pStyle w:val="Footer"/>
            <w:rPr>
              <w:rStyle w:val="PageNumber"/>
              <w:b w:val="0"/>
            </w:rPr>
          </w:pPr>
          <w:r>
            <w:t>THE DEMAND DRIVEN UNIVERSITY SYSTEM: A MIXED</w:t>
          </w:r>
          <w:r>
            <w:rPr>
              <w:rFonts w:cs="Arial"/>
            </w:rPr>
            <w:t xml:space="preserve"> Report Card</w:t>
          </w:r>
        </w:p>
      </w:tc>
      <w:tc>
        <w:tcPr>
          <w:tcW w:w="510" w:type="dxa"/>
          <w:tcBorders>
            <w:top w:val="single" w:sz="4" w:space="0" w:color="auto"/>
          </w:tcBorders>
          <w:shd w:val="clear" w:color="auto" w:fill="auto"/>
        </w:tcPr>
        <w:p w:rsidR="00BC1144" w:rsidRDefault="00BC1144" w:rsidP="006E391F">
          <w:pPr>
            <w:pStyle w:val="Footer"/>
            <w:rPr>
              <w:rStyle w:val="PageNumber"/>
              <w:b w:val="0"/>
            </w:rPr>
          </w:pPr>
        </w:p>
      </w:tc>
    </w:tr>
  </w:tbl>
  <w:p w:rsidR="00BC1144" w:rsidRPr="006E391F" w:rsidRDefault="00BC1144" w:rsidP="006E391F">
    <w:pPr>
      <w:pStyle w:val="FooterEnd"/>
      <w:rPr>
        <w:rStyle w:val="PageNumber"/>
        <w:b w:val="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rPr>
              <w:rStyle w:val="PageNumber"/>
              <w:b w:val="0"/>
            </w:rPr>
          </w:pPr>
        </w:p>
      </w:tc>
      <w:tc>
        <w:tcPr>
          <w:tcW w:w="7767" w:type="dxa"/>
          <w:tcBorders>
            <w:top w:val="single" w:sz="4" w:space="0" w:color="auto"/>
          </w:tcBorders>
          <w:shd w:val="clear" w:color="auto" w:fill="auto"/>
        </w:tcPr>
        <w:p w:rsidR="00BC1144" w:rsidRDefault="00B343A4" w:rsidP="006E391F">
          <w:pPr>
            <w:pStyle w:val="Footer"/>
            <w:jc w:val="right"/>
            <w:rPr>
              <w:rStyle w:val="PageNumber"/>
              <w:b w:val="0"/>
            </w:rPr>
          </w:pPr>
          <w:r>
            <w:t>DATA AND METHODOLOGY</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125</w:t>
          </w:r>
          <w:r>
            <w:rPr>
              <w:rStyle w:val="PageNumber"/>
            </w:rPr>
            <w:fldChar w:fldCharType="end"/>
          </w:r>
        </w:p>
      </w:tc>
    </w:tr>
  </w:tbl>
  <w:p w:rsidR="00BC1144" w:rsidRPr="006E391F" w:rsidRDefault="00BC1144" w:rsidP="006E391F">
    <w:pPr>
      <w:pStyle w:val="FooterEnd"/>
      <w:rPr>
        <w:rStyle w:val="PageNumber"/>
        <w:b w:val="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132</w:t>
          </w:r>
          <w:r>
            <w:rPr>
              <w:rStyle w:val="PageNumber"/>
            </w:rPr>
            <w:fldChar w:fldCharType="end"/>
          </w:r>
        </w:p>
      </w:tc>
      <w:tc>
        <w:tcPr>
          <w:tcW w:w="7767" w:type="dxa"/>
          <w:tcBorders>
            <w:top w:val="single" w:sz="4" w:space="0" w:color="auto"/>
          </w:tcBorders>
          <w:shd w:val="clear" w:color="auto" w:fill="auto"/>
        </w:tcPr>
        <w:p w:rsidR="00BC1144" w:rsidRDefault="00BC1144" w:rsidP="000413ED">
          <w:pPr>
            <w:pStyle w:val="Footer"/>
            <w:rPr>
              <w:rStyle w:val="PageNumber"/>
              <w:b w:val="0"/>
            </w:rPr>
          </w:pPr>
          <w:r>
            <w:rPr>
              <w:rStyle w:val="PageNumber"/>
              <w:b w:val="0"/>
            </w:rP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rPr>
              <w:rStyle w:val="PageNumber"/>
              <w:b w:val="0"/>
            </w:rPr>
          </w:pPr>
        </w:p>
      </w:tc>
    </w:tr>
  </w:tbl>
  <w:p w:rsidR="00BC1144" w:rsidRPr="006E391F" w:rsidRDefault="00BC1144" w:rsidP="006E391F">
    <w:pPr>
      <w:pStyle w:val="FooterEnd"/>
      <w:rPr>
        <w:rStyle w:val="PageNumber"/>
        <w:b w:val="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rPr>
              <w:rStyle w:val="PageNumber"/>
              <w:b w:val="0"/>
            </w:rPr>
          </w:pPr>
        </w:p>
      </w:tc>
      <w:tc>
        <w:tcPr>
          <w:tcW w:w="7767" w:type="dxa"/>
          <w:tcBorders>
            <w:top w:val="single" w:sz="4" w:space="0" w:color="auto"/>
          </w:tcBorders>
          <w:shd w:val="clear" w:color="auto" w:fill="auto"/>
        </w:tcPr>
        <w:p w:rsidR="00BC1144" w:rsidRDefault="00BC1144" w:rsidP="006E391F">
          <w:pPr>
            <w:pStyle w:val="Footer"/>
            <w:jc w:val="right"/>
            <w:rPr>
              <w:rStyle w:val="PageNumber"/>
              <w:b w:val="0"/>
            </w:rPr>
          </w:pPr>
          <w:r>
            <w:rPr>
              <w:rStyle w:val="PageNumber"/>
              <w:b w:val="0"/>
            </w:rPr>
            <w:t>References</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131</w:t>
          </w:r>
          <w:r>
            <w:rPr>
              <w:rStyle w:val="PageNumber"/>
            </w:rPr>
            <w:fldChar w:fldCharType="end"/>
          </w:r>
        </w:p>
      </w:tc>
    </w:tr>
  </w:tbl>
  <w:p w:rsidR="00BC1144" w:rsidRPr="006E391F" w:rsidRDefault="00BC1144" w:rsidP="006E391F">
    <w:pPr>
      <w:pStyle w:val="FooterEnd"/>
      <w:rPr>
        <w:rStyle w:val="PageNumbe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Default="00BC1144">
          <w:pPr>
            <w:pStyle w:val="Footer"/>
            <w:ind w:right="360" w:firstLine="360"/>
          </w:pPr>
        </w:p>
      </w:tc>
      <w:tc>
        <w:tcPr>
          <w:tcW w:w="7767" w:type="dxa"/>
        </w:tcPr>
        <w:p w:rsidR="00BC1144" w:rsidRPr="00A90DAF" w:rsidRDefault="00BC1144" w:rsidP="0052369A">
          <w:pPr>
            <w:pStyle w:val="Footer"/>
            <w:jc w:val="right"/>
            <w:rPr>
              <w:rFonts w:cs="Arial"/>
            </w:rPr>
          </w:pPr>
          <w:r w:rsidRPr="00B61E8C">
            <w:rPr>
              <w:bCs/>
              <w:noProof/>
              <w:lang w:val="en-US"/>
            </w:rPr>
            <w:t>Acknowledgments</w:t>
          </w:r>
        </w:p>
      </w:tc>
      <w:tc>
        <w:tcPr>
          <w:tcW w:w="510" w:type="dxa"/>
        </w:tcPr>
        <w:p w:rsidR="00BC1144" w:rsidRPr="00A24443" w:rsidRDefault="00BC11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F7456">
            <w:rPr>
              <w:rStyle w:val="PageNumber"/>
              <w:caps w:val="0"/>
              <w:noProof/>
            </w:rPr>
            <w:t>v</w:t>
          </w:r>
          <w:r w:rsidRPr="00A24443">
            <w:rPr>
              <w:rStyle w:val="PageNumber"/>
              <w:caps w:val="0"/>
            </w:rPr>
            <w:fldChar w:fldCharType="end"/>
          </w:r>
        </w:p>
      </w:tc>
    </w:tr>
  </w:tbl>
  <w:p w:rsidR="00BC1144" w:rsidRDefault="00BC1144">
    <w:pPr>
      <w:pStyle w:val="FooterEnd"/>
    </w:pPr>
  </w:p>
  <w:p w:rsidR="00BC1144" w:rsidRDefault="00BC114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Pr="007448F7" w:rsidRDefault="00BC1144"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EF7456">
            <w:rPr>
              <w:rStyle w:val="PageNumber"/>
              <w:caps w:val="0"/>
              <w:noProof/>
            </w:rPr>
            <w:t>vi</w:t>
          </w:r>
          <w:r w:rsidRPr="007448F7">
            <w:rPr>
              <w:rStyle w:val="PageNumber"/>
              <w:caps w:val="0"/>
            </w:rPr>
            <w:fldChar w:fldCharType="end"/>
          </w:r>
        </w:p>
      </w:tc>
      <w:tc>
        <w:tcPr>
          <w:tcW w:w="7767" w:type="dxa"/>
        </w:tcPr>
        <w:p w:rsidR="00BC1144" w:rsidRPr="0013739A" w:rsidRDefault="00BC1144" w:rsidP="003E0F06">
          <w:pPr>
            <w:pStyle w:val="Footer"/>
            <w:rPr>
              <w:rFonts w:cs="Arial"/>
            </w:rPr>
          </w:pPr>
          <w:r>
            <w:rPr>
              <w:rFonts w:cs="Arial"/>
            </w:rPr>
            <w:t>The Demand Driven University System: A Mixed Report Card</w:t>
          </w:r>
        </w:p>
      </w:tc>
      <w:tc>
        <w:tcPr>
          <w:tcW w:w="510" w:type="dxa"/>
        </w:tcPr>
        <w:p w:rsidR="00BC1144" w:rsidRDefault="00BC1144" w:rsidP="0019293B">
          <w:pPr>
            <w:pStyle w:val="Footer"/>
          </w:pPr>
        </w:p>
      </w:tc>
    </w:tr>
  </w:tbl>
  <w:p w:rsidR="00BC1144" w:rsidRDefault="00BC1144" w:rsidP="0019293B">
    <w:pPr>
      <w:pStyle w:val="FooterEnd"/>
    </w:pPr>
  </w:p>
  <w:p w:rsidR="00BC1144" w:rsidRDefault="00BC114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C1144" w:rsidTr="005F48ED">
      <w:trPr>
        <w:trHeight w:hRule="exact" w:val="567"/>
      </w:trPr>
      <w:tc>
        <w:tcPr>
          <w:tcW w:w="510" w:type="dxa"/>
        </w:tcPr>
        <w:p w:rsidR="00BC1144" w:rsidRDefault="00BC1144">
          <w:pPr>
            <w:pStyle w:val="Footer"/>
            <w:ind w:right="360" w:firstLine="360"/>
          </w:pPr>
        </w:p>
      </w:tc>
      <w:tc>
        <w:tcPr>
          <w:tcW w:w="7767" w:type="dxa"/>
        </w:tcPr>
        <w:p w:rsidR="00BC1144" w:rsidRPr="00340511" w:rsidRDefault="00BC1144" w:rsidP="0052369A">
          <w:pPr>
            <w:pStyle w:val="Footer"/>
            <w:jc w:val="right"/>
            <w:rPr>
              <w:rFonts w:cs="Arial"/>
            </w:rPr>
          </w:pPr>
          <w:r w:rsidRPr="00B61E8C">
            <w:rPr>
              <w:bCs/>
              <w:noProof/>
              <w:lang w:val="en-US"/>
            </w:rPr>
            <w:t>Abbreviations</w:t>
          </w:r>
        </w:p>
      </w:tc>
      <w:tc>
        <w:tcPr>
          <w:tcW w:w="510" w:type="dxa"/>
        </w:tcPr>
        <w:p w:rsidR="00BC1144" w:rsidRPr="00A24443" w:rsidRDefault="00BC114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F7456">
            <w:rPr>
              <w:rStyle w:val="PageNumber"/>
              <w:caps w:val="0"/>
              <w:noProof/>
            </w:rPr>
            <w:t>vii</w:t>
          </w:r>
          <w:r w:rsidRPr="00A24443">
            <w:rPr>
              <w:rStyle w:val="PageNumber"/>
              <w:caps w:val="0"/>
            </w:rPr>
            <w:fldChar w:fldCharType="end"/>
          </w:r>
        </w:p>
      </w:tc>
    </w:tr>
  </w:tbl>
  <w:p w:rsidR="00BC1144" w:rsidRDefault="00BC1144">
    <w:pPr>
      <w:pStyle w:val="FooterEnd"/>
    </w:pPr>
  </w:p>
  <w:p w:rsidR="00BC1144" w:rsidRDefault="00BC1144" w:rsidP="0052369A">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Pr="006E391F" w:rsidRDefault="00BC1144" w:rsidP="006E391F">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12</w:t>
          </w:r>
          <w:r>
            <w:rPr>
              <w:rStyle w:val="PageNumber"/>
            </w:rPr>
            <w:fldChar w:fldCharType="end"/>
          </w:r>
        </w:p>
      </w:tc>
      <w:tc>
        <w:tcPr>
          <w:tcW w:w="7767" w:type="dxa"/>
          <w:tcBorders>
            <w:top w:val="single" w:sz="4" w:space="0" w:color="auto"/>
          </w:tcBorders>
          <w:shd w:val="clear" w:color="auto" w:fill="auto"/>
        </w:tcPr>
        <w:p w:rsidR="00BC1144" w:rsidRDefault="00BC1144" w:rsidP="00DC5BB6">
          <w:pPr>
            <w:pStyle w:val="Footer"/>
          </w:pPr>
          <w:r>
            <w:t xml:space="preserve">THE DEMAND DRIVEN UNIVERSITY SYSTEM: A MIXED </w:t>
          </w:r>
          <w:r>
            <w:rPr>
              <w:rFonts w:cs="Arial"/>
            </w:rPr>
            <w:t>Report Card</w:t>
          </w:r>
        </w:p>
      </w:tc>
      <w:tc>
        <w:tcPr>
          <w:tcW w:w="510" w:type="dxa"/>
          <w:tcBorders>
            <w:top w:val="single" w:sz="4" w:space="0" w:color="auto"/>
          </w:tcBorders>
          <w:shd w:val="clear" w:color="auto" w:fill="auto"/>
        </w:tcPr>
        <w:p w:rsidR="00BC1144" w:rsidRDefault="00BC1144" w:rsidP="006E391F">
          <w:pPr>
            <w:pStyle w:val="Footer"/>
          </w:pPr>
        </w:p>
      </w:tc>
    </w:tr>
  </w:tbl>
  <w:p w:rsidR="00BC1144" w:rsidRPr="006E391F" w:rsidRDefault="00BC1144" w:rsidP="006E391F">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C1144" w:rsidTr="006E391F">
      <w:trPr>
        <w:trHeight w:val="567"/>
      </w:trPr>
      <w:tc>
        <w:tcPr>
          <w:tcW w:w="510" w:type="dxa"/>
          <w:tcBorders>
            <w:top w:val="single" w:sz="4" w:space="0" w:color="auto"/>
          </w:tcBorders>
          <w:shd w:val="clear" w:color="auto" w:fill="auto"/>
        </w:tcPr>
        <w:p w:rsidR="00BC1144" w:rsidRDefault="00BC1144" w:rsidP="006E391F">
          <w:pPr>
            <w:pStyle w:val="Footer"/>
          </w:pPr>
        </w:p>
      </w:tc>
      <w:tc>
        <w:tcPr>
          <w:tcW w:w="7767" w:type="dxa"/>
          <w:tcBorders>
            <w:top w:val="single" w:sz="4" w:space="0" w:color="auto"/>
          </w:tcBorders>
          <w:shd w:val="clear" w:color="auto" w:fill="auto"/>
        </w:tcPr>
        <w:p w:rsidR="00BC1144" w:rsidRDefault="00BC1144" w:rsidP="006E391F">
          <w:pPr>
            <w:pStyle w:val="Footer"/>
            <w:jc w:val="right"/>
          </w:pPr>
          <w:r>
            <w:t>Overview</w:t>
          </w:r>
        </w:p>
      </w:tc>
      <w:tc>
        <w:tcPr>
          <w:tcW w:w="510" w:type="dxa"/>
          <w:tcBorders>
            <w:top w:val="single" w:sz="4" w:space="0" w:color="auto"/>
          </w:tcBorders>
          <w:shd w:val="clear" w:color="auto" w:fill="auto"/>
        </w:tcPr>
        <w:p w:rsidR="00BC1144" w:rsidRPr="006E391F" w:rsidRDefault="00BC1144" w:rsidP="006E391F">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F7456">
            <w:rPr>
              <w:rStyle w:val="PageNumber"/>
              <w:noProof/>
            </w:rPr>
            <w:t>13</w:t>
          </w:r>
          <w:r>
            <w:rPr>
              <w:rStyle w:val="PageNumber"/>
            </w:rPr>
            <w:fldChar w:fldCharType="end"/>
          </w:r>
        </w:p>
      </w:tc>
    </w:tr>
  </w:tbl>
  <w:p w:rsidR="00BC1144" w:rsidRPr="006E391F" w:rsidRDefault="00BC1144" w:rsidP="006E391F">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Default="00BC1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44" w:rsidRDefault="00BC1144">
      <w:r>
        <w:separator/>
      </w:r>
    </w:p>
  </w:footnote>
  <w:footnote w:type="continuationSeparator" w:id="0">
    <w:p w:rsidR="00BC1144" w:rsidRDefault="00BC1144">
      <w:r>
        <w:continuationSeparator/>
      </w:r>
    </w:p>
  </w:footnote>
  <w:footnote w:id="1">
    <w:p w:rsidR="00BC1144" w:rsidRDefault="00BC1144">
      <w:pPr>
        <w:pStyle w:val="FootnoteText"/>
      </w:pPr>
      <w:r>
        <w:rPr>
          <w:rStyle w:val="FootnoteReference"/>
        </w:rPr>
        <w:footnoteRef/>
      </w:r>
      <w:r>
        <w:t xml:space="preserve"> </w:t>
      </w:r>
      <w:r>
        <w:tab/>
      </w:r>
      <w:r w:rsidRPr="00F36E6F">
        <w:t>A funding cap was re</w:t>
      </w:r>
      <w:r>
        <w:noBreakHyphen/>
      </w:r>
      <w:r w:rsidRPr="00F36E6F">
        <w:t>introduced for the</w:t>
      </w:r>
      <w:r>
        <w:t xml:space="preserve"> 2018 and 2019 academic years, </w:t>
      </w:r>
      <w:r w:rsidRPr="00F36E6F">
        <w:t>maintaining the 2017 funding level</w:t>
      </w:r>
      <w:r>
        <w:t>,</w:t>
      </w:r>
      <w:r w:rsidRPr="00F36E6F">
        <w:t xml:space="preserve"> amid concern about the fiscal cost of a burgeoning university system</w:t>
      </w:r>
      <w:r>
        <w:t>.</w:t>
      </w:r>
    </w:p>
  </w:footnote>
  <w:footnote w:id="2">
    <w:p w:rsidR="00BC1144" w:rsidRDefault="00BC1144" w:rsidP="00336FA0">
      <w:pPr>
        <w:pStyle w:val="FootnoteText"/>
      </w:pPr>
      <w:r>
        <w:rPr>
          <w:rStyle w:val="FootnoteReference"/>
        </w:rPr>
        <w:footnoteRef/>
      </w:r>
      <w:r>
        <w:tab/>
        <w:t>Total expenditure estimates are Commonwealth Grant Scheme (CGS) and HELP special appropriations for 2008</w:t>
      </w:r>
      <w:r>
        <w:noBreakHyphen/>
        <w:t>09 (revised budget estimate from the Department of Education, Employment and Workplace Relations Portfolio Budget Statement, 2009-10) and 2016</w:t>
      </w:r>
      <w:r>
        <w:noBreakHyphen/>
        <w:t>17 (estimated actual from the Department of Education and Training Portfolio Budget Statement, 2017-18) adjusted to 2017 dollars. Undergraduate versus postgraduate CGS and HECS</w:t>
      </w:r>
      <w:r>
        <w:noBreakHyphen/>
        <w:t>HELP appropriations are not reported separately. Estimates do not include student contributions when paid up front. The increase in Australian Government expenditure reflects both an increase in student numbers and change in the mix and funding levels of courses taken.</w:t>
      </w:r>
    </w:p>
  </w:footnote>
  <w:footnote w:id="3">
    <w:p w:rsidR="00BC1144" w:rsidRDefault="00BC1144">
      <w:pPr>
        <w:pStyle w:val="FootnoteText"/>
      </w:pPr>
      <w:r>
        <w:rPr>
          <w:rStyle w:val="FootnoteReference"/>
        </w:rPr>
        <w:footnoteRef/>
      </w:r>
      <w:r>
        <w:tab/>
        <w:t>A</w:t>
      </w:r>
      <w:r w:rsidRPr="00AE5170">
        <w:t>s measured by the OECD’s Programme for International Student Assessment — PISA</w:t>
      </w:r>
      <w:r>
        <w:t>.</w:t>
      </w:r>
    </w:p>
  </w:footnote>
  <w:footnote w:id="4">
    <w:p w:rsidR="00BC1144" w:rsidRDefault="00BC1144" w:rsidP="00336FA0">
      <w:pPr>
        <w:pStyle w:val="FootnoteText"/>
      </w:pPr>
      <w:r>
        <w:rPr>
          <w:rStyle w:val="FootnoteReference"/>
        </w:rPr>
        <w:footnoteRef/>
      </w:r>
      <w:r>
        <w:tab/>
        <w:t xml:space="preserve">OECD PISA scores show that, in comparison to OECD averages, the portion of students who are high performers has fallen, while at the other end of the spectrum the share who perform poorly has risen. The results show declines in the public system, in the Catholic system and in the independent system. They show that numeracy is falling faster than literacy. Though there are many other surveys and measures, previous studies suggest that over long periods of time the school achievement of Australian students has not improved and has probably deteriorated </w:t>
      </w:r>
      <w:r w:rsidRPr="0092626E">
        <w:rPr>
          <w:szCs w:val="24"/>
        </w:rPr>
        <w:t>(Leigh and Ryan 2011)</w:t>
      </w:r>
      <w:r>
        <w:t>.</w:t>
      </w:r>
    </w:p>
  </w:footnote>
  <w:footnote w:id="5">
    <w:p w:rsidR="00BC1144" w:rsidRDefault="00BC1144" w:rsidP="001C0939">
      <w:pPr>
        <w:pStyle w:val="FootnoteText"/>
      </w:pPr>
      <w:r w:rsidRPr="008641CD">
        <w:rPr>
          <w:rStyle w:val="FootnoteReference"/>
        </w:rPr>
        <w:footnoteRef/>
      </w:r>
      <w:r>
        <w:tab/>
        <w:t>Women in non-traditional areas of study are those enrolled in the Natural and Physical Sciences; Information Technology; Engineering and Related Technologies; Architecture and Building; Agriculture, Environmental and Related Studies; Management and Commerce; and Education (Economics and Econometrics).</w:t>
      </w:r>
    </w:p>
  </w:footnote>
  <w:footnote w:id="6">
    <w:p w:rsidR="00BC1144" w:rsidRDefault="00BC1144" w:rsidP="00336FA0">
      <w:pPr>
        <w:pStyle w:val="FootnoteText"/>
      </w:pPr>
      <w:r w:rsidRPr="008641CD">
        <w:rPr>
          <w:rStyle w:val="FootnoteReference"/>
        </w:rPr>
        <w:footnoteRef/>
      </w:r>
      <w:r>
        <w:tab/>
        <w:t>The choice of groups reflects the study design and data availability: the design of the Longitudinal Survey of Australian Youth (LSAY) excludes many people with a disability at age 15 years; preliminary analysis of the LSAY showed people from non-English speaking backgrounds are not under-represented at university; analysis of fields of study is outside the scope of the research design.</w:t>
      </w:r>
    </w:p>
  </w:footnote>
  <w:footnote w:id="7">
    <w:p w:rsidR="00BC1144" w:rsidRDefault="00BC1144" w:rsidP="00336FA0">
      <w:pPr>
        <w:pStyle w:val="FootnoteText"/>
      </w:pPr>
      <w:r w:rsidRPr="008641CD">
        <w:rPr>
          <w:rStyle w:val="FootnoteReference"/>
        </w:rPr>
        <w:footnoteRef/>
      </w:r>
      <w:r>
        <w:t xml:space="preserve"> </w:t>
      </w:r>
      <w:r>
        <w:tab/>
      </w:r>
      <w:r>
        <w:rPr>
          <w:rFonts w:eastAsiaTheme="minorHAnsi"/>
        </w:rPr>
        <w:t>Government-supported places in medicine, postgraduate programs and sub-bachelor courses (diploma, advanced diploma, associate degree) were still allocated centrally. For places that were part of the demand driven system, the phase in period involved a 5 per cent increase above the baseline number of places funded in 2010 and a 10 per cent increase in 2011.</w:t>
      </w:r>
    </w:p>
  </w:footnote>
  <w:footnote w:id="8">
    <w:p w:rsidR="00BC1144" w:rsidRDefault="00BC1144" w:rsidP="001C0939">
      <w:pPr>
        <w:pStyle w:val="FootnoteText"/>
      </w:pPr>
      <w:r w:rsidRPr="006762FD">
        <w:rPr>
          <w:rStyle w:val="FootnoteReference"/>
        </w:rPr>
        <w:footnoteRef/>
      </w:r>
      <w:r>
        <w:tab/>
        <w:t xml:space="preserve">Administrative data that documents the number of units students take before dropping out are largely consistent with LSAY. Of students who commenced university before age 20 years and dropped out, about 40 per cent did so having taken up to one year of equivalent full-time study, another 25 per cent had taken between one and two years, and about 35 per cent had taken more than two years. Older students took fewer subjects before leaving. For example, almost 50 per cent of students who commenced between the ages of 31 and 40 years and dropped out did so having taken half a year of equivalent full-time study or less </w:t>
      </w:r>
      <w:r w:rsidRPr="0092626E">
        <w:rPr>
          <w:szCs w:val="24"/>
        </w:rPr>
        <w:t>(Norton and Cherastidtham 2018)</w:t>
      </w:r>
      <w:r>
        <w:t>.</w:t>
      </w:r>
    </w:p>
  </w:footnote>
  <w:footnote w:id="9">
    <w:p w:rsidR="00BC1144" w:rsidRDefault="00BC1144">
      <w:pPr>
        <w:pStyle w:val="FootnoteText"/>
      </w:pPr>
      <w:r>
        <w:rPr>
          <w:rStyle w:val="FootnoteReference"/>
        </w:rPr>
        <w:footnoteRef/>
      </w:r>
      <w:r>
        <w:tab/>
      </w:r>
      <w:r w:rsidRPr="00C353DB">
        <w:rPr>
          <w:rStyle w:val="FootnoteTextChar"/>
        </w:rPr>
        <w:t>A caveat is that these patterns reflect analysis of the early years of the demand driven system based on the LSAY cohort attending university by age 22 years in 2013, with the more recent cohort, which is the focus of most of the analysis, yet to reach 25 years of age</w:t>
      </w:r>
      <w:r>
        <w:rPr>
          <w:rStyle w:val="FootnoteTextChar"/>
        </w:rPr>
        <w:t>.</w:t>
      </w:r>
    </w:p>
  </w:footnote>
  <w:footnote w:id="10">
    <w:p w:rsidR="00BC1144" w:rsidRDefault="00BC1144">
      <w:pPr>
        <w:pStyle w:val="FootnoteText"/>
      </w:pPr>
      <w:r w:rsidRPr="00C4637D">
        <w:rPr>
          <w:rStyle w:val="FootnoteReference"/>
        </w:rPr>
        <w:footnoteRef/>
      </w:r>
      <w:r>
        <w:tab/>
        <w:t xml:space="preserve">The patterns are somewhat different in the Department of Education and Training’s administrative data (discussed in more detail in Appendix A). For example, they show an increase in the share of students from low SES regions of 1.4 percentage points between 2010 and 2016, compared with 0.4 percentage points in LSAY data. Among other differences, those data are for students at all ages, whereas the current study only tracks participation to age 22 years (box 3.1). </w:t>
      </w:r>
    </w:p>
  </w:footnote>
  <w:footnote w:id="11">
    <w:p w:rsidR="00BC1144" w:rsidRDefault="00BC1144">
      <w:pPr>
        <w:pStyle w:val="FootnoteText"/>
      </w:pPr>
      <w:r w:rsidRPr="00C4637D">
        <w:rPr>
          <w:rStyle w:val="FootnoteReference"/>
        </w:rPr>
        <w:footnoteRef/>
      </w:r>
      <w:r>
        <w:tab/>
        <w:t>In analysing the decomposition for the regional or remote group, the factor ‘geography’ is not included as a separate explanator for the gap in participation for this group because the measure of geography is whether a person comes from a regional or remote area, which is already captured by the group effect.</w:t>
      </w:r>
    </w:p>
  </w:footnote>
  <w:footnote w:id="12">
    <w:p w:rsidR="00BC1144" w:rsidRDefault="00BC1144">
      <w:pPr>
        <w:pStyle w:val="FootnoteText"/>
      </w:pPr>
      <w:r w:rsidRPr="00C4637D">
        <w:rPr>
          <w:rStyle w:val="FootnoteReference"/>
        </w:rPr>
        <w:footnoteRef/>
      </w:r>
      <w:r>
        <w:tab/>
        <w:t>O</w:t>
      </w:r>
      <w:r w:rsidRPr="00EC4B35">
        <w:t xml:space="preserve">n face value, this seems perplexing as the opposite might be expected when a greater share of Australians are attending university. Indeed, ABS data is in line with expectations, as managerial and professionals </w:t>
      </w:r>
      <w:r>
        <w:t>employment is</w:t>
      </w:r>
      <w:r w:rsidRPr="00EC4B35">
        <w:t xml:space="preserve"> increasing as a share of all occupations for 15</w:t>
      </w:r>
      <w:r>
        <w:t>-</w:t>
      </w:r>
      <w:r w:rsidRPr="00EC4B35">
        <w:t>24 and 25</w:t>
      </w:r>
      <w:r>
        <w:t>-</w:t>
      </w:r>
      <w:r w:rsidRPr="00EC4B35">
        <w:t>34 year olds</w:t>
      </w:r>
      <w:r>
        <w:t xml:space="preserve"> (ABS 2019,</w:t>
      </w:r>
      <w:r w:rsidRPr="00F52AFB">
        <w:t xml:space="preserve"> </w:t>
      </w:r>
      <w:r w:rsidRPr="00ED423F">
        <w:rPr>
          <w:i/>
        </w:rPr>
        <w:t>Labour Force, Australia, Detailed, Quarterly, Feb 2019</w:t>
      </w:r>
      <w:r>
        <w:t xml:space="preserve">, datacube </w:t>
      </w:r>
      <w:r w:rsidRPr="00F52AFB">
        <w:t>EQ07a</w:t>
      </w:r>
      <w:r>
        <w:t>, Cat. no. </w:t>
      </w:r>
      <w:r w:rsidRPr="00F52AFB">
        <w:t>6291.0.55.003</w:t>
      </w:r>
      <w:r>
        <w:t>)</w:t>
      </w:r>
      <w:r w:rsidRPr="00EC4B35">
        <w:t>.</w:t>
      </w:r>
      <w:r>
        <w:t xml:space="preserve"> </w:t>
      </w:r>
      <w:r w:rsidRPr="00FD5514">
        <w:t xml:space="preserve">The two results can be reconciled if the time taken to obtain professional or managerial employment </w:t>
      </w:r>
      <w:r>
        <w:t>increasing</w:t>
      </w:r>
      <w:r w:rsidRPr="00FD5514">
        <w:t xml:space="preserve"> after graduation — which is supported by other evidence.</w:t>
      </w:r>
    </w:p>
  </w:footnote>
  <w:footnote w:id="13">
    <w:p w:rsidR="00BC1144" w:rsidRDefault="00BC1144" w:rsidP="006C2DA0">
      <w:pPr>
        <w:pStyle w:val="FootnoteText"/>
      </w:pPr>
      <w:r>
        <w:rPr>
          <w:rStyle w:val="FootnoteReference"/>
        </w:rPr>
        <w:footnoteRef/>
      </w:r>
      <w:r>
        <w:tab/>
      </w:r>
      <w:r w:rsidRPr="007D6064">
        <w:t>Data from Quality Indic</w:t>
      </w:r>
      <w:r>
        <w:t>ators for Learning and Teaching</w:t>
      </w:r>
      <w:r w:rsidRPr="007D6064">
        <w:t xml:space="preserve"> </w:t>
      </w:r>
      <w:r w:rsidRPr="0092626E">
        <w:rPr>
          <w:szCs w:val="24"/>
        </w:rPr>
        <w:t>(Social Research Centre 2019b)</w:t>
      </w:r>
      <w:r w:rsidRPr="007D6064">
        <w:t>, which is based on the Student Experience Survey</w:t>
      </w:r>
      <w:r>
        <w:t>, also shows higher drop</w:t>
      </w:r>
      <w:r>
        <w:noBreakHyphen/>
        <w:t>out rates for students from equity groups. It</w:t>
      </w:r>
      <w:r w:rsidRPr="007D6064">
        <w:t xml:space="preserve"> indicates that the average share of undergraduate students considering early departure was </w:t>
      </w:r>
      <w:r>
        <w:t>19 per cent in 2018. It was 30 </w:t>
      </w:r>
      <w:r w:rsidRPr="007D6064">
        <w:t>pe</w:t>
      </w:r>
      <w:r>
        <w:t>r </w:t>
      </w:r>
      <w:r w:rsidRPr="007D6064">
        <w:t>cent for Indigenous students</w:t>
      </w:r>
      <w:r>
        <w:t>, 21 per cent for ‘</w:t>
      </w:r>
      <w:r w:rsidRPr="007D6064">
        <w:t>first</w:t>
      </w:r>
      <w:r>
        <w:t xml:space="preserve"> </w:t>
      </w:r>
      <w:r w:rsidRPr="007D6064">
        <w:t>in</w:t>
      </w:r>
      <w:r>
        <w:t xml:space="preserve"> </w:t>
      </w:r>
      <w:r w:rsidRPr="007D6064">
        <w:t>family</w:t>
      </w:r>
      <w:r>
        <w:t>’</w:t>
      </w:r>
      <w:r w:rsidRPr="007D6064">
        <w:t xml:space="preserve"> students</w:t>
      </w:r>
      <w:r>
        <w:t xml:space="preserve"> and 22 per cent for</w:t>
      </w:r>
      <w:r w:rsidRPr="007D6064">
        <w:t xml:space="preserve"> low SES students. </w:t>
      </w:r>
    </w:p>
  </w:footnote>
  <w:footnote w:id="14">
    <w:p w:rsidR="00BC1144" w:rsidRDefault="00BC1144" w:rsidP="006C2DA0">
      <w:pPr>
        <w:pStyle w:val="FootnoteText"/>
      </w:pPr>
      <w:r>
        <w:rPr>
          <w:rStyle w:val="FootnoteReference"/>
        </w:rPr>
        <w:footnoteRef/>
      </w:r>
      <w:r>
        <w:tab/>
        <w:t>These trends are consistent when considering completion and either four-year or six-year drop-out rates.</w:t>
      </w:r>
    </w:p>
  </w:footnote>
  <w:footnote w:id="15">
    <w:p w:rsidR="00BC1144" w:rsidRDefault="00BC1144">
      <w:pPr>
        <w:pStyle w:val="FootnoteText"/>
      </w:pPr>
      <w:r>
        <w:rPr>
          <w:rStyle w:val="FootnoteReference"/>
        </w:rPr>
        <w:footnoteRef/>
      </w:r>
      <w:r>
        <w:tab/>
        <w:t>Overall outcomes have still weakened. For the 2007 cohort, the short</w:t>
      </w:r>
      <w:r>
        <w:noBreakHyphen/>
        <w:t>term full</w:t>
      </w:r>
      <w:r>
        <w:noBreakHyphen/>
        <w:t>time employment rate was 83.6 per cent and the three</w:t>
      </w:r>
      <w:r>
        <w:noBreakHyphen/>
        <w:t xml:space="preserve">year rate was 92.6 per cent </w:t>
      </w:r>
      <w:r w:rsidRPr="0092626E">
        <w:rPr>
          <w:szCs w:val="24"/>
        </w:rPr>
        <w:t>(Social Research Centre 2018)</w:t>
      </w:r>
      <w:r>
        <w:t>.</w:t>
      </w:r>
    </w:p>
  </w:footnote>
  <w:footnote w:id="16">
    <w:p w:rsidR="00BC1144" w:rsidRDefault="00BC1144" w:rsidP="00336FA0">
      <w:pPr>
        <w:pStyle w:val="FootnoteText"/>
      </w:pPr>
      <w:r>
        <w:rPr>
          <w:rStyle w:val="FootnoteReference"/>
        </w:rPr>
        <w:footnoteRef/>
      </w:r>
      <w:r>
        <w:tab/>
        <w:t xml:space="preserve">For example, NATSEM estimated somewhat smaller changes in </w:t>
      </w:r>
      <w:r w:rsidRPr="00306875">
        <w:rPr>
          <w:i/>
        </w:rPr>
        <w:t>earnings</w:t>
      </w:r>
      <w:r>
        <w:t xml:space="preserve"> premiums between 2006 and 2016 than the estimates presented in Figure A.7, applying a Mincer Equation to HILDA data </w:t>
      </w:r>
      <w:r w:rsidRPr="0092626E">
        <w:rPr>
          <w:szCs w:val="24"/>
        </w:rPr>
        <w:t>(Gong and Tanton 2018)</w:t>
      </w:r>
      <w:r>
        <w:t xml:space="preserve">. Accounting for hours worked, NATSEM finds almost no change in </w:t>
      </w:r>
      <w:r w:rsidRPr="005D169B">
        <w:rPr>
          <w:i/>
        </w:rPr>
        <w:t>wage</w:t>
      </w:r>
      <w:r>
        <w:t xml:space="preserve"> premiums. In contrast, the OECD compared </w:t>
      </w:r>
      <w:r w:rsidRPr="0066442E">
        <w:rPr>
          <w:i/>
        </w:rPr>
        <w:t>earnings</w:t>
      </w:r>
      <w:r>
        <w:t xml:space="preserve"> of bachelor and postgraduate degree graduates combined against those with no post-school qualification. It found the relative earnings advantage of a tertiary education was higher in 2015 than in 2005, but that pattern was a result of comparing two different ABS surveys </w:t>
      </w:r>
      <w:r w:rsidRPr="0092626E">
        <w:rPr>
          <w:szCs w:val="24"/>
        </w:rPr>
        <w:t>(OECD 2006, 2017)</w:t>
      </w:r>
      <w:r>
        <w:t>, which makes the results difficult to compare with other studies.</w:t>
      </w:r>
    </w:p>
  </w:footnote>
  <w:footnote w:id="17">
    <w:p w:rsidR="00BC1144" w:rsidRDefault="00BC1144" w:rsidP="00336FA0">
      <w:pPr>
        <w:pStyle w:val="FootnoteText"/>
      </w:pPr>
      <w:r w:rsidRPr="00DA7C0D">
        <w:rPr>
          <w:rStyle w:val="FootnoteReference"/>
        </w:rPr>
        <w:footnoteRef/>
      </w:r>
      <w:r w:rsidRPr="00DA7C0D">
        <w:tab/>
        <w:t>Forgone</w:t>
      </w:r>
      <w:r>
        <w:t xml:space="preserve"> wages are one important opportunity cost of study, and there is some evidence these costs may have declined over time. </w:t>
      </w:r>
      <w:r w:rsidRPr="00D81507">
        <w:t>Real average</w:t>
      </w:r>
      <w:r>
        <w:t xml:space="preserve"> </w:t>
      </w:r>
      <w:r w:rsidRPr="00D81507">
        <w:t xml:space="preserve">weekly earnings </w:t>
      </w:r>
      <w:r>
        <w:t xml:space="preserve">(from all sources) </w:t>
      </w:r>
      <w:r w:rsidRPr="00D81507">
        <w:t>of non-graduates aged 18 to 24</w:t>
      </w:r>
      <w:r>
        <w:t xml:space="preserve"> years </w:t>
      </w:r>
      <w:r w:rsidRPr="00D81507">
        <w:t xml:space="preserve">fell by 3 per cent over the decade to 2006, and by a further 8 per cent over the decade to 2016 </w:t>
      </w:r>
      <w:r w:rsidRPr="0092626E">
        <w:rPr>
          <w:szCs w:val="24"/>
        </w:rPr>
        <w:t>(ABS 2016e, 2016d, 2016a)</w:t>
      </w:r>
      <w:r>
        <w:t>.</w:t>
      </w:r>
    </w:p>
  </w:footnote>
  <w:footnote w:id="18">
    <w:p w:rsidR="00BC1144" w:rsidRDefault="00BC1144">
      <w:pPr>
        <w:pStyle w:val="FootnoteText"/>
      </w:pPr>
      <w:r>
        <w:rPr>
          <w:rStyle w:val="FootnoteReference"/>
        </w:rPr>
        <w:footnoteRef/>
      </w:r>
      <w:r>
        <w:tab/>
        <w:t xml:space="preserve">Transition into these occupations is also is also used as an indicator in the QILT data and other research. A caveat is that not all ‘managerial’ jobs genuinely need a degree to be performed well </w:t>
      </w:r>
      <w:r w:rsidRPr="0092626E">
        <w:rPr>
          <w:szCs w:val="24"/>
        </w:rPr>
        <w:t>(ABS 2019c)</w:t>
      </w:r>
      <w:r>
        <w:rPr>
          <w:highlight w:val="lightGray"/>
        </w:rPr>
        <w:t>.</w:t>
      </w:r>
    </w:p>
  </w:footnote>
  <w:footnote w:id="19">
    <w:p w:rsidR="00BC1144" w:rsidRDefault="00BC1144">
      <w:pPr>
        <w:pStyle w:val="FootnoteText"/>
      </w:pPr>
      <w:r>
        <w:rPr>
          <w:rStyle w:val="FootnoteReference"/>
        </w:rPr>
        <w:footnoteRef/>
      </w:r>
      <w:r>
        <w:tab/>
      </w:r>
      <w:r w:rsidRPr="00A2094E">
        <w:t>Adjusting standard errors for clustering by school in our design of the LSAY data sample was found to make no material difference to the results</w:t>
      </w:r>
    </w:p>
  </w:footnote>
  <w:footnote w:id="20">
    <w:p w:rsidR="00BC1144" w:rsidRDefault="00BC1144">
      <w:pPr>
        <w:pStyle w:val="FootnoteText"/>
      </w:pPr>
      <w:r>
        <w:rPr>
          <w:rStyle w:val="FootnoteReference"/>
        </w:rPr>
        <w:footnoteRef/>
      </w:r>
      <w:r>
        <w:tab/>
        <w:t>The reason why the age of 10 years</w:t>
      </w:r>
      <w:r w:rsidRPr="00072E69">
        <w:t xml:space="preserve"> was chosen (instead of </w:t>
      </w:r>
      <w:r>
        <w:t>10</w:t>
      </w:r>
      <w:r w:rsidRPr="00072E69">
        <w:t xml:space="preserve"> years before university enrolment) was </w:t>
      </w:r>
      <w:r>
        <w:t>to allow</w:t>
      </w:r>
      <w:r w:rsidRPr="00072E69">
        <w:t xml:space="preserve"> calculat</w:t>
      </w:r>
      <w:r>
        <w:t>ion of</w:t>
      </w:r>
      <w:r w:rsidRPr="00072E69">
        <w:t xml:space="preserve"> the size of the population that did not attend university in a consistent manner (which is required to estimate the university participation rate). Participation rates based on administrative data rely on </w:t>
      </w:r>
      <w:r>
        <w:t xml:space="preserve">ABS </w:t>
      </w:r>
      <w:r w:rsidRPr="00072E69">
        <w:t>Census data to estimate the population that did not attend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C1144">
      <w:tc>
        <w:tcPr>
          <w:tcW w:w="2155" w:type="dxa"/>
          <w:tcBorders>
            <w:top w:val="single" w:sz="24" w:space="0" w:color="auto"/>
          </w:tcBorders>
        </w:tcPr>
        <w:p w:rsidR="00BC1144" w:rsidRDefault="00BC1144">
          <w:pPr>
            <w:pStyle w:val="HeaderEven"/>
          </w:pPr>
        </w:p>
      </w:tc>
      <w:tc>
        <w:tcPr>
          <w:tcW w:w="6634" w:type="dxa"/>
          <w:tcBorders>
            <w:top w:val="single" w:sz="6" w:space="0" w:color="auto"/>
          </w:tcBorders>
        </w:tcPr>
        <w:p w:rsidR="00BC1144" w:rsidRDefault="00BC1144">
          <w:pPr>
            <w:pStyle w:val="HeaderEven"/>
          </w:pPr>
        </w:p>
      </w:tc>
    </w:tr>
  </w:tbl>
  <w:p w:rsidR="00BC1144" w:rsidRDefault="00BC1144">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C1144">
      <w:tc>
        <w:tcPr>
          <w:tcW w:w="6634" w:type="dxa"/>
          <w:tcBorders>
            <w:top w:val="single" w:sz="6" w:space="0" w:color="auto"/>
          </w:tcBorders>
        </w:tcPr>
        <w:p w:rsidR="00BC1144" w:rsidRDefault="00BC1144">
          <w:pPr>
            <w:pStyle w:val="HeaderOdd"/>
          </w:pPr>
        </w:p>
      </w:tc>
      <w:tc>
        <w:tcPr>
          <w:tcW w:w="2155" w:type="dxa"/>
          <w:tcBorders>
            <w:top w:val="single" w:sz="24" w:space="0" w:color="auto"/>
          </w:tcBorders>
        </w:tcPr>
        <w:p w:rsidR="00BC1144" w:rsidRDefault="00BC1144">
          <w:pPr>
            <w:pStyle w:val="HeaderOdd"/>
          </w:pPr>
        </w:p>
      </w:tc>
    </w:tr>
  </w:tbl>
  <w:p w:rsidR="00BC1144" w:rsidRDefault="00BC1144">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C1144">
      <w:tc>
        <w:tcPr>
          <w:tcW w:w="2155" w:type="dxa"/>
          <w:tcBorders>
            <w:top w:val="single" w:sz="24" w:space="0" w:color="auto"/>
          </w:tcBorders>
        </w:tcPr>
        <w:p w:rsidR="00BC1144" w:rsidRDefault="00BC1144">
          <w:pPr>
            <w:pStyle w:val="HeaderEven"/>
          </w:pPr>
        </w:p>
      </w:tc>
      <w:tc>
        <w:tcPr>
          <w:tcW w:w="6634" w:type="dxa"/>
          <w:tcBorders>
            <w:top w:val="single" w:sz="6" w:space="0" w:color="auto"/>
          </w:tcBorders>
        </w:tcPr>
        <w:p w:rsidR="00BC1144" w:rsidRDefault="00BC1144">
          <w:pPr>
            <w:pStyle w:val="HeaderEven"/>
          </w:pPr>
        </w:p>
      </w:tc>
    </w:tr>
  </w:tbl>
  <w:p w:rsidR="00BC1144" w:rsidRDefault="00BC1144">
    <w:pPr>
      <w:pStyle w:val="HeaderEn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Pr="006E391F" w:rsidRDefault="00BC1144" w:rsidP="006E391F">
    <w:pPr>
      <w:pStyle w:val="Header"/>
      <w:spacing w:line="20" w:lineRule="exac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C1144">
      <w:tc>
        <w:tcPr>
          <w:tcW w:w="6634" w:type="dxa"/>
          <w:tcBorders>
            <w:top w:val="single" w:sz="6" w:space="0" w:color="auto"/>
          </w:tcBorders>
        </w:tcPr>
        <w:p w:rsidR="00BC1144" w:rsidRDefault="00BC1144">
          <w:pPr>
            <w:pStyle w:val="HeaderOdd"/>
          </w:pPr>
        </w:p>
      </w:tc>
      <w:tc>
        <w:tcPr>
          <w:tcW w:w="2155" w:type="dxa"/>
          <w:tcBorders>
            <w:top w:val="single" w:sz="24" w:space="0" w:color="auto"/>
            <w:bottom w:val="nil"/>
          </w:tcBorders>
        </w:tcPr>
        <w:p w:rsidR="00BC1144" w:rsidRDefault="00BC1144">
          <w:pPr>
            <w:pStyle w:val="HeaderOdd"/>
          </w:pPr>
        </w:p>
      </w:tc>
    </w:tr>
  </w:tbl>
  <w:p w:rsidR="00BC1144" w:rsidRDefault="00BC1144">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C1144" w:rsidTr="0052369A">
      <w:tc>
        <w:tcPr>
          <w:tcW w:w="2155" w:type="dxa"/>
          <w:tcBorders>
            <w:top w:val="single" w:sz="24" w:space="0" w:color="auto"/>
          </w:tcBorders>
        </w:tcPr>
        <w:p w:rsidR="00BC1144" w:rsidRDefault="00BC1144" w:rsidP="0052369A">
          <w:pPr>
            <w:pStyle w:val="HeaderEven"/>
          </w:pPr>
        </w:p>
      </w:tc>
      <w:tc>
        <w:tcPr>
          <w:tcW w:w="6634" w:type="dxa"/>
          <w:tcBorders>
            <w:top w:val="single" w:sz="6" w:space="0" w:color="auto"/>
          </w:tcBorders>
        </w:tcPr>
        <w:p w:rsidR="00BC1144" w:rsidRDefault="00BC1144" w:rsidP="0052369A">
          <w:pPr>
            <w:pStyle w:val="HeaderEven"/>
          </w:pPr>
        </w:p>
      </w:tc>
    </w:tr>
  </w:tbl>
  <w:p w:rsidR="00BC1144" w:rsidRDefault="00BC1144" w:rsidP="0052369A">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C1144">
      <w:tc>
        <w:tcPr>
          <w:tcW w:w="6634" w:type="dxa"/>
          <w:tcBorders>
            <w:top w:val="single" w:sz="6" w:space="0" w:color="auto"/>
          </w:tcBorders>
        </w:tcPr>
        <w:p w:rsidR="00BC1144" w:rsidRDefault="00BC1144">
          <w:pPr>
            <w:pStyle w:val="HeaderOdd"/>
          </w:pPr>
        </w:p>
      </w:tc>
      <w:tc>
        <w:tcPr>
          <w:tcW w:w="2155" w:type="dxa"/>
          <w:tcBorders>
            <w:top w:val="single" w:sz="24" w:space="0" w:color="auto"/>
          </w:tcBorders>
        </w:tcPr>
        <w:p w:rsidR="00BC1144" w:rsidRDefault="00BC1144">
          <w:pPr>
            <w:pStyle w:val="HeaderOdd"/>
          </w:pPr>
        </w:p>
      </w:tc>
    </w:tr>
  </w:tbl>
  <w:p w:rsidR="00BC1144" w:rsidRDefault="00BC1144" w:rsidP="0052369A">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C1144" w:rsidTr="006E391F">
      <w:trPr>
        <w:trHeight w:val="300"/>
      </w:trPr>
      <w:tc>
        <w:tcPr>
          <w:tcW w:w="2154" w:type="dxa"/>
          <w:tcBorders>
            <w:top w:val="single" w:sz="24" w:space="0" w:color="auto"/>
          </w:tcBorders>
          <w:shd w:val="clear" w:color="auto" w:fill="auto"/>
        </w:tcPr>
        <w:p w:rsidR="00BC1144" w:rsidRDefault="00BC1144" w:rsidP="006E391F">
          <w:pPr>
            <w:pStyle w:val="HeaderEven"/>
          </w:pPr>
        </w:p>
      </w:tc>
      <w:tc>
        <w:tcPr>
          <w:tcW w:w="6633" w:type="dxa"/>
          <w:tcBorders>
            <w:top w:val="single" w:sz="6" w:space="0" w:color="auto"/>
          </w:tcBorders>
          <w:shd w:val="clear" w:color="auto" w:fill="auto"/>
        </w:tcPr>
        <w:p w:rsidR="00BC1144" w:rsidRDefault="00BC1144" w:rsidP="006E391F">
          <w:pPr>
            <w:pStyle w:val="HeaderEven"/>
          </w:pPr>
        </w:p>
      </w:tc>
    </w:tr>
  </w:tbl>
  <w:p w:rsidR="00BC1144" w:rsidRPr="006E391F" w:rsidRDefault="00BC1144" w:rsidP="006E391F">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C1144" w:rsidTr="006E391F">
      <w:trPr>
        <w:trHeight w:val="300"/>
      </w:trPr>
      <w:tc>
        <w:tcPr>
          <w:tcW w:w="6633" w:type="dxa"/>
          <w:tcBorders>
            <w:top w:val="single" w:sz="6" w:space="0" w:color="auto"/>
          </w:tcBorders>
          <w:shd w:val="clear" w:color="auto" w:fill="auto"/>
        </w:tcPr>
        <w:p w:rsidR="00BC1144" w:rsidRDefault="00BC1144" w:rsidP="006E391F">
          <w:pPr>
            <w:pStyle w:val="HeaderOdd"/>
          </w:pPr>
        </w:p>
      </w:tc>
      <w:tc>
        <w:tcPr>
          <w:tcW w:w="2154" w:type="dxa"/>
          <w:tcBorders>
            <w:top w:val="single" w:sz="24" w:space="0" w:color="auto"/>
          </w:tcBorders>
          <w:shd w:val="clear" w:color="auto" w:fill="auto"/>
        </w:tcPr>
        <w:p w:rsidR="00BC1144" w:rsidRDefault="00BC1144" w:rsidP="006E391F">
          <w:pPr>
            <w:pStyle w:val="HeaderOdd"/>
          </w:pPr>
        </w:p>
      </w:tc>
    </w:tr>
  </w:tbl>
  <w:p w:rsidR="00BC1144" w:rsidRPr="006E391F" w:rsidRDefault="00BC1144" w:rsidP="006E391F">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44" w:rsidRDefault="00BC1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C2E25D8"/>
    <w:multiLevelType w:val="singleLevel"/>
    <w:tmpl w:val="0C09000F"/>
    <w:lvl w:ilvl="0">
      <w:start w:val="1"/>
      <w:numFmt w:val="decimal"/>
      <w:lvlText w:val="%1."/>
      <w:lvlJc w:val="left"/>
      <w:pPr>
        <w:ind w:left="720" w:hanging="360"/>
      </w:pPr>
      <w:rPr>
        <w:rFonts w:hint="default"/>
        <w:b w:val="0"/>
        <w:i w:val="0"/>
        <w:sz w:val="18"/>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ADE5E64"/>
    <w:multiLevelType w:val="hybridMultilevel"/>
    <w:tmpl w:val="77F0D0CC"/>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4" w15:restartNumberingAfterBreak="0">
    <w:nsid w:val="4C0C35DB"/>
    <w:multiLevelType w:val="hybridMultilevel"/>
    <w:tmpl w:val="77F0D0CC"/>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BD642F2"/>
    <w:multiLevelType w:val="singleLevel"/>
    <w:tmpl w:val="0C09000F"/>
    <w:lvl w:ilvl="0">
      <w:start w:val="1"/>
      <w:numFmt w:val="decimal"/>
      <w:lvlText w:val="%1."/>
      <w:lvlJc w:val="left"/>
      <w:pPr>
        <w:ind w:left="720" w:hanging="360"/>
      </w:pPr>
      <w:rPr>
        <w:rFonts w:hint="default"/>
        <w:b w:val="0"/>
        <w:i w:val="0"/>
        <w:sz w:val="18"/>
      </w:rPr>
    </w:lvl>
  </w:abstractNum>
  <w:abstractNum w:abstractNumId="23" w15:restartNumberingAfterBreak="0">
    <w:nsid w:val="703C6CEF"/>
    <w:multiLevelType w:val="hybridMultilevel"/>
    <w:tmpl w:val="CD667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CA2ACB"/>
    <w:multiLevelType w:val="hybridMultilevel"/>
    <w:tmpl w:val="5EDC71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90933"/>
    <w:multiLevelType w:val="hybridMultilevel"/>
    <w:tmpl w:val="77F0D0CC"/>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9"/>
  </w:num>
  <w:num w:numId="12">
    <w:abstractNumId w:val="10"/>
  </w:num>
  <w:num w:numId="13">
    <w:abstractNumId w:val="4"/>
  </w:num>
  <w:num w:numId="14">
    <w:abstractNumId w:val="19"/>
  </w:num>
  <w:num w:numId="15">
    <w:abstractNumId w:val="26"/>
  </w:num>
  <w:num w:numId="16">
    <w:abstractNumId w:val="15"/>
  </w:num>
  <w:num w:numId="17">
    <w:abstractNumId w:val="27"/>
  </w:num>
  <w:num w:numId="18">
    <w:abstractNumId w:val="20"/>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
  </w:num>
  <w:num w:numId="25">
    <w:abstractNumId w:val="22"/>
  </w:num>
  <w:num w:numId="26">
    <w:abstractNumId w:val="14"/>
  </w:num>
  <w:num w:numId="27">
    <w:abstractNumId w:val="25"/>
  </w:num>
  <w:num w:numId="28">
    <w:abstractNumId w:val="13"/>
  </w:num>
  <w:num w:numId="29">
    <w:abstractNumId w:val="0"/>
  </w:num>
  <w:num w:numId="30">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6E391F"/>
    <w:rsid w:val="000227D5"/>
    <w:rsid w:val="000245AA"/>
    <w:rsid w:val="0003664B"/>
    <w:rsid w:val="0004111F"/>
    <w:rsid w:val="000413ED"/>
    <w:rsid w:val="00055077"/>
    <w:rsid w:val="000565B3"/>
    <w:rsid w:val="0007150B"/>
    <w:rsid w:val="000829F1"/>
    <w:rsid w:val="000938F5"/>
    <w:rsid w:val="00095663"/>
    <w:rsid w:val="00096E55"/>
    <w:rsid w:val="0009783E"/>
    <w:rsid w:val="000A0D59"/>
    <w:rsid w:val="000A441A"/>
    <w:rsid w:val="000B1022"/>
    <w:rsid w:val="000B601B"/>
    <w:rsid w:val="000C207E"/>
    <w:rsid w:val="000C272B"/>
    <w:rsid w:val="000D41E9"/>
    <w:rsid w:val="000F0035"/>
    <w:rsid w:val="000F04E7"/>
    <w:rsid w:val="000F060A"/>
    <w:rsid w:val="000F420B"/>
    <w:rsid w:val="0010196D"/>
    <w:rsid w:val="001070F2"/>
    <w:rsid w:val="00110116"/>
    <w:rsid w:val="00120072"/>
    <w:rsid w:val="00126EB8"/>
    <w:rsid w:val="001274D4"/>
    <w:rsid w:val="001363AA"/>
    <w:rsid w:val="0013739A"/>
    <w:rsid w:val="0014015F"/>
    <w:rsid w:val="001420B1"/>
    <w:rsid w:val="00142165"/>
    <w:rsid w:val="00153D58"/>
    <w:rsid w:val="00157BDF"/>
    <w:rsid w:val="00162434"/>
    <w:rsid w:val="001641A4"/>
    <w:rsid w:val="00166576"/>
    <w:rsid w:val="00182884"/>
    <w:rsid w:val="00183E82"/>
    <w:rsid w:val="001878BB"/>
    <w:rsid w:val="00191AE0"/>
    <w:rsid w:val="0019293B"/>
    <w:rsid w:val="0019426B"/>
    <w:rsid w:val="001A6A4B"/>
    <w:rsid w:val="001C0865"/>
    <w:rsid w:val="001C0939"/>
    <w:rsid w:val="001C0AED"/>
    <w:rsid w:val="001C3ABA"/>
    <w:rsid w:val="001C5111"/>
    <w:rsid w:val="001E7BE8"/>
    <w:rsid w:val="001F0248"/>
    <w:rsid w:val="001F3EB3"/>
    <w:rsid w:val="001F4F86"/>
    <w:rsid w:val="00202C2C"/>
    <w:rsid w:val="00203050"/>
    <w:rsid w:val="002135AB"/>
    <w:rsid w:val="0021396C"/>
    <w:rsid w:val="002144BE"/>
    <w:rsid w:val="00242279"/>
    <w:rsid w:val="00243997"/>
    <w:rsid w:val="0024516C"/>
    <w:rsid w:val="00245C82"/>
    <w:rsid w:val="002724BA"/>
    <w:rsid w:val="00290842"/>
    <w:rsid w:val="00291B40"/>
    <w:rsid w:val="002B4008"/>
    <w:rsid w:val="002C439F"/>
    <w:rsid w:val="002D0C42"/>
    <w:rsid w:val="002D0E8E"/>
    <w:rsid w:val="002F6F8F"/>
    <w:rsid w:val="00301189"/>
    <w:rsid w:val="00301E4A"/>
    <w:rsid w:val="003168B8"/>
    <w:rsid w:val="00322D64"/>
    <w:rsid w:val="00323E09"/>
    <w:rsid w:val="00326E81"/>
    <w:rsid w:val="00333932"/>
    <w:rsid w:val="00336FA0"/>
    <w:rsid w:val="00344F80"/>
    <w:rsid w:val="003518AA"/>
    <w:rsid w:val="00352165"/>
    <w:rsid w:val="00353182"/>
    <w:rsid w:val="00355490"/>
    <w:rsid w:val="003565D9"/>
    <w:rsid w:val="003602E1"/>
    <w:rsid w:val="0036372B"/>
    <w:rsid w:val="0037026F"/>
    <w:rsid w:val="00371240"/>
    <w:rsid w:val="00374731"/>
    <w:rsid w:val="00376E59"/>
    <w:rsid w:val="00377EC1"/>
    <w:rsid w:val="00380340"/>
    <w:rsid w:val="003852BF"/>
    <w:rsid w:val="00391237"/>
    <w:rsid w:val="003919F9"/>
    <w:rsid w:val="003920CF"/>
    <w:rsid w:val="003B23C2"/>
    <w:rsid w:val="003C38B5"/>
    <w:rsid w:val="003C5D99"/>
    <w:rsid w:val="003D1087"/>
    <w:rsid w:val="003E0F06"/>
    <w:rsid w:val="003E2F59"/>
    <w:rsid w:val="003E746B"/>
    <w:rsid w:val="003E7C02"/>
    <w:rsid w:val="003F0789"/>
    <w:rsid w:val="00401882"/>
    <w:rsid w:val="004100C8"/>
    <w:rsid w:val="00411DBD"/>
    <w:rsid w:val="00412ACE"/>
    <w:rsid w:val="004145D2"/>
    <w:rsid w:val="00420DAD"/>
    <w:rsid w:val="00426CB4"/>
    <w:rsid w:val="00431249"/>
    <w:rsid w:val="00434C19"/>
    <w:rsid w:val="004436A6"/>
    <w:rsid w:val="00450810"/>
    <w:rsid w:val="00462C59"/>
    <w:rsid w:val="00470737"/>
    <w:rsid w:val="004738FE"/>
    <w:rsid w:val="00477144"/>
    <w:rsid w:val="00482166"/>
    <w:rsid w:val="00491380"/>
    <w:rsid w:val="0049459F"/>
    <w:rsid w:val="004A38DD"/>
    <w:rsid w:val="004B43AE"/>
    <w:rsid w:val="004C30ED"/>
    <w:rsid w:val="004D5675"/>
    <w:rsid w:val="00504EA0"/>
    <w:rsid w:val="00517795"/>
    <w:rsid w:val="00523639"/>
    <w:rsid w:val="0052369A"/>
    <w:rsid w:val="00531FE5"/>
    <w:rsid w:val="005402FA"/>
    <w:rsid w:val="00541F46"/>
    <w:rsid w:val="005729BD"/>
    <w:rsid w:val="00580154"/>
    <w:rsid w:val="00583C39"/>
    <w:rsid w:val="00586A90"/>
    <w:rsid w:val="00587F28"/>
    <w:rsid w:val="005909CF"/>
    <w:rsid w:val="00591E71"/>
    <w:rsid w:val="005A0D41"/>
    <w:rsid w:val="005B1B34"/>
    <w:rsid w:val="005D329F"/>
    <w:rsid w:val="005F48ED"/>
    <w:rsid w:val="00606E78"/>
    <w:rsid w:val="00607BF1"/>
    <w:rsid w:val="0062370A"/>
    <w:rsid w:val="00630D4D"/>
    <w:rsid w:val="00632A74"/>
    <w:rsid w:val="00654D42"/>
    <w:rsid w:val="00666E02"/>
    <w:rsid w:val="00690A5D"/>
    <w:rsid w:val="006A4655"/>
    <w:rsid w:val="006B2B3C"/>
    <w:rsid w:val="006C1D81"/>
    <w:rsid w:val="006C2DA0"/>
    <w:rsid w:val="006C7038"/>
    <w:rsid w:val="006E391F"/>
    <w:rsid w:val="006E73EF"/>
    <w:rsid w:val="007079C9"/>
    <w:rsid w:val="00714D4D"/>
    <w:rsid w:val="007266D3"/>
    <w:rsid w:val="00732029"/>
    <w:rsid w:val="007604BB"/>
    <w:rsid w:val="00765B24"/>
    <w:rsid w:val="00772909"/>
    <w:rsid w:val="00785232"/>
    <w:rsid w:val="0079701E"/>
    <w:rsid w:val="007A21EB"/>
    <w:rsid w:val="007A40A4"/>
    <w:rsid w:val="007B1A93"/>
    <w:rsid w:val="007B69E1"/>
    <w:rsid w:val="007C36C9"/>
    <w:rsid w:val="007D1AB6"/>
    <w:rsid w:val="007D6401"/>
    <w:rsid w:val="007E01E4"/>
    <w:rsid w:val="007E7A12"/>
    <w:rsid w:val="007F7107"/>
    <w:rsid w:val="00800D4C"/>
    <w:rsid w:val="0081030F"/>
    <w:rsid w:val="00812F4A"/>
    <w:rsid w:val="0082087D"/>
    <w:rsid w:val="00830DAD"/>
    <w:rsid w:val="00831312"/>
    <w:rsid w:val="00835771"/>
    <w:rsid w:val="00842933"/>
    <w:rsid w:val="0086082C"/>
    <w:rsid w:val="00864ADC"/>
    <w:rsid w:val="00880153"/>
    <w:rsid w:val="00880F97"/>
    <w:rsid w:val="0088133A"/>
    <w:rsid w:val="00882582"/>
    <w:rsid w:val="0088622A"/>
    <w:rsid w:val="0089285E"/>
    <w:rsid w:val="0089436C"/>
    <w:rsid w:val="008979E0"/>
    <w:rsid w:val="008D365C"/>
    <w:rsid w:val="008D7622"/>
    <w:rsid w:val="008D770B"/>
    <w:rsid w:val="008E360A"/>
    <w:rsid w:val="009021A6"/>
    <w:rsid w:val="009030BF"/>
    <w:rsid w:val="00903B52"/>
    <w:rsid w:val="0091032F"/>
    <w:rsid w:val="00914368"/>
    <w:rsid w:val="0092626E"/>
    <w:rsid w:val="009307B2"/>
    <w:rsid w:val="00931076"/>
    <w:rsid w:val="009345D9"/>
    <w:rsid w:val="00934B15"/>
    <w:rsid w:val="00940C87"/>
    <w:rsid w:val="00942B62"/>
    <w:rsid w:val="0095323B"/>
    <w:rsid w:val="00956A0C"/>
    <w:rsid w:val="00956BD9"/>
    <w:rsid w:val="00962489"/>
    <w:rsid w:val="00967CD3"/>
    <w:rsid w:val="00987993"/>
    <w:rsid w:val="00990C2C"/>
    <w:rsid w:val="009A5171"/>
    <w:rsid w:val="009B6733"/>
    <w:rsid w:val="009C195B"/>
    <w:rsid w:val="009E1844"/>
    <w:rsid w:val="009F0813"/>
    <w:rsid w:val="009F0D1B"/>
    <w:rsid w:val="009F5BBD"/>
    <w:rsid w:val="009F696D"/>
    <w:rsid w:val="009F6BC6"/>
    <w:rsid w:val="009F6E5D"/>
    <w:rsid w:val="009F74EF"/>
    <w:rsid w:val="00A02826"/>
    <w:rsid w:val="00A0508D"/>
    <w:rsid w:val="00A15D5A"/>
    <w:rsid w:val="00A17328"/>
    <w:rsid w:val="00A23A20"/>
    <w:rsid w:val="00A24443"/>
    <w:rsid w:val="00A268B9"/>
    <w:rsid w:val="00A2703A"/>
    <w:rsid w:val="00A33DFF"/>
    <w:rsid w:val="00A35115"/>
    <w:rsid w:val="00A36434"/>
    <w:rsid w:val="00A36D9A"/>
    <w:rsid w:val="00A449CB"/>
    <w:rsid w:val="00A451DC"/>
    <w:rsid w:val="00A554AB"/>
    <w:rsid w:val="00A57062"/>
    <w:rsid w:val="00A6037D"/>
    <w:rsid w:val="00A67781"/>
    <w:rsid w:val="00A73E56"/>
    <w:rsid w:val="00A761F9"/>
    <w:rsid w:val="00A771E8"/>
    <w:rsid w:val="00A92B53"/>
    <w:rsid w:val="00A94FA6"/>
    <w:rsid w:val="00AA49A0"/>
    <w:rsid w:val="00AA6710"/>
    <w:rsid w:val="00AB0681"/>
    <w:rsid w:val="00AC3A15"/>
    <w:rsid w:val="00AD520B"/>
    <w:rsid w:val="00AE3BCC"/>
    <w:rsid w:val="00B14B19"/>
    <w:rsid w:val="00B3244E"/>
    <w:rsid w:val="00B343A4"/>
    <w:rsid w:val="00B425C3"/>
    <w:rsid w:val="00B440AD"/>
    <w:rsid w:val="00B479BB"/>
    <w:rsid w:val="00B53E7E"/>
    <w:rsid w:val="00B6342E"/>
    <w:rsid w:val="00B7113F"/>
    <w:rsid w:val="00BA2BCF"/>
    <w:rsid w:val="00BA5B14"/>
    <w:rsid w:val="00BA6890"/>
    <w:rsid w:val="00BA73B6"/>
    <w:rsid w:val="00BA7E27"/>
    <w:rsid w:val="00BB2603"/>
    <w:rsid w:val="00BB4FCD"/>
    <w:rsid w:val="00BC04E9"/>
    <w:rsid w:val="00BC1144"/>
    <w:rsid w:val="00BD13EA"/>
    <w:rsid w:val="00BD22D3"/>
    <w:rsid w:val="00BE3808"/>
    <w:rsid w:val="00BF3F09"/>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92EBF"/>
    <w:rsid w:val="00CA00F9"/>
    <w:rsid w:val="00CA2961"/>
    <w:rsid w:val="00CB0446"/>
    <w:rsid w:val="00CB50D7"/>
    <w:rsid w:val="00CB7177"/>
    <w:rsid w:val="00CB7CED"/>
    <w:rsid w:val="00CC070F"/>
    <w:rsid w:val="00CC1998"/>
    <w:rsid w:val="00CC4946"/>
    <w:rsid w:val="00CC4DB6"/>
    <w:rsid w:val="00CC64A1"/>
    <w:rsid w:val="00CD4531"/>
    <w:rsid w:val="00CF3B11"/>
    <w:rsid w:val="00D270A4"/>
    <w:rsid w:val="00D31FE9"/>
    <w:rsid w:val="00D34E1B"/>
    <w:rsid w:val="00D376BA"/>
    <w:rsid w:val="00D4117D"/>
    <w:rsid w:val="00D434A0"/>
    <w:rsid w:val="00D45634"/>
    <w:rsid w:val="00D5568A"/>
    <w:rsid w:val="00D63D73"/>
    <w:rsid w:val="00D64452"/>
    <w:rsid w:val="00D66E1E"/>
    <w:rsid w:val="00D70696"/>
    <w:rsid w:val="00D75722"/>
    <w:rsid w:val="00D80CF5"/>
    <w:rsid w:val="00D818D1"/>
    <w:rsid w:val="00DA5BBA"/>
    <w:rsid w:val="00DB26D2"/>
    <w:rsid w:val="00DB67C9"/>
    <w:rsid w:val="00DC0C95"/>
    <w:rsid w:val="00DC3D1D"/>
    <w:rsid w:val="00DC4F0B"/>
    <w:rsid w:val="00DC5BB6"/>
    <w:rsid w:val="00DD6580"/>
    <w:rsid w:val="00E01D7F"/>
    <w:rsid w:val="00E05C03"/>
    <w:rsid w:val="00E17C72"/>
    <w:rsid w:val="00E21FC6"/>
    <w:rsid w:val="00E349EB"/>
    <w:rsid w:val="00E431A9"/>
    <w:rsid w:val="00E669E2"/>
    <w:rsid w:val="00E76135"/>
    <w:rsid w:val="00E827E9"/>
    <w:rsid w:val="00E82F4F"/>
    <w:rsid w:val="00E8352F"/>
    <w:rsid w:val="00E864DF"/>
    <w:rsid w:val="00E87DAB"/>
    <w:rsid w:val="00EB2CC3"/>
    <w:rsid w:val="00EC2844"/>
    <w:rsid w:val="00EC5500"/>
    <w:rsid w:val="00ED18F8"/>
    <w:rsid w:val="00EE6EDA"/>
    <w:rsid w:val="00EE778E"/>
    <w:rsid w:val="00EF566F"/>
    <w:rsid w:val="00EF6719"/>
    <w:rsid w:val="00EF6C6C"/>
    <w:rsid w:val="00EF7456"/>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37F911A-5C46-4A93-9279-7511F89E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6E391F"/>
    <w:rPr>
      <w:rFonts w:ascii="Arial" w:hAnsi="Arial"/>
      <w:b/>
      <w:sz w:val="18"/>
    </w:rPr>
  </w:style>
  <w:style w:type="paragraph" w:styleId="CommentSubject">
    <w:name w:val="annotation subject"/>
    <w:basedOn w:val="CommentText"/>
    <w:next w:val="CommentText"/>
    <w:link w:val="CommentSubjectChar"/>
    <w:semiHidden/>
    <w:unhideWhenUsed/>
    <w:rsid w:val="006E391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E391F"/>
    <w:rPr>
      <w:szCs w:val="24"/>
    </w:rPr>
  </w:style>
  <w:style w:type="character" w:customStyle="1" w:styleId="CommentSubjectChar">
    <w:name w:val="Comment Subject Char"/>
    <w:basedOn w:val="CommentTextChar"/>
    <w:link w:val="CommentSubject"/>
    <w:semiHidden/>
    <w:rsid w:val="006E391F"/>
    <w:rPr>
      <w:b/>
      <w:bCs/>
      <w:szCs w:val="24"/>
    </w:rPr>
  </w:style>
  <w:style w:type="character" w:customStyle="1" w:styleId="CommentTextChar1">
    <w:name w:val="Comment Text Char1"/>
    <w:basedOn w:val="DefaultParagraphFont"/>
    <w:semiHidden/>
    <w:rsid w:val="006E391F"/>
    <w:rPr>
      <w:szCs w:val="24"/>
    </w:rPr>
  </w:style>
  <w:style w:type="character" w:customStyle="1" w:styleId="Heading2Char">
    <w:name w:val="Heading 2 Char"/>
    <w:basedOn w:val="DefaultParagraphFont"/>
    <w:link w:val="Heading2"/>
    <w:rsid w:val="006E391F"/>
    <w:rPr>
      <w:rFonts w:ascii="Arial" w:hAnsi="Arial"/>
      <w:b/>
      <w:sz w:val="32"/>
    </w:rPr>
  </w:style>
  <w:style w:type="paragraph" w:customStyle="1" w:styleId="quoteBodyText">
    <w:name w:val="quoteBody Text"/>
    <w:basedOn w:val="BodyText"/>
    <w:rsid w:val="006E391F"/>
  </w:style>
  <w:style w:type="character" w:customStyle="1" w:styleId="FootnoteTextChar">
    <w:name w:val="Footnote Text Char"/>
    <w:basedOn w:val="DefaultParagraphFont"/>
    <w:link w:val="FootnoteText"/>
    <w:rsid w:val="006E391F"/>
  </w:style>
  <w:style w:type="character" w:customStyle="1" w:styleId="Heading3Char">
    <w:name w:val="Heading 3 Char"/>
    <w:basedOn w:val="DefaultParagraphFont"/>
    <w:link w:val="Heading3"/>
    <w:rsid w:val="006E391F"/>
    <w:rPr>
      <w:rFonts w:ascii="Arial" w:hAnsi="Arial"/>
      <w:b/>
      <w:sz w:val="26"/>
    </w:rPr>
  </w:style>
  <w:style w:type="paragraph" w:styleId="ListParagraph">
    <w:name w:val="List Paragraph"/>
    <w:basedOn w:val="Normal"/>
    <w:uiPriority w:val="34"/>
    <w:qFormat/>
    <w:rsid w:val="006E391F"/>
    <w:pPr>
      <w:ind w:left="720"/>
    </w:pPr>
    <w:rPr>
      <w:rFonts w:ascii="Calibri" w:eastAsiaTheme="minorHAnsi" w:hAnsi="Calibri" w:cs="Calibri"/>
      <w:sz w:val="22"/>
      <w:szCs w:val="22"/>
      <w:lang w:eastAsia="en-US"/>
    </w:rPr>
  </w:style>
  <w:style w:type="paragraph" w:customStyle="1" w:styleId="BoxSpaceAboveElement">
    <w:name w:val="Box Space Above Element"/>
    <w:basedOn w:val="BoxSpaceAbove"/>
    <w:link w:val="BoxSpaceAboveElementChar"/>
    <w:qFormat/>
    <w:rsid w:val="006E391F"/>
    <w:pPr>
      <w:spacing w:before="240"/>
    </w:pPr>
    <w:rPr>
      <w:b/>
      <w:vanish/>
      <w:color w:val="FF00FF"/>
      <w:sz w:val="14"/>
    </w:rPr>
  </w:style>
  <w:style w:type="character" w:customStyle="1" w:styleId="BoxSpaceAboveElementChar">
    <w:name w:val="Box Space Above Element Char"/>
    <w:basedOn w:val="DefaultParagraphFont"/>
    <w:link w:val="BoxSpaceAboveElement"/>
    <w:rsid w:val="006E391F"/>
    <w:rPr>
      <w:b/>
      <w:vanish/>
      <w:color w:val="FF00FF"/>
      <w:sz w:val="14"/>
    </w:rPr>
  </w:style>
  <w:style w:type="paragraph" w:styleId="Revision">
    <w:name w:val="Revision"/>
    <w:hidden/>
    <w:uiPriority w:val="99"/>
    <w:semiHidden/>
    <w:rsid w:val="006E391F"/>
    <w:rPr>
      <w:sz w:val="24"/>
      <w:szCs w:val="24"/>
    </w:rPr>
  </w:style>
  <w:style w:type="paragraph" w:styleId="Bibliography">
    <w:name w:val="Bibliography"/>
    <w:basedOn w:val="Normal"/>
    <w:next w:val="Normal"/>
    <w:uiPriority w:val="37"/>
    <w:unhideWhenUsed/>
    <w:rsid w:val="006E391F"/>
    <w:pPr>
      <w:spacing w:after="240"/>
      <w:ind w:left="720" w:hanging="720"/>
    </w:pPr>
  </w:style>
  <w:style w:type="character" w:customStyle="1" w:styleId="Heading1Char">
    <w:name w:val="Heading 1 Char"/>
    <w:basedOn w:val="DefaultParagraphFont"/>
    <w:link w:val="Heading1"/>
    <w:rsid w:val="006E391F"/>
    <w:rPr>
      <w:sz w:val="52"/>
    </w:rPr>
  </w:style>
  <w:style w:type="paragraph" w:styleId="NormalWeb">
    <w:name w:val="Normal (Web)"/>
    <w:basedOn w:val="Normal"/>
    <w:uiPriority w:val="99"/>
    <w:semiHidden/>
    <w:unhideWhenUsed/>
    <w:rsid w:val="006E391F"/>
    <w:pPr>
      <w:spacing w:before="100" w:beforeAutospacing="1" w:after="100" w:afterAutospacing="1"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E391F"/>
    <w:rPr>
      <w:color w:val="000000" w:themeColor="hyperlink"/>
      <w:u w:val="single"/>
    </w:rPr>
  </w:style>
  <w:style w:type="character" w:customStyle="1" w:styleId="Heading4Char">
    <w:name w:val="Heading 4 Char"/>
    <w:basedOn w:val="DefaultParagraphFont"/>
    <w:link w:val="Heading4"/>
    <w:rsid w:val="006E391F"/>
    <w:rPr>
      <w:rFonts w:ascii="Arial" w:hAnsi="Arial"/>
      <w:sz w:val="24"/>
    </w:rPr>
  </w:style>
  <w:style w:type="character" w:styleId="EndnoteReference">
    <w:name w:val="endnote reference"/>
    <w:basedOn w:val="DefaultParagraphFont"/>
    <w:semiHidden/>
    <w:unhideWhenUsed/>
    <w:rsid w:val="006E391F"/>
    <w:rPr>
      <w:vertAlign w:val="superscript"/>
    </w:rPr>
  </w:style>
  <w:style w:type="character" w:styleId="PlaceholderText">
    <w:name w:val="Placeholder Text"/>
    <w:basedOn w:val="DefaultParagraphFont"/>
    <w:uiPriority w:val="99"/>
    <w:semiHidden/>
    <w:rsid w:val="006E391F"/>
    <w:rPr>
      <w:color w:val="808080"/>
    </w:rPr>
  </w:style>
  <w:style w:type="character" w:styleId="FollowedHyperlink">
    <w:name w:val="FollowedHyperlink"/>
    <w:basedOn w:val="DefaultParagraphFont"/>
    <w:semiHidden/>
    <w:unhideWhenUsed/>
    <w:rsid w:val="006E391F"/>
    <w:rPr>
      <w:color w:val="BFBFBF" w:themeColor="followedHyperlink"/>
      <w:u w:val="single"/>
    </w:rPr>
  </w:style>
  <w:style w:type="paragraph" w:customStyle="1" w:styleId="BoxSpc">
    <w:name w:val="Box Spc"/>
    <w:basedOn w:val="BodyText"/>
    <w:rsid w:val="00CC4DB6"/>
  </w:style>
  <w:style w:type="paragraph" w:customStyle="1" w:styleId="Heading1NotTOC">
    <w:name w:val="Heading 1 Not TOC"/>
    <w:basedOn w:val="Heading1"/>
    <w:next w:val="BodyText"/>
    <w:rsid w:val="00BA6890"/>
    <w:rPr>
      <w:kern w:val="28"/>
      <w:szCs w:val="26"/>
      <w:lang w:eastAsia="en-US"/>
    </w:rPr>
  </w:style>
  <w:style w:type="paragraph" w:customStyle="1" w:styleId="Copyrightheading">
    <w:name w:val="Copyright heading"/>
    <w:basedOn w:val="TOC1"/>
    <w:link w:val="CopyrightheadingChar"/>
    <w:qFormat/>
    <w:rsid w:val="00BA6890"/>
    <w:pPr>
      <w:spacing w:line="300" w:lineRule="exact"/>
    </w:pPr>
    <w:rPr>
      <w:sz w:val="22"/>
    </w:rPr>
  </w:style>
  <w:style w:type="character" w:customStyle="1" w:styleId="CopyrightheadingChar">
    <w:name w:val="Copyright heading Char"/>
    <w:basedOn w:val="TOC1Char"/>
    <w:link w:val="Copyrightheading"/>
    <w:rsid w:val="00BA6890"/>
    <w:rPr>
      <w:rFonts w:ascii="Arial" w:hAnsi="Arial"/>
      <w:b/>
      <w:sz w:val="22"/>
      <w:szCs w:val="26"/>
      <w:lang w:eastAsia="en-US"/>
    </w:rPr>
  </w:style>
  <w:style w:type="paragraph" w:customStyle="1" w:styleId="Copyrightsubtitle">
    <w:name w:val="Copyright subtitle"/>
    <w:basedOn w:val="BodyText"/>
    <w:rsid w:val="00BA6890"/>
    <w:rPr>
      <w:rFonts w:ascii="Arial" w:hAnsi="Arial"/>
      <w:b/>
      <w:sz w:val="22"/>
      <w:szCs w:val="25"/>
    </w:rPr>
  </w:style>
  <w:style w:type="paragraph" w:customStyle="1" w:styleId="Copyrightbodytext">
    <w:name w:val="Copyright bodytext"/>
    <w:basedOn w:val="BodyText"/>
    <w:link w:val="CopyrightbodytextChar"/>
    <w:qFormat/>
    <w:rsid w:val="00BA6890"/>
    <w:pPr>
      <w:spacing w:before="60"/>
    </w:pPr>
  </w:style>
  <w:style w:type="character" w:customStyle="1" w:styleId="CopyrightbodytextChar">
    <w:name w:val="Copyright bodytext Char"/>
    <w:basedOn w:val="BodyTextChar"/>
    <w:link w:val="Copyrightbodytext"/>
    <w:rsid w:val="00BA6890"/>
    <w:rPr>
      <w:sz w:val="24"/>
    </w:rPr>
  </w:style>
  <w:style w:type="paragraph" w:styleId="TOCHeading">
    <w:name w:val="TOC Heading"/>
    <w:basedOn w:val="Heading1"/>
    <w:next w:val="Normal"/>
    <w:uiPriority w:val="39"/>
    <w:unhideWhenUsed/>
    <w:qFormat/>
    <w:rsid w:val="003E7C02"/>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117" Type="http://schemas.openxmlformats.org/officeDocument/2006/relationships/header" Target="header24.xml"/><Relationship Id="rId21" Type="http://schemas.openxmlformats.org/officeDocument/2006/relationships/footer" Target="footer6.xml"/><Relationship Id="rId42" Type="http://schemas.openxmlformats.org/officeDocument/2006/relationships/footer" Target="footer10.xml"/><Relationship Id="rId47" Type="http://schemas.openxmlformats.org/officeDocument/2006/relationships/image" Target="media/image18.emf"/><Relationship Id="rId63" Type="http://schemas.openxmlformats.org/officeDocument/2006/relationships/footer" Target="footer15.xml"/><Relationship Id="rId68" Type="http://schemas.openxmlformats.org/officeDocument/2006/relationships/image" Target="media/image31.emf"/><Relationship Id="rId84" Type="http://schemas.openxmlformats.org/officeDocument/2006/relationships/image" Target="media/image38.emf"/><Relationship Id="rId89" Type="http://schemas.openxmlformats.org/officeDocument/2006/relationships/image" Target="media/image43.emf"/><Relationship Id="rId112" Type="http://schemas.openxmlformats.org/officeDocument/2006/relationships/image" Target="media/image54.png"/><Relationship Id="rId133" Type="http://schemas.openxmlformats.org/officeDocument/2006/relationships/header" Target="header31.xml"/><Relationship Id="rId138" Type="http://schemas.openxmlformats.org/officeDocument/2006/relationships/header" Target="header33.xml"/><Relationship Id="rId154" Type="http://schemas.openxmlformats.org/officeDocument/2006/relationships/footer" Target="footer38.xml"/><Relationship Id="rId16" Type="http://schemas.openxmlformats.org/officeDocument/2006/relationships/footer" Target="footer3.xml"/><Relationship Id="rId107" Type="http://schemas.openxmlformats.org/officeDocument/2006/relationships/image" Target="media/image49.emf"/><Relationship Id="rId11" Type="http://schemas.openxmlformats.org/officeDocument/2006/relationships/header" Target="header2.xml"/><Relationship Id="rId32" Type="http://schemas.openxmlformats.org/officeDocument/2006/relationships/footer" Target="footer7.xml"/><Relationship Id="rId37" Type="http://schemas.openxmlformats.org/officeDocument/2006/relationships/image" Target="media/image12.emf"/><Relationship Id="rId53" Type="http://schemas.openxmlformats.org/officeDocument/2006/relationships/image" Target="media/image24.emf"/><Relationship Id="rId58" Type="http://schemas.openxmlformats.org/officeDocument/2006/relationships/footer" Target="footer13.xml"/><Relationship Id="rId74" Type="http://schemas.openxmlformats.org/officeDocument/2006/relationships/footer" Target="footer17.xml"/><Relationship Id="rId79" Type="http://schemas.microsoft.com/office/2007/relationships/diagramDrawing" Target="diagrams/drawing1.xml"/><Relationship Id="rId102" Type="http://schemas.openxmlformats.org/officeDocument/2006/relationships/footer" Target="footer22.xml"/><Relationship Id="rId123" Type="http://schemas.openxmlformats.org/officeDocument/2006/relationships/header" Target="header27.xml"/><Relationship Id="rId128" Type="http://schemas.openxmlformats.org/officeDocument/2006/relationships/footer" Target="footer28.xml"/><Relationship Id="rId144" Type="http://schemas.openxmlformats.org/officeDocument/2006/relationships/footer" Target="footer34.xml"/><Relationship Id="rId149" Type="http://schemas.openxmlformats.org/officeDocument/2006/relationships/header" Target="header37.xml"/><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header" Target="header20.xml"/><Relationship Id="rId22" Type="http://schemas.openxmlformats.org/officeDocument/2006/relationships/image" Target="media/image3.emf"/><Relationship Id="rId27" Type="http://schemas.openxmlformats.org/officeDocument/2006/relationships/image" Target="media/image8.emf"/><Relationship Id="rId43" Type="http://schemas.openxmlformats.org/officeDocument/2006/relationships/footer" Target="footer11.xml"/><Relationship Id="rId48" Type="http://schemas.openxmlformats.org/officeDocument/2006/relationships/image" Target="media/image19.emf"/><Relationship Id="rId64" Type="http://schemas.openxmlformats.org/officeDocument/2006/relationships/image" Target="media/image27.emf"/><Relationship Id="rId69" Type="http://schemas.openxmlformats.org/officeDocument/2006/relationships/image" Target="media/image32.emf"/><Relationship Id="rId113" Type="http://schemas.openxmlformats.org/officeDocument/2006/relationships/image" Target="media/image55.png"/><Relationship Id="rId118" Type="http://schemas.openxmlformats.org/officeDocument/2006/relationships/header" Target="header25.xml"/><Relationship Id="rId134" Type="http://schemas.openxmlformats.org/officeDocument/2006/relationships/footer" Target="footer30.xml"/><Relationship Id="rId139" Type="http://schemas.openxmlformats.org/officeDocument/2006/relationships/footer" Target="footer32.xml"/><Relationship Id="rId80" Type="http://schemas.openxmlformats.org/officeDocument/2006/relationships/image" Target="media/image34.emf"/><Relationship Id="rId85" Type="http://schemas.openxmlformats.org/officeDocument/2006/relationships/image" Target="media/image39.emf"/><Relationship Id="rId150" Type="http://schemas.openxmlformats.org/officeDocument/2006/relationships/footer" Target="footer36.xml"/><Relationship Id="rId155" Type="http://schemas.openxmlformats.org/officeDocument/2006/relationships/footer" Target="footer39.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8.xml"/><Relationship Id="rId38" Type="http://schemas.openxmlformats.org/officeDocument/2006/relationships/image" Target="media/image13.emf"/><Relationship Id="rId59" Type="http://schemas.openxmlformats.org/officeDocument/2006/relationships/image" Target="media/image26.emf"/><Relationship Id="rId103" Type="http://schemas.openxmlformats.org/officeDocument/2006/relationships/footer" Target="footer23.xml"/><Relationship Id="rId108" Type="http://schemas.openxmlformats.org/officeDocument/2006/relationships/image" Target="media/image50.emf"/><Relationship Id="rId124" Type="http://schemas.openxmlformats.org/officeDocument/2006/relationships/footer" Target="footer26.xml"/><Relationship Id="rId129" Type="http://schemas.openxmlformats.org/officeDocument/2006/relationships/footer" Target="footer29.xml"/><Relationship Id="rId20" Type="http://schemas.openxmlformats.org/officeDocument/2006/relationships/footer" Target="footer5.xml"/><Relationship Id="rId41" Type="http://schemas.openxmlformats.org/officeDocument/2006/relationships/header" Target="header11.xml"/><Relationship Id="rId54" Type="http://schemas.openxmlformats.org/officeDocument/2006/relationships/image" Target="media/image25.emf"/><Relationship Id="rId62" Type="http://schemas.openxmlformats.org/officeDocument/2006/relationships/footer" Target="footer14.xml"/><Relationship Id="rId70" Type="http://schemas.openxmlformats.org/officeDocument/2006/relationships/image" Target="media/image33.emf"/><Relationship Id="rId75" Type="http://schemas.openxmlformats.org/officeDocument/2006/relationships/diagramData" Target="diagrams/data1.xml"/><Relationship Id="rId83" Type="http://schemas.openxmlformats.org/officeDocument/2006/relationships/image" Target="media/image37.emf"/><Relationship Id="rId88" Type="http://schemas.openxmlformats.org/officeDocument/2006/relationships/image" Target="media/image42.emf"/><Relationship Id="rId91" Type="http://schemas.openxmlformats.org/officeDocument/2006/relationships/header" Target="header18.xml"/><Relationship Id="rId96" Type="http://schemas.openxmlformats.org/officeDocument/2006/relationships/header" Target="header21.xml"/><Relationship Id="rId111" Type="http://schemas.openxmlformats.org/officeDocument/2006/relationships/image" Target="media/image53.png"/><Relationship Id="rId132" Type="http://schemas.openxmlformats.org/officeDocument/2006/relationships/header" Target="header30.xml"/><Relationship Id="rId140" Type="http://schemas.openxmlformats.org/officeDocument/2006/relationships/footer" Target="footer33.xml"/><Relationship Id="rId145" Type="http://schemas.openxmlformats.org/officeDocument/2006/relationships/footer" Target="footer35.xml"/><Relationship Id="rId153"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1.emf"/><Relationship Id="rId49" Type="http://schemas.openxmlformats.org/officeDocument/2006/relationships/image" Target="media/image20.emf"/><Relationship Id="rId57" Type="http://schemas.openxmlformats.org/officeDocument/2006/relationships/footer" Target="footer12.xml"/><Relationship Id="rId106" Type="http://schemas.openxmlformats.org/officeDocument/2006/relationships/image" Target="media/image48.emf"/><Relationship Id="rId114" Type="http://schemas.openxmlformats.org/officeDocument/2006/relationships/image" Target="media/image56.emf"/><Relationship Id="rId119" Type="http://schemas.openxmlformats.org/officeDocument/2006/relationships/footer" Target="footer24.xml"/><Relationship Id="rId127" Type="http://schemas.openxmlformats.org/officeDocument/2006/relationships/header" Target="header29.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image" Target="media/image15.emf"/><Relationship Id="rId52" Type="http://schemas.openxmlformats.org/officeDocument/2006/relationships/image" Target="media/image23.emf"/><Relationship Id="rId60" Type="http://schemas.openxmlformats.org/officeDocument/2006/relationships/header" Target="header14.xml"/><Relationship Id="rId65" Type="http://schemas.openxmlformats.org/officeDocument/2006/relationships/image" Target="media/image28.emf"/><Relationship Id="rId73" Type="http://schemas.openxmlformats.org/officeDocument/2006/relationships/footer" Target="footer16.xml"/><Relationship Id="rId78" Type="http://schemas.openxmlformats.org/officeDocument/2006/relationships/diagramColors" Target="diagrams/colors1.xml"/><Relationship Id="rId81" Type="http://schemas.openxmlformats.org/officeDocument/2006/relationships/image" Target="media/image35.emf"/><Relationship Id="rId86" Type="http://schemas.openxmlformats.org/officeDocument/2006/relationships/image" Target="media/image40.emf"/><Relationship Id="rId94" Type="http://schemas.openxmlformats.org/officeDocument/2006/relationships/footer" Target="footer19.xml"/><Relationship Id="rId99" Type="http://schemas.openxmlformats.org/officeDocument/2006/relationships/image" Target="media/image45.emf"/><Relationship Id="rId101" Type="http://schemas.openxmlformats.org/officeDocument/2006/relationships/header" Target="header23.xml"/><Relationship Id="rId122" Type="http://schemas.openxmlformats.org/officeDocument/2006/relationships/header" Target="header26.xml"/><Relationship Id="rId130" Type="http://schemas.openxmlformats.org/officeDocument/2006/relationships/image" Target="media/image60.emf"/><Relationship Id="rId135" Type="http://schemas.openxmlformats.org/officeDocument/2006/relationships/footer" Target="footer31.xml"/><Relationship Id="rId143" Type="http://schemas.openxmlformats.org/officeDocument/2006/relationships/header" Target="header35.xml"/><Relationship Id="rId148" Type="http://schemas.openxmlformats.org/officeDocument/2006/relationships/header" Target="header36.xml"/><Relationship Id="rId151" Type="http://schemas.openxmlformats.org/officeDocument/2006/relationships/footer" Target="footer37.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image" Target="media/image14.emf"/><Relationship Id="rId109" Type="http://schemas.openxmlformats.org/officeDocument/2006/relationships/image" Target="media/image51.png"/><Relationship Id="rId34" Type="http://schemas.openxmlformats.org/officeDocument/2006/relationships/header" Target="header9.xml"/><Relationship Id="rId50" Type="http://schemas.openxmlformats.org/officeDocument/2006/relationships/image" Target="media/image21.emf"/><Relationship Id="rId55" Type="http://schemas.openxmlformats.org/officeDocument/2006/relationships/header" Target="header12.xml"/><Relationship Id="rId76" Type="http://schemas.openxmlformats.org/officeDocument/2006/relationships/diagramLayout" Target="diagrams/layout1.xml"/><Relationship Id="rId97" Type="http://schemas.openxmlformats.org/officeDocument/2006/relationships/footer" Target="footer20.xml"/><Relationship Id="rId104" Type="http://schemas.openxmlformats.org/officeDocument/2006/relationships/image" Target="media/image46.emf"/><Relationship Id="rId120" Type="http://schemas.openxmlformats.org/officeDocument/2006/relationships/footer" Target="footer25.xml"/><Relationship Id="rId125" Type="http://schemas.openxmlformats.org/officeDocument/2006/relationships/footer" Target="footer27.xml"/><Relationship Id="rId141" Type="http://schemas.openxmlformats.org/officeDocument/2006/relationships/image" Target="media/image63.emf"/><Relationship Id="rId146" Type="http://schemas.openxmlformats.org/officeDocument/2006/relationships/image" Target="media/image64.emf"/><Relationship Id="rId7" Type="http://schemas.openxmlformats.org/officeDocument/2006/relationships/endnotes" Target="endnotes.xml"/><Relationship Id="rId71" Type="http://schemas.openxmlformats.org/officeDocument/2006/relationships/header" Target="header16.xml"/><Relationship Id="rId92" Type="http://schemas.openxmlformats.org/officeDocument/2006/relationships/header" Target="header19.xml"/><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image" Target="media/image5.emf"/><Relationship Id="rId40" Type="http://schemas.openxmlformats.org/officeDocument/2006/relationships/header" Target="header10.xml"/><Relationship Id="rId45" Type="http://schemas.openxmlformats.org/officeDocument/2006/relationships/image" Target="media/image16.emf"/><Relationship Id="rId66" Type="http://schemas.openxmlformats.org/officeDocument/2006/relationships/image" Target="media/image29.emf"/><Relationship Id="rId87" Type="http://schemas.openxmlformats.org/officeDocument/2006/relationships/image" Target="media/image41.emf"/><Relationship Id="rId110" Type="http://schemas.openxmlformats.org/officeDocument/2006/relationships/image" Target="media/image52.png"/><Relationship Id="rId115" Type="http://schemas.openxmlformats.org/officeDocument/2006/relationships/image" Target="media/image57.png"/><Relationship Id="rId131" Type="http://schemas.openxmlformats.org/officeDocument/2006/relationships/image" Target="media/image61.emf"/><Relationship Id="rId136" Type="http://schemas.openxmlformats.org/officeDocument/2006/relationships/image" Target="media/image62.emf"/><Relationship Id="rId157" Type="http://schemas.openxmlformats.org/officeDocument/2006/relationships/theme" Target="theme/theme1.xml"/><Relationship Id="rId61" Type="http://schemas.openxmlformats.org/officeDocument/2006/relationships/header" Target="header15.xml"/><Relationship Id="rId82" Type="http://schemas.openxmlformats.org/officeDocument/2006/relationships/image" Target="media/image36.emf"/><Relationship Id="rId15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header" Target="header7.xml"/><Relationship Id="rId35" Type="http://schemas.openxmlformats.org/officeDocument/2006/relationships/footer" Target="footer9.xml"/><Relationship Id="rId56" Type="http://schemas.openxmlformats.org/officeDocument/2006/relationships/header" Target="header13.xml"/><Relationship Id="rId77" Type="http://schemas.openxmlformats.org/officeDocument/2006/relationships/diagramQuickStyle" Target="diagrams/quickStyle1.xml"/><Relationship Id="rId100" Type="http://schemas.openxmlformats.org/officeDocument/2006/relationships/header" Target="header22.xml"/><Relationship Id="rId105" Type="http://schemas.openxmlformats.org/officeDocument/2006/relationships/image" Target="media/image47.emf"/><Relationship Id="rId126" Type="http://schemas.openxmlformats.org/officeDocument/2006/relationships/header" Target="header28.xml"/><Relationship Id="rId147" Type="http://schemas.openxmlformats.org/officeDocument/2006/relationships/image" Target="media/image65.emf"/><Relationship Id="rId8" Type="http://schemas.openxmlformats.org/officeDocument/2006/relationships/image" Target="media/image1.png"/><Relationship Id="rId51" Type="http://schemas.openxmlformats.org/officeDocument/2006/relationships/image" Target="media/image22.emf"/><Relationship Id="rId72" Type="http://schemas.openxmlformats.org/officeDocument/2006/relationships/header" Target="header17.xml"/><Relationship Id="rId93" Type="http://schemas.openxmlformats.org/officeDocument/2006/relationships/footer" Target="footer18.xml"/><Relationship Id="rId98" Type="http://schemas.openxmlformats.org/officeDocument/2006/relationships/footer" Target="footer21.xml"/><Relationship Id="rId121" Type="http://schemas.openxmlformats.org/officeDocument/2006/relationships/image" Target="media/image59.emf"/><Relationship Id="rId142" Type="http://schemas.openxmlformats.org/officeDocument/2006/relationships/header" Target="header34.xml"/><Relationship Id="rId3" Type="http://schemas.openxmlformats.org/officeDocument/2006/relationships/styles" Target="styles.xml"/><Relationship Id="rId25" Type="http://schemas.openxmlformats.org/officeDocument/2006/relationships/image" Target="media/image6.emf"/><Relationship Id="rId46" Type="http://schemas.openxmlformats.org/officeDocument/2006/relationships/image" Target="media/image17.emf"/><Relationship Id="rId67" Type="http://schemas.openxmlformats.org/officeDocument/2006/relationships/image" Target="media/image30.emf"/><Relationship Id="rId116" Type="http://schemas.openxmlformats.org/officeDocument/2006/relationships/image" Target="media/image58.emf"/><Relationship Id="rId137" Type="http://schemas.openxmlformats.org/officeDocument/2006/relationships/header" Target="header3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EA7C42-D677-4A33-8839-86EF6A2D4820}" type="doc">
      <dgm:prSet loTypeId="urn:microsoft.com/office/officeart/2005/8/layout/chevron1" loCatId="process" qsTypeId="urn:microsoft.com/office/officeart/2005/8/quickstyle/simple1" qsCatId="simple" csTypeId="urn:microsoft.com/office/officeart/2005/8/colors/accent1_2" csCatId="accent1" phldr="1"/>
      <dgm:spPr/>
    </dgm:pt>
    <dgm:pt modelId="{352F6C39-F934-4881-A7ED-74C19E806A81}">
      <dgm:prSet phldrT="[Text]" custT="1"/>
      <dgm:spPr/>
      <dgm:t>
        <a:bodyPr/>
        <a:lstStyle/>
        <a:p>
          <a:r>
            <a:rPr lang="en-AU" sz="1200" b="1" baseline="0"/>
            <a:t>University</a:t>
          </a:r>
          <a:r>
            <a:rPr lang="en-AU" sz="1200" baseline="0"/>
            <a:t> </a:t>
          </a:r>
          <a:r>
            <a:rPr lang="en-AU" sz="1200" b="1" baseline="0"/>
            <a:t>access</a:t>
          </a:r>
        </a:p>
      </dgm:t>
    </dgm:pt>
    <dgm:pt modelId="{EF39606F-D421-4CA8-9F53-3F6E50E4F531}" type="parTrans" cxnId="{129ABF53-D1EF-4E4D-B760-D830C36ADC41}">
      <dgm:prSet/>
      <dgm:spPr/>
      <dgm:t>
        <a:bodyPr/>
        <a:lstStyle/>
        <a:p>
          <a:endParaRPr lang="en-AU"/>
        </a:p>
      </dgm:t>
    </dgm:pt>
    <dgm:pt modelId="{A2665810-16A7-4BFE-8B71-10CD8B0DE9AF}" type="sibTrans" cxnId="{129ABF53-D1EF-4E4D-B760-D830C36ADC41}">
      <dgm:prSet/>
      <dgm:spPr/>
      <dgm:t>
        <a:bodyPr/>
        <a:lstStyle/>
        <a:p>
          <a:endParaRPr lang="en-AU"/>
        </a:p>
      </dgm:t>
    </dgm:pt>
    <dgm:pt modelId="{CA1DCB9A-1673-450A-B942-DCF35BCC3332}">
      <dgm:prSet phldrT="[Text]" custT="1"/>
      <dgm:spPr/>
      <dgm:t>
        <a:bodyPr/>
        <a:lstStyle/>
        <a:p>
          <a:r>
            <a:rPr lang="en-AU" sz="1200" b="1" baseline="0"/>
            <a:t>Academic outcomes</a:t>
          </a:r>
        </a:p>
      </dgm:t>
      <dgm:extLst>
        <a:ext uri="{E40237B7-FDA0-4F09-8148-C483321AD2D9}">
          <dgm14:cNvPr xmlns:dgm14="http://schemas.microsoft.com/office/drawing/2010/diagram" id="0" name="" descr="Figure 3.1 shows the three hurdles that disadvantaged groups face: university access, academic success and labour market transitions"/>
        </a:ext>
      </dgm:extLst>
    </dgm:pt>
    <dgm:pt modelId="{E92B0C2D-E876-42D1-88C3-B23E15B84CB2}" type="parTrans" cxnId="{2FDF5524-9E6F-430F-8C53-12121CAED04C}">
      <dgm:prSet/>
      <dgm:spPr/>
      <dgm:t>
        <a:bodyPr/>
        <a:lstStyle/>
        <a:p>
          <a:endParaRPr lang="en-AU"/>
        </a:p>
      </dgm:t>
    </dgm:pt>
    <dgm:pt modelId="{5E5A46D1-1863-4E6A-BD1E-C2B558B4E77C}" type="sibTrans" cxnId="{2FDF5524-9E6F-430F-8C53-12121CAED04C}">
      <dgm:prSet/>
      <dgm:spPr/>
      <dgm:t>
        <a:bodyPr/>
        <a:lstStyle/>
        <a:p>
          <a:endParaRPr lang="en-AU"/>
        </a:p>
      </dgm:t>
    </dgm:pt>
    <dgm:pt modelId="{8E53035A-41E6-48F1-B976-6FF259506416}">
      <dgm:prSet phldrT="[Text]" custT="1"/>
      <dgm:spPr/>
      <dgm:t>
        <a:bodyPr/>
        <a:lstStyle/>
        <a:p>
          <a:r>
            <a:rPr lang="en-AU" sz="1200" b="1" baseline="0"/>
            <a:t>Labour </a:t>
          </a:r>
          <a:br>
            <a:rPr lang="en-AU" sz="1200" b="1" baseline="0"/>
          </a:br>
          <a:r>
            <a:rPr lang="en-AU" sz="1200" b="1" baseline="0"/>
            <a:t>market transitions</a:t>
          </a:r>
        </a:p>
      </dgm:t>
    </dgm:pt>
    <dgm:pt modelId="{3A7FD247-2143-4863-BE7D-AD689FDB4995}" type="parTrans" cxnId="{0CF8842F-7FA8-4FBF-BD3F-3DEB92F1CA05}">
      <dgm:prSet/>
      <dgm:spPr/>
      <dgm:t>
        <a:bodyPr/>
        <a:lstStyle/>
        <a:p>
          <a:endParaRPr lang="en-AU"/>
        </a:p>
      </dgm:t>
    </dgm:pt>
    <dgm:pt modelId="{CAB12E53-AC76-4DCA-83B8-A697AA961659}" type="sibTrans" cxnId="{0CF8842F-7FA8-4FBF-BD3F-3DEB92F1CA05}">
      <dgm:prSet/>
      <dgm:spPr/>
      <dgm:t>
        <a:bodyPr/>
        <a:lstStyle/>
        <a:p>
          <a:endParaRPr lang="en-AU"/>
        </a:p>
      </dgm:t>
    </dgm:pt>
    <dgm:pt modelId="{07C1DC4A-44DF-4EA4-884E-EB570D2D88DF}" type="pres">
      <dgm:prSet presAssocID="{62EA7C42-D677-4A33-8839-86EF6A2D4820}" presName="Name0" presStyleCnt="0">
        <dgm:presLayoutVars>
          <dgm:dir/>
          <dgm:animLvl val="lvl"/>
          <dgm:resizeHandles val="exact"/>
        </dgm:presLayoutVars>
      </dgm:prSet>
      <dgm:spPr/>
    </dgm:pt>
    <dgm:pt modelId="{DC5B241D-A819-43D5-BB80-267B7D103CE9}" type="pres">
      <dgm:prSet presAssocID="{352F6C39-F934-4881-A7ED-74C19E806A81}" presName="parTxOnly" presStyleLbl="node1" presStyleIdx="0" presStyleCnt="3">
        <dgm:presLayoutVars>
          <dgm:chMax val="0"/>
          <dgm:chPref val="0"/>
          <dgm:bulletEnabled val="1"/>
        </dgm:presLayoutVars>
      </dgm:prSet>
      <dgm:spPr/>
      <dgm:t>
        <a:bodyPr/>
        <a:lstStyle/>
        <a:p>
          <a:endParaRPr lang="en-AU"/>
        </a:p>
      </dgm:t>
    </dgm:pt>
    <dgm:pt modelId="{9A7E9CE3-1831-4D6D-9681-44D2B7EB6760}" type="pres">
      <dgm:prSet presAssocID="{A2665810-16A7-4BFE-8B71-10CD8B0DE9AF}" presName="parTxOnlySpace" presStyleCnt="0"/>
      <dgm:spPr/>
    </dgm:pt>
    <dgm:pt modelId="{EF1BB004-BC2A-4F0E-9369-AFDC7519BC03}" type="pres">
      <dgm:prSet presAssocID="{CA1DCB9A-1673-450A-B942-DCF35BCC3332}" presName="parTxOnly" presStyleLbl="node1" presStyleIdx="1" presStyleCnt="3" custLinFactNeighborX="12319">
        <dgm:presLayoutVars>
          <dgm:chMax val="0"/>
          <dgm:chPref val="0"/>
          <dgm:bulletEnabled val="1"/>
        </dgm:presLayoutVars>
      </dgm:prSet>
      <dgm:spPr/>
      <dgm:t>
        <a:bodyPr/>
        <a:lstStyle/>
        <a:p>
          <a:endParaRPr lang="en-AU"/>
        </a:p>
      </dgm:t>
    </dgm:pt>
    <dgm:pt modelId="{5DE653A5-8810-4B43-AA58-05BB9C247510}" type="pres">
      <dgm:prSet presAssocID="{5E5A46D1-1863-4E6A-BD1E-C2B558B4E77C}" presName="parTxOnlySpace" presStyleCnt="0"/>
      <dgm:spPr/>
    </dgm:pt>
    <dgm:pt modelId="{2493B2FF-41C7-4E13-8039-8F228D52F44B}" type="pres">
      <dgm:prSet presAssocID="{8E53035A-41E6-48F1-B976-6FF259506416}" presName="parTxOnly" presStyleLbl="node1" presStyleIdx="2" presStyleCnt="3">
        <dgm:presLayoutVars>
          <dgm:chMax val="0"/>
          <dgm:chPref val="0"/>
          <dgm:bulletEnabled val="1"/>
        </dgm:presLayoutVars>
      </dgm:prSet>
      <dgm:spPr/>
      <dgm:t>
        <a:bodyPr/>
        <a:lstStyle/>
        <a:p>
          <a:endParaRPr lang="en-AU"/>
        </a:p>
      </dgm:t>
    </dgm:pt>
  </dgm:ptLst>
  <dgm:cxnLst>
    <dgm:cxn modelId="{EE3F9DDE-F945-463C-BD78-67542DF60D8D}" type="presOf" srcId="{8E53035A-41E6-48F1-B976-6FF259506416}" destId="{2493B2FF-41C7-4E13-8039-8F228D52F44B}" srcOrd="0" destOrd="0" presId="urn:microsoft.com/office/officeart/2005/8/layout/chevron1"/>
    <dgm:cxn modelId="{43879FC8-68BE-4E02-8038-2E0352198B1B}" type="presOf" srcId="{352F6C39-F934-4881-A7ED-74C19E806A81}" destId="{DC5B241D-A819-43D5-BB80-267B7D103CE9}" srcOrd="0" destOrd="0" presId="urn:microsoft.com/office/officeart/2005/8/layout/chevron1"/>
    <dgm:cxn modelId="{129ABF53-D1EF-4E4D-B760-D830C36ADC41}" srcId="{62EA7C42-D677-4A33-8839-86EF6A2D4820}" destId="{352F6C39-F934-4881-A7ED-74C19E806A81}" srcOrd="0" destOrd="0" parTransId="{EF39606F-D421-4CA8-9F53-3F6E50E4F531}" sibTransId="{A2665810-16A7-4BFE-8B71-10CD8B0DE9AF}"/>
    <dgm:cxn modelId="{63A2175E-9DD1-4E60-84F0-50AD2BD13EB9}" type="presOf" srcId="{CA1DCB9A-1673-450A-B942-DCF35BCC3332}" destId="{EF1BB004-BC2A-4F0E-9369-AFDC7519BC03}" srcOrd="0" destOrd="0" presId="urn:microsoft.com/office/officeart/2005/8/layout/chevron1"/>
    <dgm:cxn modelId="{2FDF5524-9E6F-430F-8C53-12121CAED04C}" srcId="{62EA7C42-D677-4A33-8839-86EF6A2D4820}" destId="{CA1DCB9A-1673-450A-B942-DCF35BCC3332}" srcOrd="1" destOrd="0" parTransId="{E92B0C2D-E876-42D1-88C3-B23E15B84CB2}" sibTransId="{5E5A46D1-1863-4E6A-BD1E-C2B558B4E77C}"/>
    <dgm:cxn modelId="{5AA3ACBD-7332-423E-8455-775C046E5DB7}" type="presOf" srcId="{62EA7C42-D677-4A33-8839-86EF6A2D4820}" destId="{07C1DC4A-44DF-4EA4-884E-EB570D2D88DF}" srcOrd="0" destOrd="0" presId="urn:microsoft.com/office/officeart/2005/8/layout/chevron1"/>
    <dgm:cxn modelId="{0CF8842F-7FA8-4FBF-BD3F-3DEB92F1CA05}" srcId="{62EA7C42-D677-4A33-8839-86EF6A2D4820}" destId="{8E53035A-41E6-48F1-B976-6FF259506416}" srcOrd="2" destOrd="0" parTransId="{3A7FD247-2143-4863-BE7D-AD689FDB4995}" sibTransId="{CAB12E53-AC76-4DCA-83B8-A697AA961659}"/>
    <dgm:cxn modelId="{DBA0D03E-A2DB-4647-8105-EA06BE6A2190}" type="presParOf" srcId="{07C1DC4A-44DF-4EA4-884E-EB570D2D88DF}" destId="{DC5B241D-A819-43D5-BB80-267B7D103CE9}" srcOrd="0" destOrd="0" presId="urn:microsoft.com/office/officeart/2005/8/layout/chevron1"/>
    <dgm:cxn modelId="{0AA7DA66-BF5F-4B3E-818B-0EE11AA2495D}" type="presParOf" srcId="{07C1DC4A-44DF-4EA4-884E-EB570D2D88DF}" destId="{9A7E9CE3-1831-4D6D-9681-44D2B7EB6760}" srcOrd="1" destOrd="0" presId="urn:microsoft.com/office/officeart/2005/8/layout/chevron1"/>
    <dgm:cxn modelId="{813CDC10-E32D-4EA7-A597-85FBDA8CA73C}" type="presParOf" srcId="{07C1DC4A-44DF-4EA4-884E-EB570D2D88DF}" destId="{EF1BB004-BC2A-4F0E-9369-AFDC7519BC03}" srcOrd="2" destOrd="0" presId="urn:microsoft.com/office/officeart/2005/8/layout/chevron1"/>
    <dgm:cxn modelId="{025C3977-1012-4C1F-B0AC-E1FA4FCE0F0C}" type="presParOf" srcId="{07C1DC4A-44DF-4EA4-884E-EB570D2D88DF}" destId="{5DE653A5-8810-4B43-AA58-05BB9C247510}" srcOrd="3" destOrd="0" presId="urn:microsoft.com/office/officeart/2005/8/layout/chevron1"/>
    <dgm:cxn modelId="{66B2E679-68DF-45DB-8CEC-07223BAEDD99}" type="presParOf" srcId="{07C1DC4A-44DF-4EA4-884E-EB570D2D88DF}" destId="{2493B2FF-41C7-4E13-8039-8F228D52F44B}" srcOrd="4" destOrd="0" presId="urn:microsoft.com/office/officeart/2005/8/layout/chevron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5B241D-A819-43D5-BB80-267B7D103CE9}">
      <dsp:nvSpPr>
        <dsp:cNvPr id="0" name=""/>
        <dsp:cNvSpPr/>
      </dsp:nvSpPr>
      <dsp:spPr>
        <a:xfrm>
          <a:off x="1523" y="304046"/>
          <a:ext cx="1855606" cy="742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baseline="0"/>
            <a:t>University</a:t>
          </a:r>
          <a:r>
            <a:rPr lang="en-AU" sz="1200" kern="1200" baseline="0"/>
            <a:t> </a:t>
          </a:r>
          <a:r>
            <a:rPr lang="en-AU" sz="1200" b="1" kern="1200" baseline="0"/>
            <a:t>access</a:t>
          </a:r>
        </a:p>
      </dsp:txBody>
      <dsp:txXfrm>
        <a:off x="372644" y="304046"/>
        <a:ext cx="1113364" cy="742242"/>
      </dsp:txXfrm>
    </dsp:sp>
    <dsp:sp modelId="{EF1BB004-BC2A-4F0E-9369-AFDC7519BC03}">
      <dsp:nvSpPr>
        <dsp:cNvPr id="0" name=""/>
        <dsp:cNvSpPr/>
      </dsp:nvSpPr>
      <dsp:spPr>
        <a:xfrm>
          <a:off x="1694428" y="304046"/>
          <a:ext cx="1855606" cy="742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baseline="0"/>
            <a:t>Academic outcomes</a:t>
          </a:r>
        </a:p>
      </dsp:txBody>
      <dsp:txXfrm>
        <a:off x="2065549" y="304046"/>
        <a:ext cx="1113364" cy="742242"/>
      </dsp:txXfrm>
    </dsp:sp>
    <dsp:sp modelId="{2493B2FF-41C7-4E13-8039-8F228D52F44B}">
      <dsp:nvSpPr>
        <dsp:cNvPr id="0" name=""/>
        <dsp:cNvSpPr/>
      </dsp:nvSpPr>
      <dsp:spPr>
        <a:xfrm>
          <a:off x="3341615" y="304046"/>
          <a:ext cx="1855606" cy="742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b="1" kern="1200" baseline="0"/>
            <a:t>Labour </a:t>
          </a:r>
          <a:br>
            <a:rPr lang="en-AU" sz="1200" b="1" kern="1200" baseline="0"/>
          </a:br>
          <a:r>
            <a:rPr lang="en-AU" sz="1200" b="1" kern="1200" baseline="0"/>
            <a:t>market transitions</a:t>
          </a:r>
        </a:p>
      </dsp:txBody>
      <dsp:txXfrm>
        <a:off x="3712736" y="304046"/>
        <a:ext cx="1113364" cy="7422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F344-5232-4B3B-9116-5E838AC5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35</TotalTime>
  <Pages>140</Pages>
  <Words>35825</Words>
  <Characters>200683</Characters>
  <Application>Microsoft Office Word</Application>
  <DocSecurity>0</DocSecurity>
  <Lines>1672</Lines>
  <Paragraphs>472</Paragraphs>
  <ScaleCrop>false</ScaleCrop>
  <HeadingPairs>
    <vt:vector size="2" baseType="variant">
      <vt:variant>
        <vt:lpstr>Title</vt:lpstr>
      </vt:variant>
      <vt:variant>
        <vt:i4>1</vt:i4>
      </vt:variant>
    </vt:vector>
  </HeadingPairs>
  <TitlesOfParts>
    <vt:vector size="1" baseType="lpstr">
      <vt:lpstr>The Demand Driven University System: A Mixed Report Card - Research Paper</vt:lpstr>
    </vt:vector>
  </TitlesOfParts>
  <Company>Productivity Commission</Company>
  <LinksUpToDate>false</LinksUpToDate>
  <CharactersWithSpaces>236036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Demand Driven University System: A Mixed Report Card - Research Paper</dc:title>
  <dc:subject>Report</dc:subject>
  <dc:creator>Productivity Commission</dc:creator>
  <cp:keywords/>
  <dc:description>1.</dc:description>
  <cp:lastModifiedBy>Productivity Commission</cp:lastModifiedBy>
  <cp:revision>10</cp:revision>
  <cp:lastPrinted>2019-06-07T04:30:00Z</cp:lastPrinted>
  <dcterms:created xsi:type="dcterms:W3CDTF">2019-06-07T03:23:00Z</dcterms:created>
  <dcterms:modified xsi:type="dcterms:W3CDTF">2019-06-13T23:43:00Z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id="ql9BFaez"/&gt;&lt;style id="http://www.zotero.org/styles/unisa-harvard" hasBibliography="1" bibliographyStyleHasBeenSet="1"/&gt;&lt;prefs&gt;&lt;pref name="fieldType" value="Field"/&gt;&lt;pref name="automaticJournalAbb</vt:lpwstr>
  </property>
  <property fmtid="{D5CDD505-2E9C-101B-9397-08002B2CF9AE}" pid="3" name="ZOTERO_PREF_2">
    <vt:lpwstr>reviations" value="true"/&gt;&lt;pref name="dontAskDelayCitationUpdates" value="true"/&gt;&lt;/prefs&gt;&lt;/data&gt;</vt:lpwstr>
  </property>
</Properties>
</file>