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79BE69C1" w14:textId="0CC59BEF" w:rsidR="00295330" w:rsidRPr="00C01023" w:rsidRDefault="00295330" w:rsidP="008260FA">
          <w:pPr>
            <w:spacing w:after="4080"/>
          </w:pPr>
        </w:p>
        <w:p w14:paraId="18EBFCDD" w14:textId="3593BB77" w:rsidR="00B302FA" w:rsidRPr="00B71AC4" w:rsidRDefault="005773EE" w:rsidP="00461CE9">
          <w:pPr>
            <w:pStyle w:val="Coverdate"/>
            <w:framePr w:wrap="around"/>
          </w:pPr>
          <w:r>
            <w:t>November</w:t>
          </w:r>
          <w:r w:rsidR="0023003C">
            <w:t xml:space="preserve"> 2021</w:t>
          </w:r>
        </w:p>
        <w:p w14:paraId="3050658E" w14:textId="1FA122BA" w:rsidR="00B302FA" w:rsidRPr="00295330" w:rsidRDefault="00B2270C" w:rsidP="004202E1">
          <w:pPr>
            <w:pStyle w:val="Title"/>
            <w:spacing w:after="360"/>
            <w:ind w:right="1416"/>
          </w:pPr>
          <w:sdt>
            <w:sdtPr>
              <w:alias w:val="Title"/>
              <w:tag w:val=""/>
              <w:id w:val="966851108"/>
              <w:placeholder>
                <w:docPart w:val="E7A83012D5534638A4BC625093A2D6B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C0EA3">
                <w:t>Wealth transfers and their economic effects</w:t>
              </w:r>
            </w:sdtContent>
          </w:sdt>
        </w:p>
        <w:p w14:paraId="3B688C10" w14:textId="273A39F3" w:rsidR="00B302FA" w:rsidRDefault="00B2270C" w:rsidP="00427479">
          <w:pPr>
            <w:pStyle w:val="Subtitle"/>
          </w:pPr>
          <w:sdt>
            <w:sdtPr>
              <w:alias w:val="Subject"/>
              <w:tag w:val=""/>
              <w:id w:val="-1725749423"/>
              <w:placeholder>
                <w:docPart w:val="A3A2448AECC74E9080768D145238CA32"/>
              </w:placeholder>
              <w:dataBinding w:prefixMappings="xmlns:ns0='http://purl.org/dc/elements/1.1/' xmlns:ns1='http://schemas.openxmlformats.org/package/2006/metadata/core-properties' " w:xpath="/ns1:coreProperties[1]/ns0:subject[1]" w:storeItemID="{6C3C8BC8-F283-45AE-878A-BAB7291924A1}"/>
              <w:text/>
            </w:sdtPr>
            <w:sdtEndPr/>
            <w:sdtContent>
              <w:r w:rsidR="006B1A01">
                <w:t>Research paper</w:t>
              </w:r>
            </w:sdtContent>
          </w:sdt>
        </w:p>
        <w:p w14:paraId="7AE1CE45" w14:textId="533BE261" w:rsidR="003F4DBA" w:rsidRDefault="003F4DBA">
          <w:pPr>
            <w:spacing w:after="160" w:line="259" w:lineRule="auto"/>
            <w:sectPr w:rsidR="003F4DBA" w:rsidSect="00876000">
              <w:headerReference w:type="even" r:id="rId11"/>
              <w:headerReference w:type="default" r:id="rId12"/>
              <w:footerReference w:type="even" r:id="rId13"/>
              <w:footerReference w:type="default" r:id="rId14"/>
              <w:headerReference w:type="first" r:id="rId15"/>
              <w:foot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72F593F5" w14:textId="77777777" w:rsidTr="001625EC">
            <w:trPr>
              <w:trHeight w:hRule="exact" w:val="12586"/>
            </w:trPr>
            <w:tc>
              <w:tcPr>
                <w:tcW w:w="9638" w:type="dxa"/>
                <w:tcMar>
                  <w:top w:w="113" w:type="dxa"/>
                </w:tcMar>
              </w:tcPr>
              <w:p w14:paraId="112BA4DD" w14:textId="77777777" w:rsidR="00C31E23" w:rsidRPr="000F4488" w:rsidRDefault="00B302FA" w:rsidP="001625EC">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5260677C" w14:textId="77777777" w:rsidR="00C31E23" w:rsidRPr="00F37CB6" w:rsidRDefault="00C31E23" w:rsidP="001625EC">
                <w:pPr>
                  <w:pStyle w:val="Copyrightpage-Keylinenotext"/>
                  <w:ind w:right="-284"/>
                </w:pPr>
              </w:p>
              <w:p w14:paraId="576ED889" w14:textId="77777777" w:rsidR="00C31E23" w:rsidRPr="00D96F65" w:rsidRDefault="00C31E23" w:rsidP="001625EC">
                <w:pPr>
                  <w:pStyle w:val="Copyrightpage-Heading"/>
                  <w:ind w:right="-284"/>
                </w:pPr>
                <w:r w:rsidRPr="00D96F65">
                  <w:t>The Productivity Commission</w:t>
                </w:r>
              </w:p>
              <w:p w14:paraId="5275ED77" w14:textId="77777777" w:rsidR="00C31E23" w:rsidRPr="00255F0F" w:rsidRDefault="00C31E23" w:rsidP="001625EC">
                <w:pPr>
                  <w:pStyle w:val="Copyrightpage-BodyBold"/>
                  <w:rPr>
                    <w:spacing w:val="-4"/>
                  </w:rPr>
                </w:pPr>
                <w:r w:rsidRPr="00255F0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123C513" w14:textId="77777777" w:rsidR="00C31E23" w:rsidRPr="000F4488" w:rsidRDefault="00C31E23" w:rsidP="001625EC">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44C3163" w14:textId="65C3F082" w:rsidR="00C31E23" w:rsidRPr="000F4488" w:rsidRDefault="00C31E23" w:rsidP="001625EC">
                <w:pPr>
                  <w:pStyle w:val="Copyrightpage-BodyBold"/>
                </w:pPr>
                <w:r w:rsidRPr="000561CF">
                  <w:t>Further information on the Productivity Commission can be obtained from the Commission’s website</w:t>
                </w:r>
                <w:r w:rsidR="0093543A">
                  <w:t>:</w:t>
                </w:r>
                <w:r w:rsidRPr="000561CF">
                  <w:t xml:space="preserve"> www.pc.gov.au.</w:t>
                </w:r>
              </w:p>
              <w:p w14:paraId="1A0F6162" w14:textId="77777777" w:rsidR="00C31E23" w:rsidRPr="000F4488" w:rsidRDefault="00C31E23" w:rsidP="001625EC">
                <w:pPr>
                  <w:pStyle w:val="Copyrightpage-Keylinenotext"/>
                  <w:ind w:right="-284"/>
                  <w:rPr>
                    <w:b/>
                    <w:bCs/>
                  </w:rPr>
                </w:pPr>
              </w:p>
              <w:p w14:paraId="5B17ABD7" w14:textId="77777777" w:rsidR="00C31E23" w:rsidRPr="000561CF" w:rsidRDefault="00C31E23" w:rsidP="001625EC">
                <w:pPr>
                  <w:pStyle w:val="Copyrightpage-BodyBold"/>
                </w:pPr>
                <w:r w:rsidRPr="00E72EE0">
                  <w:t>©</w:t>
                </w:r>
                <w:r w:rsidRPr="00137FAB">
                  <w:t xml:space="preserve"> Commonwealth of Australia 202</w:t>
                </w:r>
                <w:r w:rsidRPr="000561CF">
                  <w:t>1</w:t>
                </w:r>
              </w:p>
              <w:p w14:paraId="36283CA2" w14:textId="77777777" w:rsidR="00C31E23" w:rsidRPr="00E72EE0" w:rsidRDefault="00C31E23" w:rsidP="001625EC">
                <w:pPr>
                  <w:pStyle w:val="Copyrightpage-Heading2"/>
                  <w:spacing w:before="0"/>
                  <w:ind w:right="-284"/>
                  <w:rPr>
                    <w:bCs/>
                  </w:rPr>
                </w:pPr>
                <w:r w:rsidRPr="00E72EE0">
                  <w:rPr>
                    <w:bCs/>
                    <w:noProof/>
                  </w:rPr>
                  <w:drawing>
                    <wp:inline distT="0" distB="0" distL="0" distR="0" wp14:anchorId="179D8BEC" wp14:editId="34FF79C5">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4000" cy="270000"/>
                              </a:xfrm>
                              <a:prstGeom prst="rect">
                                <a:avLst/>
                              </a:prstGeom>
                            </pic:spPr>
                          </pic:pic>
                        </a:graphicData>
                      </a:graphic>
                    </wp:inline>
                  </w:drawing>
                </w:r>
              </w:p>
              <w:p w14:paraId="40AAF169" w14:textId="77777777" w:rsidR="00C31E23" w:rsidRPr="000F4488" w:rsidRDefault="00C31E23" w:rsidP="001625EC">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8FC2BD2" w14:textId="77777777" w:rsidR="00C31E23" w:rsidRPr="000F4488" w:rsidRDefault="00C31E23" w:rsidP="001625EC">
                <w:pPr>
                  <w:pStyle w:val="Copyrightpage-BodyBold"/>
                </w:pPr>
                <w:r w:rsidRPr="000561CF">
                  <w:t>The terms under which the Coat of Arms can be used are detailed at: www.pmc.gov.au/government/commonwealth-coat-arms.</w:t>
                </w:r>
              </w:p>
              <w:p w14:paraId="7D2A1FF4" w14:textId="77777777" w:rsidR="00C31E23" w:rsidRPr="000561CF" w:rsidRDefault="00C31E23" w:rsidP="001625EC">
                <w:pPr>
                  <w:pStyle w:val="Copyrightpage-BodyBold"/>
                </w:pPr>
                <w:r w:rsidRPr="000561CF">
                  <w:t>Wherever a third party holds copyright in this material the copyright remains with that party. Their permission may be required to use the material, please contact them directly.</w:t>
                </w:r>
              </w:p>
              <w:p w14:paraId="594FC286" w14:textId="3D96E15B" w:rsidR="00C31E23" w:rsidRDefault="00C31E23" w:rsidP="001625EC">
                <w:pPr>
                  <w:pStyle w:val="Copyrightpage-BodyBold"/>
                </w:pPr>
                <w:r w:rsidRPr="00E72EE0">
                  <w:t xml:space="preserve">ISBN </w:t>
                </w:r>
                <w:r w:rsidR="00B843E2" w:rsidRPr="00B843E2">
                  <w:t>978-1-74037-735-5</w:t>
                </w:r>
                <w:r w:rsidR="008161C9" w:rsidRPr="008161C9">
                  <w:t xml:space="preserve"> </w:t>
                </w:r>
                <w:r w:rsidRPr="00E72EE0">
                  <w:t>(online)</w:t>
                </w:r>
              </w:p>
              <w:p w14:paraId="63E667D8" w14:textId="0CE5BD88" w:rsidR="00C31E23" w:rsidRPr="00AC587D" w:rsidRDefault="00C31E23" w:rsidP="001625EC">
                <w:pPr>
                  <w:pStyle w:val="Copyrightpage-BodyBold"/>
                </w:pPr>
                <w:r w:rsidRPr="00137FAB">
                  <w:t xml:space="preserve">ISBN </w:t>
                </w:r>
                <w:r w:rsidR="004362C9" w:rsidRPr="004362C9">
                  <w:t>978-1-74037-734-8</w:t>
                </w:r>
                <w:r w:rsidRPr="00137FAB">
                  <w:t xml:space="preserve"> (print)</w:t>
                </w:r>
              </w:p>
              <w:p w14:paraId="192AA928" w14:textId="0B966FA2" w:rsidR="00C31E23" w:rsidRPr="00137FAB" w:rsidRDefault="00C31E23" w:rsidP="001625EC">
                <w:pPr>
                  <w:pStyle w:val="Copyrightpage-BodyBold"/>
                </w:pPr>
                <w:r w:rsidRPr="000F4488">
                  <w:t>An appropriate reference for this publication is:</w:t>
                </w:r>
                <w:r>
                  <w:br/>
                </w:r>
                <w:r w:rsidR="00F8481E">
                  <w:t xml:space="preserve">Productivity Commission </w:t>
                </w:r>
                <w:r w:rsidR="00964680">
                  <w:t>2021</w:t>
                </w:r>
                <w:r w:rsidR="00F8481E">
                  <w:t xml:space="preserve">, </w:t>
                </w:r>
                <w:r w:rsidR="00CC257C" w:rsidRPr="00CC257C">
                  <w:rPr>
                    <w:i/>
                    <w:iCs/>
                  </w:rPr>
                  <w:t>Wealth transfers and their economic effects</w:t>
                </w:r>
                <w:r w:rsidR="00F8481E">
                  <w:t xml:space="preserve">, Research </w:t>
                </w:r>
                <w:r w:rsidR="00964680">
                  <w:t>p</w:t>
                </w:r>
                <w:r w:rsidR="00F8481E">
                  <w:t>aper, Canberra</w:t>
                </w:r>
              </w:p>
              <w:p w14:paraId="14A81549" w14:textId="77777777" w:rsidR="00C31E23" w:rsidRDefault="00C31E23" w:rsidP="001625EC">
                <w:pPr>
                  <w:pStyle w:val="Copyrightpage-BodyBold"/>
                  <w:ind w:right="-284"/>
                </w:pPr>
              </w:p>
              <w:p w14:paraId="0F455C60" w14:textId="77777777" w:rsidR="00C31E23" w:rsidRDefault="00C31E23" w:rsidP="001625EC">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D5AC20B" w14:textId="0F06210F" w:rsidR="00295330" w:rsidRPr="00DA3017" w:rsidRDefault="00C31E23" w:rsidP="00DA3017">
          <w:pPr>
            <w:spacing w:before="0" w:after="160" w:line="259" w:lineRule="auto"/>
            <w:rPr>
              <w:b/>
              <w:color w:val="FFFFFF" w:themeColor="background1"/>
            </w:rPr>
          </w:pPr>
          <w:r>
            <w:rPr>
              <w:rStyle w:val="White"/>
              <w:b/>
            </w:rPr>
            <w:t xml:space="preserve"> </w:t>
          </w:r>
        </w:p>
      </w:sdtContent>
    </w:sdt>
    <w:p w14:paraId="3642759A" w14:textId="77777777" w:rsidR="00562410" w:rsidRDefault="00562410" w:rsidP="007D1569">
      <w:pPr>
        <w:sectPr w:rsidR="00562410" w:rsidSect="004544D6">
          <w:headerReference w:type="even" r:id="rId19"/>
          <w:headerReference w:type="default" r:id="rId20"/>
          <w:footerReference w:type="even" r:id="rId21"/>
          <w:footerReference w:type="default" r:id="rId22"/>
          <w:pgSz w:w="11906" w:h="16838" w:code="9"/>
          <w:pgMar w:top="1134" w:right="1134" w:bottom="1134" w:left="1134" w:header="794" w:footer="510" w:gutter="0"/>
          <w:pgNumType w:fmt="lowerRoman" w:start="2"/>
          <w:cols w:space="708"/>
          <w:docGrid w:linePitch="360"/>
        </w:sectPr>
      </w:pPr>
    </w:p>
    <w:p w14:paraId="7B035E1B" w14:textId="484FF77F" w:rsidR="009F0824" w:rsidRPr="009F0824" w:rsidRDefault="009F0824" w:rsidP="00B83AD3">
      <w:pPr>
        <w:pStyle w:val="Heading1-nobackground"/>
        <w:spacing w:before="120"/>
      </w:pPr>
      <w:r w:rsidRPr="009F0824">
        <w:lastRenderedPageBreak/>
        <w:t>Contents</w:t>
      </w:r>
    </w:p>
    <w:p w14:paraId="7888FFD0" w14:textId="004D4880" w:rsidR="0026566E" w:rsidRPr="006C0130" w:rsidRDefault="002B55EF" w:rsidP="00EF2E36">
      <w:pPr>
        <w:pStyle w:val="TOC3"/>
        <w:rPr>
          <w:rFonts w:asciiTheme="minorHAnsi" w:hAnsiTheme="minorHAnsi" w:cstheme="minorHAnsi"/>
          <w:noProof/>
          <w:color w:val="auto"/>
        </w:rPr>
      </w:pPr>
      <w:r w:rsidRPr="006C0130">
        <w:rPr>
          <w:rFonts w:asciiTheme="minorHAnsi" w:hAnsiTheme="minorHAnsi" w:cstheme="minorHAnsi"/>
          <w:noProof/>
          <w:color w:val="auto"/>
        </w:rPr>
        <w:t>In brief</w:t>
      </w:r>
      <w:r w:rsidR="0026566E" w:rsidRPr="006C0130">
        <w:rPr>
          <w:rFonts w:asciiTheme="minorHAnsi" w:hAnsiTheme="minorHAnsi" w:cstheme="minorHAnsi"/>
          <w:noProof/>
          <w:color w:val="auto"/>
        </w:rPr>
        <w:tab/>
        <w:t>v</w:t>
      </w:r>
    </w:p>
    <w:p w14:paraId="342B34CE" w14:textId="7F6A4C72" w:rsidR="00EF6D4F" w:rsidRPr="006C0130" w:rsidRDefault="00EF6D4F" w:rsidP="00EF2E36">
      <w:pPr>
        <w:pStyle w:val="TOC3"/>
        <w:rPr>
          <w:rFonts w:asciiTheme="minorHAnsi" w:hAnsiTheme="minorHAnsi" w:cstheme="minorHAnsi"/>
          <w:noProof/>
          <w:color w:val="auto"/>
        </w:rPr>
      </w:pPr>
      <w:r w:rsidRPr="006C0130">
        <w:rPr>
          <w:rFonts w:asciiTheme="minorHAnsi" w:hAnsiTheme="minorHAnsi" w:cstheme="minorHAnsi"/>
          <w:noProof/>
          <w:color w:val="auto"/>
        </w:rPr>
        <w:t>Acknowledgments</w:t>
      </w:r>
      <w:r w:rsidRPr="006C0130">
        <w:rPr>
          <w:rFonts w:asciiTheme="minorHAnsi" w:hAnsiTheme="minorHAnsi" w:cstheme="minorHAnsi"/>
          <w:noProof/>
          <w:color w:val="auto"/>
        </w:rPr>
        <w:tab/>
        <w:t>vi</w:t>
      </w:r>
    </w:p>
    <w:p w14:paraId="176AB05A" w14:textId="327C40C0" w:rsidR="0026566E" w:rsidRDefault="00C66AC8" w:rsidP="00EF2E36">
      <w:pPr>
        <w:pStyle w:val="TOC3"/>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w:instrText>
      </w:r>
      <w:r w:rsidRPr="00F37F65">
        <w:instrText xml:space="preserve"> Heading 1-Section blue background</w:instrText>
      </w:r>
      <w:r>
        <w:instrText>,3,</w:instrText>
      </w:r>
      <w:r w:rsidRPr="00F37F65">
        <w:instrText xml:space="preserve"> Heading 1-Section-full page</w:instrText>
      </w:r>
      <w:r>
        <w:instrText xml:space="preserve">,3,Heading 2,2,Heading 1 - Intro,3,Heading 1-numbered,3,Section Heading-pale blue,3" </w:instrText>
      </w:r>
      <w:r>
        <w:rPr>
          <w:noProof/>
        </w:rPr>
        <w:fldChar w:fldCharType="separate"/>
      </w:r>
      <w:r w:rsidR="0026566E">
        <w:rPr>
          <w:noProof/>
        </w:rPr>
        <w:t>Executive summary</w:t>
      </w:r>
      <w:r w:rsidR="0026566E">
        <w:rPr>
          <w:noProof/>
          <w:webHidden/>
        </w:rPr>
        <w:tab/>
      </w:r>
      <w:r w:rsidR="0026566E">
        <w:rPr>
          <w:noProof/>
          <w:webHidden/>
        </w:rPr>
        <w:fldChar w:fldCharType="begin"/>
      </w:r>
      <w:r w:rsidR="0026566E">
        <w:rPr>
          <w:noProof/>
          <w:webHidden/>
        </w:rPr>
        <w:instrText xml:space="preserve"> PAGEREF _Toc87543950 \h </w:instrText>
      </w:r>
      <w:r w:rsidR="0026566E">
        <w:rPr>
          <w:noProof/>
          <w:webHidden/>
        </w:rPr>
      </w:r>
      <w:r w:rsidR="0026566E">
        <w:rPr>
          <w:noProof/>
          <w:webHidden/>
        </w:rPr>
        <w:fldChar w:fldCharType="separate"/>
      </w:r>
      <w:r w:rsidR="00F3386D">
        <w:rPr>
          <w:noProof/>
          <w:webHidden/>
        </w:rPr>
        <w:t>1</w:t>
      </w:r>
      <w:r w:rsidR="0026566E">
        <w:rPr>
          <w:noProof/>
          <w:webHidden/>
        </w:rPr>
        <w:fldChar w:fldCharType="end"/>
      </w:r>
    </w:p>
    <w:p w14:paraId="72FC21AB" w14:textId="418B84FD" w:rsidR="0026566E" w:rsidRDefault="0026566E">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How much wealth do people transfer?</w:t>
      </w:r>
      <w:r>
        <w:rPr>
          <w:noProof/>
          <w:webHidden/>
        </w:rPr>
        <w:tab/>
      </w:r>
      <w:r>
        <w:rPr>
          <w:noProof/>
          <w:webHidden/>
        </w:rPr>
        <w:fldChar w:fldCharType="begin"/>
      </w:r>
      <w:r>
        <w:rPr>
          <w:noProof/>
          <w:webHidden/>
        </w:rPr>
        <w:instrText xml:space="preserve"> PAGEREF _Toc87543951 \h </w:instrText>
      </w:r>
      <w:r>
        <w:rPr>
          <w:noProof/>
          <w:webHidden/>
        </w:rPr>
      </w:r>
      <w:r>
        <w:rPr>
          <w:noProof/>
          <w:webHidden/>
        </w:rPr>
        <w:fldChar w:fldCharType="separate"/>
      </w:r>
      <w:r w:rsidR="00F3386D">
        <w:rPr>
          <w:noProof/>
          <w:webHidden/>
        </w:rPr>
        <w:t>11</w:t>
      </w:r>
      <w:r>
        <w:rPr>
          <w:noProof/>
          <w:webHidden/>
        </w:rPr>
        <w:fldChar w:fldCharType="end"/>
      </w:r>
    </w:p>
    <w:p w14:paraId="4DA48712" w14:textId="7AE99721" w:rsidR="0026566E" w:rsidRDefault="0026566E">
      <w:pPr>
        <w:pStyle w:val="TOC2"/>
        <w:rPr>
          <w:rFonts w:eastAsiaTheme="minorEastAsia"/>
          <w:sz w:val="22"/>
          <w:szCs w:val="22"/>
          <w:lang w:eastAsia="en-AU"/>
        </w:rPr>
      </w:pPr>
      <w:r w:rsidRPr="009000D3">
        <w:t>1.1</w:t>
      </w:r>
      <w:r>
        <w:rPr>
          <w:rFonts w:eastAsiaTheme="minorEastAsia"/>
          <w:sz w:val="22"/>
          <w:szCs w:val="22"/>
          <w:lang w:eastAsia="en-AU"/>
        </w:rPr>
        <w:tab/>
      </w:r>
      <w:r>
        <w:t>State of data about wealth and wealth transfers</w:t>
      </w:r>
      <w:r>
        <w:rPr>
          <w:webHidden/>
        </w:rPr>
        <w:tab/>
      </w:r>
      <w:r>
        <w:rPr>
          <w:webHidden/>
        </w:rPr>
        <w:fldChar w:fldCharType="begin"/>
      </w:r>
      <w:r>
        <w:rPr>
          <w:webHidden/>
        </w:rPr>
        <w:instrText xml:space="preserve"> PAGEREF _Toc87543952 \h </w:instrText>
      </w:r>
      <w:r>
        <w:rPr>
          <w:webHidden/>
        </w:rPr>
      </w:r>
      <w:r>
        <w:rPr>
          <w:webHidden/>
        </w:rPr>
        <w:fldChar w:fldCharType="separate"/>
      </w:r>
      <w:r w:rsidR="00F3386D">
        <w:rPr>
          <w:webHidden/>
        </w:rPr>
        <w:t>13</w:t>
      </w:r>
      <w:r>
        <w:rPr>
          <w:webHidden/>
        </w:rPr>
        <w:fldChar w:fldCharType="end"/>
      </w:r>
    </w:p>
    <w:p w14:paraId="3BDE9162" w14:textId="3B41ED22" w:rsidR="0026566E" w:rsidRDefault="0026566E">
      <w:pPr>
        <w:pStyle w:val="TOC2"/>
        <w:rPr>
          <w:rFonts w:eastAsiaTheme="minorEastAsia"/>
          <w:sz w:val="22"/>
          <w:szCs w:val="22"/>
          <w:lang w:eastAsia="en-AU"/>
        </w:rPr>
      </w:pPr>
      <w:r>
        <w:t>1.2</w:t>
      </w:r>
      <w:r>
        <w:rPr>
          <w:rFonts w:eastAsiaTheme="minorEastAsia"/>
          <w:sz w:val="22"/>
          <w:szCs w:val="22"/>
          <w:lang w:eastAsia="en-AU"/>
        </w:rPr>
        <w:tab/>
      </w:r>
      <w:r>
        <w:t>Inheritances</w:t>
      </w:r>
      <w:r>
        <w:rPr>
          <w:webHidden/>
        </w:rPr>
        <w:tab/>
      </w:r>
      <w:r>
        <w:rPr>
          <w:webHidden/>
        </w:rPr>
        <w:fldChar w:fldCharType="begin"/>
      </w:r>
      <w:r>
        <w:rPr>
          <w:webHidden/>
        </w:rPr>
        <w:instrText xml:space="preserve"> PAGEREF _Toc87543953 \h </w:instrText>
      </w:r>
      <w:r>
        <w:rPr>
          <w:webHidden/>
        </w:rPr>
      </w:r>
      <w:r>
        <w:rPr>
          <w:webHidden/>
        </w:rPr>
        <w:fldChar w:fldCharType="separate"/>
      </w:r>
      <w:r w:rsidR="00F3386D">
        <w:rPr>
          <w:webHidden/>
        </w:rPr>
        <w:t>16</w:t>
      </w:r>
      <w:r>
        <w:rPr>
          <w:webHidden/>
        </w:rPr>
        <w:fldChar w:fldCharType="end"/>
      </w:r>
    </w:p>
    <w:p w14:paraId="647C4041" w14:textId="21C816E3" w:rsidR="0026566E" w:rsidRDefault="0026566E">
      <w:pPr>
        <w:pStyle w:val="TOC2"/>
        <w:rPr>
          <w:rFonts w:eastAsiaTheme="minorEastAsia"/>
          <w:sz w:val="22"/>
          <w:szCs w:val="22"/>
          <w:lang w:eastAsia="en-AU"/>
        </w:rPr>
      </w:pPr>
      <w:r>
        <w:t>1.3</w:t>
      </w:r>
      <w:r>
        <w:rPr>
          <w:rFonts w:eastAsiaTheme="minorEastAsia"/>
          <w:sz w:val="22"/>
          <w:szCs w:val="22"/>
          <w:lang w:eastAsia="en-AU"/>
        </w:rPr>
        <w:tab/>
      </w:r>
      <w:r>
        <w:t>Gifts</w:t>
      </w:r>
      <w:r>
        <w:rPr>
          <w:webHidden/>
        </w:rPr>
        <w:tab/>
      </w:r>
      <w:r>
        <w:rPr>
          <w:webHidden/>
        </w:rPr>
        <w:fldChar w:fldCharType="begin"/>
      </w:r>
      <w:r>
        <w:rPr>
          <w:webHidden/>
        </w:rPr>
        <w:instrText xml:space="preserve"> PAGEREF _Toc87543954 \h </w:instrText>
      </w:r>
      <w:r>
        <w:rPr>
          <w:webHidden/>
        </w:rPr>
      </w:r>
      <w:r>
        <w:rPr>
          <w:webHidden/>
        </w:rPr>
        <w:fldChar w:fldCharType="separate"/>
      </w:r>
      <w:r w:rsidR="00F3386D">
        <w:rPr>
          <w:webHidden/>
        </w:rPr>
        <w:t>29</w:t>
      </w:r>
      <w:r>
        <w:rPr>
          <w:webHidden/>
        </w:rPr>
        <w:fldChar w:fldCharType="end"/>
      </w:r>
    </w:p>
    <w:p w14:paraId="0DB9EDC9" w14:textId="14DE16E1" w:rsidR="0026566E" w:rsidRDefault="0026566E">
      <w:pPr>
        <w:pStyle w:val="TOC2"/>
        <w:rPr>
          <w:rFonts w:eastAsiaTheme="minorEastAsia"/>
          <w:sz w:val="22"/>
          <w:szCs w:val="22"/>
          <w:lang w:eastAsia="en-AU"/>
        </w:rPr>
      </w:pPr>
      <w:r>
        <w:t>1.4</w:t>
      </w:r>
      <w:r>
        <w:rPr>
          <w:rFonts w:eastAsiaTheme="minorEastAsia"/>
          <w:sz w:val="22"/>
          <w:szCs w:val="22"/>
          <w:lang w:eastAsia="en-AU"/>
        </w:rPr>
        <w:tab/>
      </w:r>
      <w:r>
        <w:t>Total value of wealth transfers</w:t>
      </w:r>
      <w:r>
        <w:rPr>
          <w:webHidden/>
        </w:rPr>
        <w:tab/>
      </w:r>
      <w:r>
        <w:rPr>
          <w:webHidden/>
        </w:rPr>
        <w:fldChar w:fldCharType="begin"/>
      </w:r>
      <w:r>
        <w:rPr>
          <w:webHidden/>
        </w:rPr>
        <w:instrText xml:space="preserve"> PAGEREF _Toc87543955 \h </w:instrText>
      </w:r>
      <w:r>
        <w:rPr>
          <w:webHidden/>
        </w:rPr>
      </w:r>
      <w:r>
        <w:rPr>
          <w:webHidden/>
        </w:rPr>
        <w:fldChar w:fldCharType="separate"/>
      </w:r>
      <w:r w:rsidR="00F3386D">
        <w:rPr>
          <w:webHidden/>
        </w:rPr>
        <w:t>36</w:t>
      </w:r>
      <w:r>
        <w:rPr>
          <w:webHidden/>
        </w:rPr>
        <w:fldChar w:fldCharType="end"/>
      </w:r>
    </w:p>
    <w:p w14:paraId="30E3E846" w14:textId="210F790D" w:rsidR="0026566E" w:rsidRDefault="0026566E">
      <w:pPr>
        <w:pStyle w:val="TOC2"/>
        <w:rPr>
          <w:rFonts w:eastAsiaTheme="minorEastAsia"/>
          <w:sz w:val="22"/>
          <w:szCs w:val="22"/>
          <w:lang w:eastAsia="en-AU"/>
        </w:rPr>
      </w:pPr>
      <w:r>
        <w:t>1.5</w:t>
      </w:r>
      <w:r>
        <w:rPr>
          <w:rFonts w:eastAsiaTheme="minorEastAsia"/>
          <w:sz w:val="22"/>
          <w:szCs w:val="22"/>
          <w:lang w:eastAsia="en-AU"/>
        </w:rPr>
        <w:tab/>
      </w:r>
      <w:r>
        <w:t>Improving wealth transfer data collection</w:t>
      </w:r>
      <w:r>
        <w:rPr>
          <w:webHidden/>
        </w:rPr>
        <w:tab/>
      </w:r>
      <w:r>
        <w:rPr>
          <w:webHidden/>
        </w:rPr>
        <w:fldChar w:fldCharType="begin"/>
      </w:r>
      <w:r>
        <w:rPr>
          <w:webHidden/>
        </w:rPr>
        <w:instrText xml:space="preserve"> PAGEREF _Toc87543956 \h </w:instrText>
      </w:r>
      <w:r>
        <w:rPr>
          <w:webHidden/>
        </w:rPr>
      </w:r>
      <w:r>
        <w:rPr>
          <w:webHidden/>
        </w:rPr>
        <w:fldChar w:fldCharType="separate"/>
      </w:r>
      <w:r w:rsidR="00F3386D">
        <w:rPr>
          <w:webHidden/>
        </w:rPr>
        <w:t>37</w:t>
      </w:r>
      <w:r>
        <w:rPr>
          <w:webHidden/>
        </w:rPr>
        <w:fldChar w:fldCharType="end"/>
      </w:r>
    </w:p>
    <w:p w14:paraId="32529E5F" w14:textId="48349AC8" w:rsidR="0026566E" w:rsidRDefault="0026566E">
      <w:pPr>
        <w:pStyle w:val="TOC1"/>
        <w:rPr>
          <w:rFonts w:asciiTheme="minorHAnsi" w:eastAsiaTheme="minorEastAsia" w:hAnsiTheme="minorHAnsi"/>
          <w:noProof/>
          <w:color w:val="auto"/>
          <w:sz w:val="22"/>
          <w:szCs w:val="22"/>
          <w:lang w:eastAsia="en-AU"/>
        </w:rPr>
      </w:pPr>
      <w:r w:rsidRPr="0099208D">
        <w:rPr>
          <w:noProof/>
          <w:spacing w:val="-18"/>
        </w:rPr>
        <w:t>2.</w:t>
      </w:r>
      <w:r>
        <w:rPr>
          <w:rFonts w:asciiTheme="minorHAnsi" w:eastAsiaTheme="minorEastAsia" w:hAnsiTheme="minorHAnsi"/>
          <w:noProof/>
          <w:color w:val="auto"/>
          <w:sz w:val="22"/>
          <w:szCs w:val="22"/>
          <w:lang w:eastAsia="en-AU"/>
        </w:rPr>
        <w:tab/>
      </w:r>
      <w:r w:rsidRPr="00205185">
        <w:rPr>
          <w:noProof/>
          <w:spacing w:val="-6"/>
        </w:rPr>
        <w:t>How have wealth transfers affected wealth inequality and mobility?</w:t>
      </w:r>
      <w:r>
        <w:rPr>
          <w:noProof/>
          <w:webHidden/>
        </w:rPr>
        <w:tab/>
      </w:r>
      <w:r>
        <w:rPr>
          <w:noProof/>
          <w:webHidden/>
        </w:rPr>
        <w:fldChar w:fldCharType="begin"/>
      </w:r>
      <w:r>
        <w:rPr>
          <w:noProof/>
          <w:webHidden/>
        </w:rPr>
        <w:instrText xml:space="preserve"> PAGEREF _Toc87543957 \h </w:instrText>
      </w:r>
      <w:r>
        <w:rPr>
          <w:noProof/>
          <w:webHidden/>
        </w:rPr>
      </w:r>
      <w:r>
        <w:rPr>
          <w:noProof/>
          <w:webHidden/>
        </w:rPr>
        <w:fldChar w:fldCharType="separate"/>
      </w:r>
      <w:r w:rsidR="00F3386D">
        <w:rPr>
          <w:noProof/>
          <w:webHidden/>
        </w:rPr>
        <w:t>39</w:t>
      </w:r>
      <w:r>
        <w:rPr>
          <w:noProof/>
          <w:webHidden/>
        </w:rPr>
        <w:fldChar w:fldCharType="end"/>
      </w:r>
    </w:p>
    <w:p w14:paraId="26926D4B" w14:textId="406EDE1B" w:rsidR="0026566E" w:rsidRDefault="0026566E">
      <w:pPr>
        <w:pStyle w:val="TOC2"/>
        <w:rPr>
          <w:rFonts w:eastAsiaTheme="minorEastAsia"/>
          <w:sz w:val="22"/>
          <w:szCs w:val="22"/>
          <w:lang w:eastAsia="en-AU"/>
        </w:rPr>
      </w:pPr>
      <w:r>
        <w:t>2.1</w:t>
      </w:r>
      <w:r>
        <w:rPr>
          <w:rFonts w:eastAsiaTheme="minorEastAsia"/>
          <w:sz w:val="22"/>
          <w:szCs w:val="22"/>
          <w:lang w:eastAsia="en-AU"/>
        </w:rPr>
        <w:tab/>
      </w:r>
      <w:r>
        <w:t>Immediate</w:t>
      </w:r>
      <w:r>
        <w:noBreakHyphen/>
        <w:t>term effect of wealth transfers on wealth inequality</w:t>
      </w:r>
      <w:r>
        <w:rPr>
          <w:webHidden/>
        </w:rPr>
        <w:tab/>
      </w:r>
      <w:r>
        <w:rPr>
          <w:webHidden/>
        </w:rPr>
        <w:fldChar w:fldCharType="begin"/>
      </w:r>
      <w:r>
        <w:rPr>
          <w:webHidden/>
        </w:rPr>
        <w:instrText xml:space="preserve"> PAGEREF _Toc87543958 \h </w:instrText>
      </w:r>
      <w:r>
        <w:rPr>
          <w:webHidden/>
        </w:rPr>
      </w:r>
      <w:r>
        <w:rPr>
          <w:webHidden/>
        </w:rPr>
        <w:fldChar w:fldCharType="separate"/>
      </w:r>
      <w:r w:rsidR="00F3386D">
        <w:rPr>
          <w:webHidden/>
        </w:rPr>
        <w:t>42</w:t>
      </w:r>
      <w:r>
        <w:rPr>
          <w:webHidden/>
        </w:rPr>
        <w:fldChar w:fldCharType="end"/>
      </w:r>
    </w:p>
    <w:p w14:paraId="5A77945C" w14:textId="027BD089" w:rsidR="0026566E" w:rsidRDefault="0026566E">
      <w:pPr>
        <w:pStyle w:val="TOC2"/>
        <w:rPr>
          <w:rFonts w:eastAsiaTheme="minorEastAsia"/>
          <w:sz w:val="22"/>
          <w:szCs w:val="22"/>
          <w:lang w:eastAsia="en-AU"/>
        </w:rPr>
      </w:pPr>
      <w:r w:rsidRPr="0099208D">
        <w:rPr>
          <w:spacing w:val="-6"/>
        </w:rPr>
        <w:t>2.2</w:t>
      </w:r>
      <w:r>
        <w:rPr>
          <w:rFonts w:eastAsiaTheme="minorEastAsia"/>
          <w:sz w:val="22"/>
          <w:szCs w:val="22"/>
          <w:lang w:eastAsia="en-AU"/>
        </w:rPr>
        <w:tab/>
      </w:r>
      <w:r w:rsidRPr="0099208D">
        <w:rPr>
          <w:spacing w:val="-6"/>
        </w:rPr>
        <w:t>Longer</w:t>
      </w:r>
      <w:r w:rsidRPr="0099208D">
        <w:rPr>
          <w:spacing w:val="-6"/>
        </w:rPr>
        <w:noBreakHyphen/>
        <w:t>term effect of inheritances on wealth inequality</w:t>
      </w:r>
      <w:r>
        <w:rPr>
          <w:webHidden/>
        </w:rPr>
        <w:tab/>
      </w:r>
      <w:r>
        <w:rPr>
          <w:webHidden/>
        </w:rPr>
        <w:fldChar w:fldCharType="begin"/>
      </w:r>
      <w:r>
        <w:rPr>
          <w:webHidden/>
        </w:rPr>
        <w:instrText xml:space="preserve"> PAGEREF _Toc87543959 \h </w:instrText>
      </w:r>
      <w:r>
        <w:rPr>
          <w:webHidden/>
        </w:rPr>
      </w:r>
      <w:r>
        <w:rPr>
          <w:webHidden/>
        </w:rPr>
        <w:fldChar w:fldCharType="separate"/>
      </w:r>
      <w:r w:rsidR="00F3386D">
        <w:rPr>
          <w:webHidden/>
        </w:rPr>
        <w:t>51</w:t>
      </w:r>
      <w:r>
        <w:rPr>
          <w:webHidden/>
        </w:rPr>
        <w:fldChar w:fldCharType="end"/>
      </w:r>
    </w:p>
    <w:p w14:paraId="38837D84" w14:textId="71DBF41C" w:rsidR="0026566E" w:rsidRDefault="0026566E">
      <w:pPr>
        <w:pStyle w:val="TOC2"/>
        <w:rPr>
          <w:rFonts w:eastAsiaTheme="minorEastAsia"/>
          <w:sz w:val="22"/>
          <w:szCs w:val="22"/>
          <w:lang w:eastAsia="en-AU"/>
        </w:rPr>
      </w:pPr>
      <w:r>
        <w:t>2.3</w:t>
      </w:r>
      <w:r>
        <w:rPr>
          <w:rFonts w:eastAsiaTheme="minorEastAsia"/>
          <w:sz w:val="22"/>
          <w:szCs w:val="22"/>
          <w:lang w:eastAsia="en-AU"/>
        </w:rPr>
        <w:tab/>
      </w:r>
      <w:r>
        <w:t>Effect of inheritances on the intergenerational persistence of wealth</w:t>
      </w:r>
      <w:r>
        <w:rPr>
          <w:webHidden/>
        </w:rPr>
        <w:tab/>
      </w:r>
      <w:r>
        <w:rPr>
          <w:webHidden/>
        </w:rPr>
        <w:fldChar w:fldCharType="begin"/>
      </w:r>
      <w:r>
        <w:rPr>
          <w:webHidden/>
        </w:rPr>
        <w:instrText xml:space="preserve"> PAGEREF _Toc87543960 \h </w:instrText>
      </w:r>
      <w:r>
        <w:rPr>
          <w:webHidden/>
        </w:rPr>
      </w:r>
      <w:r>
        <w:rPr>
          <w:webHidden/>
        </w:rPr>
        <w:fldChar w:fldCharType="separate"/>
      </w:r>
      <w:r w:rsidR="00F3386D">
        <w:rPr>
          <w:webHidden/>
        </w:rPr>
        <w:t>57</w:t>
      </w:r>
      <w:r>
        <w:rPr>
          <w:webHidden/>
        </w:rPr>
        <w:fldChar w:fldCharType="end"/>
      </w:r>
    </w:p>
    <w:p w14:paraId="2773009B" w14:textId="4F417937" w:rsidR="0026566E" w:rsidRDefault="0026566E">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sidRPr="0099208D">
        <w:rPr>
          <w:noProof/>
          <w:spacing w:val="-8"/>
        </w:rPr>
        <w:t>How might future wealth transfers</w:t>
      </w:r>
      <w:r>
        <w:rPr>
          <w:noProof/>
        </w:rPr>
        <w:t xml:space="preserve"> affect wealth inequality?</w:t>
      </w:r>
      <w:r>
        <w:rPr>
          <w:noProof/>
          <w:webHidden/>
        </w:rPr>
        <w:tab/>
      </w:r>
      <w:r>
        <w:rPr>
          <w:noProof/>
          <w:webHidden/>
        </w:rPr>
        <w:fldChar w:fldCharType="begin"/>
      </w:r>
      <w:r>
        <w:rPr>
          <w:noProof/>
          <w:webHidden/>
        </w:rPr>
        <w:instrText xml:space="preserve"> PAGEREF _Toc87543961 \h </w:instrText>
      </w:r>
      <w:r>
        <w:rPr>
          <w:noProof/>
          <w:webHidden/>
        </w:rPr>
      </w:r>
      <w:r>
        <w:rPr>
          <w:noProof/>
          <w:webHidden/>
        </w:rPr>
        <w:fldChar w:fldCharType="separate"/>
      </w:r>
      <w:r w:rsidR="00F3386D">
        <w:rPr>
          <w:noProof/>
          <w:webHidden/>
        </w:rPr>
        <w:t>61</w:t>
      </w:r>
      <w:r>
        <w:rPr>
          <w:noProof/>
          <w:webHidden/>
        </w:rPr>
        <w:fldChar w:fldCharType="end"/>
      </w:r>
    </w:p>
    <w:p w14:paraId="01EAF103" w14:textId="6B9ABED8" w:rsidR="0026566E" w:rsidRDefault="0026566E">
      <w:pPr>
        <w:pStyle w:val="TOC2"/>
        <w:rPr>
          <w:rFonts w:eastAsiaTheme="minorEastAsia"/>
          <w:sz w:val="22"/>
          <w:szCs w:val="22"/>
          <w:lang w:eastAsia="en-AU"/>
        </w:rPr>
      </w:pPr>
      <w:r>
        <w:t>3.1</w:t>
      </w:r>
      <w:r>
        <w:rPr>
          <w:rFonts w:eastAsiaTheme="minorEastAsia"/>
          <w:sz w:val="22"/>
          <w:szCs w:val="22"/>
          <w:lang w:eastAsia="en-AU"/>
        </w:rPr>
        <w:tab/>
      </w:r>
      <w:r>
        <w:t>Existing research and projections of future wealth transfers</w:t>
      </w:r>
      <w:r>
        <w:rPr>
          <w:webHidden/>
        </w:rPr>
        <w:tab/>
      </w:r>
      <w:r>
        <w:rPr>
          <w:webHidden/>
        </w:rPr>
        <w:fldChar w:fldCharType="begin"/>
      </w:r>
      <w:r>
        <w:rPr>
          <w:webHidden/>
        </w:rPr>
        <w:instrText xml:space="preserve"> PAGEREF _Toc87543962 \h </w:instrText>
      </w:r>
      <w:r>
        <w:rPr>
          <w:webHidden/>
        </w:rPr>
      </w:r>
      <w:r>
        <w:rPr>
          <w:webHidden/>
        </w:rPr>
        <w:fldChar w:fldCharType="separate"/>
      </w:r>
      <w:r w:rsidR="00F3386D">
        <w:rPr>
          <w:webHidden/>
        </w:rPr>
        <w:t>62</w:t>
      </w:r>
      <w:r>
        <w:rPr>
          <w:webHidden/>
        </w:rPr>
        <w:fldChar w:fldCharType="end"/>
      </w:r>
    </w:p>
    <w:p w14:paraId="2D2CA422" w14:textId="33D0C6DB" w:rsidR="0026566E" w:rsidRDefault="0026566E">
      <w:pPr>
        <w:pStyle w:val="TOC2"/>
        <w:rPr>
          <w:rFonts w:eastAsiaTheme="minorEastAsia"/>
          <w:sz w:val="22"/>
          <w:szCs w:val="22"/>
          <w:lang w:eastAsia="en-AU"/>
        </w:rPr>
      </w:pPr>
      <w:r>
        <w:t>3.2</w:t>
      </w:r>
      <w:r>
        <w:rPr>
          <w:rFonts w:eastAsiaTheme="minorEastAsia"/>
          <w:sz w:val="22"/>
          <w:szCs w:val="22"/>
          <w:lang w:eastAsia="en-AU"/>
        </w:rPr>
        <w:tab/>
      </w:r>
      <w:r>
        <w:t>Simulation model of wealth transfers and inequality</w:t>
      </w:r>
      <w:r>
        <w:rPr>
          <w:webHidden/>
        </w:rPr>
        <w:tab/>
      </w:r>
      <w:r>
        <w:rPr>
          <w:webHidden/>
        </w:rPr>
        <w:fldChar w:fldCharType="begin"/>
      </w:r>
      <w:r>
        <w:rPr>
          <w:webHidden/>
        </w:rPr>
        <w:instrText xml:space="preserve"> PAGEREF _Toc87543963 \h </w:instrText>
      </w:r>
      <w:r>
        <w:rPr>
          <w:webHidden/>
        </w:rPr>
      </w:r>
      <w:r>
        <w:rPr>
          <w:webHidden/>
        </w:rPr>
        <w:fldChar w:fldCharType="separate"/>
      </w:r>
      <w:r w:rsidR="00F3386D">
        <w:rPr>
          <w:webHidden/>
        </w:rPr>
        <w:t>67</w:t>
      </w:r>
      <w:r>
        <w:rPr>
          <w:webHidden/>
        </w:rPr>
        <w:fldChar w:fldCharType="end"/>
      </w:r>
    </w:p>
    <w:p w14:paraId="24A16DFE" w14:textId="4ACA6B46" w:rsidR="0026566E" w:rsidRDefault="0026566E">
      <w:pPr>
        <w:pStyle w:val="TOC2"/>
        <w:rPr>
          <w:rFonts w:eastAsiaTheme="minorEastAsia"/>
          <w:sz w:val="22"/>
          <w:szCs w:val="22"/>
          <w:lang w:eastAsia="en-AU"/>
        </w:rPr>
      </w:pPr>
      <w:r>
        <w:t>3.3</w:t>
      </w:r>
      <w:r>
        <w:rPr>
          <w:rFonts w:eastAsiaTheme="minorEastAsia"/>
          <w:sz w:val="22"/>
          <w:szCs w:val="22"/>
          <w:lang w:eastAsia="en-AU"/>
        </w:rPr>
        <w:tab/>
      </w:r>
      <w:r>
        <w:t>Projected effects of transfers on wealth inequality</w:t>
      </w:r>
      <w:r>
        <w:rPr>
          <w:webHidden/>
        </w:rPr>
        <w:tab/>
      </w:r>
      <w:r>
        <w:rPr>
          <w:webHidden/>
        </w:rPr>
        <w:fldChar w:fldCharType="begin"/>
      </w:r>
      <w:r>
        <w:rPr>
          <w:webHidden/>
        </w:rPr>
        <w:instrText xml:space="preserve"> PAGEREF _Toc87543964 \h </w:instrText>
      </w:r>
      <w:r>
        <w:rPr>
          <w:webHidden/>
        </w:rPr>
      </w:r>
      <w:r>
        <w:rPr>
          <w:webHidden/>
        </w:rPr>
        <w:fldChar w:fldCharType="separate"/>
      </w:r>
      <w:r w:rsidR="00F3386D">
        <w:rPr>
          <w:webHidden/>
        </w:rPr>
        <w:t>72</w:t>
      </w:r>
      <w:r>
        <w:rPr>
          <w:webHidden/>
        </w:rPr>
        <w:fldChar w:fldCharType="end"/>
      </w:r>
    </w:p>
    <w:p w14:paraId="6005783F" w14:textId="67AB0F46" w:rsidR="0026566E" w:rsidRDefault="0026566E">
      <w:pPr>
        <w:pStyle w:val="TOC2"/>
        <w:rPr>
          <w:rFonts w:eastAsiaTheme="minorEastAsia"/>
          <w:sz w:val="22"/>
          <w:szCs w:val="22"/>
          <w:lang w:eastAsia="en-AU"/>
        </w:rPr>
      </w:pPr>
      <w:r>
        <w:t>3.4</w:t>
      </w:r>
      <w:r>
        <w:rPr>
          <w:rFonts w:eastAsiaTheme="minorEastAsia"/>
          <w:sz w:val="22"/>
          <w:szCs w:val="22"/>
          <w:lang w:eastAsia="en-AU"/>
        </w:rPr>
        <w:tab/>
      </w:r>
      <w:r>
        <w:t>Scenario analysis</w:t>
      </w:r>
      <w:r>
        <w:rPr>
          <w:webHidden/>
        </w:rPr>
        <w:tab/>
      </w:r>
      <w:r>
        <w:rPr>
          <w:webHidden/>
        </w:rPr>
        <w:fldChar w:fldCharType="begin"/>
      </w:r>
      <w:r>
        <w:rPr>
          <w:webHidden/>
        </w:rPr>
        <w:instrText xml:space="preserve"> PAGEREF _Toc87543965 \h </w:instrText>
      </w:r>
      <w:r>
        <w:rPr>
          <w:webHidden/>
        </w:rPr>
      </w:r>
      <w:r>
        <w:rPr>
          <w:webHidden/>
        </w:rPr>
        <w:fldChar w:fldCharType="separate"/>
      </w:r>
      <w:r w:rsidR="00F3386D">
        <w:rPr>
          <w:webHidden/>
        </w:rPr>
        <w:t>79</w:t>
      </w:r>
      <w:r>
        <w:rPr>
          <w:webHidden/>
        </w:rPr>
        <w:fldChar w:fldCharType="end"/>
      </w:r>
    </w:p>
    <w:p w14:paraId="4CE2F3F5" w14:textId="4A508591" w:rsidR="0026566E" w:rsidRDefault="0026566E">
      <w:pPr>
        <w:pStyle w:val="TOC2"/>
        <w:rPr>
          <w:rFonts w:eastAsiaTheme="minorEastAsia"/>
          <w:sz w:val="22"/>
          <w:szCs w:val="22"/>
          <w:lang w:eastAsia="en-AU"/>
        </w:rPr>
      </w:pPr>
      <w:r>
        <w:t>3.5</w:t>
      </w:r>
      <w:r>
        <w:rPr>
          <w:rFonts w:eastAsiaTheme="minorEastAsia"/>
          <w:sz w:val="22"/>
          <w:szCs w:val="22"/>
          <w:lang w:eastAsia="en-AU"/>
        </w:rPr>
        <w:tab/>
      </w:r>
      <w:r>
        <w:t>Modelling conclusions and discussion</w:t>
      </w:r>
      <w:r>
        <w:rPr>
          <w:webHidden/>
        </w:rPr>
        <w:tab/>
      </w:r>
      <w:r>
        <w:rPr>
          <w:webHidden/>
        </w:rPr>
        <w:fldChar w:fldCharType="begin"/>
      </w:r>
      <w:r>
        <w:rPr>
          <w:webHidden/>
        </w:rPr>
        <w:instrText xml:space="preserve"> PAGEREF _Toc87543966 \h </w:instrText>
      </w:r>
      <w:r>
        <w:rPr>
          <w:webHidden/>
        </w:rPr>
      </w:r>
      <w:r>
        <w:rPr>
          <w:webHidden/>
        </w:rPr>
        <w:fldChar w:fldCharType="separate"/>
      </w:r>
      <w:r w:rsidR="00F3386D">
        <w:rPr>
          <w:webHidden/>
        </w:rPr>
        <w:t>84</w:t>
      </w:r>
      <w:r>
        <w:rPr>
          <w:webHidden/>
        </w:rPr>
        <w:fldChar w:fldCharType="end"/>
      </w:r>
    </w:p>
    <w:p w14:paraId="39B5ED7F" w14:textId="161603DE" w:rsidR="0026566E" w:rsidRDefault="0026566E" w:rsidP="00EF2E36">
      <w:pPr>
        <w:pStyle w:val="TOC3"/>
        <w:rPr>
          <w:rFonts w:asciiTheme="minorHAnsi" w:eastAsiaTheme="minorEastAsia" w:hAnsiTheme="minorHAnsi"/>
          <w:noProof/>
          <w:color w:val="auto"/>
          <w:sz w:val="22"/>
          <w:szCs w:val="22"/>
          <w:lang w:eastAsia="en-AU"/>
        </w:rPr>
      </w:pPr>
      <w:r>
        <w:rPr>
          <w:noProof/>
        </w:rPr>
        <w:t>Appendices</w:t>
      </w:r>
      <w:r>
        <w:rPr>
          <w:noProof/>
          <w:webHidden/>
        </w:rPr>
        <w:tab/>
      </w:r>
    </w:p>
    <w:p w14:paraId="136505C5" w14:textId="1D4B9F10" w:rsidR="0026566E" w:rsidRDefault="0026566E">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sidR="00C94F58">
        <w:rPr>
          <w:noProof/>
        </w:rPr>
        <w:t>W</w:t>
      </w:r>
      <w:r>
        <w:rPr>
          <w:noProof/>
        </w:rPr>
        <w:t>ealth data and estimating inheritance outflows</w:t>
      </w:r>
      <w:r>
        <w:rPr>
          <w:noProof/>
          <w:webHidden/>
        </w:rPr>
        <w:tab/>
      </w:r>
      <w:r>
        <w:rPr>
          <w:noProof/>
          <w:webHidden/>
        </w:rPr>
        <w:fldChar w:fldCharType="begin"/>
      </w:r>
      <w:r>
        <w:rPr>
          <w:noProof/>
          <w:webHidden/>
        </w:rPr>
        <w:instrText xml:space="preserve"> PAGEREF _Toc87543968 \h </w:instrText>
      </w:r>
      <w:r>
        <w:rPr>
          <w:noProof/>
          <w:webHidden/>
        </w:rPr>
      </w:r>
      <w:r>
        <w:rPr>
          <w:noProof/>
          <w:webHidden/>
        </w:rPr>
        <w:fldChar w:fldCharType="separate"/>
      </w:r>
      <w:r w:rsidR="00F3386D">
        <w:rPr>
          <w:noProof/>
          <w:webHidden/>
        </w:rPr>
        <w:t>87</w:t>
      </w:r>
      <w:r>
        <w:rPr>
          <w:noProof/>
          <w:webHidden/>
        </w:rPr>
        <w:fldChar w:fldCharType="end"/>
      </w:r>
    </w:p>
    <w:p w14:paraId="259B07DF" w14:textId="22D35725" w:rsidR="0026566E" w:rsidRDefault="0026566E">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sidR="00C94F58">
        <w:rPr>
          <w:noProof/>
        </w:rPr>
        <w:t xml:space="preserve">Past </w:t>
      </w:r>
      <w:r>
        <w:rPr>
          <w:noProof/>
        </w:rPr>
        <w:t xml:space="preserve">wealth transfers </w:t>
      </w:r>
      <w:r w:rsidR="00C94F58">
        <w:rPr>
          <w:noProof/>
        </w:rPr>
        <w:t xml:space="preserve">and </w:t>
      </w:r>
      <w:r>
        <w:rPr>
          <w:noProof/>
        </w:rPr>
        <w:t>inequality and mobility</w:t>
      </w:r>
      <w:r>
        <w:rPr>
          <w:noProof/>
          <w:webHidden/>
        </w:rPr>
        <w:tab/>
      </w:r>
      <w:r>
        <w:rPr>
          <w:noProof/>
          <w:webHidden/>
        </w:rPr>
        <w:fldChar w:fldCharType="begin"/>
      </w:r>
      <w:r>
        <w:rPr>
          <w:noProof/>
          <w:webHidden/>
        </w:rPr>
        <w:instrText xml:space="preserve"> PAGEREF _Toc87543969 \h </w:instrText>
      </w:r>
      <w:r>
        <w:rPr>
          <w:noProof/>
          <w:webHidden/>
        </w:rPr>
      </w:r>
      <w:r>
        <w:rPr>
          <w:noProof/>
          <w:webHidden/>
        </w:rPr>
        <w:fldChar w:fldCharType="separate"/>
      </w:r>
      <w:r w:rsidR="00F3386D">
        <w:rPr>
          <w:noProof/>
          <w:webHidden/>
        </w:rPr>
        <w:t>103</w:t>
      </w:r>
      <w:r>
        <w:rPr>
          <w:noProof/>
          <w:webHidden/>
        </w:rPr>
        <w:fldChar w:fldCharType="end"/>
      </w:r>
    </w:p>
    <w:p w14:paraId="4789BD6B" w14:textId="6EFDD4BB" w:rsidR="0026566E" w:rsidRDefault="0026566E">
      <w:pPr>
        <w:pStyle w:val="TOC1"/>
        <w:rPr>
          <w:noProof/>
          <w:webHidden/>
        </w:rPr>
      </w:pPr>
      <w:r>
        <w:rPr>
          <w:noProof/>
        </w:rPr>
        <w:t>C.</w:t>
      </w:r>
      <w:r>
        <w:rPr>
          <w:rFonts w:asciiTheme="minorHAnsi" w:eastAsiaTheme="minorEastAsia" w:hAnsiTheme="minorHAnsi"/>
          <w:noProof/>
          <w:color w:val="auto"/>
          <w:sz w:val="22"/>
          <w:szCs w:val="22"/>
          <w:lang w:eastAsia="en-AU"/>
        </w:rPr>
        <w:tab/>
      </w:r>
      <w:r w:rsidR="00C94F58">
        <w:rPr>
          <w:noProof/>
        </w:rPr>
        <w:t>Fu</w:t>
      </w:r>
      <w:r>
        <w:rPr>
          <w:noProof/>
        </w:rPr>
        <w:t xml:space="preserve">ture wealth transfers </w:t>
      </w:r>
      <w:r w:rsidR="001D1C1C">
        <w:rPr>
          <w:noProof/>
        </w:rPr>
        <w:t>and</w:t>
      </w:r>
      <w:r>
        <w:rPr>
          <w:noProof/>
        </w:rPr>
        <w:t xml:space="preserve"> inequality</w:t>
      </w:r>
      <w:r>
        <w:rPr>
          <w:noProof/>
          <w:webHidden/>
        </w:rPr>
        <w:tab/>
      </w:r>
      <w:r>
        <w:rPr>
          <w:noProof/>
          <w:webHidden/>
        </w:rPr>
        <w:fldChar w:fldCharType="begin"/>
      </w:r>
      <w:r>
        <w:rPr>
          <w:noProof/>
          <w:webHidden/>
        </w:rPr>
        <w:instrText xml:space="preserve"> PAGEREF _Toc87543970 \h </w:instrText>
      </w:r>
      <w:r>
        <w:rPr>
          <w:noProof/>
          <w:webHidden/>
        </w:rPr>
      </w:r>
      <w:r>
        <w:rPr>
          <w:noProof/>
          <w:webHidden/>
        </w:rPr>
        <w:fldChar w:fldCharType="separate"/>
      </w:r>
      <w:r w:rsidR="00F3386D">
        <w:rPr>
          <w:noProof/>
          <w:webHidden/>
        </w:rPr>
        <w:t>137</w:t>
      </w:r>
      <w:r>
        <w:rPr>
          <w:noProof/>
          <w:webHidden/>
        </w:rPr>
        <w:fldChar w:fldCharType="end"/>
      </w:r>
    </w:p>
    <w:p w14:paraId="23118325" w14:textId="705126B9" w:rsidR="00EF6D4F" w:rsidRPr="006C0130" w:rsidRDefault="00727F4C" w:rsidP="00EF2E36">
      <w:pPr>
        <w:pStyle w:val="TOC3"/>
        <w:rPr>
          <w:rFonts w:asciiTheme="minorHAnsi" w:hAnsiTheme="minorHAnsi" w:cstheme="minorHAnsi"/>
          <w:noProof/>
          <w:color w:val="auto"/>
        </w:rPr>
      </w:pPr>
      <w:r w:rsidRPr="006C0130">
        <w:rPr>
          <w:rFonts w:asciiTheme="minorHAnsi" w:hAnsiTheme="minorHAnsi" w:cstheme="minorHAnsi"/>
          <w:noProof/>
          <w:color w:val="auto"/>
        </w:rPr>
        <w:t>Public consultation</w:t>
      </w:r>
      <w:r w:rsidR="00E52420" w:rsidRPr="006C0130">
        <w:rPr>
          <w:rFonts w:asciiTheme="minorHAnsi" w:hAnsiTheme="minorHAnsi" w:cstheme="minorHAnsi"/>
          <w:noProof/>
          <w:color w:val="auto"/>
        </w:rPr>
        <w:t>s</w:t>
      </w:r>
      <w:r w:rsidRPr="006C0130">
        <w:rPr>
          <w:rFonts w:asciiTheme="minorHAnsi" w:hAnsiTheme="minorHAnsi" w:cstheme="minorHAnsi"/>
          <w:noProof/>
          <w:color w:val="auto"/>
        </w:rPr>
        <w:tab/>
      </w:r>
      <w:r w:rsidR="000D7049" w:rsidRPr="006C0130">
        <w:rPr>
          <w:rFonts w:asciiTheme="minorHAnsi" w:hAnsiTheme="minorHAnsi" w:cstheme="minorHAnsi"/>
          <w:noProof/>
          <w:color w:val="auto"/>
        </w:rPr>
        <w:t>1</w:t>
      </w:r>
      <w:r w:rsidR="00BC30B3" w:rsidRPr="006C0130">
        <w:rPr>
          <w:rFonts w:asciiTheme="minorHAnsi" w:hAnsiTheme="minorHAnsi" w:cstheme="minorHAnsi"/>
          <w:noProof/>
          <w:color w:val="auto"/>
        </w:rPr>
        <w:t>69</w:t>
      </w:r>
    </w:p>
    <w:p w14:paraId="11D1D91E" w14:textId="22ED4119" w:rsidR="00727F4C" w:rsidRPr="006C0130" w:rsidRDefault="00727F4C" w:rsidP="00EF2E36">
      <w:pPr>
        <w:pStyle w:val="TOC3"/>
        <w:rPr>
          <w:rFonts w:asciiTheme="minorHAnsi" w:hAnsiTheme="minorHAnsi" w:cstheme="minorHAnsi"/>
          <w:noProof/>
          <w:color w:val="auto"/>
        </w:rPr>
      </w:pPr>
      <w:r w:rsidRPr="006C0130">
        <w:rPr>
          <w:rFonts w:asciiTheme="minorHAnsi" w:hAnsiTheme="minorHAnsi" w:cstheme="minorHAnsi"/>
          <w:noProof/>
          <w:color w:val="auto"/>
        </w:rPr>
        <w:t>Abbreviations</w:t>
      </w:r>
      <w:r w:rsidR="000D7049" w:rsidRPr="006C0130">
        <w:rPr>
          <w:rFonts w:asciiTheme="minorHAnsi" w:hAnsiTheme="minorHAnsi" w:cstheme="minorHAnsi"/>
          <w:noProof/>
          <w:color w:val="auto"/>
        </w:rPr>
        <w:tab/>
        <w:t>17</w:t>
      </w:r>
      <w:r w:rsidR="00BC30B3" w:rsidRPr="006C0130">
        <w:rPr>
          <w:rFonts w:asciiTheme="minorHAnsi" w:hAnsiTheme="minorHAnsi" w:cstheme="minorHAnsi"/>
          <w:noProof/>
          <w:color w:val="auto"/>
        </w:rPr>
        <w:t>0</w:t>
      </w:r>
    </w:p>
    <w:p w14:paraId="52476723" w14:textId="4B5DA1F3" w:rsidR="00727F4C" w:rsidRPr="006C0130" w:rsidRDefault="00727F4C" w:rsidP="00EF2E36">
      <w:pPr>
        <w:pStyle w:val="TOC3"/>
        <w:rPr>
          <w:rFonts w:asciiTheme="minorHAnsi" w:hAnsiTheme="minorHAnsi" w:cstheme="minorHAnsi"/>
          <w:noProof/>
          <w:color w:val="auto"/>
        </w:rPr>
      </w:pPr>
      <w:r w:rsidRPr="006C0130">
        <w:rPr>
          <w:rFonts w:asciiTheme="minorHAnsi" w:hAnsiTheme="minorHAnsi" w:cstheme="minorHAnsi"/>
          <w:noProof/>
          <w:color w:val="auto"/>
        </w:rPr>
        <w:t>Glossary</w:t>
      </w:r>
      <w:r w:rsidR="000D7049" w:rsidRPr="006C0130">
        <w:rPr>
          <w:rFonts w:asciiTheme="minorHAnsi" w:hAnsiTheme="minorHAnsi" w:cstheme="minorHAnsi"/>
          <w:noProof/>
          <w:color w:val="auto"/>
        </w:rPr>
        <w:tab/>
        <w:t>17</w:t>
      </w:r>
      <w:r w:rsidR="00BC30B3" w:rsidRPr="006C0130">
        <w:rPr>
          <w:rFonts w:asciiTheme="minorHAnsi" w:hAnsiTheme="minorHAnsi" w:cstheme="minorHAnsi"/>
          <w:noProof/>
          <w:color w:val="auto"/>
        </w:rPr>
        <w:t>1</w:t>
      </w:r>
    </w:p>
    <w:p w14:paraId="7EED0651" w14:textId="4ACCC404" w:rsidR="00727F4C" w:rsidRPr="00440D0D" w:rsidRDefault="00727F4C" w:rsidP="00EF2E36">
      <w:pPr>
        <w:pStyle w:val="TOC3"/>
        <w:rPr>
          <w:noProof/>
        </w:rPr>
      </w:pPr>
      <w:r w:rsidRPr="00440D0D">
        <w:rPr>
          <w:noProof/>
        </w:rPr>
        <w:t>References</w:t>
      </w:r>
      <w:r w:rsidR="00EF2E36">
        <w:rPr>
          <w:noProof/>
        </w:rPr>
        <w:tab/>
        <w:t>17</w:t>
      </w:r>
      <w:r w:rsidR="00BC30B3">
        <w:rPr>
          <w:noProof/>
        </w:rPr>
        <w:t>3</w:t>
      </w:r>
    </w:p>
    <w:p w14:paraId="68D1AC91" w14:textId="4617D2B5" w:rsidR="00781537" w:rsidRDefault="00C66AC8" w:rsidP="006C10E0">
      <w:pPr>
        <w:pStyle w:val="BodyText"/>
      </w:pPr>
      <w:r>
        <w:fldChar w:fldCharType="end"/>
      </w:r>
      <w:r w:rsidR="00781537">
        <w:t>T</w:t>
      </w:r>
      <w:r w:rsidR="00781537">
        <w:rPr>
          <w:bCs/>
          <w:noProof/>
        </w:rPr>
        <w:t>he chart data and the code underpinning the analysis in this report</w:t>
      </w:r>
      <w:r w:rsidR="00781537">
        <w:t xml:space="preserve"> are available online at: </w:t>
      </w:r>
      <w:r w:rsidR="00781537" w:rsidRPr="003A53EA">
        <w:rPr>
          <w:u w:val="single"/>
        </w:rPr>
        <w:t>www.pc.gov.au/research/completed/wealth-transfers</w:t>
      </w:r>
      <w:r w:rsidR="00781537">
        <w:rPr>
          <w:bCs/>
          <w:noProof/>
        </w:rPr>
        <w:t>.</w:t>
      </w:r>
    </w:p>
    <w:p w14:paraId="49E6BF50" w14:textId="3E1D9B22" w:rsidR="006C10E0" w:rsidRDefault="006C10E0" w:rsidP="00610627">
      <w:pPr>
        <w:sectPr w:rsidR="006C10E0" w:rsidSect="00834EBB">
          <w:headerReference w:type="default" r:id="rId23"/>
          <w:footerReference w:type="even" r:id="rId24"/>
          <w:footerReference w:type="default" r:id="rId25"/>
          <w:type w:val="oddPage"/>
          <w:pgSz w:w="11906" w:h="16838" w:code="9"/>
          <w:pgMar w:top="1134" w:right="1134" w:bottom="1134" w:left="1134" w:header="794" w:footer="510" w:gutter="0"/>
          <w:pgNumType w:fmt="lowerRoman"/>
          <w:cols w:space="708"/>
          <w:docGrid w:linePitch="360"/>
        </w:sectPr>
      </w:pPr>
    </w:p>
    <w:p w14:paraId="003F862E" w14:textId="53202CD3" w:rsidR="00A3088B" w:rsidRPr="007D1569" w:rsidRDefault="00205185" w:rsidP="00BE661A">
      <w:pPr>
        <w:pStyle w:val="Heading1-nobackground"/>
      </w:pPr>
      <w:r>
        <w:lastRenderedPageBreak/>
        <w:t>In brief</w:t>
      </w:r>
    </w:p>
    <w:p w14:paraId="3A5DB6DA" w14:textId="77777777" w:rsidR="00A47E32" w:rsidRPr="00021F8C" w:rsidRDefault="00A47E32" w:rsidP="00A47E32">
      <w:pPr>
        <w:pStyle w:val="BodyText"/>
      </w:pPr>
      <w:r w:rsidRPr="00021F8C">
        <w:t>Until now, little has been known about how much wealth Australians</w:t>
      </w:r>
      <w:r>
        <w:t xml:space="preserve"> transfer while they are alive (gifts) or after they die (inheritances),</w:t>
      </w:r>
      <w:r w:rsidRPr="00021F8C">
        <w:t xml:space="preserve"> let alone how th</w:t>
      </w:r>
      <w:r>
        <w:t xml:space="preserve">ose transfers </w:t>
      </w:r>
      <w:r w:rsidRPr="00021F8C">
        <w:t>affect those who receive t</w:t>
      </w:r>
      <w:r>
        <w:t>hem</w:t>
      </w:r>
      <w:r w:rsidRPr="00021F8C">
        <w:t>, or the impact on the distribution of wealth</w:t>
      </w:r>
      <w:r>
        <w:t xml:space="preserve"> in society</w:t>
      </w:r>
      <w:r w:rsidRPr="00021F8C">
        <w:t>. This report sheds light on these questions.</w:t>
      </w:r>
    </w:p>
    <w:p w14:paraId="383CAE59" w14:textId="77777777" w:rsidR="00A47E32" w:rsidRPr="009E0CE5" w:rsidRDefault="00A47E32" w:rsidP="00A47E32">
      <w:pPr>
        <w:pStyle w:val="BodyText"/>
        <w:rPr>
          <w:spacing w:val="-2"/>
        </w:rPr>
      </w:pPr>
      <w:r w:rsidRPr="009E0CE5">
        <w:rPr>
          <w:spacing w:val="-2"/>
        </w:rPr>
        <w:t>Wealth transfers are large and growing — over $120 billion was passed on in 2018, more than double that in 2002. Inheritances in particular, which account for around 90 per cent of all transfers, have increased steadily in line with the growing wealth of older Australians. In 2018</w:t>
      </w:r>
      <w:r w:rsidRPr="009E0CE5">
        <w:rPr>
          <w:spacing w:val="-2"/>
        </w:rPr>
        <w:noBreakHyphen/>
        <w:t xml:space="preserve">19 the value of the average inheritance was $125 000 compared to $8000 for gifts. </w:t>
      </w:r>
    </w:p>
    <w:p w14:paraId="0AF96E6B" w14:textId="77777777" w:rsidR="00A47E32" w:rsidRDefault="00A47E32" w:rsidP="00A47E32">
      <w:pPr>
        <w:pStyle w:val="BodyText"/>
      </w:pPr>
      <w:r>
        <w:t xml:space="preserve">Conventional wisdom suggests that wealth transfers make the </w:t>
      </w:r>
      <w:r w:rsidRPr="00021F8C">
        <w:t>rich</w:t>
      </w:r>
      <w:r>
        <w:t>est Australians even better off. And in fact w</w:t>
      </w:r>
      <w:r w:rsidRPr="00021F8C">
        <w:t xml:space="preserve">ealthier </w:t>
      </w:r>
      <w:r>
        <w:t xml:space="preserve">Australians do </w:t>
      </w:r>
      <w:r w:rsidRPr="00021F8C">
        <w:t>receive larger transfers</w:t>
      </w:r>
      <w:r>
        <w:t xml:space="preserve"> on average. But</w:t>
      </w:r>
      <w:r w:rsidRPr="00021F8C">
        <w:t xml:space="preserve"> by the time people receive an inheritance, they</w:t>
      </w:r>
      <w:r>
        <w:t xml:space="preserve"> wi</w:t>
      </w:r>
      <w:r w:rsidRPr="00021F8C">
        <w:t xml:space="preserve">ll be </w:t>
      </w:r>
      <w:r>
        <w:t xml:space="preserve">well into middle age — about </w:t>
      </w:r>
      <w:r w:rsidRPr="00021F8C">
        <w:t xml:space="preserve">50 years old on </w:t>
      </w:r>
      <w:r>
        <w:t>average —</w:t>
      </w:r>
      <w:r w:rsidRPr="00021F8C">
        <w:t xml:space="preserve"> already established in their careers and housing, and many will potentially be nearing retirement themselves. </w:t>
      </w:r>
      <w:r>
        <w:t>So w</w:t>
      </w:r>
      <w:r w:rsidRPr="00021F8C">
        <w:t xml:space="preserve">hile inheritances </w:t>
      </w:r>
      <w:r>
        <w:t xml:space="preserve">weigh on </w:t>
      </w:r>
      <w:r w:rsidRPr="00021F8C">
        <w:t xml:space="preserve">economic mobility — </w:t>
      </w:r>
      <w:r>
        <w:t>by increasing the likelihood that wealthy parents have wealthy children</w:t>
      </w:r>
      <w:r w:rsidRPr="00021F8C">
        <w:t xml:space="preserve"> — the effect is moderated by the lateness in life at which they are received</w:t>
      </w:r>
      <w:r>
        <w:t>.</w:t>
      </w:r>
    </w:p>
    <w:p w14:paraId="1E0DA96F" w14:textId="77777777" w:rsidR="00A47E32" w:rsidRPr="00A47E32" w:rsidRDefault="00A47E32" w:rsidP="00A47E32">
      <w:pPr>
        <w:pStyle w:val="BodyText"/>
        <w:rPr>
          <w:spacing w:val="-2"/>
        </w:rPr>
      </w:pPr>
      <w:r w:rsidRPr="00A47E32">
        <w:rPr>
          <w:spacing w:val="-2"/>
        </w:rPr>
        <w:t xml:space="preserve">What about inequality? Wealth transfers have unambiguously increased the </w:t>
      </w:r>
      <w:r w:rsidRPr="00A47E32">
        <w:rPr>
          <w:i/>
          <w:iCs/>
          <w:spacing w:val="-2"/>
        </w:rPr>
        <w:t>amount</w:t>
      </w:r>
      <w:r w:rsidRPr="00A47E32">
        <w:rPr>
          <w:spacing w:val="-2"/>
        </w:rPr>
        <w:t xml:space="preserve"> of wealth held by richer Australians. However, when measured against the amount of wealth they already own — and this may surprise — the less well</w:t>
      </w:r>
      <w:r w:rsidRPr="00A47E32">
        <w:rPr>
          <w:spacing w:val="-2"/>
        </w:rPr>
        <w:noBreakHyphen/>
        <w:t xml:space="preserve">off get a much bigger boost from wealth transfers. That is, wealth transfers increase the </w:t>
      </w:r>
      <w:r w:rsidRPr="00A47E32">
        <w:rPr>
          <w:i/>
          <w:iCs/>
          <w:spacing w:val="-2"/>
        </w:rPr>
        <w:t>share</w:t>
      </w:r>
      <w:r w:rsidRPr="00A47E32">
        <w:rPr>
          <w:spacing w:val="-2"/>
        </w:rPr>
        <w:t xml:space="preserve"> of wealth held by poorer Australians, reducing relative wealth inequality. And we are not an outlier. This finding is replicated in every other country studied around the world. That said, in Australia, the moderating effect is quite small: a one percentage point change in the rate of return to housing wealth — a fraction of the average annual historical return — would have a much larger impact on relative wealth inequality. </w:t>
      </w:r>
    </w:p>
    <w:p w14:paraId="45720DEB" w14:textId="5EAFF6B2" w:rsidR="003872B6" w:rsidRDefault="00A47E32" w:rsidP="00A47E32">
      <w:pPr>
        <w:pStyle w:val="BodyText"/>
        <w:rPr>
          <w:spacing w:val="-2"/>
        </w:rPr>
      </w:pPr>
      <w:r w:rsidRPr="009E0CE5">
        <w:rPr>
          <w:spacing w:val="-2"/>
        </w:rPr>
        <w:t>What does the future hold? Older Australians are projected to hold a growing share of total wealth. They will also account for a larger share of total deaths, and consistent with falling fertility rates, they will also have fewer children to pass their wealth onto. These factors are projected to drive a four</w:t>
      </w:r>
      <w:r w:rsidRPr="009E0CE5">
        <w:rPr>
          <w:spacing w:val="-2"/>
        </w:rPr>
        <w:noBreakHyphen/>
        <w:t>fold increase in the total value of inheritances, which could lead to a significant increase in the total value of wealth transfers when compared to lifetime earnings. Nevertheless, absent a significant change in how wealth transfers are distributed or saved in the future — for example, because the wealthiest Australians receive a much larger share of total inheritances than in the past, or save a much larger share of their inheritances compared to less wealthy people — they are unlikely to significantly worsen wealth inequality in Australia in the coming decades.</w:t>
      </w:r>
    </w:p>
    <w:p w14:paraId="289466C8" w14:textId="63ACA758" w:rsidR="00503EFA" w:rsidRPr="009E0CE5" w:rsidRDefault="00521618" w:rsidP="00A47E32">
      <w:pPr>
        <w:pStyle w:val="BodyText"/>
        <w:rPr>
          <w:spacing w:val="-2"/>
        </w:rPr>
      </w:pPr>
      <w:r>
        <w:t xml:space="preserve">We wish to thank the staff </w:t>
      </w:r>
      <w:r w:rsidR="00503EFA">
        <w:t>team</w:t>
      </w:r>
      <w:r>
        <w:t xml:space="preserve">, headed up </w:t>
      </w:r>
      <w:r w:rsidR="00503EFA">
        <w:t xml:space="preserve">by Jared Dent and </w:t>
      </w:r>
      <w:r>
        <w:t xml:space="preserve">consisting of </w:t>
      </w:r>
      <w:r w:rsidR="00503EFA">
        <w:t>Lawson Ashburner, Rebecca</w:t>
      </w:r>
      <w:r w:rsidR="00717E4D">
        <w:t> </w:t>
      </w:r>
      <w:r w:rsidR="00503EFA">
        <w:t>Chin, Jonathan Vandenberg</w:t>
      </w:r>
      <w:r w:rsidR="00392DFF">
        <w:t xml:space="preserve">, </w:t>
      </w:r>
      <w:r w:rsidR="00503EFA">
        <w:t>Meredith Baker</w:t>
      </w:r>
      <w:r>
        <w:t>,</w:t>
      </w:r>
      <w:r w:rsidR="00503EFA">
        <w:t xml:space="preserve"> Anna </w:t>
      </w:r>
      <w:r w:rsidR="00F11FD9">
        <w:t>Law</w:t>
      </w:r>
      <w:r>
        <w:t xml:space="preserve"> and </w:t>
      </w:r>
      <w:r w:rsidR="00503EFA">
        <w:t>Pragya Giri.</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977"/>
        <w:gridCol w:w="3686"/>
      </w:tblGrid>
      <w:tr w:rsidR="00BE661A" w:rsidRPr="00BE661A" w14:paraId="50089476" w14:textId="77777777" w:rsidTr="00565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5C35CC7" w14:textId="7FFECA15" w:rsidR="00BE661A" w:rsidRPr="00BE661A" w:rsidRDefault="00BE661A" w:rsidP="00565275">
            <w:pPr>
              <w:pStyle w:val="BodyText"/>
              <w:spacing w:before="480"/>
              <w:rPr>
                <w:b w:val="0"/>
                <w:bCs/>
                <w:color w:val="auto"/>
              </w:rPr>
            </w:pPr>
            <w:r w:rsidRPr="00BE661A">
              <w:rPr>
                <w:b w:val="0"/>
                <w:bCs/>
                <w:color w:val="auto"/>
              </w:rPr>
              <w:t>Lisa Gropp</w:t>
            </w:r>
            <w:r>
              <w:rPr>
                <w:b w:val="0"/>
                <w:bCs/>
                <w:color w:val="auto"/>
              </w:rPr>
              <w:br/>
            </w:r>
            <w:r w:rsidRPr="00BE661A">
              <w:rPr>
                <w:b w:val="0"/>
                <w:bCs/>
                <w:color w:val="auto"/>
              </w:rPr>
              <w:t>Commissioner</w:t>
            </w:r>
          </w:p>
        </w:tc>
        <w:tc>
          <w:tcPr>
            <w:tcW w:w="3686" w:type="dxa"/>
          </w:tcPr>
          <w:p w14:paraId="52CAFAE9" w14:textId="1DCADC4E" w:rsidR="00BE661A" w:rsidRPr="00BE661A" w:rsidRDefault="00BE661A" w:rsidP="00565275">
            <w:pPr>
              <w:pStyle w:val="BodyText"/>
              <w:spacing w:before="480"/>
              <w:cnfStyle w:val="100000000000" w:firstRow="1" w:lastRow="0" w:firstColumn="0" w:lastColumn="0" w:oddVBand="0" w:evenVBand="0" w:oddHBand="0" w:evenHBand="0" w:firstRowFirstColumn="0" w:firstRowLastColumn="0" w:lastRowFirstColumn="0" w:lastRowLastColumn="0"/>
              <w:rPr>
                <w:b w:val="0"/>
                <w:bCs/>
                <w:color w:val="auto"/>
              </w:rPr>
            </w:pPr>
            <w:r w:rsidRPr="00BE661A">
              <w:rPr>
                <w:b w:val="0"/>
                <w:bCs/>
                <w:color w:val="auto"/>
              </w:rPr>
              <w:t>Catherine de Fontenay</w:t>
            </w:r>
            <w:r w:rsidRPr="00BE661A">
              <w:rPr>
                <w:b w:val="0"/>
                <w:bCs/>
                <w:color w:val="auto"/>
              </w:rPr>
              <w:br/>
              <w:t>Commissioner</w:t>
            </w:r>
          </w:p>
        </w:tc>
      </w:tr>
    </w:tbl>
    <w:p w14:paraId="46D5D53A" w14:textId="7E8B9554" w:rsidR="00241848" w:rsidRDefault="00241848" w:rsidP="00EE6E10">
      <w:pPr>
        <w:pStyle w:val="BodyText"/>
        <w:spacing w:line="240" w:lineRule="auto"/>
        <w:sectPr w:rsidR="00241848" w:rsidSect="001625EC">
          <w:headerReference w:type="default" r:id="rId26"/>
          <w:footerReference w:type="even" r:id="rId27"/>
          <w:footerReference w:type="default" r:id="rId28"/>
          <w:type w:val="oddPage"/>
          <w:pgSz w:w="11906" w:h="16838" w:code="9"/>
          <w:pgMar w:top="1134" w:right="1134" w:bottom="1134" w:left="1134" w:header="794" w:footer="510" w:gutter="0"/>
          <w:pgNumType w:fmt="lowerRoman"/>
          <w:cols w:space="708"/>
          <w:docGrid w:linePitch="360"/>
        </w:sectPr>
      </w:pPr>
    </w:p>
    <w:p w14:paraId="11E18DF8" w14:textId="1A7ECA94" w:rsidR="00834EBB" w:rsidRDefault="004202E1" w:rsidP="005D5CD0">
      <w:pPr>
        <w:pStyle w:val="Heading1-nobackground"/>
      </w:pPr>
      <w:bookmarkStart w:id="0" w:name="_Toc87009666"/>
      <w:r>
        <w:lastRenderedPageBreak/>
        <w:t>Acknowled</w:t>
      </w:r>
      <w:r w:rsidR="00302705">
        <w:t>gments</w:t>
      </w:r>
      <w:bookmarkEnd w:id="0"/>
    </w:p>
    <w:p w14:paraId="22B95A32" w14:textId="77777777" w:rsidR="004A7A7D" w:rsidRDefault="004A7A7D" w:rsidP="004A7A7D">
      <w:pPr>
        <w:pStyle w:val="BodyText"/>
      </w:pPr>
      <w:r>
        <w:t>The Commission is grateful to all those who have given their time to share their experiences and expertise in support of this research paper.</w:t>
      </w:r>
    </w:p>
    <w:p w14:paraId="3BC5E729" w14:textId="77777777" w:rsidR="004A7A7D" w:rsidRDefault="004A7A7D" w:rsidP="004A7A7D">
      <w:pPr>
        <w:pStyle w:val="BodyText"/>
      </w:pPr>
      <w:r>
        <w:t>The Commission wishes to particularly thank our external referees — Professor Peter Siminski (</w:t>
      </w:r>
      <w:r w:rsidRPr="006E1969">
        <w:t>University of Technology Sydney</w:t>
      </w:r>
      <w:r>
        <w:t>) and Dr Isaac Gross (Monash University) — for helpful feedback, Andrea McCaskill for sharing her late brother Dr Christopher Baker’s dataset of probate files, and the Grattan Institute for sharing their dataset of probate files.</w:t>
      </w:r>
    </w:p>
    <w:p w14:paraId="750D3314" w14:textId="11694D91" w:rsidR="00302705" w:rsidRDefault="004A7A7D" w:rsidP="004A7A7D">
      <w:pPr>
        <w:pStyle w:val="BodyText"/>
        <w:rPr>
          <w:spacing w:val="-2"/>
        </w:rPr>
      </w:pPr>
      <w:r w:rsidRPr="00EF0111">
        <w:rPr>
          <w:spacing w:val="-4"/>
        </w:rPr>
        <w:t>This paper uses unit record data from the Household, Income and Labour Dynamics in Australia Survey (HILDA) conducted by the Australian Government Department of Social Services (DSS) (DOI:</w:t>
      </w:r>
      <w:r w:rsidR="00EF0111" w:rsidRPr="00EF0111">
        <w:rPr>
          <w:spacing w:val="-4"/>
        </w:rPr>
        <w:t> </w:t>
      </w:r>
      <w:r w:rsidRPr="00EF0111">
        <w:rPr>
          <w:spacing w:val="-4"/>
        </w:rPr>
        <w:t>10.26193/0LPD4U).</w:t>
      </w:r>
      <w:r w:rsidRPr="00EF0111">
        <w:rPr>
          <w:spacing w:val="-2"/>
        </w:rPr>
        <w:t xml:space="preserve"> This paper also uses data from the Australian Taxation Office (ATO) Longitudinal Information Files. The findings and views reported in this paper, however, are those of the Commission and should not be attributed to the Australian Government, DSS, any of DSS’ contractors or partners, ATO or any other agencies.</w:t>
      </w:r>
    </w:p>
    <w:p w14:paraId="2E4CC0A2" w14:textId="77777777" w:rsidR="00382980" w:rsidRDefault="00382980" w:rsidP="004A7A7D">
      <w:pPr>
        <w:pStyle w:val="BodyText"/>
        <w:rPr>
          <w:spacing w:val="-2"/>
        </w:rPr>
        <w:sectPr w:rsidR="00382980" w:rsidSect="00EC58FF">
          <w:headerReference w:type="even" r:id="rId29"/>
          <w:headerReference w:type="default" r:id="rId30"/>
          <w:pgSz w:w="11906" w:h="16838" w:code="9"/>
          <w:pgMar w:top="1134" w:right="1134" w:bottom="1134" w:left="1134" w:header="794" w:footer="510" w:gutter="0"/>
          <w:pgNumType w:fmt="lowerRoman"/>
          <w:cols w:space="708"/>
          <w:docGrid w:linePitch="360"/>
        </w:sectPr>
      </w:pPr>
    </w:p>
    <w:p w14:paraId="18E80923" w14:textId="77777777" w:rsidR="006E0ED6" w:rsidRPr="000F4488" w:rsidRDefault="006E0ED6" w:rsidP="006E0ED6">
      <w:pPr>
        <w:pStyle w:val="Heading1-Section-fullpage"/>
        <w:framePr w:wrap="around"/>
      </w:pPr>
      <w:bookmarkStart w:id="1" w:name="_Toc87543950"/>
      <w:r>
        <w:lastRenderedPageBreak/>
        <w:t>Executive summary</w:t>
      </w:r>
      <w:bookmarkEnd w:id="1"/>
    </w:p>
    <w:p w14:paraId="18B34C53" w14:textId="77777777" w:rsidR="006E0ED6" w:rsidRPr="00610627" w:rsidRDefault="006E0ED6" w:rsidP="006E0ED6">
      <w:r w:rsidRPr="00610627">
        <w:br w:type="page"/>
      </w:r>
    </w:p>
    <w:p w14:paraId="3183C001" w14:textId="77777777" w:rsidR="006E0ED6" w:rsidRPr="00A15CD4" w:rsidRDefault="006E0ED6" w:rsidP="006E0ED6">
      <w:pPr>
        <w:pStyle w:val="Heading2-nonumber"/>
      </w:pPr>
      <w:r w:rsidRPr="00A15CD4">
        <w:lastRenderedPageBreak/>
        <w:t>Why are we doing this research?</w:t>
      </w:r>
    </w:p>
    <w:p w14:paraId="2669B484" w14:textId="77777777" w:rsidR="006E0ED6" w:rsidRPr="00CA5964" w:rsidRDefault="006E0ED6" w:rsidP="006E0ED6">
      <w:pPr>
        <w:pStyle w:val="BodyText"/>
        <w:rPr>
          <w:spacing w:val="-2"/>
        </w:rPr>
      </w:pPr>
      <w:r w:rsidRPr="00CA5964">
        <w:rPr>
          <w:spacing w:val="-2"/>
        </w:rPr>
        <w:t>The wealth of the average older Australian has grown remarkably since the turn of the century. It has been buoyed by strong real growth in house prices and almost three decades of growth in superannuation balances, alongside low rates of asset drawdown to fund retirement. As such, many older, retired Australians, at a time of life where one would expect them to be drawing down their wealth to fund consumption, have actually accumulated increasingly large stores of wealth (figure 1). They transfer their increased wealth while they are alive (known as inter vivos gifts — ‘gifts’ henceforth) and at death (inheritances).</w:t>
      </w:r>
    </w:p>
    <w:p w14:paraId="403EF0BD" w14:textId="73717296" w:rsidR="006E0ED6" w:rsidRPr="00146382" w:rsidRDefault="006E0ED6" w:rsidP="006E0ED6">
      <w:pPr>
        <w:pStyle w:val="FigureTableHeading"/>
      </w:pPr>
      <w:bookmarkStart w:id="2" w:name="_Toc30502221"/>
      <w:r>
        <w:t xml:space="preserve">Figure </w:t>
      </w:r>
      <w:r w:rsidR="00B2270C">
        <w:fldChar w:fldCharType="begin"/>
      </w:r>
      <w:r w:rsidR="00B2270C">
        <w:instrText xml:space="preserve"> SEQ Figure \* ARABIC \s 1 </w:instrText>
      </w:r>
      <w:r w:rsidR="00B2270C">
        <w:fldChar w:fldCharType="separate"/>
      </w:r>
      <w:r w:rsidR="00F3386D">
        <w:rPr>
          <w:noProof/>
        </w:rPr>
        <w:t>1</w:t>
      </w:r>
      <w:r w:rsidR="00B2270C">
        <w:rPr>
          <w:noProof/>
        </w:rPr>
        <w:fldChar w:fldCharType="end"/>
      </w:r>
      <w:r>
        <w:rPr>
          <w:noProof/>
        </w:rPr>
        <w:t xml:space="preserve"> </w:t>
      </w:r>
      <w:r>
        <w:t xml:space="preserve">– </w:t>
      </w:r>
      <w:r w:rsidRPr="00CA5964">
        <w:t>Older Australians continue to build wealth in retirement</w:t>
      </w:r>
      <w:r w:rsidRPr="00CA5964">
        <w:rPr>
          <w:vertAlign w:val="superscript"/>
        </w:rPr>
        <w:t>a</w:t>
      </w:r>
    </w:p>
    <w:p w14:paraId="49A652C2" w14:textId="77777777" w:rsidR="006E0ED6" w:rsidRDefault="006E0ED6" w:rsidP="006E0ED6">
      <w:pPr>
        <w:pStyle w:val="FigureTableSubheading"/>
        <w:keepLines/>
      </w:pPr>
      <w:r w:rsidRPr="004C58DE">
        <w:rPr>
          <w:sz w:val="18"/>
          <w:szCs w:val="16"/>
        </w:rPr>
        <w:t>Average equivalised wealth by age and birth decade</w:t>
      </w:r>
    </w:p>
    <w:p w14:paraId="0CC1BCFD" w14:textId="3410CC7F" w:rsidR="006E0ED6" w:rsidRPr="005550A0" w:rsidRDefault="000C0A5F" w:rsidP="006E0ED6">
      <w:pPr>
        <w:pStyle w:val="BodyText"/>
      </w:pPr>
      <w:r w:rsidRPr="000C0A5F">
        <w:rPr>
          <w:noProof/>
        </w:rPr>
        <w:drawing>
          <wp:inline distT="0" distB="0" distL="0" distR="0" wp14:anchorId="148E00D8" wp14:editId="0E6D188A">
            <wp:extent cx="6120130" cy="2870200"/>
            <wp:effectExtent l="0" t="0" r="0" b="6350"/>
            <wp:docPr id="21" name="Picture 21" descr="Figure 1. This chart shows average equivalised wealth by birth decade (from the 1920s to 1980s) and the average age of the birth cohort. It shows that people build up wealth over their working lives until they reach retirement at around age 65. People born in later decades have typically had more wealth than those born in earlier decades when they were the same age, where data are available. This is most clearly observed in the retirement years. For example people born in the 1940s had much more wealth at ages 65 to 70 than people born in the 1930s at the same ag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 This chart shows average equivalised wealth by birth decade (from the 1920s to 1980s) and the average age of the birth cohort. It shows that people build up wealth over their working lives until they reach retirement at around age 65. People born in later decades have typically had more wealth than those born in earlier decades when they were the same age, where data are available. This is most clearly observed in the retirement years. For example people born in the 1940s had much more wealth at ages 65 to 70 than people born in the 1930s at the same age. More details are contained in the text surrounding this fig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870200"/>
                    </a:xfrm>
                    <a:prstGeom prst="rect">
                      <a:avLst/>
                    </a:prstGeom>
                    <a:noFill/>
                    <a:ln>
                      <a:noFill/>
                    </a:ln>
                  </pic:spPr>
                </pic:pic>
              </a:graphicData>
            </a:graphic>
          </wp:inline>
        </w:drawing>
      </w:r>
    </w:p>
    <w:p w14:paraId="7F7BE796" w14:textId="75959B77" w:rsidR="006E0ED6" w:rsidRDefault="006E0ED6" w:rsidP="006E0ED6">
      <w:pPr>
        <w:pStyle w:val="Note"/>
        <w:keepLines/>
        <w:spacing w:after="240"/>
      </w:pPr>
      <w:r w:rsidRPr="00180E66">
        <w:rPr>
          <w:b/>
          <w:bCs/>
        </w:rPr>
        <w:t>a.</w:t>
      </w:r>
      <w:r>
        <w:t xml:space="preserve"> </w:t>
      </w:r>
      <w:r w:rsidRPr="00CA5964">
        <w:t>Data points follow the same group of people at 4</w:t>
      </w:r>
      <w:r w:rsidR="00976528">
        <w:noBreakHyphen/>
      </w:r>
      <w:r w:rsidRPr="00CA5964">
        <w:t>year intervals between 2002 and 2018 based on their birth decade.</w:t>
      </w:r>
    </w:p>
    <w:bookmarkEnd w:id="2"/>
    <w:p w14:paraId="4F704FBD" w14:textId="77777777" w:rsidR="006E0ED6" w:rsidRPr="00042DAD" w:rsidRDefault="006E0ED6" w:rsidP="006E0ED6">
      <w:pPr>
        <w:pStyle w:val="BodyText"/>
      </w:pPr>
      <w:r>
        <w:t xml:space="preserve">Although research into wealth transfers has a relatively long history overseas, little is known in Australia. </w:t>
      </w:r>
      <w:r w:rsidRPr="003F02B1">
        <w:t xml:space="preserve">This </w:t>
      </w:r>
      <w:r w:rsidRPr="00042DAD">
        <w:t>report</w:t>
      </w:r>
      <w:r>
        <w:t xml:space="preserve"> seeks to</w:t>
      </w:r>
      <w:r w:rsidRPr="00042DAD">
        <w:t xml:space="preserve"> fill </w:t>
      </w:r>
      <w:r>
        <w:t xml:space="preserve">that </w:t>
      </w:r>
      <w:r w:rsidRPr="00042DAD">
        <w:t xml:space="preserve">gap by </w:t>
      </w:r>
      <w:r w:rsidRPr="003F02B1">
        <w:t>creat</w:t>
      </w:r>
      <w:r w:rsidRPr="00042DAD">
        <w:t>ing</w:t>
      </w:r>
      <w:r w:rsidRPr="003F02B1">
        <w:t xml:space="preserve"> a wealth transfer fact base </w:t>
      </w:r>
      <w:r>
        <w:t xml:space="preserve">for </w:t>
      </w:r>
      <w:r w:rsidRPr="003F02B1">
        <w:t>Australia</w:t>
      </w:r>
      <w:r>
        <w:t xml:space="preserve"> to answer</w:t>
      </w:r>
      <w:r w:rsidRPr="00042DAD">
        <w:t xml:space="preserve"> basic questions</w:t>
      </w:r>
      <w:r>
        <w:t>,</w:t>
      </w:r>
      <w:r w:rsidRPr="00042DAD">
        <w:t xml:space="preserve"> such as</w:t>
      </w:r>
      <w:r>
        <w:t>:</w:t>
      </w:r>
      <w:r w:rsidRPr="00042DAD">
        <w:t xml:space="preserve"> </w:t>
      </w:r>
      <w:r w:rsidRPr="003F02B1">
        <w:t xml:space="preserve">how much wealth is transferred between </w:t>
      </w:r>
      <w:r w:rsidRPr="00042DAD">
        <w:t>Australians</w:t>
      </w:r>
      <w:r w:rsidRPr="003F02B1">
        <w:t xml:space="preserve"> each year</w:t>
      </w:r>
      <w:r w:rsidRPr="00042DAD">
        <w:t>, when, and to whom</w:t>
      </w:r>
      <w:r>
        <w:t>?</w:t>
      </w:r>
      <w:r w:rsidRPr="00042DAD">
        <w:t xml:space="preserve"> </w:t>
      </w:r>
      <w:r>
        <w:t>And</w:t>
      </w:r>
      <w:r w:rsidRPr="00042DAD">
        <w:t xml:space="preserve"> </w:t>
      </w:r>
      <w:r>
        <w:t>how do people respond to receiving a wealth transfer</w:t>
      </w:r>
      <w:r w:rsidRPr="00042DAD">
        <w:t xml:space="preserve"> — for example</w:t>
      </w:r>
      <w:r>
        <w:t>,</w:t>
      </w:r>
      <w:r w:rsidRPr="00042DAD">
        <w:t xml:space="preserve"> by immediately consuming it</w:t>
      </w:r>
      <w:r>
        <w:t>,</w:t>
      </w:r>
      <w:r w:rsidRPr="00042DAD">
        <w:t xml:space="preserve"> or investing it </w:t>
      </w:r>
      <w:r>
        <w:t>to consume later?</w:t>
      </w:r>
    </w:p>
    <w:p w14:paraId="22AFF561" w14:textId="45CFB1B7" w:rsidR="006E0ED6" w:rsidRDefault="006E0ED6" w:rsidP="006E0ED6">
      <w:pPr>
        <w:pStyle w:val="BodyText"/>
      </w:pPr>
      <w:r>
        <w:t xml:space="preserve">We also investigate </w:t>
      </w:r>
      <w:r w:rsidRPr="00042DAD">
        <w:t xml:space="preserve">the contribution of wealth transfers to </w:t>
      </w:r>
      <w:r>
        <w:t>wealth inequality in Australia in the past and the (simulated) future. P</w:t>
      </w:r>
      <w:r w:rsidRPr="00042DAD">
        <w:t xml:space="preserve">revious work by the </w:t>
      </w:r>
      <w:r>
        <w:t xml:space="preserve">Commission </w:t>
      </w:r>
      <w:r w:rsidRPr="00042DAD">
        <w:t xml:space="preserve">found that </w:t>
      </w:r>
      <w:r w:rsidRPr="003F02B1">
        <w:t xml:space="preserve">wealth inequality had likely increased in the </w:t>
      </w:r>
      <w:r w:rsidRPr="00042DAD">
        <w:t>opening decades of the 21st</w:t>
      </w:r>
      <w:r w:rsidR="006A69C1">
        <w:t> </w:t>
      </w:r>
      <w:r w:rsidRPr="00042DAD">
        <w:t>century</w:t>
      </w:r>
      <w:r>
        <w:t xml:space="preserve">. Academic work </w:t>
      </w:r>
      <w:r w:rsidRPr="00042DAD">
        <w:t xml:space="preserve">by Piketty and others </w:t>
      </w:r>
      <w:r>
        <w:t xml:space="preserve">has </w:t>
      </w:r>
      <w:r w:rsidRPr="00042DAD">
        <w:t>argue</w:t>
      </w:r>
      <w:r>
        <w:t>d</w:t>
      </w:r>
      <w:r w:rsidRPr="00042DAD">
        <w:t xml:space="preserve"> that wealth transfers, and inheritances in particular, </w:t>
      </w:r>
      <w:r>
        <w:t xml:space="preserve">might contribute to worsening </w:t>
      </w:r>
      <w:r w:rsidRPr="00042DAD">
        <w:t>wealth inequality</w:t>
      </w:r>
      <w:r>
        <w:t xml:space="preserve"> in the future</w:t>
      </w:r>
      <w:r w:rsidRPr="00042DAD">
        <w:t>.</w:t>
      </w:r>
      <w:r>
        <w:t xml:space="preserve"> We do not find compelling evidence for this. As is commonly believed, wealth transfers do largely go to the rich, but on some measures wealth transfers actually reduce wealth inequality.</w:t>
      </w:r>
    </w:p>
    <w:p w14:paraId="53655D68" w14:textId="77777777" w:rsidR="006E0ED6" w:rsidRPr="00CA5964" w:rsidRDefault="006E0ED6" w:rsidP="006E0ED6">
      <w:pPr>
        <w:pStyle w:val="BodyText"/>
        <w:rPr>
          <w:spacing w:val="-4"/>
        </w:rPr>
      </w:pPr>
      <w:bookmarkStart w:id="3" w:name="_Hlk84403726"/>
      <w:r w:rsidRPr="00CA5964">
        <w:rPr>
          <w:spacing w:val="-4"/>
        </w:rPr>
        <w:t>While there are many factors at work, government policies affect the accumulation of wealth and the terms and conditions of its transfer to younger generations (through the tax and transfer system, superannuation policies and the treatment of housing over the lifecycle, among other factors).</w:t>
      </w:r>
      <w:bookmarkEnd w:id="3"/>
      <w:r w:rsidRPr="00CA5964">
        <w:rPr>
          <w:spacing w:val="-4"/>
        </w:rPr>
        <w:t xml:space="preserve"> Of particular relevance is the extent to which policies may be contributing to the accumulation of large stores of wealth by many households and individuals, which are increasingly persisting until death. This has led to debate about policy settings that encourage retirement savings. These policy issues are complex and are not covered in this report (box 1). </w:t>
      </w:r>
    </w:p>
    <w:tbl>
      <w:tblPr>
        <w:tblStyle w:val="Boxtable"/>
        <w:tblW w:w="5000" w:type="pct"/>
        <w:tblLook w:val="04A0" w:firstRow="1" w:lastRow="0" w:firstColumn="1" w:lastColumn="0" w:noHBand="0" w:noVBand="1"/>
      </w:tblPr>
      <w:tblGrid>
        <w:gridCol w:w="9638"/>
      </w:tblGrid>
      <w:tr w:rsidR="006E0ED6" w14:paraId="744BEDF1" w14:textId="77777777" w:rsidTr="001625EC">
        <w:trPr>
          <w:tblHeader/>
        </w:trPr>
        <w:tc>
          <w:tcPr>
            <w:tcW w:w="9638" w:type="dxa"/>
            <w:tcMar>
              <w:top w:w="170" w:type="dxa"/>
              <w:left w:w="170" w:type="dxa"/>
              <w:bottom w:w="113" w:type="dxa"/>
              <w:right w:w="170" w:type="dxa"/>
            </w:tcMar>
            <w:hideMark/>
          </w:tcPr>
          <w:p w14:paraId="63C4144E" w14:textId="6A7D8353" w:rsidR="006E0ED6" w:rsidRDefault="006E0ED6" w:rsidP="001625EC">
            <w:pPr>
              <w:pStyle w:val="BoxHeading1"/>
            </w:pPr>
            <w:bookmarkStart w:id="4" w:name="_Ref78902111"/>
            <w:r>
              <w:lastRenderedPageBreak/>
              <w:t xml:space="preserve">Box </w:t>
            </w:r>
            <w:r w:rsidR="00B2270C">
              <w:fldChar w:fldCharType="begin"/>
            </w:r>
            <w:r w:rsidR="00B2270C">
              <w:instrText xml:space="preserve"> SEQ Box \* ARABIC \s 1 </w:instrText>
            </w:r>
            <w:r w:rsidR="00B2270C">
              <w:fldChar w:fldCharType="separate"/>
            </w:r>
            <w:r w:rsidR="00F3386D">
              <w:rPr>
                <w:noProof/>
              </w:rPr>
              <w:t>1</w:t>
            </w:r>
            <w:r w:rsidR="00B2270C">
              <w:rPr>
                <w:noProof/>
              </w:rPr>
              <w:fldChar w:fldCharType="end"/>
            </w:r>
            <w:r>
              <w:t xml:space="preserve"> – </w:t>
            </w:r>
            <w:bookmarkEnd w:id="4"/>
            <w:r>
              <w:t>Public policy relevant to wealth transfers</w:t>
            </w:r>
          </w:p>
        </w:tc>
      </w:tr>
      <w:tr w:rsidR="006E0ED6" w14:paraId="7D3D44D1" w14:textId="77777777" w:rsidTr="001625EC">
        <w:tc>
          <w:tcPr>
            <w:tcW w:w="9638" w:type="dxa"/>
            <w:tcMar>
              <w:top w:w="28" w:type="dxa"/>
              <w:left w:w="170" w:type="dxa"/>
              <w:bottom w:w="170" w:type="dxa"/>
              <w:right w:w="170" w:type="dxa"/>
            </w:tcMar>
            <w:hideMark/>
          </w:tcPr>
          <w:p w14:paraId="1FF42F30" w14:textId="0E406326" w:rsidR="006E0ED6" w:rsidRDefault="006E0ED6" w:rsidP="001625EC">
            <w:pPr>
              <w:pStyle w:val="BodyText"/>
            </w:pPr>
            <w:r>
              <w:t>Superannuation tax and contribution arrangements have led to higher levels of private saving than would occur in their absence. As many people draw down only the minimum allowable amount of their superannuation, larger inheritances result.</w:t>
            </w:r>
          </w:p>
          <w:p w14:paraId="75C308FE" w14:textId="77777777" w:rsidR="006E0ED6" w:rsidRDefault="006E0ED6" w:rsidP="001625EC">
            <w:pPr>
              <w:pStyle w:val="BodyText"/>
            </w:pPr>
            <w:r>
              <w:t xml:space="preserve">Precautionary saving (in anticipation of high aged care deposits, unknown medical expenses and concern that the money might run out given an uncertain time of death) contributes to unintended inheritances as does uncertainty about asset returns. To the extent that people have poorly-informed views about risks or are unable to manage these risks through different retirement products, some older Australians can be deprived of higher consumption and wellbeing in their retirement. </w:t>
            </w:r>
          </w:p>
          <w:p w14:paraId="563D0031" w14:textId="77777777" w:rsidR="006E0ED6" w:rsidRDefault="006E0ED6" w:rsidP="001625EC">
            <w:pPr>
              <w:pStyle w:val="BodyText"/>
            </w:pPr>
            <w:r>
              <w:t>Moreover, some older people use their liquid savings to meet their current consumption needs, but not draw down on their housing wealth because of a lack of attractive financial approaches to liquidate housing wealth, such as equity withdrawal. This behaviour is likely influenced by the favourable treatment of owner-occupied housing in asset tests for access to the Age Pension.</w:t>
            </w:r>
          </w:p>
        </w:tc>
      </w:tr>
      <w:tr w:rsidR="006E0ED6" w14:paraId="5C4C7ECC" w14:textId="77777777" w:rsidTr="001625EC">
        <w:tc>
          <w:tcPr>
            <w:tcW w:w="9638" w:type="dxa"/>
            <w:shd w:val="clear" w:color="auto" w:fill="auto"/>
            <w:tcMar>
              <w:top w:w="0" w:type="dxa"/>
              <w:left w:w="170" w:type="dxa"/>
              <w:bottom w:w="0" w:type="dxa"/>
              <w:right w:w="170" w:type="dxa"/>
            </w:tcMar>
          </w:tcPr>
          <w:p w14:paraId="32861125" w14:textId="77777777" w:rsidR="006E0ED6" w:rsidRDefault="006E0ED6" w:rsidP="001625EC">
            <w:pPr>
              <w:pStyle w:val="BodyText"/>
              <w:spacing w:before="0" w:after="0" w:line="80" w:lineRule="atLeast"/>
            </w:pPr>
          </w:p>
        </w:tc>
      </w:tr>
    </w:tbl>
    <w:p w14:paraId="7DA94773" w14:textId="77777777" w:rsidR="006E0ED6" w:rsidRPr="00A15CD4" w:rsidRDefault="006E0ED6" w:rsidP="006E0ED6">
      <w:pPr>
        <w:pStyle w:val="Heading2-nonumber"/>
      </w:pPr>
      <w:r>
        <w:t>What we do in this study</w:t>
      </w:r>
    </w:p>
    <w:p w14:paraId="622703D5" w14:textId="77777777" w:rsidR="006E0ED6" w:rsidRPr="00CA5964" w:rsidRDefault="006E0ED6" w:rsidP="006E0ED6">
      <w:pPr>
        <w:pStyle w:val="BodyText"/>
        <w:rPr>
          <w:spacing w:val="-4"/>
        </w:rPr>
      </w:pPr>
      <w:r w:rsidRPr="00CA5964">
        <w:rPr>
          <w:spacing w:val="-4"/>
        </w:rPr>
        <w:t>We undertake backward</w:t>
      </w:r>
      <w:r>
        <w:rPr>
          <w:spacing w:val="-4"/>
        </w:rPr>
        <w:t>-</w:t>
      </w:r>
      <w:r w:rsidRPr="00CA5964">
        <w:rPr>
          <w:spacing w:val="-4"/>
        </w:rPr>
        <w:t xml:space="preserve">looking empirical analysis over the past two decades to create a fact base </w:t>
      </w:r>
      <w:r w:rsidRPr="00CA5964" w:rsidDel="00C3156B">
        <w:rPr>
          <w:spacing w:val="-4"/>
        </w:rPr>
        <w:t xml:space="preserve">on wealth transfer behaviour </w:t>
      </w:r>
      <w:r w:rsidRPr="00CA5964">
        <w:rPr>
          <w:spacing w:val="-4"/>
        </w:rPr>
        <w:t>(chapter 1), and investigate how wealth transfers have affected the distribution of wealth over that time (chapter 2). We also undertake forward</w:t>
      </w:r>
      <w:r w:rsidRPr="00CA5964">
        <w:rPr>
          <w:spacing w:val="-4"/>
        </w:rPr>
        <w:noBreakHyphen/>
        <w:t xml:space="preserve">looking empirical analysis by projecting wealth outcomes to 2050 to examine the potential impact of future wealth transfers on inequality under different scenarios (chapter 3). </w:t>
      </w:r>
    </w:p>
    <w:p w14:paraId="0DCAE25E" w14:textId="77777777" w:rsidR="006E0ED6" w:rsidRDefault="006E0ED6" w:rsidP="006E0ED6">
      <w:pPr>
        <w:pStyle w:val="Heading3"/>
      </w:pPr>
      <w:r>
        <w:t>The data</w:t>
      </w:r>
    </w:p>
    <w:p w14:paraId="3B5AD769" w14:textId="77777777" w:rsidR="006E0ED6" w:rsidRDefault="006E0ED6" w:rsidP="006E0ED6">
      <w:pPr>
        <w:pStyle w:val="BodyText"/>
      </w:pPr>
      <w:r>
        <w:t xml:space="preserve">The key data sources for this </w:t>
      </w:r>
      <w:r w:rsidRPr="00042DAD">
        <w:t xml:space="preserve">analysis </w:t>
      </w:r>
      <w:r>
        <w:t xml:space="preserve">are: the </w:t>
      </w:r>
      <w:r w:rsidRPr="00C409AC">
        <w:t>Melbourne Institute’s Household, Income and Labour Dynamics in Australia (HILDA) survey</w:t>
      </w:r>
      <w:r>
        <w:t>;</w:t>
      </w:r>
      <w:r w:rsidRPr="00C409AC">
        <w:t xml:space="preserve"> </w:t>
      </w:r>
      <w:r>
        <w:t>t</w:t>
      </w:r>
      <w:r w:rsidRPr="00C409AC">
        <w:t xml:space="preserve">wo probate datasets, which provide </w:t>
      </w:r>
      <w:r>
        <w:t>partial</w:t>
      </w:r>
      <w:r w:rsidRPr="00C409AC">
        <w:t xml:space="preserve"> information about wealth at death for a representative Australian sample in 2010 and for Victoria in 2016</w:t>
      </w:r>
      <w:r>
        <w:t>; and tax file return data, which provides information about wealth held in superannuation accounts.</w:t>
      </w:r>
    </w:p>
    <w:p w14:paraId="2706B7E1" w14:textId="77777777" w:rsidR="006E0ED6" w:rsidRDefault="006E0ED6" w:rsidP="006E0ED6">
      <w:pPr>
        <w:pStyle w:val="BodyText"/>
      </w:pPr>
      <w:r>
        <w:t xml:space="preserve">The breadth and depth of information about the </w:t>
      </w:r>
      <w:r w:rsidRPr="00042DAD">
        <w:t>wealth transfer</w:t>
      </w:r>
      <w:r>
        <w:t xml:space="preserve"> behaviour of individual Australians in these data sources is somewhat limited. But, as this report shows, a wide range of economic analysis is still possible and there is good evidence that the constraints imposed by the data do not undermine the robustness of the findings. Indeed many of the findings in this paper about the impact of wealth transfers in Australia are similar in nature (if not magnitude) to the research findings from other countries, including research undertaken with much more extensive datasets.</w:t>
      </w:r>
    </w:p>
    <w:p w14:paraId="47C8F952" w14:textId="77777777" w:rsidR="006E0ED6" w:rsidRPr="00E51851" w:rsidRDefault="006E0ED6" w:rsidP="006E0ED6">
      <w:pPr>
        <w:pStyle w:val="BodyText"/>
      </w:pPr>
      <w:r>
        <w:t>Richer insights about wealth transfers in Australia could be facilitated at relatively low cost in the future by including additional questions in the HILDA survey — the only household level dataset for analysing wealth transfers in Australia — and linking administrative datasets with probate records (as the latter are progressively digitised).</w:t>
      </w:r>
    </w:p>
    <w:p w14:paraId="04119CAE" w14:textId="77777777" w:rsidR="006E0ED6" w:rsidRPr="00A15CD4" w:rsidRDefault="006E0ED6" w:rsidP="006E0ED6">
      <w:pPr>
        <w:pStyle w:val="Heading2-nonumber"/>
      </w:pPr>
      <w:r w:rsidRPr="00A15CD4">
        <w:lastRenderedPageBreak/>
        <w:t>What we find</w:t>
      </w:r>
    </w:p>
    <w:p w14:paraId="32B4632D" w14:textId="77777777" w:rsidR="006E0ED6" w:rsidRPr="00A05E36" w:rsidRDefault="006E0ED6" w:rsidP="006E0ED6">
      <w:pPr>
        <w:pStyle w:val="Heading3"/>
        <w:spacing w:before="280"/>
      </w:pPr>
      <w:r w:rsidRPr="00A05E36">
        <w:t xml:space="preserve">Australian wealth transfers are large and growing </w:t>
      </w:r>
    </w:p>
    <w:p w14:paraId="4D4D9661" w14:textId="52418434" w:rsidR="006E0ED6" w:rsidRDefault="006E0ED6" w:rsidP="006E0ED6">
      <w:pPr>
        <w:pStyle w:val="BodyText"/>
      </w:pPr>
      <w:r>
        <w:t xml:space="preserve">More </w:t>
      </w:r>
      <w:r w:rsidRPr="00F97063">
        <w:t>than $1</w:t>
      </w:r>
      <w:r>
        <w:t>2</w:t>
      </w:r>
      <w:r w:rsidRPr="00F97063">
        <w:t xml:space="preserve">0 billion </w:t>
      </w:r>
      <w:r>
        <w:t xml:space="preserve">was transferred </w:t>
      </w:r>
      <w:r w:rsidRPr="00F97063">
        <w:t>in 2018</w:t>
      </w:r>
      <w:r>
        <w:t xml:space="preserve"> alone (figure 2) — to put this sum in perspective, this is s</w:t>
      </w:r>
      <w:r w:rsidRPr="001F44E7">
        <w:t xml:space="preserve">ignificantly more than </w:t>
      </w:r>
      <w:bookmarkStart w:id="5" w:name="OLE_LINK1"/>
      <w:r w:rsidRPr="001F44E7">
        <w:t xml:space="preserve">Australian government </w:t>
      </w:r>
      <w:r>
        <w:t>expenditure in 2018</w:t>
      </w:r>
      <w:r w:rsidR="00DB40E9">
        <w:noBreakHyphen/>
      </w:r>
      <w:r>
        <w:t xml:space="preserve">19 on </w:t>
      </w:r>
      <w:r w:rsidRPr="001F44E7">
        <w:t>health ($80</w:t>
      </w:r>
      <w:r w:rsidR="00700A69">
        <w:t> </w:t>
      </w:r>
      <w:r w:rsidRPr="001F44E7">
        <w:t>billion) and about 30</w:t>
      </w:r>
      <w:r>
        <w:t> </w:t>
      </w:r>
      <w:r w:rsidRPr="001F44E7">
        <w:t>per</w:t>
      </w:r>
      <w:r>
        <w:t> </w:t>
      </w:r>
      <w:r w:rsidRPr="001F44E7">
        <w:t>cent less than total spending on social security and welfare ($170</w:t>
      </w:r>
      <w:r w:rsidR="00700A69">
        <w:t> </w:t>
      </w:r>
      <w:r w:rsidRPr="001F44E7">
        <w:t>billion)</w:t>
      </w:r>
      <w:r>
        <w:t xml:space="preserve">. </w:t>
      </w:r>
      <w:bookmarkEnd w:id="5"/>
    </w:p>
    <w:p w14:paraId="348EE9B2" w14:textId="77777777" w:rsidR="006E0ED6" w:rsidRDefault="006E0ED6" w:rsidP="006E0ED6">
      <w:pPr>
        <w:pStyle w:val="BodyText"/>
      </w:pPr>
      <w:r>
        <w:t xml:space="preserve">The aggregate annual value of wealth transfers has more than doubled in real terms since 2002, </w:t>
      </w:r>
      <w:r w:rsidRPr="00F97063">
        <w:t xml:space="preserve">as Australians </w:t>
      </w:r>
      <w:r>
        <w:t xml:space="preserve">have </w:t>
      </w:r>
      <w:r w:rsidRPr="00F97063">
        <w:t>accumulate</w:t>
      </w:r>
      <w:r>
        <w:t>d</w:t>
      </w:r>
      <w:r w:rsidRPr="00F97063">
        <w:t xml:space="preserve"> large</w:t>
      </w:r>
      <w:r>
        <w:t>r</w:t>
      </w:r>
      <w:r w:rsidRPr="00F97063">
        <w:t xml:space="preserve"> amounts of wealth</w:t>
      </w:r>
      <w:r>
        <w:t>.</w:t>
      </w:r>
      <w:r w:rsidRPr="00F97063">
        <w:t xml:space="preserve"> </w:t>
      </w:r>
      <w:r>
        <w:t xml:space="preserve">The cumulative impact on wealth transfers is immense, with slightly less than </w:t>
      </w:r>
      <w:r w:rsidRPr="00F97063">
        <w:t>$1</w:t>
      </w:r>
      <w:r>
        <w:t>.5 </w:t>
      </w:r>
      <w:r w:rsidRPr="00F97063">
        <w:t xml:space="preserve">trillion </w:t>
      </w:r>
      <w:r>
        <w:t>being transferred since 2002.</w:t>
      </w:r>
    </w:p>
    <w:p w14:paraId="69A81F10" w14:textId="29AA9C51" w:rsidR="006E0ED6" w:rsidRPr="009C45FC" w:rsidRDefault="006E0ED6" w:rsidP="006E0ED6">
      <w:pPr>
        <w:pStyle w:val="FigureTableHeading"/>
        <w:rPr>
          <w:spacing w:val="-6"/>
        </w:rPr>
      </w:pPr>
      <w:r w:rsidRPr="009C45FC">
        <w:rPr>
          <w:spacing w:val="-6"/>
        </w:rPr>
        <w:t xml:space="preserve">Figure </w:t>
      </w:r>
      <w:r w:rsidRPr="009C45FC">
        <w:rPr>
          <w:spacing w:val="-6"/>
        </w:rPr>
        <w:fldChar w:fldCharType="begin"/>
      </w:r>
      <w:r w:rsidRPr="009C45FC">
        <w:rPr>
          <w:spacing w:val="-6"/>
        </w:rPr>
        <w:instrText xml:space="preserve"> SEQ Figure \* ARABIC \s 1 </w:instrText>
      </w:r>
      <w:r w:rsidRPr="009C45FC">
        <w:rPr>
          <w:spacing w:val="-6"/>
        </w:rPr>
        <w:fldChar w:fldCharType="separate"/>
      </w:r>
      <w:r w:rsidR="00F3386D">
        <w:rPr>
          <w:noProof/>
          <w:spacing w:val="-6"/>
        </w:rPr>
        <w:t>2</w:t>
      </w:r>
      <w:r w:rsidRPr="009C45FC">
        <w:rPr>
          <w:noProof/>
          <w:spacing w:val="-6"/>
        </w:rPr>
        <w:fldChar w:fldCharType="end"/>
      </w:r>
      <w:r w:rsidRPr="009C45FC">
        <w:rPr>
          <w:noProof/>
          <w:spacing w:val="-6"/>
        </w:rPr>
        <w:t xml:space="preserve"> </w:t>
      </w:r>
      <w:r w:rsidRPr="009C45FC">
        <w:rPr>
          <w:spacing w:val="-6"/>
        </w:rPr>
        <w:t>– The annual value of wealth transfers has more than doubled since 2002</w:t>
      </w:r>
    </w:p>
    <w:p w14:paraId="71BC9B00" w14:textId="4604FBE9" w:rsidR="006E0ED6" w:rsidRDefault="00A66A82" w:rsidP="006E0ED6">
      <w:pPr>
        <w:pStyle w:val="BodyText"/>
      </w:pPr>
      <w:r w:rsidRPr="00A66A82">
        <w:rPr>
          <w:noProof/>
        </w:rPr>
        <w:drawing>
          <wp:inline distT="0" distB="0" distL="0" distR="0" wp14:anchorId="421C8E39" wp14:editId="11C8B00A">
            <wp:extent cx="6120130" cy="2875280"/>
            <wp:effectExtent l="0" t="0" r="0" b="0"/>
            <wp:docPr id="151" name="Picture 151" descr="Figure 2. This chart shows the aggregate value of wealth transfers from 2002 to 2018, separated as inheritances and gifts. Inheritances make up the vast majority of total wealth transfer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Figure 2. This chart shows the aggregate value of wealth transfers from 2002 to 2018, separated as inheritances and gifts. Inheritances make up the vast majority of total wealth transfers. More details are contained in the text surrounding this fig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6B93484E" w14:textId="77777777" w:rsidR="006E0ED6" w:rsidRPr="005550A0" w:rsidRDefault="006E0ED6" w:rsidP="006E0ED6">
      <w:pPr>
        <w:pStyle w:val="Space"/>
      </w:pPr>
    </w:p>
    <w:p w14:paraId="0C49DB8A" w14:textId="77777777" w:rsidR="006E0ED6" w:rsidRPr="00A05E36" w:rsidRDefault="006E0ED6" w:rsidP="006E0ED6">
      <w:pPr>
        <w:pStyle w:val="Heading3"/>
        <w:rPr>
          <w:szCs w:val="22"/>
        </w:rPr>
      </w:pPr>
      <w:r>
        <w:t>M</w:t>
      </w:r>
      <w:r w:rsidRPr="00A05E36">
        <w:t xml:space="preserve">ost </w:t>
      </w:r>
      <w:r>
        <w:t xml:space="preserve">transfers </w:t>
      </w:r>
      <w:r w:rsidRPr="00A05E36">
        <w:t xml:space="preserve">are inheritances </w:t>
      </w:r>
      <w:r>
        <w:t>given to</w:t>
      </w:r>
      <w:r w:rsidRPr="00A05E36">
        <w:t xml:space="preserve"> (adult) </w:t>
      </w:r>
      <w:r>
        <w:t>children and spouses</w:t>
      </w:r>
      <w:r w:rsidRPr="00A05E36">
        <w:t xml:space="preserve"> of the deceased</w:t>
      </w:r>
    </w:p>
    <w:p w14:paraId="0877F2B6" w14:textId="48C93680" w:rsidR="006E0ED6" w:rsidRPr="00F97063" w:rsidRDefault="006E0ED6" w:rsidP="006E0ED6">
      <w:pPr>
        <w:pStyle w:val="BodyText"/>
        <w:rPr>
          <w:szCs w:val="24"/>
        </w:rPr>
      </w:pPr>
      <w:r w:rsidRPr="00F97063">
        <w:rPr>
          <w:szCs w:val="24"/>
        </w:rPr>
        <w:t xml:space="preserve">Close to </w:t>
      </w:r>
      <w:r>
        <w:rPr>
          <w:szCs w:val="24"/>
        </w:rPr>
        <w:t>90</w:t>
      </w:r>
      <w:r w:rsidR="00DB40E9">
        <w:rPr>
          <w:szCs w:val="24"/>
        </w:rPr>
        <w:t> </w:t>
      </w:r>
      <w:r w:rsidRPr="00F97063">
        <w:rPr>
          <w:szCs w:val="24"/>
        </w:rPr>
        <w:t>per</w:t>
      </w:r>
      <w:r w:rsidR="00DB40E9">
        <w:rPr>
          <w:szCs w:val="24"/>
        </w:rPr>
        <w:t> </w:t>
      </w:r>
      <w:r w:rsidRPr="00F97063">
        <w:rPr>
          <w:szCs w:val="24"/>
        </w:rPr>
        <w:t>cent of transferred wealth — just over $100</w:t>
      </w:r>
      <w:r w:rsidR="00DB40E9">
        <w:rPr>
          <w:szCs w:val="24"/>
        </w:rPr>
        <w:t> </w:t>
      </w:r>
      <w:r w:rsidRPr="00F97063">
        <w:rPr>
          <w:szCs w:val="24"/>
        </w:rPr>
        <w:t xml:space="preserve">billion </w:t>
      </w:r>
      <w:r>
        <w:rPr>
          <w:szCs w:val="24"/>
        </w:rPr>
        <w:t>in 2018</w:t>
      </w:r>
      <w:r w:rsidRPr="00F97063">
        <w:rPr>
          <w:szCs w:val="24"/>
        </w:rPr>
        <w:t xml:space="preserve"> — was in the form of inheritances, passed on following death. And </w:t>
      </w:r>
      <w:r>
        <w:rPr>
          <w:szCs w:val="24"/>
        </w:rPr>
        <w:t>about</w:t>
      </w:r>
      <w:r w:rsidRPr="00F97063">
        <w:rPr>
          <w:szCs w:val="24"/>
        </w:rPr>
        <w:t xml:space="preserve"> </w:t>
      </w:r>
      <w:r>
        <w:rPr>
          <w:szCs w:val="24"/>
        </w:rPr>
        <w:t>half of all inheritances</w:t>
      </w:r>
      <w:r w:rsidRPr="00F97063">
        <w:rPr>
          <w:szCs w:val="24"/>
        </w:rPr>
        <w:t xml:space="preserve"> </w:t>
      </w:r>
      <w:r>
        <w:rPr>
          <w:szCs w:val="24"/>
        </w:rPr>
        <w:t xml:space="preserve">immediately </w:t>
      </w:r>
      <w:r w:rsidRPr="00F97063">
        <w:rPr>
          <w:szCs w:val="24"/>
        </w:rPr>
        <w:t xml:space="preserve">went to the children of the deceased. The remainder went to a surviving spouse or to other family and friends. </w:t>
      </w:r>
      <w:r>
        <w:rPr>
          <w:szCs w:val="24"/>
        </w:rPr>
        <w:t>About</w:t>
      </w:r>
      <w:r w:rsidRPr="00F97063">
        <w:rPr>
          <w:szCs w:val="24"/>
        </w:rPr>
        <w:t xml:space="preserve"> 2 per cent went to charity. The vast majority of reported gifts </w:t>
      </w:r>
      <w:r>
        <w:rPr>
          <w:szCs w:val="24"/>
        </w:rPr>
        <w:t>went</w:t>
      </w:r>
      <w:r w:rsidRPr="00F97063">
        <w:rPr>
          <w:szCs w:val="24"/>
        </w:rPr>
        <w:t xml:space="preserve"> to children.</w:t>
      </w:r>
    </w:p>
    <w:p w14:paraId="7CA6DEB8" w14:textId="77777777" w:rsidR="006E0ED6" w:rsidRPr="00A05E36" w:rsidRDefault="006E0ED6" w:rsidP="006E0ED6">
      <w:pPr>
        <w:pStyle w:val="Heading3"/>
        <w:rPr>
          <w:szCs w:val="22"/>
        </w:rPr>
      </w:pPr>
      <w:r>
        <w:t>G</w:t>
      </w:r>
      <w:r w:rsidRPr="00A05E36">
        <w:t xml:space="preserve">ift recipients are much younger </w:t>
      </w:r>
    </w:p>
    <w:p w14:paraId="28BB384C" w14:textId="56357B20" w:rsidR="006E0ED6" w:rsidRPr="00F97063" w:rsidRDefault="006E0ED6" w:rsidP="006E0ED6">
      <w:pPr>
        <w:pStyle w:val="BodyText"/>
      </w:pPr>
      <w:r w:rsidRPr="00F97063">
        <w:t xml:space="preserve">Children are the key recipients of </w:t>
      </w:r>
      <w:r>
        <w:t>both inheritances and gifts</w:t>
      </w:r>
      <w:r w:rsidRPr="00F97063">
        <w:t xml:space="preserve">, but they tend to </w:t>
      </w:r>
      <w:r>
        <w:t xml:space="preserve">receive them </w:t>
      </w:r>
      <w:r w:rsidRPr="00F97063">
        <w:t>at different stages of their life. The average recipient of an inheritance was</w:t>
      </w:r>
      <w:r>
        <w:t>,</w:t>
      </w:r>
      <w:r w:rsidRPr="00F97063">
        <w:t xml:space="preserve"> at </w:t>
      </w:r>
      <w:r>
        <w:t>about</w:t>
      </w:r>
      <w:r w:rsidRPr="00F97063">
        <w:t xml:space="preserve"> 50</w:t>
      </w:r>
      <w:r w:rsidR="0021619C">
        <w:t> </w:t>
      </w:r>
      <w:r w:rsidRPr="00F97063">
        <w:t>years old</w:t>
      </w:r>
      <w:r>
        <w:t>,</w:t>
      </w:r>
      <w:r w:rsidRPr="00F97063">
        <w:t xml:space="preserve"> close to peak earning capacity</w:t>
      </w:r>
      <w:r>
        <w:t>, established in a house,</w:t>
      </w:r>
      <w:r w:rsidRPr="00F97063">
        <w:t xml:space="preserve"> and received </w:t>
      </w:r>
      <w:r>
        <w:t>about</w:t>
      </w:r>
      <w:r w:rsidRPr="00F97063">
        <w:t xml:space="preserve"> $12</w:t>
      </w:r>
      <w:r>
        <w:t>5 </w:t>
      </w:r>
      <w:r w:rsidRPr="00F97063">
        <w:t xml:space="preserve">000 (the median was much lower, at </w:t>
      </w:r>
      <w:r>
        <w:t>about</w:t>
      </w:r>
      <w:r w:rsidRPr="00F97063">
        <w:t xml:space="preserve"> $</w:t>
      </w:r>
      <w:r>
        <w:t>45</w:t>
      </w:r>
      <w:r w:rsidRPr="00F97063">
        <w:t> 000 in 2018</w:t>
      </w:r>
      <w:r w:rsidR="009124F0">
        <w:noBreakHyphen/>
      </w:r>
      <w:r>
        <w:t>19</w:t>
      </w:r>
      <w:r w:rsidRPr="00F97063">
        <w:t xml:space="preserve">). In contrast, the average recipient of a gift was </w:t>
      </w:r>
      <w:r>
        <w:t>about</w:t>
      </w:r>
      <w:r w:rsidRPr="00F97063">
        <w:t xml:space="preserve"> 20</w:t>
      </w:r>
      <w:r w:rsidR="0021619C">
        <w:t> </w:t>
      </w:r>
      <w:r w:rsidRPr="00F97063">
        <w:t>years of age, at the beginning</w:t>
      </w:r>
      <w:r>
        <w:t xml:space="preserve"> of </w:t>
      </w:r>
      <w:r w:rsidRPr="00F97063">
        <w:t>their career,</w:t>
      </w:r>
      <w:r>
        <w:t xml:space="preserve"> yet to start a family or purchase a house,</w:t>
      </w:r>
      <w:r w:rsidRPr="00F97063">
        <w:t xml:space="preserve"> and received </w:t>
      </w:r>
      <w:r>
        <w:t>about</w:t>
      </w:r>
      <w:r w:rsidRPr="00F97063">
        <w:t xml:space="preserve"> $</w:t>
      </w:r>
      <w:r>
        <w:t>8</w:t>
      </w:r>
      <w:r w:rsidRPr="00F97063">
        <w:t xml:space="preserve">000 (again, the median was much lower, at </w:t>
      </w:r>
      <w:r>
        <w:t>about</w:t>
      </w:r>
      <w:r w:rsidRPr="00F97063">
        <w:t xml:space="preserve"> $1000)</w:t>
      </w:r>
      <w:r>
        <w:t xml:space="preserve"> (figure 3)</w:t>
      </w:r>
      <w:r w:rsidRPr="00F97063">
        <w:t>.</w:t>
      </w:r>
    </w:p>
    <w:p w14:paraId="316B9467" w14:textId="5E1D10C4" w:rsidR="006E0ED6" w:rsidRPr="00146382" w:rsidRDefault="006E0ED6" w:rsidP="006E0ED6">
      <w:pPr>
        <w:pStyle w:val="FigureTableHeading"/>
      </w:pPr>
      <w:r>
        <w:lastRenderedPageBreak/>
        <w:t xml:space="preserve">Figure </w:t>
      </w:r>
      <w:r w:rsidR="00B2270C">
        <w:fldChar w:fldCharType="begin"/>
      </w:r>
      <w:r w:rsidR="00B2270C">
        <w:instrText xml:space="preserve"> SEQ Figure \* ARABIC \s 1 </w:instrText>
      </w:r>
      <w:r w:rsidR="00B2270C">
        <w:fldChar w:fldCharType="separate"/>
      </w:r>
      <w:r w:rsidR="00F3386D">
        <w:rPr>
          <w:noProof/>
        </w:rPr>
        <w:t>3</w:t>
      </w:r>
      <w:r w:rsidR="00B2270C">
        <w:rPr>
          <w:noProof/>
        </w:rPr>
        <w:fldChar w:fldCharType="end"/>
      </w:r>
      <w:r>
        <w:rPr>
          <w:noProof/>
        </w:rPr>
        <w:t xml:space="preserve"> </w:t>
      </w:r>
      <w:r>
        <w:t xml:space="preserve">– </w:t>
      </w:r>
      <w:r w:rsidRPr="005223F9">
        <w:t>Gift recipients are younger than inheritance recipients</w:t>
      </w:r>
    </w:p>
    <w:p w14:paraId="0728F043" w14:textId="004C8469" w:rsidR="006E0ED6" w:rsidRPr="005550A0" w:rsidRDefault="007F6E2A" w:rsidP="006E0ED6">
      <w:pPr>
        <w:pStyle w:val="BodyText"/>
      </w:pPr>
      <w:r w:rsidRPr="007F6E2A">
        <w:rPr>
          <w:noProof/>
        </w:rPr>
        <w:drawing>
          <wp:inline distT="0" distB="0" distL="0" distR="0" wp14:anchorId="001CC85C" wp14:editId="29C2773E">
            <wp:extent cx="6120130" cy="2875280"/>
            <wp:effectExtent l="0" t="0" r="0" b="1270"/>
            <wp:docPr id="152" name="Picture 152" descr="Figure 3. This chart shows the proportion of wealth transfers received by age group from 15-19 to 75-79, separated into gifts and inheritances. Gift recipients are, on average, younger than inheritance recipient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Figure 3. This chart shows the proportion of wealth transfers received by age group from 15-19 to 75-79, separated into gifts and inheritances. Gift recipients are, on average, younger than inheritance recipients. More details are contained in the text surrounding this fig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489600B3" w14:textId="77777777" w:rsidR="006E0ED6" w:rsidRDefault="006E0ED6" w:rsidP="006E0ED6">
      <w:pPr>
        <w:pStyle w:val="Space"/>
      </w:pPr>
    </w:p>
    <w:p w14:paraId="3DA59C02" w14:textId="77777777" w:rsidR="006E0ED6" w:rsidRPr="00A05E36" w:rsidRDefault="006E0ED6" w:rsidP="006E0ED6">
      <w:pPr>
        <w:pStyle w:val="Heading3"/>
      </w:pPr>
      <w:r w:rsidRPr="00A05E36">
        <w:t xml:space="preserve">Wealth transfers </w:t>
      </w:r>
      <w:r>
        <w:t>have</w:t>
      </w:r>
      <w:r w:rsidRPr="00A05E36">
        <w:t xml:space="preserve"> increase</w:t>
      </w:r>
      <w:r>
        <w:t>d</w:t>
      </w:r>
      <w:r w:rsidRPr="00A05E36">
        <w:t xml:space="preserve"> absolute </w:t>
      </w:r>
      <w:r>
        <w:t xml:space="preserve">wealth </w:t>
      </w:r>
      <w:r w:rsidRPr="00A05E36">
        <w:t xml:space="preserve">inequality </w:t>
      </w:r>
      <w:r>
        <w:t>but</w:t>
      </w:r>
      <w:r w:rsidRPr="00A05E36">
        <w:t xml:space="preserve"> decrease</w:t>
      </w:r>
      <w:r>
        <w:t>d</w:t>
      </w:r>
      <w:r w:rsidRPr="00A05E36">
        <w:t xml:space="preserve"> relative </w:t>
      </w:r>
      <w:r>
        <w:t>wealth</w:t>
      </w:r>
      <w:r w:rsidRPr="00A05E36">
        <w:t xml:space="preserve"> inequality</w:t>
      </w:r>
    </w:p>
    <w:p w14:paraId="155ECF6C" w14:textId="77777777" w:rsidR="006E0ED6" w:rsidRPr="00E50C90" w:rsidRDefault="006E0ED6" w:rsidP="006E0ED6">
      <w:pPr>
        <w:pStyle w:val="BodyText"/>
        <w:rPr>
          <w:szCs w:val="24"/>
        </w:rPr>
      </w:pPr>
      <w:r w:rsidRPr="0017740E">
        <w:rPr>
          <w:szCs w:val="24"/>
        </w:rPr>
        <w:t>Over the past two decades, wealthier people</w:t>
      </w:r>
      <w:r w:rsidRPr="00C348AA">
        <w:rPr>
          <w:szCs w:val="24"/>
        </w:rPr>
        <w:t xml:space="preserve"> </w:t>
      </w:r>
      <w:r w:rsidRPr="00E50C90">
        <w:rPr>
          <w:szCs w:val="24"/>
        </w:rPr>
        <w:t xml:space="preserve">typically received more via wealth transfers than poorer people, increasing </w:t>
      </w:r>
      <w:r w:rsidRPr="00E50C90">
        <w:rPr>
          <w:i/>
          <w:szCs w:val="24"/>
        </w:rPr>
        <w:t>absolute</w:t>
      </w:r>
      <w:r w:rsidRPr="00E50C90">
        <w:rPr>
          <w:szCs w:val="24"/>
        </w:rPr>
        <w:t xml:space="preserve"> wealth inequality (figure </w:t>
      </w:r>
      <w:r>
        <w:rPr>
          <w:szCs w:val="24"/>
        </w:rPr>
        <w:t>4</w:t>
      </w:r>
      <w:r w:rsidRPr="00E50C90">
        <w:rPr>
          <w:szCs w:val="24"/>
        </w:rPr>
        <w:t>, panel a)</w:t>
      </w:r>
      <w:r>
        <w:rPr>
          <w:szCs w:val="24"/>
        </w:rPr>
        <w:t xml:space="preserve"> (box 2)</w:t>
      </w:r>
      <w:r w:rsidRPr="00E50C90">
        <w:rPr>
          <w:szCs w:val="24"/>
        </w:rPr>
        <w:t xml:space="preserve">. </w:t>
      </w:r>
      <w:r>
        <w:rPr>
          <w:szCs w:val="24"/>
        </w:rPr>
        <w:t>This is intuitive because w</w:t>
      </w:r>
      <w:r w:rsidRPr="00E50C90">
        <w:rPr>
          <w:szCs w:val="24"/>
        </w:rPr>
        <w:t>ealthier parents have more wealth to transfer to their children, and their children tend</w:t>
      </w:r>
      <w:r>
        <w:rPr>
          <w:szCs w:val="24"/>
        </w:rPr>
        <w:t xml:space="preserve"> to</w:t>
      </w:r>
      <w:r w:rsidRPr="00E50C90">
        <w:rPr>
          <w:szCs w:val="24"/>
        </w:rPr>
        <w:t xml:space="preserve"> be wealthier even in the absence of those transfers. </w:t>
      </w:r>
    </w:p>
    <w:p w14:paraId="71481BC7" w14:textId="0A46A95B" w:rsidR="006E0ED6" w:rsidRPr="0017740E" w:rsidRDefault="006E0ED6" w:rsidP="006E0ED6">
      <w:pPr>
        <w:pStyle w:val="BodyText"/>
        <w:rPr>
          <w:szCs w:val="24"/>
        </w:rPr>
      </w:pPr>
      <w:r w:rsidRPr="00E50C90">
        <w:rPr>
          <w:szCs w:val="24"/>
        </w:rPr>
        <w:t>That wealth transfers increased absolute wealth inequality is consistent with r</w:t>
      </w:r>
      <w:r w:rsidRPr="008342E8">
        <w:rPr>
          <w:szCs w:val="24"/>
        </w:rPr>
        <w:t>ecent work by the Grattan Institute and the Treasury, wh</w:t>
      </w:r>
      <w:r>
        <w:rPr>
          <w:szCs w:val="24"/>
        </w:rPr>
        <w:t>ich</w:t>
      </w:r>
      <w:r w:rsidRPr="008342E8">
        <w:rPr>
          <w:szCs w:val="24"/>
        </w:rPr>
        <w:t xml:space="preserve"> found that inheritances increase absolute wealth inequality because ‘they are not distributed equally’ </w:t>
      </w:r>
      <w:r>
        <w:rPr>
          <w:szCs w:val="24"/>
        </w:rPr>
        <w:fldChar w:fldCharType="begin"/>
      </w:r>
      <w:r w:rsidR="0047772E">
        <w:rPr>
          <w:szCs w:val="24"/>
        </w:rPr>
        <w:instrText xml:space="preserve"> ADDIN ZOTERO_ITEM CSL_CITATION {"citationID":"mb8Wdbiy","properties":{"formattedCitation":"(The Treasury\\uc0\\u160{}2020, p.\\uc0\\u160{}51)","plainCitation":"(The Treasury 2020, p. 51)","noteIndex":0},"citationItems":[{"id":1552,"uris":["http://zotero.org/groups/2714158/items/R5Y5AKIH"],"uri":["http://zotero.org/groups/2714158/items/R5Y5AKIH"],"itemData":{"id":1552,"type":"report","event-place":"Canberra","genre":"Final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Treasury","given":""}],"accessed":{"date-parts":[["2021",2,4]]},"issued":{"date-parts":[["2020"]]}},"locator":"51"}],"schema":"https://github.com/citation-style-language/schema/raw/master/csl-citation.json"} </w:instrText>
      </w:r>
      <w:r>
        <w:rPr>
          <w:szCs w:val="24"/>
        </w:rPr>
        <w:fldChar w:fldCharType="separate"/>
      </w:r>
      <w:r w:rsidRPr="00693575">
        <w:rPr>
          <w:szCs w:val="24"/>
        </w:rPr>
        <w:t>(The Treasury 2020, p. 51)</w:t>
      </w:r>
      <w:r>
        <w:rPr>
          <w:szCs w:val="24"/>
        </w:rPr>
        <w:fldChar w:fldCharType="end"/>
      </w:r>
      <w:r w:rsidRPr="008342E8">
        <w:rPr>
          <w:szCs w:val="24"/>
        </w:rPr>
        <w:t xml:space="preserve"> and they ‘tend to go to people who are already wealthy’ </w:t>
      </w:r>
      <w:r>
        <w:rPr>
          <w:szCs w:val="24"/>
        </w:rPr>
        <w:fldChar w:fldCharType="begin"/>
      </w:r>
      <w:r w:rsidR="0047772E">
        <w:rPr>
          <w:szCs w:val="24"/>
        </w:rPr>
        <w:instrText xml:space="preserve"> ADDIN ZOTERO_ITEM CSL_CITATION {"citationID":"FXOAtL0E","properties":{"formattedCitation":"(Wood, Griffiths and Emslie\\uc0\\u160{}2019, p.\\uc0\\u160{}3)","plainCitation":"(Wood, Griffiths and Emslie 2019, p. 3)","noteIndex":0},"citationItems":[{"id":1565,"uris":["http://zotero.org/groups/2714158/items/DGH2PIV8"],"uri":["http://zotero.org/groups/2714158/items/DGH2PIV8"],"itemData":{"id":1565,"type":"report","number":"2019-07","publisher":"Grattan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locator":"3"}],"schema":"https://github.com/citation-style-language/schema/raw/master/csl-citation.json"} </w:instrText>
      </w:r>
      <w:r>
        <w:rPr>
          <w:szCs w:val="24"/>
        </w:rPr>
        <w:fldChar w:fldCharType="separate"/>
      </w:r>
      <w:r w:rsidRPr="00693575">
        <w:rPr>
          <w:szCs w:val="24"/>
        </w:rPr>
        <w:t>(Wood, Griffiths and Emslie 2019, p. 3)</w:t>
      </w:r>
      <w:r>
        <w:rPr>
          <w:szCs w:val="24"/>
        </w:rPr>
        <w:fldChar w:fldCharType="end"/>
      </w:r>
      <w:r w:rsidRPr="008342E8">
        <w:rPr>
          <w:szCs w:val="24"/>
        </w:rPr>
        <w:t>.</w:t>
      </w:r>
    </w:p>
    <w:p w14:paraId="765E8E50" w14:textId="77777777" w:rsidR="006E0ED6" w:rsidRDefault="006E0ED6" w:rsidP="006E0ED6">
      <w:pPr>
        <w:pStyle w:val="BodyText"/>
      </w:pPr>
      <w:r>
        <w:t xml:space="preserve">A less intuitive result, but one that is replicated in research for all other countries for which information was available (Britain, France, Germany, Italy, Spain and the United States), is that </w:t>
      </w:r>
      <w:r w:rsidRPr="00E50C90">
        <w:t xml:space="preserve">wealth transfers reduced </w:t>
      </w:r>
      <w:r w:rsidRPr="00E50C90">
        <w:rPr>
          <w:i/>
        </w:rPr>
        <w:t>relative</w:t>
      </w:r>
      <w:r w:rsidRPr="00E50C90">
        <w:t xml:space="preserve"> wealth inequality, because wealthier people received less in wealth transfers </w:t>
      </w:r>
      <w:r w:rsidRPr="00E50C90">
        <w:rPr>
          <w:i/>
        </w:rPr>
        <w:t>as a share of their existing wealth</w:t>
      </w:r>
      <w:r w:rsidRPr="00E50C90">
        <w:t xml:space="preserve"> than poorer people (figure </w:t>
      </w:r>
      <w:r>
        <w:t>4</w:t>
      </w:r>
      <w:r w:rsidRPr="00E50C90">
        <w:t>, panel b).</w:t>
      </w:r>
      <w:r>
        <w:t xml:space="preserve"> For example, a</w:t>
      </w:r>
      <w:r w:rsidRPr="007325E9">
        <w:t xml:space="preserve">s a share of their existing wealth, transfers boosted the wealth of the bottom </w:t>
      </w:r>
      <w:r>
        <w:t xml:space="preserve">20 per cent </w:t>
      </w:r>
      <w:bookmarkStart w:id="6" w:name="_Hlk86926817"/>
      <w:r>
        <w:t>(quintile 1)</w:t>
      </w:r>
      <w:bookmarkEnd w:id="6"/>
      <w:r>
        <w:t xml:space="preserve"> </w:t>
      </w:r>
      <w:r w:rsidRPr="007325E9">
        <w:t xml:space="preserve">of the wealth distribution by </w:t>
      </w:r>
      <w:r>
        <w:t xml:space="preserve">about </w:t>
      </w:r>
      <w:r w:rsidRPr="007325E9">
        <w:t xml:space="preserve">30 times more than </w:t>
      </w:r>
      <w:r>
        <w:t xml:space="preserve">for those in the </w:t>
      </w:r>
      <w:r w:rsidRPr="007325E9">
        <w:t xml:space="preserve">top </w:t>
      </w:r>
      <w:r>
        <w:t>20 per cent (quintile 5)</w:t>
      </w:r>
      <w:r w:rsidRPr="007325E9">
        <w:t>.</w:t>
      </w:r>
    </w:p>
    <w:p w14:paraId="248677FE" w14:textId="77777777" w:rsidR="006E0ED6" w:rsidRPr="009B447F" w:rsidRDefault="006E0ED6" w:rsidP="006E0ED6">
      <w:pPr>
        <w:pStyle w:val="BodyText"/>
      </w:pPr>
      <w:r>
        <w:t>That said, wealth transfers have less of an equalising effect on relative wealth inequality in Australia than in all countries studied, except for the United States. This is primarily because Australian wealth transfers are smaller as a share of the total stock of wealth.</w:t>
      </w:r>
    </w:p>
    <w:p w14:paraId="2071E2CE" w14:textId="2DA2EC98" w:rsidR="00930DED" w:rsidRPr="00146382" w:rsidRDefault="006E0ED6" w:rsidP="00A61CE8">
      <w:pPr>
        <w:pStyle w:val="FigureTableHeading"/>
      </w:pPr>
      <w:r>
        <w:lastRenderedPageBreak/>
        <w:t xml:space="preserve">Figure </w:t>
      </w:r>
      <w:r w:rsidR="00B2270C">
        <w:fldChar w:fldCharType="begin"/>
      </w:r>
      <w:r w:rsidR="00B2270C">
        <w:instrText xml:space="preserve"> SEQ Figure \* ARABIC \s 1 </w:instrText>
      </w:r>
      <w:r w:rsidR="00B2270C">
        <w:fldChar w:fldCharType="separate"/>
      </w:r>
      <w:r w:rsidR="00F3386D">
        <w:rPr>
          <w:noProof/>
        </w:rPr>
        <w:t>4</w:t>
      </w:r>
      <w:r w:rsidR="00B2270C">
        <w:rPr>
          <w:noProof/>
        </w:rPr>
        <w:fldChar w:fldCharType="end"/>
      </w:r>
      <w:r>
        <w:rPr>
          <w:noProof/>
        </w:rPr>
        <w:t xml:space="preserve"> </w:t>
      </w:r>
      <w:r>
        <w:t>– W</w:t>
      </w:r>
      <w:r w:rsidRPr="00336C04">
        <w:t>ealth transfers increased absolute wealth inequality, but reduced relative wealth inequality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6E0ED6" w:rsidRPr="00D624D1" w14:paraId="188CFB1B" w14:textId="77777777" w:rsidTr="001625EC">
        <w:tc>
          <w:tcPr>
            <w:tcW w:w="4814" w:type="dxa"/>
          </w:tcPr>
          <w:p w14:paraId="45D7B0EF" w14:textId="0F87F758" w:rsidR="006E0ED6" w:rsidRPr="00D624D1" w:rsidRDefault="006E0ED6" w:rsidP="00132C71">
            <w:pPr>
              <w:pStyle w:val="FigureTableSubheading"/>
              <w:numPr>
                <w:ilvl w:val="0"/>
                <w:numId w:val="7"/>
              </w:numPr>
            </w:pPr>
            <w:r w:rsidRPr="004C58DE">
              <w:rPr>
                <w:sz w:val="16"/>
                <w:szCs w:val="14"/>
              </w:rPr>
              <w:t>Average equivalised wealth transfer received among all people</w:t>
            </w:r>
            <w:r w:rsidR="00362586">
              <w:rPr>
                <w:sz w:val="16"/>
                <w:szCs w:val="14"/>
              </w:rPr>
              <w:t xml:space="preserve"> in a three-year period</w:t>
            </w:r>
            <w:r w:rsidRPr="004C58DE">
              <w:rPr>
                <w:sz w:val="16"/>
                <w:szCs w:val="14"/>
              </w:rPr>
              <w:t>, by initial equivalised wealth quintile</w:t>
            </w:r>
          </w:p>
        </w:tc>
        <w:tc>
          <w:tcPr>
            <w:tcW w:w="4814" w:type="dxa"/>
          </w:tcPr>
          <w:p w14:paraId="7EAB9C02" w14:textId="418BF8A9" w:rsidR="006E0ED6" w:rsidRPr="00275920" w:rsidRDefault="006E0ED6" w:rsidP="00132C71">
            <w:pPr>
              <w:pStyle w:val="FigureTableSubheading"/>
              <w:numPr>
                <w:ilvl w:val="0"/>
                <w:numId w:val="7"/>
              </w:numPr>
              <w:rPr>
                <w:sz w:val="16"/>
                <w:szCs w:val="14"/>
              </w:rPr>
            </w:pPr>
            <w:r w:rsidRPr="00222172">
              <w:rPr>
                <w:sz w:val="16"/>
                <w:szCs w:val="14"/>
              </w:rPr>
              <w:t xml:space="preserve">Average equivalised wealth transfer received among all people </w:t>
            </w:r>
            <w:r w:rsidR="00362586">
              <w:rPr>
                <w:sz w:val="16"/>
                <w:szCs w:val="14"/>
              </w:rPr>
              <w:t xml:space="preserve">in a three-year period </w:t>
            </w:r>
            <w:r w:rsidRPr="00222172">
              <w:rPr>
                <w:sz w:val="16"/>
                <w:szCs w:val="14"/>
              </w:rPr>
              <w:t>as a share of average initial equivalised wealth, by initial equivalised wealth quintile</w:t>
            </w:r>
          </w:p>
        </w:tc>
      </w:tr>
      <w:tr w:rsidR="006E0ED6" w:rsidRPr="00D624D1" w14:paraId="27371E48" w14:textId="77777777" w:rsidTr="001625EC">
        <w:tc>
          <w:tcPr>
            <w:tcW w:w="4814" w:type="dxa"/>
          </w:tcPr>
          <w:p w14:paraId="7389F061" w14:textId="77F6EB38" w:rsidR="006E0ED6" w:rsidRPr="00D624D1" w:rsidRDefault="0041718D" w:rsidP="001625EC">
            <w:pPr>
              <w:pStyle w:val="BodyText"/>
            </w:pPr>
            <w:r w:rsidRPr="0041718D">
              <w:rPr>
                <w:noProof/>
              </w:rPr>
              <w:drawing>
                <wp:inline distT="0" distB="0" distL="0" distR="0" wp14:anchorId="40E15F8C" wp14:editId="1527382D">
                  <wp:extent cx="2987040" cy="2339340"/>
                  <wp:effectExtent l="0" t="0" r="3810" b="3810"/>
                  <wp:docPr id="137" name="Picture 137" descr="Figure 4, panel a. This chat shows the average equivalised wealth transfer received among all people,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Figure 4, panel a. This chat shows the average equivalised wealth transfer received among all people, by initial equivalised wealth quintile. More details are contained in the text surrounding this fig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4814" w:type="dxa"/>
          </w:tcPr>
          <w:p w14:paraId="0DD7B493" w14:textId="7B0D6ECB" w:rsidR="006E0ED6" w:rsidRPr="00D624D1" w:rsidRDefault="00392DFF" w:rsidP="001625EC">
            <w:pPr>
              <w:pStyle w:val="BodyText"/>
            </w:pPr>
            <w:r w:rsidRPr="00392DFF">
              <w:rPr>
                <w:noProof/>
              </w:rPr>
              <w:drawing>
                <wp:inline distT="0" distB="0" distL="0" distR="0" wp14:anchorId="78463227" wp14:editId="76FA9E7F">
                  <wp:extent cx="2987040" cy="2339340"/>
                  <wp:effectExtent l="0" t="0" r="3810" b="3810"/>
                  <wp:docPr id="138" name="Picture 138" descr="Figure 4, panel b. This chart shows the average equivalised wealth transfer received among all people as a share of average initial equivalised wealth,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Figure 4, panel b. This chart shows the average equivalised wealth transfer received among all people as a share of average initial equivalised wealth, by initial equivalised wealth quintile. More details are contained in the text surrounding this fig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49E8F77F" w14:textId="77777777" w:rsidR="00933E55" w:rsidRDefault="00933E55" w:rsidP="00395144">
      <w:pPr>
        <w:pStyle w:val="Note"/>
      </w:pPr>
    </w:p>
    <w:tbl>
      <w:tblPr>
        <w:tblStyle w:val="Boxtable"/>
        <w:tblW w:w="5000" w:type="pct"/>
        <w:tblLook w:val="04A0" w:firstRow="1" w:lastRow="0" w:firstColumn="1" w:lastColumn="0" w:noHBand="0" w:noVBand="1"/>
      </w:tblPr>
      <w:tblGrid>
        <w:gridCol w:w="9638"/>
      </w:tblGrid>
      <w:tr w:rsidR="006E0ED6" w14:paraId="0F711C60" w14:textId="77777777" w:rsidTr="001625EC">
        <w:trPr>
          <w:tblHeader/>
        </w:trPr>
        <w:tc>
          <w:tcPr>
            <w:tcW w:w="9638" w:type="dxa"/>
            <w:tcMar>
              <w:top w:w="170" w:type="dxa"/>
              <w:left w:w="170" w:type="dxa"/>
              <w:bottom w:w="113" w:type="dxa"/>
              <w:right w:w="170" w:type="dxa"/>
            </w:tcMar>
            <w:hideMark/>
          </w:tcPr>
          <w:p w14:paraId="4E939968" w14:textId="55ABDAEC" w:rsidR="006E0ED6" w:rsidRDefault="006E0ED6" w:rsidP="001625EC">
            <w:pPr>
              <w:pStyle w:val="BoxHeading1"/>
            </w:pPr>
            <w:r>
              <w:t xml:space="preserve">Box </w:t>
            </w:r>
            <w:r w:rsidR="00B2270C">
              <w:fldChar w:fldCharType="begin"/>
            </w:r>
            <w:r w:rsidR="00B2270C">
              <w:instrText xml:space="preserve"> SEQ Box \* ARABIC \s 1 </w:instrText>
            </w:r>
            <w:r w:rsidR="00B2270C">
              <w:fldChar w:fldCharType="separate"/>
            </w:r>
            <w:r w:rsidR="00F3386D">
              <w:rPr>
                <w:noProof/>
              </w:rPr>
              <w:t>2</w:t>
            </w:r>
            <w:r w:rsidR="00B2270C">
              <w:rPr>
                <w:noProof/>
              </w:rPr>
              <w:fldChar w:fldCharType="end"/>
            </w:r>
            <w:r>
              <w:t xml:space="preserve"> – </w:t>
            </w:r>
            <w:r w:rsidRPr="00CA5964">
              <w:t>Absolute or relative inequality?</w:t>
            </w:r>
          </w:p>
        </w:tc>
      </w:tr>
      <w:tr w:rsidR="006E0ED6" w14:paraId="53CDFEBA" w14:textId="77777777" w:rsidTr="001625EC">
        <w:tc>
          <w:tcPr>
            <w:tcW w:w="9638" w:type="dxa"/>
            <w:tcMar>
              <w:top w:w="28" w:type="dxa"/>
              <w:left w:w="170" w:type="dxa"/>
              <w:bottom w:w="170" w:type="dxa"/>
              <w:right w:w="170" w:type="dxa"/>
            </w:tcMar>
            <w:hideMark/>
          </w:tcPr>
          <w:p w14:paraId="015A5071" w14:textId="77777777" w:rsidR="006E0ED6" w:rsidRPr="00D624D1" w:rsidRDefault="006E0ED6" w:rsidP="001625EC">
            <w:pPr>
              <w:pStyle w:val="BodyText"/>
            </w:pPr>
            <w:r w:rsidRPr="00D624D1">
              <w:t>Wealth inequality can be expressed in absolute or relative terms. While relative wealth inequality is the more commonly invoked concept, both are valid and useful.</w:t>
            </w:r>
          </w:p>
          <w:p w14:paraId="00CCB00F" w14:textId="77777777" w:rsidR="006E0ED6" w:rsidRPr="00D624D1" w:rsidRDefault="006E0ED6" w:rsidP="001625EC">
            <w:pPr>
              <w:pStyle w:val="BodyText"/>
            </w:pPr>
            <w:r w:rsidRPr="00D624D1">
              <w:t>Absolute wealth inequality is inequality in the dollar value of wealth held by each person in society. If every person’s wealth were to increase by a fixed amount, say $5, then absolute wealth inequality would be unchanged. If wealthier people’s wealth increased by more than poorer people’s wealth, say $10 compared to $5, then absolute wealth inequality would increase.</w:t>
            </w:r>
          </w:p>
          <w:p w14:paraId="478ADAFC" w14:textId="77777777" w:rsidR="006E0ED6" w:rsidRPr="00D624D1" w:rsidRDefault="006E0ED6" w:rsidP="001625EC">
            <w:pPr>
              <w:pStyle w:val="BodyText"/>
            </w:pPr>
            <w:r w:rsidRPr="00D624D1">
              <w:t>Relative wealth inequality is inequality in the share of wealth held by each person. If every person’s wealth were to increase by the same fixed share, say 5 per cent, then relative wealth inequality would be unchanged. If wealthier people’s wealth increased by a larger share than for poorer people, say 10 per cent compared to 5 per cent, then relative wealth inequality would increase.</w:t>
            </w:r>
          </w:p>
          <w:p w14:paraId="34FFC8FA" w14:textId="77777777" w:rsidR="006E0ED6" w:rsidRDefault="006E0ED6" w:rsidP="001625EC">
            <w:pPr>
              <w:pStyle w:val="BodyText"/>
            </w:pPr>
            <w:r w:rsidRPr="00D624D1">
              <w:t>If changes to wealth increase relative wealth inequality, they must also increase absolute wealth inequality. But changes to wealth that decrease relative wealth inequality do not necessarily decrease absolute wealth inequality.</w:t>
            </w:r>
          </w:p>
        </w:tc>
      </w:tr>
      <w:tr w:rsidR="006E0ED6" w14:paraId="6A800FB5" w14:textId="77777777" w:rsidTr="001625EC">
        <w:tc>
          <w:tcPr>
            <w:tcW w:w="9638" w:type="dxa"/>
            <w:shd w:val="clear" w:color="auto" w:fill="auto"/>
            <w:tcMar>
              <w:top w:w="0" w:type="dxa"/>
              <w:left w:w="170" w:type="dxa"/>
              <w:bottom w:w="0" w:type="dxa"/>
              <w:right w:w="170" w:type="dxa"/>
            </w:tcMar>
          </w:tcPr>
          <w:p w14:paraId="20B21298" w14:textId="77777777" w:rsidR="006E0ED6" w:rsidRDefault="006E0ED6" w:rsidP="001625EC">
            <w:pPr>
              <w:pStyle w:val="BodyText"/>
              <w:spacing w:before="0" w:after="0" w:line="80" w:lineRule="atLeast"/>
            </w:pPr>
          </w:p>
        </w:tc>
      </w:tr>
    </w:tbl>
    <w:p w14:paraId="4DE77F53" w14:textId="77777777" w:rsidR="006E0ED6" w:rsidRPr="00A05E36" w:rsidRDefault="006E0ED6" w:rsidP="006E0ED6">
      <w:pPr>
        <w:pStyle w:val="Heading3"/>
      </w:pPr>
      <w:r>
        <w:lastRenderedPageBreak/>
        <w:t>T</w:t>
      </w:r>
      <w:r w:rsidRPr="00A05E36">
        <w:t xml:space="preserve">he moderating effect </w:t>
      </w:r>
      <w:r>
        <w:t xml:space="preserve">of inheritances </w:t>
      </w:r>
      <w:r w:rsidRPr="00A05E36">
        <w:t>on relative wealth inequality persists</w:t>
      </w:r>
    </w:p>
    <w:p w14:paraId="450C748F" w14:textId="54784C13" w:rsidR="006E0ED6" w:rsidRDefault="00E925DB" w:rsidP="006E0ED6">
      <w:pPr>
        <w:pStyle w:val="BodyText"/>
      </w:pPr>
      <w:r w:rsidRPr="00E925DB">
        <w:t>Studies of other countries have found that the effect of inheritances on relative inequality erodes over time because poorer recipients deplete their inheritances faster than wealthier recipients. Some studies have found that wealthier recipients earn larger returns to the invested component of their inheritances, while others have suggested that wealthier recipients consume smaller shares of their inheritances.</w:t>
      </w:r>
      <w:r w:rsidRPr="00E925DB" w:rsidDel="00E925DB">
        <w:t xml:space="preserve"> </w:t>
      </w:r>
      <w:r w:rsidR="006E0ED6">
        <w:t>(No studies exist for gifts.)</w:t>
      </w:r>
    </w:p>
    <w:p w14:paraId="09E070E3" w14:textId="4B2D1BBE" w:rsidR="006E0ED6" w:rsidRDefault="000646C9" w:rsidP="006E0ED6">
      <w:pPr>
        <w:pStyle w:val="BodyText"/>
      </w:pPr>
      <w:r w:rsidRPr="000646C9">
        <w:t>Our results suggest that the reduction in relative wealth inequality from inheritances persists in the longer term, because both wealthy and poor tend not to deplete their inheritances.</w:t>
      </w:r>
    </w:p>
    <w:p w14:paraId="02576D44" w14:textId="77777777" w:rsidR="006E0ED6" w:rsidRPr="00A05E36" w:rsidRDefault="006E0ED6" w:rsidP="006E0ED6">
      <w:pPr>
        <w:pStyle w:val="Heading3"/>
      </w:pPr>
      <w:r>
        <w:t>I</w:t>
      </w:r>
      <w:r w:rsidRPr="00A05E36">
        <w:t>nheritances impede social mobility</w:t>
      </w:r>
      <w:r>
        <w:t xml:space="preserve"> among older Australians</w:t>
      </w:r>
    </w:p>
    <w:p w14:paraId="6F07710A" w14:textId="51C8AF5F" w:rsidR="006E0ED6" w:rsidRDefault="006E0ED6" w:rsidP="006E0ED6">
      <w:pPr>
        <w:pStyle w:val="BodyText"/>
      </w:pPr>
      <w:r>
        <w:t>As noted above, wealthier parents tend to have wealthier children, even in the absence of wealth transfers. Inheritances strengthen this relationship</w:t>
      </w:r>
      <w:r w:rsidR="00E275EB">
        <w:t xml:space="preserve"> —</w:t>
      </w:r>
      <w:r>
        <w:t xml:space="preserve"> which means inheritances impede social mobility</w:t>
      </w:r>
      <w:r w:rsidR="00E275EB">
        <w:t xml:space="preserve"> —</w:t>
      </w:r>
      <w:r>
        <w:t xml:space="preserve"> </w:t>
      </w:r>
      <w:r w:rsidRPr="00192EED">
        <w:t xml:space="preserve">because </w:t>
      </w:r>
      <w:r>
        <w:t>they</w:t>
      </w:r>
      <w:r w:rsidRPr="00192EED">
        <w:t xml:space="preserve"> move children closer to their respective parent’s position in the wealth distribution. </w:t>
      </w:r>
      <w:r>
        <w:t>This effect is conceptually different to the effect of inheritances on wealth inequality.</w:t>
      </w:r>
    </w:p>
    <w:p w14:paraId="0B887457" w14:textId="77777777" w:rsidR="006E0ED6" w:rsidRDefault="006E0ED6" w:rsidP="006E0ED6">
      <w:pPr>
        <w:pStyle w:val="BodyText"/>
      </w:pPr>
      <w:r>
        <w:t>Among older Australians whose last surviving parent died in the past two decades, about one third of the association between their position in the wealth distribution (relative to their peers) and their parents’ position in the wealth distribution (relative to their peers, and when still alive) was because of inheritances.</w:t>
      </w:r>
    </w:p>
    <w:p w14:paraId="0CE3E0C9" w14:textId="77777777" w:rsidR="006E0ED6" w:rsidRDefault="006E0ED6" w:rsidP="006E0ED6">
      <w:pPr>
        <w:pStyle w:val="Heading3"/>
      </w:pPr>
      <w:r>
        <w:t>Future wealth transfers are projected to increase in size</w:t>
      </w:r>
    </w:p>
    <w:p w14:paraId="1D3334D2" w14:textId="77777777" w:rsidR="006E0ED6" w:rsidRDefault="006E0ED6" w:rsidP="006E0ED6">
      <w:pPr>
        <w:pStyle w:val="BodyText"/>
      </w:pPr>
      <w:r>
        <w:t xml:space="preserve">Consistent with trends over the past two decades, older Australians are projected to hold a disproportionately larger share of wealth over time relative to their share of the population (figure 5, panel a). This finding is replicated across a number of reasonable scenarios for rates of return on different assets, home ownership, savings and wealth transfer behaviour, while holding current policy settings fixed (box 3). </w:t>
      </w:r>
    </w:p>
    <w:p w14:paraId="79826187" w14:textId="05E202BB" w:rsidR="00991C53" w:rsidRPr="0044250C" w:rsidRDefault="00991C53" w:rsidP="00991C53">
      <w:pPr>
        <w:pStyle w:val="BodyText"/>
        <w:rPr>
          <w:spacing w:val="-2"/>
        </w:rPr>
      </w:pPr>
      <w:r w:rsidRPr="0044250C">
        <w:rPr>
          <w:spacing w:val="-2"/>
        </w:rPr>
        <w:t xml:space="preserve">Housing wealth is a large driver of this result (figure 5, panel b) — older age groups </w:t>
      </w:r>
      <w:r w:rsidR="006C0783" w:rsidRPr="0044250C">
        <w:rPr>
          <w:spacing w:val="-2"/>
        </w:rPr>
        <w:t>own more housing wealth</w:t>
      </w:r>
      <w:r w:rsidRPr="0044250C">
        <w:rPr>
          <w:spacing w:val="-2"/>
        </w:rPr>
        <w:t>, they</w:t>
      </w:r>
      <w:r w:rsidRPr="0044250C" w:rsidDel="0063163B">
        <w:rPr>
          <w:spacing w:val="-2"/>
        </w:rPr>
        <w:t xml:space="preserve"> </w:t>
      </w:r>
      <w:r w:rsidRPr="0044250C">
        <w:rPr>
          <w:spacing w:val="-2"/>
        </w:rPr>
        <w:t>draw down on housing wealth slowly, and inherit large housing wealth from their partners in old age.</w:t>
      </w:r>
    </w:p>
    <w:p w14:paraId="507E1FCC"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608B265D" w14:textId="77777777" w:rsidTr="001625EC">
        <w:trPr>
          <w:tblHeader/>
        </w:trPr>
        <w:tc>
          <w:tcPr>
            <w:tcW w:w="9638" w:type="dxa"/>
            <w:tcMar>
              <w:top w:w="170" w:type="dxa"/>
              <w:left w:w="170" w:type="dxa"/>
              <w:bottom w:w="113" w:type="dxa"/>
              <w:right w:w="170" w:type="dxa"/>
            </w:tcMar>
            <w:hideMark/>
          </w:tcPr>
          <w:p w14:paraId="1196C834" w14:textId="45AEB625" w:rsidR="006E0ED6" w:rsidRDefault="006E0ED6" w:rsidP="001625EC">
            <w:pPr>
              <w:pStyle w:val="BoxHeading1"/>
            </w:pPr>
            <w:r>
              <w:t xml:space="preserve">Box </w:t>
            </w:r>
            <w:r w:rsidR="00B2270C">
              <w:fldChar w:fldCharType="begin"/>
            </w:r>
            <w:r w:rsidR="00B2270C">
              <w:instrText xml:space="preserve"> SEQ Box \* ARABIC \s 1 </w:instrText>
            </w:r>
            <w:r w:rsidR="00B2270C">
              <w:fldChar w:fldCharType="separate"/>
            </w:r>
            <w:r w:rsidR="00F3386D">
              <w:rPr>
                <w:noProof/>
              </w:rPr>
              <w:t>3</w:t>
            </w:r>
            <w:r w:rsidR="00B2270C">
              <w:rPr>
                <w:noProof/>
              </w:rPr>
              <w:fldChar w:fldCharType="end"/>
            </w:r>
            <w:r>
              <w:t xml:space="preserve"> – </w:t>
            </w:r>
            <w:r w:rsidRPr="00D624D1">
              <w:t>Modelling impacts of wealth transfers on future wealth inequality</w:t>
            </w:r>
          </w:p>
        </w:tc>
      </w:tr>
      <w:tr w:rsidR="006E0ED6" w14:paraId="76586B6F" w14:textId="77777777" w:rsidTr="001625EC">
        <w:tc>
          <w:tcPr>
            <w:tcW w:w="9638" w:type="dxa"/>
            <w:tcMar>
              <w:top w:w="28" w:type="dxa"/>
              <w:left w:w="170" w:type="dxa"/>
              <w:bottom w:w="170" w:type="dxa"/>
              <w:right w:w="170" w:type="dxa"/>
            </w:tcMar>
            <w:hideMark/>
          </w:tcPr>
          <w:p w14:paraId="554BB5D2" w14:textId="77777777" w:rsidR="006E0ED6" w:rsidRDefault="006E0ED6" w:rsidP="001625EC">
            <w:pPr>
              <w:pStyle w:val="BodyText"/>
            </w:pPr>
            <w:r>
              <w:t xml:space="preserve">Future wealth transfers and their impacts on wealth inequality were analysed using a simulation model calibrated to micro-level data on income, wealth, and wealth transfers while holding current policy settings, including for tax and the superannuation system, fixed. </w:t>
            </w:r>
          </w:p>
          <w:p w14:paraId="548B12AD" w14:textId="2E98D6B7" w:rsidR="006E0ED6" w:rsidRDefault="006E0ED6" w:rsidP="001625EC">
            <w:pPr>
              <w:pStyle w:val="BodyText"/>
            </w:pPr>
            <w:r>
              <w:t xml:space="preserve">Model outputs — the projections — depend heavily on assumptions and are not, and should not be, interpreted as predictions of the future. Although the projections do not </w:t>
            </w:r>
            <w:r w:rsidR="00F06E80">
              <w:t>provide an exact estimate of what will happen in the real world</w:t>
            </w:r>
            <w:r>
              <w:t>, they provide</w:t>
            </w:r>
            <w:r w:rsidDel="00F06E80">
              <w:t xml:space="preserve"> </w:t>
            </w:r>
            <w:r w:rsidR="00F06E80">
              <w:t xml:space="preserve">useful insights </w:t>
            </w:r>
            <w:r w:rsidR="00016FEC">
              <w:t>and forward-looking descriptive statistics</w:t>
            </w:r>
            <w:r w:rsidR="00016FEC" w:rsidDel="00F06E80">
              <w:t xml:space="preserve"> </w:t>
            </w:r>
            <w:r w:rsidR="00F06E80">
              <w:t>about</w:t>
            </w:r>
            <w:r w:rsidR="00FE0448">
              <w:t xml:space="preserve"> </w:t>
            </w:r>
            <w:r w:rsidR="00016FEC">
              <w:t xml:space="preserve">a range of potential </w:t>
            </w:r>
            <w:r w:rsidR="00513E36">
              <w:t xml:space="preserve">outcomes for </w:t>
            </w:r>
            <w:r w:rsidR="00541749">
              <w:t xml:space="preserve">wealth </w:t>
            </w:r>
            <w:r>
              <w:t>transfers</w:t>
            </w:r>
            <w:r w:rsidR="00513E36">
              <w:t xml:space="preserve"> in the future</w:t>
            </w:r>
            <w:r>
              <w:t>.</w:t>
            </w:r>
          </w:p>
        </w:tc>
      </w:tr>
      <w:tr w:rsidR="006E0ED6" w14:paraId="603F821A" w14:textId="77777777" w:rsidTr="001625EC">
        <w:tc>
          <w:tcPr>
            <w:tcW w:w="9638" w:type="dxa"/>
            <w:shd w:val="clear" w:color="auto" w:fill="auto"/>
            <w:tcMar>
              <w:top w:w="0" w:type="dxa"/>
              <w:left w:w="170" w:type="dxa"/>
              <w:bottom w:w="0" w:type="dxa"/>
              <w:right w:w="170" w:type="dxa"/>
            </w:tcMar>
          </w:tcPr>
          <w:p w14:paraId="391E7371" w14:textId="77777777" w:rsidR="006E0ED6" w:rsidRDefault="006E0ED6" w:rsidP="001625EC">
            <w:pPr>
              <w:pStyle w:val="BodyText"/>
              <w:spacing w:before="0" w:after="0" w:line="80" w:lineRule="atLeast"/>
            </w:pPr>
          </w:p>
        </w:tc>
      </w:tr>
    </w:tbl>
    <w:p w14:paraId="6177BF01" w14:textId="1907B551" w:rsidR="006E0ED6" w:rsidRPr="00146382" w:rsidRDefault="006E0ED6" w:rsidP="006E0ED6">
      <w:pPr>
        <w:pStyle w:val="FigureTableHeading"/>
      </w:pPr>
      <w:r>
        <w:lastRenderedPageBreak/>
        <w:t xml:space="preserve">Figure </w:t>
      </w:r>
      <w:r w:rsidR="00B2270C">
        <w:fldChar w:fldCharType="begin"/>
      </w:r>
      <w:r w:rsidR="00B2270C">
        <w:instrText xml:space="preserve"> SEQ Figure \* ARABIC \s 1 </w:instrText>
      </w:r>
      <w:r w:rsidR="00B2270C">
        <w:fldChar w:fldCharType="separate"/>
      </w:r>
      <w:r w:rsidR="00F3386D">
        <w:rPr>
          <w:noProof/>
        </w:rPr>
        <w:t>5</w:t>
      </w:r>
      <w:r w:rsidR="00B2270C">
        <w:rPr>
          <w:noProof/>
        </w:rPr>
        <w:fldChar w:fldCharType="end"/>
      </w:r>
      <w:r>
        <w:rPr>
          <w:noProof/>
        </w:rPr>
        <w:t xml:space="preserve"> </w:t>
      </w:r>
      <w:r>
        <w:t xml:space="preserve">– </w:t>
      </w:r>
      <w:r w:rsidRPr="00D624D1">
        <w:t>Older people are projected to hold a greater share of wealth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E0ED6" w:rsidRPr="00D624D1" w14:paraId="3B9DEE30" w14:textId="77777777" w:rsidTr="001625EC">
        <w:tc>
          <w:tcPr>
            <w:tcW w:w="4814" w:type="dxa"/>
          </w:tcPr>
          <w:p w14:paraId="49E785D2" w14:textId="77503755" w:rsidR="006E0ED6" w:rsidRPr="00600184" w:rsidRDefault="006E0ED6" w:rsidP="00132C71">
            <w:pPr>
              <w:pStyle w:val="FigureTableSubheading"/>
              <w:numPr>
                <w:ilvl w:val="0"/>
                <w:numId w:val="25"/>
              </w:numPr>
              <w:rPr>
                <w:sz w:val="16"/>
                <w:szCs w:val="14"/>
              </w:rPr>
            </w:pPr>
            <w:r w:rsidRPr="00600184">
              <w:rPr>
                <w:sz w:val="16"/>
                <w:szCs w:val="14"/>
              </w:rPr>
              <w:t>Share of population aged over 60</w:t>
            </w:r>
          </w:p>
        </w:tc>
        <w:tc>
          <w:tcPr>
            <w:tcW w:w="4814" w:type="dxa"/>
          </w:tcPr>
          <w:p w14:paraId="520597D0" w14:textId="01BABB48" w:rsidR="006E0ED6" w:rsidRPr="00600184" w:rsidRDefault="006E0ED6" w:rsidP="00132C71">
            <w:pPr>
              <w:pStyle w:val="FigureTableSubheading"/>
              <w:numPr>
                <w:ilvl w:val="0"/>
                <w:numId w:val="25"/>
              </w:numPr>
              <w:rPr>
                <w:sz w:val="16"/>
                <w:szCs w:val="14"/>
              </w:rPr>
            </w:pPr>
            <w:r w:rsidRPr="00600184">
              <w:rPr>
                <w:sz w:val="16"/>
                <w:szCs w:val="14"/>
              </w:rPr>
              <w:t>Share of wealth in housing</w:t>
            </w:r>
          </w:p>
        </w:tc>
      </w:tr>
      <w:tr w:rsidR="006E0ED6" w:rsidRPr="00D624D1" w14:paraId="7F51BAEB" w14:textId="77777777" w:rsidTr="001625EC">
        <w:tc>
          <w:tcPr>
            <w:tcW w:w="4814" w:type="dxa"/>
          </w:tcPr>
          <w:p w14:paraId="34C7894B" w14:textId="77777777" w:rsidR="006E0ED6" w:rsidRPr="00D624D1" w:rsidRDefault="006E0ED6" w:rsidP="001625EC">
            <w:pPr>
              <w:pStyle w:val="BodyText"/>
            </w:pPr>
            <w:r w:rsidRPr="00C46946">
              <w:rPr>
                <w:noProof/>
              </w:rPr>
              <w:drawing>
                <wp:inline distT="0" distB="0" distL="0" distR="0" wp14:anchorId="052D349F" wp14:editId="4A080B08">
                  <wp:extent cx="2879725" cy="2388235"/>
                  <wp:effectExtent l="0" t="0" r="0" b="0"/>
                  <wp:docPr id="7" name="Picture 7" descr="Figure 5, panel a. This chart shows that the projected share of the population aged over 60 increases by 12 percentage points from 2018 to 2048, but their projected share of wealth held increases by 22 percentage points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panel a. This chart shows that the projected share of the population aged over 60 increases by 12 percentage points from 2018 to 2048, but their projected share of wealth held increases by 22 percentage points over the same perio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9725" cy="2388235"/>
                          </a:xfrm>
                          <a:prstGeom prst="rect">
                            <a:avLst/>
                          </a:prstGeom>
                          <a:noFill/>
                          <a:ln>
                            <a:noFill/>
                          </a:ln>
                        </pic:spPr>
                      </pic:pic>
                    </a:graphicData>
                  </a:graphic>
                </wp:inline>
              </w:drawing>
            </w:r>
          </w:p>
        </w:tc>
        <w:tc>
          <w:tcPr>
            <w:tcW w:w="4814" w:type="dxa"/>
          </w:tcPr>
          <w:p w14:paraId="65EAE4A0" w14:textId="77777777" w:rsidR="006E0ED6" w:rsidRPr="00D624D1" w:rsidRDefault="006E0ED6" w:rsidP="001625EC">
            <w:pPr>
              <w:pStyle w:val="BodyText"/>
            </w:pPr>
            <w:r w:rsidRPr="006D6D2C">
              <w:rPr>
                <w:noProof/>
              </w:rPr>
              <w:drawing>
                <wp:inline distT="0" distB="0" distL="0" distR="0" wp14:anchorId="1DE544BE" wp14:editId="40ED7380">
                  <wp:extent cx="2879725" cy="2388235"/>
                  <wp:effectExtent l="0" t="0" r="0" b="0"/>
                  <wp:docPr id="8" name="Picture 8" descr="Figure 5, panel b. This chart shows the projected share of wealth in housing for people aged 30-59 is fairly similar in both 2018 and 2048 at about 50 per cent. For people aged 60-99, the share of wealth held in housing is projected to increase from about 54 to 6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panel b. This chart shows the projected share of wealth in housing for people aged 30-59 is fairly similar in both 2018 and 2048 at about 50 per cent. For people aged 60-99, the share of wealth held in housing is projected to increase from about 54 to 66 per c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725" cy="2388235"/>
                          </a:xfrm>
                          <a:prstGeom prst="rect">
                            <a:avLst/>
                          </a:prstGeom>
                          <a:noFill/>
                          <a:ln>
                            <a:noFill/>
                          </a:ln>
                        </pic:spPr>
                      </pic:pic>
                    </a:graphicData>
                  </a:graphic>
                </wp:inline>
              </w:drawing>
            </w:r>
          </w:p>
        </w:tc>
      </w:tr>
    </w:tbl>
    <w:p w14:paraId="7D7CBFAE" w14:textId="77777777" w:rsidR="006E0ED6" w:rsidRDefault="006E0ED6" w:rsidP="006E0ED6">
      <w:pPr>
        <w:pStyle w:val="Space"/>
      </w:pPr>
    </w:p>
    <w:p w14:paraId="35D26F39" w14:textId="0BD0CF7F" w:rsidR="006E0ED6" w:rsidRDefault="006E0ED6" w:rsidP="006E0ED6">
      <w:pPr>
        <w:pStyle w:val="BodyText"/>
      </w:pPr>
      <w:r>
        <w:t>I</w:t>
      </w:r>
      <w:r w:rsidRPr="00697C54">
        <w:t xml:space="preserve">nheritances passed onto the next generation </w:t>
      </w:r>
      <w:r>
        <w:t>are</w:t>
      </w:r>
      <w:r w:rsidRPr="00697C54">
        <w:t xml:space="preserve"> </w:t>
      </w:r>
      <w:r>
        <w:t>projected</w:t>
      </w:r>
      <w:r w:rsidRPr="00697C54">
        <w:t xml:space="preserve"> to grow in line with rising wealth among older age groups</w:t>
      </w:r>
      <w:r>
        <w:t xml:space="preserve">, with the total amount </w:t>
      </w:r>
      <w:r w:rsidRPr="00697C54">
        <w:t>increas</w:t>
      </w:r>
      <w:r>
        <w:t>ing</w:t>
      </w:r>
      <w:r w:rsidRPr="00697C54">
        <w:t xml:space="preserve"> </w:t>
      </w:r>
      <w:r>
        <w:t>nearly fourfold</w:t>
      </w:r>
      <w:r w:rsidRPr="00697C54">
        <w:t xml:space="preserve"> between 2020 and 2050</w:t>
      </w:r>
      <w:r>
        <w:t xml:space="preserve">. </w:t>
      </w:r>
      <w:bookmarkStart w:id="7" w:name="_Hlk77867962"/>
      <w:r>
        <w:t xml:space="preserve">Falling fertility rates — a long term trend evident in Australia since the late 1950s — means that people who die </w:t>
      </w:r>
      <w:r w:rsidR="00737E82">
        <w:t>will</w:t>
      </w:r>
      <w:r w:rsidDel="00737E82">
        <w:t xml:space="preserve"> </w:t>
      </w:r>
      <w:r>
        <w:t>have fewer children to leave their wealth to, contributing to larger average inheritances received per person.</w:t>
      </w:r>
    </w:p>
    <w:bookmarkEnd w:id="7"/>
    <w:p w14:paraId="65019EAB" w14:textId="50CFF08F" w:rsidR="006E0ED6" w:rsidRPr="0044250C" w:rsidRDefault="006E0ED6" w:rsidP="006E0ED6">
      <w:pPr>
        <w:pStyle w:val="BodyText"/>
        <w:rPr>
          <w:spacing w:val="-2"/>
        </w:rPr>
      </w:pPr>
      <w:r w:rsidRPr="0044250C">
        <w:rPr>
          <w:spacing w:val="-2"/>
        </w:rPr>
        <w:t>Projections of the value of gifts were based on existing gifting rates estimated from survey data (</w:t>
      </w:r>
      <w:r w:rsidRPr="0044250C" w:rsidDel="005F5999">
        <w:rPr>
          <w:spacing w:val="-2"/>
        </w:rPr>
        <w:t>which</w:t>
      </w:r>
      <w:r w:rsidRPr="0044250C">
        <w:rPr>
          <w:spacing w:val="-2"/>
        </w:rPr>
        <w:t xml:space="preserve"> may </w:t>
      </w:r>
      <w:r w:rsidRPr="0044250C" w:rsidDel="005F5999">
        <w:rPr>
          <w:spacing w:val="-2"/>
        </w:rPr>
        <w:t>underreport gifts received</w:t>
      </w:r>
      <w:r w:rsidRPr="0044250C">
        <w:rPr>
          <w:spacing w:val="-2"/>
        </w:rPr>
        <w:t>). The size of gifts is projected to fall relative to the size of inheritances, because gifts tend to be made years before death from a relatively smaller stock of wealth than exists when people die.</w:t>
      </w:r>
    </w:p>
    <w:p w14:paraId="0A30F279" w14:textId="77777777" w:rsidR="006E0ED6" w:rsidRPr="00824D6E" w:rsidRDefault="006E0ED6" w:rsidP="006E0ED6">
      <w:pPr>
        <w:pStyle w:val="Heading3"/>
      </w:pPr>
      <w:r w:rsidRPr="00824D6E">
        <w:t>Wealth transfers are projected to reduce relative wealth inequality</w:t>
      </w:r>
      <w:r>
        <w:t xml:space="preserve">, although behavioural changes </w:t>
      </w:r>
      <w:r w:rsidRPr="00824D6E">
        <w:t>could increase it</w:t>
      </w:r>
    </w:p>
    <w:p w14:paraId="12D2B219" w14:textId="77777777" w:rsidR="006E0ED6" w:rsidRDefault="006E0ED6" w:rsidP="006E0ED6">
      <w:pPr>
        <w:pStyle w:val="BodyText"/>
      </w:pPr>
      <w:r>
        <w:t>In most of the scenarios that were modelled, w</w:t>
      </w:r>
      <w:r w:rsidRPr="007766E9">
        <w:t xml:space="preserve">ealth transfers </w:t>
      </w:r>
      <w:r>
        <w:t xml:space="preserve">are </w:t>
      </w:r>
      <w:r w:rsidRPr="007766E9">
        <w:t xml:space="preserve">projected to </w:t>
      </w:r>
      <w:r>
        <w:t xml:space="preserve">increase </w:t>
      </w:r>
      <w:r w:rsidRPr="009B0E4C">
        <w:rPr>
          <w:i/>
          <w:iCs/>
        </w:rPr>
        <w:t>absolute</w:t>
      </w:r>
      <w:r>
        <w:t xml:space="preserve"> wealth inequality but </w:t>
      </w:r>
      <w:r w:rsidRPr="007766E9">
        <w:t xml:space="preserve">reduce </w:t>
      </w:r>
      <w:r w:rsidRPr="00497816">
        <w:rPr>
          <w:i/>
          <w:iCs/>
        </w:rPr>
        <w:t>relative</w:t>
      </w:r>
      <w:r w:rsidRPr="007766E9">
        <w:t xml:space="preserve"> wealth inequality. </w:t>
      </w:r>
      <w:r>
        <w:t>The mechanics are the same as described above:</w:t>
      </w:r>
      <w:r w:rsidRPr="00941D1E">
        <w:t xml:space="preserve"> </w:t>
      </w:r>
      <w:r>
        <w:t xml:space="preserve">even though wealthier people receive larger wealth transfers on average, </w:t>
      </w:r>
      <w:r w:rsidRPr="00941D1E">
        <w:t xml:space="preserve">less wealthy </w:t>
      </w:r>
      <w:r>
        <w:t xml:space="preserve">people receive wealth transfers that are </w:t>
      </w:r>
      <w:r w:rsidRPr="00941D1E">
        <w:t xml:space="preserve">a larger </w:t>
      </w:r>
      <w:r>
        <w:t>share</w:t>
      </w:r>
      <w:r w:rsidRPr="00941D1E">
        <w:t xml:space="preserve"> of their existing wealth.</w:t>
      </w:r>
    </w:p>
    <w:p w14:paraId="38072E04" w14:textId="024A9BB2" w:rsidR="006E0ED6" w:rsidRPr="00FC721D" w:rsidRDefault="006E0ED6" w:rsidP="006E0ED6">
      <w:pPr>
        <w:pStyle w:val="BodyText"/>
        <w:rPr>
          <w:spacing w:val="-4"/>
        </w:rPr>
      </w:pPr>
      <w:r w:rsidRPr="00FC721D">
        <w:rPr>
          <w:spacing w:val="-4"/>
        </w:rPr>
        <w:t>If wealthier people are assumed to benefit more from wealth transfers in the future</w:t>
      </w:r>
      <w:r w:rsidRPr="00FC721D" w:rsidDel="00BF4092">
        <w:rPr>
          <w:spacing w:val="-4"/>
        </w:rPr>
        <w:t xml:space="preserve"> </w:t>
      </w:r>
      <w:r w:rsidRPr="00FC721D">
        <w:rPr>
          <w:spacing w:val="-4"/>
        </w:rPr>
        <w:t xml:space="preserve">— for example, </w:t>
      </w:r>
      <w:r w:rsidR="00737E82" w:rsidRPr="00FC721D">
        <w:rPr>
          <w:spacing w:val="-4"/>
        </w:rPr>
        <w:t xml:space="preserve">because </w:t>
      </w:r>
      <w:r w:rsidRPr="00FC721D">
        <w:rPr>
          <w:spacing w:val="-4"/>
        </w:rPr>
        <w:t xml:space="preserve">they receive a much larger share of total inheritances than observed in the past, or save a much larger share of their inheritances compared to less wealthy people — then there could be an increase in relative wealth inequality. </w:t>
      </w:r>
    </w:p>
    <w:p w14:paraId="067D2D7E" w14:textId="77777777" w:rsidR="006E0ED6" w:rsidRDefault="006E0ED6" w:rsidP="006E0ED6">
      <w:pPr>
        <w:pStyle w:val="BodyText"/>
      </w:pPr>
      <w:r>
        <w:t xml:space="preserve">That said, the projected effects of wealth transfers on relative wealth inequality under all modelled scenarios are small. A one percentage point change in the rate of return to housing wealth — a fraction of the average annual historical return — is projected to have a much larger impact on wealth inequality than wealth transfers (illustrated with reference to the millennial and generation X birth cohorts in figure 6). </w:t>
      </w:r>
    </w:p>
    <w:p w14:paraId="0B46ECAE" w14:textId="411EDFDA" w:rsidR="006E0ED6" w:rsidRPr="00146382" w:rsidRDefault="006E0ED6" w:rsidP="006E0ED6">
      <w:pPr>
        <w:pStyle w:val="FigureTableHeading"/>
      </w:pPr>
      <w:r>
        <w:lastRenderedPageBreak/>
        <w:t xml:space="preserve">Figure </w:t>
      </w:r>
      <w:r w:rsidR="00B2270C">
        <w:fldChar w:fldCharType="begin"/>
      </w:r>
      <w:r w:rsidR="00B2270C">
        <w:instrText xml:space="preserve"> SEQ Figure \* ARABIC \s 1 </w:instrText>
      </w:r>
      <w:r w:rsidR="00B2270C">
        <w:fldChar w:fldCharType="separate"/>
      </w:r>
      <w:r w:rsidR="00F3386D">
        <w:rPr>
          <w:noProof/>
        </w:rPr>
        <w:t>6</w:t>
      </w:r>
      <w:r w:rsidR="00B2270C">
        <w:rPr>
          <w:noProof/>
        </w:rPr>
        <w:fldChar w:fldCharType="end"/>
      </w:r>
      <w:r>
        <w:rPr>
          <w:noProof/>
        </w:rPr>
        <w:t xml:space="preserve"> </w:t>
      </w:r>
      <w:r>
        <w:t xml:space="preserve">– </w:t>
      </w:r>
      <w:r w:rsidRPr="00D624D1">
        <w:t>As in the past, wealth transfers are projected to moderate wealth inequality but the effect is small relative to a lower housing return</w:t>
      </w:r>
      <w:r w:rsidRPr="00066CF5">
        <w:rPr>
          <w:vertAlign w:val="superscript"/>
        </w:rPr>
        <w:t>a,b</w:t>
      </w:r>
    </w:p>
    <w:p w14:paraId="3AF281A3" w14:textId="7DC76100" w:rsidR="006E0ED6" w:rsidRPr="005550A0" w:rsidRDefault="00773507" w:rsidP="006E0ED6">
      <w:pPr>
        <w:pStyle w:val="BodyText"/>
      </w:pPr>
      <w:r w:rsidRPr="00773507">
        <w:rPr>
          <w:noProof/>
        </w:rPr>
        <w:drawing>
          <wp:inline distT="0" distB="0" distL="0" distR="0" wp14:anchorId="38B1C943" wp14:editId="49430582">
            <wp:extent cx="6120130" cy="2682875"/>
            <wp:effectExtent l="0" t="0" r="0" b="3175"/>
            <wp:docPr id="280" name="Picture 280" descr="Figure 6. This chart shows the cumulative change in the Gini coefficient for millennials and Gen X under a situation with wealth transfers, and under a situation with a lower housing return. The improvement in equality is greater under the lower housing return situation by 2050.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Figure 6. This chart shows the cumulative change in the Gini coefficient for millennials and Gen X under a situation with wealth transfers, and under a situation with a lower housing return. The improvement in equality is greater under the lower housing return situation by 2050. More details are contained in the text surrounding this fig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682875"/>
                    </a:xfrm>
                    <a:prstGeom prst="rect">
                      <a:avLst/>
                    </a:prstGeom>
                    <a:noFill/>
                    <a:ln>
                      <a:noFill/>
                    </a:ln>
                  </pic:spPr>
                </pic:pic>
              </a:graphicData>
            </a:graphic>
          </wp:inline>
        </w:drawing>
      </w:r>
    </w:p>
    <w:p w14:paraId="04642D6D" w14:textId="77777777" w:rsidR="006E0ED6" w:rsidRDefault="006E0ED6" w:rsidP="006E0ED6">
      <w:pPr>
        <w:pStyle w:val="Note"/>
        <w:keepLines/>
        <w:sectPr w:rsidR="006E0ED6" w:rsidSect="00EC58FF">
          <w:headerReference w:type="even" r:id="rId39"/>
          <w:headerReference w:type="default" r:id="rId40"/>
          <w:footerReference w:type="even" r:id="rId41"/>
          <w:footerReference w:type="default" r:id="rId42"/>
          <w:type w:val="oddPage"/>
          <w:pgSz w:w="11906" w:h="16838" w:code="9"/>
          <w:pgMar w:top="1134" w:right="1134" w:bottom="1134" w:left="1134" w:header="794" w:footer="510" w:gutter="0"/>
          <w:pgNumType w:start="1"/>
          <w:cols w:space="708"/>
          <w:docGrid w:linePitch="360"/>
        </w:sectPr>
      </w:pPr>
      <w:r w:rsidRPr="00180E66">
        <w:rPr>
          <w:b/>
          <w:bCs/>
        </w:rPr>
        <w:t>a.</w:t>
      </w:r>
      <w:r>
        <w:t xml:space="preserve"> </w:t>
      </w:r>
      <w:r w:rsidRPr="00D624D1">
        <w:t xml:space="preserve">The ‘wealth transfers’ line shows the reduction in the Gini coefficient (100 point scale) due to wealth transfers, relative to no future wealth transfers. The ‘lower housing return’ line shows the effect due to a one percentage point lower rate of return on housing in the long run. </w:t>
      </w:r>
      <w:r w:rsidRPr="00D624D1">
        <w:rPr>
          <w:b/>
          <w:bCs/>
        </w:rPr>
        <w:t>b</w:t>
      </w:r>
      <w:r>
        <w:rPr>
          <w:b/>
          <w:bCs/>
        </w:rPr>
        <w:t>.</w:t>
      </w:r>
      <w:r w:rsidRPr="00D624D1">
        <w:t xml:space="preserve"> See chapter 3 for further details.</w:t>
      </w:r>
    </w:p>
    <w:p w14:paraId="122F4E98" w14:textId="77777777" w:rsidR="006E0ED6" w:rsidRDefault="006E0ED6" w:rsidP="005E413E">
      <w:pPr>
        <w:pStyle w:val="Heading1"/>
      </w:pPr>
      <w:bookmarkStart w:id="8" w:name="_Toc87543951"/>
      <w:r>
        <w:lastRenderedPageBreak/>
        <w:t>How much wealth do people transfer?</w:t>
      </w:r>
      <w:bookmarkEnd w:id="8"/>
    </w:p>
    <w:tbl>
      <w:tblPr>
        <w:tblStyle w:val="Texttable-Paleblue"/>
        <w:tblW w:w="5000" w:type="pct"/>
        <w:tblLook w:val="04A0" w:firstRow="1" w:lastRow="0" w:firstColumn="1" w:lastColumn="0" w:noHBand="0" w:noVBand="1"/>
      </w:tblPr>
      <w:tblGrid>
        <w:gridCol w:w="577"/>
        <w:gridCol w:w="9061"/>
      </w:tblGrid>
      <w:tr w:rsidR="006E0ED6" w:rsidRPr="002F759A" w14:paraId="241A0939" w14:textId="77777777" w:rsidTr="001625EC">
        <w:tc>
          <w:tcPr>
            <w:tcW w:w="9638" w:type="dxa"/>
            <w:gridSpan w:val="2"/>
            <w:tcMar>
              <w:left w:w="170" w:type="dxa"/>
            </w:tcMar>
          </w:tcPr>
          <w:p w14:paraId="3BE6E633" w14:textId="77777777" w:rsidR="006E0ED6" w:rsidRPr="002F759A" w:rsidRDefault="006E0ED6" w:rsidP="001625EC">
            <w:pPr>
              <w:pStyle w:val="Keypoints-heading"/>
            </w:pPr>
            <w:r w:rsidRPr="002F759A">
              <w:t>Key points</w:t>
            </w:r>
          </w:p>
        </w:tc>
      </w:tr>
      <w:tr w:rsidR="006E0ED6" w14:paraId="08EEE3F2" w14:textId="77777777" w:rsidTr="001625EC">
        <w:tc>
          <w:tcPr>
            <w:tcW w:w="577" w:type="dxa"/>
            <w:tcMar>
              <w:top w:w="0" w:type="dxa"/>
              <w:bottom w:w="0" w:type="dxa"/>
              <w:right w:w="113" w:type="dxa"/>
            </w:tcMar>
          </w:tcPr>
          <w:p w14:paraId="15E08941" w14:textId="77777777" w:rsidR="006E0ED6" w:rsidRDefault="006E0ED6" w:rsidP="004C58DE">
            <w:pPr>
              <w:pStyle w:val="KeyPointsicon"/>
              <w:spacing w:line="240" w:lineRule="atLeast"/>
            </w:pPr>
            <w:r w:rsidRPr="00A51374">
              <w:rPr>
                <w:noProof/>
              </w:rPr>
              <w:drawing>
                <wp:inline distT="0" distB="0" distL="0" distR="0" wp14:anchorId="307EC2DB" wp14:editId="0A062819">
                  <wp:extent cx="180000" cy="18000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1FE4945" w14:textId="0DD3D006" w:rsidR="006E0ED6" w:rsidRDefault="006E0ED6" w:rsidP="004C58DE">
            <w:pPr>
              <w:pStyle w:val="KeyPoints-Bold"/>
              <w:spacing w:line="240" w:lineRule="atLeast"/>
            </w:pPr>
            <w:r>
              <w:t>The total value of wealth transfers in 2018, including inheritances and inter vivos gifts (gifts), was slightly more than $120</w:t>
            </w:r>
            <w:r w:rsidR="0077263F">
              <w:t> </w:t>
            </w:r>
            <w:r>
              <w:t xml:space="preserve">billion. </w:t>
            </w:r>
          </w:p>
          <w:p w14:paraId="734DC0EB" w14:textId="2B7F64CF" w:rsidR="006E0ED6" w:rsidRDefault="006E0ED6" w:rsidP="004C58DE">
            <w:pPr>
              <w:pStyle w:val="KeyPoints-Bullet"/>
              <w:spacing w:before="0" w:line="240" w:lineRule="atLeast"/>
            </w:pPr>
            <w:r>
              <w:t>This was equivalent to about 6.5</w:t>
            </w:r>
            <w:r w:rsidR="00926875">
              <w:t> </w:t>
            </w:r>
            <w:r>
              <w:t>per</w:t>
            </w:r>
            <w:r w:rsidR="00926875">
              <w:t> </w:t>
            </w:r>
            <w:r>
              <w:t xml:space="preserve">cent of gross national income, which </w:t>
            </w:r>
            <w:r w:rsidR="009E5800">
              <w:t xml:space="preserve">was </w:t>
            </w:r>
            <w:r>
              <w:t>much lower than in a range of European countries where comparisons were possible.</w:t>
            </w:r>
          </w:p>
        </w:tc>
      </w:tr>
      <w:tr w:rsidR="006E0ED6" w14:paraId="34983E3D" w14:textId="77777777" w:rsidTr="001625EC">
        <w:tc>
          <w:tcPr>
            <w:tcW w:w="577" w:type="dxa"/>
            <w:tcMar>
              <w:top w:w="0" w:type="dxa"/>
              <w:bottom w:w="0" w:type="dxa"/>
              <w:right w:w="113" w:type="dxa"/>
            </w:tcMar>
          </w:tcPr>
          <w:p w14:paraId="4FAB7608" w14:textId="77777777" w:rsidR="006E0ED6" w:rsidRPr="00A51374" w:rsidRDefault="006E0ED6" w:rsidP="004C58DE">
            <w:pPr>
              <w:pStyle w:val="KeyPointsicon"/>
              <w:spacing w:line="240" w:lineRule="atLeast"/>
            </w:pPr>
            <w:r w:rsidRPr="00F31E73">
              <w:rPr>
                <w:noProof/>
              </w:rPr>
              <w:drawing>
                <wp:inline distT="0" distB="0" distL="0" distR="0" wp14:anchorId="293D0713" wp14:editId="25451C07">
                  <wp:extent cx="180000" cy="180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DBF6CE" w14:textId="385C5DFC" w:rsidR="006E0ED6" w:rsidRPr="00610627" w:rsidRDefault="006E0ED6" w:rsidP="004C58DE">
            <w:pPr>
              <w:pStyle w:val="KeyPoints-Bold"/>
              <w:spacing w:line="240" w:lineRule="atLeast"/>
            </w:pPr>
            <w:r>
              <w:t>Between 2002 and 2018 the total value of wealth transfers was approximately $1.5</w:t>
            </w:r>
            <w:r w:rsidR="00926875">
              <w:t> </w:t>
            </w:r>
            <w:r>
              <w:t>trillion.</w:t>
            </w:r>
          </w:p>
        </w:tc>
      </w:tr>
      <w:tr w:rsidR="006E0ED6" w14:paraId="371FA9EE" w14:textId="77777777" w:rsidTr="001625EC">
        <w:tc>
          <w:tcPr>
            <w:tcW w:w="577" w:type="dxa"/>
            <w:tcMar>
              <w:top w:w="0" w:type="dxa"/>
              <w:bottom w:w="0" w:type="dxa"/>
              <w:right w:w="113" w:type="dxa"/>
            </w:tcMar>
          </w:tcPr>
          <w:p w14:paraId="4F98784F" w14:textId="77777777" w:rsidR="006E0ED6" w:rsidRPr="00A51374" w:rsidRDefault="006E0ED6" w:rsidP="004C58DE">
            <w:pPr>
              <w:pStyle w:val="KeyPointsicon"/>
              <w:spacing w:line="240" w:lineRule="atLeast"/>
            </w:pPr>
            <w:r w:rsidRPr="00F31E73">
              <w:rPr>
                <w:noProof/>
              </w:rPr>
              <w:drawing>
                <wp:inline distT="0" distB="0" distL="0" distR="0" wp14:anchorId="6750EDE4" wp14:editId="26C32A42">
                  <wp:extent cx="180000" cy="180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74C59D9" w14:textId="37DD0D6E" w:rsidR="006E0ED6" w:rsidRPr="00E06EFB" w:rsidRDefault="006E0ED6" w:rsidP="004C58DE">
            <w:pPr>
              <w:pStyle w:val="KeyPoints-Bold"/>
              <w:spacing w:line="240" w:lineRule="atLeast"/>
              <w:rPr>
                <w:spacing w:val="-4"/>
              </w:rPr>
            </w:pPr>
            <w:r w:rsidRPr="00E06EFB">
              <w:rPr>
                <w:spacing w:val="-4"/>
              </w:rPr>
              <w:t>Inheritances consistently account for the vast majority of wealth transfers. In 2018 approximately $107</w:t>
            </w:r>
            <w:r w:rsidR="00926875">
              <w:rPr>
                <w:spacing w:val="-4"/>
              </w:rPr>
              <w:t> </w:t>
            </w:r>
            <w:r w:rsidRPr="00E06EFB">
              <w:rPr>
                <w:spacing w:val="-4"/>
              </w:rPr>
              <w:t>billion (90</w:t>
            </w:r>
            <w:r w:rsidR="00926875">
              <w:rPr>
                <w:spacing w:val="-4"/>
              </w:rPr>
              <w:t> </w:t>
            </w:r>
            <w:r w:rsidRPr="00E06EFB">
              <w:rPr>
                <w:spacing w:val="-4"/>
              </w:rPr>
              <w:t>per</w:t>
            </w:r>
            <w:r w:rsidR="00926875">
              <w:rPr>
                <w:spacing w:val="-4"/>
              </w:rPr>
              <w:t> </w:t>
            </w:r>
            <w:r w:rsidRPr="00E06EFB">
              <w:rPr>
                <w:spacing w:val="-4"/>
              </w:rPr>
              <w:t>cent) of total wealth transfers were inheritances, compared with less than $14</w:t>
            </w:r>
            <w:r w:rsidR="00926875">
              <w:t> </w:t>
            </w:r>
            <w:r w:rsidRPr="00E06EFB">
              <w:rPr>
                <w:spacing w:val="-4"/>
              </w:rPr>
              <w:t>billion for gifts.</w:t>
            </w:r>
          </w:p>
        </w:tc>
      </w:tr>
      <w:tr w:rsidR="006E0ED6" w14:paraId="7052D44C" w14:textId="77777777" w:rsidTr="001625EC">
        <w:tc>
          <w:tcPr>
            <w:tcW w:w="577" w:type="dxa"/>
            <w:tcMar>
              <w:top w:w="0" w:type="dxa"/>
              <w:bottom w:w="0" w:type="dxa"/>
              <w:right w:w="113" w:type="dxa"/>
            </w:tcMar>
          </w:tcPr>
          <w:p w14:paraId="54C6EFF8" w14:textId="77777777" w:rsidR="006E0ED6" w:rsidRPr="00A51374" w:rsidRDefault="006E0ED6" w:rsidP="004C58DE">
            <w:pPr>
              <w:pStyle w:val="KeyPointsicon"/>
              <w:spacing w:line="240" w:lineRule="atLeast"/>
            </w:pPr>
            <w:r w:rsidRPr="00F31E73">
              <w:rPr>
                <w:noProof/>
              </w:rPr>
              <w:drawing>
                <wp:inline distT="0" distB="0" distL="0" distR="0" wp14:anchorId="2838E511" wp14:editId="29B894C5">
                  <wp:extent cx="180000" cy="180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EF0D522" w14:textId="7116FDD4" w:rsidR="006E0ED6" w:rsidRDefault="006E0ED6" w:rsidP="004C58DE">
            <w:pPr>
              <w:pStyle w:val="KeyPoints-Bold"/>
              <w:spacing w:line="240" w:lineRule="atLeast"/>
            </w:pPr>
            <w:r>
              <w:t xml:space="preserve">The distribution of wealth transfers </w:t>
            </w:r>
            <w:r w:rsidR="0074453A">
              <w:t xml:space="preserve">was </w:t>
            </w:r>
            <w:r>
              <w:t xml:space="preserve">highly skewed. There </w:t>
            </w:r>
            <w:r w:rsidR="0074453A">
              <w:t xml:space="preserve">were </w:t>
            </w:r>
            <w:r>
              <w:t xml:space="preserve">a few very large wealth transfers, but most </w:t>
            </w:r>
            <w:r w:rsidR="0074453A">
              <w:t xml:space="preserve">were </w:t>
            </w:r>
            <w:r>
              <w:t>much smaller than the average.</w:t>
            </w:r>
          </w:p>
          <w:p w14:paraId="282D639A" w14:textId="2B97C8AC" w:rsidR="006E0ED6" w:rsidRPr="00610627" w:rsidRDefault="006E0ED6" w:rsidP="00B21164">
            <w:pPr>
              <w:pStyle w:val="KeyPoints-Bullet"/>
            </w:pPr>
            <w:r>
              <w:t xml:space="preserve">The average reported </w:t>
            </w:r>
            <w:r w:rsidRPr="00CA50D8">
              <w:t>value</w:t>
            </w:r>
            <w:r>
              <w:t xml:space="preserve"> of an inheritance was $125</w:t>
            </w:r>
            <w:r w:rsidR="00BB630C">
              <w:t> </w:t>
            </w:r>
            <w:r>
              <w:t>000</w:t>
            </w:r>
            <w:r w:rsidR="004C3010">
              <w:t xml:space="preserve"> in 2018</w:t>
            </w:r>
            <w:r w:rsidR="004C3010">
              <w:noBreakHyphen/>
              <w:t>19</w:t>
            </w:r>
            <w:r>
              <w:t>, compared with a median value of $45</w:t>
            </w:r>
            <w:r w:rsidR="00BB630C">
              <w:t> </w:t>
            </w:r>
            <w:r>
              <w:t>000. The average reported value of a gift was $8000, compared with a median value of $1000.</w:t>
            </w:r>
          </w:p>
        </w:tc>
      </w:tr>
      <w:tr w:rsidR="006E0ED6" w14:paraId="72A48EA8" w14:textId="77777777" w:rsidTr="001625EC">
        <w:tc>
          <w:tcPr>
            <w:tcW w:w="577" w:type="dxa"/>
            <w:tcMar>
              <w:top w:w="0" w:type="dxa"/>
              <w:bottom w:w="0" w:type="dxa"/>
              <w:right w:w="113" w:type="dxa"/>
            </w:tcMar>
          </w:tcPr>
          <w:p w14:paraId="34A76125" w14:textId="77777777" w:rsidR="006E0ED6" w:rsidRPr="00A51374" w:rsidRDefault="006E0ED6" w:rsidP="004C58DE">
            <w:pPr>
              <w:pStyle w:val="KeyPointsicon"/>
              <w:spacing w:line="240" w:lineRule="atLeast"/>
            </w:pPr>
            <w:r w:rsidRPr="00F31E73">
              <w:rPr>
                <w:noProof/>
              </w:rPr>
              <w:drawing>
                <wp:inline distT="0" distB="0" distL="0" distR="0" wp14:anchorId="29300A02" wp14:editId="32FCAA4C">
                  <wp:extent cx="180000" cy="180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44693E6" w14:textId="09F0B92C" w:rsidR="006E0ED6" w:rsidRPr="00610627" w:rsidRDefault="006E0ED6" w:rsidP="004C58DE">
            <w:pPr>
              <w:pStyle w:val="KeyPoints-Bold"/>
              <w:spacing w:line="240" w:lineRule="atLeast"/>
            </w:pPr>
            <w:r>
              <w:t xml:space="preserve">Inheritance recipients </w:t>
            </w:r>
            <w:r w:rsidR="0074453A">
              <w:t xml:space="preserve">were </w:t>
            </w:r>
            <w:r>
              <w:t xml:space="preserve">typically middle aged or older, with a median age a little over 50. Gift recipients </w:t>
            </w:r>
            <w:r w:rsidR="0074453A">
              <w:t xml:space="preserve">were </w:t>
            </w:r>
            <w:r>
              <w:t>much younger, most commonly aged in their early twenties.</w:t>
            </w:r>
          </w:p>
        </w:tc>
      </w:tr>
      <w:tr w:rsidR="006E0ED6" w14:paraId="4DAB1C81" w14:textId="77777777" w:rsidTr="001625EC">
        <w:tc>
          <w:tcPr>
            <w:tcW w:w="577" w:type="dxa"/>
            <w:tcMar>
              <w:top w:w="0" w:type="dxa"/>
              <w:bottom w:w="0" w:type="dxa"/>
              <w:right w:w="113" w:type="dxa"/>
            </w:tcMar>
          </w:tcPr>
          <w:p w14:paraId="2E01B466" w14:textId="77777777" w:rsidR="006E0ED6" w:rsidRPr="00A51374" w:rsidRDefault="006E0ED6" w:rsidP="004C58DE">
            <w:pPr>
              <w:pStyle w:val="KeyPointsicon"/>
              <w:spacing w:line="240" w:lineRule="atLeast"/>
            </w:pPr>
            <w:r w:rsidRPr="00A51374">
              <w:rPr>
                <w:noProof/>
              </w:rPr>
              <w:drawing>
                <wp:inline distT="0" distB="0" distL="0" distR="0" wp14:anchorId="221DE899" wp14:editId="7070F7E4">
                  <wp:extent cx="180000" cy="18000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2728027" w14:textId="2C51DD84" w:rsidR="006E0ED6" w:rsidRPr="00610627" w:rsidRDefault="006E0ED6" w:rsidP="004C58DE">
            <w:pPr>
              <w:pStyle w:val="KeyPoints-Bold"/>
              <w:spacing w:line="240" w:lineRule="atLeast"/>
            </w:pPr>
            <w:r>
              <w:t>The real value of intergenerational inheritances — that is, bequests that older Australians left to younger generations, typically their children — was $52</w:t>
            </w:r>
            <w:r w:rsidR="00CC418C">
              <w:t> </w:t>
            </w:r>
            <w:r>
              <w:t>billion in 2018, up from about $24</w:t>
            </w:r>
            <w:r w:rsidR="00CC418C">
              <w:t> </w:t>
            </w:r>
            <w:r>
              <w:t>billion in 2002. The increase was driven by increases in per</w:t>
            </w:r>
            <w:r w:rsidR="007114C1">
              <w:noBreakHyphen/>
            </w:r>
            <w:r>
              <w:t>person wealth.</w:t>
            </w:r>
          </w:p>
        </w:tc>
      </w:tr>
      <w:tr w:rsidR="006E0ED6" w14:paraId="36AEDB72" w14:textId="77777777" w:rsidTr="001625EC">
        <w:tc>
          <w:tcPr>
            <w:tcW w:w="577" w:type="dxa"/>
            <w:tcMar>
              <w:top w:w="0" w:type="dxa"/>
              <w:bottom w:w="0" w:type="dxa"/>
              <w:right w:w="113" w:type="dxa"/>
            </w:tcMar>
          </w:tcPr>
          <w:p w14:paraId="38714D84" w14:textId="77777777" w:rsidR="006E0ED6" w:rsidRPr="00A51374" w:rsidRDefault="006E0ED6" w:rsidP="004C58DE">
            <w:pPr>
              <w:pStyle w:val="KeyPointsicon"/>
              <w:spacing w:line="240" w:lineRule="atLeast"/>
            </w:pPr>
            <w:r w:rsidRPr="00F31E73">
              <w:rPr>
                <w:noProof/>
              </w:rPr>
              <w:drawing>
                <wp:inline distT="0" distB="0" distL="0" distR="0" wp14:anchorId="38E2DC84" wp14:editId="72328300">
                  <wp:extent cx="180000" cy="18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B793D2" w14:textId="7E68791E" w:rsidR="006E0ED6" w:rsidRPr="00610627" w:rsidRDefault="006E0ED6" w:rsidP="004C58DE">
            <w:pPr>
              <w:pStyle w:val="KeyPoints-Bold"/>
              <w:spacing w:line="240" w:lineRule="atLeast"/>
            </w:pPr>
            <w:r>
              <w:t>The real value of intergenerational gifts from parents to their children was $12 billion in 2018</w:t>
            </w:r>
            <w:r w:rsidR="00B33560">
              <w:noBreakHyphen/>
            </w:r>
            <w:r>
              <w:t>19, up from about $4</w:t>
            </w:r>
            <w:r w:rsidR="00CC418C">
              <w:t> </w:t>
            </w:r>
            <w:r>
              <w:t>billion in 2001</w:t>
            </w:r>
            <w:r w:rsidR="00B33560">
              <w:noBreakHyphen/>
            </w:r>
            <w:r>
              <w:t>02, driven by more, and higher value, gifting.</w:t>
            </w:r>
          </w:p>
        </w:tc>
      </w:tr>
      <w:tr w:rsidR="006E0ED6" w14:paraId="3D2358D8" w14:textId="77777777" w:rsidTr="001625EC">
        <w:tc>
          <w:tcPr>
            <w:tcW w:w="577" w:type="dxa"/>
            <w:tcMar>
              <w:top w:w="0" w:type="dxa"/>
              <w:bottom w:w="0" w:type="dxa"/>
              <w:right w:w="113" w:type="dxa"/>
            </w:tcMar>
          </w:tcPr>
          <w:p w14:paraId="6D257D80" w14:textId="77777777" w:rsidR="006E0ED6" w:rsidRPr="00A51374" w:rsidRDefault="006E0ED6" w:rsidP="004C58DE">
            <w:pPr>
              <w:pStyle w:val="KeyPointsicon"/>
              <w:spacing w:line="240" w:lineRule="atLeast"/>
            </w:pPr>
            <w:r w:rsidRPr="00F31E73">
              <w:rPr>
                <w:noProof/>
              </w:rPr>
              <w:drawing>
                <wp:inline distT="0" distB="0" distL="0" distR="0" wp14:anchorId="16D8890B" wp14:editId="0C0E3029">
                  <wp:extent cx="180000" cy="180000"/>
                  <wp:effectExtent l="0" t="0" r="0" b="0"/>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24C9694" w14:textId="2CA5AAE0" w:rsidR="006E0ED6" w:rsidRPr="00E06EFB" w:rsidRDefault="006E0ED6" w:rsidP="004C58DE">
            <w:pPr>
              <w:pStyle w:val="KeyPoints-Bold"/>
              <w:spacing w:line="240" w:lineRule="atLeast"/>
              <w:rPr>
                <w:spacing w:val="-4"/>
              </w:rPr>
            </w:pPr>
            <w:r w:rsidRPr="00E06EFB">
              <w:rPr>
                <w:spacing w:val="-4"/>
              </w:rPr>
              <w:t>Lack of high</w:t>
            </w:r>
            <w:r w:rsidR="007114C1">
              <w:rPr>
                <w:spacing w:val="-4"/>
              </w:rPr>
              <w:noBreakHyphen/>
            </w:r>
            <w:r w:rsidRPr="00E06EFB">
              <w:rPr>
                <w:spacing w:val="-4"/>
              </w:rPr>
              <w:t xml:space="preserve">quality data hampers accurate estimation of the size of wealth transfers, who they go to, and who gave them. </w:t>
            </w:r>
          </w:p>
          <w:p w14:paraId="5F398800" w14:textId="637930CA" w:rsidR="006E0ED6" w:rsidRPr="00E06EFB" w:rsidRDefault="006E0ED6" w:rsidP="004C58DE">
            <w:pPr>
              <w:pStyle w:val="KeyPoints-Bullet"/>
              <w:spacing w:before="0" w:line="240" w:lineRule="atLeast"/>
              <w:rPr>
                <w:spacing w:val="-4"/>
              </w:rPr>
            </w:pPr>
            <w:r w:rsidRPr="00E06EFB">
              <w:t>Only 44</w:t>
            </w:r>
            <w:r w:rsidR="00CC418C">
              <w:t> </w:t>
            </w:r>
            <w:r w:rsidRPr="00E06EFB">
              <w:t>per</w:t>
            </w:r>
            <w:r w:rsidR="00CC418C">
              <w:t> </w:t>
            </w:r>
            <w:r w:rsidRPr="00E06EFB">
              <w:t>cent of people in the Household, Income and Labour Dynamics in Australia (HILDA) survey reported receiving an inheritance after the death of their second parent, suggesting there is significant non</w:t>
            </w:r>
            <w:r w:rsidR="001F3376">
              <w:noBreakHyphen/>
            </w:r>
            <w:r w:rsidRPr="00E06EFB">
              <w:t>reporting of inheritances, particularly small inheritances.</w:t>
            </w:r>
          </w:p>
        </w:tc>
      </w:tr>
      <w:tr w:rsidR="006E0ED6" w14:paraId="6006AB0C" w14:textId="77777777" w:rsidTr="001625EC">
        <w:tc>
          <w:tcPr>
            <w:tcW w:w="574" w:type="dxa"/>
            <w:tcMar>
              <w:top w:w="0" w:type="dxa"/>
              <w:bottom w:w="0" w:type="dxa"/>
              <w:right w:w="113" w:type="dxa"/>
            </w:tcMar>
          </w:tcPr>
          <w:p w14:paraId="10141F14" w14:textId="77777777" w:rsidR="006E0ED6" w:rsidRPr="00A51374" w:rsidRDefault="006E0ED6" w:rsidP="004C58DE">
            <w:pPr>
              <w:pStyle w:val="KeyPointsicon"/>
              <w:spacing w:line="240" w:lineRule="atLeast"/>
            </w:pPr>
            <w:r w:rsidRPr="00F31E73">
              <w:rPr>
                <w:noProof/>
              </w:rPr>
              <w:drawing>
                <wp:inline distT="0" distB="0" distL="0" distR="0" wp14:anchorId="175A3B1C" wp14:editId="7B9A6D12">
                  <wp:extent cx="180000" cy="180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6EF8F61D" w14:textId="7F7C9F43" w:rsidR="006E0ED6" w:rsidRPr="00E06EFB" w:rsidRDefault="006E0ED6" w:rsidP="004C58DE">
            <w:pPr>
              <w:pStyle w:val="KeyPoints-Bold"/>
              <w:spacing w:line="240" w:lineRule="atLeast"/>
              <w:rPr>
                <w:spacing w:val="-4"/>
              </w:rPr>
            </w:pPr>
            <w:r w:rsidRPr="00E06EFB">
              <w:rPr>
                <w:spacing w:val="-4"/>
              </w:rPr>
              <w:t>Additional questions in the HILDA survey — the only dataset in Australia that facilitates household</w:t>
            </w:r>
            <w:r w:rsidR="007114C1">
              <w:rPr>
                <w:spacing w:val="-4"/>
              </w:rPr>
              <w:noBreakHyphen/>
            </w:r>
            <w:r w:rsidRPr="00E06EFB">
              <w:rPr>
                <w:spacing w:val="-4"/>
              </w:rPr>
              <w:t>level analysis of wealth transfers — could improve understanding of wealth transfers in Australia, as would potential linkage of administrative datasets with probate records as the latter are progressively digitised.</w:t>
            </w:r>
          </w:p>
        </w:tc>
      </w:tr>
    </w:tbl>
    <w:p w14:paraId="7ADCD694" w14:textId="77777777" w:rsidR="006E0ED6" w:rsidRDefault="006E0ED6" w:rsidP="006E0ED6">
      <w:pPr>
        <w:pStyle w:val="Boxspace"/>
      </w:pPr>
    </w:p>
    <w:p w14:paraId="0520E933" w14:textId="12DBEB95" w:rsidR="006E0ED6" w:rsidRPr="00AE608F" w:rsidRDefault="006E0ED6" w:rsidP="006E0ED6">
      <w:pPr>
        <w:pStyle w:val="BodyText"/>
        <w:rPr>
          <w:spacing w:val="-4"/>
        </w:rPr>
      </w:pPr>
      <w:r w:rsidRPr="00AE608F">
        <w:rPr>
          <w:spacing w:val="-4"/>
        </w:rPr>
        <w:lastRenderedPageBreak/>
        <w:t xml:space="preserve">Australians have experienced strong growth in household wealth over the past two decades. But growth in wealth has been uneven, which inevitably leads to changes in the distribution of wealth </w:t>
      </w:r>
      <w:r w:rsidRPr="00AE608F">
        <w:rPr>
          <w:spacing w:val="-4"/>
        </w:rPr>
        <w:fldChar w:fldCharType="begin"/>
      </w:r>
      <w:r w:rsidR="0047772E">
        <w:rPr>
          <w:spacing w:val="-4"/>
        </w:rPr>
        <w:instrText xml:space="preserve"> ADDIN ZOTERO_ITEM CSL_CITATION {"citationID":"5rihtCXp","properties":{"formattedCitation":"(PC\\uc0\\u160{}2018a, chap.\\uc0\\u160{}4)","plainCitation":"(PC 2018a, chap. 4)","noteIndex":0},"citationItems":[{"id":2793,"uris":["http://zotero.org/groups/164861/items/7NVJM2JN"],"uri":["http://zotero.org/groups/164861/items/7NVJM2JN"],"itemData":{"id":2793,"type":"report","event-place":"Canberra","genre":"Commission Research Paper","publisher-place":"Canberra","title":"Rising inequality? A stocktake of the evidence","author":[{"family":"Productivity Commission","given":""}],"translator":[{"family":"PC","given":""}],"issued":{"date-parts":[["2018"]]}},"locator":"4","label":"chapter"}],"schema":"https://github.com/citation-style-language/schema/raw/master/csl-citation.json"} </w:instrText>
      </w:r>
      <w:r w:rsidRPr="00AE608F">
        <w:rPr>
          <w:spacing w:val="-4"/>
        </w:rPr>
        <w:fldChar w:fldCharType="separate"/>
      </w:r>
      <w:r w:rsidR="007A60F8" w:rsidRPr="007A60F8">
        <w:rPr>
          <w:rFonts w:ascii="Arial" w:hAnsi="Arial" w:cs="Arial"/>
          <w:szCs w:val="24"/>
        </w:rPr>
        <w:t>(PC 2018a, chap. 4)</w:t>
      </w:r>
      <w:r w:rsidRPr="00AE608F">
        <w:rPr>
          <w:spacing w:val="-4"/>
        </w:rPr>
        <w:fldChar w:fldCharType="end"/>
      </w:r>
      <w:r w:rsidRPr="00AE608F">
        <w:rPr>
          <w:spacing w:val="-4"/>
        </w:rPr>
        <w:t xml:space="preserve">. Retirees in particular have seen disproportionately strong growth in their wealth (and their population share, chapter 3) relative to younger people. Indeed at a time where one would expect retirees to be drawing down on their wealth to fund consumption, their wealth has actually increased (figure 1.1) </w:t>
      </w:r>
      <w:r w:rsidRPr="00AE608F">
        <w:rPr>
          <w:spacing w:val="-4"/>
        </w:rPr>
        <w:fldChar w:fldCharType="begin"/>
      </w:r>
      <w:r w:rsidR="0047772E">
        <w:rPr>
          <w:spacing w:val="-4"/>
        </w:rPr>
        <w:instrText xml:space="preserve"> ADDIN ZOTERO_ITEM CSL_CITATION {"citationID":"XOEodEQJ","properties":{"formattedCitation":"(The Treasury\\uc0\\u160{}2020, p.\\uc0\\u160{}369)","plainCitation":"(The Treasury 2020, p. 369)","noteIndex":0},"citationItems":[{"id":1552,"uris":["http://zotero.org/groups/2714158/items/R5Y5AKIH"],"uri":["http://zotero.org/groups/2714158/items/R5Y5AKIH"],"itemData":{"id":1552,"type":"report","event-place":"Canberra","genre":"Final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Treasury","given":""}],"accessed":{"date-parts":[["2021",2,4]]},"issued":{"date-parts":[["2020"]]}},"locator":"369"}],"schema":"https://github.com/citation-style-language/schema/raw/master/csl-citation.json"} </w:instrText>
      </w:r>
      <w:r w:rsidRPr="00AE608F">
        <w:rPr>
          <w:spacing w:val="-4"/>
        </w:rPr>
        <w:fldChar w:fldCharType="separate"/>
      </w:r>
      <w:r w:rsidRPr="00AE608F">
        <w:rPr>
          <w:spacing w:val="-4"/>
        </w:rPr>
        <w:t>(The Treasury 2020, p. 369)</w:t>
      </w:r>
      <w:r w:rsidRPr="00AE608F">
        <w:rPr>
          <w:spacing w:val="-4"/>
        </w:rPr>
        <w:fldChar w:fldCharType="end"/>
      </w:r>
      <w:r w:rsidRPr="00AE608F">
        <w:rPr>
          <w:spacing w:val="-4"/>
        </w:rPr>
        <w:t>.</w:t>
      </w:r>
    </w:p>
    <w:p w14:paraId="5A9EFFB3" w14:textId="0A0D6DA3"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w:t>
      </w:r>
      <w:r w:rsidR="00B2270C">
        <w:rPr>
          <w:noProof/>
        </w:rPr>
        <w:fldChar w:fldCharType="end"/>
      </w:r>
      <w:r>
        <w:rPr>
          <w:noProof/>
        </w:rPr>
        <w:t xml:space="preserve"> </w:t>
      </w:r>
      <w:r>
        <w:t xml:space="preserve">– </w:t>
      </w:r>
      <w:r w:rsidRPr="0016763E">
        <w:t>People build up wealth over their working lives</w:t>
      </w:r>
    </w:p>
    <w:p w14:paraId="20C45C62" w14:textId="77777777" w:rsidR="006E0ED6" w:rsidRPr="003F4388" w:rsidRDefault="006E0ED6" w:rsidP="006E0ED6">
      <w:pPr>
        <w:pStyle w:val="FigureTableSubheading"/>
        <w:keepLines/>
        <w:rPr>
          <w:sz w:val="18"/>
          <w:szCs w:val="16"/>
        </w:rPr>
      </w:pPr>
      <w:r w:rsidRPr="003F4388">
        <w:rPr>
          <w:sz w:val="18"/>
          <w:szCs w:val="16"/>
        </w:rPr>
        <w:t>Average equivalised wealth by birth decade and age</w:t>
      </w:r>
      <w:r w:rsidRPr="003F4388">
        <w:rPr>
          <w:sz w:val="18"/>
          <w:szCs w:val="16"/>
          <w:vertAlign w:val="superscript"/>
        </w:rPr>
        <w:t>a</w:t>
      </w:r>
    </w:p>
    <w:p w14:paraId="2818D3BA" w14:textId="38EC94EA" w:rsidR="006E0ED6" w:rsidRPr="005550A0" w:rsidRDefault="000C0A5F" w:rsidP="006E0ED6">
      <w:pPr>
        <w:pStyle w:val="BodyText"/>
      </w:pPr>
      <w:r w:rsidRPr="000C0A5F">
        <w:rPr>
          <w:noProof/>
        </w:rPr>
        <w:drawing>
          <wp:inline distT="0" distB="0" distL="0" distR="0" wp14:anchorId="0153BF32" wp14:editId="2D7D58EB">
            <wp:extent cx="6120130" cy="2869565"/>
            <wp:effectExtent l="0" t="0" r="0" b="6985"/>
            <wp:docPr id="22" name="Picture 22" descr="Figure 1.1. This chart shows average equivalised wealth by birth decade (from the 1920s to 1980s) and the average age of the birth cohort. It shows that people build up wealth over their working lives until they reach retirement at around age 65. People born in later decades have typically had more wealth than those born in earlier decades when they were the same age, where data are available. This is most clearly observed in the retirement years. For example people born in the 1940s had much more wealth at ages 65 to 70 than people born in the 1930s at the sam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1. This chart shows average equivalised wealth by birth decade (from the 1920s to 1980s) and the average age of the birth cohort. It shows that people build up wealth over their working lives until they reach retirement at around age 65. People born in later decades have typically had more wealth than those born in earlier decades when they were the same age, where data are available. This is most clearly observed in the retirement years. For example people born in the 1940s had much more wealth at ages 65 to 70 than people born in the 1930s at the same 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5B7F3BEB" w14:textId="77777777" w:rsidR="006E0ED6" w:rsidRDefault="006E0ED6" w:rsidP="006E0ED6">
      <w:pPr>
        <w:pStyle w:val="Note"/>
        <w:keepLines/>
      </w:pPr>
      <w:r w:rsidRPr="00180E66">
        <w:rPr>
          <w:b/>
          <w:bCs/>
        </w:rPr>
        <w:t>a.</w:t>
      </w:r>
      <w:r>
        <w:t xml:space="preserve"> </w:t>
      </w:r>
      <w:r w:rsidRPr="00514E46">
        <w:t>Data points are 2002, 2006, 2010</w:t>
      </w:r>
      <w:r>
        <w:t xml:space="preserve">, </w:t>
      </w:r>
      <w:r w:rsidRPr="00514E46">
        <w:t>2014</w:t>
      </w:r>
      <w:r>
        <w:t xml:space="preserve"> and </w:t>
      </w:r>
      <w:r w:rsidRPr="002F6256">
        <w:t>20</w:t>
      </w:r>
      <w:r w:rsidRPr="00564EE4">
        <w:t>18</w:t>
      </w:r>
      <w:r w:rsidRPr="00514E46">
        <w:t>, following the same group of people over time.</w:t>
      </w:r>
    </w:p>
    <w:p w14:paraId="3B2A8CCC" w14:textId="77777777" w:rsidR="006E0ED6" w:rsidRDefault="006E0ED6" w:rsidP="006E0ED6">
      <w:pPr>
        <w:pStyle w:val="Source"/>
      </w:pPr>
      <w:r w:rsidRPr="00696447">
        <w:t xml:space="preserve">Source: </w:t>
      </w:r>
      <w:r w:rsidRPr="0050309F">
        <w:t>Productivity Commission estimates using</w:t>
      </w:r>
      <w:r>
        <w:t xml:space="preserve"> HILDA Restricted Release 19.</w:t>
      </w:r>
    </w:p>
    <w:p w14:paraId="6A68538F" w14:textId="77777777" w:rsidR="006E0ED6" w:rsidRDefault="006E0ED6" w:rsidP="006E0ED6">
      <w:pPr>
        <w:pStyle w:val="BodyText"/>
      </w:pPr>
      <w:r>
        <w:t>A corollary of this strong growth in wealth is that older Australians in particular have significant amounts to give away while they are alive (inter vivos gifts — known henceforth as ‘gifts’), and at death (inheritances) which, in turn, also changes the distribution of wealth. How gifts and inheritances (wealth transfers) affect the distribution of wealth, and whether they make it more or less equal, is the subject of this report.</w:t>
      </w:r>
    </w:p>
    <w:p w14:paraId="3F5A92E7" w14:textId="57DFF07E" w:rsidR="006E0ED6" w:rsidRDefault="006E0ED6" w:rsidP="006E0ED6">
      <w:pPr>
        <w:pStyle w:val="BodyText"/>
      </w:pPr>
      <w:r>
        <w:t>This chapter lays the foundation for this study. It discusses data sources and estimates the annual flow of inheritances and gifts. The flow of inheritances is estimated directly (inheritances received by Australians from older generations), and indirectly (wealth held by Australians who die that is expected to pass to younger generations). The flow of gifts is estimated directly only. The analysis is confined to the transfer of financial (for example, cash) and non</w:t>
      </w:r>
      <w:r w:rsidR="00CC683D">
        <w:noBreakHyphen/>
      </w:r>
      <w:r>
        <w:t>financial assets (for example, houses and cars). In</w:t>
      </w:r>
      <w:r w:rsidR="00CC683D">
        <w:noBreakHyphen/>
      </w:r>
      <w:r>
        <w:t>kind transfers, such as childcare and rent</w:t>
      </w:r>
      <w:r w:rsidR="00CC683D">
        <w:noBreakHyphen/>
      </w:r>
      <w:r>
        <w:t xml:space="preserve">free living, are not considered in this study. </w:t>
      </w:r>
    </w:p>
    <w:p w14:paraId="10C28EB9" w14:textId="77777777" w:rsidR="006E0ED6" w:rsidRDefault="006E0ED6" w:rsidP="006E0ED6">
      <w:pPr>
        <w:pStyle w:val="BodyText"/>
      </w:pPr>
      <w:r>
        <w:t>Later chapters look at how wealth transfers have affected the distribution of wealth over the past twenty years (chapter 2), as well as how they might affect the distribution of wealth in the future (chapter 3).</w:t>
      </w:r>
    </w:p>
    <w:p w14:paraId="12EA0AC7" w14:textId="40BB7135" w:rsidR="006E0ED6" w:rsidRDefault="006E0ED6" w:rsidP="006E0ED6">
      <w:pPr>
        <w:pStyle w:val="BodyText"/>
      </w:pPr>
      <w:r w:rsidRPr="009764EF">
        <w:t xml:space="preserve">This chapter is in five parts. </w:t>
      </w:r>
      <w:r w:rsidRPr="00E15913">
        <w:t>Section</w:t>
      </w:r>
      <w:r>
        <w:t> </w:t>
      </w:r>
      <w:r w:rsidRPr="00E15913">
        <w:t>1.1 describes the state of household and individual level data holdings available to inform analysis of wealth transfers in Australia. Section</w:t>
      </w:r>
      <w:r>
        <w:t> </w:t>
      </w:r>
      <w:r w:rsidRPr="00E15913">
        <w:t xml:space="preserve">1.2 reports the value of inheritances. The value of gifts are </w:t>
      </w:r>
      <w:r>
        <w:t>estimated</w:t>
      </w:r>
      <w:r w:rsidRPr="009764EF">
        <w:t xml:space="preserve"> </w:t>
      </w:r>
      <w:r w:rsidRPr="00E15913">
        <w:t>in section</w:t>
      </w:r>
      <w:r>
        <w:t> </w:t>
      </w:r>
      <w:r w:rsidRPr="00E15913">
        <w:t>1.3. Section</w:t>
      </w:r>
      <w:r>
        <w:t> </w:t>
      </w:r>
      <w:r w:rsidRPr="00E15913">
        <w:t>1.4 presents some international comparisons of the size of wealth transfers. Finally, section</w:t>
      </w:r>
      <w:r>
        <w:t> </w:t>
      </w:r>
      <w:r w:rsidRPr="00E15913">
        <w:t>1.5 makes</w:t>
      </w:r>
      <w:r>
        <w:t xml:space="preserve"> some suggestions to improve wealth transfer data collection.</w:t>
      </w:r>
    </w:p>
    <w:p w14:paraId="37AC3748" w14:textId="77777777" w:rsidR="006E0ED6" w:rsidRDefault="006E0ED6" w:rsidP="00D208A3">
      <w:pPr>
        <w:pStyle w:val="Heading2"/>
        <w:rPr>
          <w:b/>
        </w:rPr>
      </w:pPr>
      <w:bookmarkStart w:id="9" w:name="_Toc87543952"/>
      <w:r>
        <w:lastRenderedPageBreak/>
        <w:t>State of data about wealth and wealth transfers</w:t>
      </w:r>
      <w:bookmarkEnd w:id="9"/>
    </w:p>
    <w:p w14:paraId="64D18777" w14:textId="77777777" w:rsidR="006E0ED6" w:rsidRDefault="006E0ED6" w:rsidP="006E0ED6">
      <w:pPr>
        <w:pStyle w:val="BodyText"/>
      </w:pPr>
      <w:r>
        <w:t>There is no definitive data source on wealth transfers in Australia (this is not unique to Australia — box </w:t>
      </w:r>
      <w:r w:rsidRPr="00F96D20">
        <w:t>1.1</w:t>
      </w:r>
      <w:r>
        <w:t>). In fact, due to a lack of consistent and comprehensive public reporting, relatively little is known about the wealth holdings of individual Australians or Australian households throughout their lives, let alone with whom they share their wealth, and how much.</w:t>
      </w:r>
    </w:p>
    <w:p w14:paraId="5546D6EA" w14:textId="77777777" w:rsidR="006E0ED6" w:rsidRDefault="006E0ED6" w:rsidP="006E0ED6">
      <w:pPr>
        <w:pStyle w:val="BodyText"/>
      </w:pPr>
      <w:r>
        <w:t>Broadly speaking there are two key sources of data for analysis of wealth and wealth transfers: administrative and survey data. Administrative data — data collected by courts or government agencies while performing their usual functions — covers broad swathes of the population but is difficult to access and does not provide all variables of interest for each person or household in question. Survey data — data collected by surveys designed for research purposes — provides a smaller sample but a richer picture of those who are surveyed.</w:t>
      </w:r>
    </w:p>
    <w:p w14:paraId="19AFC46C"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6C878C04" w14:textId="77777777" w:rsidTr="001625EC">
        <w:trPr>
          <w:tblHeader/>
        </w:trPr>
        <w:tc>
          <w:tcPr>
            <w:tcW w:w="9638" w:type="dxa"/>
            <w:tcMar>
              <w:top w:w="170" w:type="dxa"/>
              <w:left w:w="170" w:type="dxa"/>
              <w:bottom w:w="113" w:type="dxa"/>
              <w:right w:w="170" w:type="dxa"/>
            </w:tcMar>
            <w:hideMark/>
          </w:tcPr>
          <w:p w14:paraId="070F2EEA" w14:textId="1E1C3FA7"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1</w:t>
            </w:r>
            <w:r w:rsidR="00B2270C">
              <w:rPr>
                <w:noProof/>
              </w:rPr>
              <w:fldChar w:fldCharType="end"/>
            </w:r>
            <w:r>
              <w:t xml:space="preserve"> – Comprehensive wealth transfer data can facilitate detailed analysis</w:t>
            </w:r>
          </w:p>
        </w:tc>
      </w:tr>
      <w:tr w:rsidR="006E0ED6" w14:paraId="1478CF79" w14:textId="77777777" w:rsidTr="001625EC">
        <w:tc>
          <w:tcPr>
            <w:tcW w:w="9638" w:type="dxa"/>
            <w:tcMar>
              <w:top w:w="28" w:type="dxa"/>
              <w:left w:w="170" w:type="dxa"/>
              <w:bottom w:w="170" w:type="dxa"/>
              <w:right w:w="170" w:type="dxa"/>
            </w:tcMar>
            <w:hideMark/>
          </w:tcPr>
          <w:p w14:paraId="27135A75" w14:textId="17F2AC82" w:rsidR="006E0ED6" w:rsidRPr="005E1B97" w:rsidRDefault="006E0ED6" w:rsidP="001625EC">
            <w:pPr>
              <w:pStyle w:val="BodyText"/>
            </w:pPr>
            <w:r>
              <w:t>V</w:t>
            </w:r>
            <w:r w:rsidRPr="005E1B97">
              <w:t>ery few countries collect comprehensive data on individual wealth, let alone make it available for public scrutiny. One country that did collect</w:t>
            </w:r>
            <w:r w:rsidRPr="005E1B97" w:rsidDel="00672A1C">
              <w:t xml:space="preserve"> </w:t>
            </w:r>
            <w:r w:rsidRPr="005E1B97">
              <w:t xml:space="preserve">this data is Sweden, albeit indirectly, via its taxation of inheritances and gifts (since 1885) and wealth (since 1948) </w:t>
            </w:r>
            <w:r w:rsidRPr="005E1B97">
              <w:fldChar w:fldCharType="begin"/>
            </w:r>
            <w:r w:rsidR="0047772E">
              <w:instrText xml:space="preserve"> ADDIN ZOTERO_ITEM CSL_CITATION {"citationID":"X3pt4TRP","properties":{"formattedCitation":"(Waldenstr\\uc0\\u246{}m\\uc0\\u160{}2018)","plainCitation":"(Waldenström 2018)","noteIndex":0},"citationItems":[{"id":3172,"uris":["http://zotero.org/groups/2714158/items/EXXHA2WQ"],"uri":["http://zotero.org/groups/2714158/items/EXXHA2WQ"],"itemData":{"id":3172,"type":"article-journal","container-title":"ifo DICE Report","issue":"2","language":"en","page":"5","source":"Zotero","title":"Inheritance and wealth taxation in Sweden","volume":"16","author":[{"family":"Waldenström","given":"Daniel"}],"issued":{"date-parts":[["2018"]]}}}],"schema":"https://github.com/citation-style-language/schema/raw/master/csl-citation.json"} </w:instrText>
            </w:r>
            <w:r w:rsidRPr="005E1B97">
              <w:fldChar w:fldCharType="separate"/>
            </w:r>
            <w:r w:rsidRPr="005E1B97">
              <w:t>(Waldenström 2018)</w:t>
            </w:r>
            <w:r w:rsidRPr="005E1B97">
              <w:fldChar w:fldCharType="end"/>
            </w:r>
            <w:r w:rsidRPr="005E1B97">
              <w:t xml:space="preserve">. Both taxes were abolished between 2004 and 2006, nevertheless, the data remains available via the Swedish Inheritance and Estate Tax Register and the Wealth Register. </w:t>
            </w:r>
          </w:p>
          <w:p w14:paraId="2C820EA6" w14:textId="0A5CD8EA" w:rsidR="006E0ED6" w:rsidRDefault="006E0ED6" w:rsidP="001625EC">
            <w:pPr>
              <w:pStyle w:val="BodyText"/>
            </w:pPr>
            <w:r w:rsidRPr="005E1B97">
              <w:t xml:space="preserve">The Swedish databases facilitate highly detailed analysis of wealth accumulation and wealth transfer behaviour and the impact on the distribution of wealth. For example Nekoei and Seim </w:t>
            </w:r>
            <w:r w:rsidRPr="005E1B97">
              <w:fldChar w:fldCharType="begin"/>
            </w:r>
            <w:r w:rsidR="0047772E">
              <w:instrText xml:space="preserve"> ADDIN ZOTERO_ITEM CSL_CITATION {"citationID":"4ewmsYzF","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rsidRPr="005E1B97">
              <w:fldChar w:fldCharType="separate"/>
            </w:r>
            <w:r w:rsidRPr="005E1B97">
              <w:t>(2019)</w:t>
            </w:r>
            <w:r w:rsidRPr="005E1B97">
              <w:fldChar w:fldCharType="end"/>
            </w:r>
            <w:r w:rsidRPr="005E1B97">
              <w:t xml:space="preserve"> (whose analysis is summarised in chapters 2 and 3) constructed a dataset consisting of almost 1.5 million likely inheritances for the period 2000 to 2012. In Australia, for the same period, analysis of the HILDA survey yielded fewer than 4300 reported inheritances.</w:t>
            </w:r>
          </w:p>
        </w:tc>
      </w:tr>
      <w:tr w:rsidR="006E0ED6" w14:paraId="3E7C91E9" w14:textId="77777777" w:rsidTr="001625EC">
        <w:tc>
          <w:tcPr>
            <w:tcW w:w="9638" w:type="dxa"/>
            <w:shd w:val="clear" w:color="auto" w:fill="auto"/>
            <w:tcMar>
              <w:top w:w="0" w:type="dxa"/>
              <w:left w:w="170" w:type="dxa"/>
              <w:bottom w:w="0" w:type="dxa"/>
              <w:right w:w="170" w:type="dxa"/>
            </w:tcMar>
          </w:tcPr>
          <w:p w14:paraId="79BC0E46" w14:textId="77777777" w:rsidR="006E0ED6" w:rsidRDefault="006E0ED6" w:rsidP="001625EC">
            <w:pPr>
              <w:pStyle w:val="BodyText"/>
              <w:spacing w:before="0" w:after="0" w:line="80" w:lineRule="atLeast"/>
            </w:pPr>
          </w:p>
        </w:tc>
      </w:tr>
    </w:tbl>
    <w:p w14:paraId="4BF6627F" w14:textId="77777777" w:rsidR="006E0ED6" w:rsidRPr="00035B93" w:rsidRDefault="006E0ED6" w:rsidP="006E0ED6">
      <w:pPr>
        <w:pStyle w:val="Heading3"/>
      </w:pPr>
      <w:r>
        <w:t>Comprehensive administrative data about individual wealth does not exist in Australia</w:t>
      </w:r>
    </w:p>
    <w:p w14:paraId="462D8D95" w14:textId="2D801815" w:rsidR="006E0ED6" w:rsidRDefault="006E0ED6" w:rsidP="006E0ED6">
      <w:pPr>
        <w:pStyle w:val="BodyText"/>
      </w:pPr>
      <w:r>
        <w:t>There is no high</w:t>
      </w:r>
      <w:r w:rsidR="00CC683D">
        <w:noBreakHyphen/>
      </w:r>
      <w:r>
        <w:t xml:space="preserve">quality, comprehensive administrative dataset that contains information about Australians’ </w:t>
      </w:r>
      <w:r w:rsidRPr="00A202EF">
        <w:t>individual wealth holdings</w:t>
      </w:r>
      <w:r w:rsidRPr="0074645A">
        <w:t xml:space="preserve"> or wealth transfers</w:t>
      </w:r>
      <w:r>
        <w:t xml:space="preserve">. In Australia, inheritance taxes — which would otherwise provide a rich source of data for analysis — were abolished in 1979 at the Commonwealth level and the last </w:t>
      </w:r>
      <w:r w:rsidR="00335C18">
        <w:t>s</w:t>
      </w:r>
      <w:r>
        <w:t xml:space="preserve">tate tax was abolished in 1982 </w:t>
      </w:r>
      <w:r>
        <w:rPr>
          <w:color w:val="FF0000"/>
        </w:rPr>
        <w:fldChar w:fldCharType="begin"/>
      </w:r>
      <w:r w:rsidR="0047772E">
        <w:rPr>
          <w:color w:val="FF0000"/>
        </w:rPr>
        <w:instrText xml:space="preserve"> ADDIN ZOTERO_ITEM CSL_CITATION {"citationID":"wbbGqsmc","properties":{"formattedCitation":"(Pedrick\\uc0\\u160{}1981)","plainCitation":"(Pedrick 1981)","noteIndex":0},"citationItems":[{"id":3195,"uris":["http://zotero.org/groups/2714158/items/QYTED7ZR"],"uri":["http://zotero.org/groups/2714158/items/QYTED7ZR"],"itemData":{"id":3195,"type":"article-journal","archive":"JSTOR","container-title":"The Tax Lawyer","ISSN":"0040005X","issue":"1","note":"publisher: American Bar Association","page":"113-141","title":"Oh, to die down under! Abolition of death and gift duties in Australia","volume":"35","author":[{"family":"Pedrick","given":"Willard H."}],"issued":{"date-parts":[["1981"]]}}}],"schema":"https://github.com/citation-style-language/schema/raw/master/csl-citation.json"} </w:instrText>
      </w:r>
      <w:r>
        <w:rPr>
          <w:color w:val="FF0000"/>
        </w:rPr>
        <w:fldChar w:fldCharType="separate"/>
      </w:r>
      <w:r w:rsidRPr="00FF3BF5">
        <w:rPr>
          <w:szCs w:val="24"/>
        </w:rPr>
        <w:t>(Pedrick 1981)</w:t>
      </w:r>
      <w:r>
        <w:rPr>
          <w:color w:val="FF0000"/>
        </w:rPr>
        <w:fldChar w:fldCharType="end"/>
      </w:r>
      <w:r>
        <w:t>.</w:t>
      </w:r>
      <w:r w:rsidRPr="0059379B">
        <w:rPr>
          <w:rStyle w:val="FootnoteReference"/>
        </w:rPr>
        <w:footnoteReference w:id="2"/>
      </w:r>
    </w:p>
    <w:p w14:paraId="5C9D7919" w14:textId="21D64681" w:rsidR="006E0ED6" w:rsidRDefault="006E0ED6" w:rsidP="006E0ED6">
      <w:pPr>
        <w:pStyle w:val="BodyText"/>
      </w:pPr>
      <w:r>
        <w:t xml:space="preserve">The most detailed administrative datasets containing wealth data about individual Australians are the </w:t>
      </w:r>
      <w:r w:rsidR="00335C18">
        <w:t>s</w:t>
      </w:r>
      <w:r>
        <w:t xml:space="preserve">tate and </w:t>
      </w:r>
      <w:r w:rsidR="00335C18">
        <w:t>t</w:t>
      </w:r>
      <w:r>
        <w:t>erritory probate collections, which contain information about wealth at death and the beneficiaries of that wealth.</w:t>
      </w:r>
      <w:r w:rsidRPr="00A46011">
        <w:rPr>
          <w:rStyle w:val="FootnoteReference"/>
        </w:rPr>
        <w:footnoteReference w:id="3"/>
      </w:r>
      <w:r>
        <w:t xml:space="preserve"> </w:t>
      </w:r>
    </w:p>
    <w:p w14:paraId="203BAA79" w14:textId="1BE93C76" w:rsidR="006E0ED6" w:rsidRDefault="006E0ED6" w:rsidP="006E0ED6">
      <w:pPr>
        <w:pStyle w:val="BodyText"/>
      </w:pPr>
      <w:r>
        <w:lastRenderedPageBreak/>
        <w:t xml:space="preserve">But probate data is difficult to access. There are no consolidated holdings of probate files nationally. Access to </w:t>
      </w:r>
      <w:r w:rsidR="0030285A">
        <w:t>s</w:t>
      </w:r>
      <w:r>
        <w:t xml:space="preserve">tate and </w:t>
      </w:r>
      <w:r w:rsidR="0030285A">
        <w:t>territory</w:t>
      </w:r>
      <w:r w:rsidR="0030285A">
        <w:noBreakHyphen/>
      </w:r>
      <w:r>
        <w:t>based probate records is subject to different access arrangements in each jurisdiction. Further, as probate records are legal documents, it would be a time</w:t>
      </w:r>
      <w:r w:rsidR="0030285A">
        <w:noBreakHyphen/>
      </w:r>
      <w:r>
        <w:t>consuming, on</w:t>
      </w:r>
      <w:r w:rsidR="0030285A">
        <w:noBreakHyphen/>
      </w:r>
      <w:r>
        <w:t>site, paper</w:t>
      </w:r>
      <w:r w:rsidR="0030285A">
        <w:noBreakHyphen/>
      </w:r>
      <w:r>
        <w:t xml:space="preserve">based task to collect, interpret and code the necessary information to create a dataset covering all jurisdictions that could be analysed using quantitative methods. </w:t>
      </w:r>
    </w:p>
    <w:p w14:paraId="2C079722" w14:textId="2AA2DBB6" w:rsidR="006E0ED6" w:rsidRDefault="006E0ED6" w:rsidP="006E0ED6">
      <w:pPr>
        <w:pStyle w:val="BodyText"/>
      </w:pPr>
      <w:r w:rsidRPr="00D67283">
        <w:t>For this study, two existing probate datasets were analysed, based on a representative Australian sample from 2012 and for Victoria in 2016.</w:t>
      </w:r>
      <w:r w:rsidRPr="00E614FD">
        <w:t xml:space="preserve"> Combined, these two datasets provide information on wealth at death relating to </w:t>
      </w:r>
      <w:r>
        <w:t>about</w:t>
      </w:r>
      <w:r w:rsidRPr="00E614FD">
        <w:t xml:space="preserve"> 5000 deaths over the period 2003–2019</w:t>
      </w:r>
      <w:r w:rsidRPr="00B27538">
        <w:t>,</w:t>
      </w:r>
      <w:r>
        <w:t xml:space="preserve"> equivalent to about 0.2 per cent of the almost 2.3 million deaths in Australia over that pe</w:t>
      </w:r>
      <w:r w:rsidRPr="00063FCF">
        <w:t>riod (</w:t>
      </w:r>
      <w:r w:rsidRPr="00770A90">
        <w:t>ABS 2021</w:t>
      </w:r>
      <w:r>
        <w:t>)</w:t>
      </w:r>
      <w:r w:rsidRPr="00063FCF">
        <w:t xml:space="preserve">. </w:t>
      </w:r>
      <w:r>
        <w:t xml:space="preserve">This study also references an analysis of a sample of Victorian probate records </w:t>
      </w:r>
      <w:r w:rsidR="005D3664">
        <w:t>collected</w:t>
      </w:r>
      <w:r>
        <w:t xml:space="preserve"> in 2006 </w:t>
      </w:r>
      <w:r>
        <w:fldChar w:fldCharType="begin"/>
      </w:r>
      <w:r w:rsidR="0047772E">
        <w:instrText xml:space="preserve"> ADDIN ZOTERO_ITEM CSL_CITATION {"citationID":"hm9fXUDz","properties":{"formattedCitation":"(Baker and Gilding\\uc0\\u160{}2011)","plainCitation":"(Baker and Gilding 2011)","noteIndex":0},"citationItems":[{"id":1676,"uris":["http://zotero.org/groups/2714158/items/HKZZ4V5Z"],"uri":["http://zotero.org/groups/2714158/items/HKZZ4V5Z"],"itemData":{"id":1676,"type":"article-journal","container-title":"Australian Journal of Social Issues","issue":"3","page":"273–289","source":"Google Scholar","title":"Inheritance in Australia: family and charitable distributions from personal estates","title-short":"Inheritance in Australia","volume":"46","author":[{"family":"Baker","given":"Christopher"},{"family":"Gilding","given":"Michael"}],"issued":{"date-parts":[["2011"]]}}}],"schema":"https://github.com/citation-style-language/schema/raw/master/csl-citation.json"} </w:instrText>
      </w:r>
      <w:r>
        <w:fldChar w:fldCharType="separate"/>
      </w:r>
      <w:r w:rsidRPr="00124845">
        <w:rPr>
          <w:szCs w:val="24"/>
        </w:rPr>
        <w:t>(Baker and Gilding 2011)</w:t>
      </w:r>
      <w:r>
        <w:fldChar w:fldCharType="end"/>
      </w:r>
      <w:r>
        <w:t>.</w:t>
      </w:r>
    </w:p>
    <w:p w14:paraId="3A3DCF84" w14:textId="00E6B4FC" w:rsidR="006E0ED6" w:rsidRDefault="006E0ED6" w:rsidP="006E0ED6">
      <w:pPr>
        <w:pStyle w:val="BodyText"/>
      </w:pPr>
      <w:r>
        <w:t xml:space="preserve">The coverage of probate data is limited. In general, fewer than 50 per cent of deaths result in a grant of probate in any given year (Productivity Commission estimates based on analysis of probate data between 2013 and 2019 contained in the 2021 </w:t>
      </w:r>
      <w:r w:rsidRPr="00846FE7">
        <w:rPr>
          <w:i/>
        </w:rPr>
        <w:t>Report on Government Services</w:t>
      </w:r>
      <w:r>
        <w:t xml:space="preserve"> </w:t>
      </w:r>
      <w:r>
        <w:fldChar w:fldCharType="begin"/>
      </w:r>
      <w:r w:rsidR="0047772E">
        <w:instrText xml:space="preserve"> ADDIN ZOTERO_ITEM CSL_CITATION {"citationID":"4BsswK19","properties":{"formattedCitation":"(SCRGSP\\uc0\\u160{}2021a)","plainCitation":"(SCRGSP 2021a)","noteIndex":0},"citationItems":[{"id":3133,"uris":["http://zotero.org/groups/164861/items/QUGC4UMC"],"uri":["http://zotero.org/groups/164861/items/QUGC4UMC"],"itemData":{"id":3133,"type":"report","event-place":"Canberra, 22 January","publisher":"Productivity Commission","publisher-place":"Canberra, 22 January","title":"Report on Government Services 2021 - Part C Justice","author":[{"family":"Steering Committee for the Review of Government Service Provision","given":""}],"translator":[{"family":"SCRGSP","given":""}],"issued":{"date-parts":[["2021"]]}}}],"schema":"https://github.com/citation-style-language/schema/raw/master/csl-citation.json"} </w:instrText>
      </w:r>
      <w:r>
        <w:fldChar w:fldCharType="separate"/>
      </w:r>
      <w:r w:rsidRPr="00DF56CB">
        <w:rPr>
          <w:szCs w:val="24"/>
        </w:rPr>
        <w:t>(SCRGSP 2021a)</w:t>
      </w:r>
      <w:r>
        <w:fldChar w:fldCharType="end"/>
      </w:r>
      <w:r>
        <w:t>). This is because probate is unnecessary in some circumstances — for example, when assets are owned jointly with a surviving spouse, or when estates are relatively low in value, such as those that do not contain real estate or financial assets worth more than $50 000. And probate is not comprehensive in terms of assets covered. Superannuation and other assets held in trusts are not usually captured.</w:t>
      </w:r>
    </w:p>
    <w:p w14:paraId="704EBE76" w14:textId="38098F30" w:rsidR="006E0ED6" w:rsidRPr="00694FF5" w:rsidRDefault="006E0ED6" w:rsidP="006E0ED6">
      <w:pPr>
        <w:pStyle w:val="BodyText"/>
      </w:pPr>
      <w:r>
        <w:t xml:space="preserve">The assets held in trusts are largely opaque. While certain types of trusts (discretionary and testamentary trusts) can enable the intergenerational transfer of wealth, there are few disclosure requirements for trustees of private trusts </w:t>
      </w:r>
      <w:r>
        <w:fldChar w:fldCharType="begin"/>
      </w:r>
      <w:r w:rsidR="0047772E">
        <w:instrText xml:space="preserve"> ADDIN ZOTERO_ITEM CSL_CITATION {"citationID":"QLlKRw3E","properties":{"formattedCitation":"(Evans\\uc0\\u160{}2019)","plainCitation":"(Evans 2019)","noteIndex":0},"citationItems":[{"id":1892,"uris":["http://zotero.org/groups/2714158/items/MGAZ3BW9"],"uri":["http://zotero.org/groups/2714158/items/MGAZ3BW9"],"itemData":{"id":1892,"type":"article-journal","container-title":"Sydney Law Review","issue":"2","page":"217-254","title":"Why we use private trusts in Australia: The income tax dimension explained","volume":"41","author":[{"family":"Evans","given":"A.C."}],"issued":{"date-parts":[["2019"]]}}}],"schema":"https://github.com/citation-style-language/schema/raw/master/csl-citation.json"} </w:instrText>
      </w:r>
      <w:r>
        <w:fldChar w:fldCharType="separate"/>
      </w:r>
      <w:r>
        <w:t>(Evans 2019)</w:t>
      </w:r>
      <w:r>
        <w:fldChar w:fldCharType="end"/>
      </w:r>
      <w:r>
        <w:t>. Moreover, as tax is levied on income rather than assets, data on asset transfers is not generally collected by the Australian Tax Office (ATO). That said, t</w:t>
      </w:r>
      <w:r w:rsidRPr="00733565">
        <w:t xml:space="preserve">he </w:t>
      </w:r>
      <w:r>
        <w:t xml:space="preserve">ATO does facilitate access to superannuation data via the ATO </w:t>
      </w:r>
      <w:r w:rsidRPr="00733565">
        <w:t>Longitudinal Information File</w:t>
      </w:r>
      <w:r>
        <w:t>s</w:t>
      </w:r>
      <w:r w:rsidRPr="00733565">
        <w:t xml:space="preserve"> (ALife)</w:t>
      </w:r>
      <w:r>
        <w:t xml:space="preserve">. Alife </w:t>
      </w:r>
      <w:r w:rsidRPr="00733565">
        <w:t>contains information on superannuation assets for a large sample of Australian taxpayers</w:t>
      </w:r>
      <w:r>
        <w:t xml:space="preserve"> and is used in this study to estimate the value of superannuation</w:t>
      </w:r>
      <w:r w:rsidR="0030285A">
        <w:noBreakHyphen/>
      </w:r>
      <w:r>
        <w:t>derived inheritances (more commonly known as superannuation death benefits)</w:t>
      </w:r>
      <w:r w:rsidRPr="00733565">
        <w:t>.</w:t>
      </w:r>
      <w:r w:rsidRPr="00A46011">
        <w:rPr>
          <w:rStyle w:val="FootnoteReference"/>
        </w:rPr>
        <w:footnoteReference w:id="4"/>
      </w:r>
    </w:p>
    <w:p w14:paraId="17EDA7F6" w14:textId="77777777" w:rsidR="006E0ED6" w:rsidRPr="001C40E5" w:rsidRDefault="006E0ED6" w:rsidP="006E0ED6">
      <w:pPr>
        <w:pStyle w:val="Heading3"/>
      </w:pPr>
      <w:r>
        <w:t>Survey data contain the most comprehensive information about wealth holdings of individual Australians</w:t>
      </w:r>
    </w:p>
    <w:p w14:paraId="13513BD9" w14:textId="785DB255" w:rsidR="006E0ED6" w:rsidRPr="000D5668" w:rsidRDefault="006E0ED6" w:rsidP="006E0ED6">
      <w:pPr>
        <w:pStyle w:val="BodyText"/>
        <w:rPr>
          <w:spacing w:val="-4"/>
        </w:rPr>
      </w:pPr>
      <w:r w:rsidRPr="000D5668">
        <w:rPr>
          <w:spacing w:val="-4"/>
        </w:rPr>
        <w:t>There are two ongoing Australian surveys that report household wealth and wealth transfers — the HILDA survey and the Survey of Income and Housing (SIH) (box 1.2). These are the only household and individual level datasets — survey or administrative — that provide contemporary, ongoing, near</w:t>
      </w:r>
      <w:r w:rsidR="0030285A">
        <w:rPr>
          <w:spacing w:val="-4"/>
        </w:rPr>
        <w:noBreakHyphen/>
      </w:r>
      <w:r w:rsidRPr="000D5668">
        <w:rPr>
          <w:spacing w:val="-4"/>
        </w:rPr>
        <w:t>comprehensive information about the value of wealth and wealth transfers across a representative sample of the Australian population.</w:t>
      </w:r>
    </w:p>
    <w:p w14:paraId="2E719F24" w14:textId="1AF09F3E" w:rsidR="006E0ED6" w:rsidRPr="009B0421" w:rsidRDefault="006E0ED6" w:rsidP="006E0ED6">
      <w:pPr>
        <w:pStyle w:val="BodyText"/>
      </w:pPr>
      <w:r w:rsidRPr="009B0421">
        <w:t>(The Youth in Focus dataset contains information about gifts from parents to children, but only in 2006 and 2008, and is discussed in section</w:t>
      </w:r>
      <w:r>
        <w:t> </w:t>
      </w:r>
      <w:r w:rsidRPr="009B0421">
        <w:t>1.3)</w:t>
      </w:r>
    </w:p>
    <w:p w14:paraId="57F30177"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3BBA120B" w14:textId="77777777" w:rsidTr="001625EC">
        <w:trPr>
          <w:tblHeader/>
        </w:trPr>
        <w:tc>
          <w:tcPr>
            <w:tcW w:w="9638" w:type="dxa"/>
            <w:tcMar>
              <w:top w:w="170" w:type="dxa"/>
              <w:left w:w="170" w:type="dxa"/>
              <w:bottom w:w="113" w:type="dxa"/>
              <w:right w:w="170" w:type="dxa"/>
            </w:tcMar>
            <w:hideMark/>
          </w:tcPr>
          <w:p w14:paraId="208C26D2" w14:textId="16C6E5BA" w:rsidR="006E0ED6" w:rsidRDefault="006E0ED6" w:rsidP="001625EC">
            <w:pPr>
              <w:pStyle w:val="BoxHeading1"/>
            </w:pPr>
            <w:r>
              <w:lastRenderedPageBreak/>
              <w:t xml:space="preserve">Box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2</w:t>
            </w:r>
            <w:r w:rsidR="00B2270C">
              <w:rPr>
                <w:noProof/>
              </w:rPr>
              <w:fldChar w:fldCharType="end"/>
            </w:r>
            <w:r>
              <w:t xml:space="preserve"> – Australian wealth surveys: an overview</w:t>
            </w:r>
          </w:p>
        </w:tc>
      </w:tr>
      <w:tr w:rsidR="006E0ED6" w14:paraId="53E93391" w14:textId="77777777" w:rsidTr="001625EC">
        <w:tc>
          <w:tcPr>
            <w:tcW w:w="9638" w:type="dxa"/>
            <w:tcMar>
              <w:top w:w="28" w:type="dxa"/>
              <w:left w:w="170" w:type="dxa"/>
              <w:bottom w:w="170" w:type="dxa"/>
              <w:right w:w="170" w:type="dxa"/>
            </w:tcMar>
            <w:hideMark/>
          </w:tcPr>
          <w:p w14:paraId="6C52FBF9" w14:textId="77777777" w:rsidR="006E0ED6" w:rsidRPr="002223E8" w:rsidRDefault="006E0ED6" w:rsidP="001625EC">
            <w:pPr>
              <w:pStyle w:val="BoxHeading2"/>
            </w:pPr>
            <w:r w:rsidRPr="00ED6045">
              <w:rPr>
                <w:iCs/>
              </w:rPr>
              <w:t>Household, Income and Labour Dynamics in Australia (HILDA) survey</w:t>
            </w:r>
          </w:p>
          <w:p w14:paraId="46996057" w14:textId="6E239F76" w:rsidR="006E0ED6" w:rsidRDefault="006E0ED6" w:rsidP="001625EC">
            <w:pPr>
              <w:pStyle w:val="BodyText"/>
            </w:pPr>
            <w:r w:rsidRPr="000D5668">
              <w:t>Commencing</w:t>
            </w:r>
            <w:r>
              <w:t xml:space="preserve"> in 2001, the HILDA </w:t>
            </w:r>
            <w:r w:rsidRPr="004C58DE">
              <w:rPr>
                <w:rStyle w:val="Emphasis"/>
                <w:i w:val="0"/>
              </w:rPr>
              <w:t>survey</w:t>
            </w:r>
            <w:r w:rsidR="00FB0DE5">
              <w:t xml:space="preserve"> </w:t>
            </w:r>
            <w:r w:rsidRPr="00C75D9B">
              <w:t>is a</w:t>
            </w:r>
            <w:r>
              <w:t xml:space="preserve"> nationally representative</w:t>
            </w:r>
            <w:r w:rsidRPr="00C75D9B">
              <w:t xml:space="preserve"> household</w:t>
            </w:r>
            <w:r w:rsidR="0030285A">
              <w:noBreakHyphen/>
            </w:r>
            <w:r w:rsidRPr="00C75D9B">
              <w:t xml:space="preserve">based </w:t>
            </w:r>
            <w:r>
              <w:t xml:space="preserve">longitudinal </w:t>
            </w:r>
            <w:r w:rsidRPr="00CB7ABB">
              <w:t>study that collects information about economic and personal wellbeing, labour market dynamics and family life</w:t>
            </w:r>
            <w:r>
              <w:t xml:space="preserve"> for a representative sample of Australians </w:t>
            </w:r>
            <w:r>
              <w:fldChar w:fldCharType="begin"/>
            </w:r>
            <w:r w:rsidR="0047772E">
              <w:instrText xml:space="preserve"> ADDIN ZOTERO_ITEM CSL_CITATION {"citationID":"mbH1Rw90","properties":{"formattedCitation":"(Summerfield et al.\\uc0\\u160{}2020)","plainCitation":"(Summerfield et al. 2020)","noteIndex":0},"citationItems":[{"id":1764,"uris":["http://zotero.org/groups/2714158/items/NMEBIEUX"],"uri":["http://zotero.org/groups/2714158/items/NMEBIEUX"],"itemData":{"id":1764,"type":"report","language":"en","page":"233","publisher":"Melbourne Institute: Applied Economic and Social Research, University of Melbourne","source":"Zotero","title":"HILDA User Manual Release 19","author":[{"family":"Summerfield","given":"Michelle"},{"family":"Garrard","given":"Brooke"},{"family":"Hahn","given":"Markus"},{"family":"Jin","given":"Yihua"},{"family":"Kamath","given":"Roopa"},{"family":"Macalalad","given":"Ninette"},{"family":"Watson","given":"Nicole"},{"family":"Wilkins","given":"Roger"},{"family":"Wooden","given":"Mark"}],"accessed":{"date-parts":[["2021",3,22]]},"issued":{"date-parts":[["2020"]]}}}],"schema":"https://github.com/citation-style-language/schema/raw/master/csl-citation.json"} </w:instrText>
            </w:r>
            <w:r>
              <w:fldChar w:fldCharType="separate"/>
            </w:r>
            <w:r w:rsidRPr="00996061">
              <w:rPr>
                <w:rFonts w:cs="Arial"/>
                <w:szCs w:val="24"/>
              </w:rPr>
              <w:t>(Summerfield et al. 2020)</w:t>
            </w:r>
            <w:r>
              <w:fldChar w:fldCharType="end"/>
            </w:r>
            <w:r>
              <w:t xml:space="preserve">. </w:t>
            </w:r>
          </w:p>
          <w:p w14:paraId="0511BE34" w14:textId="77777777" w:rsidR="006E0ED6" w:rsidRDefault="006E0ED6" w:rsidP="001625EC">
            <w:pPr>
              <w:pStyle w:val="BodyText"/>
            </w:pPr>
            <w:r>
              <w:t xml:space="preserve">The survey is conducted annually and has been undertaken 19 times since 2001. It samples almost </w:t>
            </w:r>
            <w:r w:rsidDel="00D77D5B">
              <w:t>10</w:t>
            </w:r>
            <w:r>
              <w:t xml:space="preserve"> 000 households and just over </w:t>
            </w:r>
            <w:r w:rsidDel="00D77D5B">
              <w:t>23</w:t>
            </w:r>
            <w:r>
              <w:t xml:space="preserve"> 000 people. </w:t>
            </w:r>
          </w:p>
          <w:p w14:paraId="14BA8724" w14:textId="2122E8DB" w:rsidR="006E0ED6" w:rsidRDefault="006E0ED6" w:rsidP="001625EC">
            <w:pPr>
              <w:pStyle w:val="BodyText"/>
            </w:pPr>
            <w:r>
              <w:t>Detailed information on wealth is collected every four years, starting in wave 2 in 2002 — the first large</w:t>
            </w:r>
            <w:r w:rsidR="0030285A">
              <w:noBreakHyphen/>
            </w:r>
            <w:r>
              <w:t xml:space="preserve">scale survey of household wealth conducted in Australia since the 1915 Census </w:t>
            </w:r>
            <w:r>
              <w:fldChar w:fldCharType="begin"/>
            </w:r>
            <w:r w:rsidR="0047772E">
              <w:instrText xml:space="preserve"> ADDIN ZOTERO_ITEM CSL_CITATION {"citationID":"697xbxsD","properties":{"formattedCitation":"(Headey, Warren and Wooden\\uc0\\u160{}2008, p.\\uc0\\u160{}2)","plainCitation":"(Headey, Warren and Wooden 2008, p. 2)","noteIndex":0},"citationItems":[{"id":1894,"uris":["http://zotero.org/groups/2714158/items/RNGWITH5"],"uri":["http://zotero.org/groups/2714158/items/RNGWITH5"],"itemData":{"id":1894,"type":"report","genre":"Social Policy Research Paper","number":"33","publisher":"Department of Families, Housing, Community Services and Indigenous Affairs","title":"The Structure and Distribution of Household Wealth in Australia: Cohort Differences and Retirement Issues","author":[{"family":"Headey","given":"B."},{"family":"Warren","given":"D."},{"family":"Wooden","given":"M."}],"accessed":{"date-parts":[["2021",5,13]]},"issued":{"date-parts":[["2008"]]}},"locator":"2"}],"schema":"https://github.com/citation-style-language/schema/raw/master/csl-citation.json"} </w:instrText>
            </w:r>
            <w:r>
              <w:fldChar w:fldCharType="separate"/>
            </w:r>
            <w:r w:rsidRPr="009612EB">
              <w:rPr>
                <w:rFonts w:cs="Arial"/>
                <w:szCs w:val="24"/>
              </w:rPr>
              <w:t>(Headey, Warren and Wooden 2008, p. 2)</w:t>
            </w:r>
            <w:r>
              <w:fldChar w:fldCharType="end"/>
            </w:r>
            <w:r>
              <w:t>.</w:t>
            </w:r>
          </w:p>
          <w:p w14:paraId="52DF3709" w14:textId="77777777" w:rsidR="006E0ED6" w:rsidRDefault="006E0ED6" w:rsidP="001625EC">
            <w:pPr>
              <w:pStyle w:val="BodyText"/>
            </w:pPr>
            <w:r>
              <w:t>By wave 19, HILDA had collected detailed information about the wealth holdings of approximately 35 000 people.</w:t>
            </w:r>
          </w:p>
          <w:p w14:paraId="584F2EA2" w14:textId="77777777" w:rsidR="006E0ED6" w:rsidRDefault="006E0ED6" w:rsidP="001625EC">
            <w:pPr>
              <w:pStyle w:val="BoxHeading2"/>
            </w:pPr>
            <w:r>
              <w:t>Survey of Income and Housing (SIH)</w:t>
            </w:r>
          </w:p>
          <w:p w14:paraId="70BCD8F0" w14:textId="1083F5C6" w:rsidR="006E0ED6" w:rsidRDefault="006E0ED6" w:rsidP="001625EC">
            <w:pPr>
              <w:pStyle w:val="BodyText"/>
            </w:pPr>
            <w:r>
              <w:t>The SIH is a household</w:t>
            </w:r>
            <w:r w:rsidR="0030285A">
              <w:noBreakHyphen/>
            </w:r>
            <w:r>
              <w:t>based survey that collects information on sources of income, wealth, housing and household characteristics. It is representative of usual residents of private dwellings in urban and rural areas — covering about 97</w:t>
            </w:r>
            <w:r w:rsidR="00D4573F">
              <w:t> </w:t>
            </w:r>
            <w:r>
              <w:t>per</w:t>
            </w:r>
            <w:r w:rsidR="00D4573F">
              <w:t> </w:t>
            </w:r>
            <w:r>
              <w:t xml:space="preserve">cent of people living in Australia </w:t>
            </w:r>
            <w:r>
              <w:fldChar w:fldCharType="begin"/>
            </w:r>
            <w:r w:rsidR="0047772E">
              <w:instrText xml:space="preserve"> ADDIN ZOTERO_ITEM CSL_CITATION {"citationID":"YflJkh0R","properties":{"formattedCitation":"(ABS\\uc0\\u160{}2019c)","plainCitation":"(ABS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fldChar w:fldCharType="separate"/>
            </w:r>
            <w:r w:rsidR="007A60F8" w:rsidRPr="007A60F8">
              <w:rPr>
                <w:rFonts w:ascii="Arial" w:hAnsi="Arial" w:cs="Arial"/>
                <w:szCs w:val="24"/>
              </w:rPr>
              <w:t>(ABS 2019c)</w:t>
            </w:r>
            <w:r>
              <w:fldChar w:fldCharType="end"/>
            </w:r>
            <w:r>
              <w:t>.</w:t>
            </w:r>
          </w:p>
          <w:p w14:paraId="17DB5218" w14:textId="6419688D" w:rsidR="006E0ED6" w:rsidRPr="0082193F" w:rsidRDefault="006E0ED6" w:rsidP="001625EC">
            <w:pPr>
              <w:pStyle w:val="BodyText"/>
              <w:rPr>
                <w:spacing w:val="-4"/>
              </w:rPr>
            </w:pPr>
            <w:r w:rsidRPr="0082193F">
              <w:rPr>
                <w:spacing w:val="-4"/>
              </w:rPr>
              <w:t>The SIH was conducted irregularly between 1994</w:t>
            </w:r>
            <w:r w:rsidR="00083E95">
              <w:rPr>
                <w:spacing w:val="-4"/>
              </w:rPr>
              <w:noBreakHyphen/>
            </w:r>
            <w:r w:rsidRPr="0082193F">
              <w:rPr>
                <w:spacing w:val="-4"/>
              </w:rPr>
              <w:t>95 and 2002</w:t>
            </w:r>
            <w:r w:rsidR="0030285A">
              <w:rPr>
                <w:spacing w:val="-4"/>
              </w:rPr>
              <w:noBreakHyphen/>
            </w:r>
            <w:r w:rsidRPr="0082193F">
              <w:rPr>
                <w:spacing w:val="-4"/>
              </w:rPr>
              <w:t xml:space="preserve">03. </w:t>
            </w:r>
            <w:r w:rsidR="00C950A2">
              <w:rPr>
                <w:spacing w:val="-4"/>
              </w:rPr>
              <w:t xml:space="preserve">Starting </w:t>
            </w:r>
            <w:r w:rsidRPr="0082193F">
              <w:rPr>
                <w:spacing w:val="-4"/>
              </w:rPr>
              <w:t>in 2003</w:t>
            </w:r>
            <w:r w:rsidR="0030285A">
              <w:rPr>
                <w:spacing w:val="-4"/>
              </w:rPr>
              <w:noBreakHyphen/>
            </w:r>
            <w:r w:rsidRPr="0082193F">
              <w:rPr>
                <w:spacing w:val="-4"/>
              </w:rPr>
              <w:t xml:space="preserve">04 the SIH has been conducted every two years. Detailed information on wealth has been collected </w:t>
            </w:r>
            <w:r w:rsidR="00C950A2">
              <w:rPr>
                <w:spacing w:val="-4"/>
              </w:rPr>
              <w:t xml:space="preserve">for </w:t>
            </w:r>
            <w:r w:rsidRPr="0082193F">
              <w:rPr>
                <w:spacing w:val="-4"/>
              </w:rPr>
              <w:t>every iteration of the SIH since 2003</w:t>
            </w:r>
            <w:r w:rsidR="0030285A">
              <w:rPr>
                <w:spacing w:val="-4"/>
              </w:rPr>
              <w:noBreakHyphen/>
            </w:r>
            <w:r w:rsidRPr="0082193F">
              <w:rPr>
                <w:spacing w:val="-4"/>
              </w:rPr>
              <w:t>04, except for 2007</w:t>
            </w:r>
            <w:r w:rsidR="0030285A">
              <w:rPr>
                <w:spacing w:val="-4"/>
              </w:rPr>
              <w:noBreakHyphen/>
            </w:r>
            <w:r w:rsidRPr="0082193F">
              <w:rPr>
                <w:spacing w:val="-4"/>
              </w:rPr>
              <w:t>08. In 2017</w:t>
            </w:r>
            <w:r w:rsidR="0030285A">
              <w:rPr>
                <w:spacing w:val="-4"/>
              </w:rPr>
              <w:noBreakHyphen/>
            </w:r>
            <w:r w:rsidRPr="0082193F">
              <w:rPr>
                <w:spacing w:val="-4"/>
              </w:rPr>
              <w:t>18 just over 14 000 households were sampled</w:t>
            </w:r>
            <w:r w:rsidRPr="0082193F" w:rsidDel="00F97B02">
              <w:rPr>
                <w:spacing w:val="-4"/>
              </w:rPr>
              <w:t xml:space="preserve"> </w:t>
            </w:r>
            <w:r w:rsidRPr="0082193F">
              <w:rPr>
                <w:spacing w:val="-4"/>
              </w:rPr>
              <w:fldChar w:fldCharType="begin"/>
            </w:r>
            <w:r w:rsidR="0047772E">
              <w:rPr>
                <w:spacing w:val="-4"/>
              </w:rPr>
              <w:instrText xml:space="preserve"> ADDIN ZOTERO_ITEM CSL_CITATION {"citationID":"LfPrIklJ","properties":{"formattedCitation":"(ABS\\uc0\\u160{}2019c)","plainCitation":"(ABS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rsidRPr="0082193F">
              <w:rPr>
                <w:spacing w:val="-4"/>
              </w:rPr>
              <w:fldChar w:fldCharType="separate"/>
            </w:r>
            <w:r w:rsidR="007A60F8" w:rsidRPr="007A60F8">
              <w:rPr>
                <w:rFonts w:ascii="Arial" w:hAnsi="Arial" w:cs="Arial"/>
                <w:szCs w:val="24"/>
              </w:rPr>
              <w:t>(ABS 2019c)</w:t>
            </w:r>
            <w:r w:rsidRPr="0082193F">
              <w:rPr>
                <w:spacing w:val="-4"/>
              </w:rPr>
              <w:fldChar w:fldCharType="end"/>
            </w:r>
            <w:r w:rsidRPr="0082193F">
              <w:rPr>
                <w:spacing w:val="-4"/>
              </w:rPr>
              <w:t>.</w:t>
            </w:r>
          </w:p>
        </w:tc>
      </w:tr>
      <w:tr w:rsidR="006E0ED6" w14:paraId="325A0946" w14:textId="77777777" w:rsidTr="001625EC">
        <w:tc>
          <w:tcPr>
            <w:tcW w:w="9638" w:type="dxa"/>
            <w:shd w:val="clear" w:color="auto" w:fill="auto"/>
            <w:tcMar>
              <w:top w:w="0" w:type="dxa"/>
              <w:left w:w="170" w:type="dxa"/>
              <w:bottom w:w="0" w:type="dxa"/>
              <w:right w:w="170" w:type="dxa"/>
            </w:tcMar>
          </w:tcPr>
          <w:p w14:paraId="346C1B24" w14:textId="77777777" w:rsidR="006E0ED6" w:rsidRDefault="006E0ED6" w:rsidP="001625EC">
            <w:pPr>
              <w:pStyle w:val="BodyText"/>
              <w:spacing w:before="0" w:after="0" w:line="80" w:lineRule="atLeast"/>
            </w:pPr>
          </w:p>
        </w:tc>
      </w:tr>
    </w:tbl>
    <w:p w14:paraId="43228A10" w14:textId="22B9D7E4" w:rsidR="006E0ED6" w:rsidRPr="00755822" w:rsidRDefault="006E0ED6" w:rsidP="006E0ED6">
      <w:pPr>
        <w:pStyle w:val="BodyText"/>
        <w:rPr>
          <w:spacing w:val="-4"/>
        </w:rPr>
      </w:pPr>
      <w:r w:rsidRPr="00755822">
        <w:rPr>
          <w:spacing w:val="-4"/>
        </w:rPr>
        <w:t>Although the SIH is a larger survey than HILDA (for example in 2017</w:t>
      </w:r>
      <w:r w:rsidR="0030285A" w:rsidRPr="00755822">
        <w:rPr>
          <w:spacing w:val="-4"/>
        </w:rPr>
        <w:noBreakHyphen/>
      </w:r>
      <w:r w:rsidRPr="00755822">
        <w:rPr>
          <w:spacing w:val="-4"/>
        </w:rPr>
        <w:t xml:space="preserve">18 it included more than 14 000 households compared with fewer than 10 000 for HILDA), on balance, HILDA is the only viable option for this study. </w:t>
      </w:r>
    </w:p>
    <w:p w14:paraId="1F17542B" w14:textId="2B05512C" w:rsidR="006E0ED6" w:rsidRDefault="006E0ED6" w:rsidP="006E0ED6">
      <w:pPr>
        <w:pStyle w:val="ListBullet"/>
      </w:pPr>
      <w:r>
        <w:t xml:space="preserve">HILDA </w:t>
      </w:r>
      <w:r w:rsidRPr="005863E3">
        <w:t xml:space="preserve">contains detailed annual information </w:t>
      </w:r>
      <w:r>
        <w:t xml:space="preserve">on </w:t>
      </w:r>
      <w:r w:rsidRPr="005863E3">
        <w:t xml:space="preserve">wealth transfers including </w:t>
      </w:r>
      <w:r>
        <w:t xml:space="preserve">when they were received and the value of </w:t>
      </w:r>
      <w:r w:rsidRPr="007C62FA">
        <w:t>inheritance</w:t>
      </w:r>
      <w:r w:rsidRPr="005863E3">
        <w:t>s</w:t>
      </w:r>
      <w:r>
        <w:t xml:space="preserve"> and gifts. By comparison, the SIH does not regularly include questions about inheritances (they are in fact only available in one year, 2011</w:t>
      </w:r>
      <w:r w:rsidR="0030285A">
        <w:noBreakHyphen/>
      </w:r>
      <w:r>
        <w:t xml:space="preserve">12), the source of gifts — from parents or others — is impossible to isolate, and gifts for the purposes of purchasing property and vehicles or for paying off debt are excluded. </w:t>
      </w:r>
    </w:p>
    <w:p w14:paraId="5D04AC9E" w14:textId="36CD17D0" w:rsidR="006E0ED6" w:rsidRDefault="006E0ED6" w:rsidP="006E0ED6">
      <w:pPr>
        <w:pStyle w:val="ListBullet"/>
      </w:pPr>
      <w:r>
        <w:t xml:space="preserve">HILDA is an annual, longitudinal panel (now 19 years old) that follows the same households through time, while the SIH uses a new cross section for each survey. The longitudinal nature of HILDA </w:t>
      </w:r>
      <w:r w:rsidRPr="00FA527B">
        <w:t>allows measurement of wealth</w:t>
      </w:r>
      <w:r>
        <w:t xml:space="preserve"> — which is collected every 4 years —</w:t>
      </w:r>
      <w:r w:rsidRPr="00FA527B">
        <w:t xml:space="preserve"> and other </w:t>
      </w:r>
      <w:r>
        <w:t>socio</w:t>
      </w:r>
      <w:r w:rsidR="0030285A">
        <w:noBreakHyphen/>
      </w:r>
      <w:r>
        <w:t xml:space="preserve">demographic </w:t>
      </w:r>
      <w:r w:rsidRPr="00FA527B">
        <w:t>characteristics in the years before and after wealth transfers are received</w:t>
      </w:r>
      <w:r>
        <w:t>.</w:t>
      </w:r>
    </w:p>
    <w:p w14:paraId="175F0FAE" w14:textId="435434CC" w:rsidR="006E0ED6" w:rsidRDefault="006E0ED6" w:rsidP="006E0ED6">
      <w:pPr>
        <w:pStyle w:val="ListBullet"/>
      </w:pPr>
      <w:r>
        <w:t>The scope of HILDA more comprehensively covers the Australian population. The SIH does not survey people in non</w:t>
      </w:r>
      <w:r w:rsidR="0030285A">
        <w:noBreakHyphen/>
      </w:r>
      <w:r>
        <w:t xml:space="preserve">private dwellings, most importantly people in aged care, which is where more than one third of Australians die </w:t>
      </w:r>
      <w:r>
        <w:fldChar w:fldCharType="begin"/>
      </w:r>
      <w:r w:rsidR="0047772E">
        <w:instrText xml:space="preserve"> ADDIN ZOTERO_ITEM CSL_CITATION {"citationID":"j0nO6JAs","properties":{"formattedCitation":"(Productivity Commission estimates based on AIHW\\uc0\\u160{}2021b)","plainCitation":"(Productivity Commission estimates based on AIHW 2021b)","noteIndex":0},"citationItems":[{"id":1757,"uris":["http://zotero.org/groups/2714158/items/HWGSNZRW"],"uri":["http://zotero.org/groups/2714158/items/HWGSNZRW"],"itemData":{"id":1757,"type":"webpage","abstract":"Just as people enter aged care services, they also leave. In this section, learn about how, why and when people leave aged care services.","container-title":"GEN Aged Care Data","language":"en","title":"People Leaving Aged Care","URL":"https://www.gen-agedcaredata.gov.au/Topics/People-leaving-aged-care","author":[{"family":"Australian Institute of Health and Welfare","given":""}],"translator":[{"literal":"AIHW"}],"accessed":{"date-parts":[["2021",4,1]]},"issued":{"date-parts":[["2021"]]}},"prefix":"Productivity Commission estimates based on"}],"schema":"https://github.com/citation-style-language/schema/raw/master/csl-citation.json"} </w:instrText>
      </w:r>
      <w:r>
        <w:fldChar w:fldCharType="separate"/>
      </w:r>
      <w:r w:rsidR="00816542" w:rsidRPr="00816542">
        <w:rPr>
          <w:rFonts w:ascii="Arial" w:hAnsi="Arial" w:cs="Arial"/>
          <w:szCs w:val="24"/>
        </w:rPr>
        <w:t>(Productivity Commission estimates based on AIHW 2021b)</w:t>
      </w:r>
      <w:r>
        <w:fldChar w:fldCharType="end"/>
      </w:r>
      <w:r w:rsidRPr="00545CAE">
        <w:t xml:space="preserve"> </w:t>
      </w:r>
      <w:r>
        <w:t>(but also prisons, hospitals, boarding schools and university colleges).</w:t>
      </w:r>
      <w:r w:rsidRPr="0059379B">
        <w:rPr>
          <w:rStyle w:val="FootnoteReference"/>
        </w:rPr>
        <w:footnoteReference w:id="5"/>
      </w:r>
    </w:p>
    <w:p w14:paraId="3F895603" w14:textId="314A09F6" w:rsidR="00B44433" w:rsidRDefault="00B44433" w:rsidP="00A6173D">
      <w:pPr>
        <w:pStyle w:val="BodyText"/>
      </w:pPr>
      <w:r>
        <w:lastRenderedPageBreak/>
        <w:t>HILDA underpins, most of</w:t>
      </w:r>
      <w:r w:rsidDel="00B724E8">
        <w:t xml:space="preserve"> </w:t>
      </w:r>
      <w:r>
        <w:t>the estimates in the rest of this report (refer to appendix A for a more detailed comparison of SIH and HILDA).</w:t>
      </w:r>
    </w:p>
    <w:p w14:paraId="34E9375D" w14:textId="1C2B2DD0" w:rsidR="006E0ED6" w:rsidRDefault="006E0ED6" w:rsidP="006E0ED6">
      <w:pPr>
        <w:pStyle w:val="Heading4"/>
      </w:pPr>
      <w:r>
        <w:t>Shortcomings of survey data</w:t>
      </w:r>
    </w:p>
    <w:p w14:paraId="71FDCA9E" w14:textId="77777777" w:rsidR="006E0ED6" w:rsidRDefault="006E0ED6" w:rsidP="006E0ED6">
      <w:pPr>
        <w:pStyle w:val="BodyText"/>
      </w:pPr>
      <w:r>
        <w:t>HILDA, like all survey data, is subject to errors that can undermine the accuracy of subsequent inferences about the population. Most importantly for the purposes of this study, the number of reported wealth transfers is low —</w:t>
      </w:r>
      <w:r w:rsidRPr="00345D0D">
        <w:t xml:space="preserve"> </w:t>
      </w:r>
      <w:r>
        <w:t>for example, in the 19 years of the HILDA survey a total of just 4300 inheritances are reported compared with nearly 2.8 million deaths over the same period (</w:t>
      </w:r>
      <w:r w:rsidRPr="009B0421">
        <w:t>figure</w:t>
      </w:r>
      <w:r>
        <w:t> </w:t>
      </w:r>
      <w:r w:rsidRPr="009B0421">
        <w:t>1.2) — an</w:t>
      </w:r>
      <w:r>
        <w:t>d the quality of the data, for the purposes of making statistical inferences, is unclear.</w:t>
      </w:r>
    </w:p>
    <w:p w14:paraId="3052F574" w14:textId="0300B2EA"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2</w:t>
      </w:r>
      <w:r w:rsidR="00B2270C">
        <w:rPr>
          <w:noProof/>
        </w:rPr>
        <w:fldChar w:fldCharType="end"/>
      </w:r>
      <w:r>
        <w:rPr>
          <w:noProof/>
        </w:rPr>
        <w:t xml:space="preserve"> </w:t>
      </w:r>
      <w:r>
        <w:t>– Annual number of reported wealth transfers in HILDA</w:t>
      </w:r>
    </w:p>
    <w:p w14:paraId="799F25E6" w14:textId="04B66189" w:rsidR="006E0ED6" w:rsidRPr="005550A0" w:rsidRDefault="00FF3042" w:rsidP="006E0ED6">
      <w:pPr>
        <w:pStyle w:val="BodyText"/>
      </w:pPr>
      <w:r w:rsidRPr="00FF3042">
        <w:rPr>
          <w:noProof/>
        </w:rPr>
        <w:drawing>
          <wp:inline distT="0" distB="0" distL="0" distR="0" wp14:anchorId="5FFD3EFF" wp14:editId="06CD9036">
            <wp:extent cx="6120130" cy="2877185"/>
            <wp:effectExtent l="0" t="0" r="0" b="0"/>
            <wp:docPr id="18" name="Picture 18" descr="Figure 1.2. This chart shows the annual number of reported gifts and inheritances in HILDA from 2001 to 2019. The number of reported gifts have increased from about 600 to 1200 over the period. The number of reported inheritances is lower, but have increased from about 200 in 2002 to about 40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2. This chart shows the annual number of reported gifts and inheritances in HILDA from 2001 to 2019. The number of reported gifts have increased from about 600 to 1200 over the period. The number of reported inheritances is lower, but have increased from about 200 in 2002 to about 400 in 20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697DE2B0" w14:textId="77777777" w:rsidR="006E0ED6" w:rsidRDefault="006E0ED6" w:rsidP="006E0ED6">
      <w:pPr>
        <w:pStyle w:val="Source"/>
      </w:pPr>
      <w:r w:rsidRPr="00696447">
        <w:t xml:space="preserve">Source: </w:t>
      </w:r>
      <w:r w:rsidRPr="0050309F">
        <w:t>Productivity Commission estimates using</w:t>
      </w:r>
      <w:r>
        <w:t xml:space="preserve"> HILDA Restricted Release 19.</w:t>
      </w:r>
    </w:p>
    <w:p w14:paraId="1D6E56C7" w14:textId="4C8631B1" w:rsidR="006E0ED6" w:rsidRDefault="006E0ED6" w:rsidP="006E0ED6">
      <w:pPr>
        <w:pStyle w:val="BodyText"/>
      </w:pPr>
      <w:r>
        <w:t>There is almost certainly underreporting and non</w:t>
      </w:r>
      <w:r w:rsidR="0030285A">
        <w:noBreakHyphen/>
      </w:r>
      <w:r>
        <w:t>reporting that affect the wealth transfer data (some of which are discussed below and in chapter 2), and common solutions to these sampling and non</w:t>
      </w:r>
      <w:r w:rsidR="0030285A">
        <w:noBreakHyphen/>
      </w:r>
      <w:r>
        <w:t xml:space="preserve">sampling errors are difficult, if not impossible to implement here because of the lack of a definitive administrative dataset with which to compare, and subsequently correct, the survey errors (Davies and Shorrocks </w:t>
      </w:r>
      <w:r>
        <w:fldChar w:fldCharType="begin"/>
      </w:r>
      <w:r w:rsidR="0047772E">
        <w:instrText xml:space="preserve"> ADDIN ZOTERO_ITEM CSL_CITATION {"citationID":"cekVM1RM","properties":{"formattedCitation":"(2000)","plainCitation":"(2000)","noteIndex":0},"citationItems":[{"id":3193,"uris":["http://zotero.org/groups/2714158/items/QE759QL8"],"uri":["http://zotero.org/groups/2714158/items/QE759QL8"],"itemData":{"id":3193,"type":"chapter","abstract":"This chapter is concerned with the distribution of personal wealth, which usually refers to the material assets that can be sold in the marketpace, although on occasion pension rights are also included. We summarise the available evidence on wealth distribution for a number of countries. This confirms the well known fact that wealth is more unequally distributed than income, and points to a long term downward trend in wealth inequality over most of the twentieth century. We also review the various theories that help account for these feature. Lifecycle accumulation is one popular explanation of wealth differences, but inheritance is also widely recognised as playing a major role, especially at the upper end of the wealth range. A recurrent theme in work on wealth distribution is the relative importance of these two sources of wealth differences. We discuss the results of studies that assess the contributions of inheritance and lifecycle factors, and give attention also to a variety of related issues, such as the link between wealth status across generations, and the possible motives for leaving bequests.","container-title":"Handbook of Income Distribution","edition":"1","note":"section: 11","page":"605-675","publisher":"Elsevier","title":"The distribution of wealth","URL":"https://EconPapers.repec.org/RePEc:eee:incchp:1-11","volume":"1","author":[{"family":"Davies","given":"James"},{"family":"Shorrocks","given":"Anthony F."}],"editor":[{"family":"Atkinson","given":"A.B."},{"family":"Bourguignon","given":"F."}],"accessed":{"date-parts":[["2021",9,15]]},"issued":{"date-parts":[["2000"]]}},"suppress-author":true}],"schema":"https://github.com/citation-style-language/schema/raw/master/csl-citation.json"} </w:instrText>
      </w:r>
      <w:r>
        <w:fldChar w:fldCharType="separate"/>
      </w:r>
      <w:r w:rsidRPr="00A451BF">
        <w:t>(2000)</w:t>
      </w:r>
      <w:r>
        <w:fldChar w:fldCharType="end"/>
      </w:r>
      <w:r>
        <w:t xml:space="preserve"> provided a comprehensive summary of survey errors and potential corrections). </w:t>
      </w:r>
    </w:p>
    <w:p w14:paraId="2D03C5CB" w14:textId="77777777" w:rsidR="006E0ED6" w:rsidRPr="00F74E63" w:rsidRDefault="006E0ED6" w:rsidP="006E0ED6">
      <w:pPr>
        <w:pStyle w:val="BodyText"/>
        <w:rPr>
          <w:spacing w:val="-4"/>
        </w:rPr>
      </w:pPr>
      <w:r w:rsidRPr="00F74E63">
        <w:rPr>
          <w:spacing w:val="-4"/>
        </w:rPr>
        <w:t xml:space="preserve">Because of these statistical issues and given the necessarily heavy reliance in this report on HILDA data, the rest of this chapter presents estimates of the value of wealth transfers using HILDA with </w:t>
      </w:r>
      <w:r w:rsidRPr="00F74E63" w:rsidDel="002A01E3">
        <w:rPr>
          <w:spacing w:val="-4"/>
        </w:rPr>
        <w:t xml:space="preserve">a </w:t>
      </w:r>
      <w:r w:rsidRPr="00F74E63">
        <w:rPr>
          <w:spacing w:val="-4"/>
        </w:rPr>
        <w:t xml:space="preserve">few different methodologies and in combination with other data sources to better understand the variability of the estimates. Statistical results in chapter 2 are reported wherever possible with confidence intervals and a range of scenarios are investigated in appendix C to transparently deal with the uncertainty in the data used in simulation modelling. </w:t>
      </w:r>
    </w:p>
    <w:p w14:paraId="04C7CAC0" w14:textId="77777777" w:rsidR="006E0ED6" w:rsidRDefault="006E0ED6" w:rsidP="00D208A3">
      <w:pPr>
        <w:pStyle w:val="Heading2"/>
      </w:pPr>
      <w:bookmarkStart w:id="10" w:name="_Toc87543953"/>
      <w:r>
        <w:t>Inheritances</w:t>
      </w:r>
      <w:bookmarkEnd w:id="10"/>
    </w:p>
    <w:p w14:paraId="7FB9DE98" w14:textId="77777777" w:rsidR="006E0ED6" w:rsidRDefault="006E0ED6" w:rsidP="006E0ED6">
      <w:pPr>
        <w:pStyle w:val="BodyText"/>
      </w:pPr>
      <w:r>
        <w:t xml:space="preserve">The value of inheritances can be estimated directly from the value of reported inheritances in HILDA and indirectly via the value of wealth at death. The direct approach is referred to in this report as the ‘inflow’ </w:t>
      </w:r>
      <w:r>
        <w:lastRenderedPageBreak/>
        <w:t xml:space="preserve">approach (wealth received by beneficiaries) and the indirect approach as the ‘outflow’ approach (wealth donated by those who die). </w:t>
      </w:r>
    </w:p>
    <w:p w14:paraId="189D6BED" w14:textId="54813C85" w:rsidR="006E0ED6" w:rsidRPr="00A33265" w:rsidRDefault="006E0ED6" w:rsidP="006E0ED6">
      <w:pPr>
        <w:pStyle w:val="BodyText"/>
        <w:rPr>
          <w:spacing w:val="2"/>
        </w:rPr>
      </w:pPr>
      <w:r w:rsidRPr="00A33265">
        <w:rPr>
          <w:spacing w:val="2"/>
        </w:rPr>
        <w:t xml:space="preserve">Analysis in the inflow section is based solely on reported inheritances data </w:t>
      </w:r>
      <w:r w:rsidR="009C0166">
        <w:rPr>
          <w:spacing w:val="2"/>
        </w:rPr>
        <w:t>from</w:t>
      </w:r>
      <w:r w:rsidRPr="00A33265">
        <w:rPr>
          <w:spacing w:val="2"/>
        </w:rPr>
        <w:t xml:space="preserve"> HILDA. Analysis in the outflow section combines HILDA wealth estimates with information about deaths and the distribution of wealth from probate. </w:t>
      </w:r>
    </w:p>
    <w:p w14:paraId="6A421C91" w14:textId="77777777" w:rsidR="006E0ED6" w:rsidRDefault="006E0ED6" w:rsidP="006E0ED6">
      <w:pPr>
        <w:pStyle w:val="Heading3"/>
      </w:pPr>
      <w:r w:rsidRPr="00540EA6">
        <w:t>Inheritance inflows</w:t>
      </w:r>
    </w:p>
    <w:p w14:paraId="054ECCBB" w14:textId="08B4871A" w:rsidR="006E0ED6" w:rsidRDefault="006E0ED6" w:rsidP="006E0ED6">
      <w:pPr>
        <w:pStyle w:val="BodyText"/>
      </w:pPr>
      <w:r>
        <w:t>Based on analysis of HILDA data, t</w:t>
      </w:r>
      <w:r w:rsidRPr="001B1FED">
        <w:t xml:space="preserve">he </w:t>
      </w:r>
      <w:r>
        <w:t xml:space="preserve">total </w:t>
      </w:r>
      <w:r w:rsidRPr="001B1FED">
        <w:t xml:space="preserve">value of </w:t>
      </w:r>
      <w:r>
        <w:t>all reported inheritance inflows</w:t>
      </w:r>
      <w:r w:rsidRPr="001B1FED">
        <w:t xml:space="preserve"> </w:t>
      </w:r>
      <w:r>
        <w:t xml:space="preserve">in the population increased from about </w:t>
      </w:r>
      <w:r w:rsidRPr="001B1FED">
        <w:t>$</w:t>
      </w:r>
      <w:r>
        <w:t>18 </w:t>
      </w:r>
      <w:r w:rsidRPr="001B1FED">
        <w:t xml:space="preserve">billion </w:t>
      </w:r>
      <w:r>
        <w:t>in 2001</w:t>
      </w:r>
      <w:r w:rsidR="00B97B6F">
        <w:noBreakHyphen/>
      </w:r>
      <w:r>
        <w:t xml:space="preserve">02 to </w:t>
      </w:r>
      <w:r w:rsidRPr="001B1FED">
        <w:t>$</w:t>
      </w:r>
      <w:r>
        <w:t>50</w:t>
      </w:r>
      <w:r w:rsidR="009124E5">
        <w:t> </w:t>
      </w:r>
      <w:r w:rsidRPr="001B1FED">
        <w:t>billion</w:t>
      </w:r>
      <w:r>
        <w:t xml:space="preserve"> in 2018</w:t>
      </w:r>
      <w:r w:rsidR="00B97B6F">
        <w:noBreakHyphen/>
      </w:r>
      <w:r>
        <w:t>19</w:t>
      </w:r>
      <w:r w:rsidRPr="001B1FED">
        <w:t xml:space="preserve"> due to </w:t>
      </w:r>
      <w:r>
        <w:t xml:space="preserve">an increase </w:t>
      </w:r>
      <w:r w:rsidRPr="001B1FED">
        <w:t>in both the number and size of inheritances reported (figure</w:t>
      </w:r>
      <w:r>
        <w:t> 1</w:t>
      </w:r>
      <w:r w:rsidRPr="0090074E">
        <w:t>.</w:t>
      </w:r>
      <w:r>
        <w:t>3, panels a and b</w:t>
      </w:r>
      <w:r w:rsidRPr="001B1FED">
        <w:t>).</w:t>
      </w:r>
      <w:r w:rsidRPr="00A46011">
        <w:rPr>
          <w:rStyle w:val="FootnoteReference"/>
        </w:rPr>
        <w:footnoteReference w:id="6"/>
      </w:r>
    </w:p>
    <w:p w14:paraId="3B10E48C" w14:textId="77777777" w:rsidR="006E0ED6" w:rsidRDefault="006E0ED6" w:rsidP="006E0ED6">
      <w:pPr>
        <w:pStyle w:val="BodyText"/>
      </w:pPr>
      <w:r>
        <w:t>T</w:t>
      </w:r>
      <w:r w:rsidRPr="001B1FED">
        <w:t xml:space="preserve">he average </w:t>
      </w:r>
      <w:r>
        <w:t xml:space="preserve">value of an </w:t>
      </w:r>
      <w:r w:rsidRPr="001B1FED">
        <w:t xml:space="preserve">inheritance </w:t>
      </w:r>
      <w:r>
        <w:t xml:space="preserve">increased </w:t>
      </w:r>
      <w:r w:rsidRPr="001B1FED">
        <w:t xml:space="preserve">from </w:t>
      </w:r>
      <w:r>
        <w:t xml:space="preserve">about </w:t>
      </w:r>
      <w:r w:rsidRPr="001B1FED">
        <w:t>$8</w:t>
      </w:r>
      <w:r>
        <w:t>5</w:t>
      </w:r>
      <w:r w:rsidRPr="001B1FED">
        <w:t> 000 to $12</w:t>
      </w:r>
      <w:r>
        <w:t>5</w:t>
      </w:r>
      <w:r w:rsidRPr="001B1FED">
        <w:t xml:space="preserve"> 000 </w:t>
      </w:r>
      <w:r>
        <w:t>while</w:t>
      </w:r>
      <w:r w:rsidRPr="001B1FED">
        <w:t xml:space="preserve"> the number of inheritances received doubled from </w:t>
      </w:r>
      <w:r>
        <w:t xml:space="preserve">about </w:t>
      </w:r>
      <w:r w:rsidRPr="001B1FED">
        <w:t>200 000 to 400 000.</w:t>
      </w:r>
    </w:p>
    <w:p w14:paraId="121C94B2" w14:textId="5987C498" w:rsidR="006E0ED6" w:rsidRPr="0008587F" w:rsidRDefault="006E0ED6" w:rsidP="006E0ED6">
      <w:pPr>
        <w:pStyle w:val="BodyText"/>
        <w:rPr>
          <w:spacing w:val="-4"/>
        </w:rPr>
      </w:pPr>
      <w:r w:rsidRPr="0008587F">
        <w:rPr>
          <w:spacing w:val="-4"/>
        </w:rPr>
        <w:t>Inheritances tend to be highly skewed with many relatively small inheritances and very few large ones (figure 1.3, panel c). For example, in 2018</w:t>
      </w:r>
      <w:r w:rsidR="00B97B6F">
        <w:rPr>
          <w:spacing w:val="-4"/>
        </w:rPr>
        <w:noBreakHyphen/>
      </w:r>
      <w:r w:rsidRPr="0008587F">
        <w:rPr>
          <w:spacing w:val="-4"/>
        </w:rPr>
        <w:t>19 the median inheritance was only $45 000 while the average was about $125 000. The implications of the distribution of inheritances for wealth inequality are analysed in chapter 2.</w:t>
      </w:r>
    </w:p>
    <w:p w14:paraId="6D812F3A" w14:textId="1C471F83" w:rsidR="006E0ED6" w:rsidRPr="00146382" w:rsidRDefault="006E0ED6" w:rsidP="00E87FA9">
      <w:pPr>
        <w:pStyle w:val="FigureTableHeading"/>
        <w:spacing w:after="120"/>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3</w:t>
      </w:r>
      <w:r w:rsidR="00B2270C">
        <w:rPr>
          <w:noProof/>
        </w:rPr>
        <w:fldChar w:fldCharType="end"/>
      </w:r>
      <w:r>
        <w:rPr>
          <w:noProof/>
        </w:rPr>
        <w:t xml:space="preserve"> </w:t>
      </w:r>
      <w:r>
        <w:t xml:space="preserve">– The number and value of inheritances have grown but most are </w:t>
      </w:r>
      <w:r w:rsidR="007B46FD">
        <w:t>valued below</w:t>
      </w:r>
      <w:r>
        <w:t xml:space="preserve"> $50 000</w:t>
      </w:r>
      <w:r w:rsidRPr="00066CF5">
        <w:rPr>
          <w:vertAlign w:val="superscript"/>
        </w:rPr>
        <w:t>a</w:t>
      </w:r>
    </w:p>
    <w:tbl>
      <w:tblPr>
        <w:tblW w:w="5000" w:type="pct"/>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6E0ED6" w:rsidRPr="006103AE" w14:paraId="1379B91C" w14:textId="77777777" w:rsidTr="001625EC">
        <w:trPr>
          <w:tblHeader/>
        </w:trPr>
        <w:tc>
          <w:tcPr>
            <w:tcW w:w="5000" w:type="pct"/>
            <w:gridSpan w:val="2"/>
            <w:tcBorders>
              <w:top w:val="nil"/>
              <w:bottom w:val="nil"/>
            </w:tcBorders>
          </w:tcPr>
          <w:p w14:paraId="0FFDB79D" w14:textId="77777777" w:rsidR="006E0ED6" w:rsidRPr="000F3DDE" w:rsidRDefault="006E0ED6" w:rsidP="00132C71">
            <w:pPr>
              <w:pStyle w:val="FigureTableSubheading"/>
              <w:numPr>
                <w:ilvl w:val="0"/>
                <w:numId w:val="22"/>
              </w:numPr>
              <w:rPr>
                <w:rFonts w:cs="Arial"/>
                <w:sz w:val="16"/>
                <w:szCs w:val="16"/>
              </w:rPr>
            </w:pPr>
            <w:r w:rsidRPr="000F3DDE">
              <w:rPr>
                <w:sz w:val="16"/>
                <w:szCs w:val="14"/>
              </w:rPr>
              <w:t>The aggregate value of inheritances received, by financial year</w:t>
            </w:r>
          </w:p>
        </w:tc>
      </w:tr>
      <w:tr w:rsidR="006E0ED6" w:rsidRPr="006103AE" w14:paraId="2456A27C" w14:textId="77777777" w:rsidTr="001625EC">
        <w:trPr>
          <w:tblHeader/>
        </w:trPr>
        <w:tc>
          <w:tcPr>
            <w:tcW w:w="5000" w:type="pct"/>
            <w:gridSpan w:val="2"/>
            <w:tcBorders>
              <w:top w:val="nil"/>
              <w:bottom w:val="nil"/>
            </w:tcBorders>
          </w:tcPr>
          <w:p w14:paraId="3FBF2E0E" w14:textId="07B95CA4" w:rsidR="006E0ED6" w:rsidRPr="006103AE" w:rsidRDefault="007F6E2A" w:rsidP="001625EC">
            <w:pPr>
              <w:spacing w:before="60" w:after="60"/>
              <w:rPr>
                <w:rFonts w:ascii="Arial" w:hAnsi="Arial" w:cs="Arial"/>
                <w:noProof/>
                <w:sz w:val="18"/>
                <w:szCs w:val="18"/>
              </w:rPr>
            </w:pPr>
            <w:r w:rsidRPr="007F6E2A">
              <w:rPr>
                <w:rFonts w:ascii="Arial" w:hAnsi="Arial" w:cs="Arial"/>
                <w:noProof/>
                <w:sz w:val="18"/>
                <w:szCs w:val="18"/>
              </w:rPr>
              <w:drawing>
                <wp:inline distT="0" distB="0" distL="0" distR="0" wp14:anchorId="0136562F" wp14:editId="3EC39661">
                  <wp:extent cx="6120130" cy="2875280"/>
                  <wp:effectExtent l="0" t="0" r="0" b="0"/>
                  <wp:docPr id="154" name="Picture 154" descr="Figure 1.3, panel a. This chart shows the aggregate value of inheritances from 2001-02 to 2018-19 with 95 per cent confidence interval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Figure 1.3, panel a. This chart shows the aggregate value of inheritances from 2001-02 to 2018-19 with 95 per cent confidence intervals. More details are contained in the text surrounding this fig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tc>
      </w:tr>
      <w:tr w:rsidR="006E0ED6" w:rsidRPr="006103AE" w14:paraId="7B8BBECA" w14:textId="77777777" w:rsidTr="001625EC">
        <w:trPr>
          <w:tblHeader/>
        </w:trPr>
        <w:tc>
          <w:tcPr>
            <w:tcW w:w="2500" w:type="pct"/>
            <w:tcBorders>
              <w:top w:val="nil"/>
              <w:bottom w:val="nil"/>
            </w:tcBorders>
          </w:tcPr>
          <w:p w14:paraId="2AA428E5" w14:textId="77777777" w:rsidR="006E0ED6" w:rsidRPr="000F3DDE" w:rsidRDefault="006E0ED6" w:rsidP="00132C71">
            <w:pPr>
              <w:pStyle w:val="FigureTableSubheading"/>
              <w:numPr>
                <w:ilvl w:val="0"/>
                <w:numId w:val="22"/>
              </w:numPr>
              <w:rPr>
                <w:rFonts w:cs="Arial"/>
                <w:sz w:val="16"/>
                <w:szCs w:val="16"/>
              </w:rPr>
            </w:pPr>
            <w:r w:rsidRPr="000F3DDE">
              <w:rPr>
                <w:sz w:val="16"/>
                <w:szCs w:val="14"/>
              </w:rPr>
              <w:t xml:space="preserve">The average value and number of inheritances </w:t>
            </w:r>
            <w:r w:rsidRPr="000F3DDE">
              <w:rPr>
                <w:sz w:val="16"/>
                <w:szCs w:val="14"/>
              </w:rPr>
              <w:br/>
              <w:t>received, by financial year</w:t>
            </w:r>
          </w:p>
        </w:tc>
        <w:tc>
          <w:tcPr>
            <w:tcW w:w="2500" w:type="pct"/>
            <w:tcBorders>
              <w:top w:val="nil"/>
              <w:bottom w:val="nil"/>
            </w:tcBorders>
          </w:tcPr>
          <w:p w14:paraId="76C1955B" w14:textId="64EAB1E7" w:rsidR="006E0ED6" w:rsidRPr="000F3DDE" w:rsidRDefault="006E0ED6" w:rsidP="00132C71">
            <w:pPr>
              <w:pStyle w:val="FigureTableSubheading"/>
              <w:numPr>
                <w:ilvl w:val="0"/>
                <w:numId w:val="22"/>
              </w:numPr>
              <w:rPr>
                <w:sz w:val="16"/>
                <w:szCs w:val="14"/>
              </w:rPr>
            </w:pPr>
            <w:r w:rsidRPr="000F3DDE">
              <w:rPr>
                <w:sz w:val="16"/>
                <w:szCs w:val="14"/>
              </w:rPr>
              <w:t>The distribution of inheritances received, by value, 2001</w:t>
            </w:r>
            <w:r w:rsidR="00B97B6F" w:rsidRPr="000F3DDE">
              <w:rPr>
                <w:sz w:val="16"/>
                <w:szCs w:val="14"/>
              </w:rPr>
              <w:noBreakHyphen/>
            </w:r>
            <w:r w:rsidRPr="000F3DDE">
              <w:rPr>
                <w:sz w:val="16"/>
                <w:szCs w:val="14"/>
              </w:rPr>
              <w:t xml:space="preserve">02 </w:t>
            </w:r>
            <w:r w:rsidR="00F87C4C" w:rsidRPr="000F3DDE">
              <w:rPr>
                <w:sz w:val="16"/>
                <w:szCs w:val="14"/>
              </w:rPr>
              <w:t>to</w:t>
            </w:r>
            <w:r w:rsidRPr="000F3DDE">
              <w:rPr>
                <w:sz w:val="16"/>
                <w:szCs w:val="14"/>
              </w:rPr>
              <w:t xml:space="preserve"> 2018</w:t>
            </w:r>
            <w:r w:rsidR="00B97B6F" w:rsidRPr="000F3DDE">
              <w:rPr>
                <w:sz w:val="16"/>
                <w:szCs w:val="14"/>
              </w:rPr>
              <w:noBreakHyphen/>
            </w:r>
            <w:r w:rsidRPr="000F3DDE">
              <w:rPr>
                <w:sz w:val="16"/>
                <w:szCs w:val="14"/>
              </w:rPr>
              <w:t>19</w:t>
            </w:r>
          </w:p>
        </w:tc>
      </w:tr>
      <w:tr w:rsidR="006E0ED6" w:rsidRPr="00B1465D" w14:paraId="44423DC2" w14:textId="77777777" w:rsidTr="001625EC">
        <w:trPr>
          <w:tblHeader/>
        </w:trPr>
        <w:tc>
          <w:tcPr>
            <w:tcW w:w="2500" w:type="pct"/>
            <w:tcBorders>
              <w:top w:val="nil"/>
              <w:bottom w:val="nil"/>
            </w:tcBorders>
          </w:tcPr>
          <w:p w14:paraId="3B23399A" w14:textId="1BE36AF2" w:rsidR="006E0ED6" w:rsidRPr="006103AE" w:rsidRDefault="007F6E2A" w:rsidP="001625EC">
            <w:pPr>
              <w:spacing w:before="60" w:after="60"/>
              <w:rPr>
                <w:rFonts w:ascii="Arial" w:hAnsi="Arial" w:cs="Arial"/>
                <w:noProof/>
                <w:sz w:val="18"/>
                <w:szCs w:val="18"/>
              </w:rPr>
            </w:pPr>
            <w:r w:rsidRPr="007F6E2A">
              <w:rPr>
                <w:rFonts w:ascii="Arial" w:hAnsi="Arial" w:cs="Arial"/>
                <w:noProof/>
                <w:sz w:val="18"/>
                <w:szCs w:val="18"/>
              </w:rPr>
              <w:t xml:space="preserve"> </w:t>
            </w:r>
            <w:r w:rsidRPr="007F6E2A">
              <w:rPr>
                <w:rFonts w:ascii="Arial" w:hAnsi="Arial" w:cs="Arial"/>
                <w:noProof/>
                <w:sz w:val="18"/>
                <w:szCs w:val="18"/>
              </w:rPr>
              <w:drawing>
                <wp:inline distT="0" distB="0" distL="0" distR="0" wp14:anchorId="204C8888" wp14:editId="020B9BEE">
                  <wp:extent cx="2986405" cy="2336165"/>
                  <wp:effectExtent l="0" t="0" r="0" b="0"/>
                  <wp:docPr id="155" name="Picture 155" descr="Figure 1.3, panel b. This chart shows the average value and number of inheritances received from 2001-02 to 2018-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Figure 1.3, panel b. This chart shows the average value and number of inheritances received from 2001-02 to 2018-19. More details are contained in the text surrounding this fig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6405" cy="2336165"/>
                          </a:xfrm>
                          <a:prstGeom prst="rect">
                            <a:avLst/>
                          </a:prstGeom>
                          <a:noFill/>
                          <a:ln>
                            <a:noFill/>
                          </a:ln>
                        </pic:spPr>
                      </pic:pic>
                    </a:graphicData>
                  </a:graphic>
                </wp:inline>
              </w:drawing>
            </w:r>
          </w:p>
        </w:tc>
        <w:tc>
          <w:tcPr>
            <w:tcW w:w="2500" w:type="pct"/>
            <w:tcBorders>
              <w:top w:val="nil"/>
              <w:bottom w:val="nil"/>
            </w:tcBorders>
          </w:tcPr>
          <w:p w14:paraId="5165AA47" w14:textId="3D044B39" w:rsidR="006E0ED6" w:rsidRDefault="007F6E2A" w:rsidP="001625EC">
            <w:pPr>
              <w:spacing w:before="60" w:after="60"/>
              <w:rPr>
                <w:rFonts w:ascii="Arial" w:hAnsi="Arial" w:cs="Arial"/>
                <w:noProof/>
                <w:sz w:val="18"/>
                <w:szCs w:val="18"/>
              </w:rPr>
            </w:pPr>
            <w:r w:rsidRPr="007F6E2A">
              <w:rPr>
                <w:rFonts w:ascii="Arial" w:hAnsi="Arial" w:cs="Arial"/>
                <w:noProof/>
                <w:sz w:val="18"/>
                <w:szCs w:val="18"/>
              </w:rPr>
              <w:t xml:space="preserve"> </w:t>
            </w:r>
            <w:r w:rsidRPr="007F6E2A">
              <w:rPr>
                <w:rFonts w:ascii="Arial" w:hAnsi="Arial" w:cs="Arial"/>
                <w:noProof/>
                <w:sz w:val="18"/>
                <w:szCs w:val="18"/>
              </w:rPr>
              <w:drawing>
                <wp:inline distT="0" distB="0" distL="0" distR="0" wp14:anchorId="01D9768F" wp14:editId="5C225D4C">
                  <wp:extent cx="2986405" cy="2336165"/>
                  <wp:effectExtent l="0" t="0" r="4445" b="6985"/>
                  <wp:docPr id="158" name="Picture 158" descr="Figure 1.3, panel c. This chart shows the distribution of inheritances received by valu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Figure 1.3, panel c. This chart shows the distribution of inheritances received by value. More details are contained in the text surrounding this fig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6405" cy="2336165"/>
                          </a:xfrm>
                          <a:prstGeom prst="rect">
                            <a:avLst/>
                          </a:prstGeom>
                          <a:noFill/>
                          <a:ln>
                            <a:noFill/>
                          </a:ln>
                        </pic:spPr>
                      </pic:pic>
                    </a:graphicData>
                  </a:graphic>
                </wp:inline>
              </w:drawing>
            </w:r>
          </w:p>
        </w:tc>
      </w:tr>
    </w:tbl>
    <w:p w14:paraId="3C481EC2" w14:textId="77777777" w:rsidR="006E0ED6" w:rsidRPr="005472BD" w:rsidRDefault="006E0ED6" w:rsidP="006E0ED6">
      <w:pPr>
        <w:pStyle w:val="Note"/>
        <w:rPr>
          <w:spacing w:val="-4"/>
        </w:rPr>
      </w:pPr>
      <w:r w:rsidRPr="005472BD">
        <w:rPr>
          <w:b/>
          <w:bCs/>
          <w:spacing w:val="-4"/>
        </w:rPr>
        <w:t>a.</w:t>
      </w:r>
      <w:r w:rsidRPr="005472BD">
        <w:rPr>
          <w:spacing w:val="-4"/>
        </w:rPr>
        <w:t xml:space="preserve"> Based on an annual question in the HILDA survey that asks respondents ‘</w:t>
      </w:r>
      <w:r w:rsidRPr="00EB1818">
        <w:rPr>
          <w:i/>
          <w:iCs/>
          <w:spacing w:val="-4"/>
        </w:rPr>
        <w:t>How much did you receive from inheritances / bequests during the last financial year?</w:t>
      </w:r>
      <w:r w:rsidRPr="005472BD">
        <w:rPr>
          <w:spacing w:val="-4"/>
        </w:rPr>
        <w:t>’.</w:t>
      </w:r>
    </w:p>
    <w:p w14:paraId="35D0C5CE" w14:textId="35156D10" w:rsidR="006E0ED6" w:rsidRDefault="006E0ED6" w:rsidP="006E0ED6">
      <w:pPr>
        <w:pStyle w:val="Source"/>
      </w:pPr>
      <w:r w:rsidRPr="00696447">
        <w:t xml:space="preserve">Source: </w:t>
      </w:r>
      <w:r w:rsidRPr="002C3AFC">
        <w:t>Productivity Commission estimates using HILDA Restricted Release</w:t>
      </w:r>
      <w:r w:rsidR="00C16B09">
        <w:t> </w:t>
      </w:r>
      <w:r w:rsidRPr="002C3AFC">
        <w:t>19.</w:t>
      </w:r>
    </w:p>
    <w:p w14:paraId="084C3806" w14:textId="77777777" w:rsidR="00AD3F73" w:rsidRDefault="00AD3F73">
      <w:pPr>
        <w:spacing w:before="0" w:after="160" w:line="259" w:lineRule="auto"/>
      </w:pPr>
      <w:r>
        <w:br w:type="page"/>
      </w:r>
    </w:p>
    <w:p w14:paraId="4FFB9F70" w14:textId="5D9102C3" w:rsidR="00C76B1B" w:rsidRDefault="00C76B1B" w:rsidP="006E0ED6">
      <w:pPr>
        <w:pStyle w:val="BodyText"/>
      </w:pPr>
      <w:r>
        <w:lastRenderedPageBreak/>
        <w:t>The median age of an inheritance recipient in the HILDA dataset was about 50 (figure 1.4), compared to 58 in probate records. Productivity Commission analysis of probate records found that about 70 per cent</w:t>
      </w:r>
      <w:r w:rsidR="00C126CE">
        <w:t xml:space="preserve"> of inheritances go to people in their fifties and sixties </w:t>
      </w:r>
      <w:r w:rsidR="006F41B9">
        <w:fldChar w:fldCharType="begin"/>
      </w:r>
      <w:r w:rsidR="0047772E">
        <w:instrText xml:space="preserve"> ADDIN ZOTERO_ITEM CSL_CITATION {"citationID":"rhOn02al","properties":{"formattedCitation":"(Baker\\uc0\\u160{}2014; Wood, Griffiths and Emslie\\uc0\\u160{}2019)","plainCitation":"(Baker 2014; Wood, Griffiths and Emslie 2019)","noteIndex":0},"citationItems":[{"id":1588,"uris":["http://zotero.org/groups/2714158/items/4BCZGUEK"],"uri":["http://zotero.org/groups/2714158/items/4BCZGUEK"],"itemData":{"id":1588,"type":"report","event-place":"Melbourne","publisher":"Asia-Pacific Centre for Social Investment and Philanthropy, Swinburne University of Technology","publisher-place":"Melbourne","title":"Encouraging Charitable Bequests by Australians","URL":"https://www.swinburne.edu.au/media/swinburneeduau/research/research-centres/csis/documents/Encouraging-Charitable-Gifts-by-Australians-Baker.pdf","author":[{"family":"Baker","given":"C."}],"accessed":{"date-parts":[["2021",1,19]]},"issued":{"date-parts":[["2014",2]]}}},{"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schema":"https://github.com/citation-style-language/schema/raw/master/csl-citation.json"} </w:instrText>
      </w:r>
      <w:r w:rsidR="006F41B9">
        <w:fldChar w:fldCharType="separate"/>
      </w:r>
      <w:r w:rsidR="006F41B9" w:rsidRPr="006F41B9">
        <w:rPr>
          <w:rFonts w:ascii="Arial" w:hAnsi="Arial" w:cs="Arial"/>
          <w:szCs w:val="24"/>
        </w:rPr>
        <w:t>(Baker 2014; Wood, Griffiths and Emslie 2019)</w:t>
      </w:r>
      <w:r w:rsidR="006F41B9">
        <w:fldChar w:fldCharType="end"/>
      </w:r>
      <w:r w:rsidR="006F41B9">
        <w:t>.</w:t>
      </w:r>
    </w:p>
    <w:p w14:paraId="254134B2" w14:textId="4A80F31E" w:rsidR="006E0ED6" w:rsidRPr="00B26DC0" w:rsidRDefault="006E0ED6" w:rsidP="006E0ED6">
      <w:pPr>
        <w:pStyle w:val="BodyText"/>
      </w:pPr>
      <w:r>
        <w:t xml:space="preserve">The average value of inheritances received increased with age up until people in the 60–64 age bracket, who received an average inheritance of about $170 000. </w:t>
      </w:r>
    </w:p>
    <w:p w14:paraId="518F67BB" w14:textId="7ABC732C" w:rsidR="006E0ED6" w:rsidRPr="000F3DDE" w:rsidRDefault="006E0ED6" w:rsidP="006E0ED6">
      <w:pPr>
        <w:pStyle w:val="FigureTableHeading"/>
        <w:rPr>
          <w:vertAlign w:val="superscript"/>
        </w:rPr>
      </w:pPr>
      <w:r>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4</w:t>
      </w:r>
      <w:r w:rsidR="00B2270C">
        <w:rPr>
          <w:noProof/>
        </w:rPr>
        <w:fldChar w:fldCharType="end"/>
      </w:r>
      <w:r>
        <w:rPr>
          <w:noProof/>
        </w:rPr>
        <w:t xml:space="preserve"> </w:t>
      </w:r>
      <w:r>
        <w:t xml:space="preserve">– </w:t>
      </w:r>
      <w:r w:rsidRPr="007609C9">
        <w:t>People in their fifties receive a larger share of inheritances than those in any other decade of life</w:t>
      </w:r>
      <w:r w:rsidR="00E878D7">
        <w:rPr>
          <w:vertAlign w:val="superscript"/>
        </w:rPr>
        <w:t>a</w:t>
      </w:r>
    </w:p>
    <w:p w14:paraId="058B4D53" w14:textId="6FA4273E" w:rsidR="006E0ED6" w:rsidRPr="005550A0" w:rsidRDefault="00402EDB" w:rsidP="006E0ED6">
      <w:pPr>
        <w:pStyle w:val="BodyText"/>
      </w:pPr>
      <w:r w:rsidRPr="00402EDB">
        <w:rPr>
          <w:noProof/>
        </w:rPr>
        <w:drawing>
          <wp:inline distT="0" distB="0" distL="0" distR="0" wp14:anchorId="16DD95CF" wp14:editId="2C96AE37">
            <wp:extent cx="6120130" cy="2875280"/>
            <wp:effectExtent l="0" t="0" r="0" b="0"/>
            <wp:docPr id="159" name="Picture 159" descr="Figure 1.4. This chart shows the proportion of inheritances received by age group from 15-19 to 75-79, and the average size of inheritance they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Figure 1.4. This chart shows the proportion of inheritances received by age group from 15-19 to 75-79, and the average size of inheritance they received. More details are contained in the text surrounding this fig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4C221B34" w14:textId="366B41BD" w:rsidR="006E0ED6" w:rsidRDefault="006E0ED6" w:rsidP="006E0ED6">
      <w:pPr>
        <w:pStyle w:val="Note"/>
        <w:keepLines/>
      </w:pPr>
      <w:r w:rsidRPr="00180E66">
        <w:rPr>
          <w:b/>
          <w:bCs/>
        </w:rPr>
        <w:t>a.</w:t>
      </w:r>
      <w:r>
        <w:t xml:space="preserve"> </w:t>
      </w:r>
      <w:r w:rsidRPr="009A0758">
        <w:t>Inheritances for those aged over 79</w:t>
      </w:r>
      <w:r w:rsidR="00C16B09">
        <w:t> </w:t>
      </w:r>
      <w:r w:rsidRPr="009A0758">
        <w:t>years are negligible and not shown in the chart.</w:t>
      </w:r>
    </w:p>
    <w:p w14:paraId="537A809E" w14:textId="44F3CDC3" w:rsidR="006E0ED6" w:rsidRDefault="006E0ED6" w:rsidP="006E0ED6">
      <w:pPr>
        <w:pStyle w:val="Source"/>
      </w:pPr>
      <w:r w:rsidRPr="00696447">
        <w:t xml:space="preserve">Source: </w:t>
      </w:r>
      <w:r w:rsidRPr="0050309F">
        <w:t>Productivity Commission estimates using</w:t>
      </w:r>
      <w:r>
        <w:t xml:space="preserve"> HILDA Restricted Release</w:t>
      </w:r>
      <w:r w:rsidR="00C16B09">
        <w:t> </w:t>
      </w:r>
      <w:r>
        <w:t>19.</w:t>
      </w:r>
    </w:p>
    <w:p w14:paraId="1DA5085D" w14:textId="052E7360" w:rsidR="006E0ED6" w:rsidRDefault="006E0ED6" w:rsidP="006E0ED6">
      <w:pPr>
        <w:pStyle w:val="Heading4"/>
      </w:pPr>
      <w:r>
        <w:t>Comparison of inheritances reported in HILDA and the SIH in 2011</w:t>
      </w:r>
      <w:r w:rsidR="00B97B6F">
        <w:noBreakHyphen/>
      </w:r>
      <w:r>
        <w:t>12</w:t>
      </w:r>
    </w:p>
    <w:p w14:paraId="5F3E9EE4" w14:textId="47748AA5" w:rsidR="006E0ED6" w:rsidRDefault="006E0ED6" w:rsidP="006E0ED6">
      <w:pPr>
        <w:pStyle w:val="BodyText"/>
      </w:pPr>
      <w:r>
        <w:t>The SIH collected information about inheritances in 2011</w:t>
      </w:r>
      <w:r w:rsidR="00B97B6F">
        <w:noBreakHyphen/>
      </w:r>
      <w:r>
        <w:t>12, which allows for a comparison with HILDA data for the period 2010–2012. This comparison finds that the implied value of inheritances is larger in HILDA — $49.0 billion compared with $38.5 billion — because both the value and likelihood of receiving an inheritance is higher in HILDA than in the SIH (table 1.1).</w:t>
      </w:r>
    </w:p>
    <w:p w14:paraId="00627922" w14:textId="77777777" w:rsidR="006E0ED6" w:rsidRDefault="006E0ED6" w:rsidP="006E0ED6">
      <w:pPr>
        <w:pStyle w:val="BodyText"/>
      </w:pPr>
      <w:r>
        <w:t xml:space="preserve">There are several possible reasons for the systematically higher estimate of inheritances in HILDA compared with the SIH. </w:t>
      </w:r>
    </w:p>
    <w:p w14:paraId="5CCDBAD5" w14:textId="77777777" w:rsidR="006E0ED6" w:rsidRPr="00846602" w:rsidRDefault="006E0ED6" w:rsidP="006E0ED6">
      <w:pPr>
        <w:pStyle w:val="ListBullet"/>
        <w:rPr>
          <w:spacing w:val="-4"/>
        </w:rPr>
      </w:pPr>
      <w:r w:rsidRPr="00846602">
        <w:rPr>
          <w:spacing w:val="-4"/>
        </w:rPr>
        <w:t>The SIH survey asked respondents to exclude inheritances received from family members living in the same household. When inheritances that were likely received from household members were excluded from the HILDA dataset, the gap between the aggregate value of inheritances received falls by about $4 billion.</w:t>
      </w:r>
    </w:p>
    <w:p w14:paraId="5B856109" w14:textId="77777777" w:rsidR="006E0ED6" w:rsidRDefault="006E0ED6" w:rsidP="006E0ED6">
      <w:pPr>
        <w:pStyle w:val="ListBullet"/>
      </w:pPr>
      <w:r>
        <w:t>The HILDA survey requires respondents to recall inheritances received in the previous year, compared with the previous two years for SIH. Recall bias tends to worsen with time (box 1.</w:t>
      </w:r>
      <w:r w:rsidRPr="009B0421">
        <w:t>3</w:t>
      </w:r>
      <w:r>
        <w:t>).</w:t>
      </w:r>
    </w:p>
    <w:p w14:paraId="26E86E76" w14:textId="2659C8E1" w:rsidR="006E0ED6" w:rsidRPr="000F3DDE" w:rsidRDefault="006E0ED6" w:rsidP="006E0ED6">
      <w:pPr>
        <w:pStyle w:val="FigureTableHeading"/>
        <w:rPr>
          <w:vertAlign w:val="superscript"/>
        </w:rPr>
      </w:pPr>
      <w:r>
        <w:lastRenderedPageBreak/>
        <w:t xml:space="preserve">Table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Table \* ARABIC \s 1 </w:instrText>
      </w:r>
      <w:r w:rsidR="00B2270C">
        <w:fldChar w:fldCharType="separate"/>
      </w:r>
      <w:r w:rsidR="00F3386D">
        <w:rPr>
          <w:noProof/>
        </w:rPr>
        <w:t>1</w:t>
      </w:r>
      <w:r w:rsidR="00B2270C">
        <w:rPr>
          <w:noProof/>
        </w:rPr>
        <w:fldChar w:fldCharType="end"/>
      </w:r>
      <w:r>
        <w:rPr>
          <w:noProof/>
        </w:rPr>
        <w:t xml:space="preserve"> – </w:t>
      </w:r>
      <w:r>
        <w:t>Reported inheritances are more common and larger in HILDA than SIH</w:t>
      </w:r>
      <w:r w:rsidR="002A1CFA">
        <w:rPr>
          <w:vertAlign w:val="superscript"/>
        </w:rPr>
        <w:t>a,b</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11"/>
        <w:gridCol w:w="2267"/>
        <w:gridCol w:w="2269"/>
        <w:gridCol w:w="2691"/>
      </w:tblGrid>
      <w:tr w:rsidR="006E0ED6" w:rsidRPr="00E83F06" w14:paraId="2B1E8EFD" w14:textId="77777777" w:rsidTr="001625EC">
        <w:trPr>
          <w:tblHeader/>
        </w:trPr>
        <w:tc>
          <w:tcPr>
            <w:tcW w:w="1251" w:type="pct"/>
            <w:tcBorders>
              <w:bottom w:val="single" w:sz="4" w:space="0" w:color="B3B3B3"/>
            </w:tcBorders>
            <w:shd w:val="clear" w:color="auto" w:fill="auto"/>
            <w:tcMar>
              <w:top w:w="28" w:type="dxa"/>
            </w:tcMar>
            <w:vAlign w:val="bottom"/>
          </w:tcPr>
          <w:p w14:paraId="3DE276B0" w14:textId="77777777" w:rsidR="006E0ED6" w:rsidRPr="00E83F06" w:rsidRDefault="006E0ED6" w:rsidP="001625EC">
            <w:pPr>
              <w:pStyle w:val="TableColumnHeading"/>
              <w:spacing w:before="45" w:after="45"/>
              <w:ind w:left="57" w:right="108"/>
              <w:jc w:val="left"/>
              <w:rPr>
                <w:rFonts w:ascii="Arial (Body)" w:hAnsi="Arial (Body)"/>
                <w:b/>
                <w:i w:val="0"/>
                <w:color w:val="265A9A"/>
              </w:rPr>
            </w:pPr>
            <w:r w:rsidRPr="00E83F06">
              <w:rPr>
                <w:rFonts w:ascii="Arial (Body)" w:hAnsi="Arial (Body)"/>
                <w:b/>
                <w:i w:val="0"/>
                <w:color w:val="265A9A"/>
              </w:rPr>
              <w:t>Reported inheritance</w:t>
            </w:r>
          </w:p>
        </w:tc>
        <w:tc>
          <w:tcPr>
            <w:tcW w:w="1176" w:type="pct"/>
            <w:tcBorders>
              <w:bottom w:val="single" w:sz="4" w:space="0" w:color="B3B3B3"/>
            </w:tcBorders>
            <w:shd w:val="clear" w:color="auto" w:fill="auto"/>
            <w:vAlign w:val="bottom"/>
          </w:tcPr>
          <w:p w14:paraId="33F02544" w14:textId="77777777" w:rsidR="006E0ED6" w:rsidRPr="00E83F06" w:rsidRDefault="006E0ED6" w:rsidP="001625EC">
            <w:pPr>
              <w:pStyle w:val="TableColumnHeading"/>
              <w:spacing w:before="45" w:after="45"/>
              <w:ind w:left="57" w:right="108"/>
              <w:rPr>
                <w:rFonts w:ascii="Arial (Body)" w:hAnsi="Arial (Body)"/>
                <w:b/>
                <w:i w:val="0"/>
                <w:color w:val="265A9A"/>
              </w:rPr>
            </w:pPr>
            <w:r w:rsidRPr="00E83F06">
              <w:rPr>
                <w:rFonts w:ascii="Arial (Body)" w:hAnsi="Arial (Body)"/>
                <w:b/>
                <w:i w:val="0"/>
                <w:color w:val="265A9A"/>
              </w:rPr>
              <w:t>HILDA 2010–12</w:t>
            </w:r>
          </w:p>
        </w:tc>
        <w:tc>
          <w:tcPr>
            <w:tcW w:w="1177" w:type="pct"/>
            <w:tcBorders>
              <w:bottom w:val="single" w:sz="4" w:space="0" w:color="B3B3B3"/>
            </w:tcBorders>
            <w:shd w:val="clear" w:color="auto" w:fill="auto"/>
            <w:tcMar>
              <w:top w:w="28" w:type="dxa"/>
            </w:tcMar>
            <w:vAlign w:val="bottom"/>
          </w:tcPr>
          <w:p w14:paraId="1ED267B0" w14:textId="1C0782D7" w:rsidR="006E0ED6" w:rsidRPr="00E83F06" w:rsidRDefault="006E0ED6" w:rsidP="001625EC">
            <w:pPr>
              <w:pStyle w:val="TableColumnHeading"/>
              <w:spacing w:before="45" w:after="45"/>
              <w:ind w:left="57" w:right="108"/>
              <w:rPr>
                <w:rFonts w:ascii="Arial (Body)" w:hAnsi="Arial (Body)"/>
                <w:b/>
                <w:i w:val="0"/>
                <w:color w:val="265A9A"/>
              </w:rPr>
            </w:pPr>
            <w:r w:rsidRPr="00E83F06">
              <w:rPr>
                <w:rFonts w:ascii="Arial (Body)" w:hAnsi="Arial (Body)"/>
                <w:b/>
                <w:i w:val="0"/>
                <w:color w:val="265A9A"/>
              </w:rPr>
              <w:t>SIH 2011</w:t>
            </w:r>
            <w:r w:rsidR="00B97B6F">
              <w:rPr>
                <w:rFonts w:ascii="Arial (Body)" w:hAnsi="Arial (Body)"/>
                <w:b/>
                <w:i w:val="0"/>
                <w:color w:val="265A9A"/>
              </w:rPr>
              <w:noBreakHyphen/>
            </w:r>
            <w:r w:rsidRPr="00E83F06">
              <w:rPr>
                <w:rFonts w:ascii="Arial (Body)" w:hAnsi="Arial (Body)"/>
                <w:b/>
                <w:i w:val="0"/>
                <w:color w:val="265A9A"/>
              </w:rPr>
              <w:t>12</w:t>
            </w:r>
          </w:p>
        </w:tc>
        <w:tc>
          <w:tcPr>
            <w:tcW w:w="1396" w:type="pct"/>
            <w:tcBorders>
              <w:bottom w:val="single" w:sz="4" w:space="0" w:color="B3B3B3"/>
            </w:tcBorders>
            <w:shd w:val="clear" w:color="auto" w:fill="auto"/>
            <w:vAlign w:val="bottom"/>
          </w:tcPr>
          <w:p w14:paraId="08E09771" w14:textId="77777777" w:rsidR="006E0ED6" w:rsidRPr="00E83F06" w:rsidRDefault="006E0ED6" w:rsidP="001625EC">
            <w:pPr>
              <w:pStyle w:val="TableColumnHeading"/>
              <w:spacing w:before="45" w:after="45"/>
              <w:ind w:left="57" w:right="108"/>
              <w:rPr>
                <w:rFonts w:ascii="Arial (Body)" w:hAnsi="Arial (Body)"/>
                <w:b/>
                <w:i w:val="0"/>
                <w:color w:val="265A9A"/>
              </w:rPr>
            </w:pPr>
            <w:r w:rsidRPr="00E83F06">
              <w:rPr>
                <w:rFonts w:ascii="Arial (Body)" w:hAnsi="Arial (Body)"/>
                <w:b/>
                <w:i w:val="0"/>
                <w:color w:val="265A9A"/>
              </w:rPr>
              <w:t>HILDA estimate as a percentage of SIH estimate</w:t>
            </w:r>
          </w:p>
        </w:tc>
      </w:tr>
      <w:tr w:rsidR="006E0ED6" w:rsidRPr="00E83F06" w14:paraId="2A9A3430" w14:textId="77777777" w:rsidTr="001625EC">
        <w:tc>
          <w:tcPr>
            <w:tcW w:w="1251" w:type="pct"/>
            <w:tcBorders>
              <w:top w:val="single" w:sz="4" w:space="0" w:color="B3B3B3"/>
              <w:bottom w:val="nil"/>
            </w:tcBorders>
            <w:shd w:val="clear" w:color="auto" w:fill="F1F1F1"/>
          </w:tcPr>
          <w:p w14:paraId="4E603795" w14:textId="77777777" w:rsidR="006E0ED6" w:rsidRPr="00E83F06" w:rsidRDefault="006E0ED6" w:rsidP="001625EC">
            <w:pPr>
              <w:pStyle w:val="TableUnitsRow"/>
              <w:spacing w:before="45" w:after="45"/>
              <w:ind w:left="57" w:right="108"/>
              <w:jc w:val="left"/>
              <w:rPr>
                <w:rFonts w:ascii="Arial (Body)" w:hAnsi="Arial (Body)"/>
                <w:b/>
                <w:color w:val="265A9A"/>
              </w:rPr>
            </w:pPr>
            <w:r w:rsidRPr="00E83F06">
              <w:rPr>
                <w:rFonts w:ascii="Arial (Body)" w:hAnsi="Arial (Body)"/>
                <w:b/>
                <w:color w:val="265A9A"/>
              </w:rPr>
              <w:t>Mean</w:t>
            </w:r>
          </w:p>
        </w:tc>
        <w:tc>
          <w:tcPr>
            <w:tcW w:w="1176" w:type="pct"/>
            <w:tcBorders>
              <w:top w:val="single" w:sz="4" w:space="0" w:color="B3B3B3"/>
              <w:bottom w:val="nil"/>
            </w:tcBorders>
            <w:shd w:val="clear" w:color="auto" w:fill="F1F1F1"/>
          </w:tcPr>
          <w:p w14:paraId="5C412765" w14:textId="77777777" w:rsidR="006E0ED6" w:rsidRPr="00E83F06" w:rsidRDefault="006E0ED6" w:rsidP="001625EC">
            <w:pPr>
              <w:pStyle w:val="TableUnitsRow"/>
              <w:spacing w:before="45" w:after="45"/>
              <w:ind w:left="57" w:right="108"/>
              <w:rPr>
                <w:rFonts w:ascii="Arial (Body)" w:hAnsi="Arial (Body)"/>
                <w:color w:val="000000"/>
              </w:rPr>
            </w:pPr>
            <w:r w:rsidRPr="00E83F06">
              <w:rPr>
                <w:rFonts w:ascii="Arial (Body)" w:hAnsi="Arial (Body)"/>
                <w:color w:val="000000"/>
              </w:rPr>
              <w:t>$114 132</w:t>
            </w:r>
          </w:p>
        </w:tc>
        <w:tc>
          <w:tcPr>
            <w:tcW w:w="1177" w:type="pct"/>
            <w:tcBorders>
              <w:top w:val="single" w:sz="4" w:space="0" w:color="B3B3B3"/>
              <w:bottom w:val="nil"/>
            </w:tcBorders>
            <w:shd w:val="clear" w:color="auto" w:fill="F1F1F1"/>
          </w:tcPr>
          <w:p w14:paraId="4A91267B" w14:textId="77777777" w:rsidR="006E0ED6" w:rsidRPr="00E83F06" w:rsidRDefault="006E0ED6" w:rsidP="001625EC">
            <w:pPr>
              <w:pStyle w:val="TableUnitsRow"/>
              <w:spacing w:before="45" w:after="45"/>
              <w:ind w:left="57" w:right="108"/>
              <w:rPr>
                <w:rFonts w:ascii="Arial (Body)" w:hAnsi="Arial (Body)"/>
                <w:color w:val="000000"/>
              </w:rPr>
            </w:pPr>
            <w:r w:rsidRPr="00E83F06">
              <w:rPr>
                <w:rFonts w:ascii="Arial (Body)" w:hAnsi="Arial (Body)"/>
                <w:color w:val="000000"/>
              </w:rPr>
              <w:t>$101 365</w:t>
            </w:r>
          </w:p>
        </w:tc>
        <w:tc>
          <w:tcPr>
            <w:tcW w:w="1396" w:type="pct"/>
            <w:tcBorders>
              <w:top w:val="single" w:sz="4" w:space="0" w:color="B3B3B3"/>
              <w:bottom w:val="nil"/>
            </w:tcBorders>
            <w:shd w:val="clear" w:color="auto" w:fill="F1F1F1"/>
          </w:tcPr>
          <w:p w14:paraId="3D7E1FE4" w14:textId="77777777" w:rsidR="006E0ED6" w:rsidRPr="00E83F06" w:rsidRDefault="006E0ED6" w:rsidP="001625EC">
            <w:pPr>
              <w:pStyle w:val="TableUnitsRow"/>
              <w:spacing w:before="45" w:after="45"/>
              <w:ind w:left="57" w:right="108"/>
              <w:rPr>
                <w:rFonts w:ascii="Arial (Body)" w:hAnsi="Arial (Body)"/>
                <w:color w:val="000000"/>
              </w:rPr>
            </w:pPr>
            <w:r w:rsidRPr="00E83F06">
              <w:rPr>
                <w:rFonts w:ascii="Arial (Body)" w:hAnsi="Arial (Body)"/>
                <w:color w:val="000000"/>
              </w:rPr>
              <w:t>113%</w:t>
            </w:r>
          </w:p>
        </w:tc>
      </w:tr>
      <w:tr w:rsidR="006E0ED6" w:rsidRPr="00E83F06" w14:paraId="2279387A" w14:textId="77777777" w:rsidTr="001625EC">
        <w:tc>
          <w:tcPr>
            <w:tcW w:w="1251" w:type="pct"/>
            <w:tcBorders>
              <w:top w:val="nil"/>
              <w:bottom w:val="nil"/>
            </w:tcBorders>
            <w:shd w:val="clear" w:color="auto" w:fill="auto"/>
          </w:tcPr>
          <w:p w14:paraId="78D0DE6A" w14:textId="77777777" w:rsidR="006E0ED6" w:rsidRPr="00E83F06" w:rsidRDefault="006E0ED6" w:rsidP="001625EC">
            <w:pPr>
              <w:pStyle w:val="TableBodyText"/>
              <w:spacing w:before="45" w:after="45"/>
              <w:ind w:left="57" w:right="108"/>
              <w:jc w:val="left"/>
              <w:rPr>
                <w:rFonts w:ascii="Arial (Body)" w:hAnsi="Arial (Body)"/>
                <w:b/>
                <w:color w:val="265A9A"/>
              </w:rPr>
            </w:pPr>
            <w:r w:rsidRPr="00E83F06">
              <w:rPr>
                <w:rFonts w:ascii="Arial (Body)" w:hAnsi="Arial (Body)"/>
                <w:b/>
                <w:color w:val="265A9A"/>
              </w:rPr>
              <w:t>Median</w:t>
            </w:r>
          </w:p>
        </w:tc>
        <w:tc>
          <w:tcPr>
            <w:tcW w:w="1176" w:type="pct"/>
            <w:tcBorders>
              <w:top w:val="nil"/>
              <w:bottom w:val="nil"/>
            </w:tcBorders>
            <w:shd w:val="clear" w:color="auto" w:fill="auto"/>
          </w:tcPr>
          <w:p w14:paraId="7FF1858F"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$34 385</w:t>
            </w:r>
          </w:p>
        </w:tc>
        <w:tc>
          <w:tcPr>
            <w:tcW w:w="1177" w:type="pct"/>
            <w:tcBorders>
              <w:top w:val="nil"/>
              <w:bottom w:val="nil"/>
            </w:tcBorders>
            <w:shd w:val="clear" w:color="auto" w:fill="auto"/>
          </w:tcPr>
          <w:p w14:paraId="6F9DC54B"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$32 985</w:t>
            </w:r>
          </w:p>
        </w:tc>
        <w:tc>
          <w:tcPr>
            <w:tcW w:w="1396" w:type="pct"/>
            <w:tcBorders>
              <w:top w:val="nil"/>
              <w:bottom w:val="nil"/>
            </w:tcBorders>
            <w:shd w:val="clear" w:color="auto" w:fill="auto"/>
          </w:tcPr>
          <w:p w14:paraId="12A6C250"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104%</w:t>
            </w:r>
          </w:p>
        </w:tc>
      </w:tr>
      <w:tr w:rsidR="006E0ED6" w:rsidRPr="00E83F06" w14:paraId="50DE4B5C" w14:textId="77777777" w:rsidTr="001625EC">
        <w:tc>
          <w:tcPr>
            <w:tcW w:w="1251" w:type="pct"/>
            <w:tcBorders>
              <w:bottom w:val="nil"/>
            </w:tcBorders>
            <w:shd w:val="clear" w:color="auto" w:fill="F1F1F1"/>
          </w:tcPr>
          <w:p w14:paraId="1F7869C1" w14:textId="77777777" w:rsidR="006E0ED6" w:rsidRPr="00E83F06" w:rsidRDefault="006E0ED6" w:rsidP="001625EC">
            <w:pPr>
              <w:pStyle w:val="TableBodyText"/>
              <w:spacing w:before="45" w:after="45"/>
              <w:ind w:left="57" w:right="108"/>
              <w:jc w:val="left"/>
              <w:rPr>
                <w:rFonts w:ascii="Arial (Body)" w:hAnsi="Arial (Body)"/>
                <w:b/>
                <w:color w:val="265A9A"/>
              </w:rPr>
            </w:pPr>
            <w:r w:rsidRPr="00E83F06">
              <w:rPr>
                <w:rFonts w:ascii="Arial (Body)" w:hAnsi="Arial (Body)"/>
                <w:b/>
                <w:color w:val="265A9A"/>
              </w:rPr>
              <w:t>Total</w:t>
            </w:r>
          </w:p>
        </w:tc>
        <w:tc>
          <w:tcPr>
            <w:tcW w:w="1176" w:type="pct"/>
            <w:tcBorders>
              <w:bottom w:val="nil"/>
            </w:tcBorders>
            <w:shd w:val="clear" w:color="auto" w:fill="F1F1F1"/>
          </w:tcPr>
          <w:p w14:paraId="697DC4E3"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$49.0 billion</w:t>
            </w:r>
          </w:p>
        </w:tc>
        <w:tc>
          <w:tcPr>
            <w:tcW w:w="1177" w:type="pct"/>
            <w:tcBorders>
              <w:bottom w:val="nil"/>
            </w:tcBorders>
            <w:shd w:val="clear" w:color="auto" w:fill="F1F1F1"/>
          </w:tcPr>
          <w:p w14:paraId="18F72603"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$38.5 billion</w:t>
            </w:r>
          </w:p>
        </w:tc>
        <w:tc>
          <w:tcPr>
            <w:tcW w:w="1396" w:type="pct"/>
            <w:tcBorders>
              <w:bottom w:val="nil"/>
            </w:tcBorders>
            <w:shd w:val="clear" w:color="auto" w:fill="F1F1F1"/>
          </w:tcPr>
          <w:p w14:paraId="5C7A09FE"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127%</w:t>
            </w:r>
          </w:p>
        </w:tc>
      </w:tr>
      <w:tr w:rsidR="006E0ED6" w:rsidRPr="00E83F06" w14:paraId="43851A3C" w14:textId="77777777" w:rsidTr="001625EC">
        <w:tc>
          <w:tcPr>
            <w:tcW w:w="1251" w:type="pct"/>
            <w:tcBorders>
              <w:top w:val="nil"/>
            </w:tcBorders>
            <w:shd w:val="clear" w:color="auto" w:fill="auto"/>
          </w:tcPr>
          <w:p w14:paraId="7AFDEC73" w14:textId="77777777" w:rsidR="006E0ED6" w:rsidRPr="00E83F06" w:rsidRDefault="006E0ED6" w:rsidP="001625EC">
            <w:pPr>
              <w:pStyle w:val="TableBodyText"/>
              <w:spacing w:before="45" w:after="45"/>
              <w:ind w:left="57" w:right="108"/>
              <w:jc w:val="left"/>
              <w:rPr>
                <w:rFonts w:ascii="Arial (Body)" w:hAnsi="Arial (Body)"/>
                <w:b/>
                <w:color w:val="265A9A"/>
              </w:rPr>
            </w:pPr>
            <w:r w:rsidRPr="00E83F06">
              <w:rPr>
                <w:rFonts w:ascii="Arial (Body)" w:hAnsi="Arial (Body)"/>
                <w:b/>
                <w:color w:val="265A9A"/>
              </w:rPr>
              <w:t>Proportion of population reporting an inheritance</w:t>
            </w:r>
          </w:p>
        </w:tc>
        <w:tc>
          <w:tcPr>
            <w:tcW w:w="1176" w:type="pct"/>
            <w:tcBorders>
              <w:top w:val="nil"/>
            </w:tcBorders>
            <w:shd w:val="clear" w:color="auto" w:fill="auto"/>
          </w:tcPr>
          <w:p w14:paraId="7A64E46C"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2.21%</w:t>
            </w:r>
          </w:p>
        </w:tc>
        <w:tc>
          <w:tcPr>
            <w:tcW w:w="1177" w:type="pct"/>
            <w:tcBorders>
              <w:top w:val="nil"/>
            </w:tcBorders>
            <w:shd w:val="clear" w:color="auto" w:fill="auto"/>
          </w:tcPr>
          <w:p w14:paraId="0B9BEBC3"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2.12%</w:t>
            </w:r>
          </w:p>
        </w:tc>
        <w:tc>
          <w:tcPr>
            <w:tcW w:w="1396" w:type="pct"/>
            <w:tcBorders>
              <w:top w:val="nil"/>
            </w:tcBorders>
            <w:shd w:val="clear" w:color="auto" w:fill="auto"/>
          </w:tcPr>
          <w:p w14:paraId="77B05A4C" w14:textId="77777777" w:rsidR="006E0ED6" w:rsidRPr="00E83F06" w:rsidRDefault="006E0ED6" w:rsidP="001625EC">
            <w:pPr>
              <w:pStyle w:val="TableBodyText"/>
              <w:spacing w:before="45" w:after="45"/>
              <w:ind w:left="57" w:right="108"/>
              <w:rPr>
                <w:rFonts w:ascii="Arial (Body)" w:hAnsi="Arial (Body)"/>
                <w:color w:val="000000"/>
              </w:rPr>
            </w:pPr>
            <w:r w:rsidRPr="00E83F06">
              <w:rPr>
                <w:rFonts w:ascii="Arial (Body)" w:hAnsi="Arial (Body)"/>
                <w:color w:val="000000"/>
              </w:rPr>
              <w:t>104%</w:t>
            </w:r>
          </w:p>
        </w:tc>
      </w:tr>
    </w:tbl>
    <w:p w14:paraId="644C36C1" w14:textId="1191E781" w:rsidR="006E0ED6" w:rsidRDefault="006E0ED6" w:rsidP="006E0ED6">
      <w:pPr>
        <w:pStyle w:val="Note"/>
      </w:pPr>
      <w:r w:rsidRPr="00C36914">
        <w:rPr>
          <w:b/>
          <w:bCs/>
        </w:rPr>
        <w:t>a.</w:t>
      </w:r>
      <w:r w:rsidRPr="00C36914">
        <w:t xml:space="preserve"> </w:t>
      </w:r>
      <w:r w:rsidRPr="00962533">
        <w:t xml:space="preserve">Constant 2018 prices. </w:t>
      </w:r>
      <w:r w:rsidRPr="00962533">
        <w:rPr>
          <w:b/>
        </w:rPr>
        <w:t>b</w:t>
      </w:r>
      <w:r>
        <w:rPr>
          <w:b/>
        </w:rPr>
        <w:t>.</w:t>
      </w:r>
      <w:r w:rsidRPr="00962533">
        <w:t xml:space="preserve"> The two</w:t>
      </w:r>
      <w:r w:rsidR="00B97B6F">
        <w:noBreakHyphen/>
      </w:r>
      <w:r w:rsidRPr="00962533">
        <w:t>year period covered by the SIH extends into the 2009</w:t>
      </w:r>
      <w:r w:rsidR="00B97B6F">
        <w:noBreakHyphen/>
      </w:r>
      <w:r w:rsidRPr="00962533">
        <w:t>10 financial year for some respondents, whereas the HILDA data covers the 2010</w:t>
      </w:r>
      <w:r w:rsidR="00B97B6F">
        <w:noBreakHyphen/>
      </w:r>
      <w:r w:rsidRPr="00962533">
        <w:t>11 and 2011</w:t>
      </w:r>
      <w:r w:rsidR="00B97B6F">
        <w:noBreakHyphen/>
      </w:r>
      <w:r w:rsidRPr="00962533">
        <w:t>12 financial years exclusively.</w:t>
      </w:r>
    </w:p>
    <w:p w14:paraId="5ADD647A" w14:textId="578F2889" w:rsidR="006E0ED6" w:rsidRDefault="006E0ED6" w:rsidP="006E0ED6">
      <w:pPr>
        <w:pStyle w:val="Source"/>
      </w:pPr>
      <w:r w:rsidRPr="00696447">
        <w:t xml:space="preserve">Source: </w:t>
      </w:r>
      <w:r w:rsidRPr="00846602">
        <w:t>Productivity Commission estimates using ABS SIH Basic confidentialised unit record files for 2011</w:t>
      </w:r>
      <w:r w:rsidR="00B97B6F">
        <w:noBreakHyphen/>
      </w:r>
      <w:r w:rsidRPr="00846602">
        <w:t>12; HILDA Restricted Release 19.</w:t>
      </w:r>
    </w:p>
    <w:p w14:paraId="7A647867"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7BC900C8" w14:textId="77777777" w:rsidTr="001625EC">
        <w:trPr>
          <w:tblHeader/>
        </w:trPr>
        <w:tc>
          <w:tcPr>
            <w:tcW w:w="9638" w:type="dxa"/>
            <w:tcMar>
              <w:top w:w="170" w:type="dxa"/>
              <w:left w:w="170" w:type="dxa"/>
              <w:bottom w:w="113" w:type="dxa"/>
              <w:right w:w="170" w:type="dxa"/>
            </w:tcMar>
            <w:hideMark/>
          </w:tcPr>
          <w:p w14:paraId="7B6C10AF" w14:textId="6DD7DF1E"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3</w:t>
            </w:r>
            <w:r w:rsidR="00B2270C">
              <w:rPr>
                <w:noProof/>
              </w:rPr>
              <w:fldChar w:fldCharType="end"/>
            </w:r>
            <w:r>
              <w:t xml:space="preserve"> – Recall bias: people forget …</w:t>
            </w:r>
          </w:p>
        </w:tc>
      </w:tr>
      <w:tr w:rsidR="006E0ED6" w14:paraId="68ACF86C" w14:textId="77777777" w:rsidTr="001625EC">
        <w:tc>
          <w:tcPr>
            <w:tcW w:w="9638" w:type="dxa"/>
            <w:tcMar>
              <w:top w:w="28" w:type="dxa"/>
              <w:left w:w="170" w:type="dxa"/>
              <w:bottom w:w="170" w:type="dxa"/>
              <w:right w:w="170" w:type="dxa"/>
            </w:tcMar>
            <w:hideMark/>
          </w:tcPr>
          <w:p w14:paraId="692FF88F" w14:textId="7964FE63" w:rsidR="006E0ED6" w:rsidRPr="009F4B51" w:rsidRDefault="006E0ED6" w:rsidP="001625EC">
            <w:pPr>
              <w:pStyle w:val="BodyText"/>
            </w:pPr>
            <w:r w:rsidRPr="009F4B51">
              <w:t>Recall bias, or misreporting, is a type of non</w:t>
            </w:r>
            <w:r w:rsidR="00B97B6F">
              <w:noBreakHyphen/>
            </w:r>
            <w:r w:rsidRPr="009F4B51">
              <w:t>sampling survey error. The other common type of non</w:t>
            </w:r>
            <w:r w:rsidR="00B97B6F">
              <w:noBreakHyphen/>
            </w:r>
            <w:r w:rsidRPr="009F4B51">
              <w:t xml:space="preserve">sampling error is known as differential response, which refers to the refusal or inability of households to answer part or all of the survey </w:t>
            </w:r>
            <w:r w:rsidRPr="009F4B51">
              <w:fldChar w:fldCharType="begin"/>
            </w:r>
            <w:r w:rsidR="0047772E">
              <w:instrText xml:space="preserve"> ADDIN ZOTERO_ITEM CSL_CITATION {"citationID":"FBjafDyo","properties":{"formattedCitation":"(Davies and Shorrocks\\uc0\\u160{}2000, p.\\uc0\\u160{}30)","plainCitation":"(Davies and Shorrocks 2000, p. 30)","noteIndex":0},"citationItems":[{"id":3193,"uris":["http://zotero.org/groups/2714158/items/QE759QL8"],"uri":["http://zotero.org/groups/2714158/items/QE759QL8"],"itemData":{"id":3193,"type":"chapter","abstract":"This chapter is concerned with the distribution of personal wealth, which usually refers to the material assets that can be sold in the marketpace, although on occasion pension rights are also included. We summarise the available evidence on wealth distribution for a number of countries. This confirms the well known fact that wealth is more unequally distributed than income, and points to a long term downward trend in wealth inequality over most of the twentieth century. We also review the various theories that help account for these feature. Lifecycle accumulation is one popular explanation of wealth differences, but inheritance is also widely recognised as playing a major role, especially at the upper end of the wealth range. A recurrent theme in work on wealth distribution is the relative importance of these two sources of wealth differences. We discuss the results of studies that assess the contributions of inheritance and lifecycle factors, and give attention also to a variety of related issues, such as the link between wealth status across generations, and the possible motives for leaving bequests.","container-title":"Handbook of Income Distribution","edition":"1","note":"section: 11","page":"605-675","publisher":"Elsevier","title":"The distribution of wealth","URL":"https://EconPapers.repec.org/RePEc:eee:incchp:1-11","volume":"1","author":[{"family":"Davies","given":"James"},{"family":"Shorrocks","given":"Anthony F."}],"editor":[{"family":"Atkinson","given":"A.B."},{"family":"Bourguignon","given":"F."}],"accessed":{"date-parts":[["2021",9,15]]},"issued":{"date-parts":[["2000"]]}},"locator":"30"}],"schema":"https://github.com/citation-style-language/schema/raw/master/csl-citation.json"} </w:instrText>
            </w:r>
            <w:r w:rsidRPr="009F4B51">
              <w:fldChar w:fldCharType="separate"/>
            </w:r>
            <w:r w:rsidRPr="009F4B51">
              <w:t>(Davies and Shorrocks 2000, p. 30)</w:t>
            </w:r>
            <w:r w:rsidRPr="009F4B51">
              <w:fldChar w:fldCharType="end"/>
            </w:r>
            <w:r w:rsidRPr="009F4B51">
              <w:t>. In wave 2 of HILDA, 39 per</w:t>
            </w:r>
            <w:r w:rsidR="004169AB">
              <w:t> </w:t>
            </w:r>
            <w:r w:rsidRPr="009F4B51">
              <w:t>cent of households could not provide information about at least one component of their wealth holdings. This meant that wealth could only be directly computed for 61 per</w:t>
            </w:r>
            <w:r w:rsidR="004169AB">
              <w:t> </w:t>
            </w:r>
            <w:r w:rsidRPr="009F4B51">
              <w:t xml:space="preserve">cent of households with the rest having their values imputed </w:t>
            </w:r>
            <w:r w:rsidRPr="009F4B51">
              <w:fldChar w:fldCharType="begin"/>
            </w:r>
            <w:r w:rsidR="0047772E">
              <w:instrText xml:space="preserve"> ADDIN ZOTERO_ITEM CSL_CITATION {"citationID":"Lfk0zmta","properties":{"formattedCitation":"(Headey, Warren and Wooden\\uc0\\u160{}2008, p.\\uc0\\u160{}5)","plainCitation":"(Headey, Warren and Wooden 2008, p. 5)","noteIndex":0},"citationItems":[{"id":1894,"uris":["http://zotero.org/groups/2714158/items/RNGWITH5"],"uri":["http://zotero.org/groups/2714158/items/RNGWITH5"],"itemData":{"id":1894,"type":"report","genre":"Social Policy Research Paper","number":"33","publisher":"Department of Families, Housing, Community Services and Indigenous Affairs","title":"The Structure and Distribution of Household Wealth in Australia: Cohort Differences and Retirement Issues","author":[{"family":"Headey","given":"B."},{"family":"Warren","given":"D."},{"family":"Wooden","given":"M."}],"accessed":{"date-parts":[["2021",5,13]]},"issued":{"date-parts":[["2008"]]}},"locator":"5"}],"schema":"https://github.com/citation-style-language/schema/raw/master/csl-citation.json"} </w:instrText>
            </w:r>
            <w:r w:rsidRPr="009F4B51">
              <w:fldChar w:fldCharType="separate"/>
            </w:r>
            <w:r w:rsidRPr="009F4B51">
              <w:t>(Headey, Warren and Wooden 2008, p. 5)</w:t>
            </w:r>
            <w:r w:rsidRPr="009F4B51">
              <w:fldChar w:fldCharType="end"/>
            </w:r>
            <w:r w:rsidRPr="009F4B51">
              <w:t>.</w:t>
            </w:r>
          </w:p>
          <w:p w14:paraId="705F622F" w14:textId="45F86F9D" w:rsidR="006E0ED6" w:rsidRPr="009F4B51" w:rsidRDefault="006E0ED6" w:rsidP="001625EC">
            <w:pPr>
              <w:pStyle w:val="BodyText"/>
            </w:pPr>
            <w:r w:rsidRPr="009F4B51">
              <w:t>Although there is no direct analysis of recall bias in reporting of inheritances, there is evidence of recall bias for other variables in the HILDA dataset. For example, about five per cent of respondents incorrectly recalled their employment status at the time of their previous interview, one year earlier. Mistakes were more common if the respondent had changed employment status since their last interview (for example. someone who was employed a year ago but had subsequently lost their job). Of respondents who incorrectly recalled their employment status, 30 per cent made at least two mistakes answering questions about their previous employment status over the five</w:t>
            </w:r>
            <w:r w:rsidR="00B97B6F">
              <w:noBreakHyphen/>
            </w:r>
            <w:r w:rsidRPr="009F4B51">
              <w:t xml:space="preserve">year period that was analysed </w:t>
            </w:r>
            <w:r w:rsidRPr="009F4B51">
              <w:fldChar w:fldCharType="begin"/>
            </w:r>
            <w:r w:rsidR="0047772E">
              <w:instrText xml:space="preserve"> ADDIN ZOTERO_ITEM CSL_CITATION {"citationID":"EAAgsGTO","properties":{"formattedCitation":"(Goode\\uc0\\u160{}2007, pp.\\uc0\\u160{}9\\uc0\\u8211{}13)","plainCitation":"(Goode 2007, pp. 9–13)","noteIndex":0},"citationItems":[{"id":3178,"uris":["http://zotero.org/groups/2714158/items/TBEKYWQD"],"uri":["http://zotero.org/groups/2714158/items/TBEKYWQD"],"itemData":{"id":3178,"type":"report","genre":"HILDA Project Discussion Paper Series","language":"en","number":"2/07","page":"31","publisher":"The University of Melbourne","source":"Zotero","title":"Recall Bias in Reported Events: HILDA, Waves 1 - 5","author":[{"family":"Goode","given":"Alison"}],"accessed":{"date-parts":[["2021",9,3]]},"issued":{"date-parts":[["2007",6]]}},"locator":"9-13"}],"schema":"https://github.com/citation-style-language/schema/raw/master/csl-citation.json"} </w:instrText>
            </w:r>
            <w:r w:rsidRPr="009F4B51">
              <w:fldChar w:fldCharType="separate"/>
            </w:r>
            <w:r w:rsidRPr="009F4B51">
              <w:t>(Goode 2007, pp. 9–13)</w:t>
            </w:r>
            <w:r w:rsidRPr="009F4B51">
              <w:fldChar w:fldCharType="end"/>
            </w:r>
            <w:r w:rsidRPr="009F4B51">
              <w:t>.</w:t>
            </w:r>
          </w:p>
          <w:p w14:paraId="164695EB" w14:textId="77777777" w:rsidR="006E0ED6" w:rsidRPr="009F4B51" w:rsidRDefault="006E0ED6" w:rsidP="001625EC">
            <w:pPr>
              <w:pStyle w:val="BodyText"/>
            </w:pPr>
            <w:r w:rsidRPr="009F4B51">
              <w:t>There are several other reasons for why misreporting may occur.</w:t>
            </w:r>
          </w:p>
          <w:p w14:paraId="2CF22121" w14:textId="385691BD" w:rsidR="006E0ED6" w:rsidRPr="009F4B51" w:rsidRDefault="006E0ED6" w:rsidP="001625EC">
            <w:pPr>
              <w:pStyle w:val="ListBullet"/>
            </w:pPr>
            <w:r w:rsidRPr="009F4B51">
              <w:t xml:space="preserve">Respondents may deliberately misreport their wealth holdings due to privacy concerns — data on wealth is typically considered more sensitive than information on other sensitive issues including income or sexual behaviour </w:t>
            </w:r>
            <w:r w:rsidRPr="009F4B51">
              <w:fldChar w:fldCharType="begin"/>
            </w:r>
            <w:r w:rsidR="0047772E">
              <w:instrText xml:space="preserve"> ADDIN ZOTERO_ITEM CSL_CITATION {"citationID":"GStl1Bal","properties":{"formattedCitation":"(OECD\\uc0\\u160{}2013, pp.\\uc0\\u160{}137\\uc0\\u8211{}138)","plainCitation":"(OECD 2013, pp. 137–138)","noteIndex":0},"citationItems":[{"id":1725,"uris":["http://zotero.org/groups/2714158/items/MNAS5GF5"],"uri":["http://zotero.org/groups/2714158/items/MNAS5GF5"],"itemData":{"id":1725,"type":"report","event-place":"Paris","publisher":"OECD","publisher-place":"Paris","title":"OECD Guidelines for Micro Statistics on Household Wealth","author":[{"family":"Organisation for Economic Co-operation and Development","given":""}],"translator":[{"family":"OECD","given":""}],"accessed":{"date-parts":[["2021",4,16]]},"issued":{"date-parts":[["2013"]]}},"locator":"137-138"}],"schema":"https://github.com/citation-style-language/schema/raw/master/csl-citation.json"} </w:instrText>
            </w:r>
            <w:r w:rsidRPr="009F4B51">
              <w:fldChar w:fldCharType="separate"/>
            </w:r>
            <w:r w:rsidRPr="009F4B51">
              <w:t>(OECD 2013, pp. 137–138)</w:t>
            </w:r>
            <w:r w:rsidRPr="009F4B51">
              <w:fldChar w:fldCharType="end"/>
            </w:r>
            <w:r w:rsidRPr="009F4B51">
              <w:t>. Similarly, respondents may deliberately misreport due to social desirability concerns.</w:t>
            </w:r>
          </w:p>
          <w:p w14:paraId="5FEDB0C6" w14:textId="3D72F107" w:rsidR="006E0ED6" w:rsidRPr="009F4B51" w:rsidRDefault="006E0ED6" w:rsidP="001625EC">
            <w:pPr>
              <w:pStyle w:val="ListBullet"/>
            </w:pPr>
            <w:r w:rsidRPr="009F4B51">
              <w:t xml:space="preserve">Respondents may report incomplete or out of date information </w:t>
            </w:r>
            <w:r w:rsidRPr="009F4B51">
              <w:fldChar w:fldCharType="begin"/>
            </w:r>
            <w:r w:rsidR="0047772E">
              <w:instrText xml:space="preserve"> ADDIN ZOTERO_ITEM CSL_CITATION {"citationID":"rDcAFOgV","properties":{"formattedCitation":"(OECD\\uc0\\u160{}2013, pp.\\uc0\\u160{}137\\uc0\\u8211{}138)","plainCitation":"(OECD 2013, pp. 137–138)","noteIndex":0},"citationItems":[{"id":1725,"uris":["http://zotero.org/groups/2714158/items/MNAS5GF5"],"uri":["http://zotero.org/groups/2714158/items/MNAS5GF5"],"itemData":{"id":1725,"type":"report","event-place":"Paris","publisher":"OECD","publisher-place":"Paris","title":"OECD Guidelines for Micro Statistics on Household Wealth","author":[{"family":"Organisation for Economic Co-operation and Development","given":""}],"translator":[{"family":"OECD","given":""}],"accessed":{"date-parts":[["2021",4,16]]},"issued":{"date-parts":[["2013"]]}},"locator":"137-138"}],"schema":"https://github.com/citation-style-language/schema/raw/master/csl-citation.json"} </w:instrText>
            </w:r>
            <w:r w:rsidRPr="009F4B51">
              <w:fldChar w:fldCharType="separate"/>
            </w:r>
            <w:r w:rsidRPr="009F4B51">
              <w:t>(OECD 2013, pp. 137–138)</w:t>
            </w:r>
            <w:r w:rsidRPr="009F4B51">
              <w:fldChar w:fldCharType="end"/>
            </w:r>
            <w:r w:rsidRPr="009F4B51">
              <w:t>.</w:t>
            </w:r>
          </w:p>
          <w:p w14:paraId="3CA38834" w14:textId="7E7E500A" w:rsidR="006E0ED6" w:rsidRDefault="006E0ED6" w:rsidP="001625EC">
            <w:pPr>
              <w:pStyle w:val="ListBullet"/>
            </w:pPr>
            <w:r w:rsidRPr="009F4B51">
              <w:t xml:space="preserve">Respondents may misreport because they are not sure of the true value of an asset, for example, in relation to collectibles </w:t>
            </w:r>
            <w:r w:rsidRPr="009F4B51">
              <w:fldChar w:fldCharType="begin"/>
            </w:r>
            <w:r w:rsidR="0047772E">
              <w:instrText xml:space="preserve"> ADDIN ZOTERO_ITEM CSL_CITATION {"citationID":"6R9HbtjG","properties":{"formattedCitation":"(Davies and Shorrocks\\uc0\\u160{}2000, pp.\\uc0\\u160{}30\\uc0\\u8211{}31)","plainCitation":"(Davies and Shorrocks 2000, pp. 30–31)","noteIndex":0},"citationItems":[{"id":3193,"uris":["http://zotero.org/groups/2714158/items/QE759QL8"],"uri":["http://zotero.org/groups/2714158/items/QE759QL8"],"itemData":{"id":3193,"type":"chapter","abstract":"This chapter is concerned with the distribution of personal wealth, which usually refers to the material assets that can be sold in the marketpace, although on occasion pension rights are also included. We summarise the available evidence on wealth distribution for a number of countries. This confirms the well known fact that wealth is more unequally distributed than income, and points to a long term downward trend in wealth inequality over most of the twentieth century. We also review the various theories that help account for these feature. Lifecycle accumulation is one popular explanation of wealth differences, but inheritance is also widely recognised as playing a major role, especially at the upper end of the wealth range. A recurrent theme in work on wealth distribution is the relative importance of these two sources of wealth differences. We discuss the results of studies that assess the contributions of inheritance and lifecycle factors, and give attention also to a variety of related issues, such as the link between wealth status across generations, and the possible motives for leaving bequests.","container-title":"Handbook of Income Distribution","edition":"1","note":"section: 11","page":"605-675","publisher":"Elsevier","title":"The distribution of wealth","URL":"https://EconPapers.repec.org/RePEc:eee:incchp:1-11","volume":"1","author":[{"family":"Davies","given":"James"},{"family":"Shorrocks","given":"Anthony F."}],"editor":[{"family":"Atkinson","given":"A.B."},{"family":"Bourguignon","given":"F."}],"accessed":{"date-parts":[["2021",9,15]]},"issued":{"date-parts":[["2000"]]}},"locator":"30-31"}],"schema":"https://github.com/citation-style-language/schema/raw/master/csl-citation.json"} </w:instrText>
            </w:r>
            <w:r w:rsidRPr="009F4B51">
              <w:fldChar w:fldCharType="separate"/>
            </w:r>
            <w:r w:rsidRPr="009F4B51">
              <w:t>(Davies and Shorrocks 2000, pp. 30–31)</w:t>
            </w:r>
            <w:r w:rsidRPr="009F4B51">
              <w:fldChar w:fldCharType="end"/>
            </w:r>
            <w:r w:rsidRPr="009F4B51">
              <w:t>.</w:t>
            </w:r>
          </w:p>
        </w:tc>
      </w:tr>
      <w:tr w:rsidR="006E0ED6" w14:paraId="32148254" w14:textId="77777777" w:rsidTr="001625EC">
        <w:tc>
          <w:tcPr>
            <w:tcW w:w="9638" w:type="dxa"/>
            <w:shd w:val="clear" w:color="auto" w:fill="auto"/>
            <w:tcMar>
              <w:top w:w="0" w:type="dxa"/>
              <w:left w:w="170" w:type="dxa"/>
              <w:bottom w:w="0" w:type="dxa"/>
              <w:right w:w="170" w:type="dxa"/>
            </w:tcMar>
          </w:tcPr>
          <w:p w14:paraId="4EC336A7" w14:textId="77777777" w:rsidR="006E0ED6" w:rsidRDefault="006E0ED6" w:rsidP="001625EC">
            <w:pPr>
              <w:pStyle w:val="BodyText"/>
              <w:spacing w:before="0" w:after="0" w:line="80" w:lineRule="atLeast"/>
            </w:pPr>
          </w:p>
        </w:tc>
      </w:tr>
    </w:tbl>
    <w:p w14:paraId="57D8AC4D" w14:textId="11F097ED" w:rsidR="006E0ED6" w:rsidRDefault="006E0ED6" w:rsidP="006E0ED6">
      <w:pPr>
        <w:pStyle w:val="Heading4"/>
      </w:pPr>
      <w:r>
        <w:t>Intergenerational inflows of inheritances are hard to define</w:t>
      </w:r>
    </w:p>
    <w:p w14:paraId="2E56F35F" w14:textId="7CB04A7F" w:rsidR="006E0ED6" w:rsidRDefault="006E0ED6" w:rsidP="006E0ED6">
      <w:pPr>
        <w:pStyle w:val="BodyText"/>
      </w:pPr>
      <w:r>
        <w:t xml:space="preserve">Compared with inheritance outflow estimates — analysed in the next section — disaggregating the total value of inheritance inflows into inter and intragenerational flows is not straightforward because HILDA </w:t>
      </w:r>
      <w:r>
        <w:lastRenderedPageBreak/>
        <w:t>respondents are not asked who they received their inheritance from. However, other aspects of the survey, such as the self</w:t>
      </w:r>
      <w:r w:rsidR="00B97B6F">
        <w:noBreakHyphen/>
      </w:r>
      <w:r>
        <w:t>completion questionnaire, which includes information about the death of close relatives, enables the construction of approximate ‘high’ and ‘low’ estimates of the value of intergenerational inheritance inflows</w:t>
      </w:r>
      <w:r w:rsidR="00C55BC2">
        <w:t xml:space="preserve"> (figure 1</w:t>
      </w:r>
      <w:r w:rsidR="00C55BC2" w:rsidRPr="009B0421">
        <w:t>.5</w:t>
      </w:r>
      <w:r w:rsidR="00C55BC2">
        <w:t>)</w:t>
      </w:r>
      <w:r>
        <w:t>.</w:t>
      </w:r>
      <w:r w:rsidRPr="00A46011">
        <w:rPr>
          <w:rStyle w:val="FootnoteReference"/>
        </w:rPr>
        <w:footnoteReference w:id="7"/>
      </w:r>
    </w:p>
    <w:p w14:paraId="58C33E7B" w14:textId="77777777" w:rsidR="006E0ED6" w:rsidRDefault="006E0ED6" w:rsidP="006E0ED6">
      <w:pPr>
        <w:pStyle w:val="ListBullet"/>
      </w:pPr>
      <w:r>
        <w:t>The high estimate only excludes inheritances that are reported within three years of the death of a spouse. In this way, the high estimate could incorrectly include other intragenerational inheritances (for example, those from a sibling, cousin or friend).</w:t>
      </w:r>
    </w:p>
    <w:p w14:paraId="5540CCA6" w14:textId="77777777" w:rsidR="006E0ED6" w:rsidRDefault="006E0ED6" w:rsidP="006E0ED6">
      <w:pPr>
        <w:pStyle w:val="ListBullet"/>
      </w:pPr>
      <w:r>
        <w:t>The low estimate attempts to isolate inheritances received from the death of the last surviving parent by including all reported inheritances within three years of the death of a ‘close relative’ and excluding other inheritances where the death of a spouse was reported, or no death was reported. In this way, the low estimate has a relatively lower probability of incorrectly including intragenerational inheritances.</w:t>
      </w:r>
    </w:p>
    <w:p w14:paraId="31F7DF96" w14:textId="2DAF5A95" w:rsidR="006E0ED6" w:rsidRPr="00694FF5" w:rsidRDefault="006E0ED6" w:rsidP="006E0ED6">
      <w:pPr>
        <w:pStyle w:val="BodyText"/>
      </w:pPr>
      <w:r>
        <w:t>In 2018</w:t>
      </w:r>
      <w:r w:rsidR="00B97B6F">
        <w:noBreakHyphen/>
      </w:r>
      <w:r>
        <w:t>19, the low and high estimates for the value of inheritance inflows transferred between generations were $39.9 billion and $48.8 billion respectively, or between 79 and 97 per cent of the total.</w:t>
      </w:r>
      <w:r w:rsidR="003050C6">
        <w:rPr>
          <w:rStyle w:val="FootnoteReference"/>
        </w:rPr>
        <w:footnoteReference w:id="8"/>
      </w:r>
    </w:p>
    <w:p w14:paraId="0D494AD2" w14:textId="4703BA14"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5</w:t>
      </w:r>
      <w:r w:rsidR="00B2270C">
        <w:rPr>
          <w:noProof/>
        </w:rPr>
        <w:fldChar w:fldCharType="end"/>
      </w:r>
      <w:r>
        <w:rPr>
          <w:noProof/>
        </w:rPr>
        <w:t xml:space="preserve"> </w:t>
      </w:r>
      <w:r>
        <w:t>– The inflow value of intergenerational inheritances is uncertain</w:t>
      </w:r>
    </w:p>
    <w:p w14:paraId="4FC81F26" w14:textId="0734282A" w:rsidR="006E0ED6" w:rsidRPr="005550A0" w:rsidRDefault="00402EDB" w:rsidP="006E0ED6">
      <w:pPr>
        <w:pStyle w:val="BodyText"/>
      </w:pPr>
      <w:r w:rsidRPr="00402EDB">
        <w:rPr>
          <w:noProof/>
        </w:rPr>
        <w:drawing>
          <wp:inline distT="0" distB="0" distL="0" distR="0" wp14:anchorId="188EA036" wp14:editId="5ABD2680">
            <wp:extent cx="6120130" cy="2875280"/>
            <wp:effectExtent l="0" t="0" r="0" b="0"/>
            <wp:docPr id="160" name="Picture 160" descr="Figure 1.5. This chart shows low and high estimates of the inflow value of intergenerational inheritance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Figure 1.5. This chart shows low and high estimates of the inflow value of intergenerational inheritances. More details are contained in the text surrounding this fig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351D0666" w14:textId="7375B7C3" w:rsidR="006E0ED6" w:rsidRDefault="006E0ED6" w:rsidP="00331EB5">
      <w:pPr>
        <w:pStyle w:val="Note"/>
        <w:keepLines/>
      </w:pPr>
      <w:r w:rsidRPr="00696447">
        <w:t xml:space="preserve">Source: </w:t>
      </w:r>
      <w:r w:rsidRPr="0050309F">
        <w:t xml:space="preserve">Productivity Commission estimates using </w:t>
      </w:r>
      <w:r>
        <w:t>HILDA Restricted Release</w:t>
      </w:r>
      <w:r w:rsidR="004169AB">
        <w:t> </w:t>
      </w:r>
      <w:r>
        <w:t>19.</w:t>
      </w:r>
    </w:p>
    <w:p w14:paraId="358B4F79" w14:textId="77777777" w:rsidR="006E0ED6" w:rsidRPr="00FB5C32" w:rsidRDefault="006E0ED6" w:rsidP="006E0ED6">
      <w:pPr>
        <w:pStyle w:val="Heading3"/>
      </w:pPr>
      <w:r>
        <w:t>Inheritance outflows</w:t>
      </w:r>
    </w:p>
    <w:p w14:paraId="3C749552" w14:textId="77777777" w:rsidR="006E0ED6" w:rsidDel="00653FA9" w:rsidRDefault="006E0ED6" w:rsidP="006E0ED6">
      <w:pPr>
        <w:pStyle w:val="BodyText"/>
      </w:pPr>
      <w:r>
        <w:t xml:space="preserve">The total value of inheritance outflows, and the share that is transferred across generations was estimated indirectly based on HILDA wealth estimates, as opposed to reported inheritances. </w:t>
      </w:r>
    </w:p>
    <w:p w14:paraId="5F9145C0" w14:textId="77777777" w:rsidR="006E0ED6" w:rsidRDefault="006E0ED6" w:rsidP="006E0ED6">
      <w:pPr>
        <w:pStyle w:val="BodyText"/>
      </w:pPr>
      <w:r>
        <w:t>In brief, the calculation involves two steps.</w:t>
      </w:r>
    </w:p>
    <w:p w14:paraId="632DC438" w14:textId="55A13F14" w:rsidR="006E0ED6" w:rsidRDefault="006E0ED6" w:rsidP="006E0ED6">
      <w:pPr>
        <w:pStyle w:val="ListBullet"/>
      </w:pPr>
      <w:r>
        <w:t xml:space="preserve">Calculating total inheritances: multiplying the value of wealth held by each person in HILDA in a given year by the probability that that person dies and then summing across all people in HILDA, produces an estimate of total wealth at death, or total inheritances. </w:t>
      </w:r>
      <w:r w:rsidR="003F5F37">
        <w:t>(</w:t>
      </w:r>
      <w:r>
        <w:t xml:space="preserve">The estimated value of refundable accommodation </w:t>
      </w:r>
      <w:r>
        <w:lastRenderedPageBreak/>
        <w:t>deposits</w:t>
      </w:r>
      <w:r w:rsidR="00BD1481">
        <w:t>, which people</w:t>
      </w:r>
      <w:r w:rsidR="00B6221A">
        <w:t xml:space="preserve"> in aged care tend not to include in their reported wealth holdings,</w:t>
      </w:r>
      <w:r>
        <w:t xml:space="preserve"> has been added to the outflow estimate</w:t>
      </w:r>
      <w:r w:rsidR="005C7A78">
        <w:t xml:space="preserve"> — see Appendix A</w:t>
      </w:r>
      <w:r>
        <w:t>.</w:t>
      </w:r>
      <w:r w:rsidR="003F5F37">
        <w:t>)</w:t>
      </w:r>
    </w:p>
    <w:p w14:paraId="6DCD80A4" w14:textId="77777777" w:rsidR="006E0ED6" w:rsidRDefault="006E0ED6" w:rsidP="006E0ED6">
      <w:pPr>
        <w:pStyle w:val="ListBullet"/>
      </w:pPr>
      <w:r>
        <w:t>Calculating intergenerational inheritances: using information gleaned from probate data, the value of total inheritances can be disaggregated into intragenerational inheritances — typically those that go to a spouse — and intergenerational inheritances — typically those that go to children.</w:t>
      </w:r>
    </w:p>
    <w:p w14:paraId="7FCD0DC8" w14:textId="77777777" w:rsidR="006E0ED6" w:rsidRDefault="006E0ED6" w:rsidP="006E0ED6">
      <w:pPr>
        <w:pStyle w:val="BodyText"/>
      </w:pPr>
      <w:r>
        <w:t>Appendix A contains a description of the methodology used to construct the outflow estimates as well as an additional estimate of the value of intergenerational transfers, which, for ease of exposition, is not presented in the chapter.</w:t>
      </w:r>
      <w:r w:rsidRPr="00A46011">
        <w:rPr>
          <w:rStyle w:val="FootnoteReference"/>
        </w:rPr>
        <w:footnoteReference w:id="9"/>
      </w:r>
      <w:r>
        <w:t xml:space="preserve"> </w:t>
      </w:r>
    </w:p>
    <w:p w14:paraId="7896BBBF" w14:textId="77777777" w:rsidR="006E0ED6" w:rsidRDefault="006E0ED6" w:rsidP="006E0ED6">
      <w:pPr>
        <w:pStyle w:val="Heading4"/>
      </w:pPr>
      <w:r>
        <w:t>The total outflow value of inheritances</w:t>
      </w:r>
    </w:p>
    <w:p w14:paraId="49AD8599" w14:textId="504EB074" w:rsidR="006E0ED6" w:rsidRPr="003478A3" w:rsidRDefault="006E0ED6" w:rsidP="006E0ED6">
      <w:pPr>
        <w:pStyle w:val="BodyText"/>
        <w:rPr>
          <w:spacing w:val="-4"/>
        </w:rPr>
      </w:pPr>
      <w:r w:rsidRPr="003478A3">
        <w:rPr>
          <w:spacing w:val="-4"/>
        </w:rPr>
        <w:t>The total outflow value of inheritances — including inheritances that do not immediately go to younger generations — was $107 billion in 2018, up from $48 billion in 2002 (figure 1.6). This is equivalent to about six per cent of gross national income. The increase in value between 2002 and 2018 was driven by i</w:t>
      </w:r>
      <w:r w:rsidRPr="003478A3" w:rsidDel="00433A21">
        <w:rPr>
          <w:spacing w:val="-4"/>
        </w:rPr>
        <w:t>ncreases in per</w:t>
      </w:r>
      <w:r w:rsidR="00726E97">
        <w:rPr>
          <w:spacing w:val="-4"/>
        </w:rPr>
        <w:noBreakHyphen/>
      </w:r>
      <w:r w:rsidRPr="003478A3" w:rsidDel="00433A21">
        <w:rPr>
          <w:spacing w:val="-4"/>
        </w:rPr>
        <w:t xml:space="preserve">person wealth </w:t>
      </w:r>
      <w:r w:rsidRPr="003478A3">
        <w:rPr>
          <w:spacing w:val="-4"/>
        </w:rPr>
        <w:t>more so</w:t>
      </w:r>
      <w:r w:rsidRPr="003478A3" w:rsidDel="00433A21">
        <w:rPr>
          <w:spacing w:val="-4"/>
        </w:rPr>
        <w:t xml:space="preserve"> than increases in deaths</w:t>
      </w:r>
      <w:r w:rsidRPr="003478A3">
        <w:rPr>
          <w:spacing w:val="-4"/>
        </w:rPr>
        <w:t>, which were relatively flat over the period (figure 1.6)</w:t>
      </w:r>
      <w:r w:rsidRPr="003478A3" w:rsidDel="00433A21">
        <w:rPr>
          <w:spacing w:val="-4"/>
        </w:rPr>
        <w:t>.</w:t>
      </w:r>
    </w:p>
    <w:p w14:paraId="20EB1820" w14:textId="522A2225" w:rsidR="006E0ED6" w:rsidRDefault="006E0ED6" w:rsidP="006E0ED6">
      <w:pPr>
        <w:pStyle w:val="BodyText"/>
      </w:pPr>
      <w:r>
        <w:t xml:space="preserve">Only one other study appears to have estimated the outflow value of inheritances in Australia. Temple, McDonald and Rice </w:t>
      </w:r>
      <w:r>
        <w:fldChar w:fldCharType="begin"/>
      </w:r>
      <w:r w:rsidR="0047772E">
        <w:instrText xml:space="preserve"> ADDIN ZOTERO_ITEM CSL_CITATION {"citationID":"Rn3NAMUl","properties":{"formattedCitation":"(2017)","plainCitation":"(2017)","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fldChar w:fldCharType="separate"/>
      </w:r>
      <w:r w:rsidRPr="008A7467">
        <w:t>(2017)</w:t>
      </w:r>
      <w:r>
        <w:fldChar w:fldCharType="end"/>
      </w:r>
      <w:r>
        <w:t>, whose estimate was based on the Australian Bureau of Statistics Household Expenditure Survey and SIH, found that the aggregate value of wealth held at death was about $76 billion in 2003</w:t>
      </w:r>
      <w:r w:rsidR="00726E97">
        <w:noBreakHyphen/>
      </w:r>
      <w:r>
        <w:t>04 and $84</w:t>
      </w:r>
      <w:r w:rsidR="004169AB">
        <w:t> </w:t>
      </w:r>
      <w:r>
        <w:t>billion in 2009</w:t>
      </w:r>
      <w:r w:rsidR="00726E97">
        <w:noBreakHyphen/>
      </w:r>
      <w:r>
        <w:t>10</w:t>
      </w:r>
      <w:r w:rsidRPr="0059379B">
        <w:rPr>
          <w:rStyle w:val="FootnoteReference"/>
        </w:rPr>
        <w:footnoteReference w:id="10"/>
      </w:r>
      <w:r>
        <w:t xml:space="preserve">, slightly higher than the estimates in this study. The Temple, McDonald and Rice </w:t>
      </w:r>
      <w:r>
        <w:fldChar w:fldCharType="begin"/>
      </w:r>
      <w:r w:rsidR="0047772E">
        <w:instrText xml:space="preserve"> ADDIN ZOTERO_ITEM CSL_CITATION {"citationID":"UIujSZoE","properties":{"formattedCitation":"(2017)","plainCitation":"(2017)","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fldChar w:fldCharType="separate"/>
      </w:r>
      <w:r w:rsidRPr="000A1117">
        <w:t>(2017)</w:t>
      </w:r>
      <w:r>
        <w:fldChar w:fldCharType="end"/>
      </w:r>
      <w:r>
        <w:t xml:space="preserve"> estimates were scaled against the aggregate value of household sector wealth reported in the National Accounts, which is larger than the aggregate value based on HILDA data (box 1.</w:t>
      </w:r>
      <w:r w:rsidRPr="009B0421">
        <w:t>4</w:t>
      </w:r>
      <w:r>
        <w:t>).</w:t>
      </w:r>
    </w:p>
    <w:p w14:paraId="7609396C" w14:textId="54550F76"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6</w:t>
      </w:r>
      <w:r w:rsidR="00B2270C">
        <w:rPr>
          <w:noProof/>
        </w:rPr>
        <w:fldChar w:fldCharType="end"/>
      </w:r>
      <w:r>
        <w:rPr>
          <w:noProof/>
        </w:rPr>
        <w:t xml:space="preserve"> </w:t>
      </w:r>
      <w:r>
        <w:t>– The outflow value of inheritances is driven by increasing per</w:t>
      </w:r>
      <w:r w:rsidR="00726E97">
        <w:noBreakHyphen/>
      </w:r>
      <w:r>
        <w:t>person wealth</w:t>
      </w:r>
    </w:p>
    <w:p w14:paraId="5AECCE1B" w14:textId="12F9231B" w:rsidR="006E0ED6" w:rsidRPr="005550A0" w:rsidRDefault="00EB095A" w:rsidP="006E0ED6">
      <w:pPr>
        <w:pStyle w:val="BodyText"/>
      </w:pPr>
      <w:r w:rsidRPr="00EB095A">
        <w:rPr>
          <w:noProof/>
        </w:rPr>
        <w:drawing>
          <wp:inline distT="0" distB="0" distL="0" distR="0" wp14:anchorId="447D8CCF" wp14:editId="1362AEBF">
            <wp:extent cx="6120130" cy="2877185"/>
            <wp:effectExtent l="0" t="0" r="0" b="0"/>
            <wp:docPr id="19" name="Picture 19" descr="Figure 1.6. This chart shows estimates of the outflow value of inheritances based on HILDA data from 2002 to 2018, and the number of deaths. It also shows the estimated value of inheritances for 2003-04 and 2009-10, as previously estimated by Temple et al. (2017).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6. This chart shows estimates of the outflow value of inheritances based on HILDA data from 2002 to 2018, and the number of deaths. It also shows the estimated value of inheritances for 2003-04 and 2009-10, as previously estimated by Temple et al. (2017). More details are contained in the text surrounding this figu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49ABD4F9" w14:textId="4483ACEA" w:rsidR="006E0ED6" w:rsidRDefault="006E0ED6" w:rsidP="006E0ED6">
      <w:pPr>
        <w:pStyle w:val="Source"/>
      </w:pPr>
      <w:r w:rsidRPr="00696447">
        <w:t xml:space="preserve">Source: </w:t>
      </w:r>
      <w:r w:rsidRPr="0049661B">
        <w:rPr>
          <w:iCs/>
        </w:rPr>
        <w:t>Productivity Commission estimates using: ABS (</w:t>
      </w:r>
      <w:r w:rsidRPr="0049661B">
        <w:rPr>
          <w:i/>
        </w:rPr>
        <w:t>Deaths, Australia, 2019,</w:t>
      </w:r>
      <w:r w:rsidRPr="0049661B">
        <w:rPr>
          <w:iCs/>
        </w:rPr>
        <w:t xml:space="preserve"> Cat. no. 3302.0); ACFA </w:t>
      </w:r>
      <w:r w:rsidRPr="0049661B">
        <w:rPr>
          <w:iCs/>
        </w:rPr>
        <w:fldChar w:fldCharType="begin"/>
      </w:r>
      <w:r w:rsidR="0047772E">
        <w:rPr>
          <w:iCs/>
        </w:rPr>
        <w:instrText xml:space="preserve"> ADDIN ZOTERO_ITEM CSL_CITATION {"citationID":"Jf3KkCEr","properties":{"formattedCitation":"(2020b, 2021)","plainCitation":"(2020b, 2021)","noteIndex":0},"citationItems":[{"id":3225,"uris":["http://zotero.org/groups/2714158/items/D655C25C"],"uri":["http://zotero.org/groups/2714158/items/D655C25C"],"itemData":{"id":3225,"type":"report","page":"116","title":"The Protection of Residential Aged Care Accommodation Lump Sump Accommodation Payments","author":[{"literal":"Aged Care Financing Authority"}],"translator":[{"literal":"ACFA"}],"accessed":{"date-parts":[["2021",11,1]]},"issued":{"date-parts":[["2020"]]}},"suppress-author":true},{"id":1784,"uris":["http://zotero.org/groups/2714158/items/IYYVPNUV"],"uri":["http://zotero.org/groups/2714158/items/IYYVPNUV"],"itemData":{"id":1784,"type":"report","title":"Review of the Current and Future Role of Refundable Accommodation Deposits in Aged Care","author":[{"literal":"Aged Care Financing Authority"}],"translator":[{"literal":"ACFA"}],"accessed":{"date-parts":[["2021",3,25]]},"issued":{"date-parts":[["2021",3,24]]}},"suppress-author":true}],"schema":"https://github.com/citation-style-language/schema/raw/master/csl-citation.json"} </w:instrText>
      </w:r>
      <w:r w:rsidRPr="0049661B">
        <w:rPr>
          <w:iCs/>
        </w:rPr>
        <w:fldChar w:fldCharType="separate"/>
      </w:r>
      <w:r w:rsidR="007A60F8" w:rsidRPr="007A60F8">
        <w:rPr>
          <w:rFonts w:ascii="Arial" w:hAnsi="Arial" w:cs="Arial"/>
        </w:rPr>
        <w:t>(2020b, 2021)</w:t>
      </w:r>
      <w:r w:rsidRPr="0049661B">
        <w:fldChar w:fldCharType="end"/>
      </w:r>
      <w:r w:rsidRPr="0049661B">
        <w:rPr>
          <w:iCs/>
        </w:rPr>
        <w:t xml:space="preserve">; AIHW </w:t>
      </w:r>
      <w:r w:rsidRPr="0049661B">
        <w:rPr>
          <w:iCs/>
        </w:rPr>
        <w:fldChar w:fldCharType="begin"/>
      </w:r>
      <w:r w:rsidR="0047772E">
        <w:rPr>
          <w:iCs/>
        </w:rPr>
        <w:instrText xml:space="preserve"> ADDIN ZOTERO_ITEM CSL_CITATION {"citationID":"gIUUGnYK","properties":{"formattedCitation":"(2021b)","plainCitation":"(2021b)","noteIndex":0},"citationItems":[{"id":1757,"uris":["http://zotero.org/groups/2714158/items/HWGSNZRW"],"uri":["http://zotero.org/groups/2714158/items/HWGSNZRW"],"itemData":{"id":1757,"type":"webpage","abstract":"Just as people enter aged care services, they also leave. In this section, learn about how, why and when people leave aged care services.","container-title":"GEN Aged Care Data","language":"en","title":"People Leaving Aged Care","URL":"https://www.gen-agedcaredata.gov.au/Topics/People-leaving-aged-care","author":[{"family":"Australian Institute of Health and Welfare","given":""}],"translator":[{"literal":"AIHW"}],"accessed":{"date-parts":[["2021",4,1]]},"issued":{"date-parts":[["2021"]]}},"suppress-author":true}],"schema":"https://github.com/citation-style-language/schema/raw/master/csl-citation.json"} </w:instrText>
      </w:r>
      <w:r w:rsidRPr="0049661B">
        <w:rPr>
          <w:iCs/>
        </w:rPr>
        <w:fldChar w:fldCharType="separate"/>
      </w:r>
      <w:r w:rsidR="00816542" w:rsidRPr="00816542">
        <w:rPr>
          <w:rFonts w:ascii="Arial" w:hAnsi="Arial" w:cs="Arial"/>
        </w:rPr>
        <w:t>(2021b)</w:t>
      </w:r>
      <w:r w:rsidRPr="0049661B">
        <w:fldChar w:fldCharType="end"/>
      </w:r>
      <w:r w:rsidRPr="0049661B">
        <w:rPr>
          <w:iCs/>
        </w:rPr>
        <w:t>; HILDA Restricted Release</w:t>
      </w:r>
      <w:r w:rsidR="004169AB">
        <w:rPr>
          <w:iCs/>
        </w:rPr>
        <w:t> </w:t>
      </w:r>
      <w:r w:rsidRPr="0049661B">
        <w:rPr>
          <w:iCs/>
        </w:rPr>
        <w:t>19;</w:t>
      </w:r>
      <w:r w:rsidRPr="0049661B" w:rsidDel="008B4DB8">
        <w:rPr>
          <w:iCs/>
        </w:rPr>
        <w:t xml:space="preserve"> </w:t>
      </w:r>
      <w:r w:rsidRPr="0049661B">
        <w:rPr>
          <w:iCs/>
        </w:rPr>
        <w:t>Temple,</w:t>
      </w:r>
      <w:r w:rsidRPr="0049661B" w:rsidDel="00965F2B">
        <w:rPr>
          <w:iCs/>
        </w:rPr>
        <w:t xml:space="preserve"> </w:t>
      </w:r>
      <w:r w:rsidRPr="0049661B">
        <w:rPr>
          <w:iCs/>
        </w:rPr>
        <w:t xml:space="preserve">McDonald and Rice </w:t>
      </w:r>
      <w:r w:rsidRPr="0049661B">
        <w:rPr>
          <w:iCs/>
        </w:rPr>
        <w:fldChar w:fldCharType="begin"/>
      </w:r>
      <w:r w:rsidR="0047772E">
        <w:rPr>
          <w:iCs/>
        </w:rPr>
        <w:instrText xml:space="preserve"> ADDIN ZOTERO_ITEM CSL_CITATION {"citationID":"tzfdOpMg","properties":{"formattedCitation":"(2017)","plainCitation":"(2017)","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rsidRPr="0049661B">
        <w:rPr>
          <w:iCs/>
        </w:rPr>
        <w:fldChar w:fldCharType="separate"/>
      </w:r>
      <w:r w:rsidRPr="0049661B">
        <w:t>(2017)</w:t>
      </w:r>
      <w:r w:rsidRPr="0049661B">
        <w:fldChar w:fldCharType="end"/>
      </w:r>
      <w:r w:rsidRPr="0049661B">
        <w:rPr>
          <w:iCs/>
        </w:rPr>
        <w:t>.</w:t>
      </w:r>
    </w:p>
    <w:p w14:paraId="60163543"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3DB57A61" w14:textId="77777777" w:rsidTr="001625EC">
        <w:trPr>
          <w:tblHeader/>
        </w:trPr>
        <w:tc>
          <w:tcPr>
            <w:tcW w:w="9638" w:type="dxa"/>
            <w:tcMar>
              <w:top w:w="170" w:type="dxa"/>
              <w:left w:w="170" w:type="dxa"/>
              <w:bottom w:w="113" w:type="dxa"/>
              <w:right w:w="170" w:type="dxa"/>
            </w:tcMar>
            <w:hideMark/>
          </w:tcPr>
          <w:p w14:paraId="4F063F41" w14:textId="08F5D039"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4</w:t>
            </w:r>
            <w:r w:rsidR="00B2270C">
              <w:rPr>
                <w:noProof/>
              </w:rPr>
              <w:fldChar w:fldCharType="end"/>
            </w:r>
            <w:r>
              <w:t xml:space="preserve"> – Explaining the gap</w:t>
            </w:r>
          </w:p>
        </w:tc>
      </w:tr>
      <w:tr w:rsidR="006E0ED6" w14:paraId="35A4C728" w14:textId="77777777" w:rsidTr="001625EC">
        <w:tc>
          <w:tcPr>
            <w:tcW w:w="9638" w:type="dxa"/>
            <w:tcMar>
              <w:top w:w="28" w:type="dxa"/>
              <w:left w:w="170" w:type="dxa"/>
              <w:bottom w:w="170" w:type="dxa"/>
              <w:right w:w="170" w:type="dxa"/>
            </w:tcMar>
            <w:hideMark/>
          </w:tcPr>
          <w:p w14:paraId="7624A5F0" w14:textId="77777777" w:rsidR="006E0ED6" w:rsidRPr="00A505E4" w:rsidRDefault="006E0ED6" w:rsidP="001625EC">
            <w:pPr>
              <w:pStyle w:val="BodyText"/>
            </w:pPr>
            <w:r w:rsidRPr="00A505E4">
              <w:t>There is a sizeable gap — 15 per cent or $1.5 trillion — between the estimated aggregate wealth of the household sector based on HILDA data in 2018 and the aggregate wealth of the household sector measured by the National Accounts, which is considered to be a comprehensive measure of household sector wealth. (The National Accounts measures the wealth held by the household sector collectively, but it is not built up on, or apportioned to, the individual or the household level.)</w:t>
            </w:r>
          </w:p>
          <w:p w14:paraId="76FEEC0F" w14:textId="3097E6B0" w:rsidR="006E0ED6" w:rsidRPr="00A505E4" w:rsidRDefault="006E0ED6" w:rsidP="001625EC">
            <w:pPr>
              <w:pStyle w:val="BodyText"/>
            </w:pPr>
            <w:r w:rsidRPr="00A505E4">
              <w:t>This gap is a function of differences in scope and measurement as well as survey errors (sampling and non</w:t>
            </w:r>
            <w:r w:rsidR="00726E97">
              <w:noBreakHyphen/>
            </w:r>
            <w:r w:rsidRPr="00A505E4">
              <w:t xml:space="preserve">sampling), which affect all survey datasets and can undermine the accuracy of subsequent inferences about the population. For example, inferences about the dispersion and aggregate value of wealth </w:t>
            </w:r>
            <w:r w:rsidRPr="00A505E4">
              <w:fldChar w:fldCharType="begin"/>
            </w:r>
            <w:r w:rsidR="0047772E">
              <w:instrText xml:space="preserve"> ADDIN ZOTERO_ITEM CSL_CITATION {"citationID":"UuH0qJs6","properties":{"formattedCitation":"(Bloxham and Betts\\uc0\\u160{}2009; Davies and Shorrocks\\uc0\\u160{}2000; OECD\\uc0\\u160{}2013, pp.\\uc0\\u160{}137\\uc0\\u8211{}138)","plainCitation":"(Bloxham and Betts 2009; Davies and Shorrocks 2000; OECD 2013, pp. 137–138)","noteIndex":0},"citationItems":[{"id":1639,"uris":["http://zotero.org/groups/2714158/items/7KEEI76X"],"uri":["http://zotero.org/groups/2714158/items/7KEEI76X"],"itemData":{"id":1639,"type":"article-journal","container-title":"Australian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id":3193,"uris":["http://zotero.org/groups/2714158/items/QE759QL8"],"uri":["http://zotero.org/groups/2714158/items/QE759QL8"],"itemData":{"id":3193,"type":"chapter","abstract":"This chapter is concerned with the distribution of personal wealth, which usually refers to the material assets that can be sold in the marketpace, although on occasion pension rights are also included. We summarise the available evidence on wealth distribution for a number of countries. This confirms the well known fact that wealth is more unequally distributed than income, and points to a long term downward trend in wealth inequality over most of the twentieth century. We also review the various theories that help account for these feature. Lifecycle accumulation is one popular explanation of wealth differences, but inheritance is also widely recognised as playing a major role, especially at the upper end of the wealth range. A recurrent theme in work on wealth distribution is the relative importance of these two sources of wealth differences. We discuss the results of studies that assess the contributions of inheritance and lifecycle factors, and give attention also to a variety of related issues, such as the link between wealth status across generations, and the possible motives for leaving bequests.","container-title":"Handbook of Income Distribution","edition":"1","note":"section: 11","page":"605-675","publisher":"Elsevier","title":"The distribution of wealth","URL":"https://EconPapers.repec.org/RePEc:eee:incchp:1-11","volume":"1","author":[{"family":"Davies","given":"James"},{"family":"Shorrocks","given":"Anthony F."}],"editor":[{"family":"Atkinson","given":"A.B."},{"family":"Bourguignon","given":"F."}],"accessed":{"date-parts":[["2021",9,15]]},"issued":{"date-parts":[["2000"]]}}},{"id":1725,"uris":["http://zotero.org/groups/2714158/items/MNAS5GF5"],"uri":["http://zotero.org/groups/2714158/items/MNAS5GF5"],"itemData":{"id":1725,"type":"report","event-place":"Paris","publisher":"OECD","publisher-place":"Paris","title":"OECD Guidelines for Micro Statistics on Household Wealth","author":[{"family":"Organisation for Economic Co-operation and Development","given":""}],"translator":[{"family":"OECD","given":""}],"accessed":{"date-parts":[["2021",4,16]]},"issued":{"date-parts":[["2013"]]}},"locator":"137-138"}],"schema":"https://github.com/citation-style-language/schema/raw/master/csl-citation.json"} </w:instrText>
            </w:r>
            <w:r w:rsidRPr="00A505E4">
              <w:fldChar w:fldCharType="separate"/>
            </w:r>
            <w:r w:rsidRPr="00A505E4">
              <w:t>(Bloxham and Betts 2009; Davies and Shorrocks 2000; OECD 2013, pp. 137–138)</w:t>
            </w:r>
            <w:r w:rsidRPr="00A505E4">
              <w:fldChar w:fldCharType="end"/>
            </w:r>
            <w:r w:rsidRPr="00A505E4">
              <w:t>.</w:t>
            </w:r>
          </w:p>
          <w:p w14:paraId="2CB2EFAA" w14:textId="77777777" w:rsidR="006E0ED6" w:rsidRPr="00720361" w:rsidRDefault="006E0ED6" w:rsidP="001625EC">
            <w:pPr>
              <w:pStyle w:val="BodyText"/>
              <w:rPr>
                <w:spacing w:val="-4"/>
              </w:rPr>
            </w:pPr>
            <w:r w:rsidRPr="00720361">
              <w:rPr>
                <w:spacing w:val="-4"/>
              </w:rPr>
              <w:t>Some of the scope and measurement differences between HILDA and the National Accounts are quantifiable.</w:t>
            </w:r>
          </w:p>
          <w:p w14:paraId="67A11C1B" w14:textId="77777777" w:rsidR="006E0ED6" w:rsidRPr="00A505E4" w:rsidRDefault="006E0ED6" w:rsidP="001625EC">
            <w:pPr>
              <w:pStyle w:val="ListBullet"/>
            </w:pPr>
            <w:r w:rsidRPr="00A505E4">
              <w:t>Residents of aged care facilities can pay for their accommodation using a refundable accommodation deposit (RAD), which is returned to the estate of the resident when they leave aged care (usually due to death). RADs were worth $29 billion in 2018 and Commission analysis found that most aged care residents did not include the value of their RAD in the wealth holdings they reported to HILDA (appendix A).</w:t>
            </w:r>
          </w:p>
          <w:p w14:paraId="2AC01F5C" w14:textId="5BD5512A" w:rsidR="006E0ED6" w:rsidRDefault="006E0ED6" w:rsidP="001625EC">
            <w:pPr>
              <w:pStyle w:val="ListBullet"/>
            </w:pPr>
            <w:r>
              <w:t>Other wealth held by aged care residents is surveyed by HILDA but not included in population aggregates because aged care residents are weighted to zero (appendix A contains more detail). The Commission estimates the non</w:t>
            </w:r>
            <w:r w:rsidR="00726E97">
              <w:noBreakHyphen/>
            </w:r>
            <w:r>
              <w:t>RAD wealth of aged care residents to be worth $37 billion in 2018.</w:t>
            </w:r>
          </w:p>
          <w:p w14:paraId="277FE750" w14:textId="7E12666F" w:rsidR="006E0ED6" w:rsidRDefault="006E0ED6" w:rsidP="001625EC">
            <w:pPr>
              <w:pStyle w:val="ListBullet"/>
            </w:pPr>
            <w:r>
              <w:lastRenderedPageBreak/>
              <w:t>The wealth of non</w:t>
            </w:r>
            <w:r w:rsidR="00726E97">
              <w:noBreakHyphen/>
            </w:r>
            <w:r>
              <w:t xml:space="preserve">profit institutions serving households, such as charities, is included in the National Accounts but not HILDA. The bank deposits (other wealth is not quantifiable) of these institutions were worth $23 billion in 2018 </w:t>
            </w:r>
            <w:r>
              <w:fldChar w:fldCharType="begin"/>
            </w:r>
            <w:r w:rsidR="0047772E">
              <w:instrText xml:space="preserve"> ADDIN ZOTERO_ITEM CSL_CITATION {"citationID":"CiqlXlRw","properties":{"formattedCitation":"(ABS\\uc0\\u160{}2019c)","plainCitation":"(ABS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fldChar w:fldCharType="separate"/>
            </w:r>
            <w:r w:rsidR="007A60F8" w:rsidRPr="007A60F8">
              <w:rPr>
                <w:rFonts w:ascii="Arial" w:hAnsi="Arial" w:cs="Arial"/>
                <w:szCs w:val="24"/>
              </w:rPr>
              <w:t>(ABS 2019c)</w:t>
            </w:r>
            <w:r>
              <w:fldChar w:fldCharType="end"/>
            </w:r>
            <w:r>
              <w:t>.</w:t>
            </w:r>
            <w:r w:rsidRPr="00F43B7E">
              <w:rPr>
                <w:b/>
                <w:vertAlign w:val="superscript"/>
              </w:rPr>
              <w:t>a</w:t>
            </w:r>
          </w:p>
          <w:p w14:paraId="70D9A833" w14:textId="19BA4F70" w:rsidR="006E0ED6" w:rsidRDefault="006E0ED6" w:rsidP="001625EC">
            <w:pPr>
              <w:pStyle w:val="ListBullet"/>
            </w:pPr>
            <w:r>
              <w:t>Capitalised real estate transaction costs, such as stamp duty, are included in the National Accounts but not HILDA and were worth $243 billion</w:t>
            </w:r>
            <w:r w:rsidDel="004212E2">
              <w:t xml:space="preserve"> </w:t>
            </w:r>
            <w:r>
              <w:t xml:space="preserve">in 2018 </w:t>
            </w:r>
            <w:r>
              <w:fldChar w:fldCharType="begin"/>
            </w:r>
            <w:r w:rsidR="0047772E">
              <w:instrText xml:space="preserve"> ADDIN ZOTERO_ITEM CSL_CITATION {"citationID":"ofIrbI2M","properties":{"formattedCitation":"(ABS\\uc0\\u160{}2019c)","plainCitation":"(ABS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fldChar w:fldCharType="separate"/>
            </w:r>
            <w:r w:rsidR="007A60F8" w:rsidRPr="007A60F8">
              <w:rPr>
                <w:rFonts w:ascii="Arial" w:hAnsi="Arial" w:cs="Arial"/>
                <w:szCs w:val="24"/>
              </w:rPr>
              <w:t>(ABS 2019c)</w:t>
            </w:r>
            <w:r>
              <w:fldChar w:fldCharType="end"/>
            </w:r>
            <w:r>
              <w:t>.</w:t>
            </w:r>
            <w:r w:rsidRPr="00F43B7E">
              <w:rPr>
                <w:b/>
                <w:vertAlign w:val="superscript"/>
              </w:rPr>
              <w:t>a</w:t>
            </w:r>
          </w:p>
          <w:p w14:paraId="691698F2" w14:textId="24DC306E" w:rsidR="006E0ED6" w:rsidRDefault="006E0ED6" w:rsidP="001625EC">
            <w:pPr>
              <w:pStyle w:val="ListBullet"/>
            </w:pPr>
            <w:r>
              <w:t>The extent to which HILDA captures unfunded superannuation claims and the technical reserves of general and life insurance corporations is not clear. Unfunded superannuation claims, that is, the liability of governments to pay superannuation to their employees, were worth about $</w:t>
            </w:r>
            <w:r w:rsidRPr="008C36CE">
              <w:t>4</w:t>
            </w:r>
            <w:r>
              <w:t xml:space="preserve">52 billion in 2018 </w:t>
            </w:r>
            <w:r>
              <w:fldChar w:fldCharType="begin"/>
            </w:r>
            <w:r w:rsidR="0047772E">
              <w:instrText xml:space="preserve"> ADDIN ZOTERO_ITEM CSL_CITATION {"citationID":"LMCbVyl5","properties":{"formattedCitation":"(ABS\\uc0\\u160{}2019c)","plainCitation":"(ABS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fldChar w:fldCharType="separate"/>
            </w:r>
            <w:r w:rsidR="007A60F8" w:rsidRPr="007A60F8">
              <w:rPr>
                <w:rFonts w:ascii="Arial" w:hAnsi="Arial" w:cs="Arial"/>
                <w:szCs w:val="24"/>
              </w:rPr>
              <w:t>(ABS 2019c)</w:t>
            </w:r>
            <w:r>
              <w:fldChar w:fldCharType="end"/>
            </w:r>
            <w:r>
              <w:t>.</w:t>
            </w:r>
            <w:r w:rsidDel="00A715A6">
              <w:t xml:space="preserve"> </w:t>
            </w:r>
            <w:r>
              <w:t>The technical reserves of general and life insurance corporations, were worth about $</w:t>
            </w:r>
            <w:r w:rsidRPr="008C36CE">
              <w:t>17</w:t>
            </w:r>
            <w:r>
              <w:t xml:space="preserve">4 billion in 2018 </w:t>
            </w:r>
            <w:r>
              <w:fldChar w:fldCharType="begin"/>
            </w:r>
            <w:r w:rsidR="0047772E">
              <w:instrText xml:space="preserve"> ADDIN ZOTERO_ITEM CSL_CITATION {"citationID":"4YWGdjhu","properties":{"formattedCitation":"(ABS\\uc0\\u160{}2019c)","plainCitation":"(ABS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fldChar w:fldCharType="separate"/>
            </w:r>
            <w:r w:rsidR="007A60F8" w:rsidRPr="007A60F8">
              <w:rPr>
                <w:rFonts w:ascii="Arial" w:hAnsi="Arial" w:cs="Arial"/>
                <w:szCs w:val="24"/>
              </w:rPr>
              <w:t>(ABS 2019c)</w:t>
            </w:r>
            <w:r>
              <w:fldChar w:fldCharType="end"/>
            </w:r>
            <w:r>
              <w:t>.</w:t>
            </w:r>
            <w:r w:rsidRPr="00B65A3A">
              <w:rPr>
                <w:b/>
                <w:vertAlign w:val="superscript"/>
              </w:rPr>
              <w:t>a</w:t>
            </w:r>
          </w:p>
          <w:p w14:paraId="22F675D3" w14:textId="54FA5A1D" w:rsidR="006E0ED6" w:rsidRDefault="006E0ED6" w:rsidP="001625EC">
            <w:pPr>
              <w:pStyle w:val="BodyText"/>
            </w:pPr>
            <w:r>
              <w:t>Some of the remaining gap is likely due to under</w:t>
            </w:r>
            <w:r w:rsidR="009C5825">
              <w:noBreakHyphen/>
            </w:r>
            <w:r>
              <w:t>sampling</w:t>
            </w:r>
            <w:r w:rsidDel="00A122D7">
              <w:t xml:space="preserve"> </w:t>
            </w:r>
            <w:r>
              <w:t>in survey data. Under</w:t>
            </w:r>
            <w:r w:rsidR="009C5825">
              <w:noBreakHyphen/>
            </w:r>
            <w:r>
              <w:t xml:space="preserve">sampling at the top end of the wealth distribution (a common problem with wealth surveys due to the heavy skew in wealth data) can affect estimates of aggregate wealth. For example, the richest 200 Australians — who are very unlikely to have been surveyed — had wealth of $283 billion in 2018 </w:t>
            </w:r>
            <w:r>
              <w:fldChar w:fldCharType="begin"/>
            </w:r>
            <w:r w:rsidR="0047772E">
              <w:instrText xml:space="preserve"> ADDIN ZOTERO_ITEM CSL_CITATION {"citationID":"H20tDaXb","properties":{"formattedCitation":"(Stensholt\\uc0\\u160{}2018)","plainCitation":"(Stensholt 2018)","noteIndex":0},"citationItems":[{"id":1760,"uris":["http://zotero.org/groups/2714158/items/AC9X5L9U"],"uri":["http://zotero.org/groups/2714158/items/AC9X5L9U"],"itemData":{"id":1760,"type":"article-newspaper","abstract":"It is an unprecedented era for wealth in Australia. The AFR Rich List 2018 contains 76 billionaires - 16 more than last year.","container-title":"Australian Financial Review","language":"en","note":"section: life-and-luxury","title":"2018 AFR Rich List: Who are Australia's richest people?","title-short":"2018 Afr Rich List","URL":"https://www.afr.com/life-and-luxury/rich-list-overview-20180413-h0yqo5","author":[{"family":"Stensholt","given":"John"}],"accessed":{"date-parts":[["2021",4,9]]},"issued":{"date-parts":[["2018",5,24]]}}}],"schema":"https://github.com/citation-style-language/schema/raw/master/csl-citation.json"} </w:instrText>
            </w:r>
            <w:r>
              <w:fldChar w:fldCharType="separate"/>
            </w:r>
            <w:r w:rsidRPr="00755854">
              <w:rPr>
                <w:rFonts w:cs="Arial"/>
                <w:szCs w:val="24"/>
              </w:rPr>
              <w:t>(Stensholt 2018)</w:t>
            </w:r>
            <w:r>
              <w:fldChar w:fldCharType="end"/>
            </w:r>
            <w:r>
              <w:t>.</w:t>
            </w:r>
          </w:p>
          <w:p w14:paraId="6412E76F" w14:textId="77777777" w:rsidR="006E0ED6" w:rsidRDefault="006E0ED6" w:rsidP="001625EC">
            <w:pPr>
              <w:pStyle w:val="BodyText"/>
            </w:pPr>
            <w:r>
              <w:t>Appendix A</w:t>
            </w:r>
            <w:r w:rsidDel="00656181">
              <w:t xml:space="preserve"> </w:t>
            </w:r>
            <w:r>
              <w:t>contains a comprehensive comparison of the National Accounts, the SIH and HILDA.</w:t>
            </w:r>
          </w:p>
          <w:p w14:paraId="4445679D" w14:textId="77777777" w:rsidR="006E0ED6" w:rsidRDefault="006E0ED6" w:rsidP="001625EC">
            <w:pPr>
              <w:pStyle w:val="Note"/>
            </w:pPr>
            <w:r w:rsidRPr="00977438">
              <w:rPr>
                <w:b/>
                <w:bCs/>
              </w:rPr>
              <w:t>a.</w:t>
            </w:r>
            <w:r>
              <w:t xml:space="preserve"> Estimates have been converted into constant 2018 dollars using the CPI.</w:t>
            </w:r>
          </w:p>
        </w:tc>
      </w:tr>
      <w:tr w:rsidR="006E0ED6" w14:paraId="7788F0A2" w14:textId="77777777" w:rsidTr="001625EC">
        <w:tc>
          <w:tcPr>
            <w:tcW w:w="9638" w:type="dxa"/>
            <w:shd w:val="clear" w:color="auto" w:fill="auto"/>
            <w:tcMar>
              <w:top w:w="0" w:type="dxa"/>
              <w:left w:w="170" w:type="dxa"/>
              <w:bottom w:w="0" w:type="dxa"/>
              <w:right w:w="170" w:type="dxa"/>
            </w:tcMar>
          </w:tcPr>
          <w:p w14:paraId="0D790A33" w14:textId="77777777" w:rsidR="006E0ED6" w:rsidRDefault="006E0ED6" w:rsidP="001625EC">
            <w:pPr>
              <w:pStyle w:val="BodyText"/>
              <w:spacing w:before="0" w:after="0" w:line="80" w:lineRule="atLeast"/>
            </w:pPr>
          </w:p>
        </w:tc>
      </w:tr>
    </w:tbl>
    <w:p w14:paraId="5B847A33" w14:textId="77777777" w:rsidR="006E0ED6" w:rsidRDefault="006E0ED6" w:rsidP="006E0ED6">
      <w:pPr>
        <w:pStyle w:val="Heading4"/>
      </w:pPr>
      <w:r>
        <w:t>The value of intergenerational outflows</w:t>
      </w:r>
    </w:p>
    <w:p w14:paraId="0450E068" w14:textId="77777777" w:rsidR="006E0ED6" w:rsidRPr="00A3762D" w:rsidRDefault="006E0ED6" w:rsidP="006E0ED6">
      <w:pPr>
        <w:pStyle w:val="BodyText"/>
        <w:rPr>
          <w:spacing w:val="-2"/>
        </w:rPr>
      </w:pPr>
      <w:r w:rsidRPr="00A3762D">
        <w:rPr>
          <w:spacing w:val="-2"/>
        </w:rPr>
        <w:t>Calculating the share of inheritance outflows that was transferred between generations required information about who gives what to whom when they die. Analysis of ABS deaths data and probate data informed this calculation (box 1.5). Approximately 85 per cent of wealth owned by individuals who were single at their time of death (known as final estates) and about four per cent of wealth owned by individuals who were part of a couple at the time of their death (known as first estates) is bequeathed to the next generation, typically to their children. In the limited number of comparable studies in other countries, similar distributions are observed.</w:t>
      </w:r>
      <w:r w:rsidRPr="0059379B">
        <w:rPr>
          <w:rStyle w:val="FootnoteReference"/>
        </w:rPr>
        <w:footnoteReference w:id="11"/>
      </w:r>
    </w:p>
    <w:p w14:paraId="797764BB" w14:textId="77777777" w:rsidR="00532B85" w:rsidRDefault="00532B85">
      <w:r>
        <w:rPr>
          <w:iCs/>
        </w:rPr>
        <w:br w:type="page"/>
      </w:r>
    </w:p>
    <w:tbl>
      <w:tblPr>
        <w:tblStyle w:val="Boxtable"/>
        <w:tblW w:w="5000" w:type="pct"/>
        <w:tblLook w:val="04A0" w:firstRow="1" w:lastRow="0" w:firstColumn="1" w:lastColumn="0" w:noHBand="0" w:noVBand="1"/>
      </w:tblPr>
      <w:tblGrid>
        <w:gridCol w:w="9638"/>
      </w:tblGrid>
      <w:tr w:rsidR="006E0ED6" w14:paraId="75CFC8D3" w14:textId="77777777" w:rsidTr="001625EC">
        <w:trPr>
          <w:tblHeader/>
        </w:trPr>
        <w:tc>
          <w:tcPr>
            <w:tcW w:w="9638" w:type="dxa"/>
            <w:tcMar>
              <w:top w:w="170" w:type="dxa"/>
              <w:left w:w="170" w:type="dxa"/>
              <w:bottom w:w="113" w:type="dxa"/>
              <w:right w:w="170" w:type="dxa"/>
            </w:tcMar>
            <w:hideMark/>
          </w:tcPr>
          <w:p w14:paraId="5E1C1147" w14:textId="64003767" w:rsidR="006E0ED6" w:rsidRDefault="006E0ED6" w:rsidP="001625EC">
            <w:pPr>
              <w:pStyle w:val="BoxHeading1"/>
            </w:pPr>
            <w:r>
              <w:lastRenderedPageBreak/>
              <w:t xml:space="preserve">Box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5</w:t>
            </w:r>
            <w:r w:rsidR="00B2270C">
              <w:rPr>
                <w:noProof/>
              </w:rPr>
              <w:fldChar w:fldCharType="end"/>
            </w:r>
            <w:r>
              <w:t xml:space="preserve"> – Who gives what to whom?</w:t>
            </w:r>
            <w:r w:rsidRPr="00467C76">
              <w:rPr>
                <w:vertAlign w:val="superscript"/>
              </w:rPr>
              <w:t>a</w:t>
            </w:r>
          </w:p>
        </w:tc>
      </w:tr>
      <w:tr w:rsidR="006E0ED6" w14:paraId="084F887C" w14:textId="77777777" w:rsidTr="001625EC">
        <w:tc>
          <w:tcPr>
            <w:tcW w:w="9638" w:type="dxa"/>
            <w:tcMar>
              <w:top w:w="28" w:type="dxa"/>
              <w:left w:w="170" w:type="dxa"/>
              <w:bottom w:w="170" w:type="dxa"/>
              <w:right w:w="170" w:type="dxa"/>
            </w:tcMar>
            <w:hideMark/>
          </w:tcPr>
          <w:p w14:paraId="3F584668" w14:textId="77777777" w:rsidR="006E0ED6" w:rsidRDefault="006E0ED6" w:rsidP="001625EC">
            <w:pPr>
              <w:pStyle w:val="BodyText"/>
            </w:pPr>
            <w:r w:rsidRPr="00913AAA">
              <w:t>The figure below combines ABS Deaths data with probate information. The top panel disaggregates the share of deaths by relationship status. The bottom panel shows the distribution of wealth at death into inter and intragenerational flows.</w:t>
            </w:r>
          </w:p>
          <w:p w14:paraId="3891D215" w14:textId="77777777" w:rsidR="006E0ED6" w:rsidRPr="007414DA" w:rsidRDefault="006E0ED6" w:rsidP="001625EC">
            <w:pPr>
              <w:pStyle w:val="BodyText"/>
            </w:pPr>
            <w:r w:rsidRPr="00746136">
              <w:rPr>
                <w:noProof/>
              </w:rPr>
              <w:drawing>
                <wp:inline distT="0" distB="0" distL="0" distR="0" wp14:anchorId="4E0475C4" wp14:editId="240B3873">
                  <wp:extent cx="5915025" cy="4797425"/>
                  <wp:effectExtent l="0" t="0" r="9525" b="3175"/>
                  <wp:docPr id="28" name="Picture 28" descr="Box 1.5 figure. This diagram shows flows of wealth at death. About 60 per cent of deaths were single people, and 40 per cent were in a couple. Of single people deaths, 85 per cent was transferred to the next generation, and the remainder transferred elsewhere (e.g. other family, friends/carers and charity). Of deaths of people who were in a couple, 95 per cent was transferred to their partner, 4 per cent to the next generation, and less than 0.5 per cent was transferred else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ox 1.5 figure. This diagram shows flows of wealth at death. About 60 per cent of deaths were single people, and 40 per cent were in a couple. Of single people deaths, 85 per cent was transferred to the next generation, and the remainder transferred elsewhere (e.g. other family, friends/carers and charity). Of deaths of people who were in a couple, 95 per cent was transferred to their partner, 4 per cent to the next generation, and less than 0.5 per cent was transferred elsewher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352"/>
                          <a:stretch/>
                        </pic:blipFill>
                        <pic:spPr bwMode="auto">
                          <a:xfrm>
                            <a:off x="0" y="0"/>
                            <a:ext cx="5915025" cy="4797425"/>
                          </a:xfrm>
                          <a:prstGeom prst="rect">
                            <a:avLst/>
                          </a:prstGeom>
                          <a:noFill/>
                          <a:ln>
                            <a:noFill/>
                          </a:ln>
                          <a:extLst>
                            <a:ext uri="{53640926-AAD7-44D8-BBD7-CCE9431645EC}">
                              <a14:shadowObscured xmlns:a14="http://schemas.microsoft.com/office/drawing/2010/main"/>
                            </a:ext>
                          </a:extLst>
                        </pic:spPr>
                      </pic:pic>
                    </a:graphicData>
                  </a:graphic>
                </wp:inline>
              </w:drawing>
            </w:r>
          </w:p>
          <w:p w14:paraId="4D354259" w14:textId="77777777" w:rsidR="006E0ED6" w:rsidRDefault="006E0ED6" w:rsidP="001625EC">
            <w:pPr>
              <w:pStyle w:val="Note"/>
            </w:pPr>
            <w:r w:rsidRPr="000D2B58">
              <w:rPr>
                <w:b/>
                <w:bCs/>
              </w:rPr>
              <w:t>a.</w:t>
            </w:r>
            <w:r>
              <w:t xml:space="preserve"> Detail on how the flows have been calculated is provided in appendix A.</w:t>
            </w:r>
          </w:p>
          <w:p w14:paraId="0F3F3E8E" w14:textId="78DF8DB2" w:rsidR="006E0ED6" w:rsidRDefault="006E0ED6" w:rsidP="001625EC">
            <w:pPr>
              <w:pStyle w:val="Source"/>
            </w:pPr>
            <w:r>
              <w:t xml:space="preserve">Source: </w:t>
            </w:r>
            <w:r w:rsidRPr="00EC64CF">
              <w:t>Productivity Commission estimates using ABS (</w:t>
            </w:r>
            <w:r w:rsidRPr="00EC64CF">
              <w:rPr>
                <w:i/>
                <w:iCs/>
              </w:rPr>
              <w:t>Deaths, Australia, 2019</w:t>
            </w:r>
            <w:r w:rsidRPr="00EC64CF" w:rsidDel="00E963D3">
              <w:rPr>
                <w:i/>
              </w:rPr>
              <w:t>,</w:t>
            </w:r>
            <w:r w:rsidRPr="00EC64CF">
              <w:t xml:space="preserve"> Cat. no. 3302.0); </w:t>
            </w:r>
            <w:r w:rsidRPr="00EC64CF" w:rsidDel="00270ADB">
              <w:t>Wood</w:t>
            </w:r>
            <w:r w:rsidRPr="00EC64CF">
              <w:t>, Griffiths and</w:t>
            </w:r>
            <w:r w:rsidRPr="00EC64CF" w:rsidDel="00270ADB">
              <w:t xml:space="preserve"> </w:t>
            </w:r>
            <w:r w:rsidRPr="00EC64CF">
              <w:t xml:space="preserve">Emslie </w:t>
            </w:r>
            <w:r w:rsidRPr="00EC64CF">
              <w:fldChar w:fldCharType="begin"/>
            </w:r>
            <w:r w:rsidR="0047772E">
              <w:instrText xml:space="preserve"> ADDIN ZOTERO_ITEM CSL_CITATION {"citationID":"Km2t1Ajk","properties":{"formattedCitation":"(2019)","plainCitation":"(2019)","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suppress-author":true}],"schema":"https://github.com/citation-style-language/schema/raw/master/csl-citation.json"} </w:instrText>
            </w:r>
            <w:r w:rsidRPr="00EC64CF">
              <w:fldChar w:fldCharType="separate"/>
            </w:r>
            <w:r w:rsidRPr="00EC64CF">
              <w:t>(2019)</w:t>
            </w:r>
            <w:r w:rsidRPr="00EC64CF">
              <w:fldChar w:fldCharType="end"/>
            </w:r>
            <w:r w:rsidRPr="00EC64CF">
              <w:t xml:space="preserve">; SCRGSP </w:t>
            </w:r>
            <w:r w:rsidRPr="00EC64CF">
              <w:fldChar w:fldCharType="begin"/>
            </w:r>
            <w:r w:rsidR="0047772E">
              <w:instrText xml:space="preserve"> ADDIN ZOTERO_ITEM CSL_CITATION {"citationID":"goa36EK9","properties":{"formattedCitation":"(2021b)","plainCitation":"(2021b)","noteIndex":0},"citationItems":[{"id":2028,"uris":["http://zotero.org/groups/164861/items/KGT4C4V4"],"uri":["http://zotero.org/groups/164861/items/KGT4C4V4"],"itemData":{"id":2028,"type":"report","event-place":"Canberra","publisher":"Productivity Commission","publisher-place":"Canberra","title":"Report on Government Services 2021","author":[{"family":"Steering Committee for the Review of Government Service Provisions","given":""}],"translator":[{"family":"SCRGSP","given":""}],"issued":{"date-parts":[["2021"]]}},"suppress-author":true}],"schema":"https://github.com/citation-style-language/schema/raw/master/csl-citation.json"} </w:instrText>
            </w:r>
            <w:r w:rsidRPr="00EC64CF">
              <w:fldChar w:fldCharType="separate"/>
            </w:r>
            <w:r w:rsidRPr="00EC64CF">
              <w:t>(2021b)</w:t>
            </w:r>
            <w:r w:rsidRPr="00EC64CF">
              <w:fldChar w:fldCharType="end"/>
            </w:r>
            <w:r w:rsidRPr="00EC64CF">
              <w:t>.</w:t>
            </w:r>
          </w:p>
        </w:tc>
      </w:tr>
    </w:tbl>
    <w:p w14:paraId="694743D3" w14:textId="77777777" w:rsidR="008B53AF" w:rsidRDefault="008B53AF" w:rsidP="008B53AF">
      <w:pPr>
        <w:pStyle w:val="Space"/>
      </w:pPr>
    </w:p>
    <w:p w14:paraId="6E33A7AE" w14:textId="0BEEF55A" w:rsidR="006E0ED6" w:rsidRDefault="006E0ED6" w:rsidP="006E0ED6">
      <w:pPr>
        <w:pStyle w:val="BodyText"/>
      </w:pPr>
      <w:r>
        <w:t xml:space="preserve">The </w:t>
      </w:r>
      <w:r w:rsidDel="00433A21">
        <w:t xml:space="preserve">outflow </w:t>
      </w:r>
      <w:r>
        <w:t xml:space="preserve">value of </w:t>
      </w:r>
      <w:r w:rsidDel="00433A21">
        <w:t xml:space="preserve">inheritances </w:t>
      </w:r>
      <w:r>
        <w:t>that was transferred intergenerationally was estimated to be about $</w:t>
      </w:r>
      <w:r w:rsidDel="00433A21">
        <w:t>5</w:t>
      </w:r>
      <w:r>
        <w:t>2</w:t>
      </w:r>
      <w:r w:rsidDel="00433A21">
        <w:t> billion</w:t>
      </w:r>
      <w:r>
        <w:t xml:space="preserve"> </w:t>
      </w:r>
      <w:r w:rsidDel="00433A21">
        <w:t xml:space="preserve">in 2018, </w:t>
      </w:r>
      <w:r>
        <w:t xml:space="preserve">up from </w:t>
      </w:r>
      <w:r w:rsidDel="00433A21">
        <w:t>$</w:t>
      </w:r>
      <w:r>
        <w:t>24 </w:t>
      </w:r>
      <w:r w:rsidDel="00433A21">
        <w:t>billion</w:t>
      </w:r>
      <w:r>
        <w:t xml:space="preserve"> </w:t>
      </w:r>
      <w:r w:rsidDel="00433A21">
        <w:t>in 2002</w:t>
      </w:r>
      <w:r>
        <w:t>.</w:t>
      </w:r>
    </w:p>
    <w:p w14:paraId="4EB4A59D" w14:textId="4CF8F56A" w:rsidR="006E0ED6" w:rsidRDefault="006E0ED6" w:rsidP="00D8392D">
      <w:pPr>
        <w:pStyle w:val="BodyText"/>
        <w:spacing w:line="276" w:lineRule="auto"/>
      </w:pPr>
      <w:r>
        <w:t>As a check on the accuracy of the HILDA outflow estimate, a comparable estimate was calculated using administrative data sources. This estimate was built up starting with an estimate of the value of final estates calculated using probate data. As discussed in section 1.1, because probate typically does not include superannuation assets or low</w:t>
      </w:r>
      <w:r w:rsidR="00CC0BCF">
        <w:noBreakHyphen/>
      </w:r>
      <w:r>
        <w:t xml:space="preserve">value estates generally, the ALife dataset was used to calculate the annual value of superannuation death benefits likely transferred between generations, and HILDA was used to calculate the expected value of low value estates (appendix A contains more detail on this methodology). </w:t>
      </w:r>
      <w:r>
        <w:lastRenderedPageBreak/>
        <w:t>The outflow value of inheritances based on this estimate was only available for 2012 and 2016, and was approximately $32 billion and $42 billion respectively, similar to the HILDA</w:t>
      </w:r>
      <w:r w:rsidR="00CC0BCF">
        <w:noBreakHyphen/>
      </w:r>
      <w:r>
        <w:t>based estimate.</w:t>
      </w:r>
    </w:p>
    <w:p w14:paraId="034244FE" w14:textId="4285496D" w:rsidR="006E0ED6" w:rsidRDefault="006E0ED6" w:rsidP="00D8392D">
      <w:pPr>
        <w:pStyle w:val="BodyText"/>
        <w:spacing w:line="276" w:lineRule="auto"/>
      </w:pPr>
      <w:r>
        <w:t xml:space="preserve">In addition to the Temple, McDonald and Rice </w:t>
      </w:r>
      <w:r>
        <w:fldChar w:fldCharType="begin"/>
      </w:r>
      <w:r w:rsidR="0047772E">
        <w:instrText xml:space="preserve"> ADDIN ZOTERO_ITEM CSL_CITATION {"citationID":"39Pt5eLT","properties":{"formattedCitation":"(2017)","plainCitation":"(2017)","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fldChar w:fldCharType="separate"/>
      </w:r>
      <w:r w:rsidRPr="000A1117">
        <w:t>(2017)</w:t>
      </w:r>
      <w:r>
        <w:fldChar w:fldCharType="end"/>
      </w:r>
      <w:r>
        <w:t xml:space="preserve"> study referenced above, one other study </w:t>
      </w:r>
      <w:r w:rsidR="00C5596A">
        <w:t xml:space="preserve">Roach </w:t>
      </w:r>
      <w:r>
        <w:fldChar w:fldCharType="begin"/>
      </w:r>
      <w:r w:rsidR="0047772E">
        <w:instrText xml:space="preserve"> ADDIN ZOTERO_ITEM CSL_CITATION {"citationID":"pXVGr7ny","properties":{"formattedCitation":"(2018)","plainCitation":"(2018)","noteIndex":0},"citationItems":[{"id":2978,"uris":["http://zotero.org/groups/2714158/items/X3WPTE64"],"uri":["http://zotero.org/groups/2714158/items/X3WPTE64"],"itemData":{"id":2978,"type":"article","title":"Costing an Inter-Generational Transfer Tax","author":[{"family":"Roach","given":"Joe"}],"accessed":{"date-parts":[["2021",2,1]]},"issued":{"date-parts":[["2018"]]}},"suppress-author":true}],"schema":"https://github.com/citation-style-language/schema/raw/master/csl-citation.json"} </w:instrText>
      </w:r>
      <w:r>
        <w:fldChar w:fldCharType="separate"/>
      </w:r>
      <w:r w:rsidR="00C5596A" w:rsidRPr="00C5596A">
        <w:rPr>
          <w:rFonts w:ascii="Arial" w:hAnsi="Arial" w:cs="Arial"/>
        </w:rPr>
        <w:t>(2018)</w:t>
      </w:r>
      <w:r>
        <w:fldChar w:fldCharType="end"/>
      </w:r>
      <w:r>
        <w:t xml:space="preserve"> has estimated annual wealth at death in Australia.</w:t>
      </w:r>
      <w:r w:rsidRPr="0059379B">
        <w:rPr>
          <w:rStyle w:val="FootnoteReference"/>
        </w:rPr>
        <w:footnoteReference w:id="12"/>
      </w:r>
      <w:r>
        <w:t xml:space="preserve"> These estimates were adjusted based on the same process applied to this study’s estimate (box 1.</w:t>
      </w:r>
      <w:r w:rsidRPr="009B0421">
        <w:t>5</w:t>
      </w:r>
      <w:r w:rsidRPr="000255C1">
        <w:t xml:space="preserve">) to produce comparable </w:t>
      </w:r>
      <w:r>
        <w:t>estimates of intergenerational inheritance outflows (figure 1.7).</w:t>
      </w:r>
    </w:p>
    <w:p w14:paraId="205D664B" w14:textId="3A767E10" w:rsidR="006E0ED6" w:rsidRDefault="006E0ED6" w:rsidP="00D8392D">
      <w:pPr>
        <w:pStyle w:val="BodyText"/>
        <w:spacing w:line="276" w:lineRule="auto"/>
      </w:pPr>
      <w:r>
        <w:t xml:space="preserve">The source of differences between the estimates used in this study and the Temple, McDonald and Rice </w:t>
      </w:r>
      <w:r>
        <w:fldChar w:fldCharType="begin"/>
      </w:r>
      <w:r w:rsidR="0047772E">
        <w:instrText xml:space="preserve"> ADDIN ZOTERO_ITEM CSL_CITATION {"citationID":"tDmRGgNB","properties":{"formattedCitation":"(2017)","plainCitation":"(2017)","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fldChar w:fldCharType="separate"/>
      </w:r>
      <w:r w:rsidRPr="008A7467">
        <w:t>(2017)</w:t>
      </w:r>
      <w:r>
        <w:fldChar w:fldCharType="end"/>
      </w:r>
      <w:r>
        <w:t xml:space="preserve"> estimate are discussed above. The Roach </w:t>
      </w:r>
      <w:r>
        <w:fldChar w:fldCharType="begin"/>
      </w:r>
      <w:r w:rsidR="0047772E">
        <w:instrText xml:space="preserve"> ADDIN ZOTERO_ITEM CSL_CITATION {"citationID":"VWJVUTJv","properties":{"formattedCitation":"(2018)","plainCitation":"(2018)","noteIndex":0},"citationItems":[{"id":2978,"uris":["http://zotero.org/groups/2714158/items/X3WPTE64"],"uri":["http://zotero.org/groups/2714158/items/X3WPTE64"],"itemData":{"id":2978,"type":"article","title":"Costing an Inter-Generational Transfer Tax","author":[{"family":"Roach","given":"Joe"}],"accessed":{"date-parts":[["2021",2,1]]},"issued":{"date-parts":[["2018"]]}},"suppress-author":true}],"schema":"https://github.com/citation-style-language/schema/raw/master/csl-citation.json"} </w:instrText>
      </w:r>
      <w:r>
        <w:fldChar w:fldCharType="separate"/>
      </w:r>
      <w:r w:rsidRPr="006E4243">
        <w:t>(2018)</w:t>
      </w:r>
      <w:r>
        <w:fldChar w:fldCharType="end"/>
      </w:r>
      <w:r>
        <w:t xml:space="preserve"> estimate was similarly scaled using the National Accounts, which will tend to inflate its value compared with the HILDA</w:t>
      </w:r>
      <w:r w:rsidR="00CC0BCF">
        <w:noBreakHyphen/>
      </w:r>
      <w:r>
        <w:t>based estimate.</w:t>
      </w:r>
      <w:r w:rsidRPr="0059379B">
        <w:rPr>
          <w:rStyle w:val="FootnoteReference"/>
        </w:rPr>
        <w:footnoteReference w:id="13"/>
      </w:r>
    </w:p>
    <w:p w14:paraId="3A2A108F" w14:textId="53DD5155"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7</w:t>
      </w:r>
      <w:r w:rsidR="00B2270C">
        <w:rPr>
          <w:noProof/>
        </w:rPr>
        <w:fldChar w:fldCharType="end"/>
      </w:r>
      <w:r>
        <w:rPr>
          <w:noProof/>
        </w:rPr>
        <w:t xml:space="preserve"> </w:t>
      </w:r>
      <w:r>
        <w:t>– Estimates of the outflow value of intergenerational inheritances based on survey and administrative data are similar</w:t>
      </w:r>
      <w:r w:rsidRPr="00066CF5">
        <w:rPr>
          <w:vertAlign w:val="superscript"/>
        </w:rPr>
        <w:t>a,b</w:t>
      </w:r>
    </w:p>
    <w:p w14:paraId="7ACA0919" w14:textId="144EC17F" w:rsidR="006E0ED6" w:rsidRPr="005550A0" w:rsidRDefault="00EB095A" w:rsidP="006E0ED6">
      <w:pPr>
        <w:pStyle w:val="BodyText"/>
        <w:spacing w:before="0"/>
      </w:pPr>
      <w:r w:rsidRPr="00EB095A">
        <w:rPr>
          <w:noProof/>
        </w:rPr>
        <w:drawing>
          <wp:inline distT="0" distB="0" distL="0" distR="0" wp14:anchorId="63B765CA" wp14:editId="223E86AB">
            <wp:extent cx="5986130" cy="2806736"/>
            <wp:effectExtent l="0" t="0" r="0" b="0"/>
            <wp:docPr id="29" name="Picture 29" descr="Figure 1.7. This chart shows estimates of the outflow value of intergenerational inheritances from four sources. The first is based on HILDA data from 2002 to 2018, the second based on administrative data sources in 2012 and 2016, the third was previously estimated by Temple et al. (2017), and the fourth was previously estimated by Roach (2018). The Temple et al. and Roach estimates are larger than estimates based on HILDA and administrative data in this study.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7. This chart shows estimates of the outflow value of intergenerational inheritances from four sources. The first is based on HILDA data from 2002 to 2018, the second based on administrative data sources in 2012 and 2016, the third was previously estimated by Temple et al. (2017), and the fourth was previously estimated by Roach (2018). The Temple et al. and Roach estimates are larger than estimates based on HILDA and administrative data in this study. More details are contained in the text surrounding this figu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86130" cy="2806736"/>
                    </a:xfrm>
                    <a:prstGeom prst="rect">
                      <a:avLst/>
                    </a:prstGeom>
                    <a:noFill/>
                    <a:ln>
                      <a:noFill/>
                    </a:ln>
                  </pic:spPr>
                </pic:pic>
              </a:graphicData>
            </a:graphic>
          </wp:inline>
        </w:drawing>
      </w:r>
    </w:p>
    <w:p w14:paraId="33CC0B67" w14:textId="6ABB8BBE" w:rsidR="006E0ED6" w:rsidRPr="00C3667F" w:rsidRDefault="006E0ED6" w:rsidP="00B574E9">
      <w:pPr>
        <w:pStyle w:val="Note"/>
        <w:keepLines/>
        <w:spacing w:before="0" w:line="240" w:lineRule="auto"/>
        <w:rPr>
          <w:spacing w:val="-10"/>
        </w:rPr>
      </w:pPr>
      <w:r w:rsidRPr="00E570DB">
        <w:rPr>
          <w:b/>
          <w:bCs/>
          <w:spacing w:val="-8"/>
        </w:rPr>
        <w:t>a.</w:t>
      </w:r>
      <w:r w:rsidRPr="00E570DB">
        <w:rPr>
          <w:spacing w:val="-8"/>
        </w:rPr>
        <w:t xml:space="preserve"> The Temple, McDonald and Rice </w:t>
      </w:r>
      <w:r w:rsidRPr="00E570DB">
        <w:rPr>
          <w:iCs/>
          <w:spacing w:val="-8"/>
        </w:rPr>
        <w:fldChar w:fldCharType="begin"/>
      </w:r>
      <w:r w:rsidR="0047772E">
        <w:rPr>
          <w:iCs/>
          <w:spacing w:val="-8"/>
        </w:rPr>
        <w:instrText xml:space="preserve"> ADDIN ZOTERO_ITEM CSL_CITATION {"citationID":"JbYK2AYd","properties":{"formattedCitation":"(2017)","plainCitation":"(2017)","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rsidRPr="00E570DB">
        <w:rPr>
          <w:iCs/>
          <w:spacing w:val="-8"/>
        </w:rPr>
        <w:fldChar w:fldCharType="separate"/>
      </w:r>
      <w:r w:rsidRPr="00E570DB">
        <w:rPr>
          <w:spacing w:val="-8"/>
        </w:rPr>
        <w:t>(2017)</w:t>
      </w:r>
      <w:r w:rsidRPr="00E570DB">
        <w:rPr>
          <w:spacing w:val="-8"/>
        </w:rPr>
        <w:fldChar w:fldCharType="end"/>
      </w:r>
      <w:r w:rsidRPr="00E570DB">
        <w:rPr>
          <w:iCs/>
          <w:spacing w:val="-8"/>
        </w:rPr>
        <w:t xml:space="preserve"> and Roach </w:t>
      </w:r>
      <w:r w:rsidRPr="00E570DB">
        <w:rPr>
          <w:iCs/>
          <w:spacing w:val="-8"/>
        </w:rPr>
        <w:fldChar w:fldCharType="begin"/>
      </w:r>
      <w:r w:rsidR="0047772E">
        <w:rPr>
          <w:iCs/>
          <w:spacing w:val="-8"/>
        </w:rPr>
        <w:instrText xml:space="preserve"> ADDIN ZOTERO_ITEM CSL_CITATION {"citationID":"oUZEkDSW","properties":{"formattedCitation":"(2018)","plainCitation":"(2018)","noteIndex":0},"citationItems":[{"id":2978,"uris":["http://zotero.org/groups/2714158/items/X3WPTE64"],"uri":["http://zotero.org/groups/2714158/items/X3WPTE64"],"itemData":{"id":2978,"type":"article","title":"Costing an Inter-Generational Transfer Tax","author":[{"family":"Roach","given":"Joe"}],"accessed":{"date-parts":[["2021",2,1]]},"issued":{"date-parts":[["2018"]]}},"suppress-author":true}],"schema":"https://github.com/citation-style-language/schema/raw/master/csl-citation.json"} </w:instrText>
      </w:r>
      <w:r w:rsidRPr="00E570DB">
        <w:rPr>
          <w:iCs/>
          <w:spacing w:val="-8"/>
        </w:rPr>
        <w:fldChar w:fldCharType="separate"/>
      </w:r>
      <w:r w:rsidRPr="00E570DB">
        <w:rPr>
          <w:spacing w:val="-8"/>
        </w:rPr>
        <w:t>(2018)</w:t>
      </w:r>
      <w:r w:rsidRPr="00E570DB">
        <w:rPr>
          <w:spacing w:val="-8"/>
        </w:rPr>
        <w:fldChar w:fldCharType="end"/>
      </w:r>
      <w:r w:rsidRPr="00E570DB">
        <w:rPr>
          <w:iCs/>
          <w:spacing w:val="-8"/>
        </w:rPr>
        <w:t xml:space="preserve"> outflow estimates have been scaled in line with the flows in box 1.5.</w:t>
      </w:r>
      <w:r w:rsidRPr="00E570DB">
        <w:rPr>
          <w:b/>
          <w:spacing w:val="-8"/>
        </w:rPr>
        <w:t xml:space="preserve"> </w:t>
      </w:r>
      <w:r w:rsidRPr="00C3667F">
        <w:rPr>
          <w:b/>
          <w:spacing w:val="-10"/>
        </w:rPr>
        <w:t>b.</w:t>
      </w:r>
      <w:r w:rsidRPr="00C3667F">
        <w:rPr>
          <w:spacing w:val="-10"/>
        </w:rPr>
        <w:t> There is a four</w:t>
      </w:r>
      <w:r w:rsidR="00CC0BCF">
        <w:rPr>
          <w:spacing w:val="-10"/>
        </w:rPr>
        <w:noBreakHyphen/>
      </w:r>
      <w:r w:rsidRPr="00C3667F">
        <w:rPr>
          <w:spacing w:val="-10"/>
        </w:rPr>
        <w:t>year interval between HILDA outflow estimates because wealth is only recorded every four years in the HILDA dataset.</w:t>
      </w:r>
    </w:p>
    <w:p w14:paraId="35DE4A0E" w14:textId="58CA73C9" w:rsidR="006E0ED6" w:rsidRDefault="006E0ED6" w:rsidP="006E0ED6">
      <w:pPr>
        <w:pStyle w:val="Source"/>
        <w:widowControl w:val="0"/>
      </w:pPr>
      <w:r w:rsidRPr="00696447">
        <w:t xml:space="preserve">Source: </w:t>
      </w:r>
      <w:r w:rsidRPr="003C3506">
        <w:rPr>
          <w:iCs/>
        </w:rPr>
        <w:t>Productivity Commission estimates using: ABS (</w:t>
      </w:r>
      <w:r w:rsidRPr="003C3506">
        <w:rPr>
          <w:i/>
        </w:rPr>
        <w:t>Deaths, Australia, 2019,</w:t>
      </w:r>
      <w:r w:rsidRPr="003C3506">
        <w:rPr>
          <w:iCs/>
        </w:rPr>
        <w:t xml:space="preserve"> Cat. no. 3302.0); ACFA </w:t>
      </w:r>
      <w:r w:rsidRPr="003C3506">
        <w:rPr>
          <w:iCs/>
        </w:rPr>
        <w:fldChar w:fldCharType="begin"/>
      </w:r>
      <w:r w:rsidR="0047772E">
        <w:rPr>
          <w:iCs/>
        </w:rPr>
        <w:instrText xml:space="preserve"> ADDIN ZOTERO_ITEM CSL_CITATION {"citationID":"0zghwxYl","properties":{"formattedCitation":"(2020b, 2021)","plainCitation":"(2020b, 2021)","noteIndex":0},"citationItems":[{"id":3225,"uris":["http://zotero.org/groups/2714158/items/D655C25C"],"uri":["http://zotero.org/groups/2714158/items/D655C25C"],"itemData":{"id":3225,"type":"report","page":"116","title":"The Protection of Residential Aged Care Accommodation Lump Sump Accommodation Payments","author":[{"literal":"Aged Care Financing Authority"}],"translator":[{"literal":"ACFA"}],"accessed":{"date-parts":[["2021",11,1]]},"issued":{"date-parts":[["2020"]]}},"suppress-author":true},{"id":1784,"uris":["http://zotero.org/groups/2714158/items/IYYVPNUV"],"uri":["http://zotero.org/groups/2714158/items/IYYVPNUV"],"itemData":{"id":1784,"type":"report","title":"Review of the Current and Future Role of Refundable Accommodation Deposits in Aged Care","author":[{"literal":"Aged Care Financing Authority"}],"translator":[{"literal":"ACFA"}],"accessed":{"date-parts":[["2021",3,25]]},"issued":{"date-parts":[["2021",3,24]]}},"suppress-author":true}],"schema":"https://github.com/citation-style-language/schema/raw/master/csl-citation.json"} </w:instrText>
      </w:r>
      <w:r w:rsidRPr="003C3506">
        <w:rPr>
          <w:iCs/>
        </w:rPr>
        <w:fldChar w:fldCharType="separate"/>
      </w:r>
      <w:r w:rsidR="007A60F8" w:rsidRPr="007A60F8">
        <w:rPr>
          <w:rFonts w:ascii="Arial" w:hAnsi="Arial" w:cs="Arial"/>
        </w:rPr>
        <w:t>(2020b, 2021)</w:t>
      </w:r>
      <w:r w:rsidRPr="003C3506">
        <w:fldChar w:fldCharType="end"/>
      </w:r>
      <w:r w:rsidRPr="003C3506">
        <w:rPr>
          <w:iCs/>
        </w:rPr>
        <w:t xml:space="preserve">; AIHW </w:t>
      </w:r>
      <w:r w:rsidRPr="003C3506">
        <w:rPr>
          <w:iCs/>
        </w:rPr>
        <w:fldChar w:fldCharType="begin"/>
      </w:r>
      <w:r w:rsidR="0047772E">
        <w:rPr>
          <w:iCs/>
        </w:rPr>
        <w:instrText xml:space="preserve"> ADDIN ZOTERO_ITEM CSL_CITATION {"citationID":"AWu9hvvz","properties":{"formattedCitation":"(2021b)","plainCitation":"(2021b)","noteIndex":0},"citationItems":[{"id":1757,"uris":["http://zotero.org/groups/2714158/items/HWGSNZRW"],"uri":["http://zotero.org/groups/2714158/items/HWGSNZRW"],"itemData":{"id":1757,"type":"webpage","abstract":"Just as people enter aged care services, they also leave. In this section, learn about how, why and when people leave aged care services.","container-title":"GEN Aged Care Data","language":"en","title":"People Leaving Aged Care","URL":"https://www.gen-agedcaredata.gov.au/Topics/People-leaving-aged-care","author":[{"family":"Australian Institute of Health and Welfare","given":""}],"translator":[{"literal":"AIHW"}],"accessed":{"date-parts":[["2021",4,1]]},"issued":{"date-parts":[["2021"]]}},"suppress-author":true}],"schema":"https://github.com/citation-style-language/schema/raw/master/csl-citation.json"} </w:instrText>
      </w:r>
      <w:r w:rsidRPr="003C3506">
        <w:rPr>
          <w:iCs/>
        </w:rPr>
        <w:fldChar w:fldCharType="separate"/>
      </w:r>
      <w:r w:rsidR="00816542" w:rsidRPr="00816542">
        <w:rPr>
          <w:rFonts w:ascii="Arial" w:hAnsi="Arial" w:cs="Arial"/>
        </w:rPr>
        <w:t>(2021b)</w:t>
      </w:r>
      <w:r w:rsidRPr="003C3506">
        <w:fldChar w:fldCharType="end"/>
      </w:r>
      <w:r w:rsidRPr="003C3506">
        <w:rPr>
          <w:iCs/>
        </w:rPr>
        <w:t xml:space="preserve">; </w:t>
      </w:r>
      <w:r w:rsidRPr="003C3506">
        <w:t xml:space="preserve">Baker </w:t>
      </w:r>
      <w:r w:rsidRPr="003C3506">
        <w:fldChar w:fldCharType="begin"/>
      </w:r>
      <w:r w:rsidR="0047772E">
        <w:instrText xml:space="preserve"> ADDIN ZOTERO_ITEM CSL_CITATION {"citationID":"ZqLgIBRT","properties":{"formattedCitation":"(2014)","plainCitation":"(2014)","noteIndex":0},"citationItems":[{"id":1588,"uris":["http://zotero.org/groups/2714158/items/4BCZGUEK"],"uri":["http://zotero.org/groups/2714158/items/4BCZGUEK"],"itemData":{"id":1588,"type":"report","event-place":"Melbourne","publisher":"Asia-Pacific Centre for Social Investment and Philanthropy, Swinburne University of Technology","publisher-place":"Melbourne","title":"Encouraging Charitable Bequests by Australians","URL":"https://www.swinburne.edu.au/media/swinburneeduau/research/research-centres/csis/documents/Encouraging-Charitable-Gifts-by-Australians-Baker.pdf","author":[{"family":"Baker","given":"C."}],"accessed":{"date-parts":[["2021",1,19]]},"issued":{"date-parts":[["2014",2]]}},"suppress-author":true}],"schema":"https://github.com/citation-style-language/schema/raw/master/csl-citation.json"} </w:instrText>
      </w:r>
      <w:r w:rsidRPr="003C3506">
        <w:fldChar w:fldCharType="separate"/>
      </w:r>
      <w:r w:rsidRPr="003C3506">
        <w:t>(2014)</w:t>
      </w:r>
      <w:r w:rsidRPr="003C3506">
        <w:fldChar w:fldCharType="end"/>
      </w:r>
      <w:r w:rsidRPr="003C3506">
        <w:t>; Wood, Griffiths and</w:t>
      </w:r>
      <w:r w:rsidRPr="003C3506" w:rsidDel="0054159E">
        <w:t xml:space="preserve"> </w:t>
      </w:r>
      <w:r w:rsidRPr="003C3506">
        <w:t xml:space="preserve">Emslie </w:t>
      </w:r>
      <w:r w:rsidRPr="003C3506">
        <w:fldChar w:fldCharType="begin"/>
      </w:r>
      <w:r w:rsidR="0047772E">
        <w:instrText xml:space="preserve"> ADDIN ZOTERO_ITEM CSL_CITATION {"citationID":"uSpXm69i","properties":{"formattedCitation":"(2019)","plainCitation":"(2019)","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suppress-author":true}],"schema":"https://github.com/citation-style-language/schema/raw/master/csl-citation.json"} </w:instrText>
      </w:r>
      <w:r w:rsidRPr="003C3506">
        <w:fldChar w:fldCharType="separate"/>
      </w:r>
      <w:r w:rsidRPr="003C3506">
        <w:t>(2019)</w:t>
      </w:r>
      <w:r w:rsidRPr="003C3506">
        <w:fldChar w:fldCharType="end"/>
      </w:r>
      <w:r w:rsidRPr="003C3506">
        <w:t xml:space="preserve">; </w:t>
      </w:r>
      <w:r w:rsidRPr="003C3506">
        <w:rPr>
          <w:iCs/>
        </w:rPr>
        <w:t>HILDA Restricted Release</w:t>
      </w:r>
      <w:r w:rsidR="00D33EBB">
        <w:rPr>
          <w:iCs/>
        </w:rPr>
        <w:t> </w:t>
      </w:r>
      <w:r w:rsidRPr="003C3506">
        <w:rPr>
          <w:iCs/>
        </w:rPr>
        <w:t xml:space="preserve">19; ALife 2018 Release; </w:t>
      </w:r>
      <w:r w:rsidRPr="003C3506">
        <w:t xml:space="preserve">SCRGSP </w:t>
      </w:r>
      <w:r w:rsidRPr="003C3506">
        <w:fldChar w:fldCharType="begin"/>
      </w:r>
      <w:r w:rsidR="0047772E">
        <w:instrText xml:space="preserve"> ADDIN ZOTERO_ITEM CSL_CITATION {"citationID":"ROS8ry0Q","properties":{"formattedCitation":"(2021b)","plainCitation":"(2021b)","noteIndex":0},"citationItems":[{"id":2028,"uris":["http://zotero.org/groups/164861/items/KGT4C4V4"],"uri":["http://zotero.org/groups/164861/items/KGT4C4V4"],"itemData":{"id":2028,"type":"report","event-place":"Canberra","publisher":"Productivity Commission","publisher-place":"Canberra","title":"Report on Government Services 2021","author":[{"family":"Steering Committee for the Review of Government Service Provisions","given":""}],"translator":[{"family":"SCRGSP","given":""}],"issued":{"date-parts":[["2021"]]}},"suppress-author":true}],"schema":"https://github.com/citation-style-language/schema/raw/master/csl-citation.json"} </w:instrText>
      </w:r>
      <w:r w:rsidRPr="003C3506">
        <w:fldChar w:fldCharType="separate"/>
      </w:r>
      <w:r w:rsidRPr="003C3506">
        <w:t>(2021b)</w:t>
      </w:r>
      <w:r w:rsidRPr="003C3506">
        <w:fldChar w:fldCharType="end"/>
      </w:r>
      <w:r w:rsidRPr="003C3506">
        <w:t>;</w:t>
      </w:r>
      <w:r w:rsidRPr="003C3506">
        <w:rPr>
          <w:iCs/>
        </w:rPr>
        <w:t xml:space="preserve"> Temple, McDonald and Rice </w:t>
      </w:r>
      <w:r w:rsidRPr="003C3506">
        <w:rPr>
          <w:iCs/>
        </w:rPr>
        <w:fldChar w:fldCharType="begin"/>
      </w:r>
      <w:r w:rsidR="0047772E">
        <w:rPr>
          <w:iCs/>
        </w:rPr>
        <w:instrText xml:space="preserve"> ADDIN ZOTERO_ITEM CSL_CITATION {"citationID":"KlNGshn1","properties":{"formattedCitation":"(2017)","plainCitation":"(2017)","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rsidRPr="003C3506">
        <w:rPr>
          <w:iCs/>
        </w:rPr>
        <w:fldChar w:fldCharType="separate"/>
      </w:r>
      <w:r w:rsidRPr="003C3506">
        <w:t>(2017)</w:t>
      </w:r>
      <w:r w:rsidRPr="003C3506">
        <w:fldChar w:fldCharType="end"/>
      </w:r>
      <w:r w:rsidRPr="003C3506">
        <w:rPr>
          <w:iCs/>
        </w:rPr>
        <w:t xml:space="preserve">; and Roach </w:t>
      </w:r>
      <w:r w:rsidRPr="003C3506">
        <w:rPr>
          <w:iCs/>
        </w:rPr>
        <w:fldChar w:fldCharType="begin"/>
      </w:r>
      <w:r w:rsidR="0047772E">
        <w:rPr>
          <w:iCs/>
        </w:rPr>
        <w:instrText xml:space="preserve"> ADDIN ZOTERO_ITEM CSL_CITATION {"citationID":"4drq10mJ","properties":{"formattedCitation":"(2018)","plainCitation":"(2018)","noteIndex":0},"citationItems":[{"id":2978,"uris":["http://zotero.org/groups/2714158/items/X3WPTE64"],"uri":["http://zotero.org/groups/2714158/items/X3WPTE64"],"itemData":{"id":2978,"type":"article","title":"Costing an Inter-Generational Transfer Tax","author":[{"family":"Roach","given":"Joe"}],"accessed":{"date-parts":[["2021",2,1]]},"issued":{"date-parts":[["2018"]]}},"suppress-author":true}],"schema":"https://github.com/citation-style-language/schema/raw/master/csl-citation.json"} </w:instrText>
      </w:r>
      <w:r w:rsidRPr="003C3506">
        <w:rPr>
          <w:iCs/>
        </w:rPr>
        <w:fldChar w:fldCharType="separate"/>
      </w:r>
      <w:r w:rsidRPr="003C3506">
        <w:t>(2018)</w:t>
      </w:r>
      <w:r w:rsidRPr="003C3506">
        <w:fldChar w:fldCharType="end"/>
      </w:r>
      <w:r w:rsidRPr="003C3506">
        <w:rPr>
          <w:iCs/>
        </w:rPr>
        <w:t>.</w:t>
      </w:r>
    </w:p>
    <w:p w14:paraId="2BCBDA8C" w14:textId="77777777" w:rsidR="006E0ED6" w:rsidRDefault="006E0ED6" w:rsidP="006E0ED6">
      <w:pPr>
        <w:pStyle w:val="Heading3"/>
      </w:pPr>
      <w:r w:rsidRPr="005A0BD8">
        <w:t>Comparison of inheritance inflows and outflows</w:t>
      </w:r>
    </w:p>
    <w:p w14:paraId="468BF012" w14:textId="77777777" w:rsidR="006E0ED6" w:rsidRDefault="006E0ED6" w:rsidP="002B39D4">
      <w:pPr>
        <w:pStyle w:val="BodyText"/>
        <w:spacing w:line="240" w:lineRule="auto"/>
      </w:pPr>
      <w:r>
        <w:t>The HILDA estimate of inheritance outflows is consistently larger than the estimate of inflows, by an average of 29 per cent (figure 1.</w:t>
      </w:r>
      <w:r w:rsidRPr="009B0421">
        <w:t>8</w:t>
      </w:r>
      <w:r>
        <w:t>). Three potential drivers of this gap include:</w:t>
      </w:r>
    </w:p>
    <w:p w14:paraId="0185B9C2" w14:textId="65D6C5BD" w:rsidR="006E0ED6" w:rsidRPr="005B3D57" w:rsidRDefault="006E0ED6" w:rsidP="002B39D4">
      <w:pPr>
        <w:pStyle w:val="ListNumber"/>
        <w:spacing w:line="240" w:lineRule="auto"/>
      </w:pPr>
      <w:r>
        <w:t>non</w:t>
      </w:r>
      <w:r w:rsidR="00E531C7">
        <w:noBreakHyphen/>
      </w:r>
      <w:r w:rsidRPr="005B3D57">
        <w:t>reporting of inheritances</w:t>
      </w:r>
    </w:p>
    <w:p w14:paraId="02340B71" w14:textId="77777777" w:rsidR="006E0ED6" w:rsidRPr="005B3D57" w:rsidRDefault="006E0ED6" w:rsidP="002B39D4">
      <w:pPr>
        <w:pStyle w:val="ListNumber"/>
        <w:spacing w:line="240" w:lineRule="auto"/>
      </w:pPr>
      <w:r w:rsidRPr="005B3D57">
        <w:t>inheritances sent abroad exceeding inheritances received from abroad</w:t>
      </w:r>
    </w:p>
    <w:p w14:paraId="21A797DD" w14:textId="22F0DC10" w:rsidR="006E0ED6" w:rsidRDefault="006E0ED6" w:rsidP="002B39D4">
      <w:pPr>
        <w:pStyle w:val="ListNumber"/>
        <w:spacing w:line="240" w:lineRule="auto"/>
      </w:pPr>
      <w:r w:rsidRPr="005B3D57">
        <w:t>inheritance</w:t>
      </w:r>
      <w:r>
        <w:t xml:space="preserve"> outflows being consumed by death</w:t>
      </w:r>
      <w:r w:rsidR="00E531C7">
        <w:noBreakHyphen/>
      </w:r>
      <w:r>
        <w:t>related expenses and taxes.</w:t>
      </w:r>
      <w:r w:rsidRPr="00A46011">
        <w:rPr>
          <w:rStyle w:val="FootnoteReference"/>
        </w:rPr>
        <w:footnoteReference w:id="14"/>
      </w:r>
    </w:p>
    <w:p w14:paraId="3579C5E6" w14:textId="65A2161F" w:rsidR="006E0ED6" w:rsidRPr="005178B3" w:rsidRDefault="006E0ED6" w:rsidP="006E0ED6">
      <w:pPr>
        <w:pStyle w:val="Heading4"/>
        <w:rPr>
          <w:spacing w:val="-6"/>
        </w:rPr>
      </w:pPr>
      <w:r w:rsidRPr="005178B3">
        <w:rPr>
          <w:spacing w:val="-6"/>
        </w:rPr>
        <w:lastRenderedPageBreak/>
        <w:t>Non</w:t>
      </w:r>
      <w:r w:rsidR="00E531C7">
        <w:rPr>
          <w:spacing w:val="-6"/>
        </w:rPr>
        <w:noBreakHyphen/>
      </w:r>
      <w:r w:rsidRPr="005178B3">
        <w:rPr>
          <w:spacing w:val="-6"/>
        </w:rPr>
        <w:t xml:space="preserve">reporting (and possibly underreporting) of inheritances in the inflow measures </w:t>
      </w:r>
    </w:p>
    <w:p w14:paraId="1BA9D41F" w14:textId="0E63699C" w:rsidR="006E0ED6" w:rsidRDefault="006E0ED6" w:rsidP="006E0ED6">
      <w:pPr>
        <w:pStyle w:val="BodyText"/>
      </w:pPr>
      <w:r>
        <w:t>Just 44 per cent of people in the HILDA survey reported receiving an inheritance when their second parent died. The true share is almost certainly much higher because about 80 per cent of single</w:t>
      </w:r>
      <w:r w:rsidR="00E531C7">
        <w:noBreakHyphen/>
      </w:r>
      <w:r>
        <w:t>person deaths involve an estate worth more than $20 000 — enough to cover death</w:t>
      </w:r>
      <w:r w:rsidR="00E531C7">
        <w:noBreakHyphen/>
      </w:r>
      <w:r>
        <w:t>related expenses such as a funeral — and, as discussed above, final estates are nearly always bequeathed to surviving children.</w:t>
      </w:r>
      <w:r w:rsidRPr="00A46011">
        <w:rPr>
          <w:rStyle w:val="FootnoteReference"/>
        </w:rPr>
        <w:footnoteReference w:id="15"/>
      </w:r>
    </w:p>
    <w:p w14:paraId="5D3B7709" w14:textId="36FA496B" w:rsidR="006E0ED6" w:rsidRDefault="006E0ED6" w:rsidP="006E0ED6">
      <w:pPr>
        <w:pStyle w:val="BodyText"/>
      </w:pPr>
      <w:r>
        <w:t xml:space="preserve">Whether the value of inheritances is also underreported in HILDA is unclear. There is some evidence that inheritances are underreported in household surveys in other countries </w:t>
      </w:r>
      <w:r w:rsidRPr="002A69B1">
        <w:fldChar w:fldCharType="begin"/>
      </w:r>
      <w:r w:rsidR="0047772E">
        <w:instrText xml:space="preserve"> ADDIN ZOTERO_ITEM CSL_CITATION {"citationID":"OgAmeqS4","properties":{"formattedCitation":"(Wolff and Gittleman\\uc0\\u160{}2014)","plainCitation":"(Wolff and Gittleman 2014)","noteIndex":0},"citationItems":[{"id":1886,"uris":["http://zotero.org/groups/2714158/items/CF8E6ZMD"],"uri":["http://zotero.org/groups/2714158/items/CF8E6ZMD"],"itemData":{"id":1886,"type":"article-journal","abstract":"We found that on average over the period from 1989 to 2007, 21 percent of American households at a given point of time received a wealth transfer and these accounted for 23 percent of their net worth. Over the lifetime, about 30 percent of households could expect to receive a wealth transfer and these would account for close to 40 percent of their net worth near time of death. However, there is little evidence of an inheritance “boom.” In fact, from 1989 to 2007, the share of households reporting a wealth transfer fell by 2.5 percentage points. The average value of inheritances received among all households did increase but at a slow pace, by 10 percent, and wealth transfers as a proportion of current net worth fell sharply over this period from 29 to 19 percent or by 10 percentage points. We also found, somewhat surprisingly, that inheritances and other wealth transfers tend to be equalizing in terms of the distribution of household wealth. Indeed, the addition of wealth transfers to other sources of household wealth has had a sizeable effect on reducing the inequality of wealth.","container-title":"The Journal of Economic Inequality","DOI":"10.1007/s10888-013-9261-8","ISSN":"1569-1721, 1573-8701","issue":"4","journalAbbreviation":"J Econ Inequal","language":"en","page":"439-468","source":"DOI.org (Crossref)","title":"Inheritances and the distribution of wealth or whatever happened to the great inheritance boom?","volume":"12","author":[{"family":"Wolff","given":"Edward N."},{"family":"Gittleman","given":"Maury"}],"issued":{"date-parts":[["2014",12]]}}}],"schema":"https://github.com/citation-style-language/schema/raw/master/csl-citation.json"} </w:instrText>
      </w:r>
      <w:r w:rsidRPr="002A69B1">
        <w:fldChar w:fldCharType="separate"/>
      </w:r>
      <w:r w:rsidRPr="002A69B1">
        <w:t>(Wolff and Gittleman 2014)</w:t>
      </w:r>
      <w:r w:rsidRPr="002A69B1">
        <w:fldChar w:fldCharType="end"/>
      </w:r>
      <w:r>
        <w:t>. A potential avenue for underreporting is</w:t>
      </w:r>
      <w:r w:rsidDel="00330497">
        <w:t xml:space="preserve"> </w:t>
      </w:r>
      <w:r>
        <w:t>by respondents forgetting to report or accidentally excluding non</w:t>
      </w:r>
      <w:r w:rsidR="00D07232">
        <w:noBreakHyphen/>
      </w:r>
      <w:r>
        <w:t>monetary inheritances, in particular, housing — although evidence for this is weak (box 1.</w:t>
      </w:r>
      <w:r w:rsidRPr="009B0421">
        <w:t>6</w:t>
      </w:r>
      <w:r>
        <w:t>).</w:t>
      </w:r>
    </w:p>
    <w:p w14:paraId="4D5282F0"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5A32AA76" w14:textId="77777777" w:rsidTr="001625EC">
        <w:trPr>
          <w:tblHeader/>
        </w:trPr>
        <w:tc>
          <w:tcPr>
            <w:tcW w:w="9638" w:type="dxa"/>
            <w:tcMar>
              <w:top w:w="170" w:type="dxa"/>
              <w:left w:w="170" w:type="dxa"/>
              <w:bottom w:w="113" w:type="dxa"/>
              <w:right w:w="170" w:type="dxa"/>
            </w:tcMar>
            <w:hideMark/>
          </w:tcPr>
          <w:p w14:paraId="717615E3" w14:textId="3304424C"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6</w:t>
            </w:r>
            <w:r w:rsidR="00B2270C">
              <w:rPr>
                <w:noProof/>
              </w:rPr>
              <w:fldChar w:fldCharType="end"/>
            </w:r>
            <w:r>
              <w:t xml:space="preserve"> – The majority of inherited housing is reported</w:t>
            </w:r>
          </w:p>
        </w:tc>
      </w:tr>
      <w:tr w:rsidR="006E0ED6" w14:paraId="0F1A3803" w14:textId="77777777" w:rsidTr="001625EC">
        <w:tc>
          <w:tcPr>
            <w:tcW w:w="9638" w:type="dxa"/>
            <w:tcMar>
              <w:top w:w="28" w:type="dxa"/>
              <w:left w:w="170" w:type="dxa"/>
              <w:bottom w:w="170" w:type="dxa"/>
              <w:right w:w="170" w:type="dxa"/>
            </w:tcMar>
            <w:hideMark/>
          </w:tcPr>
          <w:p w14:paraId="64C25A97" w14:textId="116BFF2E" w:rsidR="006E0ED6" w:rsidRDefault="006E0ED6" w:rsidP="001625EC">
            <w:pPr>
              <w:pStyle w:val="BodyText"/>
            </w:pPr>
            <w:r w:rsidRPr="00A06D4F">
              <w:t>Most inherited housing is reported by inheritance recipients in HILDA. When housing wealth was excluded from the outflow estimates, the outflow estimates were much lower than the reported inflow. Specifically, even if all non</w:t>
            </w:r>
            <w:r w:rsidR="00D07232">
              <w:noBreakHyphen/>
            </w:r>
            <w:r w:rsidRPr="00A06D4F">
              <w:t>property inheritance outflows were accurately reported by recipients and the only source of misreporting pertained to inherited property, on average 55 per cent of inherited property was reported. This test does not distinguish between people who received property and people who received the monetary proceeds from the sale of that property. Children with no siblings seem more likely to have received property. People with siblings seem more likely to have received a monetary share of the proceeds from sale. Excluding children without siblings from the analysis did not narrow the systematic gap between outflows and inflows.</w:t>
            </w:r>
          </w:p>
        </w:tc>
      </w:tr>
      <w:tr w:rsidR="006E0ED6" w14:paraId="62B7841F" w14:textId="77777777" w:rsidTr="001625EC">
        <w:tc>
          <w:tcPr>
            <w:tcW w:w="9638" w:type="dxa"/>
            <w:shd w:val="clear" w:color="auto" w:fill="auto"/>
            <w:tcMar>
              <w:top w:w="0" w:type="dxa"/>
              <w:left w:w="170" w:type="dxa"/>
              <w:bottom w:w="0" w:type="dxa"/>
              <w:right w:w="170" w:type="dxa"/>
            </w:tcMar>
          </w:tcPr>
          <w:p w14:paraId="7BE386CE" w14:textId="77777777" w:rsidR="006E0ED6" w:rsidRDefault="006E0ED6" w:rsidP="001625EC">
            <w:pPr>
              <w:pStyle w:val="BodyText"/>
              <w:spacing w:before="0" w:after="0" w:line="80" w:lineRule="atLeast"/>
            </w:pPr>
          </w:p>
        </w:tc>
      </w:tr>
    </w:tbl>
    <w:p w14:paraId="355479B2" w14:textId="77777777" w:rsidR="006E0ED6" w:rsidRDefault="006E0ED6" w:rsidP="006E0ED6">
      <w:pPr>
        <w:pStyle w:val="Heading4"/>
      </w:pPr>
      <w:r>
        <w:t>The effect of migration on inheritances given and received</w:t>
      </w:r>
    </w:p>
    <w:p w14:paraId="04CD72BE" w14:textId="3F01F2FE" w:rsidR="006E0ED6" w:rsidRDefault="006E0ED6" w:rsidP="006E0ED6">
      <w:pPr>
        <w:pStyle w:val="BodyText"/>
      </w:pPr>
      <w:r>
        <w:t xml:space="preserve">The World Bank </w:t>
      </w:r>
      <w:r>
        <w:fldChar w:fldCharType="begin"/>
      </w:r>
      <w:r w:rsidR="0047772E">
        <w:instrText xml:space="preserve"> ADDIN ZOTERO_ITEM CSL_CITATION {"citationID":"VOEHqAVI","properties":{"formattedCitation":"(2020)","plainCitation":"(2020)","noteIndex":0},"citationItems":[{"id":3027,"uris":["http://zotero.org/groups/2714158/items/7JH7UWNT"],"uri":["http://zotero.org/groups/2714158/items/7JH7UWNT"],"itemData":{"id":3027,"type":"webpage","title":"Personal Remittances, Received (current US$) - Australia | Data","URL":"https://data.worldbank.org/indicator/BX.TRF.PWKR.CD.DT?locations=AU","author":[{"literal":"World Bank"}],"accessed":{"date-parts":[["2021",7,16]]},"issued":{"date-parts":[["2020"]]}},"suppress-author":true}],"schema":"https://github.com/citation-style-language/schema/raw/master/csl-citation.json"} </w:instrText>
      </w:r>
      <w:r>
        <w:fldChar w:fldCharType="separate"/>
      </w:r>
      <w:r w:rsidRPr="00FF7744">
        <w:t>(2020)</w:t>
      </w:r>
      <w:r>
        <w:fldChar w:fldCharType="end"/>
      </w:r>
      <w:r>
        <w:t xml:space="preserve"> estimated that Australians paid out almost four times as much as they received in remittances (money sent, or received from, overseas) in 2020. To test the hypothesis that cross</w:t>
      </w:r>
      <w:r w:rsidR="00D07232">
        <w:noBreakHyphen/>
      </w:r>
      <w:r>
        <w:t>border inheritance flows explain the gap between inflows and outflows, the HILDA sample was restricted to include only people whose immediate family lived in Australia. This adjustment slightly widened the gap between self</w:t>
      </w:r>
      <w:r w:rsidR="00D07232">
        <w:noBreakHyphen/>
      </w:r>
      <w:r>
        <w:t>reported inheritance inflows and the inheritance outflow estimate based on expected deaths, indicating that cross</w:t>
      </w:r>
      <w:r w:rsidR="00D07232">
        <w:noBreakHyphen/>
      </w:r>
      <w:r>
        <w:t>border inheritance flows did not explain the gap between inflows and outflows (figure 1.8).</w:t>
      </w:r>
    </w:p>
    <w:p w14:paraId="58B784AA" w14:textId="62C82E0E"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8</w:t>
      </w:r>
      <w:r w:rsidR="00B2270C">
        <w:rPr>
          <w:noProof/>
        </w:rPr>
        <w:fldChar w:fldCharType="end"/>
      </w:r>
      <w:r>
        <w:rPr>
          <w:noProof/>
        </w:rPr>
        <w:t xml:space="preserve"> </w:t>
      </w:r>
      <w:r>
        <w:t>– Migration does not explain the difference between estimated inheritance inflows and outflows</w:t>
      </w:r>
      <w:r w:rsidRPr="00066CF5">
        <w:rPr>
          <w:vertAlign w:val="superscript"/>
        </w:rPr>
        <w:t>a</w:t>
      </w:r>
    </w:p>
    <w:p w14:paraId="13695CF4" w14:textId="4C474F13" w:rsidR="006E0ED6" w:rsidRPr="005550A0" w:rsidRDefault="00402EDB" w:rsidP="006E0ED6">
      <w:pPr>
        <w:pStyle w:val="BodyText"/>
      </w:pPr>
      <w:r w:rsidRPr="00402EDB">
        <w:rPr>
          <w:noProof/>
        </w:rPr>
        <w:drawing>
          <wp:inline distT="0" distB="0" distL="0" distR="0" wp14:anchorId="3DBF0093" wp14:editId="4C9B84F9">
            <wp:extent cx="6120130" cy="2875280"/>
            <wp:effectExtent l="0" t="0" r="0" b="0"/>
            <wp:docPr id="163" name="Picture 163" descr="Figure 1.8. This chart shows unadjusted inflow and outflow estimates of inheritances, and inflow and outflow estimates that have been adjusted by restricting the HILDA sample to only include people whose immediate family lived in Australia. The adjusted estimates are slightly lower than unadjusted estimate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Figure 1.8. This chart shows unadjusted inflow and outflow estimates of inheritances, and inflow and outflow estimates that have been adjusted by restricting the HILDA sample to only include people whose immediate family lived in Australia. The adjusted estimates are slightly lower than unadjusted estimates. More details are contained in the text surrounding this figu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4C1FC565" w14:textId="77777777" w:rsidR="006E0ED6" w:rsidRPr="000417D1" w:rsidRDefault="006E0ED6" w:rsidP="006E0ED6">
      <w:pPr>
        <w:pStyle w:val="Note"/>
        <w:keepLines/>
        <w:rPr>
          <w:spacing w:val="-6"/>
        </w:rPr>
      </w:pPr>
      <w:r w:rsidRPr="00180E66">
        <w:rPr>
          <w:b/>
          <w:bCs/>
        </w:rPr>
        <w:t>a.</w:t>
      </w:r>
      <w:r>
        <w:t xml:space="preserve"> </w:t>
      </w:r>
      <w:r w:rsidRPr="000417D1">
        <w:rPr>
          <w:spacing w:val="-6"/>
        </w:rPr>
        <w:t>Calendar year averages have been calculated for the inflow estimates to make them more comparable to the outflow estimates.</w:t>
      </w:r>
    </w:p>
    <w:p w14:paraId="79E49BD7" w14:textId="60B24978" w:rsidR="006E0ED6" w:rsidRPr="00303941" w:rsidRDefault="006E0ED6" w:rsidP="006E0ED6">
      <w:pPr>
        <w:pStyle w:val="Source"/>
        <w:rPr>
          <w:spacing w:val="-6"/>
        </w:rPr>
      </w:pPr>
      <w:r w:rsidRPr="00303941">
        <w:rPr>
          <w:spacing w:val="-6"/>
        </w:rPr>
        <w:t xml:space="preserve">Source: </w:t>
      </w:r>
      <w:r w:rsidRPr="00303941">
        <w:rPr>
          <w:iCs/>
          <w:spacing w:val="-6"/>
        </w:rPr>
        <w:t>Productivity Commission estimates using: ABS (</w:t>
      </w:r>
      <w:r w:rsidRPr="00303941">
        <w:rPr>
          <w:i/>
          <w:spacing w:val="-6"/>
        </w:rPr>
        <w:t>Deaths, Australia, 2019,</w:t>
      </w:r>
      <w:r w:rsidRPr="00303941">
        <w:rPr>
          <w:iCs/>
          <w:spacing w:val="-6"/>
        </w:rPr>
        <w:t xml:space="preserve"> Cat. no. 3302.0); </w:t>
      </w:r>
      <w:r w:rsidRPr="00303941">
        <w:rPr>
          <w:iCs/>
          <w:spacing w:val="-6"/>
        </w:rPr>
        <w:fldChar w:fldCharType="begin"/>
      </w:r>
      <w:r w:rsidR="0047772E">
        <w:rPr>
          <w:iCs/>
          <w:spacing w:val="-6"/>
        </w:rPr>
        <w:instrText xml:space="preserve"> ADDIN ZOTERO_ITEM CSL_CITATION {"citationID":"IPZMfgIx","properties":{"formattedCitation":"(2020b, 2021)","plainCitation":"(2020b, 2021)","noteIndex":0},"citationItems":[{"id":3225,"uris":["http://zotero.org/groups/2714158/items/D655C25C"],"uri":["http://zotero.org/groups/2714158/items/D655C25C"],"itemData":{"id":3225,"type":"report","page":"116","title":"The Protection of Residential Aged Care Accommodation Lump Sump Accommodation Payments","author":[{"literal":"Aged Care Financing Authority"}],"translator":[{"literal":"ACFA"}],"accessed":{"date-parts":[["2021",11,1]]},"issued":{"date-parts":[["2020"]]}},"suppress-author":true},{"id":1784,"uris":["http://zotero.org/groups/2714158/items/IYYVPNUV"],"uri":["http://zotero.org/groups/2714158/items/IYYVPNUV"],"itemData":{"id":1784,"type":"report","title":"Review of the Current and Future Role of Refundable Accommodation Deposits in Aged Care","author":[{"literal":"Aged Care Financing Authority"}],"translator":[{"literal":"ACFA"}],"accessed":{"date-parts":[["2021",3,25]]},"issued":{"date-parts":[["2021",3,24]]}},"suppress-author":true}],"schema":"https://github.com/citation-style-language/schema/raw/master/csl-citation.json"} </w:instrText>
      </w:r>
      <w:r w:rsidRPr="00303941">
        <w:rPr>
          <w:iCs/>
          <w:spacing w:val="-6"/>
        </w:rPr>
        <w:fldChar w:fldCharType="separate"/>
      </w:r>
      <w:r w:rsidR="007A60F8" w:rsidRPr="007A60F8">
        <w:rPr>
          <w:rFonts w:ascii="Arial" w:hAnsi="Arial" w:cs="Arial"/>
        </w:rPr>
        <w:t>(2020b, 2021)</w:t>
      </w:r>
      <w:r w:rsidRPr="00303941">
        <w:rPr>
          <w:spacing w:val="-6"/>
        </w:rPr>
        <w:fldChar w:fldCharType="end"/>
      </w:r>
      <w:r w:rsidRPr="00303941">
        <w:rPr>
          <w:iCs/>
          <w:spacing w:val="-6"/>
        </w:rPr>
        <w:t xml:space="preserve">; AIHW </w:t>
      </w:r>
      <w:r w:rsidRPr="00303941">
        <w:rPr>
          <w:iCs/>
          <w:spacing w:val="-6"/>
        </w:rPr>
        <w:fldChar w:fldCharType="begin"/>
      </w:r>
      <w:r w:rsidR="0047772E">
        <w:rPr>
          <w:iCs/>
          <w:spacing w:val="-6"/>
        </w:rPr>
        <w:instrText xml:space="preserve"> ADDIN ZOTERO_ITEM CSL_CITATION {"citationID":"HlvjNZjE","properties":{"formattedCitation":"(2021b)","plainCitation":"(2021b)","noteIndex":0},"citationItems":[{"id":1757,"uris":["http://zotero.org/groups/2714158/items/HWGSNZRW"],"uri":["http://zotero.org/groups/2714158/items/HWGSNZRW"],"itemData":{"id":1757,"type":"webpage","abstract":"Just as people enter aged care services, they also leave. In this section, learn about how, why and when people leave aged care services.","container-title":"GEN Aged Care Data","language":"en","title":"People Leaving Aged Care","URL":"https://www.gen-agedcaredata.gov.au/Topics/People-leaving-aged-care","author":[{"family":"Australian Institute of Health and Welfare","given":""}],"translator":[{"literal":"AIHW"}],"accessed":{"date-parts":[["2021",4,1]]},"issued":{"date-parts":[["2021"]]}},"suppress-author":true}],"schema":"https://github.com/citation-style-language/schema/raw/master/csl-citation.json"} </w:instrText>
      </w:r>
      <w:r w:rsidRPr="00303941">
        <w:rPr>
          <w:iCs/>
          <w:spacing w:val="-6"/>
        </w:rPr>
        <w:fldChar w:fldCharType="separate"/>
      </w:r>
      <w:r w:rsidR="00816542" w:rsidRPr="00303941">
        <w:rPr>
          <w:rFonts w:cs="Arial"/>
          <w:spacing w:val="-6"/>
        </w:rPr>
        <w:t>(2021b)</w:t>
      </w:r>
      <w:r w:rsidRPr="00303941">
        <w:rPr>
          <w:spacing w:val="-6"/>
        </w:rPr>
        <w:fldChar w:fldCharType="end"/>
      </w:r>
      <w:r w:rsidRPr="00303941">
        <w:rPr>
          <w:iCs/>
          <w:spacing w:val="-6"/>
        </w:rPr>
        <w:t xml:space="preserve">; </w:t>
      </w:r>
      <w:r w:rsidRPr="00303941">
        <w:rPr>
          <w:spacing w:val="-6"/>
        </w:rPr>
        <w:t xml:space="preserve">Baker </w:t>
      </w:r>
      <w:r w:rsidRPr="00303941">
        <w:rPr>
          <w:spacing w:val="-6"/>
        </w:rPr>
        <w:fldChar w:fldCharType="begin"/>
      </w:r>
      <w:r w:rsidR="0047772E">
        <w:rPr>
          <w:spacing w:val="-6"/>
        </w:rPr>
        <w:instrText xml:space="preserve"> ADDIN ZOTERO_ITEM CSL_CITATION {"citationID":"fuOtNnFT","properties":{"formattedCitation":"(2014)","plainCitation":"(2014)","noteIndex":0},"citationItems":[{"id":1588,"uris":["http://zotero.org/groups/2714158/items/4BCZGUEK"],"uri":["http://zotero.org/groups/2714158/items/4BCZGUEK"],"itemData":{"id":1588,"type":"report","event-place":"Melbourne","publisher":"Asia-Pacific Centre for Social Investment and Philanthropy, Swinburne University of Technology","publisher-place":"Melbourne","title":"Encouraging Charitable Bequests by Australians","URL":"https://www.swinburne.edu.au/media/swinburneeduau/research/research-centres/csis/documents/Encouraging-Charitable-Gifts-by-Australians-Baker.pdf","author":[{"family":"Baker","given":"C."}],"accessed":{"date-parts":[["2021",1,19]]},"issued":{"date-parts":[["2014",2]]}},"suppress-author":true}],"schema":"https://github.com/citation-style-language/schema/raw/master/csl-citation.json"} </w:instrText>
      </w:r>
      <w:r w:rsidRPr="00303941">
        <w:rPr>
          <w:spacing w:val="-6"/>
        </w:rPr>
        <w:fldChar w:fldCharType="separate"/>
      </w:r>
      <w:r w:rsidRPr="00303941">
        <w:rPr>
          <w:spacing w:val="-6"/>
        </w:rPr>
        <w:t>(2014)</w:t>
      </w:r>
      <w:r w:rsidRPr="00303941">
        <w:rPr>
          <w:spacing w:val="-6"/>
        </w:rPr>
        <w:fldChar w:fldCharType="end"/>
      </w:r>
      <w:r w:rsidRPr="00303941">
        <w:rPr>
          <w:spacing w:val="-6"/>
        </w:rPr>
        <w:t>; Wood, Griffiths and</w:t>
      </w:r>
      <w:r w:rsidRPr="00303941" w:rsidDel="0054159E">
        <w:rPr>
          <w:spacing w:val="-6"/>
        </w:rPr>
        <w:t xml:space="preserve"> </w:t>
      </w:r>
      <w:r w:rsidRPr="00303941">
        <w:rPr>
          <w:spacing w:val="-6"/>
        </w:rPr>
        <w:t xml:space="preserve">Emslie </w:t>
      </w:r>
      <w:r w:rsidRPr="00303941">
        <w:rPr>
          <w:spacing w:val="-6"/>
        </w:rPr>
        <w:fldChar w:fldCharType="begin"/>
      </w:r>
      <w:r w:rsidR="0047772E">
        <w:rPr>
          <w:spacing w:val="-6"/>
        </w:rPr>
        <w:instrText xml:space="preserve"> ADDIN ZOTERO_ITEM CSL_CITATION {"citationID":"cDFtI0IK","properties":{"formattedCitation":"(2019)","plainCitation":"(2019)","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suppress-author":true}],"schema":"https://github.com/citation-style-language/schema/raw/master/csl-citation.json"} </w:instrText>
      </w:r>
      <w:r w:rsidRPr="00303941">
        <w:rPr>
          <w:spacing w:val="-6"/>
        </w:rPr>
        <w:fldChar w:fldCharType="separate"/>
      </w:r>
      <w:r w:rsidRPr="00303941">
        <w:rPr>
          <w:spacing w:val="-6"/>
        </w:rPr>
        <w:t>(2019)</w:t>
      </w:r>
      <w:r w:rsidRPr="00303941">
        <w:rPr>
          <w:spacing w:val="-6"/>
        </w:rPr>
        <w:fldChar w:fldCharType="end"/>
      </w:r>
      <w:r w:rsidRPr="00303941">
        <w:rPr>
          <w:spacing w:val="-6"/>
        </w:rPr>
        <w:t xml:space="preserve">; </w:t>
      </w:r>
      <w:r w:rsidRPr="00303941">
        <w:rPr>
          <w:iCs/>
          <w:spacing w:val="-6"/>
        </w:rPr>
        <w:t>HILDA Restricted Release</w:t>
      </w:r>
      <w:r w:rsidR="00D33EBB" w:rsidRPr="00303941">
        <w:rPr>
          <w:iCs/>
          <w:spacing w:val="-6"/>
        </w:rPr>
        <w:t> </w:t>
      </w:r>
      <w:r w:rsidRPr="00303941">
        <w:rPr>
          <w:iCs/>
          <w:spacing w:val="-6"/>
        </w:rPr>
        <w:t xml:space="preserve">19; ALife 2018 Release; </w:t>
      </w:r>
      <w:r w:rsidRPr="00303941">
        <w:rPr>
          <w:spacing w:val="-6"/>
        </w:rPr>
        <w:t xml:space="preserve">SCRGSP </w:t>
      </w:r>
      <w:r w:rsidRPr="00303941">
        <w:rPr>
          <w:spacing w:val="-6"/>
        </w:rPr>
        <w:fldChar w:fldCharType="begin"/>
      </w:r>
      <w:r w:rsidR="0047772E">
        <w:rPr>
          <w:spacing w:val="-6"/>
        </w:rPr>
        <w:instrText xml:space="preserve"> ADDIN ZOTERO_ITEM CSL_CITATION {"citationID":"nOoiQwQ4","properties":{"formattedCitation":"(2021b)","plainCitation":"(2021b)","noteIndex":0},"citationItems":[{"id":2028,"uris":["http://zotero.org/groups/164861/items/KGT4C4V4"],"uri":["http://zotero.org/groups/164861/items/KGT4C4V4"],"itemData":{"id":2028,"type":"report","event-place":"Canberra","publisher":"Productivity Commission","publisher-place":"Canberra","title":"Report on Government Services 2021","author":[{"family":"Steering Committee for the Review of Government Service Provisions","given":""}],"translator":[{"family":"SCRGSP","given":""}],"issued":{"date-parts":[["2021"]]}},"suppress-author":true}],"schema":"https://github.com/citation-style-language/schema/raw/master/csl-citation.json"} </w:instrText>
      </w:r>
      <w:r w:rsidRPr="00303941">
        <w:rPr>
          <w:spacing w:val="-6"/>
        </w:rPr>
        <w:fldChar w:fldCharType="separate"/>
      </w:r>
      <w:r w:rsidRPr="00303941">
        <w:rPr>
          <w:spacing w:val="-6"/>
        </w:rPr>
        <w:t>(2021b)</w:t>
      </w:r>
      <w:r w:rsidRPr="00303941">
        <w:rPr>
          <w:spacing w:val="-6"/>
        </w:rPr>
        <w:fldChar w:fldCharType="end"/>
      </w:r>
      <w:r w:rsidRPr="00303941">
        <w:rPr>
          <w:spacing w:val="-6"/>
        </w:rPr>
        <w:t>.</w:t>
      </w:r>
    </w:p>
    <w:p w14:paraId="523B7360" w14:textId="5EBAED7E" w:rsidR="006E0ED6" w:rsidRDefault="006E0ED6" w:rsidP="006E0ED6">
      <w:pPr>
        <w:pStyle w:val="Heading4"/>
      </w:pPr>
      <w:r>
        <w:t>Death</w:t>
      </w:r>
      <w:r w:rsidR="00D07232">
        <w:noBreakHyphen/>
      </w:r>
      <w:r>
        <w:t>related expenses and taxes</w:t>
      </w:r>
    </w:p>
    <w:p w14:paraId="4DC615D9" w14:textId="53D60DD2" w:rsidR="006E0ED6" w:rsidRPr="00412DA5" w:rsidRDefault="006E0ED6" w:rsidP="006E0ED6">
      <w:pPr>
        <w:pStyle w:val="BodyText"/>
        <w:rPr>
          <w:spacing w:val="-2"/>
        </w:rPr>
      </w:pPr>
      <w:r w:rsidRPr="00412DA5">
        <w:rPr>
          <w:spacing w:val="-2"/>
        </w:rPr>
        <w:t>Inheritance recipients tend to report the value of the inheritance they receive after death</w:t>
      </w:r>
      <w:r w:rsidR="00D07232">
        <w:rPr>
          <w:spacing w:val="-2"/>
        </w:rPr>
        <w:noBreakHyphen/>
      </w:r>
      <w:r w:rsidRPr="00412DA5">
        <w:rPr>
          <w:spacing w:val="-2"/>
        </w:rPr>
        <w:t>related expenses have been paid (appendix B). Nevertheless, death</w:t>
      </w:r>
      <w:r w:rsidR="00D07232">
        <w:rPr>
          <w:spacing w:val="-2"/>
        </w:rPr>
        <w:noBreakHyphen/>
      </w:r>
      <w:r w:rsidRPr="00412DA5">
        <w:rPr>
          <w:spacing w:val="-2"/>
        </w:rPr>
        <w:t>related expenses and taxes, which would lead to the value of self</w:t>
      </w:r>
      <w:r w:rsidR="00D07232">
        <w:rPr>
          <w:spacing w:val="-2"/>
        </w:rPr>
        <w:noBreakHyphen/>
      </w:r>
      <w:r w:rsidRPr="00412DA5">
        <w:rPr>
          <w:spacing w:val="-2"/>
        </w:rPr>
        <w:t>reported inheritances being smaller than inheritance outflows, likely explain only a small part of the gap.</w:t>
      </w:r>
    </w:p>
    <w:p w14:paraId="4340F5DB" w14:textId="4D8C4CEE" w:rsidR="006E0ED6" w:rsidRPr="00412DA5" w:rsidRDefault="006E0ED6" w:rsidP="006E0ED6">
      <w:pPr>
        <w:pStyle w:val="ListBullet"/>
      </w:pPr>
      <w:r>
        <w:t>F</w:t>
      </w:r>
      <w:r w:rsidRPr="004735FA">
        <w:t xml:space="preserve">uneral </w:t>
      </w:r>
      <w:r w:rsidRPr="00412DA5">
        <w:t xml:space="preserve">expenses are usually paid out of the estate if the deceased does not have funeral insurance (and most people do not </w:t>
      </w:r>
      <w:r w:rsidRPr="00412DA5">
        <w:fldChar w:fldCharType="begin"/>
      </w:r>
      <w:r w:rsidR="0047772E">
        <w:instrText xml:space="preserve"> ADDIN ZOTERO_ITEM CSL_CITATION {"citationID":"HvSbbyJT","properties":{"formattedCitation":"(Strategic Intelligence\\uc0\\u160{}2014)","plainCitation":"(Strategic Intelligence 2014)","noteIndex":0},"citationItems":[{"id":3209,"uris":["http://zotero.org/groups/2714158/items/G7SKPHW9"],"uri":["http://zotero.org/groups/2714158/items/G7SKPHW9"],"itemData":{"id":3209,"type":"report","abstract":"This report provides an analysis of the Funeral Insurance market in Australia as at 30 June 2013, based on the information collected from insurers by the Deposit takers, Credit and Insurers team.","page":"30","title":"Analysis of the Funeral Insurance Sector in Australia","author":[{"literal":"Strategic Intelligence"}],"accessed":{"date-parts":[["2021",9,23]]},"issued":{"date-parts":[["2014",4]]}}}],"schema":"https://github.com/citation-style-language/schema/raw/master/csl-citation.json"} </w:instrText>
      </w:r>
      <w:r w:rsidRPr="00412DA5">
        <w:fldChar w:fldCharType="separate"/>
      </w:r>
      <w:r w:rsidRPr="00412DA5">
        <w:t>(Strategic Intelligence 2014)</w:t>
      </w:r>
      <w:r w:rsidRPr="00412DA5">
        <w:fldChar w:fldCharType="end"/>
      </w:r>
      <w:r w:rsidRPr="00412DA5">
        <w:t xml:space="preserve">). Funeral costs range from about $4000 for a basic cremation, to $15 000 for a more elaborate burial </w:t>
      </w:r>
      <w:r w:rsidRPr="00412DA5">
        <w:fldChar w:fldCharType="begin"/>
      </w:r>
      <w:r w:rsidR="0047772E">
        <w:instrText xml:space="preserve"> ADDIN ZOTERO_ITEM CSL_CITATION {"citationID":"Vvj2Dph4","properties":{"formattedCitation":"(ASIC\\uc0\\u160{}2021)","plainCitation":"(ASIC 2021)","noteIndex":0},"citationItems":[{"id":2995,"uris":["http://zotero.org/groups/2714158/items/A8RTSKXG"],"uri":["http://zotero.org/groups/2714158/items/A8RTSKXG"],"itemData":{"id":2995,"type":"webpage","abstract":"Protect your family from your funeral costs with funeral plans, bonds or savings.","container-title":"Moneysmart","language":"en","title":"Paying for Your Funeral","URL":"https://moneysmart.gov.au/paying-for-your-funeral","author":[{"literal":"Australian Securities and Investments Commission"}],"translator":[{"literal":"ASIC"}],"accessed":{"date-parts":[["2021",7,30]]},"issued":{"date-parts":[["2021"]]}}}],"schema":"https://github.com/citation-style-language/schema/raw/master/csl-citation.json"} </w:instrText>
      </w:r>
      <w:r w:rsidRPr="00412DA5">
        <w:fldChar w:fldCharType="separate"/>
      </w:r>
      <w:r w:rsidRPr="00412DA5">
        <w:t>(ASIC 2021)</w:t>
      </w:r>
      <w:r w:rsidRPr="00412DA5">
        <w:fldChar w:fldCharType="end"/>
      </w:r>
      <w:r w:rsidRPr="00412DA5">
        <w:t>. Even if every death had a $15 000 funeral, the reduction in the expected outflow of inheritances would have been only $1.1 billion in 2018 — enough to explain about 12 per cent of the gap between inflows and outflows.</w:t>
      </w:r>
    </w:p>
    <w:p w14:paraId="2E24AC19" w14:textId="77777777" w:rsidR="006E0ED6" w:rsidRPr="00412DA5" w:rsidRDefault="006E0ED6" w:rsidP="006E0ED6">
      <w:pPr>
        <w:pStyle w:val="ListBullet"/>
      </w:pPr>
      <w:r w:rsidRPr="00412DA5">
        <w:t>Probate applications entail a fee that may be paid out of the estate. About $0.5 billion was spent on probate fees in 2018,</w:t>
      </w:r>
      <w:r w:rsidRPr="008E64DC">
        <w:rPr>
          <w:rStyle w:val="FootnoteReference"/>
        </w:rPr>
        <w:footnoteReference w:id="16"/>
      </w:r>
      <w:r w:rsidRPr="00412DA5">
        <w:t xml:space="preserve"> which would explain about five per cent of the gap.</w:t>
      </w:r>
    </w:p>
    <w:p w14:paraId="4FEB173E" w14:textId="77777777" w:rsidR="006E0ED6" w:rsidRPr="00412DA5" w:rsidRDefault="006E0ED6" w:rsidP="006E0ED6">
      <w:pPr>
        <w:pStyle w:val="ListBullet"/>
      </w:pPr>
      <w:r w:rsidRPr="00412DA5">
        <w:t>Whilst most inheritances are not taxed, inheritances from superannuation are taxed in some circumstances. Even if all superannuation assets transferred following death were taxed at the maximum rate (32 per cent),</w:t>
      </w:r>
      <w:r w:rsidRPr="008E64DC">
        <w:rPr>
          <w:rStyle w:val="FootnoteReference"/>
        </w:rPr>
        <w:footnoteReference w:id="17"/>
      </w:r>
      <w:r w:rsidRPr="00412DA5">
        <w:t xml:space="preserve"> the reduction in the expected outflow of inheritances based on HILDA would have been only $1.6 billion in 2018 — enough to explain about 18 per cent of the gap.</w:t>
      </w:r>
    </w:p>
    <w:p w14:paraId="08E78F67" w14:textId="4F883AB3" w:rsidR="006E0ED6" w:rsidRDefault="006E0ED6" w:rsidP="006E0ED6">
      <w:pPr>
        <w:pStyle w:val="BodyText"/>
      </w:pPr>
      <w:r>
        <w:t xml:space="preserve">In summary, the inflow estimates, which form the basis for the analysis in chapters 2 and 3, are likely significantly affected by nonreporting, especially by those who received smaller inheritances. As discussed in those chapters and </w:t>
      </w:r>
      <w:r w:rsidR="00031CF2">
        <w:t xml:space="preserve">each </w:t>
      </w:r>
      <w:r>
        <w:t xml:space="preserve">accompanying appendix, the most probable consequence is that inheritances reduce wealth inequality to a slightly greater degree than our estimates find. Outflow estimates are likely </w:t>
      </w:r>
      <w:r>
        <w:lastRenderedPageBreak/>
        <w:t>more accurate than inflow estimates, although the outflow estimates themselves potentially over</w:t>
      </w:r>
      <w:r w:rsidR="00D07232">
        <w:noBreakHyphen/>
      </w:r>
      <w:r>
        <w:t>estimate the true value of inheritances due to death</w:t>
      </w:r>
      <w:r w:rsidR="00D07232">
        <w:noBreakHyphen/>
      </w:r>
      <w:r>
        <w:t>related expenses and taxes.</w:t>
      </w:r>
    </w:p>
    <w:p w14:paraId="367508C8" w14:textId="77777777" w:rsidR="006E0ED6" w:rsidRDefault="006E0ED6" w:rsidP="00D208A3">
      <w:pPr>
        <w:pStyle w:val="Heading2"/>
        <w:ind w:left="0" w:firstLine="0"/>
      </w:pPr>
      <w:bookmarkStart w:id="11" w:name="_Toc87543954"/>
      <w:r>
        <w:t>Gifts</w:t>
      </w:r>
      <w:bookmarkEnd w:id="11"/>
    </w:p>
    <w:p w14:paraId="42DEBA7F" w14:textId="77777777" w:rsidR="006E0ED6" w:rsidRDefault="006E0ED6" w:rsidP="006E0ED6">
      <w:pPr>
        <w:pStyle w:val="BodyText"/>
        <w:tabs>
          <w:tab w:val="left" w:pos="1560"/>
        </w:tabs>
      </w:pPr>
      <w:r>
        <w:t xml:space="preserve">Unlike inheritances, which allow estimates of both inflows and outflows to be calculated, only the inflow value of gifts can be estimated using HILDA data on the value of reported gifts received. This information is gathered via the following annual question: ‘How much [money] did you receive in the last financial year?’ The question is split into gifts received ‘from your parents’ and ‘from others’. Unfortunately, who ‘others’ are is not further defined. </w:t>
      </w:r>
    </w:p>
    <w:p w14:paraId="75A56BCE" w14:textId="3746228F" w:rsidR="006E0ED6" w:rsidRDefault="006E0ED6" w:rsidP="006E0ED6">
      <w:pPr>
        <w:pStyle w:val="BodyText"/>
      </w:pPr>
      <w:r>
        <w:t>For completeness, the total value of gifts (figure 1.9, panel a) is reported in the first part of this section’s summary statistics, but the remainder of the analysis focuses on gifts received by children, from their parents</w:t>
      </w:r>
      <w:r w:rsidR="00D13CDA">
        <w:t> </w:t>
      </w:r>
      <w:r>
        <w:t>—</w:t>
      </w:r>
      <w:r w:rsidR="00D13CDA">
        <w:t> </w:t>
      </w:r>
      <w:r>
        <w:t xml:space="preserve">intergenerational gifts. </w:t>
      </w:r>
    </w:p>
    <w:p w14:paraId="6625BD96" w14:textId="77777777" w:rsidR="006E0ED6" w:rsidRPr="00F06A61" w:rsidRDefault="006E0ED6" w:rsidP="006E0ED6">
      <w:pPr>
        <w:pStyle w:val="BodyText"/>
        <w:rPr>
          <w:spacing w:val="-2"/>
        </w:rPr>
      </w:pPr>
      <w:r w:rsidRPr="00F06A61">
        <w:rPr>
          <w:spacing w:val="-2"/>
        </w:rPr>
        <w:t>The rest of the section analyses the accuracy of the HILDA gift data, which is used to inform chapters 2 and 3, using other survey datasets that contain information about gifts.</w:t>
      </w:r>
    </w:p>
    <w:p w14:paraId="50E71828" w14:textId="18A892CE" w:rsidR="006E0ED6" w:rsidRDefault="006E0ED6" w:rsidP="006E0ED6">
      <w:pPr>
        <w:pStyle w:val="BodyText"/>
      </w:pPr>
      <w:r>
        <w:t>Note that this study does not explicitly seek to measure temporary and contingent wealth transfers, such as loans from parents to children, because they do not meet the definition of a wealth transfer in this report as outlined in section 1.1.</w:t>
      </w:r>
      <w:r w:rsidRPr="00A46011">
        <w:rPr>
          <w:rStyle w:val="FootnoteReference"/>
        </w:rPr>
        <w:footnoteReference w:id="18"/>
      </w:r>
      <w:r>
        <w:t xml:space="preserve"> This is not to say that such contingent transfers, whilst hard to measure, are not important in, for example, assisting young people to enter the housing market (box</w:t>
      </w:r>
      <w:r w:rsidR="003B6072">
        <w:t> </w:t>
      </w:r>
      <w:r>
        <w:t>1.7). But our analysis suggests that in the case that the contingency is realised, such as in the case of a mortgage foreclosure, because these events are comparatively rare, they probably represent a very small wealth transfer (as defined in this report) at about $13 million per year.</w:t>
      </w:r>
    </w:p>
    <w:p w14:paraId="4C968940"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4661BEDA" w14:textId="77777777" w:rsidTr="001625EC">
        <w:trPr>
          <w:tblHeader/>
        </w:trPr>
        <w:tc>
          <w:tcPr>
            <w:tcW w:w="9638" w:type="dxa"/>
            <w:tcMar>
              <w:top w:w="170" w:type="dxa"/>
              <w:left w:w="170" w:type="dxa"/>
              <w:bottom w:w="113" w:type="dxa"/>
              <w:right w:w="170" w:type="dxa"/>
            </w:tcMar>
            <w:hideMark/>
          </w:tcPr>
          <w:p w14:paraId="461C4A78" w14:textId="017C325E"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7</w:t>
            </w:r>
            <w:r w:rsidR="00B2270C">
              <w:rPr>
                <w:noProof/>
              </w:rPr>
              <w:fldChar w:fldCharType="end"/>
            </w:r>
            <w:r>
              <w:t xml:space="preserve"> – </w:t>
            </w:r>
            <w:r w:rsidRPr="00133D7C">
              <w:t>Assistance for purchasing a home</w:t>
            </w:r>
          </w:p>
        </w:tc>
      </w:tr>
      <w:tr w:rsidR="006E0ED6" w14:paraId="4A197160" w14:textId="77777777" w:rsidTr="001625EC">
        <w:tc>
          <w:tcPr>
            <w:tcW w:w="9638" w:type="dxa"/>
            <w:tcMar>
              <w:top w:w="28" w:type="dxa"/>
              <w:left w:w="170" w:type="dxa"/>
              <w:bottom w:w="170" w:type="dxa"/>
              <w:right w:w="170" w:type="dxa"/>
            </w:tcMar>
            <w:hideMark/>
          </w:tcPr>
          <w:p w14:paraId="2EE38232" w14:textId="6CF96730" w:rsidR="006E0ED6" w:rsidRPr="00B43CFF" w:rsidRDefault="006E0ED6" w:rsidP="001625EC">
            <w:pPr>
              <w:pStyle w:val="BodyText"/>
            </w:pPr>
            <w:r w:rsidRPr="00B43CFF">
              <w:t xml:space="preserve">In the context of strong housing price growth there has been persistent media interest in assistance provided by parents to enable their children to enter the housing market. Recent academic studies by Barrett et al. </w:t>
            </w:r>
            <w:r w:rsidRPr="00B43CFF">
              <w:fldChar w:fldCharType="begin"/>
            </w:r>
            <w:r w:rsidR="0047772E">
              <w:instrText xml:space="preserve"> ADDIN ZOTERO_ITEM CSL_CITATION {"citationID":"eTfkhEii","properties":{"formattedCitation":"(2015)","plainCitation":"(2015)","noteIndex":0},"citationItems":[{"id":1554,"uris":["http://zotero.org/groups/2714158/items/X22L5949"],"uri":["http://zotero.org/groups/2714158/items/X22L5949"],"itemData":{"id":1554,"type":"report","number":"Final Report No. 250","publisher":"Australian Housing and Urban Research Institute","title":"The Relationship Between Intergenerational Transfers, Housing and Economic Outcomes","author":[{"family":"Barrett","given":"Garry"},{"family":"Cigdem","given":"Melek"},{"family":"Whelan","given":"Stephen"},{"family":"Wood","given":"Gavin"}],"issued":{"date-parts":[["2015",10]]}},"suppress-author":true}],"schema":"https://github.com/citation-style-language/schema/raw/master/csl-citation.json"} </w:instrText>
            </w:r>
            <w:r w:rsidRPr="00B43CFF">
              <w:fldChar w:fldCharType="separate"/>
            </w:r>
            <w:r w:rsidRPr="00B43CFF">
              <w:t>(2015)</w:t>
            </w:r>
            <w:r w:rsidRPr="00B43CFF">
              <w:fldChar w:fldCharType="end"/>
            </w:r>
            <w:r w:rsidRPr="00B43CFF">
              <w:t xml:space="preserve"> and Cigdem and Whelan </w:t>
            </w:r>
            <w:r w:rsidRPr="00B43CFF">
              <w:fldChar w:fldCharType="begin"/>
            </w:r>
            <w:r w:rsidR="0047772E">
              <w:instrText xml:space="preserve"> ADDIN ZOTERO_ITEM CSL_CITATION {"citationID":"NYBKAZIl","properties":{"formattedCitation":"(2017)","plainCitation":"(2017)","noteIndex":0},"citationItems":[{"id":1561,"uris":["http://zotero.org/groups/2714158/items/YFRPTTTW"],"uri":["http://zotero.org/groups/2714158/items/YFRPTTTW"],"itemData":{"id":1561,"type":"article-journal","container-title":"International Journal of Housing Policy","issue":"2","page":"227–248","source":"Google Scholar","title":"Intergenerational transfers and housing tenure–Australian evidence","volume":"17","author":[{"family":"Cigdem","given":"Melek"},{"family":"Whelan","given":"Stephen"}],"issued":{"date-parts":[["2017"]]}},"suppress-author":true}],"schema":"https://github.com/citation-style-language/schema/raw/master/csl-citation.json"} </w:instrText>
            </w:r>
            <w:r w:rsidRPr="00B43CFF">
              <w:fldChar w:fldCharType="separate"/>
            </w:r>
            <w:r w:rsidRPr="00B43CFF">
              <w:t>(2017)</w:t>
            </w:r>
            <w:r w:rsidRPr="00B43CFF">
              <w:fldChar w:fldCharType="end"/>
            </w:r>
            <w:r w:rsidRPr="00B43CFF">
              <w:t xml:space="preserve"> found that receiving an intergenerational wealth transfer was correlated with subsequently higher rates of home ownership.</w:t>
            </w:r>
          </w:p>
          <w:p w14:paraId="69067933" w14:textId="5111518E" w:rsidR="006E0ED6" w:rsidRPr="00412DA5" w:rsidRDefault="006E0ED6" w:rsidP="001625EC">
            <w:pPr>
              <w:pStyle w:val="BodyText"/>
              <w:rPr>
                <w:spacing w:val="-2"/>
              </w:rPr>
            </w:pPr>
            <w:r w:rsidRPr="00412DA5">
              <w:rPr>
                <w:spacing w:val="-2"/>
              </w:rPr>
              <w:t>Assistance by parents goes beyond actual wealth transfers. For example, what has been dubbed the ‘Bank of Mum and Dad’ (BOMD) describes various ways, in addition to actual wealth transfers, that parents can help their children to enter the housing market in the form of loans and in</w:t>
            </w:r>
            <w:r w:rsidR="00D07232">
              <w:rPr>
                <w:spacing w:val="-2"/>
              </w:rPr>
              <w:noBreakHyphen/>
            </w:r>
            <w:r w:rsidRPr="00412DA5">
              <w:rPr>
                <w:spacing w:val="-2"/>
              </w:rPr>
              <w:t>kind gifts: by acting as a formal guarantor on a mortgage application to avoid lenders mortgage insurance, lending money, or providing rent</w:t>
            </w:r>
            <w:r w:rsidR="00D07232">
              <w:rPr>
                <w:spacing w:val="-2"/>
              </w:rPr>
              <w:noBreakHyphen/>
            </w:r>
            <w:r w:rsidRPr="00412DA5">
              <w:rPr>
                <w:spacing w:val="-2"/>
              </w:rPr>
              <w:t>free housing in the family home to indirectly enhance savings. There is no comprehensive data on the characteristics of BOMD, which makes it difficult to assess their size and prevalence, let alone identify genuine wealth transfers as opposed to loans and other in</w:t>
            </w:r>
            <w:r w:rsidR="00D07232">
              <w:rPr>
                <w:spacing w:val="-2"/>
              </w:rPr>
              <w:noBreakHyphen/>
            </w:r>
            <w:r w:rsidRPr="00412DA5">
              <w:rPr>
                <w:spacing w:val="-2"/>
              </w:rPr>
              <w:t>kind assistance. For example, while HILDA identifies gift recipients, the use to which it is put (and the motivation of the giver) is unknown.</w:t>
            </w:r>
          </w:p>
          <w:p w14:paraId="38648CD8" w14:textId="77777777" w:rsidR="006E0ED6" w:rsidRPr="00B43CFF" w:rsidRDefault="006E0ED6" w:rsidP="001625EC">
            <w:pPr>
              <w:pStyle w:val="BodyText"/>
            </w:pPr>
            <w:r w:rsidRPr="00B43CFF">
              <w:lastRenderedPageBreak/>
              <w:t>Two sources of information on BOMD are private sector surveys (for example, Mozo, a financial advice aggregator, and Digital Finance Analytics (DFA), a consulting firm) and mortgage providers.</w:t>
            </w:r>
          </w:p>
          <w:p w14:paraId="047C02DA" w14:textId="4BD9E2EC" w:rsidR="006E0ED6" w:rsidRPr="00B43CFF" w:rsidRDefault="006E0ED6" w:rsidP="001625EC">
            <w:pPr>
              <w:pStyle w:val="BodyText"/>
            </w:pPr>
            <w:r w:rsidRPr="00B43CFF">
              <w:t xml:space="preserve">Based on relatively small samples, estimates of total lending by BOMD vary between $35 and $92 billion </w:t>
            </w:r>
            <w:r w:rsidRPr="00B43CFF">
              <w:fldChar w:fldCharType="begin"/>
            </w:r>
            <w:r w:rsidR="0047772E">
              <w:instrText xml:space="preserve"> ADDIN ZOTERO_ITEM CSL_CITATION {"citationID":"hYGJ5bO3","properties":{"formattedCitation":"(Hughes\\uc0\\u160{}2021; Mozo\\uc0\\u160{}2020)","plainCitation":"(Hughes 2021; Mozo 2020)","noteIndex":0},"citationItems":[{"id":3231,"uris":["http://zotero.org/groups/2714158/items/SA9H57MU"],"uri":["http://zotero.org/groups/2714158/items/SA9H57MU"],"itemData":{"id":3231,"type":"article-newspaper","abstract":"The Bank of Mum and Dad is one of the nation’s top 10 property lenders. It’s also having a ‘huge impact’ on prices.","container-title":"Australian Financial Review","language":"en","note":"section: personal-finance","title":"Huge rise in Bank of Mum and Dad loans","URL":"https://www.afr.com/wealth/personal-finance/huge-rise-in-bank-of-mum-and-dad-loans-20210506-p57peh","author":[{"family":"Hughes","given":"Duncan"}],"accessed":{"date-parts":[["2021",11,4]]},"issued":{"date-parts":[["2021",5,7]]}}},{"id":1980,"uris":["http://zotero.org/groups/2714158/items/8EINAXGJ"],"uri":["http://zotero.org/groups/2714158/items/8EINAXGJ"],"itemData":{"id":1980,"type":"webpage","abstract":"If we asked you to name the fifth biggest lender in Australia, you’d be forgiven for naming one of the big four banks. But according to new Mozo research, the answer lies a little more close to home.","language":"en-AU","title":"Bank of Mum and Dad report 2020: Meet Australia’s fifth biggest home loan lender","title-short":"Bank of Mum and Dad report 2020","URL":"https://mozo.com.au/home-loans/articles/bank-of-mum-and-and-dad-report-2020","author":[{"literal":"Mozo"}],"accessed":{"date-parts":[["2021",6,10]]},"issued":{"date-parts":[["2020"]]}}}],"schema":"https://github.com/citation-style-language/schema/raw/master/csl-citation.json"} </w:instrText>
            </w:r>
            <w:r w:rsidRPr="00B43CFF">
              <w:fldChar w:fldCharType="separate"/>
            </w:r>
            <w:r w:rsidRPr="00B43CFF">
              <w:t>(Hughes 2021; Mozo 2020)</w:t>
            </w:r>
            <w:r w:rsidRPr="00B43CFF">
              <w:fldChar w:fldCharType="end"/>
            </w:r>
            <w:r w:rsidRPr="00B43CFF">
              <w:t>. When compared to the total book value of home mortgages provided by Australian mortgage providers, this would rank BOMD as somewhere between the fifth and ninth biggest home mortgage lender.</w:t>
            </w:r>
          </w:p>
          <w:p w14:paraId="24862A82" w14:textId="7F71753E" w:rsidR="006E0ED6" w:rsidRPr="00B43CFF" w:rsidRDefault="006E0ED6" w:rsidP="001625EC">
            <w:pPr>
              <w:pStyle w:val="BodyText"/>
              <w:rPr>
                <w:spacing w:val="-2"/>
              </w:rPr>
            </w:pPr>
            <w:bookmarkStart w:id="12" w:name="_Hlk86757422"/>
            <w:r w:rsidRPr="00B43CFF">
              <w:rPr>
                <w:spacing w:val="-2"/>
              </w:rPr>
              <w:t xml:space="preserve">Information provided to the Commission by Commonwealth Bank and Westpac (combined 50 per cent of total mortgage market share) on mortgage assistance provided through parental guarantees showed that these types of loans account for a small share of total settled loans per year (on average, about 2.5 per cent at CBA since 2017 and 4.6 per cent at Westpac since 2016). Parental guarantees enable borrowers to avoid Lenders Mortgage Insurance, which is typically levied where a deposit is less than 20 per cent of the purchase price. If we (heroically) assume that 3.5 per cent (the weighted average of CBA and Westpac) of all loans in Australia are guaranteed, and the average guarantee is worth 20 per cent of the loan, then the total value of guarantees would be about $13 billion (based on aggregate housing and investor loans outstanding in September 2021). Guarantees are only transferred between generations if the borrower’s loan is foreclosed, which is rare. </w:t>
            </w:r>
            <w:bookmarkEnd w:id="12"/>
            <w:r w:rsidRPr="00B43CFF">
              <w:rPr>
                <w:spacing w:val="-2"/>
              </w:rPr>
              <w:t>Analysis by the RBA implies that</w:t>
            </w:r>
            <w:r w:rsidRPr="00B43CFF" w:rsidDel="00F34F26">
              <w:rPr>
                <w:spacing w:val="-2"/>
              </w:rPr>
              <w:t xml:space="preserve"> </w:t>
            </w:r>
            <w:r w:rsidRPr="00B43CFF">
              <w:rPr>
                <w:spacing w:val="-2"/>
              </w:rPr>
              <w:t xml:space="preserve">about 0.1 per cent of residential mortgages are foreclosed </w:t>
            </w:r>
            <w:r w:rsidRPr="00B43CFF">
              <w:rPr>
                <w:spacing w:val="-2"/>
              </w:rPr>
              <w:fldChar w:fldCharType="begin"/>
            </w:r>
            <w:r w:rsidR="0047772E">
              <w:rPr>
                <w:spacing w:val="-2"/>
              </w:rPr>
              <w:instrText xml:space="preserve"> ADDIN ZOTERO_ITEM CSL_CITATION {"citationID":"ip6g4T7B","properties":{"formattedCitation":"(Bergmann\\uc0\\u160{}2020, p.\\uc0\\u160{}5)","plainCitation":"(Bergmann 2020, p. 5)","noteIndex":0},"citationItems":[{"id":3224,"uris":["http://zotero.org/groups/2714158/items/82V4EX8M"],"uri":["http://zotero.org/groups/2714158/items/82V4EX8M"],"itemData":{"id":3224,"type":"report","genre":"Research Discussion Paper","language":"en","number":"2020-03","page":"58","publisher":"Reserve Bank of Australia","source":"Zotero","title":"The Determinants of Mortgage Defaults in Australia – Evidence for the Double-trigger Hypothesis","URL":"https://www.rba.gov.au/publications/rdp/2020/pdf/rdp2020-03.pdf","author":[{"family":"Bergmann","given":"Michelle"}],"accessed":{"date-parts":[["2021",11,2]]},"issued":{"date-parts":[["2020"]]}},"locator":"5"}],"schema":"https://github.com/citation-style-language/schema/raw/master/csl-citation.json"} </w:instrText>
            </w:r>
            <w:r w:rsidRPr="00B43CFF">
              <w:rPr>
                <w:spacing w:val="-2"/>
              </w:rPr>
              <w:fldChar w:fldCharType="separate"/>
            </w:r>
            <w:r w:rsidRPr="00B43CFF">
              <w:rPr>
                <w:spacing w:val="-2"/>
              </w:rPr>
              <w:t>(Bergmann 2020, p. 5)</w:t>
            </w:r>
            <w:r w:rsidRPr="00B43CFF">
              <w:rPr>
                <w:spacing w:val="-2"/>
              </w:rPr>
              <w:fldChar w:fldCharType="end"/>
            </w:r>
            <w:r w:rsidRPr="00B43CFF">
              <w:rPr>
                <w:spacing w:val="-2"/>
              </w:rPr>
              <w:t>. Hence, the actual wealth transfer between generations that arises from parental guarantees, at about $13 million, is very small.</w:t>
            </w:r>
          </w:p>
        </w:tc>
      </w:tr>
      <w:tr w:rsidR="006E0ED6" w14:paraId="46C8A738" w14:textId="77777777" w:rsidTr="001625EC">
        <w:tc>
          <w:tcPr>
            <w:tcW w:w="9638" w:type="dxa"/>
            <w:shd w:val="clear" w:color="auto" w:fill="auto"/>
            <w:tcMar>
              <w:top w:w="0" w:type="dxa"/>
              <w:left w:w="170" w:type="dxa"/>
              <w:bottom w:w="0" w:type="dxa"/>
              <w:right w:w="170" w:type="dxa"/>
            </w:tcMar>
          </w:tcPr>
          <w:p w14:paraId="4D1F59E6" w14:textId="77777777" w:rsidR="006E0ED6" w:rsidRDefault="006E0ED6" w:rsidP="001625EC">
            <w:pPr>
              <w:pStyle w:val="BodyText"/>
              <w:spacing w:before="0" w:after="0" w:line="80" w:lineRule="atLeast"/>
            </w:pPr>
          </w:p>
        </w:tc>
      </w:tr>
    </w:tbl>
    <w:p w14:paraId="1AC3E0F1" w14:textId="77777777" w:rsidR="006E0ED6" w:rsidRDefault="006E0ED6" w:rsidP="006E0ED6">
      <w:pPr>
        <w:pStyle w:val="Heading3"/>
      </w:pPr>
      <w:r>
        <w:t>Estimates based on gifts reported in the HILDA dataset</w:t>
      </w:r>
    </w:p>
    <w:p w14:paraId="67994FF8" w14:textId="415C18E4" w:rsidR="006E0ED6" w:rsidRPr="00777EDB" w:rsidRDefault="006E0ED6" w:rsidP="006E0ED6">
      <w:pPr>
        <w:pStyle w:val="BodyText"/>
      </w:pPr>
      <w:r w:rsidRPr="00662B54">
        <w:t xml:space="preserve">The </w:t>
      </w:r>
      <w:r w:rsidRPr="00777EDB">
        <w:t xml:space="preserve">implied total value of reported gifts in the population has </w:t>
      </w:r>
      <w:r w:rsidRPr="002E5F22">
        <w:t xml:space="preserve">increased </w:t>
      </w:r>
      <w:r w:rsidRPr="00662B54">
        <w:t xml:space="preserve">since </w:t>
      </w:r>
      <w:r w:rsidRPr="00312F7D">
        <w:t>20</w:t>
      </w:r>
      <w:r>
        <w:t>00</w:t>
      </w:r>
      <w:r w:rsidR="00D07232">
        <w:noBreakHyphen/>
      </w:r>
      <w:r w:rsidRPr="00312F7D">
        <w:t>01</w:t>
      </w:r>
      <w:r w:rsidRPr="00A97592">
        <w:t>.</w:t>
      </w:r>
      <w:r w:rsidRPr="00777EDB">
        <w:t xml:space="preserve"> In </w:t>
      </w:r>
      <w:r w:rsidRPr="00A97592">
        <w:t>20</w:t>
      </w:r>
      <w:r>
        <w:t>18</w:t>
      </w:r>
      <w:r w:rsidR="00D07232">
        <w:noBreakHyphen/>
      </w:r>
      <w:r w:rsidRPr="00A97592">
        <w:t>19</w:t>
      </w:r>
      <w:r w:rsidRPr="00777EDB">
        <w:t xml:space="preserve">, the total value of gifts was </w:t>
      </w:r>
      <w:r w:rsidRPr="002E5F22">
        <w:t xml:space="preserve">approximately </w:t>
      </w:r>
      <w:r w:rsidRPr="00662B54">
        <w:t>$</w:t>
      </w:r>
      <w:r w:rsidRPr="002E5F22">
        <w:t>1</w:t>
      </w:r>
      <w:r>
        <w:t>4 </w:t>
      </w:r>
      <w:r w:rsidRPr="00662B54">
        <w:t>billion</w:t>
      </w:r>
      <w:r w:rsidRPr="00777EDB">
        <w:t xml:space="preserve"> (figure</w:t>
      </w:r>
      <w:r>
        <w:t> </w:t>
      </w:r>
      <w:r w:rsidRPr="00C1553F">
        <w:t>1</w:t>
      </w:r>
      <w:r w:rsidRPr="00662B54">
        <w:t>.</w:t>
      </w:r>
      <w:r w:rsidRPr="00C1553F">
        <w:t>9</w:t>
      </w:r>
      <w:r w:rsidRPr="00662B54">
        <w:t>, panel a</w:t>
      </w:r>
      <w:r w:rsidRPr="00777EDB">
        <w:t xml:space="preserve">). </w:t>
      </w:r>
    </w:p>
    <w:p w14:paraId="7F9DD5CD" w14:textId="6E611D89" w:rsidR="006E0ED6" w:rsidRDefault="006E0ED6" w:rsidP="006E0ED6">
      <w:pPr>
        <w:pStyle w:val="BodyText"/>
      </w:pPr>
      <w:r>
        <w:t>Focusing henceforth on gifts from parents to children, the implied total value of reported gifts in the population has almost tripled since 2000</w:t>
      </w:r>
      <w:r w:rsidR="00D07232">
        <w:noBreakHyphen/>
      </w:r>
      <w:r>
        <w:t>01, due to an increase in both the number and value of gifts. In 2018</w:t>
      </w:r>
      <w:r w:rsidR="00D07232">
        <w:noBreakHyphen/>
      </w:r>
      <w:r>
        <w:t xml:space="preserve">19, the total value of gifts was almost $12 billion (figure 1.9, panel a). The number of gift recipients increased from about </w:t>
      </w:r>
      <w:r w:rsidDel="00D77D5B">
        <w:t>750</w:t>
      </w:r>
      <w:r>
        <w:t> 000 people in 2000</w:t>
      </w:r>
      <w:r w:rsidR="00D07232">
        <w:noBreakHyphen/>
      </w:r>
      <w:r>
        <w:t xml:space="preserve">01 to 1.5 million in </w:t>
      </w:r>
      <w:r w:rsidDel="00BE5FAC">
        <w:t>20</w:t>
      </w:r>
      <w:r>
        <w:t>18</w:t>
      </w:r>
      <w:r w:rsidR="00D07232">
        <w:noBreakHyphen/>
      </w:r>
      <w:r w:rsidDel="00BE5FAC">
        <w:t>19</w:t>
      </w:r>
      <w:r>
        <w:t xml:space="preserve"> (figure 1.9, panel b). </w:t>
      </w:r>
    </w:p>
    <w:p w14:paraId="65200B36" w14:textId="1D6973C5" w:rsidR="006E0ED6" w:rsidRDefault="006E0ED6" w:rsidP="006E0ED6">
      <w:pPr>
        <w:pStyle w:val="BodyText"/>
      </w:pPr>
      <w:r>
        <w:t>Similar to inheritances, there were many relatively small gifts and fewer very large ones. In 2018</w:t>
      </w:r>
      <w:r w:rsidR="00D07232">
        <w:noBreakHyphen/>
      </w:r>
      <w:r>
        <w:t>19 the median gift was about $1000 while the average was about $8000 (figure 1.9, panel c).</w:t>
      </w:r>
    </w:p>
    <w:p w14:paraId="195B0CA2" w14:textId="28BDD41E" w:rsidR="006E0ED6"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9</w:t>
      </w:r>
      <w:r w:rsidR="00B2270C">
        <w:rPr>
          <w:noProof/>
        </w:rPr>
        <w:fldChar w:fldCharType="end"/>
      </w:r>
      <w:r>
        <w:rPr>
          <w:noProof/>
        </w:rPr>
        <w:t xml:space="preserve"> </w:t>
      </w:r>
      <w:r>
        <w:t xml:space="preserve">– The number and value of gifts </w:t>
      </w:r>
      <w:r w:rsidR="007B46FD">
        <w:t xml:space="preserve">have </w:t>
      </w:r>
      <w:r>
        <w:t>grown but most are valued below $2000</w:t>
      </w:r>
      <w:r w:rsidRPr="00066CF5">
        <w:rPr>
          <w:vertAlign w:val="superscript"/>
        </w:rPr>
        <w:t>a</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6E0ED6" w:rsidRPr="00B1465D" w14:paraId="097840A1" w14:textId="77777777" w:rsidTr="001625EC">
        <w:trPr>
          <w:tblHeader/>
          <w:jc w:val="center"/>
        </w:trPr>
        <w:tc>
          <w:tcPr>
            <w:tcW w:w="5000" w:type="pct"/>
            <w:gridSpan w:val="2"/>
            <w:tcBorders>
              <w:top w:val="nil"/>
              <w:bottom w:val="nil"/>
            </w:tcBorders>
          </w:tcPr>
          <w:p w14:paraId="5500598C" w14:textId="77777777" w:rsidR="006E0ED6" w:rsidRPr="00326291" w:rsidRDefault="006E0ED6" w:rsidP="00132C71">
            <w:pPr>
              <w:pStyle w:val="FigureTableSubheading"/>
              <w:numPr>
                <w:ilvl w:val="0"/>
                <w:numId w:val="30"/>
              </w:numPr>
              <w:rPr>
                <w:sz w:val="16"/>
                <w:szCs w:val="14"/>
              </w:rPr>
            </w:pPr>
            <w:r w:rsidRPr="00326291">
              <w:rPr>
                <w:sz w:val="16"/>
                <w:szCs w:val="14"/>
              </w:rPr>
              <w:t>Aggregate value of gifts, by financial year</w:t>
            </w:r>
          </w:p>
        </w:tc>
      </w:tr>
      <w:tr w:rsidR="006E0ED6" w:rsidRPr="00B1465D" w14:paraId="67AE03F5" w14:textId="77777777" w:rsidTr="001625EC">
        <w:trPr>
          <w:tblHeader/>
          <w:jc w:val="center"/>
        </w:trPr>
        <w:tc>
          <w:tcPr>
            <w:tcW w:w="5000" w:type="pct"/>
            <w:gridSpan w:val="2"/>
            <w:tcBorders>
              <w:top w:val="nil"/>
              <w:bottom w:val="nil"/>
            </w:tcBorders>
          </w:tcPr>
          <w:p w14:paraId="65542220" w14:textId="64BBB846" w:rsidR="006E0ED6" w:rsidRPr="00B1465D" w:rsidRDefault="00D826FB" w:rsidP="001625EC">
            <w:pPr>
              <w:spacing w:before="60" w:after="60"/>
              <w:rPr>
                <w:rFonts w:ascii="Arial" w:hAnsi="Arial" w:cs="Arial"/>
                <w:sz w:val="18"/>
                <w:szCs w:val="18"/>
              </w:rPr>
            </w:pPr>
            <w:r w:rsidRPr="00D826FB">
              <w:rPr>
                <w:rFonts w:ascii="Arial" w:hAnsi="Arial" w:cs="Arial"/>
                <w:noProof/>
                <w:sz w:val="18"/>
                <w:szCs w:val="18"/>
              </w:rPr>
              <w:drawing>
                <wp:inline distT="0" distB="0" distL="0" distR="0" wp14:anchorId="5916B49C" wp14:editId="68062A0A">
                  <wp:extent cx="6120130" cy="2875280"/>
                  <wp:effectExtent l="0" t="0" r="0" b="0"/>
                  <wp:docPr id="164" name="Picture 164" descr="Figure 1.9, panel a. This chart shows the aggregate value of gifts from 2000-01 to 2018-19, separated as gifts from others and gifts from parents. Gifts from parents make up the vast majority of total gift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Figure 1.9, panel a. This chart shows the aggregate value of gifts from 2000-01 to 2018-19, separated as gifts from others and gifts from parents. Gifts from parents make up the vast majority of total gifts. More details are contained in the text surrounding this fig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tc>
      </w:tr>
      <w:tr w:rsidR="006E0ED6" w:rsidRPr="00B1465D" w14:paraId="351FFD17" w14:textId="77777777" w:rsidTr="001625EC">
        <w:trPr>
          <w:tblHeader/>
          <w:jc w:val="center"/>
        </w:trPr>
        <w:tc>
          <w:tcPr>
            <w:tcW w:w="2500" w:type="pct"/>
            <w:tcBorders>
              <w:top w:val="nil"/>
              <w:bottom w:val="nil"/>
            </w:tcBorders>
          </w:tcPr>
          <w:p w14:paraId="19DAC225" w14:textId="77777777" w:rsidR="006E0ED6" w:rsidRPr="00326291" w:rsidRDefault="006E0ED6" w:rsidP="00132C71">
            <w:pPr>
              <w:pStyle w:val="FigureTableSubheading"/>
              <w:numPr>
                <w:ilvl w:val="0"/>
                <w:numId w:val="30"/>
              </w:numPr>
              <w:rPr>
                <w:sz w:val="16"/>
                <w:szCs w:val="14"/>
              </w:rPr>
            </w:pPr>
            <w:r w:rsidRPr="00326291">
              <w:rPr>
                <w:sz w:val="16"/>
                <w:szCs w:val="14"/>
              </w:rPr>
              <w:t>The average value and number of gifts from parents to their children, by financial year</w:t>
            </w:r>
            <w:r w:rsidRPr="00326291">
              <w:rPr>
                <w:sz w:val="16"/>
                <w:szCs w:val="14"/>
                <w:vertAlign w:val="superscript"/>
              </w:rPr>
              <w:t>a</w:t>
            </w:r>
          </w:p>
        </w:tc>
        <w:tc>
          <w:tcPr>
            <w:tcW w:w="2500" w:type="pct"/>
            <w:tcBorders>
              <w:top w:val="nil"/>
              <w:bottom w:val="nil"/>
            </w:tcBorders>
          </w:tcPr>
          <w:p w14:paraId="7856CDBE" w14:textId="05286351" w:rsidR="006E0ED6" w:rsidRPr="00326291" w:rsidRDefault="006E0ED6" w:rsidP="00132C71">
            <w:pPr>
              <w:pStyle w:val="FigureTableSubheading"/>
              <w:numPr>
                <w:ilvl w:val="0"/>
                <w:numId w:val="30"/>
              </w:numPr>
              <w:rPr>
                <w:sz w:val="16"/>
                <w:szCs w:val="14"/>
              </w:rPr>
            </w:pPr>
            <w:r w:rsidRPr="00326291">
              <w:rPr>
                <w:sz w:val="16"/>
                <w:szCs w:val="14"/>
              </w:rPr>
              <w:t>The distribution of gifts from parents to their children by value, 2000</w:t>
            </w:r>
            <w:r w:rsidR="00522D95" w:rsidRPr="00326291">
              <w:rPr>
                <w:sz w:val="16"/>
                <w:szCs w:val="14"/>
              </w:rPr>
              <w:noBreakHyphen/>
            </w:r>
            <w:r w:rsidRPr="00326291">
              <w:rPr>
                <w:sz w:val="16"/>
                <w:szCs w:val="14"/>
              </w:rPr>
              <w:t>01 </w:t>
            </w:r>
            <w:r w:rsidR="004C58DE" w:rsidRPr="00326291">
              <w:rPr>
                <w:sz w:val="16"/>
                <w:szCs w:val="14"/>
              </w:rPr>
              <w:t>to</w:t>
            </w:r>
            <w:r w:rsidRPr="00326291">
              <w:rPr>
                <w:sz w:val="16"/>
                <w:szCs w:val="14"/>
              </w:rPr>
              <w:t> 2018</w:t>
            </w:r>
            <w:r w:rsidR="000F62DC" w:rsidRPr="00326291">
              <w:rPr>
                <w:sz w:val="16"/>
                <w:szCs w:val="14"/>
              </w:rPr>
              <w:noBreakHyphen/>
            </w:r>
            <w:r w:rsidRPr="00326291">
              <w:rPr>
                <w:sz w:val="16"/>
                <w:szCs w:val="14"/>
              </w:rPr>
              <w:t>19</w:t>
            </w:r>
          </w:p>
        </w:tc>
      </w:tr>
      <w:tr w:rsidR="006E0ED6" w:rsidRPr="00B1465D" w14:paraId="1111B423" w14:textId="77777777" w:rsidTr="001625EC">
        <w:trPr>
          <w:tblHeader/>
          <w:jc w:val="center"/>
        </w:trPr>
        <w:tc>
          <w:tcPr>
            <w:tcW w:w="2500" w:type="pct"/>
            <w:tcBorders>
              <w:top w:val="nil"/>
              <w:bottom w:val="nil"/>
            </w:tcBorders>
          </w:tcPr>
          <w:p w14:paraId="273D39FE" w14:textId="3F88DCFE" w:rsidR="006E0ED6" w:rsidRPr="00B1465D" w:rsidRDefault="00D826FB" w:rsidP="001625EC">
            <w:pPr>
              <w:spacing w:before="60" w:after="60"/>
              <w:rPr>
                <w:rFonts w:ascii="Arial" w:hAnsi="Arial" w:cs="Arial"/>
                <w:sz w:val="18"/>
                <w:szCs w:val="18"/>
              </w:rPr>
            </w:pPr>
            <w:r w:rsidRPr="00D826FB">
              <w:rPr>
                <w:rFonts w:ascii="Arial" w:hAnsi="Arial" w:cs="Arial"/>
                <w:sz w:val="18"/>
                <w:szCs w:val="18"/>
              </w:rPr>
              <w:t xml:space="preserve"> </w:t>
            </w:r>
            <w:r w:rsidRPr="00D826FB">
              <w:rPr>
                <w:rFonts w:ascii="Arial" w:hAnsi="Arial" w:cs="Arial"/>
                <w:noProof/>
                <w:sz w:val="18"/>
                <w:szCs w:val="18"/>
              </w:rPr>
              <w:drawing>
                <wp:inline distT="0" distB="0" distL="0" distR="0" wp14:anchorId="03B63323" wp14:editId="1C9366A7">
                  <wp:extent cx="2991485" cy="2336165"/>
                  <wp:effectExtent l="0" t="0" r="0" b="0"/>
                  <wp:docPr id="165" name="Picture 165" descr="Figure 1.9, panel b. This chart shows the average value and number of gifts from parents to children from 2000-01 to 2018-19. Both the average value and number of gifts has risen over tim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Figure 1.9, panel b. This chart shows the average value and number of gifts from parents to children from 2000-01 to 2018-19. Both the average value and number of gifts has risen over time. More details are contained in the text surrounding this figu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1485" cy="2336165"/>
                          </a:xfrm>
                          <a:prstGeom prst="rect">
                            <a:avLst/>
                          </a:prstGeom>
                          <a:noFill/>
                          <a:ln>
                            <a:noFill/>
                          </a:ln>
                        </pic:spPr>
                      </pic:pic>
                    </a:graphicData>
                  </a:graphic>
                </wp:inline>
              </w:drawing>
            </w:r>
          </w:p>
        </w:tc>
        <w:tc>
          <w:tcPr>
            <w:tcW w:w="2500" w:type="pct"/>
            <w:tcBorders>
              <w:top w:val="nil"/>
              <w:bottom w:val="nil"/>
            </w:tcBorders>
          </w:tcPr>
          <w:p w14:paraId="72E6888E" w14:textId="0F57273D" w:rsidR="006E0ED6" w:rsidRPr="00B1465D" w:rsidRDefault="00D826FB" w:rsidP="001625EC">
            <w:pPr>
              <w:spacing w:before="60" w:after="60"/>
              <w:rPr>
                <w:rFonts w:ascii="Arial" w:hAnsi="Arial" w:cs="Arial"/>
                <w:sz w:val="18"/>
                <w:szCs w:val="18"/>
              </w:rPr>
            </w:pPr>
            <w:r w:rsidRPr="00D826FB">
              <w:rPr>
                <w:rFonts w:ascii="Arial" w:hAnsi="Arial" w:cs="Arial"/>
                <w:sz w:val="18"/>
                <w:szCs w:val="18"/>
              </w:rPr>
              <w:t xml:space="preserve"> </w:t>
            </w:r>
            <w:r w:rsidRPr="00D826FB">
              <w:rPr>
                <w:rFonts w:ascii="Arial" w:hAnsi="Arial" w:cs="Arial"/>
                <w:noProof/>
                <w:sz w:val="18"/>
                <w:szCs w:val="18"/>
              </w:rPr>
              <w:drawing>
                <wp:inline distT="0" distB="0" distL="0" distR="0" wp14:anchorId="433A60C8" wp14:editId="6A43D411">
                  <wp:extent cx="2986405" cy="2336165"/>
                  <wp:effectExtent l="0" t="0" r="4445" b="6985"/>
                  <wp:docPr id="166" name="Picture 166" descr="Figure 1.9, panel c. This chart shows the distribution of gifts from parents to children by valu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Figure 1.9, panel c. This chart shows the distribution of gifts from parents to children by value. More details are contained in the text surrounding this fig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6405" cy="2336165"/>
                          </a:xfrm>
                          <a:prstGeom prst="rect">
                            <a:avLst/>
                          </a:prstGeom>
                          <a:noFill/>
                          <a:ln>
                            <a:noFill/>
                          </a:ln>
                        </pic:spPr>
                      </pic:pic>
                    </a:graphicData>
                  </a:graphic>
                </wp:inline>
              </w:drawing>
            </w:r>
          </w:p>
        </w:tc>
      </w:tr>
    </w:tbl>
    <w:p w14:paraId="6F3862A0" w14:textId="2E0B5CB8" w:rsidR="006E0ED6" w:rsidRDefault="006E0ED6" w:rsidP="006E0ED6">
      <w:pPr>
        <w:pStyle w:val="Note"/>
        <w:keepLines/>
      </w:pPr>
      <w:r w:rsidRPr="00180E66">
        <w:rPr>
          <w:b/>
          <w:bCs/>
        </w:rPr>
        <w:t>a.</w:t>
      </w:r>
      <w:r>
        <w:t xml:space="preserve"> Commission analysis found that the large increase in the value of gifts in 2011 was not caused by the addition of the top</w:t>
      </w:r>
      <w:r w:rsidR="000F62DC">
        <w:noBreakHyphen/>
      </w:r>
      <w:r>
        <w:t>up sample in HILDA.</w:t>
      </w:r>
    </w:p>
    <w:p w14:paraId="612C9201" w14:textId="54CBA848" w:rsidR="006E0ED6" w:rsidRDefault="006E0ED6" w:rsidP="006E0ED6">
      <w:pPr>
        <w:pStyle w:val="Source"/>
      </w:pPr>
      <w:r w:rsidRPr="00696447">
        <w:t xml:space="preserve">Source: </w:t>
      </w:r>
      <w:r w:rsidRPr="0050309F">
        <w:t xml:space="preserve">Productivity Commission estimates using </w:t>
      </w:r>
      <w:r>
        <w:t>HILDA Restricted Release</w:t>
      </w:r>
      <w:r w:rsidR="00D33EBB">
        <w:t> </w:t>
      </w:r>
      <w:r>
        <w:t>19.</w:t>
      </w:r>
    </w:p>
    <w:p w14:paraId="05EA1033" w14:textId="77777777" w:rsidR="006E0ED6" w:rsidRPr="00827892" w:rsidRDefault="006E0ED6" w:rsidP="006E0ED6">
      <w:pPr>
        <w:pStyle w:val="BodyText"/>
      </w:pPr>
      <w:r>
        <w:t>Younger people were more likely to receive gifts than older people, but they typically received smaller gifts (figure 1.10). The age profile of gift recipients is different to that of inheritances — most gifts accrue to people under 25, whereas most inheritances accrue to people over 50.</w:t>
      </w:r>
    </w:p>
    <w:p w14:paraId="7F7C3436" w14:textId="4B9DCB6A"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10</w:t>
      </w:r>
      <w:r w:rsidR="00B2270C">
        <w:rPr>
          <w:noProof/>
        </w:rPr>
        <w:fldChar w:fldCharType="end"/>
      </w:r>
      <w:r>
        <w:rPr>
          <w:noProof/>
        </w:rPr>
        <w:t xml:space="preserve"> </w:t>
      </w:r>
      <w:r>
        <w:t>– Most gifts are received by young people</w:t>
      </w:r>
      <w:r w:rsidRPr="00D265F0">
        <w:rPr>
          <w:vertAlign w:val="superscript"/>
        </w:rPr>
        <w:t>a</w:t>
      </w:r>
    </w:p>
    <w:p w14:paraId="5AEC0AF4" w14:textId="6FE54A98" w:rsidR="006E0ED6" w:rsidRPr="005550A0" w:rsidRDefault="006C6FF7" w:rsidP="006E0ED6">
      <w:pPr>
        <w:pStyle w:val="BodyText"/>
      </w:pPr>
      <w:r w:rsidRPr="006C6FF7">
        <w:rPr>
          <w:noProof/>
        </w:rPr>
        <w:drawing>
          <wp:inline distT="0" distB="0" distL="0" distR="0" wp14:anchorId="1AA44406" wp14:editId="000CD2D7">
            <wp:extent cx="6120130" cy="2875280"/>
            <wp:effectExtent l="0" t="0" r="0" b="0"/>
            <wp:docPr id="167" name="Picture 167" descr="Figure 1.10. This chart shows the proportion of gifts received by age group from 15-19 to 50-54, and the average size of gift they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Figure 1.10. This chart shows the proportion of gifts received by age group from 15-19 to 50-54, and the average size of gift they received. More details are contained in the text surrounding this figu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2C6D1EEA" w14:textId="77777777" w:rsidR="006E0ED6" w:rsidRDefault="006E0ED6" w:rsidP="006E0ED6">
      <w:pPr>
        <w:pStyle w:val="Note"/>
        <w:keepLines/>
      </w:pPr>
      <w:r w:rsidRPr="00180E66">
        <w:rPr>
          <w:b/>
          <w:bCs/>
        </w:rPr>
        <w:t>a.</w:t>
      </w:r>
      <w:r>
        <w:t xml:space="preserve"> </w:t>
      </w:r>
      <w:r w:rsidRPr="00D265F0">
        <w:t>Gifts for those aged over 54 years are negligible and are not shown in the chart.</w:t>
      </w:r>
    </w:p>
    <w:p w14:paraId="7147BC8A" w14:textId="3AC9480C" w:rsidR="006E0ED6" w:rsidRDefault="006E0ED6" w:rsidP="006E0ED6">
      <w:pPr>
        <w:pStyle w:val="Source"/>
      </w:pPr>
      <w:r w:rsidRPr="00696447">
        <w:t xml:space="preserve">Source: </w:t>
      </w:r>
      <w:r w:rsidRPr="00F24E1B">
        <w:t>Productivity Commission estimates using HILDA Restricted Release</w:t>
      </w:r>
      <w:r w:rsidR="00D33EBB">
        <w:t> </w:t>
      </w:r>
      <w:r w:rsidRPr="00F24E1B">
        <w:t>19.</w:t>
      </w:r>
    </w:p>
    <w:p w14:paraId="6818E98D" w14:textId="77777777" w:rsidR="006E0ED6" w:rsidRPr="00276AF1" w:rsidRDefault="006E0ED6" w:rsidP="006E0ED6">
      <w:pPr>
        <w:pStyle w:val="Heading3"/>
        <w:rPr>
          <w:spacing w:val="-6"/>
        </w:rPr>
      </w:pPr>
      <w:r w:rsidRPr="00276AF1">
        <w:rPr>
          <w:spacing w:val="-6"/>
        </w:rPr>
        <w:t>Comparison of gifts reported in the HILDA dataset and other datasets</w:t>
      </w:r>
    </w:p>
    <w:p w14:paraId="1EC4A3F6" w14:textId="4E5203D4" w:rsidR="006E0ED6" w:rsidRDefault="006E0ED6" w:rsidP="006E0ED6">
      <w:pPr>
        <w:pStyle w:val="BodyText"/>
      </w:pPr>
      <w:r>
        <w:t>Di</w:t>
      </w:r>
      <w:r w:rsidRPr="00673161">
        <w:t xml:space="preserve">rect comparisons between </w:t>
      </w:r>
      <w:r>
        <w:t xml:space="preserve">the value of gifts as reported in HILDA and in other survey datasets are difficult </w:t>
      </w:r>
      <w:r w:rsidRPr="00673161">
        <w:t xml:space="preserve">due to </w:t>
      </w:r>
      <w:r>
        <w:t xml:space="preserve">significant </w:t>
      </w:r>
      <w:r w:rsidRPr="00673161">
        <w:t>differences in scope</w:t>
      </w:r>
      <w:r>
        <w:t xml:space="preserve"> and how gifts are reported</w:t>
      </w:r>
      <w:r w:rsidRPr="00673161">
        <w:t>.</w:t>
      </w:r>
      <w:r w:rsidRPr="00A46011">
        <w:rPr>
          <w:rStyle w:val="FootnoteReference"/>
        </w:rPr>
        <w:footnoteReference w:id="19"/>
      </w:r>
      <w:r w:rsidRPr="00673161">
        <w:t xml:space="preserve"> </w:t>
      </w:r>
      <w:r>
        <w:t xml:space="preserve">This section uses the SIH and the Youth in Focus survey to indirectly investigate survey errors in the HILDA gift data. Gifts may be </w:t>
      </w:r>
      <w:r w:rsidRPr="008A5C5A">
        <w:t>underreported</w:t>
      </w:r>
      <w:r>
        <w:t xml:space="preserve"> in HILDA for much the same reasons as inheritances (underreporting could arise from respondents </w:t>
      </w:r>
      <w:r w:rsidRPr="0047691B">
        <w:t>fail</w:t>
      </w:r>
      <w:r>
        <w:t>ing</w:t>
      </w:r>
      <w:r w:rsidRPr="0047691B">
        <w:t xml:space="preserve"> to recall </w:t>
      </w:r>
      <w:r>
        <w:t>the gifts they received</w:t>
      </w:r>
      <w:r w:rsidRPr="0047691B">
        <w:t xml:space="preserve"> or </w:t>
      </w:r>
      <w:r>
        <w:t xml:space="preserve">excluding </w:t>
      </w:r>
      <w:r w:rsidRPr="0047691B">
        <w:t>non</w:t>
      </w:r>
      <w:r w:rsidR="000F62DC">
        <w:noBreakHyphen/>
      </w:r>
      <w:r w:rsidRPr="0047691B">
        <w:t xml:space="preserve">financial gifts </w:t>
      </w:r>
      <w:r>
        <w:t xml:space="preserve">(such as cars) </w:t>
      </w:r>
      <w:r w:rsidRPr="0047691B">
        <w:t>they received</w:t>
      </w:r>
      <w:r>
        <w:t>)</w:t>
      </w:r>
      <w:r w:rsidRPr="0047691B">
        <w:t>.</w:t>
      </w:r>
    </w:p>
    <w:p w14:paraId="78D2D0C2" w14:textId="77777777" w:rsidR="006E0ED6" w:rsidRPr="00B9544B" w:rsidRDefault="006E0ED6" w:rsidP="006E0ED6">
      <w:pPr>
        <w:pStyle w:val="Heading4"/>
      </w:pPr>
      <w:r>
        <w:t>Survey of Income and Housing</w:t>
      </w:r>
    </w:p>
    <w:p w14:paraId="4A9F8BC0" w14:textId="01CC4AA2" w:rsidR="006E0ED6" w:rsidRPr="00276AF1" w:rsidRDefault="006E0ED6" w:rsidP="006E0ED6">
      <w:pPr>
        <w:pStyle w:val="BodyText"/>
        <w:rPr>
          <w:spacing w:val="-2"/>
        </w:rPr>
      </w:pPr>
      <w:r w:rsidRPr="00276AF1">
        <w:rPr>
          <w:spacing w:val="-2"/>
        </w:rPr>
        <w:t>The SIH provides a way to indirectly assess the scale of underreporting that might affect the HILDA estimates due to the way the gift</w:t>
      </w:r>
      <w:r w:rsidR="000F62DC">
        <w:rPr>
          <w:spacing w:val="-2"/>
        </w:rPr>
        <w:noBreakHyphen/>
      </w:r>
      <w:r w:rsidRPr="00276AF1">
        <w:rPr>
          <w:spacing w:val="-2"/>
        </w:rPr>
        <w:t>related question is asked. Specifically, the SIH asks respondents about the value of both gifts they have received — as per HILDA — as well as gifts they have given (figure 1.11, panel a).</w:t>
      </w:r>
    </w:p>
    <w:p w14:paraId="65C12688" w14:textId="1D762B5B" w:rsidR="006E0ED6" w:rsidRPr="00276AF1" w:rsidRDefault="006E0ED6" w:rsidP="006E0ED6">
      <w:pPr>
        <w:pStyle w:val="BodyText"/>
        <w:rPr>
          <w:spacing w:val="-2"/>
        </w:rPr>
      </w:pPr>
      <w:r w:rsidRPr="00276AF1">
        <w:rPr>
          <w:spacing w:val="-2"/>
        </w:rPr>
        <w:t>The total value of gifts given exceeded the total value of gifts received in four out of five surveys between 2006</w:t>
      </w:r>
      <w:r w:rsidR="000F62DC">
        <w:rPr>
          <w:spacing w:val="-2"/>
        </w:rPr>
        <w:noBreakHyphen/>
      </w:r>
      <w:r w:rsidRPr="00276AF1">
        <w:rPr>
          <w:spacing w:val="-2"/>
        </w:rPr>
        <w:t>07 and 2014</w:t>
      </w:r>
      <w:r w:rsidR="000F62DC">
        <w:rPr>
          <w:spacing w:val="-2"/>
        </w:rPr>
        <w:noBreakHyphen/>
      </w:r>
      <w:r w:rsidRPr="00276AF1">
        <w:rPr>
          <w:spacing w:val="-2"/>
        </w:rPr>
        <w:t xml:space="preserve">15 by about $600 million on average. The average gift received was larger than the average gift given (figure 1.11, panel b) but there were far more gifts given than received (figure 1.11, panel c). </w:t>
      </w:r>
    </w:p>
    <w:p w14:paraId="3DF00AD2" w14:textId="744C5916" w:rsidR="006E0ED6" w:rsidRDefault="006E0ED6" w:rsidP="006E0ED6">
      <w:pPr>
        <w:pStyle w:val="BodyText"/>
      </w:pPr>
      <w:r>
        <w:t xml:space="preserve">Social desirability bias </w:t>
      </w:r>
      <w:r>
        <w:fldChar w:fldCharType="begin"/>
      </w:r>
      <w:r w:rsidR="0047772E">
        <w:instrText xml:space="preserve"> ADDIN ZOTERO_ITEM CSL_CITATION {"citationID":"MXFQdtRC","properties":{"formattedCitation":"(Nederhof\\uc0\\u160{}1985)","plainCitation":"(Nederhof 1985)","noteIndex":0},"citationItems":[{"id":3139,"uris":["http://zotero.org/groups/2714158/items/54RYYCJV"],"uri":["http://zotero.org/groups/2714158/items/54RYYCJV"],"itemData":{"id":3139,"type":"article-journal","abstract":"Abstract Social desirability is one of the most common sources of bias affecting the validity of experimental and survey research findings. From a self-presentational perspective, social desirability can be regarded as the resultant of two separate factors: self-deception and other-deception. Two main modes of coping with social desirability bias are distinguished. The first mode comprises two methods aimed at the detection and measurement of social desirability bias: the use of social desirability scales, and the rating of item desirability. A second category comprises seven methods to prevent or reduce social desirability bias, including the use of forced-choice items, the randomized response technique, the bogus pipeline, self-administration of the questionnaire, the selection of interviewers, and the use of proxy subjects. Not one method was found to excel completely and under all conditions in coping with both other-deceptive and self-deceptive social desirability bias. A combination of prevention and detection methods offers the best choice available.","container-title":"European Journal of Social Psychology","DOI":"https://doi.org/10.1002/ejsp.2420150303","issue":"3","note":"_eprint: https://onlinelibrary.wiley.com/doi/pdf/10.1002/ejsp.2420150303","page":"263-280","title":"Methods of coping with social desirability bias: A review","volume":"15","author":[{"family":"Nederhof","given":"Anton J."}],"issued":{"date-parts":[["1985"]]}}}],"schema":"https://github.com/citation-style-language/schema/raw/master/csl-citation.json"} </w:instrText>
      </w:r>
      <w:r>
        <w:fldChar w:fldCharType="separate"/>
      </w:r>
      <w:r w:rsidRPr="00E92BBF">
        <w:rPr>
          <w:szCs w:val="24"/>
        </w:rPr>
        <w:t>(Nederhof 1985)</w:t>
      </w:r>
      <w:r>
        <w:fldChar w:fldCharType="end"/>
      </w:r>
      <w:r>
        <w:t xml:space="preserve"> suggests that surveyed individuals are more likely to report gifts that they gave, regardless of size, and less likely to report small gifts they have received both because they may have forgotten them, but also because it could be viewed as socially undesirable. This may explain the reported differences and if present would tend to bias the value of HILDA gifts downwards.</w:t>
      </w:r>
    </w:p>
    <w:p w14:paraId="3CDBE4D8" w14:textId="7F94B710"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11</w:t>
      </w:r>
      <w:r w:rsidR="00B2270C">
        <w:rPr>
          <w:noProof/>
        </w:rPr>
        <w:fldChar w:fldCharType="end"/>
      </w:r>
      <w:r>
        <w:rPr>
          <w:noProof/>
        </w:rPr>
        <w:t xml:space="preserve"> </w:t>
      </w:r>
      <w:r>
        <w:t>– Reported gifts given exceeds reported gifts received</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6E0ED6" w:rsidRPr="00B1465D" w14:paraId="6B463616" w14:textId="77777777" w:rsidTr="001625EC">
        <w:trPr>
          <w:tblHeader/>
          <w:jc w:val="center"/>
        </w:trPr>
        <w:tc>
          <w:tcPr>
            <w:tcW w:w="5000" w:type="pct"/>
            <w:gridSpan w:val="2"/>
            <w:tcBorders>
              <w:top w:val="nil"/>
              <w:bottom w:val="nil"/>
            </w:tcBorders>
          </w:tcPr>
          <w:p w14:paraId="5AE7020B" w14:textId="77777777" w:rsidR="006E0ED6" w:rsidRPr="00E21A0E" w:rsidRDefault="006E0ED6" w:rsidP="00132C71">
            <w:pPr>
              <w:pStyle w:val="FigureTableSubheading"/>
              <w:numPr>
                <w:ilvl w:val="0"/>
                <w:numId w:val="29"/>
              </w:numPr>
              <w:rPr>
                <w:sz w:val="16"/>
                <w:szCs w:val="14"/>
              </w:rPr>
            </w:pPr>
            <w:r w:rsidRPr="00E21A0E">
              <w:rPr>
                <w:sz w:val="16"/>
                <w:szCs w:val="14"/>
              </w:rPr>
              <w:t>Total value of gifts to and from family members, by financial year</w:t>
            </w:r>
          </w:p>
        </w:tc>
      </w:tr>
      <w:tr w:rsidR="006E0ED6" w:rsidRPr="00B1465D" w14:paraId="3394455D" w14:textId="77777777" w:rsidTr="001625EC">
        <w:trPr>
          <w:tblHeader/>
          <w:jc w:val="center"/>
        </w:trPr>
        <w:tc>
          <w:tcPr>
            <w:tcW w:w="5000" w:type="pct"/>
            <w:gridSpan w:val="2"/>
            <w:tcBorders>
              <w:top w:val="nil"/>
              <w:bottom w:val="nil"/>
            </w:tcBorders>
          </w:tcPr>
          <w:p w14:paraId="7F95DEE0" w14:textId="02E09380" w:rsidR="006E0ED6" w:rsidRPr="00B1465D" w:rsidRDefault="006C6FF7" w:rsidP="001625EC">
            <w:pPr>
              <w:spacing w:before="60" w:after="60"/>
              <w:rPr>
                <w:rFonts w:ascii="Arial" w:hAnsi="Arial" w:cs="Arial"/>
                <w:sz w:val="18"/>
                <w:szCs w:val="18"/>
              </w:rPr>
            </w:pPr>
            <w:r w:rsidRPr="006C6FF7">
              <w:rPr>
                <w:rFonts w:ascii="Arial" w:hAnsi="Arial" w:cs="Arial"/>
                <w:noProof/>
                <w:sz w:val="18"/>
                <w:szCs w:val="18"/>
              </w:rPr>
              <w:drawing>
                <wp:inline distT="0" distB="0" distL="0" distR="0" wp14:anchorId="2C8EBA4D" wp14:editId="3430711D">
                  <wp:extent cx="6120130" cy="2875280"/>
                  <wp:effectExtent l="0" t="0" r="0" b="0"/>
                  <wp:docPr id="168" name="Picture 168" descr="Figure 1.11, panel a. This chart shows the total value of gifts given and gifts received from 2006-07 to 2014-15, estimated using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Figure 1.11, panel a. This chart shows the total value of gifts given and gifts received from 2006-07 to 2014-15, estimated using the SIH. More details are contained in the text surrounding this figu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tc>
      </w:tr>
      <w:tr w:rsidR="006E0ED6" w:rsidRPr="00B1465D" w14:paraId="2F9A00B1" w14:textId="77777777" w:rsidTr="001625EC">
        <w:trPr>
          <w:trHeight w:val="375"/>
          <w:tblHeader/>
          <w:jc w:val="center"/>
        </w:trPr>
        <w:tc>
          <w:tcPr>
            <w:tcW w:w="2500" w:type="pct"/>
            <w:tcBorders>
              <w:top w:val="nil"/>
              <w:bottom w:val="nil"/>
            </w:tcBorders>
          </w:tcPr>
          <w:p w14:paraId="5A35E2B7" w14:textId="43F822D0" w:rsidR="006E0ED6" w:rsidRPr="00E21A0E" w:rsidRDefault="006E0ED6" w:rsidP="00132C71">
            <w:pPr>
              <w:pStyle w:val="FigureTableSubheading"/>
              <w:numPr>
                <w:ilvl w:val="0"/>
                <w:numId w:val="29"/>
              </w:numPr>
              <w:rPr>
                <w:sz w:val="16"/>
                <w:szCs w:val="14"/>
              </w:rPr>
            </w:pPr>
            <w:r w:rsidRPr="00E21A0E">
              <w:rPr>
                <w:sz w:val="16"/>
                <w:szCs w:val="14"/>
              </w:rPr>
              <w:t>Average value of gifts to and from family members, by financial year</w:t>
            </w:r>
          </w:p>
        </w:tc>
        <w:tc>
          <w:tcPr>
            <w:tcW w:w="2500" w:type="pct"/>
            <w:tcBorders>
              <w:top w:val="nil"/>
              <w:bottom w:val="nil"/>
            </w:tcBorders>
          </w:tcPr>
          <w:p w14:paraId="60476FD4" w14:textId="77777777" w:rsidR="006E0ED6" w:rsidRPr="00E21A0E" w:rsidRDefault="006E0ED6" w:rsidP="00132C71">
            <w:pPr>
              <w:pStyle w:val="FigureTableSubheading"/>
              <w:numPr>
                <w:ilvl w:val="0"/>
                <w:numId w:val="29"/>
              </w:numPr>
              <w:rPr>
                <w:sz w:val="16"/>
                <w:szCs w:val="14"/>
              </w:rPr>
            </w:pPr>
            <w:r w:rsidRPr="00E21A0E">
              <w:rPr>
                <w:sz w:val="16"/>
                <w:szCs w:val="14"/>
              </w:rPr>
              <w:t xml:space="preserve">Number of gifts to and from family members, </w:t>
            </w:r>
            <w:r w:rsidRPr="00E21A0E">
              <w:rPr>
                <w:sz w:val="16"/>
                <w:szCs w:val="14"/>
              </w:rPr>
              <w:br/>
              <w:t>by financial year</w:t>
            </w:r>
          </w:p>
        </w:tc>
      </w:tr>
      <w:tr w:rsidR="006E0ED6" w:rsidRPr="00B1465D" w14:paraId="31A91507" w14:textId="77777777" w:rsidTr="001625EC">
        <w:trPr>
          <w:trHeight w:val="375"/>
          <w:tblHeader/>
          <w:jc w:val="center"/>
        </w:trPr>
        <w:tc>
          <w:tcPr>
            <w:tcW w:w="2500" w:type="pct"/>
            <w:tcBorders>
              <w:top w:val="nil"/>
              <w:bottom w:val="nil"/>
            </w:tcBorders>
          </w:tcPr>
          <w:p w14:paraId="421956A0" w14:textId="42961B3A" w:rsidR="006E0ED6" w:rsidRPr="00B1465D" w:rsidRDefault="006C6FF7" w:rsidP="001625EC">
            <w:pPr>
              <w:spacing w:before="60" w:after="60"/>
              <w:rPr>
                <w:rFonts w:ascii="Arial" w:hAnsi="Arial" w:cs="Arial"/>
                <w:sz w:val="18"/>
                <w:szCs w:val="18"/>
              </w:rPr>
            </w:pPr>
            <w:r w:rsidRPr="006C6FF7">
              <w:rPr>
                <w:rFonts w:ascii="Arial" w:hAnsi="Arial" w:cs="Arial"/>
                <w:sz w:val="18"/>
                <w:szCs w:val="18"/>
              </w:rPr>
              <w:t xml:space="preserve"> </w:t>
            </w:r>
            <w:r w:rsidRPr="006C6FF7">
              <w:rPr>
                <w:rFonts w:ascii="Arial" w:hAnsi="Arial" w:cs="Arial"/>
                <w:noProof/>
                <w:sz w:val="18"/>
                <w:szCs w:val="18"/>
              </w:rPr>
              <w:drawing>
                <wp:inline distT="0" distB="0" distL="0" distR="0" wp14:anchorId="7F9D7FC3" wp14:editId="087AE7ED">
                  <wp:extent cx="2986405" cy="2336165"/>
                  <wp:effectExtent l="0" t="0" r="0" b="0"/>
                  <wp:docPr id="169" name="Picture 169" descr="Figure 1.11, panel b. This chart shows the average value of gifts given and received from 2006-07 to 2014-15, estimated using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Figure 1.11, panel b. This chart shows the average value of gifts given and received from 2006-07 to 2014-15, estimated using the SIH. More details are contained in the text surrounding this figu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6405" cy="2336165"/>
                          </a:xfrm>
                          <a:prstGeom prst="rect">
                            <a:avLst/>
                          </a:prstGeom>
                          <a:noFill/>
                          <a:ln>
                            <a:noFill/>
                          </a:ln>
                        </pic:spPr>
                      </pic:pic>
                    </a:graphicData>
                  </a:graphic>
                </wp:inline>
              </w:drawing>
            </w:r>
          </w:p>
        </w:tc>
        <w:tc>
          <w:tcPr>
            <w:tcW w:w="2500" w:type="pct"/>
            <w:tcBorders>
              <w:top w:val="nil"/>
              <w:bottom w:val="nil"/>
            </w:tcBorders>
          </w:tcPr>
          <w:p w14:paraId="611D072C" w14:textId="5852C55A" w:rsidR="006E0ED6" w:rsidRPr="00B1465D" w:rsidRDefault="006C6FF7" w:rsidP="001625EC">
            <w:pPr>
              <w:spacing w:before="60" w:after="60"/>
              <w:rPr>
                <w:rFonts w:ascii="Arial" w:hAnsi="Arial" w:cs="Arial"/>
                <w:sz w:val="18"/>
                <w:szCs w:val="18"/>
              </w:rPr>
            </w:pPr>
            <w:r w:rsidRPr="006C6FF7">
              <w:rPr>
                <w:rFonts w:ascii="Arial" w:hAnsi="Arial" w:cs="Arial"/>
                <w:sz w:val="18"/>
                <w:szCs w:val="18"/>
              </w:rPr>
              <w:t xml:space="preserve"> </w:t>
            </w:r>
            <w:r w:rsidRPr="006C6FF7">
              <w:rPr>
                <w:rFonts w:ascii="Arial" w:hAnsi="Arial" w:cs="Arial"/>
                <w:noProof/>
                <w:sz w:val="18"/>
                <w:szCs w:val="18"/>
              </w:rPr>
              <w:drawing>
                <wp:inline distT="0" distB="0" distL="0" distR="0" wp14:anchorId="3D544ACB" wp14:editId="1F85877E">
                  <wp:extent cx="2986405" cy="2336165"/>
                  <wp:effectExtent l="0" t="0" r="0" b="0"/>
                  <wp:docPr id="170" name="Picture 170" descr="Figure 1.11, panel c. This chart shows the number of gifts given and received from 2006-07 to 2014-15, estimated using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Figure 1.11, panel c. This chart shows the number of gifts given and received from 2006-07 to 2014-15, estimated using the SIH. More details are contained in the text surrounding this figu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6405" cy="2336165"/>
                          </a:xfrm>
                          <a:prstGeom prst="rect">
                            <a:avLst/>
                          </a:prstGeom>
                          <a:noFill/>
                          <a:ln>
                            <a:noFill/>
                          </a:ln>
                        </pic:spPr>
                      </pic:pic>
                    </a:graphicData>
                  </a:graphic>
                </wp:inline>
              </w:drawing>
            </w:r>
          </w:p>
        </w:tc>
      </w:tr>
    </w:tbl>
    <w:p w14:paraId="3E98728D" w14:textId="03137E97" w:rsidR="006E0ED6" w:rsidRDefault="006E0ED6" w:rsidP="006E0ED6">
      <w:pPr>
        <w:pStyle w:val="Source"/>
      </w:pPr>
      <w:r w:rsidRPr="00696447">
        <w:t xml:space="preserve">Source: </w:t>
      </w:r>
      <w:r w:rsidRPr="00747917">
        <w:t>Productivity Commission estimates using: ABS SIH Basic confidentialised unit record files for 2007</w:t>
      </w:r>
      <w:r w:rsidR="000F62DC">
        <w:noBreakHyphen/>
      </w:r>
      <w:r w:rsidRPr="00747917">
        <w:t xml:space="preserve">08 </w:t>
      </w:r>
      <w:r w:rsidR="00547002">
        <w:t>to</w:t>
      </w:r>
      <w:r w:rsidR="00932EA4">
        <w:t xml:space="preserve"> </w:t>
      </w:r>
      <w:r w:rsidRPr="00747917">
        <w:t>2017</w:t>
      </w:r>
      <w:r w:rsidR="000F62DC">
        <w:noBreakHyphen/>
      </w:r>
      <w:r w:rsidRPr="00747917">
        <w:t>18.</w:t>
      </w:r>
    </w:p>
    <w:p w14:paraId="796F7039" w14:textId="77777777" w:rsidR="006E0ED6" w:rsidRPr="004E1516" w:rsidRDefault="006E0ED6" w:rsidP="006E0ED6">
      <w:pPr>
        <w:pStyle w:val="BodyText"/>
      </w:pPr>
      <w:r w:rsidRPr="004E1516">
        <w:t xml:space="preserve">The SIH dataset </w:t>
      </w:r>
      <w:r>
        <w:t xml:space="preserve">also </w:t>
      </w:r>
      <w:r w:rsidRPr="004E1516">
        <w:t>provides evidence that</w:t>
      </w:r>
      <w:r>
        <w:t xml:space="preserve"> — as for inheritances —</w:t>
      </w:r>
      <w:r w:rsidRPr="004E1516">
        <w:t xml:space="preserve"> </w:t>
      </w:r>
      <w:r>
        <w:t xml:space="preserve">people forget about gifts they received, which would cause inflow estimates to underestimate the true figure. </w:t>
      </w:r>
      <w:r w:rsidRPr="004E1516">
        <w:t xml:space="preserve">The </w:t>
      </w:r>
      <w:r>
        <w:t xml:space="preserve">SIH </w:t>
      </w:r>
      <w:r w:rsidRPr="004E1516">
        <w:t xml:space="preserve">asks respondents about the value of gifts in the previous financial year as well as in the </w:t>
      </w:r>
      <w:r>
        <w:t>past</w:t>
      </w:r>
      <w:r w:rsidRPr="004E1516">
        <w:t xml:space="preserve"> three months. Interviews for the SIH are conducted throughout the financial year, meaning the value of gifts given and received in the current year can be estimated using the values reported for the </w:t>
      </w:r>
      <w:r>
        <w:t>past</w:t>
      </w:r>
      <w:r w:rsidRPr="004E1516">
        <w:t xml:space="preserve"> three months.</w:t>
      </w:r>
    </w:p>
    <w:p w14:paraId="43313537" w14:textId="77777777" w:rsidR="006E0ED6" w:rsidRDefault="006E0ED6" w:rsidP="006E0ED6">
      <w:pPr>
        <w:pStyle w:val="BodyText"/>
      </w:pPr>
      <w:r>
        <w:t>G</w:t>
      </w:r>
      <w:r w:rsidRPr="004E1516">
        <w:t>ifts that respondents reported receiving in the previous financial year were, on average, 2</w:t>
      </w:r>
      <w:r>
        <w:t>5 </w:t>
      </w:r>
      <w:r w:rsidRPr="004E1516">
        <w:t>per</w:t>
      </w:r>
      <w:r>
        <w:t> </w:t>
      </w:r>
      <w:r w:rsidRPr="004E1516">
        <w:t>cent lower than those reported for the current year (figure</w:t>
      </w:r>
      <w:r>
        <w:t> 1</w:t>
      </w:r>
      <w:r w:rsidRPr="004E1516">
        <w:t>.</w:t>
      </w:r>
      <w:r w:rsidRPr="00855BDC">
        <w:t>12</w:t>
      </w:r>
      <w:r w:rsidRPr="004E1516">
        <w:t xml:space="preserve">). </w:t>
      </w:r>
      <w:r>
        <w:t>G</w:t>
      </w:r>
      <w:r w:rsidRPr="004E1516">
        <w:t>ifts given were, on average, 29</w:t>
      </w:r>
      <w:r>
        <w:t> </w:t>
      </w:r>
      <w:r w:rsidRPr="004E1516">
        <w:t>per</w:t>
      </w:r>
      <w:r>
        <w:t> </w:t>
      </w:r>
      <w:r w:rsidRPr="004E1516">
        <w:t xml:space="preserve">cent lower. The HILDA survey asks respondents about gifts received in the </w:t>
      </w:r>
      <w:r>
        <w:t>past</w:t>
      </w:r>
      <w:r w:rsidRPr="004E1516">
        <w:t xml:space="preserve"> twelve months. Hence, it is likely that those </w:t>
      </w:r>
      <w:r>
        <w:t>reported</w:t>
      </w:r>
      <w:r w:rsidRPr="004E1516">
        <w:t xml:space="preserve"> values are </w:t>
      </w:r>
      <w:r>
        <w:t>lower than</w:t>
      </w:r>
      <w:r w:rsidRPr="004E1516">
        <w:t xml:space="preserve"> the true figure</w:t>
      </w:r>
      <w:r>
        <w:t>s</w:t>
      </w:r>
      <w:r w:rsidRPr="004E1516">
        <w:t>.</w:t>
      </w:r>
    </w:p>
    <w:p w14:paraId="51D35838" w14:textId="09CBD36B"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12</w:t>
      </w:r>
      <w:r w:rsidR="00B2270C">
        <w:rPr>
          <w:noProof/>
        </w:rPr>
        <w:fldChar w:fldCharType="end"/>
      </w:r>
      <w:r>
        <w:rPr>
          <w:noProof/>
        </w:rPr>
        <w:t xml:space="preserve"> </w:t>
      </w:r>
      <w:r>
        <w:t>– There is some evidence that people forget receiving gifts over time</w:t>
      </w:r>
    </w:p>
    <w:p w14:paraId="33EC42FF" w14:textId="77777777" w:rsidR="006E0ED6" w:rsidRPr="00DA448D" w:rsidRDefault="006E0ED6" w:rsidP="006E0ED6">
      <w:pPr>
        <w:pStyle w:val="FigureTableSubheading"/>
        <w:keepLines/>
        <w:rPr>
          <w:sz w:val="18"/>
          <w:szCs w:val="16"/>
        </w:rPr>
      </w:pPr>
      <w:r w:rsidRPr="00DA448D">
        <w:rPr>
          <w:sz w:val="18"/>
          <w:szCs w:val="16"/>
        </w:rPr>
        <w:t>By the financial year the respondent reported receiving a gift</w:t>
      </w:r>
    </w:p>
    <w:p w14:paraId="09D304A3" w14:textId="375659B6" w:rsidR="006E0ED6" w:rsidRPr="005550A0" w:rsidRDefault="006F00E0" w:rsidP="006E0ED6">
      <w:pPr>
        <w:pStyle w:val="BodyText"/>
      </w:pPr>
      <w:r w:rsidRPr="006F00E0">
        <w:rPr>
          <w:noProof/>
        </w:rPr>
        <w:drawing>
          <wp:inline distT="0" distB="0" distL="0" distR="0" wp14:anchorId="0B7DFC2B" wp14:editId="2A1394FA">
            <wp:extent cx="6120130" cy="2875280"/>
            <wp:effectExtent l="0" t="0" r="0" b="0"/>
            <wp:docPr id="171" name="Picture 171" descr="Figure 1.12. This chart shows the total value of gifts received, reported for the current financial year for 2007-08 to 2015-16, and reported for the previous financial year for 2006-07 to 2014-15.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Figure 1.12. This chart shows the total value of gifts received, reported for the current financial year for 2007-08 to 2015-16, and reported for the previous financial year for 2006-07 to 2014-15. More details are contained in the text surrounding this fig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7F658613" w14:textId="42649472" w:rsidR="006E0ED6" w:rsidRDefault="006E0ED6" w:rsidP="006E0ED6">
      <w:pPr>
        <w:pStyle w:val="Source"/>
      </w:pPr>
      <w:r w:rsidRPr="00696447">
        <w:t xml:space="preserve">Source: </w:t>
      </w:r>
      <w:r w:rsidRPr="00787D8A">
        <w:t>Productivity Commission estimates using ABS SIH Basic confidentialised unit record files for 2007</w:t>
      </w:r>
      <w:r w:rsidR="000F62DC">
        <w:noBreakHyphen/>
      </w:r>
      <w:r w:rsidRPr="00787D8A">
        <w:t xml:space="preserve">08 </w:t>
      </w:r>
      <w:r w:rsidR="00932EA4">
        <w:t>to</w:t>
      </w:r>
      <w:r w:rsidR="00932EA4" w:rsidRPr="00787D8A">
        <w:t xml:space="preserve"> </w:t>
      </w:r>
      <w:r w:rsidRPr="00787D8A">
        <w:t>2015</w:t>
      </w:r>
      <w:r w:rsidR="000F62DC">
        <w:noBreakHyphen/>
      </w:r>
      <w:r w:rsidRPr="00787D8A">
        <w:t>16.</w:t>
      </w:r>
    </w:p>
    <w:p w14:paraId="74D59530" w14:textId="77777777" w:rsidR="006E0ED6" w:rsidRPr="0047691B" w:rsidRDefault="006E0ED6" w:rsidP="006E0ED6">
      <w:pPr>
        <w:pStyle w:val="Heading4"/>
      </w:pPr>
      <w:r>
        <w:t>Youth in Focus survey</w:t>
      </w:r>
    </w:p>
    <w:p w14:paraId="40C9503E" w14:textId="3CFB3B6A" w:rsidR="006E0ED6" w:rsidRPr="002355FF" w:rsidRDefault="006E0ED6" w:rsidP="006E0ED6">
      <w:pPr>
        <w:pStyle w:val="BodyText"/>
        <w:rPr>
          <w:spacing w:val="-2"/>
        </w:rPr>
      </w:pPr>
      <w:r w:rsidRPr="002355FF">
        <w:rPr>
          <w:spacing w:val="-2"/>
        </w:rPr>
        <w:t>The Youth in Focus (YIF) survey, which asked children aged 18 in 2006 and 20 in 2008 about gifts they received from their parents, is directly comparable to the HILDA dataset for those age cohorts.</w:t>
      </w:r>
      <w:r w:rsidRPr="0059379B">
        <w:rPr>
          <w:rStyle w:val="FootnoteReference"/>
        </w:rPr>
        <w:footnoteReference w:id="20"/>
      </w:r>
      <w:r w:rsidRPr="002355FF">
        <w:rPr>
          <w:spacing w:val="-2"/>
        </w:rPr>
        <w:t xml:space="preserve"> The proportion of children who reported receiving a gift from their parents in the YIF survey was higher than the proportion who reported receiving a gift in the corresponding waves of the HILDA survey (figure 1.13, panel a). Similarly, the median value of gifts reported in the YIF survey was higher than the median value of gifts reported in HILDA (figure 1.13, panel b). These two findings suggest that gifts might be underreported in the HILDA dataset. There are some possible explanations.</w:t>
      </w:r>
    </w:p>
    <w:p w14:paraId="06183378" w14:textId="77777777" w:rsidR="006E0ED6" w:rsidRDefault="006E0ED6" w:rsidP="006E0ED6">
      <w:pPr>
        <w:pStyle w:val="ListBullet"/>
      </w:pPr>
      <w:r>
        <w:t>The YIF survey asked the questions differently to the HILDA survey. Respondents were asked if parents had assisted them with any of a list of items, for example, a general living allowance, and if so, how much money their parents had given them. The HILDA survey asks respondents if their parents have given them any money, and if so, how much, without specifying the purpose of the gift. It is possible that the list of items effectively prompted children’s memory.</w:t>
      </w:r>
    </w:p>
    <w:p w14:paraId="697B2702" w14:textId="45DDFFD8" w:rsidR="006E0ED6" w:rsidRDefault="006E0ED6" w:rsidP="006E0ED6">
      <w:pPr>
        <w:pStyle w:val="ListBullet"/>
      </w:pPr>
      <w:r>
        <w:t>The list of items in the YIF survey also included non</w:t>
      </w:r>
      <w:r w:rsidR="000F62DC">
        <w:noBreakHyphen/>
      </w:r>
      <w:r>
        <w:t>financial forms of assistance, for example, a parent allowing their child to live in their investment property for low, or zero, rent. It is possible that the value of this type of transfer was captured in the YIF dataset but not in the HILDA dataset.</w:t>
      </w:r>
    </w:p>
    <w:p w14:paraId="34945C35" w14:textId="68FDCBF3" w:rsidR="006E0ED6"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13</w:t>
      </w:r>
      <w:r w:rsidR="00B2270C">
        <w:rPr>
          <w:noProof/>
        </w:rPr>
        <w:fldChar w:fldCharType="end"/>
      </w:r>
      <w:r>
        <w:rPr>
          <w:noProof/>
        </w:rPr>
        <w:t xml:space="preserve"> </w:t>
      </w:r>
      <w:r>
        <w:t>– Fewer and smaller gifts were reported in the HILDA Survey compared with the Youth in Focus Survey</w:t>
      </w:r>
    </w:p>
    <w:p w14:paraId="3AA226FC" w14:textId="1C8837D6" w:rsidR="006E0ED6" w:rsidRPr="00141D25" w:rsidRDefault="006E0ED6" w:rsidP="00132C71">
      <w:pPr>
        <w:pStyle w:val="FigureTableSubheading"/>
        <w:numPr>
          <w:ilvl w:val="0"/>
          <w:numId w:val="28"/>
        </w:numPr>
        <w:rPr>
          <w:rFonts w:cs="Arial"/>
          <w:sz w:val="16"/>
          <w:szCs w:val="16"/>
        </w:rPr>
      </w:pPr>
      <w:r w:rsidRPr="00141D25">
        <w:rPr>
          <w:rFonts w:cs="Arial"/>
          <w:sz w:val="16"/>
          <w:szCs w:val="16"/>
        </w:rPr>
        <w:t>Proportion of children who received a gift from their parents, by living circumstances and year</w:t>
      </w:r>
    </w:p>
    <w:p w14:paraId="79BE6131" w14:textId="3E1B650D" w:rsidR="006E0ED6" w:rsidRDefault="006F00E0" w:rsidP="006E0ED6">
      <w:pPr>
        <w:pStyle w:val="BodyText"/>
      </w:pPr>
      <w:r w:rsidRPr="006F00E0">
        <w:rPr>
          <w:noProof/>
        </w:rPr>
        <w:drawing>
          <wp:inline distT="0" distB="0" distL="0" distR="0" wp14:anchorId="1E59C4D5" wp14:editId="7F5E9359">
            <wp:extent cx="6120130" cy="2875280"/>
            <wp:effectExtent l="0" t="0" r="0" b="1270"/>
            <wp:docPr id="172" name="Picture 172" descr="Figure 1.13, panel a. This chart shows the proportion of children who received a gift from their parents in the HILDA survey and the Youth in Focus survey, for independent children, co-resident children and the total.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Figure 1.13, panel a. This chart shows the proportion of children who received a gift from their parents in the HILDA survey and the Youth in Focus survey, for independent children, co-resident children and the total. More details are contained in the text surrounding this fig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17A3983A" w14:textId="1A260558" w:rsidR="006E0ED6" w:rsidRPr="00141D25" w:rsidRDefault="006E0ED6" w:rsidP="00132C71">
      <w:pPr>
        <w:pStyle w:val="FigureTableSubheading"/>
        <w:numPr>
          <w:ilvl w:val="0"/>
          <w:numId w:val="28"/>
        </w:numPr>
        <w:rPr>
          <w:rFonts w:cs="Arial"/>
          <w:sz w:val="16"/>
          <w:szCs w:val="16"/>
        </w:rPr>
      </w:pPr>
      <w:r w:rsidRPr="00141D25">
        <w:rPr>
          <w:rFonts w:cs="Arial"/>
          <w:sz w:val="16"/>
          <w:szCs w:val="16"/>
        </w:rPr>
        <w:t>Median value of gifts children received from their parents, by living circumstances and year</w:t>
      </w:r>
      <w:r w:rsidRPr="00141D25">
        <w:rPr>
          <w:rFonts w:cs="Arial"/>
          <w:b/>
          <w:bCs/>
          <w:sz w:val="16"/>
          <w:szCs w:val="16"/>
          <w:vertAlign w:val="superscript"/>
        </w:rPr>
        <w:t>a,b</w:t>
      </w:r>
    </w:p>
    <w:p w14:paraId="7A13B39F" w14:textId="4C6DAF12" w:rsidR="006E0ED6" w:rsidRPr="005550A0" w:rsidRDefault="006F00E0" w:rsidP="006E0ED6">
      <w:pPr>
        <w:pStyle w:val="BodyText"/>
      </w:pPr>
      <w:r w:rsidRPr="006F00E0">
        <w:rPr>
          <w:noProof/>
        </w:rPr>
        <w:drawing>
          <wp:inline distT="0" distB="0" distL="0" distR="0" wp14:anchorId="48C22D19" wp14:editId="1A3008A0">
            <wp:extent cx="6120130" cy="2875280"/>
            <wp:effectExtent l="0" t="0" r="0" b="1270"/>
            <wp:docPr id="173" name="Picture 173" descr="Figure 1.13, panel b. This chart shows the median value of gifts received from parents in the HILDA survey and the Youth in Focus survey, for independent children, co-resident children and the total.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Figure 1.13, panel b. This chart shows the median value of gifts received from parents in the HILDA survey and the Youth in Focus survey, for independent children, co-resident children and the total. More details are contained in the text surrounding this figu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60DED0B2" w14:textId="77777777" w:rsidR="006E0ED6" w:rsidRDefault="006E0ED6" w:rsidP="006E0ED6">
      <w:pPr>
        <w:pStyle w:val="Note"/>
        <w:keepLines/>
      </w:pPr>
      <w:r w:rsidRPr="00180E66">
        <w:rPr>
          <w:b/>
          <w:bCs/>
        </w:rPr>
        <w:t>a.</w:t>
      </w:r>
      <w:r>
        <w:t xml:space="preserve"> </w:t>
      </w:r>
      <w:r w:rsidRPr="00B56B4B">
        <w:t xml:space="preserve">Current prices. </w:t>
      </w:r>
      <w:r w:rsidRPr="00B56B4B">
        <w:rPr>
          <w:b/>
        </w:rPr>
        <w:t>b</w:t>
      </w:r>
      <w:r>
        <w:rPr>
          <w:b/>
        </w:rPr>
        <w:t>.</w:t>
      </w:r>
      <w:r w:rsidRPr="00B56B4B">
        <w:t xml:space="preserve"> Among those who received a gift.</w:t>
      </w:r>
    </w:p>
    <w:p w14:paraId="5EF93945" w14:textId="2EEFC098" w:rsidR="006E0ED6" w:rsidRDefault="006E0ED6" w:rsidP="006E0ED6">
      <w:pPr>
        <w:pStyle w:val="Source"/>
      </w:pPr>
      <w:r w:rsidRPr="00696447">
        <w:t xml:space="preserve">Source: </w:t>
      </w:r>
      <w:r w:rsidRPr="00BE5026">
        <w:t xml:space="preserve">Productivity Commission estimates using </w:t>
      </w:r>
      <w:r w:rsidRPr="00BE5026">
        <w:rPr>
          <w:iCs/>
        </w:rPr>
        <w:t>Cobb</w:t>
      </w:r>
      <w:r w:rsidR="000F62DC">
        <w:rPr>
          <w:iCs/>
        </w:rPr>
        <w:noBreakHyphen/>
      </w:r>
      <w:r w:rsidRPr="00BE5026">
        <w:rPr>
          <w:iCs/>
        </w:rPr>
        <w:t xml:space="preserve">Clark and Gørgens </w:t>
      </w:r>
      <w:r w:rsidRPr="00BE5026">
        <w:rPr>
          <w:iCs/>
        </w:rPr>
        <w:fldChar w:fldCharType="begin"/>
      </w:r>
      <w:r w:rsidR="0047772E">
        <w:rPr>
          <w:iCs/>
        </w:rPr>
        <w:instrText xml:space="preserve"> ADDIN ZOTERO_ITEM CSL_CITATION {"citationID":"Cjo73h4A","properties":{"formattedCitation":"(2011)","plainCitation":"(2011)","noteIndex":0},"citationItems":[{"id":1981,"uris":["http://zotero.org/groups/2714158/items/TRNJF63P"],"uri":["http://zotero.org/groups/2714158/items/TRNJF63P"],"itemData":{"id":1981,"type":"report","collection-title":"Youth in Focus Project Discussion Paper Series","number":"10","title":"The Capacity of Families to Support Young Australians: Financial Transfers from Parents, Co-Residence, and Youth Outcomes","author":[{"family":"Cobb-Clark","given":"Deborah"},{"family":"Gørgens","given":"Tue"}],"accessed":{"date-parts":[["2021",6,10]]},"issued":{"date-parts":[["2011"]]}},"suppress-author":true}],"schema":"https://github.com/citation-style-language/schema/raw/master/csl-citation.json"} </w:instrText>
      </w:r>
      <w:r w:rsidRPr="00BE5026">
        <w:rPr>
          <w:iCs/>
        </w:rPr>
        <w:fldChar w:fldCharType="separate"/>
      </w:r>
      <w:r w:rsidRPr="00BE5026">
        <w:t>(2011)</w:t>
      </w:r>
      <w:r w:rsidRPr="00BE5026">
        <w:fldChar w:fldCharType="end"/>
      </w:r>
      <w:r w:rsidRPr="00BE5026">
        <w:rPr>
          <w:iCs/>
        </w:rPr>
        <w:t>; HILDA Restricted Release</w:t>
      </w:r>
      <w:r w:rsidR="00823CE8">
        <w:rPr>
          <w:iCs/>
        </w:rPr>
        <w:t> </w:t>
      </w:r>
      <w:r w:rsidRPr="00BE5026">
        <w:rPr>
          <w:iCs/>
        </w:rPr>
        <w:t>19.</w:t>
      </w:r>
    </w:p>
    <w:p w14:paraId="1A16E888" w14:textId="77777777" w:rsidR="006E0ED6" w:rsidRDefault="006E0ED6" w:rsidP="00D208A3">
      <w:pPr>
        <w:pStyle w:val="Heading2"/>
      </w:pPr>
      <w:bookmarkStart w:id="13" w:name="_Toc87543955"/>
      <w:r>
        <w:lastRenderedPageBreak/>
        <w:t>Total value of wealth transfers</w:t>
      </w:r>
      <w:bookmarkEnd w:id="13"/>
    </w:p>
    <w:p w14:paraId="7BE3626C" w14:textId="77777777" w:rsidR="006E0ED6" w:rsidRDefault="006E0ED6" w:rsidP="006E0ED6">
      <w:pPr>
        <w:pStyle w:val="BodyText"/>
        <w:keepNext/>
      </w:pPr>
      <w:r>
        <w:t xml:space="preserve">The Commission’s best estimate of the total value of wealth transfers in Australia, including inheritances and gifts, was $120 billion in 2018 (figure 1.14). </w:t>
      </w:r>
    </w:p>
    <w:p w14:paraId="5D43D234" w14:textId="77777777" w:rsidR="006E0ED6" w:rsidRDefault="006E0ED6" w:rsidP="006E0ED6">
      <w:pPr>
        <w:pStyle w:val="BodyText"/>
      </w:pPr>
      <w:r>
        <w:t xml:space="preserve">Between 2002 and 2018 the aggregate value of wealth transfers was approximately $1.5 trillion, of which $1.3 trillion was inheritances and $155 billion was gifts. </w:t>
      </w:r>
    </w:p>
    <w:p w14:paraId="0DE3F03B" w14:textId="62395048"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1</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14</w:t>
      </w:r>
      <w:r w:rsidR="00B2270C">
        <w:rPr>
          <w:noProof/>
        </w:rPr>
        <w:fldChar w:fldCharType="end"/>
      </w:r>
      <w:r>
        <w:rPr>
          <w:noProof/>
        </w:rPr>
        <w:t xml:space="preserve"> </w:t>
      </w:r>
      <w:r>
        <w:t>– The value of wealth transfers is increasing</w:t>
      </w:r>
      <w:r w:rsidRPr="00066CF5">
        <w:rPr>
          <w:vertAlign w:val="superscript"/>
        </w:rPr>
        <w:t>a</w:t>
      </w:r>
    </w:p>
    <w:p w14:paraId="7C83CB04" w14:textId="2B979A1D" w:rsidR="006E0ED6" w:rsidRPr="005550A0" w:rsidRDefault="006F00E0" w:rsidP="006E0ED6">
      <w:pPr>
        <w:pStyle w:val="BodyText"/>
      </w:pPr>
      <w:r w:rsidRPr="006F00E0">
        <w:rPr>
          <w:noProof/>
        </w:rPr>
        <w:drawing>
          <wp:inline distT="0" distB="0" distL="0" distR="0" wp14:anchorId="765AFE92" wp14:editId="474D8471">
            <wp:extent cx="6120130" cy="2875280"/>
            <wp:effectExtent l="0" t="0" r="0" b="0"/>
            <wp:docPr id="174" name="Picture 174" descr="Figure 1.14. This chart shows the aggregate value of wealth transfers from 2002 to 2018, separated as inheritances and gifts. Inheritances make up the vast majority of total wealth transfer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Figure 1.14. This chart shows the aggregate value of wealth transfers from 2002 to 2018, separated as inheritances and gifts. Inheritances make up the vast majority of total wealth transfers. More details are contained in the text surrounding this figu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67105282" w14:textId="77777777" w:rsidR="006E0ED6" w:rsidRDefault="006E0ED6" w:rsidP="006E0ED6">
      <w:pPr>
        <w:pStyle w:val="Note"/>
        <w:keepLines/>
      </w:pPr>
      <w:r w:rsidRPr="00180E66">
        <w:rPr>
          <w:b/>
          <w:bCs/>
        </w:rPr>
        <w:t>a.</w:t>
      </w:r>
      <w:r>
        <w:t xml:space="preserve"> Estimates</w:t>
      </w:r>
      <w:r w:rsidRPr="00E016D6">
        <w:t xml:space="preserve"> of the total value of wealth transfers are based on the outflow measure of inheritances as described in section</w:t>
      </w:r>
      <w:r>
        <w:t> </w:t>
      </w:r>
      <w:r w:rsidRPr="00E016D6">
        <w:t>1.2 and the reported value of gifts in HILDA as described in section</w:t>
      </w:r>
      <w:r>
        <w:t> </w:t>
      </w:r>
      <w:r w:rsidRPr="00E016D6">
        <w:t>1.3.</w:t>
      </w:r>
    </w:p>
    <w:p w14:paraId="783A4161" w14:textId="5B9C82E8" w:rsidR="006E0ED6" w:rsidRDefault="006E0ED6" w:rsidP="006E0ED6">
      <w:pPr>
        <w:pStyle w:val="Source"/>
      </w:pPr>
      <w:r w:rsidRPr="00696447">
        <w:t xml:space="preserve">Source: </w:t>
      </w:r>
      <w:r w:rsidRPr="006213F6">
        <w:rPr>
          <w:iCs/>
        </w:rPr>
        <w:t>Productivity Commission estimates using: ABS (</w:t>
      </w:r>
      <w:r w:rsidRPr="006213F6">
        <w:rPr>
          <w:i/>
        </w:rPr>
        <w:t>Deaths, Australia, 2019,</w:t>
      </w:r>
      <w:r w:rsidRPr="006213F6">
        <w:rPr>
          <w:iCs/>
        </w:rPr>
        <w:t xml:space="preserve"> Cat. no. 3302.0); ACFA </w:t>
      </w:r>
      <w:r w:rsidRPr="006213F6">
        <w:rPr>
          <w:iCs/>
        </w:rPr>
        <w:fldChar w:fldCharType="begin"/>
      </w:r>
      <w:r w:rsidR="0047772E">
        <w:rPr>
          <w:iCs/>
        </w:rPr>
        <w:instrText xml:space="preserve"> ADDIN ZOTERO_ITEM CSL_CITATION {"citationID":"dSMox7Hq","properties":{"formattedCitation":"(2020b, 2021)","plainCitation":"(2020b, 2021)","noteIndex":0},"citationItems":[{"id":3225,"uris":["http://zotero.org/groups/2714158/items/D655C25C"],"uri":["http://zotero.org/groups/2714158/items/D655C25C"],"itemData":{"id":3225,"type":"report","page":"116","title":"The Protection of Residential Aged Care Accommodation Lump Sump Accommodation Payments","author":[{"literal":"Aged Care Financing Authority"}],"translator":[{"literal":"ACFA"}],"accessed":{"date-parts":[["2021",11,1]]},"issued":{"date-parts":[["2020"]]}},"suppress-author":true},{"id":1784,"uris":["http://zotero.org/groups/2714158/items/IYYVPNUV"],"uri":["http://zotero.org/groups/2714158/items/IYYVPNUV"],"itemData":{"id":1784,"type":"report","title":"Review of the Current and Future Role of Refundable Accommodation Deposits in Aged Care","author":[{"literal":"Aged Care Financing Authority"}],"translator":[{"literal":"ACFA"}],"accessed":{"date-parts":[["2021",3,25]]},"issued":{"date-parts":[["2021",3,24]]}},"suppress-author":true}],"schema":"https://github.com/citation-style-language/schema/raw/master/csl-citation.json"} </w:instrText>
      </w:r>
      <w:r w:rsidRPr="006213F6">
        <w:rPr>
          <w:iCs/>
        </w:rPr>
        <w:fldChar w:fldCharType="separate"/>
      </w:r>
      <w:r w:rsidR="007A60F8" w:rsidRPr="007A60F8">
        <w:rPr>
          <w:rFonts w:ascii="Arial" w:hAnsi="Arial" w:cs="Arial"/>
        </w:rPr>
        <w:t>(2020b, 2021)</w:t>
      </w:r>
      <w:r w:rsidRPr="006213F6">
        <w:fldChar w:fldCharType="end"/>
      </w:r>
      <w:r w:rsidRPr="006213F6">
        <w:rPr>
          <w:iCs/>
        </w:rPr>
        <w:t xml:space="preserve">; AIHW </w:t>
      </w:r>
      <w:r w:rsidRPr="006213F6">
        <w:rPr>
          <w:iCs/>
        </w:rPr>
        <w:fldChar w:fldCharType="begin"/>
      </w:r>
      <w:r w:rsidR="0047772E">
        <w:rPr>
          <w:iCs/>
        </w:rPr>
        <w:instrText xml:space="preserve"> ADDIN ZOTERO_ITEM CSL_CITATION {"citationID":"WtdHyBwa","properties":{"formattedCitation":"(2021b)","plainCitation":"(2021b)","noteIndex":0},"citationItems":[{"id":1757,"uris":["http://zotero.org/groups/2714158/items/HWGSNZRW"],"uri":["http://zotero.org/groups/2714158/items/HWGSNZRW"],"itemData":{"id":1757,"type":"webpage","abstract":"Just as people enter aged care services, they also leave. In this section, learn about how, why and when people leave aged care services.","container-title":"GEN Aged Care Data","language":"en","title":"People Leaving Aged Care","URL":"https://www.gen-agedcaredata.gov.au/Topics/People-leaving-aged-care","author":[{"family":"Australian Institute of Health and Welfare","given":""}],"translator":[{"literal":"AIHW"}],"accessed":{"date-parts":[["2021",4,1]]},"issued":{"date-parts":[["2021"]]}},"suppress-author":true}],"schema":"https://github.com/citation-style-language/schema/raw/master/csl-citation.json"} </w:instrText>
      </w:r>
      <w:r w:rsidRPr="006213F6">
        <w:rPr>
          <w:iCs/>
        </w:rPr>
        <w:fldChar w:fldCharType="separate"/>
      </w:r>
      <w:r w:rsidR="00816542" w:rsidRPr="00816542">
        <w:rPr>
          <w:rFonts w:ascii="Arial" w:hAnsi="Arial" w:cs="Arial"/>
        </w:rPr>
        <w:t>(2021b)</w:t>
      </w:r>
      <w:r w:rsidRPr="006213F6">
        <w:fldChar w:fldCharType="end"/>
      </w:r>
      <w:r w:rsidRPr="006213F6">
        <w:rPr>
          <w:iCs/>
        </w:rPr>
        <w:t>; HILDA Restricted Release</w:t>
      </w:r>
      <w:r w:rsidR="00607AE2">
        <w:rPr>
          <w:iCs/>
        </w:rPr>
        <w:t> </w:t>
      </w:r>
      <w:r w:rsidRPr="006213F6">
        <w:rPr>
          <w:iCs/>
        </w:rPr>
        <w:t>19.</w:t>
      </w:r>
    </w:p>
    <w:p w14:paraId="6DEB259D" w14:textId="77777777" w:rsidR="006E0ED6" w:rsidRDefault="006E0ED6" w:rsidP="006E0ED6">
      <w:pPr>
        <w:pStyle w:val="Heading3"/>
      </w:pPr>
      <w:r>
        <w:t>International comparisons</w:t>
      </w:r>
    </w:p>
    <w:p w14:paraId="710EF024" w14:textId="77777777" w:rsidR="006E0ED6" w:rsidRDefault="006E0ED6" w:rsidP="006E0ED6">
      <w:pPr>
        <w:pStyle w:val="BodyText"/>
      </w:pPr>
      <w:r>
        <w:t xml:space="preserve">The total value of wealth transfers in Australia in 2018 was equivalent to about 6.5 per cent of gross national income. This is lower than in other countries for which comparisons were available. The share in Italy, which has the largest wealth transfers as a share of national income, was more than twice as large (table 1.2). </w:t>
      </w:r>
    </w:p>
    <w:p w14:paraId="651F9BDF" w14:textId="3D98DC14" w:rsidR="006E0ED6" w:rsidRPr="00F548A8" w:rsidRDefault="006E0ED6" w:rsidP="006E0ED6">
      <w:pPr>
        <w:pStyle w:val="FigureTableHeading"/>
        <w:spacing w:after="120"/>
        <w:rPr>
          <w:spacing w:val="-6"/>
        </w:rPr>
      </w:pPr>
      <w:r w:rsidRPr="00F548A8">
        <w:rPr>
          <w:spacing w:val="-6"/>
        </w:rPr>
        <w:t xml:space="preserve">Table </w:t>
      </w:r>
      <w:r w:rsidRPr="00F548A8">
        <w:rPr>
          <w:spacing w:val="-6"/>
        </w:rPr>
        <w:fldChar w:fldCharType="begin"/>
      </w:r>
      <w:r w:rsidRPr="00F548A8">
        <w:rPr>
          <w:spacing w:val="-6"/>
        </w:rPr>
        <w:instrText xml:space="preserve"> STYLEREF 1 \s </w:instrText>
      </w:r>
      <w:r w:rsidRPr="00F548A8">
        <w:rPr>
          <w:spacing w:val="-6"/>
        </w:rPr>
        <w:fldChar w:fldCharType="separate"/>
      </w:r>
      <w:r w:rsidR="00F3386D">
        <w:rPr>
          <w:noProof/>
          <w:spacing w:val="-6"/>
        </w:rPr>
        <w:t>1</w:t>
      </w:r>
      <w:r w:rsidRPr="00F548A8">
        <w:rPr>
          <w:noProof/>
          <w:spacing w:val="-6"/>
        </w:rPr>
        <w:fldChar w:fldCharType="end"/>
      </w:r>
      <w:r w:rsidRPr="00F548A8">
        <w:rPr>
          <w:spacing w:val="-6"/>
        </w:rPr>
        <w:t>.</w:t>
      </w:r>
      <w:r w:rsidRPr="00F548A8">
        <w:rPr>
          <w:spacing w:val="-6"/>
        </w:rPr>
        <w:fldChar w:fldCharType="begin"/>
      </w:r>
      <w:r w:rsidRPr="00F548A8">
        <w:rPr>
          <w:spacing w:val="-6"/>
        </w:rPr>
        <w:instrText xml:space="preserve"> SEQ Table \* ARABIC \s 1 </w:instrText>
      </w:r>
      <w:r w:rsidRPr="00F548A8">
        <w:rPr>
          <w:spacing w:val="-6"/>
        </w:rPr>
        <w:fldChar w:fldCharType="separate"/>
      </w:r>
      <w:r w:rsidR="00F3386D">
        <w:rPr>
          <w:noProof/>
          <w:spacing w:val="-6"/>
        </w:rPr>
        <w:t>2</w:t>
      </w:r>
      <w:r w:rsidRPr="00F548A8">
        <w:rPr>
          <w:noProof/>
          <w:spacing w:val="-6"/>
        </w:rPr>
        <w:fldChar w:fldCharType="end"/>
      </w:r>
      <w:r w:rsidRPr="00F548A8">
        <w:rPr>
          <w:noProof/>
          <w:spacing w:val="-6"/>
        </w:rPr>
        <w:t xml:space="preserve"> – </w:t>
      </w:r>
      <w:r w:rsidRPr="00F548A8">
        <w:rPr>
          <w:spacing w:val="-6"/>
        </w:rPr>
        <w:t>Wealth transfers are larger as a share of gross national income in other countries</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6"/>
      </w:tblGrid>
      <w:tr w:rsidR="006E0ED6" w:rsidRPr="000D1746" w14:paraId="75E311D6" w14:textId="77777777" w:rsidTr="001625EC">
        <w:trPr>
          <w:tblHeader/>
        </w:trPr>
        <w:tc>
          <w:tcPr>
            <w:tcW w:w="714" w:type="pct"/>
            <w:tcBorders>
              <w:bottom w:val="single" w:sz="4" w:space="0" w:color="B3B3B3"/>
            </w:tcBorders>
            <w:shd w:val="clear" w:color="auto" w:fill="auto"/>
            <w:tcMar>
              <w:top w:w="28" w:type="dxa"/>
            </w:tcMar>
            <w:vAlign w:val="bottom"/>
          </w:tcPr>
          <w:p w14:paraId="08ABB187" w14:textId="77777777" w:rsidR="006E0ED6" w:rsidRPr="000D1746" w:rsidRDefault="006E0ED6" w:rsidP="001625EC">
            <w:pPr>
              <w:pStyle w:val="TableColumnHeading"/>
              <w:spacing w:before="45" w:after="45"/>
              <w:ind w:left="57" w:right="108"/>
              <w:jc w:val="left"/>
              <w:rPr>
                <w:rFonts w:ascii="Arial (Body)" w:hAnsi="Arial (Body)"/>
                <w:b/>
                <w:i w:val="0"/>
                <w:iCs/>
                <w:color w:val="265A9A"/>
              </w:rPr>
            </w:pPr>
            <w:r w:rsidRPr="000D1746">
              <w:rPr>
                <w:rFonts w:ascii="Arial (Body)" w:hAnsi="Arial (Body)"/>
                <w:b/>
                <w:i w:val="0"/>
                <w:iCs/>
                <w:color w:val="265A9A"/>
              </w:rPr>
              <w:t>Country</w:t>
            </w:r>
          </w:p>
        </w:tc>
        <w:tc>
          <w:tcPr>
            <w:tcW w:w="714" w:type="pct"/>
            <w:tcBorders>
              <w:bottom w:val="single" w:sz="4" w:space="0" w:color="B3B3B3"/>
            </w:tcBorders>
            <w:shd w:val="clear" w:color="auto" w:fill="auto"/>
            <w:vAlign w:val="bottom"/>
          </w:tcPr>
          <w:p w14:paraId="3DC630A8" w14:textId="77777777" w:rsidR="006E0ED6" w:rsidRPr="000D1746" w:rsidRDefault="006E0ED6" w:rsidP="001625EC">
            <w:pPr>
              <w:pStyle w:val="TableColumnHeading"/>
              <w:spacing w:before="45" w:after="45"/>
              <w:ind w:left="57" w:right="108"/>
              <w:rPr>
                <w:rFonts w:ascii="Arial (Body)" w:hAnsi="Arial (Body)"/>
                <w:b/>
                <w:i w:val="0"/>
                <w:color w:val="265A9A"/>
              </w:rPr>
            </w:pPr>
            <w:r w:rsidRPr="000D1746">
              <w:rPr>
                <w:rFonts w:ascii="Arial (Body)" w:hAnsi="Arial (Body)"/>
                <w:b/>
                <w:i w:val="0"/>
                <w:color w:val="265A9A"/>
              </w:rPr>
              <w:t>Australia</w:t>
            </w:r>
            <w:r w:rsidRPr="000D1746">
              <w:rPr>
                <w:rFonts w:ascii="Arial (Body)" w:hAnsi="Arial (Body)"/>
                <w:b/>
                <w:i w:val="0"/>
                <w:color w:val="265A9A"/>
                <w:vertAlign w:val="superscript"/>
              </w:rPr>
              <w:t>a,b</w:t>
            </w:r>
          </w:p>
        </w:tc>
        <w:tc>
          <w:tcPr>
            <w:tcW w:w="714" w:type="pct"/>
            <w:tcBorders>
              <w:bottom w:val="single" w:sz="4" w:space="0" w:color="B3B3B3"/>
            </w:tcBorders>
            <w:shd w:val="clear" w:color="auto" w:fill="auto"/>
            <w:tcMar>
              <w:top w:w="28" w:type="dxa"/>
            </w:tcMar>
            <w:vAlign w:val="bottom"/>
          </w:tcPr>
          <w:p w14:paraId="774561BD" w14:textId="77777777" w:rsidR="006E0ED6" w:rsidRPr="000D1746" w:rsidRDefault="006E0ED6" w:rsidP="001625EC">
            <w:pPr>
              <w:pStyle w:val="TableColumnHeading"/>
              <w:spacing w:before="45" w:after="45"/>
              <w:ind w:left="57" w:right="108"/>
              <w:rPr>
                <w:rFonts w:ascii="Arial (Body)" w:hAnsi="Arial (Body)"/>
                <w:b/>
                <w:i w:val="0"/>
                <w:color w:val="265A9A"/>
              </w:rPr>
            </w:pPr>
            <w:r w:rsidRPr="000D1746">
              <w:rPr>
                <w:rFonts w:ascii="Arial (Body)" w:hAnsi="Arial (Body)"/>
                <w:b/>
                <w:i w:val="0"/>
                <w:color w:val="265A9A"/>
              </w:rPr>
              <w:t>France</w:t>
            </w:r>
          </w:p>
        </w:tc>
        <w:tc>
          <w:tcPr>
            <w:tcW w:w="714" w:type="pct"/>
            <w:tcBorders>
              <w:bottom w:val="single" w:sz="4" w:space="0" w:color="B3B3B3"/>
            </w:tcBorders>
            <w:shd w:val="clear" w:color="auto" w:fill="auto"/>
            <w:vAlign w:val="bottom"/>
          </w:tcPr>
          <w:p w14:paraId="3BC37F27" w14:textId="77777777" w:rsidR="006E0ED6" w:rsidRPr="000D1746" w:rsidRDefault="006E0ED6" w:rsidP="001625EC">
            <w:pPr>
              <w:pStyle w:val="TableColumnHeading"/>
              <w:spacing w:before="45" w:after="45"/>
              <w:ind w:left="57" w:right="108"/>
              <w:rPr>
                <w:rFonts w:ascii="Arial (Body)" w:hAnsi="Arial (Body)"/>
                <w:b/>
                <w:i w:val="0"/>
                <w:color w:val="265A9A"/>
              </w:rPr>
            </w:pPr>
            <w:r w:rsidRPr="000D1746">
              <w:rPr>
                <w:rFonts w:ascii="Arial (Body)" w:hAnsi="Arial (Body)"/>
                <w:b/>
                <w:i w:val="0"/>
                <w:color w:val="265A9A"/>
              </w:rPr>
              <w:t>Germany</w:t>
            </w:r>
          </w:p>
        </w:tc>
        <w:tc>
          <w:tcPr>
            <w:tcW w:w="714" w:type="pct"/>
            <w:tcBorders>
              <w:bottom w:val="single" w:sz="4" w:space="0" w:color="B3B3B3"/>
            </w:tcBorders>
            <w:shd w:val="clear" w:color="auto" w:fill="auto"/>
            <w:vAlign w:val="bottom"/>
          </w:tcPr>
          <w:p w14:paraId="55F1DFCC" w14:textId="77777777" w:rsidR="006E0ED6" w:rsidRPr="000D1746" w:rsidRDefault="006E0ED6" w:rsidP="001625EC">
            <w:pPr>
              <w:pStyle w:val="TableColumnHeading"/>
              <w:spacing w:before="45" w:after="45"/>
              <w:ind w:left="57" w:right="108"/>
              <w:rPr>
                <w:rFonts w:ascii="Arial (Body)" w:hAnsi="Arial (Body)"/>
                <w:b/>
                <w:i w:val="0"/>
                <w:color w:val="265A9A"/>
              </w:rPr>
            </w:pPr>
            <w:r w:rsidRPr="000D1746">
              <w:rPr>
                <w:rFonts w:ascii="Arial (Body)" w:hAnsi="Arial (Body)"/>
                <w:b/>
                <w:i w:val="0"/>
                <w:color w:val="265A9A"/>
              </w:rPr>
              <w:t>United Kingdom</w:t>
            </w:r>
          </w:p>
        </w:tc>
        <w:tc>
          <w:tcPr>
            <w:tcW w:w="714" w:type="pct"/>
            <w:tcBorders>
              <w:bottom w:val="single" w:sz="4" w:space="0" w:color="B3B3B3"/>
            </w:tcBorders>
            <w:shd w:val="clear" w:color="auto" w:fill="auto"/>
            <w:vAlign w:val="bottom"/>
          </w:tcPr>
          <w:p w14:paraId="3B236CC7" w14:textId="77777777" w:rsidR="006E0ED6" w:rsidRPr="000D1746" w:rsidRDefault="006E0ED6" w:rsidP="001625EC">
            <w:pPr>
              <w:pStyle w:val="TableColumnHeading"/>
              <w:spacing w:before="45" w:after="45"/>
              <w:ind w:left="57" w:right="108"/>
              <w:rPr>
                <w:rFonts w:ascii="Arial (Body)" w:hAnsi="Arial (Body)"/>
                <w:b/>
                <w:i w:val="0"/>
                <w:color w:val="265A9A"/>
              </w:rPr>
            </w:pPr>
            <w:r w:rsidRPr="000D1746">
              <w:rPr>
                <w:rFonts w:ascii="Arial (Body)" w:hAnsi="Arial (Body)"/>
                <w:b/>
                <w:i w:val="0"/>
                <w:color w:val="265A9A"/>
              </w:rPr>
              <w:t>United Kingdom</w:t>
            </w:r>
            <w:r w:rsidRPr="000D1746">
              <w:rPr>
                <w:rFonts w:ascii="Arial (Body)" w:hAnsi="Arial (Body)"/>
                <w:b/>
                <w:i w:val="0"/>
                <w:color w:val="265A9A"/>
                <w:vertAlign w:val="superscript"/>
              </w:rPr>
              <w:t>b</w:t>
            </w:r>
          </w:p>
        </w:tc>
        <w:tc>
          <w:tcPr>
            <w:tcW w:w="714" w:type="pct"/>
            <w:tcBorders>
              <w:bottom w:val="single" w:sz="4" w:space="0" w:color="B3B3B3"/>
            </w:tcBorders>
            <w:shd w:val="clear" w:color="auto" w:fill="auto"/>
            <w:vAlign w:val="bottom"/>
          </w:tcPr>
          <w:p w14:paraId="5910D5B3" w14:textId="77777777" w:rsidR="006E0ED6" w:rsidRPr="000D1746" w:rsidRDefault="006E0ED6" w:rsidP="001625EC">
            <w:pPr>
              <w:pStyle w:val="TableColumnHeading"/>
              <w:spacing w:before="45" w:after="45"/>
              <w:ind w:left="57" w:right="108"/>
              <w:rPr>
                <w:rFonts w:ascii="Arial (Body)" w:hAnsi="Arial (Body)"/>
                <w:b/>
                <w:i w:val="0"/>
                <w:color w:val="265A9A"/>
              </w:rPr>
            </w:pPr>
            <w:r w:rsidRPr="000D1746">
              <w:rPr>
                <w:rFonts w:ascii="Arial (Body)" w:hAnsi="Arial (Body)"/>
                <w:b/>
                <w:i w:val="0"/>
                <w:color w:val="265A9A"/>
              </w:rPr>
              <w:t>Italy</w:t>
            </w:r>
          </w:p>
        </w:tc>
      </w:tr>
      <w:tr w:rsidR="006E0ED6" w:rsidRPr="000D1746" w14:paraId="61C15C97" w14:textId="77777777" w:rsidTr="001625EC">
        <w:tc>
          <w:tcPr>
            <w:tcW w:w="714" w:type="pct"/>
            <w:tcBorders>
              <w:top w:val="single" w:sz="4" w:space="0" w:color="B3B3B3"/>
              <w:bottom w:val="nil"/>
            </w:tcBorders>
            <w:shd w:val="clear" w:color="auto" w:fill="F1F1F1"/>
          </w:tcPr>
          <w:p w14:paraId="23302878" w14:textId="77777777" w:rsidR="006E0ED6" w:rsidRPr="000D1746" w:rsidRDefault="006E0ED6" w:rsidP="001625EC">
            <w:pPr>
              <w:pStyle w:val="TableUnitsRow"/>
              <w:spacing w:before="45" w:after="45"/>
              <w:ind w:left="57" w:right="108"/>
              <w:jc w:val="left"/>
              <w:rPr>
                <w:rFonts w:ascii="Arial (Body)" w:hAnsi="Arial (Body)"/>
                <w:b/>
                <w:color w:val="265A9A"/>
              </w:rPr>
            </w:pPr>
            <w:r w:rsidRPr="000D1746">
              <w:rPr>
                <w:rFonts w:ascii="Arial (Body)" w:hAnsi="Arial (Body)"/>
                <w:b/>
                <w:color w:val="265A9A"/>
              </w:rPr>
              <w:t>Transfers as a share of national income</w:t>
            </w:r>
          </w:p>
        </w:tc>
        <w:tc>
          <w:tcPr>
            <w:tcW w:w="714" w:type="pct"/>
            <w:tcBorders>
              <w:top w:val="single" w:sz="4" w:space="0" w:color="B3B3B3"/>
              <w:bottom w:val="nil"/>
            </w:tcBorders>
            <w:shd w:val="clear" w:color="auto" w:fill="F1F1F1"/>
          </w:tcPr>
          <w:p w14:paraId="098D4276" w14:textId="77777777" w:rsidR="006E0ED6" w:rsidRPr="000D1746" w:rsidRDefault="006E0ED6" w:rsidP="001625EC">
            <w:pPr>
              <w:pStyle w:val="TableUnitsRow"/>
              <w:spacing w:before="45" w:after="45"/>
              <w:ind w:left="57" w:right="108"/>
              <w:rPr>
                <w:rFonts w:ascii="Arial (Body)" w:hAnsi="Arial (Body)"/>
                <w:color w:val="000000"/>
              </w:rPr>
            </w:pPr>
            <w:r w:rsidRPr="000D1746">
              <w:rPr>
                <w:rFonts w:ascii="Arial (Body)" w:hAnsi="Arial (Body)"/>
                <w:color w:val="000000"/>
              </w:rPr>
              <w:t>6.5%</w:t>
            </w:r>
          </w:p>
        </w:tc>
        <w:tc>
          <w:tcPr>
            <w:tcW w:w="714" w:type="pct"/>
            <w:tcBorders>
              <w:top w:val="single" w:sz="4" w:space="0" w:color="B3B3B3"/>
              <w:bottom w:val="nil"/>
            </w:tcBorders>
            <w:shd w:val="clear" w:color="auto" w:fill="F1F1F1"/>
          </w:tcPr>
          <w:p w14:paraId="0B3B6B8F" w14:textId="77777777" w:rsidR="006E0ED6" w:rsidRPr="000D1746" w:rsidRDefault="006E0ED6" w:rsidP="001625EC">
            <w:pPr>
              <w:pStyle w:val="TableUnitsRow"/>
              <w:spacing w:before="45" w:after="45"/>
              <w:ind w:left="57" w:right="108"/>
              <w:rPr>
                <w:rFonts w:ascii="Arial (Body)" w:hAnsi="Arial (Body)"/>
                <w:color w:val="000000"/>
              </w:rPr>
            </w:pPr>
            <w:r w:rsidRPr="000D1746">
              <w:rPr>
                <w:rFonts w:ascii="Arial (Body)" w:hAnsi="Arial (Body)"/>
                <w:color w:val="000000"/>
              </w:rPr>
              <w:t>14.5%</w:t>
            </w:r>
          </w:p>
        </w:tc>
        <w:tc>
          <w:tcPr>
            <w:tcW w:w="714" w:type="pct"/>
            <w:tcBorders>
              <w:top w:val="single" w:sz="4" w:space="0" w:color="B3B3B3"/>
              <w:bottom w:val="nil"/>
            </w:tcBorders>
            <w:shd w:val="clear" w:color="auto" w:fill="F1F1F1"/>
          </w:tcPr>
          <w:p w14:paraId="0199F364" w14:textId="77777777" w:rsidR="006E0ED6" w:rsidRPr="000D1746" w:rsidRDefault="006E0ED6" w:rsidP="001625EC">
            <w:pPr>
              <w:pStyle w:val="TableUnitsRow"/>
              <w:spacing w:before="45" w:after="45"/>
              <w:ind w:left="57" w:right="108"/>
              <w:rPr>
                <w:rFonts w:ascii="Arial (Body)" w:hAnsi="Arial (Body)"/>
                <w:color w:val="000000"/>
              </w:rPr>
            </w:pPr>
            <w:r w:rsidRPr="000D1746">
              <w:rPr>
                <w:rFonts w:ascii="Arial (Body)" w:hAnsi="Arial (Body)"/>
                <w:color w:val="000000"/>
              </w:rPr>
              <w:t>10.7%</w:t>
            </w:r>
          </w:p>
        </w:tc>
        <w:tc>
          <w:tcPr>
            <w:tcW w:w="714" w:type="pct"/>
            <w:tcBorders>
              <w:top w:val="single" w:sz="4" w:space="0" w:color="B3B3B3"/>
              <w:bottom w:val="nil"/>
            </w:tcBorders>
            <w:shd w:val="clear" w:color="auto" w:fill="F1F1F1"/>
          </w:tcPr>
          <w:p w14:paraId="0A1AFDC7" w14:textId="77777777" w:rsidR="006E0ED6" w:rsidRPr="000D1746" w:rsidRDefault="006E0ED6" w:rsidP="001625EC">
            <w:pPr>
              <w:pStyle w:val="TableUnitsRow"/>
              <w:spacing w:before="45" w:after="45"/>
              <w:ind w:left="57" w:right="108"/>
              <w:rPr>
                <w:rFonts w:ascii="Arial (Body)" w:hAnsi="Arial (Body)"/>
                <w:color w:val="000000"/>
              </w:rPr>
            </w:pPr>
            <w:r w:rsidRPr="000D1746">
              <w:rPr>
                <w:rFonts w:ascii="Arial (Body)" w:hAnsi="Arial (Body)"/>
                <w:color w:val="000000"/>
              </w:rPr>
              <w:t>8.2%</w:t>
            </w:r>
          </w:p>
        </w:tc>
        <w:tc>
          <w:tcPr>
            <w:tcW w:w="714" w:type="pct"/>
            <w:tcBorders>
              <w:top w:val="single" w:sz="4" w:space="0" w:color="B3B3B3"/>
              <w:bottom w:val="nil"/>
            </w:tcBorders>
            <w:shd w:val="clear" w:color="auto" w:fill="F1F1F1"/>
          </w:tcPr>
          <w:p w14:paraId="4886627B" w14:textId="77777777" w:rsidR="006E0ED6" w:rsidRPr="000D1746" w:rsidRDefault="006E0ED6" w:rsidP="001625EC">
            <w:pPr>
              <w:pStyle w:val="TableUnitsRow"/>
              <w:spacing w:before="45" w:after="45"/>
              <w:ind w:left="57" w:right="108"/>
              <w:rPr>
                <w:rFonts w:ascii="Arial (Body)" w:hAnsi="Arial (Body)"/>
                <w:color w:val="000000"/>
              </w:rPr>
            </w:pPr>
            <w:r w:rsidRPr="000D1746">
              <w:rPr>
                <w:rFonts w:ascii="Arial (Body)" w:hAnsi="Arial (Body)"/>
                <w:color w:val="000000"/>
              </w:rPr>
              <w:t>7.4%</w:t>
            </w:r>
          </w:p>
        </w:tc>
        <w:tc>
          <w:tcPr>
            <w:tcW w:w="714" w:type="pct"/>
            <w:tcBorders>
              <w:top w:val="single" w:sz="4" w:space="0" w:color="B3B3B3"/>
              <w:bottom w:val="nil"/>
            </w:tcBorders>
            <w:shd w:val="clear" w:color="auto" w:fill="F1F1F1"/>
          </w:tcPr>
          <w:p w14:paraId="667CEDF2" w14:textId="77777777" w:rsidR="006E0ED6" w:rsidRPr="000D1746" w:rsidRDefault="006E0ED6" w:rsidP="001625EC">
            <w:pPr>
              <w:pStyle w:val="TableUnitsRow"/>
              <w:spacing w:before="45" w:after="45"/>
              <w:ind w:left="57" w:right="108"/>
              <w:rPr>
                <w:rFonts w:ascii="Arial (Body)" w:hAnsi="Arial (Body)"/>
                <w:color w:val="000000"/>
              </w:rPr>
            </w:pPr>
            <w:r w:rsidRPr="000D1746">
              <w:rPr>
                <w:rFonts w:ascii="Arial (Body)" w:hAnsi="Arial (Body)"/>
                <w:color w:val="000000"/>
              </w:rPr>
              <w:t>15.1%</w:t>
            </w:r>
          </w:p>
        </w:tc>
      </w:tr>
      <w:tr w:rsidR="006E0ED6" w:rsidRPr="000D1746" w14:paraId="661B5BB4" w14:textId="77777777" w:rsidTr="001625EC">
        <w:tc>
          <w:tcPr>
            <w:tcW w:w="714" w:type="pct"/>
            <w:tcBorders>
              <w:top w:val="nil"/>
              <w:bottom w:val="nil"/>
            </w:tcBorders>
            <w:shd w:val="clear" w:color="auto" w:fill="auto"/>
          </w:tcPr>
          <w:p w14:paraId="5209FA7A" w14:textId="77777777" w:rsidR="006E0ED6" w:rsidRPr="000D1746" w:rsidRDefault="006E0ED6" w:rsidP="001625EC">
            <w:pPr>
              <w:pStyle w:val="TableBodyText"/>
              <w:spacing w:before="45" w:after="45"/>
              <w:ind w:left="57" w:right="108"/>
              <w:jc w:val="left"/>
              <w:rPr>
                <w:rFonts w:ascii="Arial (Body)" w:hAnsi="Arial (Body)"/>
                <w:b/>
                <w:color w:val="265A9A"/>
              </w:rPr>
            </w:pPr>
            <w:r w:rsidRPr="000D1746">
              <w:rPr>
                <w:rFonts w:ascii="Arial (Body)" w:hAnsi="Arial (Body)"/>
                <w:b/>
                <w:color w:val="265A9A"/>
              </w:rPr>
              <w:t>Year</w:t>
            </w:r>
          </w:p>
        </w:tc>
        <w:tc>
          <w:tcPr>
            <w:tcW w:w="714" w:type="pct"/>
            <w:tcBorders>
              <w:top w:val="nil"/>
              <w:bottom w:val="nil"/>
            </w:tcBorders>
            <w:shd w:val="clear" w:color="auto" w:fill="auto"/>
          </w:tcPr>
          <w:p w14:paraId="63DAEA31" w14:textId="77777777"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2018</w:t>
            </w:r>
          </w:p>
        </w:tc>
        <w:tc>
          <w:tcPr>
            <w:tcW w:w="714" w:type="pct"/>
            <w:tcBorders>
              <w:top w:val="nil"/>
              <w:bottom w:val="nil"/>
            </w:tcBorders>
            <w:shd w:val="clear" w:color="auto" w:fill="auto"/>
          </w:tcPr>
          <w:p w14:paraId="60574BC4" w14:textId="77777777"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2010</w:t>
            </w:r>
          </w:p>
        </w:tc>
        <w:tc>
          <w:tcPr>
            <w:tcW w:w="714" w:type="pct"/>
            <w:tcBorders>
              <w:top w:val="nil"/>
              <w:bottom w:val="nil"/>
            </w:tcBorders>
            <w:shd w:val="clear" w:color="auto" w:fill="auto"/>
          </w:tcPr>
          <w:p w14:paraId="1002829C" w14:textId="77777777"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2010</w:t>
            </w:r>
          </w:p>
        </w:tc>
        <w:tc>
          <w:tcPr>
            <w:tcW w:w="714" w:type="pct"/>
            <w:tcBorders>
              <w:top w:val="nil"/>
              <w:bottom w:val="nil"/>
            </w:tcBorders>
            <w:shd w:val="clear" w:color="auto" w:fill="auto"/>
          </w:tcPr>
          <w:p w14:paraId="4B595D6F" w14:textId="77777777"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2010</w:t>
            </w:r>
          </w:p>
        </w:tc>
        <w:tc>
          <w:tcPr>
            <w:tcW w:w="714" w:type="pct"/>
            <w:tcBorders>
              <w:top w:val="nil"/>
              <w:bottom w:val="nil"/>
            </w:tcBorders>
            <w:shd w:val="clear" w:color="auto" w:fill="auto"/>
          </w:tcPr>
          <w:p w14:paraId="3E623F18" w14:textId="77777777"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2008</w:t>
            </w:r>
          </w:p>
        </w:tc>
        <w:tc>
          <w:tcPr>
            <w:tcW w:w="714" w:type="pct"/>
            <w:tcBorders>
              <w:top w:val="nil"/>
              <w:bottom w:val="nil"/>
            </w:tcBorders>
            <w:shd w:val="clear" w:color="auto" w:fill="auto"/>
          </w:tcPr>
          <w:p w14:paraId="5A1B5867" w14:textId="77777777"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2016</w:t>
            </w:r>
          </w:p>
        </w:tc>
      </w:tr>
      <w:tr w:rsidR="006E0ED6" w:rsidRPr="000D1746" w14:paraId="6A495D91" w14:textId="77777777" w:rsidTr="001625EC">
        <w:tc>
          <w:tcPr>
            <w:tcW w:w="714" w:type="pct"/>
            <w:tcBorders>
              <w:bottom w:val="single" w:sz="4" w:space="0" w:color="B3B3B3"/>
            </w:tcBorders>
            <w:shd w:val="clear" w:color="auto" w:fill="F1F1F1"/>
          </w:tcPr>
          <w:p w14:paraId="429A04FF" w14:textId="77777777" w:rsidR="006E0ED6" w:rsidRPr="000D1746" w:rsidRDefault="006E0ED6" w:rsidP="001625EC">
            <w:pPr>
              <w:pStyle w:val="TableBodyText"/>
              <w:spacing w:before="45" w:after="45"/>
              <w:ind w:left="57" w:right="108"/>
              <w:jc w:val="left"/>
              <w:rPr>
                <w:rFonts w:ascii="Arial (Body)" w:hAnsi="Arial (Body)"/>
                <w:b/>
                <w:color w:val="265A9A"/>
              </w:rPr>
            </w:pPr>
            <w:r w:rsidRPr="000D1746">
              <w:rPr>
                <w:rFonts w:ascii="Arial (Body)" w:hAnsi="Arial (Body)"/>
                <w:b/>
                <w:color w:val="265A9A"/>
              </w:rPr>
              <w:t>Source</w:t>
            </w:r>
          </w:p>
        </w:tc>
        <w:tc>
          <w:tcPr>
            <w:tcW w:w="714" w:type="pct"/>
            <w:tcBorders>
              <w:bottom w:val="single" w:sz="4" w:space="0" w:color="B3B3B3"/>
            </w:tcBorders>
            <w:shd w:val="clear" w:color="auto" w:fill="F1F1F1"/>
          </w:tcPr>
          <w:p w14:paraId="29BE871A" w14:textId="21DEB730"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 xml:space="preserve">HILDA; ABS </w:t>
            </w:r>
            <w:r w:rsidRPr="000D1746">
              <w:rPr>
                <w:rFonts w:ascii="Arial (Body)" w:hAnsi="Arial (Body)"/>
                <w:color w:val="000000"/>
              </w:rPr>
              <w:fldChar w:fldCharType="begin"/>
            </w:r>
            <w:r w:rsidR="0047772E">
              <w:rPr>
                <w:rFonts w:ascii="Arial (Body)" w:hAnsi="Arial (Body)"/>
                <w:color w:val="000000"/>
              </w:rPr>
              <w:instrText xml:space="preserve"> ADDIN ZOTERO_ITEM CSL_CITATION {"citationID":"l5GomiKL","properties":{"formattedCitation":"(2020)","plainCitation":"(2020)","dontUpdate":true,"noteIndex":0},"citationItems":[{"id":1696,"uris":["http://zotero.org/groups/2714158/items/6SE33LN8"],"uri":["http://zotero.org/groups/2714158/items/6SE33LN8"],"itemData":{"id":1696,"type":"webpage","abstract":"Annual estimates of key economic measures, including GDP, consumption, investment, income, capital stock, productivity and balance sheets","language":"en","title":"Australian System of National Accounts, 2019-20 Financial Year","URL":"https://www.abs.gov.au/statistics/economy/national-accounts/australian-system-national-accounts/latest-release","author":[{"literal":"Australian Bureau of Statistics"}],"translator":[{"literal":"ABS"}],"accessed":{"date-parts":[["2021",2,18]]},"issued":{"date-parts":[["2020",10,30]]}},"suppress-author":true}],"schema":"https://github.com/citation-style-language/schema/raw/master/csl-citation.json"} </w:instrText>
            </w:r>
            <w:r w:rsidRPr="000D1746">
              <w:rPr>
                <w:rFonts w:ascii="Arial (Body)" w:hAnsi="Arial (Body)"/>
                <w:color w:val="000000"/>
              </w:rPr>
              <w:fldChar w:fldCharType="separate"/>
            </w:r>
            <w:r w:rsidRPr="000D1746">
              <w:rPr>
                <w:rFonts w:ascii="Arial (Body)" w:hAnsi="Arial (Body)" w:cs="Arial"/>
                <w:color w:val="000000"/>
              </w:rPr>
              <w:t>(2021)</w:t>
            </w:r>
            <w:r w:rsidRPr="000D1746">
              <w:rPr>
                <w:rFonts w:ascii="Arial (Body)" w:hAnsi="Arial (Body)"/>
                <w:color w:val="000000"/>
              </w:rPr>
              <w:fldChar w:fldCharType="end"/>
            </w:r>
          </w:p>
        </w:tc>
        <w:tc>
          <w:tcPr>
            <w:tcW w:w="714" w:type="pct"/>
            <w:tcBorders>
              <w:bottom w:val="single" w:sz="4" w:space="0" w:color="B3B3B3"/>
            </w:tcBorders>
            <w:shd w:val="clear" w:color="auto" w:fill="F1F1F1"/>
          </w:tcPr>
          <w:p w14:paraId="0D51A978" w14:textId="57A8B506"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 xml:space="preserve">Piketty </w:t>
            </w:r>
            <w:r w:rsidRPr="000D1746">
              <w:rPr>
                <w:rFonts w:ascii="Arial (Body)" w:hAnsi="Arial (Body)"/>
                <w:color w:val="000000"/>
              </w:rPr>
              <w:fldChar w:fldCharType="begin"/>
            </w:r>
            <w:r w:rsidR="0047772E">
              <w:rPr>
                <w:rFonts w:ascii="Arial (Body)" w:hAnsi="Arial (Body)"/>
                <w:color w:val="000000"/>
              </w:rPr>
              <w:instrText xml:space="preserve"> ADDIN ZOTERO_ITEM CSL_CITATION {"citationID":"y0DI8Fwh","properties":{"formattedCitation":"(2014, p.\\uc0\\u160{}425)","plainCitation":"(2014, p.</w:instrText>
            </w:r>
            <w:r w:rsidR="0047772E">
              <w:rPr>
                <w:rFonts w:ascii="Arial (Body)" w:hAnsi="Arial (Body)" w:hint="eastAsia"/>
                <w:color w:val="000000"/>
              </w:rPr>
              <w:instrText> </w:instrText>
            </w:r>
            <w:r w:rsidR="0047772E">
              <w:rPr>
                <w:rFonts w:ascii="Arial (Body)" w:hAnsi="Arial (Body)"/>
                <w:color w:val="000000"/>
              </w:rPr>
              <w:instrText xml:space="preserve">425)","noteIndex":0},"citationItems":[{"id":1687,"uris":["http://zotero.org/groups/2714158/items/8VI8XQ7V"],"uri":["http://zotero.org/groups/2714158/items/8VI8XQ7V"],"itemData":{"id":1687,"type":"book","call-number":"HB501 .P43613 2014","event-place":"Cambridge Massachusetts","ISBN":"978-0-674-43000-6","language":"eng","number-of-pages":"685","publisher":"The Belknap Press of Harvard University Press","publisher-place":"Cambridge Massachusetts","source":"Library of Congress ISBN","title":"Capital in the Twenty-First Century","author":[{"family":"Piketty","given":"Thomas"}],"accessed":{"date-parts":[["2021",2,22]]},"issued":{"date-parts":[["2014"]]}},"locator":"425","suppress-author":true}],"schema":"https://github.com/citation-style-language/schema/raw/master/csl-citation.json"} </w:instrText>
            </w:r>
            <w:r w:rsidRPr="000D1746">
              <w:rPr>
                <w:rFonts w:ascii="Arial (Body)" w:hAnsi="Arial (Body)"/>
                <w:color w:val="000000"/>
              </w:rPr>
              <w:fldChar w:fldCharType="separate"/>
            </w:r>
            <w:r w:rsidRPr="000D1746">
              <w:rPr>
                <w:rFonts w:ascii="Arial (Body)" w:hAnsi="Arial (Body)" w:cs="Arial"/>
                <w:color w:val="000000"/>
                <w:szCs w:val="24"/>
              </w:rPr>
              <w:t>(2014, p. 425)</w:t>
            </w:r>
            <w:r w:rsidRPr="000D1746">
              <w:rPr>
                <w:rFonts w:ascii="Arial (Body)" w:hAnsi="Arial (Body)"/>
                <w:color w:val="000000"/>
              </w:rPr>
              <w:fldChar w:fldCharType="end"/>
            </w:r>
          </w:p>
        </w:tc>
        <w:tc>
          <w:tcPr>
            <w:tcW w:w="714" w:type="pct"/>
            <w:tcBorders>
              <w:bottom w:val="single" w:sz="4" w:space="0" w:color="B3B3B3"/>
            </w:tcBorders>
            <w:shd w:val="clear" w:color="auto" w:fill="F1F1F1"/>
          </w:tcPr>
          <w:p w14:paraId="10DF1CD7" w14:textId="197E0A6E"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 xml:space="preserve">Piketty </w:t>
            </w:r>
            <w:r w:rsidRPr="000D1746">
              <w:rPr>
                <w:rFonts w:ascii="Arial (Body)" w:hAnsi="Arial (Body)"/>
                <w:color w:val="000000"/>
              </w:rPr>
              <w:fldChar w:fldCharType="begin"/>
            </w:r>
            <w:r w:rsidR="0047772E">
              <w:rPr>
                <w:rFonts w:ascii="Arial (Body)" w:hAnsi="Arial (Body)"/>
                <w:color w:val="000000"/>
              </w:rPr>
              <w:instrText xml:space="preserve"> ADDIN ZOTERO_ITEM CSL_CITATION {"citationID":"UT3iaQTS","properties":{"formattedCitation":"(2014, p.\\uc0\\u160{}425)","plainCitation":"(2014, p.</w:instrText>
            </w:r>
            <w:r w:rsidR="0047772E">
              <w:rPr>
                <w:rFonts w:ascii="Arial (Body)" w:hAnsi="Arial (Body)" w:hint="eastAsia"/>
                <w:color w:val="000000"/>
              </w:rPr>
              <w:instrText> </w:instrText>
            </w:r>
            <w:r w:rsidR="0047772E">
              <w:rPr>
                <w:rFonts w:ascii="Arial (Body)" w:hAnsi="Arial (Body)"/>
                <w:color w:val="000000"/>
              </w:rPr>
              <w:instrText xml:space="preserve">425)","noteIndex":0},"citationItems":[{"id":1687,"uris":["http://zotero.org/groups/2714158/items/8VI8XQ7V"],"uri":["http://zotero.org/groups/2714158/items/8VI8XQ7V"],"itemData":{"id":1687,"type":"book","call-number":"HB501 .P43613 2014","event-place":"Cambridge Massachusetts","ISBN":"978-0-674-43000-6","language":"eng","number-of-pages":"685","publisher":"The Belknap Press of Harvard University Press","publisher-place":"Cambridge Massachusetts","source":"Library of Congress ISBN","title":"Capital in the Twenty-First Century","author":[{"family":"Piketty","given":"Thomas"}],"accessed":{"date-parts":[["2021",2,22]]},"issued":{"date-parts":[["2014"]]}},"locator":"425","suppress-author":true}],"schema":"https://github.com/citation-style-language/schema/raw/master/csl-citation.json"} </w:instrText>
            </w:r>
            <w:r w:rsidRPr="000D1746">
              <w:rPr>
                <w:rFonts w:ascii="Arial (Body)" w:hAnsi="Arial (Body)"/>
                <w:color w:val="000000"/>
              </w:rPr>
              <w:fldChar w:fldCharType="separate"/>
            </w:r>
            <w:r w:rsidRPr="000D1746">
              <w:rPr>
                <w:rFonts w:ascii="Arial (Body)" w:hAnsi="Arial (Body)" w:cs="Arial"/>
                <w:color w:val="000000"/>
                <w:szCs w:val="24"/>
              </w:rPr>
              <w:t>(2014, p. 425)</w:t>
            </w:r>
            <w:r w:rsidRPr="000D1746">
              <w:rPr>
                <w:rFonts w:ascii="Arial (Body)" w:hAnsi="Arial (Body)"/>
                <w:color w:val="000000"/>
              </w:rPr>
              <w:fldChar w:fldCharType="end"/>
            </w:r>
          </w:p>
        </w:tc>
        <w:tc>
          <w:tcPr>
            <w:tcW w:w="714" w:type="pct"/>
            <w:tcBorders>
              <w:bottom w:val="single" w:sz="4" w:space="0" w:color="B3B3B3"/>
            </w:tcBorders>
            <w:shd w:val="clear" w:color="auto" w:fill="F1F1F1"/>
          </w:tcPr>
          <w:p w14:paraId="5A621914" w14:textId="4B6ABEDA"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 xml:space="preserve">Piketty </w:t>
            </w:r>
            <w:r w:rsidRPr="000D1746">
              <w:rPr>
                <w:rFonts w:ascii="Arial (Body)" w:hAnsi="Arial (Body)"/>
                <w:color w:val="000000"/>
              </w:rPr>
              <w:fldChar w:fldCharType="begin"/>
            </w:r>
            <w:r w:rsidR="0047772E">
              <w:rPr>
                <w:rFonts w:ascii="Arial (Body)" w:hAnsi="Arial (Body)"/>
                <w:color w:val="000000"/>
              </w:rPr>
              <w:instrText xml:space="preserve"> ADDIN ZOTERO_ITEM CSL_CITATION {"citationID":"RZYj40Na","properties":{"formattedCitation":"(2014, p.\\uc0\\u160{}425)","plainCitation":"(2014, p.</w:instrText>
            </w:r>
            <w:r w:rsidR="0047772E">
              <w:rPr>
                <w:rFonts w:ascii="Arial (Body)" w:hAnsi="Arial (Body)" w:hint="eastAsia"/>
                <w:color w:val="000000"/>
              </w:rPr>
              <w:instrText> </w:instrText>
            </w:r>
            <w:r w:rsidR="0047772E">
              <w:rPr>
                <w:rFonts w:ascii="Arial (Body)" w:hAnsi="Arial (Body)"/>
                <w:color w:val="000000"/>
              </w:rPr>
              <w:instrText xml:space="preserve">425)","noteIndex":0},"citationItems":[{"id":1687,"uris":["http://zotero.org/groups/2714158/items/8VI8XQ7V"],"uri":["http://zotero.org/groups/2714158/items/8VI8XQ7V"],"itemData":{"id":1687,"type":"book","call-number":"HB501 .P43613 2014","event-place":"Cambridge Massachusetts","ISBN":"978-0-674-43000-6","language":"eng","number-of-pages":"685","publisher":"The Belknap Press of Harvard University Press","publisher-place":"Cambridge Massachusetts","source":"Library of Congress ISBN","title":"Capital in the Twenty-First Century","author":[{"family":"Piketty","given":"Thomas"}],"accessed":{"date-parts":[["2021",2,22]]},"issued":{"date-parts":[["2014"]]}},"locator":"425","suppress-author":true}],"schema":"https://github.com/citation-style-language/schema/raw/master/csl-citation.json"} </w:instrText>
            </w:r>
            <w:r w:rsidRPr="000D1746">
              <w:rPr>
                <w:rFonts w:ascii="Arial (Body)" w:hAnsi="Arial (Body)"/>
                <w:color w:val="000000"/>
              </w:rPr>
              <w:fldChar w:fldCharType="separate"/>
            </w:r>
            <w:r w:rsidRPr="000D1746">
              <w:rPr>
                <w:rFonts w:ascii="Arial (Body)" w:hAnsi="Arial (Body)" w:cs="Arial"/>
                <w:color w:val="000000"/>
                <w:szCs w:val="24"/>
              </w:rPr>
              <w:t>(2014, p. 425)</w:t>
            </w:r>
            <w:r w:rsidRPr="000D1746">
              <w:rPr>
                <w:rFonts w:ascii="Arial (Body)" w:hAnsi="Arial (Body)"/>
                <w:color w:val="000000"/>
              </w:rPr>
              <w:fldChar w:fldCharType="end"/>
            </w:r>
          </w:p>
        </w:tc>
        <w:tc>
          <w:tcPr>
            <w:tcW w:w="714" w:type="pct"/>
            <w:tcBorders>
              <w:bottom w:val="single" w:sz="4" w:space="0" w:color="B3B3B3"/>
            </w:tcBorders>
            <w:shd w:val="clear" w:color="auto" w:fill="F1F1F1"/>
          </w:tcPr>
          <w:p w14:paraId="0068FE38" w14:textId="4A0AA4E9"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 xml:space="preserve">Atkinson </w:t>
            </w:r>
            <w:r w:rsidRPr="000D1746">
              <w:rPr>
                <w:rFonts w:ascii="Arial (Body)" w:hAnsi="Arial (Body)"/>
                <w:color w:val="000000"/>
              </w:rPr>
              <w:fldChar w:fldCharType="begin"/>
            </w:r>
            <w:r w:rsidR="0047772E">
              <w:rPr>
                <w:rFonts w:ascii="Arial (Body)" w:hAnsi="Arial (Body)"/>
                <w:color w:val="000000"/>
              </w:rPr>
              <w:instrText xml:space="preserve"> ADDIN ZOTERO_ITEM CSL_CITATION {"citationID":"FzVS4yhx","properties":{"formattedCitation":"(2018, p.\\uc0\\u160{}160)","plainCitation":"(2018, p.</w:instrText>
            </w:r>
            <w:r w:rsidR="0047772E">
              <w:rPr>
                <w:rFonts w:ascii="Arial (Body)" w:hAnsi="Arial (Body)" w:hint="eastAsia"/>
                <w:color w:val="000000"/>
              </w:rPr>
              <w:instrText> </w:instrText>
            </w:r>
            <w:r w:rsidR="0047772E">
              <w:rPr>
                <w:rFonts w:ascii="Arial (Body)" w:hAnsi="Arial (Body)"/>
                <w:color w:val="000000"/>
              </w:rPr>
              <w:instrText xml:space="preserve">160)","noteIndex":0},"citationItems":[{"id":2993,"uris":["http://zotero.org/groups/2714158/items/4NBLHP4B"],"uri":["http://zotero.org/groups/2714158/items/4NBLHP4B"],"itemData":{"id":2993,"type":"article-journal","container-title":"The Journal of Economic Inequality","DOI":"10.1007/s10888-018-9382-1","ISSN":"1569-1721, 1573-8701","issue":"2","journalAbbreviation":"J Econ Inequal","language":"en","page":"137-169","source":"DOI.org (Crossref)","title":"Wealth and inheritance in Britain from 1896 to the present","volume":"16","author":[{"family":"Atkinson","given":"Anthony B."}],"issued":{"date-parts":[["2018"]]}},"locator":"160","suppress-author":true}],"schema":"https://github.com/citation-style-language/schema/raw/master/csl-citation.json"} </w:instrText>
            </w:r>
            <w:r w:rsidRPr="000D1746">
              <w:rPr>
                <w:rFonts w:ascii="Arial (Body)" w:hAnsi="Arial (Body)"/>
                <w:color w:val="000000"/>
              </w:rPr>
              <w:fldChar w:fldCharType="separate"/>
            </w:r>
            <w:r w:rsidRPr="000D1746">
              <w:rPr>
                <w:rFonts w:ascii="Arial (Body)" w:hAnsi="Arial (Body)" w:cs="Arial"/>
                <w:color w:val="000000"/>
                <w:szCs w:val="24"/>
              </w:rPr>
              <w:t>(2018, p. 160)</w:t>
            </w:r>
            <w:r w:rsidRPr="000D1746">
              <w:rPr>
                <w:rFonts w:ascii="Arial (Body)" w:hAnsi="Arial (Body)"/>
                <w:color w:val="000000"/>
              </w:rPr>
              <w:fldChar w:fldCharType="end"/>
            </w:r>
          </w:p>
        </w:tc>
        <w:tc>
          <w:tcPr>
            <w:tcW w:w="714" w:type="pct"/>
            <w:tcBorders>
              <w:bottom w:val="single" w:sz="4" w:space="0" w:color="B3B3B3"/>
            </w:tcBorders>
            <w:shd w:val="clear" w:color="auto" w:fill="F1F1F1"/>
          </w:tcPr>
          <w:p w14:paraId="56ED57AD" w14:textId="5719D0AE" w:rsidR="006E0ED6" w:rsidRPr="000D1746" w:rsidRDefault="006E0ED6" w:rsidP="001625EC">
            <w:pPr>
              <w:pStyle w:val="TableBodyText"/>
              <w:spacing w:before="45" w:after="45"/>
              <w:ind w:left="57" w:right="108"/>
              <w:rPr>
                <w:rFonts w:ascii="Arial (Body)" w:hAnsi="Arial (Body)"/>
                <w:color w:val="000000"/>
              </w:rPr>
            </w:pPr>
            <w:r w:rsidRPr="000D1746">
              <w:rPr>
                <w:rFonts w:ascii="Arial (Body)" w:hAnsi="Arial (Body)"/>
                <w:color w:val="000000"/>
              </w:rPr>
              <w:t xml:space="preserve">Acciari and Morelli </w:t>
            </w:r>
            <w:r w:rsidRPr="000D1746">
              <w:rPr>
                <w:rFonts w:ascii="Arial (Body)" w:hAnsi="Arial (Body)"/>
                <w:color w:val="000000"/>
              </w:rPr>
              <w:fldChar w:fldCharType="begin"/>
            </w:r>
            <w:r w:rsidR="0047772E">
              <w:rPr>
                <w:rFonts w:ascii="Arial (Body)" w:hAnsi="Arial (Body)"/>
                <w:color w:val="000000"/>
              </w:rPr>
              <w:instrText xml:space="preserve"> ADDIN ZOTERO_ITEM CSL_CITATION {"citationID":"vEz7Y1mr","properties":{"formattedCitation":"(2020)","plainCitation":"(2020)","noteIndex":0},"citationItems":[{"id":2994,"uris":["http://zotero.org/groups/2714158/items/VPF73R9J"],"uri":["http://zotero.org/groups/2714158/items/VPF73R9J"],"itemData":{"id":2994,"type":"report","abstract":"In this paper we describe a novel source of data on the full record of inheritance tax ﬁles in Italy, covering up to 63% of total deceased. The work documents a substantial rise in the total value of inheritance and gifts as a share of national income, from 8.4% in 1995 to 15.1% in 2016. Consistent with the increasing role of total personal net wealth in the economy, the weight of inheritance and gifts in Italy appears relatively high by international standards. Over the same period, total wealth left at death has also become increasingly concentrated. The estates valued at least one million Euro were worth 18.7% of total estate in the mid 1990s and 24.8% in 2016. This paper also documents that revenues collected from the inheritance tax underwent a large decline from 0.14% to 0.06% of total tax revenue between 1995 and 2016. Data also allow a disaggregated analysis by demographic and geographic characteristics.","language":"en","page":"46","publisher":"National Bureau of Economic Research","source":"Zotero","title":"Wealth Transfers and Net Wealth at Death: Evidence from the Italian Inheritance Tax Records 1995</w:instrText>
            </w:r>
            <w:r w:rsidR="0047772E">
              <w:rPr>
                <w:rFonts w:ascii="Arial (Body)" w:hAnsi="Arial (Body)" w:hint="eastAsia"/>
                <w:color w:val="000000"/>
              </w:rPr>
              <w:instrText>–</w:instrText>
            </w:r>
            <w:r w:rsidR="0047772E">
              <w:rPr>
                <w:rFonts w:ascii="Arial (Body)" w:hAnsi="Arial (Body)"/>
                <w:color w:val="000000"/>
              </w:rPr>
              <w:instrText xml:space="preserve">2016","author":[{"family":"Acciari","given":"Paolo"},{"family":"Morelli","given":"Salvatore"}],"accessed":{"date-parts":[["2021",8,4]]},"issued":{"date-parts":[["2020"]]}},"suppress-author":true}],"schema":"https://github.com/citation-style-language/schema/raw/master/csl-citation.json"} </w:instrText>
            </w:r>
            <w:r w:rsidRPr="000D1746">
              <w:rPr>
                <w:rFonts w:ascii="Arial (Body)" w:hAnsi="Arial (Body)"/>
                <w:color w:val="000000"/>
              </w:rPr>
              <w:fldChar w:fldCharType="separate"/>
            </w:r>
            <w:r w:rsidRPr="000D1746">
              <w:rPr>
                <w:rFonts w:ascii="Arial (Body)" w:hAnsi="Arial (Body)" w:cs="Arial"/>
                <w:color w:val="000000"/>
              </w:rPr>
              <w:t>(2020)</w:t>
            </w:r>
            <w:r w:rsidRPr="000D1746">
              <w:rPr>
                <w:rFonts w:ascii="Arial (Body)" w:hAnsi="Arial (Body)"/>
                <w:color w:val="000000"/>
              </w:rPr>
              <w:fldChar w:fldCharType="end"/>
            </w:r>
          </w:p>
        </w:tc>
      </w:tr>
    </w:tbl>
    <w:p w14:paraId="1B97641C" w14:textId="77777777" w:rsidR="006E0ED6" w:rsidRDefault="006E0ED6" w:rsidP="006E0ED6">
      <w:pPr>
        <w:pStyle w:val="Note"/>
      </w:pPr>
      <w:r w:rsidRPr="00C36914">
        <w:rPr>
          <w:b/>
          <w:bCs/>
        </w:rPr>
        <w:t>a.</w:t>
      </w:r>
      <w:r w:rsidRPr="00C36914">
        <w:t xml:space="preserve"> </w:t>
      </w:r>
      <w:r w:rsidRPr="00E74BD2">
        <w:t>The estimate is calculated using the estimated sum of reported gifts and the estimated wealth at death based on expected deaths.</w:t>
      </w:r>
      <w:r w:rsidRPr="00E74BD2">
        <w:rPr>
          <w:b/>
        </w:rPr>
        <w:t xml:space="preserve"> b</w:t>
      </w:r>
      <w:r>
        <w:rPr>
          <w:b/>
        </w:rPr>
        <w:t>.</w:t>
      </w:r>
      <w:r w:rsidRPr="00E74BD2">
        <w:t xml:space="preserve"> The wealth transfer flow as a share of national income in Australia and the United Kingdom may be underestimated due to underreporting of gifts.</w:t>
      </w:r>
    </w:p>
    <w:p w14:paraId="19E8573F" w14:textId="77777777" w:rsidR="006E0ED6" w:rsidRDefault="006E0ED6" w:rsidP="00D208A3">
      <w:pPr>
        <w:pStyle w:val="Heading2"/>
      </w:pPr>
      <w:bookmarkStart w:id="14" w:name="_Toc87543956"/>
      <w:r>
        <w:lastRenderedPageBreak/>
        <w:t>Improving wealth transfer data collection</w:t>
      </w:r>
      <w:bookmarkEnd w:id="14"/>
    </w:p>
    <w:p w14:paraId="0167D3E6" w14:textId="77777777" w:rsidR="006E0ED6" w:rsidRDefault="006E0ED6" w:rsidP="006E0ED6">
      <w:pPr>
        <w:pStyle w:val="BodyText"/>
      </w:pPr>
      <w:r>
        <w:t>There is scope to substantially improve wealth transfer data in Australia at low additional administrative cost, by making small changes to the HILDA survey and by systematically collecting data from probate files and linking that data with other administrative datasets.</w:t>
      </w:r>
    </w:p>
    <w:p w14:paraId="0738C107" w14:textId="77777777" w:rsidR="006E0ED6" w:rsidRDefault="006E0ED6" w:rsidP="006E0ED6">
      <w:pPr>
        <w:pStyle w:val="Heading3"/>
      </w:pPr>
      <w:r>
        <w:t>Better collection of wealth transfer data in the HILDA survey</w:t>
      </w:r>
    </w:p>
    <w:p w14:paraId="2751CBF0" w14:textId="3334E176" w:rsidR="006E0ED6" w:rsidRDefault="006E0ED6" w:rsidP="006E0ED6">
      <w:pPr>
        <w:pStyle w:val="BodyText"/>
      </w:pPr>
      <w:r>
        <w:t>There are ambiguities about whether respondents report non</w:t>
      </w:r>
      <w:r w:rsidR="000F62DC">
        <w:noBreakHyphen/>
      </w:r>
      <w:r>
        <w:t>cash wealth transfers (especially in the case of inheritances) in the HILDA survey. Clarifying and expanding the scope of these questions for future waves would improve the quality of the data. The Melbourne Institute, which administers the HILDA survey, has flagged a willingness to make such improvements to these questions from the 2022 survey onwards.</w:t>
      </w:r>
    </w:p>
    <w:p w14:paraId="0809837B" w14:textId="134D40F1" w:rsidR="006E0ED6" w:rsidRPr="000A50E1" w:rsidRDefault="006E0ED6" w:rsidP="006E0ED6">
      <w:pPr>
        <w:pStyle w:val="BodyText"/>
        <w:rPr>
          <w:spacing w:val="-2"/>
        </w:rPr>
      </w:pPr>
      <w:r w:rsidRPr="000A50E1">
        <w:rPr>
          <w:spacing w:val="-2"/>
        </w:rPr>
        <w:t>As a further step, a special module on wealth transfers could be added to a future wave of the HILDA survey to provide clarity about wealth transfers given and received in the more distant past.</w:t>
      </w:r>
      <w:r w:rsidRPr="0059379B">
        <w:rPr>
          <w:rStyle w:val="FootnoteReference"/>
        </w:rPr>
        <w:footnoteReference w:id="21"/>
      </w:r>
      <w:r w:rsidRPr="000A50E1">
        <w:rPr>
          <w:spacing w:val="-2"/>
        </w:rPr>
        <w:t xml:space="preserve"> Such a module could ask about the monetary value of </w:t>
      </w:r>
      <w:r w:rsidRPr="000A50E1">
        <w:rPr>
          <w:i/>
          <w:iCs/>
          <w:spacing w:val="-2"/>
        </w:rPr>
        <w:t>all</w:t>
      </w:r>
      <w:r w:rsidRPr="000A50E1">
        <w:rPr>
          <w:spacing w:val="-2"/>
        </w:rPr>
        <w:t xml:space="preserve"> past inheritances received and gifts given and received by the individual in question (at the time they occurred), the year in which the transfer took place, their relationship to the donor or recipient, and a breakdown by asset class. This would provide more clarity</w:t>
      </w:r>
      <w:r w:rsidRPr="000A50E1" w:rsidDel="002D032B">
        <w:rPr>
          <w:spacing w:val="-2"/>
        </w:rPr>
        <w:t xml:space="preserve"> </w:t>
      </w:r>
      <w:r w:rsidRPr="000A50E1">
        <w:rPr>
          <w:spacing w:val="-2"/>
        </w:rPr>
        <w:t>about wealth transfers reported in previous waves of the HILDA survey and allow for pre</w:t>
      </w:r>
      <w:r w:rsidR="000F62DC">
        <w:rPr>
          <w:spacing w:val="-2"/>
        </w:rPr>
        <w:noBreakHyphen/>
      </w:r>
      <w:r w:rsidRPr="000A50E1">
        <w:rPr>
          <w:spacing w:val="-2"/>
        </w:rPr>
        <w:t>2000 data to be collected. Historical information on wealth transfers has been collected in many other developed countries, such as Britain (via the Wealth and Assets Survey) the United States (via the US Survey of Consumer Finances), and France, Germany, Italy and Spain (via the multi</w:t>
      </w:r>
      <w:r w:rsidR="000F62DC">
        <w:rPr>
          <w:spacing w:val="-2"/>
        </w:rPr>
        <w:noBreakHyphen/>
      </w:r>
      <w:r w:rsidRPr="000A50E1">
        <w:rPr>
          <w:spacing w:val="-2"/>
        </w:rPr>
        <w:t xml:space="preserve">country Household Finance and Consumption Survey) </w:t>
      </w:r>
      <w:r w:rsidRPr="000A50E1">
        <w:rPr>
          <w:spacing w:val="-2"/>
        </w:rPr>
        <w:fldChar w:fldCharType="begin"/>
      </w:r>
      <w:r w:rsidR="0047772E">
        <w:rPr>
          <w:spacing w:val="-2"/>
        </w:rPr>
        <w:instrText xml:space="preserve"> ADDIN ZOTERO_ITEM CSL_CITATION {"citationID":"PbFbbgHf","properties":{"formattedCitation":"(Nolan et al.\\uc0\\u160{}2021)","plainCitation":"(Nolan et al. 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Kerm","given":"Philippe"},{"family":"Morelli","given":"Salvatore"}],"issued":{"date-parts":[["2021"]]}}}],"schema":"https://github.com/citation-style-language/schema/raw/master/csl-citation.json"} </w:instrText>
      </w:r>
      <w:r w:rsidRPr="000A50E1">
        <w:rPr>
          <w:spacing w:val="-2"/>
        </w:rPr>
        <w:fldChar w:fldCharType="separate"/>
      </w:r>
      <w:r w:rsidRPr="000A50E1">
        <w:rPr>
          <w:spacing w:val="-2"/>
          <w:szCs w:val="24"/>
        </w:rPr>
        <w:t>(Nolan et al. 2021)</w:t>
      </w:r>
      <w:r w:rsidRPr="000A50E1">
        <w:rPr>
          <w:spacing w:val="-2"/>
        </w:rPr>
        <w:fldChar w:fldCharType="end"/>
      </w:r>
      <w:r w:rsidRPr="000A50E1">
        <w:rPr>
          <w:spacing w:val="-2"/>
        </w:rPr>
        <w:t>.</w:t>
      </w:r>
    </w:p>
    <w:p w14:paraId="7005B3E0" w14:textId="77777777" w:rsidR="006E0ED6" w:rsidRDefault="006E0ED6" w:rsidP="006E0ED6">
      <w:pPr>
        <w:pStyle w:val="Heading3"/>
      </w:pPr>
      <w:r>
        <w:t>Digitising probate files and linking the data to other administrative records</w:t>
      </w:r>
    </w:p>
    <w:p w14:paraId="25D284B0" w14:textId="029E3398" w:rsidR="006E0ED6" w:rsidRDefault="006E0ED6" w:rsidP="006E0ED6">
      <w:pPr>
        <w:pStyle w:val="BodyText"/>
      </w:pPr>
      <w:r>
        <w:t>Probate files are publicly available in many jurisdictions, yet so costly and time consuming to access that only small ad</w:t>
      </w:r>
      <w:r w:rsidR="000F62DC">
        <w:noBreakHyphen/>
      </w:r>
      <w:r>
        <w:t>hoc extracts have been used for research purposes (section 1.1). The Grattan Institute advised that it took approximately 3–4</w:t>
      </w:r>
      <w:r w:rsidR="00831D85">
        <w:t> </w:t>
      </w:r>
      <w:r>
        <w:t>weeks of a full time</w:t>
      </w:r>
      <w:r w:rsidR="000F62DC">
        <w:noBreakHyphen/>
      </w:r>
      <w:r>
        <w:t>equivalent staff member’s time to compile their database of 534 probate files for analysis (pers. comm., 20 September 2021).</w:t>
      </w:r>
    </w:p>
    <w:p w14:paraId="183909D0" w14:textId="77777777" w:rsidR="006E0ED6" w:rsidRDefault="006E0ED6" w:rsidP="006E0ED6">
      <w:pPr>
        <w:pStyle w:val="BodyText"/>
      </w:pPr>
      <w:r>
        <w:t xml:space="preserve">Extracting the relevant information from probate files </w:t>
      </w:r>
      <w:r w:rsidRPr="00F42D36">
        <w:rPr>
          <w:i/>
          <w:iCs/>
        </w:rPr>
        <w:t>at the time the files are processed</w:t>
      </w:r>
      <w:r>
        <w:t xml:space="preserve"> would quickly generate a large dataset for analysis at much lower administrative cost. As courts move toward electronic lodgement of probate files — as has recently occurred in South Australia — the additional administrative burden will become negligible if systems are configured to automatically log the necessary data.</w:t>
      </w:r>
    </w:p>
    <w:p w14:paraId="5F3A3B0A" w14:textId="6C9A5C6A" w:rsidR="006E0ED6" w:rsidRDefault="006E0ED6" w:rsidP="006E0ED6">
      <w:pPr>
        <w:pStyle w:val="BodyText"/>
      </w:pPr>
      <w:r>
        <w:t>There would also be value</w:t>
      </w:r>
      <w:r w:rsidDel="00E36372">
        <w:t xml:space="preserve"> </w:t>
      </w:r>
      <w:r>
        <w:t>in digitising and extracting the relevant information from historical probate files, although the per</w:t>
      </w:r>
      <w:r w:rsidR="000F62DC">
        <w:noBreakHyphen/>
      </w:r>
      <w:r>
        <w:t>file administrative cost would be greater. A more cost</w:t>
      </w:r>
      <w:r w:rsidR="000F62DC">
        <w:noBreakHyphen/>
      </w:r>
      <w:r>
        <w:t>effective approach would be to decide on a time period for analysis — say, the past 20–30 years — and then draw random samples from each year of the largest size that can be afforded with the available budget. That said, if all historical probate files were to be digitised for other reasons (better record keeping, perhaps), then it may be possible to collate the necessary data from these files using automated processes and compile a much larger historical dataset.</w:t>
      </w:r>
    </w:p>
    <w:p w14:paraId="57F7DD9A" w14:textId="0230A9D0" w:rsidR="006E0ED6" w:rsidRDefault="006E0ED6" w:rsidP="006E0ED6">
      <w:pPr>
        <w:pStyle w:val="BodyText"/>
      </w:pPr>
      <w:r>
        <w:t xml:space="preserve">By itself, the information contained in probate files is of limited use for research purposes. Most importantly, the only information they contain about the </w:t>
      </w:r>
      <w:r w:rsidRPr="00865CAF">
        <w:rPr>
          <w:i/>
          <w:iCs/>
        </w:rPr>
        <w:t>recipient</w:t>
      </w:r>
      <w:r>
        <w:t xml:space="preserve"> of the inheritance is their age, gender, and relationship </w:t>
      </w:r>
      <w:r>
        <w:lastRenderedPageBreak/>
        <w:t>to the deceased. Socio</w:t>
      </w:r>
      <w:r w:rsidR="000F62DC">
        <w:noBreakHyphen/>
      </w:r>
      <w:r>
        <w:t>economic information about the recipient — their income, for example —</w:t>
      </w:r>
      <w:r w:rsidDel="001922FA">
        <w:t xml:space="preserve"> </w:t>
      </w:r>
      <w:r>
        <w:t>is the most useful for research into the effect of inheritances on inequality, but this is not found in probate files.</w:t>
      </w:r>
    </w:p>
    <w:p w14:paraId="5AFD3728" w14:textId="0492435E" w:rsidR="006E0ED6" w:rsidRPr="00A95740" w:rsidRDefault="006E0ED6" w:rsidP="006E0ED6">
      <w:pPr>
        <w:pStyle w:val="BodyText"/>
      </w:pPr>
      <w:r>
        <w:t>For probate files to be genuinely useful for the study of the effects of inheritances on inheritance recipients, their information would need to be linked to other administrative records about the deceased and recipients. For example, if probate files were linked to the Multi</w:t>
      </w:r>
      <w:r w:rsidR="000F62DC">
        <w:noBreakHyphen/>
      </w:r>
      <w:r>
        <w:t>Agency Data Integration Project (MADIP) dataset, information about the deceased and recipients’ income, healthcare, education and social security usage would be available to researchers (in a confidentialised way).</w:t>
      </w:r>
      <w:r w:rsidRPr="00A46011">
        <w:rPr>
          <w:rStyle w:val="FootnoteReference"/>
        </w:rPr>
        <w:footnoteReference w:id="22"/>
      </w:r>
      <w:r>
        <w:t xml:space="preserve"> If probate files were linked to the Alife dataset, information about the income of the deceased and the recipients would be available to researchers, and it would be possible to estimate the superannuation death benefits transferred alongside the probate</w:t>
      </w:r>
      <w:r w:rsidR="000F62DC">
        <w:noBreakHyphen/>
      </w:r>
      <w:r>
        <w:t>administered component of the inheritance.</w:t>
      </w:r>
    </w:p>
    <w:p w14:paraId="3F39EE0C" w14:textId="77777777" w:rsidR="006E0ED6" w:rsidRDefault="006E0ED6" w:rsidP="006E0ED6">
      <w:pPr>
        <w:pStyle w:val="Note"/>
        <w:keepLines/>
        <w:sectPr w:rsidR="006E0ED6" w:rsidSect="001625EC">
          <w:headerReference w:type="even" r:id="rId67"/>
          <w:headerReference w:type="default" r:id="rId68"/>
          <w:footerReference w:type="even" r:id="rId69"/>
          <w:footerReference w:type="default" r:id="rId70"/>
          <w:type w:val="oddPage"/>
          <w:pgSz w:w="11906" w:h="16838" w:code="9"/>
          <w:pgMar w:top="1134" w:right="1134" w:bottom="1134" w:left="1134" w:header="794" w:footer="510" w:gutter="0"/>
          <w:cols w:space="708"/>
          <w:docGrid w:linePitch="360"/>
        </w:sectPr>
      </w:pPr>
    </w:p>
    <w:p w14:paraId="2C6E0725" w14:textId="77777777" w:rsidR="006E0ED6" w:rsidRPr="00E60CB9" w:rsidRDefault="006E0ED6" w:rsidP="00303CA0">
      <w:pPr>
        <w:pStyle w:val="Heading1"/>
        <w:rPr>
          <w:spacing w:val="-18"/>
        </w:rPr>
      </w:pPr>
      <w:bookmarkStart w:id="15" w:name="ChapterTitle"/>
      <w:bookmarkStart w:id="16" w:name="_Toc87543957"/>
      <w:r w:rsidRPr="00E60CB9">
        <w:rPr>
          <w:spacing w:val="-18"/>
        </w:rPr>
        <w:lastRenderedPageBreak/>
        <w:t>How have wealth transfers affected wealth inequality and mobility?</w:t>
      </w:r>
      <w:bookmarkEnd w:id="15"/>
      <w:bookmarkEnd w:id="16"/>
    </w:p>
    <w:tbl>
      <w:tblPr>
        <w:tblStyle w:val="Texttable-Paleblue"/>
        <w:tblW w:w="5000" w:type="pct"/>
        <w:tblLook w:val="04A0" w:firstRow="1" w:lastRow="0" w:firstColumn="1" w:lastColumn="0" w:noHBand="0" w:noVBand="1"/>
      </w:tblPr>
      <w:tblGrid>
        <w:gridCol w:w="577"/>
        <w:gridCol w:w="9061"/>
      </w:tblGrid>
      <w:tr w:rsidR="006E0ED6" w:rsidRPr="002F759A" w14:paraId="00DD1CA5" w14:textId="77777777" w:rsidTr="001625EC">
        <w:tc>
          <w:tcPr>
            <w:tcW w:w="9638" w:type="dxa"/>
            <w:gridSpan w:val="2"/>
            <w:tcMar>
              <w:left w:w="170" w:type="dxa"/>
            </w:tcMar>
          </w:tcPr>
          <w:p w14:paraId="1414E68B" w14:textId="77777777" w:rsidR="006E0ED6" w:rsidRPr="002F759A" w:rsidRDefault="006E0ED6" w:rsidP="001625EC">
            <w:pPr>
              <w:pStyle w:val="Keypoints-heading"/>
            </w:pPr>
            <w:r w:rsidRPr="002F759A">
              <w:t>Key points</w:t>
            </w:r>
          </w:p>
        </w:tc>
      </w:tr>
      <w:tr w:rsidR="006E0ED6" w14:paraId="016C1EFA" w14:textId="77777777" w:rsidTr="001625EC">
        <w:tc>
          <w:tcPr>
            <w:tcW w:w="577" w:type="dxa"/>
            <w:tcMar>
              <w:top w:w="0" w:type="dxa"/>
              <w:bottom w:w="0" w:type="dxa"/>
              <w:right w:w="113" w:type="dxa"/>
            </w:tcMar>
          </w:tcPr>
          <w:p w14:paraId="3DA0979F" w14:textId="77777777" w:rsidR="006E0ED6" w:rsidRDefault="006E0ED6" w:rsidP="004C58DE">
            <w:pPr>
              <w:pStyle w:val="KeyPointsicon"/>
              <w:spacing w:line="240" w:lineRule="atLeast"/>
            </w:pPr>
            <w:r w:rsidRPr="00A51374">
              <w:rPr>
                <w:noProof/>
              </w:rPr>
              <w:drawing>
                <wp:inline distT="0" distB="0" distL="0" distR="0" wp14:anchorId="415BC247" wp14:editId="7838FFF2">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D0B2581" w14:textId="77777777" w:rsidR="00406D55" w:rsidRDefault="006E0ED6" w:rsidP="00406D55">
            <w:pPr>
              <w:pStyle w:val="KeyPoints-Bold"/>
              <w:spacing w:line="240" w:lineRule="atLeast"/>
            </w:pPr>
            <w:r w:rsidRPr="00951404">
              <w:t xml:space="preserve">Wealth transfers (inheritances and inter vivos gifts) affect both </w:t>
            </w:r>
            <w:r w:rsidRPr="00406D55">
              <w:t>absolute</w:t>
            </w:r>
            <w:r w:rsidRPr="00951404">
              <w:t xml:space="preserve"> and </w:t>
            </w:r>
            <w:r w:rsidRPr="00406D55">
              <w:t>relative</w:t>
            </w:r>
            <w:r w:rsidRPr="00951404">
              <w:t xml:space="preserve"> wealth inequality. </w:t>
            </w:r>
          </w:p>
          <w:p w14:paraId="096A33FE" w14:textId="397D87A7" w:rsidR="00406D55" w:rsidRDefault="009B4281" w:rsidP="00406D55">
            <w:pPr>
              <w:pStyle w:val="KeyPoints-Bullet"/>
              <w:spacing w:before="0" w:line="240" w:lineRule="atLeast"/>
            </w:pPr>
            <w:r>
              <w:t>A</w:t>
            </w:r>
            <w:r w:rsidR="006E0ED6" w:rsidRPr="00951404">
              <w:t xml:space="preserve">bsolute wealth inequality measures how the </w:t>
            </w:r>
            <w:r w:rsidR="006E0ED6" w:rsidRPr="004C58DE">
              <w:rPr>
                <w:i/>
              </w:rPr>
              <w:t>dollar value</w:t>
            </w:r>
            <w:r w:rsidR="006E0ED6" w:rsidRPr="00951404">
              <w:t xml:space="preserve"> increase to wealth due to wealth transfers differs between initially wealthier and initially poorer people. </w:t>
            </w:r>
          </w:p>
          <w:p w14:paraId="54E572A6" w14:textId="4E23059B" w:rsidR="006E0ED6" w:rsidRDefault="009B4281" w:rsidP="00406D55">
            <w:pPr>
              <w:pStyle w:val="KeyPoints-Bullet"/>
              <w:spacing w:before="0" w:line="240" w:lineRule="atLeast"/>
            </w:pPr>
            <w:r>
              <w:t>R</w:t>
            </w:r>
            <w:r w:rsidR="006E0ED6" w:rsidRPr="00951404">
              <w:t xml:space="preserve">elative wealth inequality measures how the </w:t>
            </w:r>
            <w:r w:rsidR="006E0ED6" w:rsidRPr="004C58DE">
              <w:rPr>
                <w:i/>
              </w:rPr>
              <w:t>proportional</w:t>
            </w:r>
            <w:r w:rsidR="006E0ED6" w:rsidRPr="00951404">
              <w:t xml:space="preserve"> increase to wealth due to wealth transfers differs between initially wealthier and initially poorer people.</w:t>
            </w:r>
          </w:p>
        </w:tc>
      </w:tr>
      <w:tr w:rsidR="006E0ED6" w14:paraId="7C7445D4" w14:textId="77777777" w:rsidTr="001625EC">
        <w:tc>
          <w:tcPr>
            <w:tcW w:w="577" w:type="dxa"/>
            <w:tcMar>
              <w:top w:w="0" w:type="dxa"/>
              <w:bottom w:w="0" w:type="dxa"/>
              <w:right w:w="113" w:type="dxa"/>
            </w:tcMar>
          </w:tcPr>
          <w:p w14:paraId="2BED1A0A" w14:textId="77777777" w:rsidR="006E0ED6" w:rsidRPr="00A51374" w:rsidRDefault="006E0ED6" w:rsidP="004C58DE">
            <w:pPr>
              <w:pStyle w:val="KeyPointsicon"/>
              <w:spacing w:line="240" w:lineRule="atLeast"/>
            </w:pPr>
            <w:r w:rsidRPr="00F31E73">
              <w:rPr>
                <w:noProof/>
              </w:rPr>
              <w:drawing>
                <wp:inline distT="0" distB="0" distL="0" distR="0" wp14:anchorId="3DBFE52B" wp14:editId="05C77F03">
                  <wp:extent cx="180000" cy="18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20CB478" w14:textId="77777777" w:rsidR="006E0ED6" w:rsidRPr="00610627" w:rsidRDefault="006E0ED6" w:rsidP="004C58DE">
            <w:pPr>
              <w:pStyle w:val="KeyPoints-Bold"/>
              <w:spacing w:line="240" w:lineRule="atLeast"/>
            </w:pPr>
            <w:r w:rsidRPr="00951404">
              <w:t>Over the past two decades, wealthier people inherited more than poorer people. Hence, at the point at which inheritances were received (the immediate term), they increased absolute wealth inequality. But inheritances reduced relative wealth inequality in the immediate term, because wealthier people received less as a share of their initial wealth.</w:t>
            </w:r>
          </w:p>
        </w:tc>
      </w:tr>
      <w:tr w:rsidR="006E0ED6" w14:paraId="32E112C6" w14:textId="77777777" w:rsidTr="001625EC">
        <w:tc>
          <w:tcPr>
            <w:tcW w:w="577" w:type="dxa"/>
            <w:tcMar>
              <w:top w:w="0" w:type="dxa"/>
              <w:bottom w:w="0" w:type="dxa"/>
              <w:right w:w="113" w:type="dxa"/>
            </w:tcMar>
          </w:tcPr>
          <w:p w14:paraId="13A7E3A2" w14:textId="77777777" w:rsidR="006E0ED6" w:rsidRPr="00A51374" w:rsidRDefault="006E0ED6" w:rsidP="004C58DE">
            <w:pPr>
              <w:pStyle w:val="KeyPointsicon"/>
              <w:spacing w:line="240" w:lineRule="atLeast"/>
            </w:pPr>
            <w:r w:rsidRPr="00F31E73">
              <w:rPr>
                <w:noProof/>
              </w:rPr>
              <w:drawing>
                <wp:inline distT="0" distB="0" distL="0" distR="0" wp14:anchorId="51604824" wp14:editId="75BC73CD">
                  <wp:extent cx="180000" cy="180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AD47D05" w14:textId="77777777" w:rsidR="006E0ED6" w:rsidRDefault="006E0ED6" w:rsidP="004C58DE">
            <w:pPr>
              <w:pStyle w:val="KeyPoints-Bold"/>
              <w:spacing w:line="240" w:lineRule="atLeast"/>
            </w:pPr>
            <w:r>
              <w:t>Gifts were shared more evenly between wealthier and poorer people, so their immediate term effect on absolute wealth inequality is uncertain. Gifts reduced relative wealth inequality in the immediate term, because wealthier people received less as a share of their initial wealth.</w:t>
            </w:r>
          </w:p>
          <w:p w14:paraId="34CCE103" w14:textId="64BE2C6B" w:rsidR="006E0ED6" w:rsidRPr="00610627" w:rsidRDefault="006E0ED6" w:rsidP="004C58DE">
            <w:pPr>
              <w:pStyle w:val="KeyPoints-Bullet"/>
              <w:spacing w:before="0" w:line="240" w:lineRule="atLeast"/>
            </w:pPr>
            <w:r>
              <w:t>Because of data limitations</w:t>
            </w:r>
            <w:r w:rsidR="005F71F0">
              <w:t>,</w:t>
            </w:r>
            <w:r>
              <w:t xml:space="preserve"> wealth transfers are considered an inflow of new wealth, rather than a redistribution of existing wealth. If gifts were considered as </w:t>
            </w:r>
            <w:r w:rsidR="00D13EE0">
              <w:t xml:space="preserve">a redistribution </w:t>
            </w:r>
            <w:r w:rsidR="007B5110">
              <w:t>of existing wealth</w:t>
            </w:r>
            <w:r>
              <w:t xml:space="preserve"> they would likely have exerted a more equalising effect on absolute and relative wealth inequality.</w:t>
            </w:r>
          </w:p>
        </w:tc>
      </w:tr>
      <w:tr w:rsidR="006E0ED6" w14:paraId="362A2F31" w14:textId="77777777" w:rsidTr="001625EC">
        <w:tc>
          <w:tcPr>
            <w:tcW w:w="577" w:type="dxa"/>
            <w:tcMar>
              <w:top w:w="0" w:type="dxa"/>
              <w:bottom w:w="0" w:type="dxa"/>
              <w:right w:w="113" w:type="dxa"/>
            </w:tcMar>
          </w:tcPr>
          <w:p w14:paraId="7F99F1DE" w14:textId="77777777" w:rsidR="006E0ED6" w:rsidRPr="00A51374" w:rsidRDefault="006E0ED6" w:rsidP="004C58DE">
            <w:pPr>
              <w:pStyle w:val="KeyPointsicon"/>
              <w:spacing w:line="240" w:lineRule="atLeast"/>
            </w:pPr>
            <w:r w:rsidRPr="00F31E73">
              <w:rPr>
                <w:noProof/>
              </w:rPr>
              <w:drawing>
                <wp:inline distT="0" distB="0" distL="0" distR="0" wp14:anchorId="59B380CC" wp14:editId="5660FFBA">
                  <wp:extent cx="180000" cy="180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FE0DDD7" w14:textId="0299262F" w:rsidR="006E0ED6" w:rsidRDefault="006E0ED6" w:rsidP="004C58DE">
            <w:pPr>
              <w:pStyle w:val="KeyPoints-Bold"/>
              <w:spacing w:line="240" w:lineRule="atLeast"/>
            </w:pPr>
            <w:r>
              <w:t>The immediate</w:t>
            </w:r>
            <w:r w:rsidR="002B6E0D">
              <w:noBreakHyphen/>
            </w:r>
            <w:r>
              <w:t>term effect of wealth transfers on relative wealth inequality has been small.</w:t>
            </w:r>
          </w:p>
          <w:p w14:paraId="00AB5541" w14:textId="77777777" w:rsidR="006E0ED6" w:rsidRDefault="006E0ED6" w:rsidP="004C58DE">
            <w:pPr>
              <w:pStyle w:val="KeyPoints-Bullet"/>
              <w:spacing w:before="0" w:line="240" w:lineRule="atLeast"/>
            </w:pPr>
            <w:r>
              <w:t>Wealth transfers have, in the immediate term, reduced relative wealth inequality in every country studied — Britain, France, Germany, Italy, Spain and the United States. The magnitude of the effect was larger in Australia than in the United States, but smaller in Australia than in every other studied country.</w:t>
            </w:r>
          </w:p>
          <w:p w14:paraId="47F2516A" w14:textId="2ED100FA" w:rsidR="006E0ED6" w:rsidRPr="00610627" w:rsidRDefault="006E0ED6" w:rsidP="004C58DE">
            <w:pPr>
              <w:pStyle w:val="KeyPoints-Bullet"/>
              <w:spacing w:line="240" w:lineRule="atLeast"/>
            </w:pPr>
            <w:r>
              <w:t>The annual flow of welfare payments is three times the annual flow of wealth transfers. Yet welfare payments reduced immediate</w:t>
            </w:r>
            <w:r w:rsidR="00B21A75">
              <w:noBreakHyphen/>
            </w:r>
            <w:r>
              <w:t>term relative wealth inequality by 20 times more than wealth transfers, and also reduced immediate</w:t>
            </w:r>
            <w:r w:rsidR="0003066E">
              <w:noBreakHyphen/>
            </w:r>
            <w:r>
              <w:t>term</w:t>
            </w:r>
            <w:r w:rsidR="0003066E">
              <w:t xml:space="preserve"> </w:t>
            </w:r>
            <w:r>
              <w:t>absolute wealth inequality.</w:t>
            </w:r>
          </w:p>
        </w:tc>
      </w:tr>
      <w:tr w:rsidR="006E0ED6" w14:paraId="7CA06D29" w14:textId="77777777" w:rsidTr="001625EC">
        <w:tc>
          <w:tcPr>
            <w:tcW w:w="577" w:type="dxa"/>
            <w:tcMar>
              <w:top w:w="0" w:type="dxa"/>
              <w:bottom w:w="0" w:type="dxa"/>
              <w:right w:w="113" w:type="dxa"/>
            </w:tcMar>
          </w:tcPr>
          <w:p w14:paraId="0B614E62" w14:textId="77777777" w:rsidR="006E0ED6" w:rsidRPr="00A51374" w:rsidRDefault="006E0ED6" w:rsidP="004C58DE">
            <w:pPr>
              <w:pStyle w:val="KeyPointsicon"/>
              <w:spacing w:line="240" w:lineRule="atLeast"/>
            </w:pPr>
            <w:r w:rsidRPr="00F31E73">
              <w:rPr>
                <w:noProof/>
              </w:rPr>
              <w:drawing>
                <wp:inline distT="0" distB="0" distL="0" distR="0" wp14:anchorId="623F78CE" wp14:editId="380A68CD">
                  <wp:extent cx="180000" cy="180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F08C870" w14:textId="264D9DF2" w:rsidR="006E0ED6" w:rsidRDefault="006E0ED6" w:rsidP="004C58DE">
            <w:pPr>
              <w:pStyle w:val="KeyPoints-Bold"/>
              <w:spacing w:line="240" w:lineRule="atLeast"/>
            </w:pPr>
            <w:r>
              <w:t>On average, each $1 of inheritance increased wealth by about $1 in real terms, 4–7 years later. In other words, the returns to the invested component of inheritances roughly balanced the additional consumption that inheritances yielded. There is little evidence that this varied between wealthy and poor. This contrasts with studies from overseas, which have found that all except for the most wealthy tended to deplete their inheritances over time.</w:t>
            </w:r>
          </w:p>
          <w:p w14:paraId="7EFE4B6C" w14:textId="62A75575" w:rsidR="006E0ED6" w:rsidRPr="00610627" w:rsidRDefault="006E0ED6" w:rsidP="004C58DE">
            <w:pPr>
              <w:pStyle w:val="KeyPoints-Bullet"/>
              <w:spacing w:before="0" w:line="240" w:lineRule="atLeast"/>
            </w:pPr>
            <w:r>
              <w:t>I</w:t>
            </w:r>
            <w:r w:rsidRPr="000C0101">
              <w:t>n the longer term — although estimates are imprecise — the effect of inheritances on absolute and relative wealth inequality was most likely similar to the immediate term effect.</w:t>
            </w:r>
          </w:p>
        </w:tc>
      </w:tr>
      <w:tr w:rsidR="006E0ED6" w14:paraId="066543FF" w14:textId="77777777" w:rsidTr="001625EC">
        <w:tc>
          <w:tcPr>
            <w:tcW w:w="577" w:type="dxa"/>
            <w:tcMar>
              <w:top w:w="0" w:type="dxa"/>
              <w:bottom w:w="0" w:type="dxa"/>
              <w:right w:w="113" w:type="dxa"/>
            </w:tcMar>
          </w:tcPr>
          <w:p w14:paraId="3188B2B5" w14:textId="77777777" w:rsidR="006E0ED6" w:rsidRPr="00A51374" w:rsidRDefault="006E0ED6" w:rsidP="004C58DE">
            <w:pPr>
              <w:pStyle w:val="KeyPointsicon"/>
              <w:spacing w:line="240" w:lineRule="atLeast"/>
            </w:pPr>
            <w:r w:rsidRPr="00A51374">
              <w:rPr>
                <w:noProof/>
              </w:rPr>
              <w:drawing>
                <wp:inline distT="0" distB="0" distL="0" distR="0" wp14:anchorId="026364E1" wp14:editId="3A21CE80">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43CAA7C" w14:textId="4D6DAE50" w:rsidR="006E0ED6" w:rsidRPr="00610627" w:rsidRDefault="006E0ED6" w:rsidP="004C58DE">
            <w:pPr>
              <w:pStyle w:val="KeyPoints-Bold"/>
              <w:spacing w:line="240" w:lineRule="atLeast"/>
            </w:pPr>
            <w:r w:rsidRPr="00951404">
              <w:t xml:space="preserve">About one third (36 per cent is our best estimate) of the intergenerational persistence in wealth (the association between adult children’s wealth and their parents’ wealth) among those whose parents died in the past two decades </w:t>
            </w:r>
            <w:r w:rsidR="00DB608D">
              <w:t>wa</w:t>
            </w:r>
            <w:r w:rsidRPr="00951404">
              <w:t>s due to inheritances.</w:t>
            </w:r>
          </w:p>
        </w:tc>
      </w:tr>
    </w:tbl>
    <w:p w14:paraId="75EE4528" w14:textId="77777777" w:rsidR="006E0ED6" w:rsidRDefault="006E0ED6" w:rsidP="006E0ED6">
      <w:pPr>
        <w:pStyle w:val="BodyText"/>
      </w:pPr>
      <w:r>
        <w:lastRenderedPageBreak/>
        <w:t xml:space="preserve">This chapter discusses the effect of inheritances and inter vivos gifts (collectively referred to as ‘wealth transfers’) on wealth inequality in the immediate term (section 2.1) and the longer term (section 2.2) and the effect of inheritances on intergenerational wealth persistence (section 2.3). It draws international comparisons throughout. </w:t>
      </w:r>
    </w:p>
    <w:p w14:paraId="50E00039" w14:textId="77777777" w:rsidR="006E0ED6" w:rsidRPr="006E44F5" w:rsidRDefault="006E0ED6" w:rsidP="006E0ED6">
      <w:pPr>
        <w:pStyle w:val="BodyText"/>
        <w:rPr>
          <w:spacing w:val="-2"/>
        </w:rPr>
      </w:pPr>
      <w:r w:rsidRPr="006E44F5">
        <w:rPr>
          <w:spacing w:val="-2"/>
        </w:rPr>
        <w:t>The effect of wealth transfers on wealth inequality captures how wealth transfers affect the distribution of wealth, both in the immediate term and in the longer term. In the immediate term, the effect of transfers depends only on the initial wealth of the recipient and the size of the transfer that they receive. In the longer term, the subsequent behavioural response of their household also determines the effect on wealth inequality.</w:t>
      </w:r>
    </w:p>
    <w:p w14:paraId="3C756BBD" w14:textId="77777777" w:rsidR="006E0ED6" w:rsidRDefault="006E0ED6" w:rsidP="006E0ED6">
      <w:pPr>
        <w:pStyle w:val="BodyText"/>
      </w:pPr>
      <w:r>
        <w:t>The effect of inheritances on intergenerational wealth persistence — the association between an adult child’s position in society and their parents’ — captures the extent to which inheritances reduce social mobility relative to other factors.</w:t>
      </w:r>
    </w:p>
    <w:p w14:paraId="7FB3141D" w14:textId="77777777" w:rsidR="006E0ED6" w:rsidRDefault="006E0ED6" w:rsidP="006E0ED6">
      <w:pPr>
        <w:pStyle w:val="BodyText"/>
      </w:pPr>
      <w:r>
        <w:t>The analysis in this chapter uses data from annual Household Income and Labour Dynamics in Australia (HILDA) surveys (chapter 1). Using surveys to make inferences about the entire Australian population involves some uncertainty, but is common practice in research. For transparency, our estimates are presented with margins of error or ‘confidence intervals’.</w:t>
      </w:r>
      <w:r>
        <w:rPr>
          <w:rStyle w:val="FootnoteReference"/>
        </w:rPr>
        <w:footnoteReference w:id="23"/>
      </w:r>
    </w:p>
    <w:p w14:paraId="1417904D" w14:textId="77777777" w:rsidR="006E0ED6" w:rsidRDefault="006E0ED6" w:rsidP="006E0ED6">
      <w:pPr>
        <w:pStyle w:val="Heading3"/>
      </w:pPr>
      <w:r>
        <w:t>Measures of wealth</w:t>
      </w:r>
    </w:p>
    <w:p w14:paraId="6707A5DF" w14:textId="77777777" w:rsidR="006E0ED6" w:rsidRDefault="006E0ED6" w:rsidP="006E0ED6">
      <w:pPr>
        <w:pStyle w:val="BodyText"/>
      </w:pPr>
      <w:r>
        <w:t>An advantage of undertaking analysis with the HILDA dataset is that it permits a focus on the household, rather than just the individual. The household is a better unit than the individual for analysing wealth</w:t>
      </w:r>
      <w:r>
        <w:noBreakHyphen/>
        <w:t>related economic decisions and the consequences of wealth for peoples’ welfare, as:</w:t>
      </w:r>
    </w:p>
    <w:p w14:paraId="2B735C4A" w14:textId="2F2C115C" w:rsidR="006E0ED6" w:rsidRDefault="006E0ED6" w:rsidP="006E0ED6">
      <w:pPr>
        <w:pStyle w:val="ListBullet"/>
      </w:pPr>
      <w:r>
        <w:t xml:space="preserve">people share some resources within households </w:t>
      </w:r>
      <w:r>
        <w:fldChar w:fldCharType="begin"/>
      </w:r>
      <w:r w:rsidR="0047772E">
        <w:instrText xml:space="preserve"> ADDIN ZOTERO_ITEM CSL_CITATION {"citationID":"pXhJ2dVb","properties":{"formattedCitation":"(OECD\\uc0\\u160{}2013)","plainCitation":"(OECD 2013)","noteIndex":0},"citationItems":[{"id":1725,"uris":["http://zotero.org/groups/2714158/items/MNAS5GF5"],"uri":["http://zotero.org/groups/2714158/items/MNAS5GF5"],"itemData":{"id":1725,"type":"report","event-place":"Paris","publisher":"OECD","publisher-place":"Paris","title":"OECD Guidelines for Micro Statistics on Household Wealth","author":[{"family":"Organisation for Economic Co-operation and Development","given":""}],"translator":[{"family":"OECD","given":""}],"accessed":{"date-parts":[["2021",4,16]]},"issued":{"date-parts":[["2013"]]}}}],"schema":"https://github.com/citation-style-language/schema/raw/master/csl-citation.json"} </w:instrText>
      </w:r>
      <w:r>
        <w:fldChar w:fldCharType="separate"/>
      </w:r>
      <w:r w:rsidRPr="00377210">
        <w:rPr>
          <w:szCs w:val="24"/>
        </w:rPr>
        <w:t>(OECD 2013)</w:t>
      </w:r>
      <w:r>
        <w:fldChar w:fldCharType="end"/>
      </w:r>
      <w:r>
        <w:t>. When using household wealth to analyse the consequence of wealth for peoples’ welfare, it is implicitly assumed that wealth is shared equally among household members</w:t>
      </w:r>
    </w:p>
    <w:p w14:paraId="03A85B87" w14:textId="1B244FA5" w:rsidR="006E0ED6" w:rsidRDefault="006E0ED6" w:rsidP="006E0ED6">
      <w:pPr>
        <w:pStyle w:val="ListBullet"/>
      </w:pPr>
      <w:r>
        <w:t>wealth invested in owner</w:t>
      </w:r>
      <w:r>
        <w:noBreakHyphen/>
        <w:t xml:space="preserve">occupied housing — which accounts for about 40 per cent of household wealth in Australia </w:t>
      </w:r>
      <w:r>
        <w:fldChar w:fldCharType="begin"/>
      </w:r>
      <w:r w:rsidR="0047772E">
        <w:instrText xml:space="preserve"> ADDIN ZOTERO_ITEM CSL_CITATION {"citationID":"BBPattoo","properties":{"formattedCitation":"(PC\\uc0\\u160{}2018a, p.\\uc0\\u160{}78)","plainCitation":"(PC 2018a, p. 78)","noteIndex":0},"citationItems":[{"id":2793,"uris":["http://zotero.org/groups/164861/items/7NVJM2JN"],"uri":["http://zotero.org/groups/164861/items/7NVJM2JN"],"itemData":{"id":2793,"type":"report","event-place":"Canberra","genre":"Commission Research Paper","publisher-place":"Canberra","title":"Rising inequality? A stocktake of the evidence","author":[{"family":"Productivity Commission","given":""}],"translator":[{"family":"PC","given":""}],"issued":{"date-parts":[["2018"]]}},"locator":"78"}],"schema":"https://github.com/citation-style-language/schema/raw/master/csl-citation.json"} </w:instrText>
      </w:r>
      <w:r>
        <w:fldChar w:fldCharType="separate"/>
      </w:r>
      <w:r w:rsidR="007A60F8" w:rsidRPr="007A60F8">
        <w:rPr>
          <w:rFonts w:ascii="Arial" w:hAnsi="Arial" w:cs="Arial"/>
          <w:szCs w:val="24"/>
        </w:rPr>
        <w:t>(PC 2018a, p. 78)</w:t>
      </w:r>
      <w:r>
        <w:fldChar w:fldCharType="end"/>
      </w:r>
      <w:r>
        <w:t xml:space="preserve"> — usually provides rent</w:t>
      </w:r>
      <w:r>
        <w:noBreakHyphen/>
        <w:t>free housing to all household members, regardless of which household member(s) own the house.</w:t>
      </w:r>
      <w:r>
        <w:rPr>
          <w:rStyle w:val="FootnoteReference"/>
        </w:rPr>
        <w:footnoteReference w:id="24"/>
      </w:r>
    </w:p>
    <w:p w14:paraId="6CCBF8F2" w14:textId="5B0B7257" w:rsidR="006E0ED6" w:rsidRDefault="006E0ED6" w:rsidP="006E0ED6">
      <w:pPr>
        <w:pStyle w:val="BodyText"/>
      </w:pPr>
      <w:r>
        <w:t>To measure the consequences of wealth for peoples’ welfare, ‘equivalised’ wealth is preferred over household wealth. Equivalised wealth is household wealth scaled to reflect differences in household size and composition.</w:t>
      </w:r>
      <w:r>
        <w:rPr>
          <w:rStyle w:val="FootnoteReference"/>
        </w:rPr>
        <w:footnoteReference w:id="25"/>
      </w:r>
      <w:r>
        <w:t xml:space="preserve"> For example, suppose that the people living in household A own the same amount of wealth in total as the people living in household B, but five adults live in household A and only one adult and one child live in household B. According to the household wealth measure, the two households are equally wealthy. This is a misleading indicator of the resources available to each household member and consequences of wealth for their wellbeing. Household A’s wealth is shared between five people, whereas </w:t>
      </w:r>
      <w:r>
        <w:lastRenderedPageBreak/>
        <w:t xml:space="preserve">household B’s wealth is shared between only two people. Moreover, one member of household B is a child, and children require fewer resources to sustain a given level of wellbeing. Equivalised wealth ‘corrects’ for these factors to permit fairer comparison between such households. By the equivalised wealth measure, the members of household B are judged to be 2.3 times wealthier than the members of household A. </w:t>
      </w:r>
      <w:r w:rsidR="00EE733B">
        <w:t>A</w:t>
      </w:r>
      <w:r>
        <w:t xml:space="preserve"> previous </w:t>
      </w:r>
      <w:r w:rsidR="00EE733B">
        <w:t xml:space="preserve">Commission </w:t>
      </w:r>
      <w:r>
        <w:t xml:space="preserve">study, </w:t>
      </w:r>
      <w:r w:rsidRPr="00DA221F">
        <w:rPr>
          <w:i/>
          <w:iCs/>
        </w:rPr>
        <w:t>Rising Inequality</w:t>
      </w:r>
      <w:r>
        <w:rPr>
          <w:i/>
          <w:iCs/>
        </w:rPr>
        <w:t>? A stocktake of the evidence</w:t>
      </w:r>
      <w:r>
        <w:t xml:space="preserve"> explain</w:t>
      </w:r>
      <w:r w:rsidR="00EE733B">
        <w:t>s</w:t>
      </w:r>
      <w:r>
        <w:t xml:space="preserve"> the equivalisation process and its benefits in more detail </w:t>
      </w:r>
      <w:r>
        <w:fldChar w:fldCharType="begin"/>
      </w:r>
      <w:r w:rsidR="0047772E">
        <w:instrText xml:space="preserve"> ADDIN ZOTERO_ITEM CSL_CITATION {"citationID":"T5PWH7AW","properties":{"formattedCitation":"(PC\\uc0\\u160{}2018a, pp.\\uc0\\u160{}27\\uc0\\u8211{}28)","plainCitation":"(PC 2018a, pp. 27–28)","noteIndex":0},"citationItems":[{"id":2793,"uris":["http://zotero.org/groups/164861/items/7NVJM2JN"],"uri":["http://zotero.org/groups/164861/items/7NVJM2JN"],"itemData":{"id":2793,"type":"report","event-place":"Canberra","genre":"Commission Research Paper","publisher-place":"Canberra","title":"Rising inequality? A stocktake of the evidence","author":[{"family":"Productivity Commission","given":""}],"translator":[{"family":"PC","given":""}],"issued":{"date-parts":[["2018"]]}},"locator":"27-28"}],"schema":"https://github.com/citation-style-language/schema/raw/master/csl-citation.json"} </w:instrText>
      </w:r>
      <w:r>
        <w:fldChar w:fldCharType="separate"/>
      </w:r>
      <w:r w:rsidR="007A60F8" w:rsidRPr="007A60F8">
        <w:rPr>
          <w:rFonts w:ascii="Arial" w:hAnsi="Arial" w:cs="Arial"/>
          <w:szCs w:val="24"/>
        </w:rPr>
        <w:t>(PC 2018a, pp. 27–28)</w:t>
      </w:r>
      <w:r>
        <w:fldChar w:fldCharType="end"/>
      </w:r>
      <w:r>
        <w:t>.</w:t>
      </w:r>
    </w:p>
    <w:p w14:paraId="681A50E0" w14:textId="6AFADE79" w:rsidR="006E0ED6" w:rsidRDefault="006E0ED6" w:rsidP="006E0ED6">
      <w:pPr>
        <w:pStyle w:val="BodyText"/>
      </w:pPr>
      <w:r>
        <w:t xml:space="preserve">This chapter’s analysis of the effects of wealth transfers on wealth inequality (sections 2.1 and 2.2) thus uses equivalised wealth when deriving wealth distributions, except when drawing comparisons with </w:t>
      </w:r>
      <w:r w:rsidR="00416815">
        <w:t>international</w:t>
      </w:r>
      <w:r w:rsidR="00A74A41">
        <w:t xml:space="preserve"> </w:t>
      </w:r>
      <w:r>
        <w:t>studies that use other measures of wealth. Household wealth is used when analysing the effect of inheritances on intergenerational wealth persistence (section 2.3), as this is the approach that other studies take and the main intent is to draw international comparisons.</w:t>
      </w:r>
      <w:r>
        <w:rPr>
          <w:rStyle w:val="FootnoteReference"/>
        </w:rPr>
        <w:footnoteReference w:id="26"/>
      </w:r>
    </w:p>
    <w:p w14:paraId="549D900B" w14:textId="77777777" w:rsidR="006E0ED6" w:rsidRDefault="006E0ED6" w:rsidP="006E0ED6">
      <w:pPr>
        <w:pStyle w:val="Heading3"/>
      </w:pPr>
      <w:r>
        <w:t>Measures of wealth inequality</w:t>
      </w:r>
    </w:p>
    <w:p w14:paraId="3BABDAB3" w14:textId="77777777" w:rsidR="006E0ED6" w:rsidRDefault="006E0ED6" w:rsidP="006E0ED6">
      <w:pPr>
        <w:pStyle w:val="BodyText"/>
      </w:pPr>
      <w:r>
        <w:t xml:space="preserve">This chapter’s analysis of the effects of wealth transfers on wealth inequality (sections 2.1 and 2.2) makes claims about both </w:t>
      </w:r>
      <w:r w:rsidRPr="00475CAD">
        <w:rPr>
          <w:i/>
          <w:iCs/>
        </w:rPr>
        <w:t>absolute</w:t>
      </w:r>
      <w:r>
        <w:t xml:space="preserve"> and </w:t>
      </w:r>
      <w:r w:rsidRPr="00475CAD">
        <w:rPr>
          <w:i/>
          <w:iCs/>
        </w:rPr>
        <w:t>relative</w:t>
      </w:r>
      <w:r>
        <w:t xml:space="preserve"> wealth inequality.</w:t>
      </w:r>
    </w:p>
    <w:p w14:paraId="4AF1E3A9" w14:textId="77777777" w:rsidR="006E0ED6" w:rsidRDefault="006E0ED6" w:rsidP="006E0ED6">
      <w:pPr>
        <w:pStyle w:val="ListBullet"/>
      </w:pPr>
      <w:r>
        <w:t>Absolute wealth inequality is inequality in the level of wealth held by each person.</w:t>
      </w:r>
      <w:r>
        <w:rPr>
          <w:rStyle w:val="FootnoteReference"/>
        </w:rPr>
        <w:footnoteReference w:id="27"/>
      </w:r>
      <w:r>
        <w:t xml:space="preserve"> If every person’s wealth were to increase by a given amount (say, $10), then absolute wealth inequality would be unchanged. If wealthier people’s wealth were to increase by $15 and poorer people’s wealth were to increase by $5, then absolute wealth inequality would increase.</w:t>
      </w:r>
    </w:p>
    <w:p w14:paraId="3CB7B40B" w14:textId="77777777" w:rsidR="006E0ED6" w:rsidRDefault="006E0ED6" w:rsidP="006E0ED6">
      <w:pPr>
        <w:pStyle w:val="ListBullet"/>
      </w:pPr>
      <w:r>
        <w:t>Relative wealth inequality is inequality in the share of wealth held by each person. If every person’s wealth were to increase by a given proportion (say, 10 per cent), then relative wealth inequality would be unchanged. If wealthier people’s wealth were to increase by 15 per cent and poorer people’s wealth were to increase by 5 per cent, then relative wealth inequality would increase.</w:t>
      </w:r>
    </w:p>
    <w:p w14:paraId="6E82E82E" w14:textId="77777777" w:rsidR="006E0ED6" w:rsidRPr="00FA3867" w:rsidRDefault="006E0ED6" w:rsidP="006E0ED6">
      <w:pPr>
        <w:pStyle w:val="BodyText"/>
        <w:rPr>
          <w:spacing w:val="-4"/>
        </w:rPr>
      </w:pPr>
      <w:r w:rsidRPr="00FA3867">
        <w:rPr>
          <w:spacing w:val="-4"/>
        </w:rPr>
        <w:t>Both absolute and relative wealth inequality are relevant concepts, but it is important to understand their differences when interpreting claims about inequality. If the claim is used to advance a particular policy position or argue that a particular outcome is desirable, then one measure may be more appropriate than the other (box 2.1). As this chapter does not seek to do either, both measures are presented with no prioritisation intended.</w:t>
      </w:r>
    </w:p>
    <w:p w14:paraId="21B250FF" w14:textId="77777777" w:rsidR="00B07435" w:rsidRDefault="00B07435">
      <w:pPr>
        <w:spacing w:before="0" w:after="160" w:line="259" w:lineRule="auto"/>
        <w:rPr>
          <w:spacing w:val="-4"/>
        </w:rPr>
      </w:pPr>
      <w:r>
        <w:rPr>
          <w:spacing w:val="-4"/>
        </w:rPr>
        <w:br w:type="page"/>
      </w:r>
    </w:p>
    <w:tbl>
      <w:tblPr>
        <w:tblStyle w:val="Boxtable"/>
        <w:tblW w:w="5000" w:type="pct"/>
        <w:tblLook w:val="04A0" w:firstRow="1" w:lastRow="0" w:firstColumn="1" w:lastColumn="0" w:noHBand="0" w:noVBand="1"/>
      </w:tblPr>
      <w:tblGrid>
        <w:gridCol w:w="9638"/>
      </w:tblGrid>
      <w:tr w:rsidR="006E0ED6" w14:paraId="51670A8A" w14:textId="77777777" w:rsidTr="001625EC">
        <w:trPr>
          <w:tblHeader/>
        </w:trPr>
        <w:tc>
          <w:tcPr>
            <w:tcW w:w="9638" w:type="dxa"/>
            <w:tcMar>
              <w:top w:w="170" w:type="dxa"/>
              <w:left w:w="170" w:type="dxa"/>
              <w:bottom w:w="113" w:type="dxa"/>
              <w:right w:w="170" w:type="dxa"/>
            </w:tcMar>
            <w:hideMark/>
          </w:tcPr>
          <w:p w14:paraId="636C6B8E" w14:textId="120BD449" w:rsidR="006E0ED6" w:rsidRDefault="006E0ED6" w:rsidP="001625EC">
            <w:pPr>
              <w:pStyle w:val="BoxHeading1"/>
            </w:pPr>
            <w:r>
              <w:lastRenderedPageBreak/>
              <w:t xml:space="preserve">Box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1</w:t>
            </w:r>
            <w:r w:rsidR="00B2270C">
              <w:rPr>
                <w:noProof/>
              </w:rPr>
              <w:fldChar w:fldCharType="end"/>
            </w:r>
            <w:r>
              <w:t xml:space="preserve"> – Absolute versus relative measures of inequality</w:t>
            </w:r>
          </w:p>
        </w:tc>
      </w:tr>
      <w:tr w:rsidR="006E0ED6" w14:paraId="189AB11B" w14:textId="77777777" w:rsidTr="001625EC">
        <w:tc>
          <w:tcPr>
            <w:tcW w:w="9638" w:type="dxa"/>
            <w:tcMar>
              <w:top w:w="28" w:type="dxa"/>
              <w:left w:w="170" w:type="dxa"/>
              <w:bottom w:w="170" w:type="dxa"/>
              <w:right w:w="170" w:type="dxa"/>
            </w:tcMar>
            <w:hideMark/>
          </w:tcPr>
          <w:p w14:paraId="790C35CF" w14:textId="4BD2B1C9" w:rsidR="006E0ED6" w:rsidRPr="000B5933" w:rsidRDefault="006E0ED6" w:rsidP="001625EC">
            <w:pPr>
              <w:pStyle w:val="BodyText"/>
            </w:pPr>
            <w:r w:rsidRPr="000B5933">
              <w:t xml:space="preserve">Inequality can be measured in both absolute and relative terms. Both measures are </w:t>
            </w:r>
            <w:r w:rsidR="00860130">
              <w:t>useful</w:t>
            </w:r>
            <w:r w:rsidRPr="000B5933">
              <w:t xml:space="preserve">, but they will often present contrasting findings. A striking example is that of global income inequality over the very long term. Absolute global income inequality has increased continuously since 1850. Relative global income inequality, meanwhile, increased from 1820 to about 1970, but has since declined </w:t>
            </w:r>
            <w:r w:rsidRPr="000B5933">
              <w:fldChar w:fldCharType="begin"/>
            </w:r>
            <w:r w:rsidR="0047772E">
              <w:instrText xml:space="preserve"> ADDIN ZOTERO_ITEM CSL_CITATION {"citationID":"URleXLEL","properties":{"formattedCitation":"(Goda\\uc0\\u160{}2016)","plainCitation":"(Goda 2016)","noteIndex":0},"citationItems":[{"id":3168,"uris":["http://zotero.org/groups/2714158/items/YJQESPK9"],"uri":["http://zotero.org/groups/2714158/items/YJQESPK9"],"itemData":{"id":3168,"type":"article-journal","container-title":"Ecos de Economía","DOI":"10.17230/ecos.2015.42.3","ISSN":"1657-4206","issue":"42","language":"en","note":"publisher: Universidad EAFIT","page":"46-69","source":"SciELO","title":"Global trends in relative and absolute income inequality","volume":"20","author":[{"family":"Goda","given":"Thomas"}],"issued":{"date-parts":[["2016",6]]}}}],"schema":"https://github.com/citation-style-language/schema/raw/master/csl-citation.json"} </w:instrText>
            </w:r>
            <w:r w:rsidRPr="000B5933">
              <w:fldChar w:fldCharType="separate"/>
            </w:r>
            <w:r w:rsidRPr="000B5933">
              <w:t>(Goda 2016)</w:t>
            </w:r>
            <w:r w:rsidRPr="000B5933">
              <w:fldChar w:fldCharType="end"/>
            </w:r>
            <w:r w:rsidRPr="000B5933">
              <w:t xml:space="preserve">. This recent decline coincided with a sharp increase in the rate of global poverty reduction — more than a billion people have lifted themselves out of poverty </w:t>
            </w:r>
            <w:r w:rsidRPr="000B5933">
              <w:fldChar w:fldCharType="begin"/>
            </w:r>
            <w:r w:rsidR="0047772E">
              <w:instrText xml:space="preserve"> ADDIN ZOTERO_ITEM CSL_CITATION {"citationID":"T1xnujn4","properties":{"formattedCitation":"(Hasell and Roser\\uc0\\u160{}2019)","plainCitation":"(Hasell and Roser 2019)","noteIndex":0},"citationItems":[{"id":3164,"uris":["http://zotero.org/groups/2714158/items/U9HXXGKQ"],"uri":["http://zotero.org/groups/2714158/items/U9HXXGKQ"],"itemData":{"id":3164,"type":"webpage","container-title":"Our World in Data","title":"How Do We Know the History of Extreme Poverty?","URL":"https://ourworldindata.org/extreme-history-methods","author":[{"family":"Hasell","given":"Joe"},{"family":"Roser","given":"Max"}],"accessed":{"date-parts":[["2021",9,2]]},"issued":{"date-parts":[["2019",2,9]]}}}],"schema":"https://github.com/citation-style-language/schema/raw/master/csl-citation.json"} </w:instrText>
            </w:r>
            <w:r w:rsidRPr="000B5933">
              <w:fldChar w:fldCharType="separate"/>
            </w:r>
            <w:r w:rsidRPr="000B5933">
              <w:t>(Hasell and Roser 2019)</w:t>
            </w:r>
            <w:r w:rsidRPr="000B5933">
              <w:fldChar w:fldCharType="end"/>
            </w:r>
            <w:r w:rsidRPr="000B5933">
              <w:t>.</w:t>
            </w:r>
          </w:p>
          <w:p w14:paraId="647932B2" w14:textId="050BB3FA" w:rsidR="006E0ED6" w:rsidRDefault="006E0ED6" w:rsidP="001625EC">
            <w:pPr>
              <w:pStyle w:val="BodyText"/>
            </w:pPr>
            <w:r w:rsidRPr="000B5933">
              <w:t xml:space="preserve">If a claim about inequality is used to advance a particular policy position or argue that a particular outcome is desirable or undesirable, then one measure may be more appropriate than the other. Returning to the global income inequality example above, some have argued that efforts to reduce absolute global income inequality would require a halting of the economic growth necessary to reduce poverty. Thus if the intention of policy is to reduce poverty, relative global income inequality is the better measure </w:t>
            </w:r>
            <w:r w:rsidRPr="000B5933">
              <w:fldChar w:fldCharType="begin"/>
            </w:r>
            <w:r w:rsidR="0047772E">
              <w:instrText xml:space="preserve"> ADDIN ZOTERO_ITEM CSL_CITATION {"citationID":"ZoKTq7gB","properties":{"formattedCitation":"(Ni\\uc0\\u241{}o-Zaraz\\uc0\\u250{}a, Roope and Tarp\\uc0\\u160{}2017)","plainCitation":"(Niño-Zarazúa, Roope and Tarp 2017)","noteIndex":0},"citationItems":[{"id":3175,"uris":["http://zotero.org/groups/2714158/items/PCUINYHX"],"uri":["http://zotero.org/groups/2714158/items/PCUINYHX"],"itemData":{"id":3175,"type":"article-journal","abstract":"This paper measures trends in global interpersonal inequality during 1975–2010 using data from the most recent version of the World Income Inequality Database (WIID). The picture that emerges using ‘absolute,’ and even ‘centrist’ measures of inequality, is very different from the results obtained using standard ‘relative’ inequality measures such as the Gini coefficient or Coefficient of Variation. Relative global inequality has declined substantially over the decades. In contrast, ‘absolute’ inequality, as captured by the Standard Deviation and Absolute Gini, has increased considerably and unabated. Like these ‘absolute’ measures, our ‘centrist’ inequality indicators, the Krtscha measure and an intermediate Gini, also register a pronounced increase in global inequality, albeit, in the case of the latter, with a decline during 2005 to 2010. A critical question posed by our findings is whether increased levels of inequality according to absolute and centrist measures are inevitable at today's per capita income levels. Our analysis suggests that it is not possible for absolute inequality to return to 1975 levels without further convergence in mean incomes among countries. Inequality, as captured by centrist measures such as the Krtscha, could return to 1975 levels, at today's domestic and global per capita income levels, but this would require quite dramatic structural reforms to reduce domestic inequality levels in most countries.","container-title":"Review of Income and Wealth","DOI":"10.1111/roiw.12240","ISSN":"1475-4991","issue":"4","language":"en","note":"_eprint: https://onlinelibrary.wiley.com/doi/pdf/10.1111/roiw.12240","page":"661-684","source":"Wiley Online Library","title":"Global inequality: Relatively lower, absolutely higher","title-short":"Global inequality","volume":"63","author":[{"family":"Niño-Zarazúa","given":"Miguel"},{"family":"Roope","given":"Laurence"},{"family":"Tarp","given":"Finn"}],"issued":{"date-parts":[["2017"]]}}}],"schema":"https://github.com/citation-style-language/schema/raw/master/csl-citation.json"} </w:instrText>
            </w:r>
            <w:r w:rsidRPr="000B5933">
              <w:fldChar w:fldCharType="separate"/>
            </w:r>
            <w:r w:rsidRPr="000B5933">
              <w:t>(Niño-Zarazúa, Roope and Tarp 2017)</w:t>
            </w:r>
            <w:r w:rsidRPr="000B5933">
              <w:fldChar w:fldCharType="end"/>
            </w:r>
            <w:r w:rsidRPr="000B5933">
              <w:t>.</w:t>
            </w:r>
          </w:p>
        </w:tc>
      </w:tr>
      <w:tr w:rsidR="006E0ED6" w14:paraId="030AAE4A" w14:textId="77777777" w:rsidTr="001625EC">
        <w:tc>
          <w:tcPr>
            <w:tcW w:w="9638" w:type="dxa"/>
            <w:shd w:val="clear" w:color="auto" w:fill="auto"/>
            <w:tcMar>
              <w:top w:w="0" w:type="dxa"/>
              <w:left w:w="170" w:type="dxa"/>
              <w:bottom w:w="0" w:type="dxa"/>
              <w:right w:w="170" w:type="dxa"/>
            </w:tcMar>
          </w:tcPr>
          <w:p w14:paraId="01891581" w14:textId="77777777" w:rsidR="006E0ED6" w:rsidRDefault="006E0ED6" w:rsidP="001625EC">
            <w:pPr>
              <w:pStyle w:val="BodyText"/>
              <w:spacing w:before="0" w:after="0" w:line="80" w:lineRule="atLeast"/>
            </w:pPr>
          </w:p>
        </w:tc>
      </w:tr>
    </w:tbl>
    <w:p w14:paraId="4BCCF7BE" w14:textId="77777777" w:rsidR="006E0ED6" w:rsidRDefault="006E0ED6" w:rsidP="00D208A3">
      <w:pPr>
        <w:pStyle w:val="Heading2"/>
      </w:pPr>
      <w:bookmarkStart w:id="17" w:name="_Toc87543958"/>
      <w:r>
        <w:t>Immediate</w:t>
      </w:r>
      <w:r>
        <w:noBreakHyphen/>
        <w:t>term effect of wealth transfers on wealth inequality</w:t>
      </w:r>
      <w:bookmarkEnd w:id="17"/>
    </w:p>
    <w:p w14:paraId="11491578" w14:textId="77777777" w:rsidR="006E0ED6" w:rsidRPr="00947841" w:rsidRDefault="006E0ED6" w:rsidP="006E0ED6">
      <w:pPr>
        <w:pStyle w:val="BodyText"/>
        <w:rPr>
          <w:spacing w:val="-4"/>
        </w:rPr>
      </w:pPr>
      <w:r w:rsidRPr="00947841">
        <w:rPr>
          <w:spacing w:val="-4"/>
        </w:rPr>
        <w:t>The immediate</w:t>
      </w:r>
      <w:r w:rsidRPr="00947841">
        <w:rPr>
          <w:spacing w:val="-4"/>
        </w:rPr>
        <w:noBreakHyphen/>
        <w:t>term effect of transfers on wealth inequality is straightforward to compute. Wealth is measured once every four waves of the HILDA survey — in 2002, 2006, 2010, 2014, and 2018. Wealth as measured in the first four of these waves is used to construct initial wealth distributions, which are compared with wealth transfers (gifts and inheritances treated separately and together) received in the subsequent three financial years — 2003</w:t>
      </w:r>
      <w:r w:rsidRPr="00947841">
        <w:rPr>
          <w:spacing w:val="-4"/>
        </w:rPr>
        <w:noBreakHyphen/>
        <w:t>04 – 2005</w:t>
      </w:r>
      <w:r w:rsidRPr="00947841">
        <w:rPr>
          <w:spacing w:val="-4"/>
        </w:rPr>
        <w:noBreakHyphen/>
        <w:t>06, 2007</w:t>
      </w:r>
      <w:r w:rsidRPr="00947841">
        <w:rPr>
          <w:spacing w:val="-4"/>
        </w:rPr>
        <w:noBreakHyphen/>
        <w:t>08 – 2009</w:t>
      </w:r>
      <w:r w:rsidRPr="00947841">
        <w:rPr>
          <w:spacing w:val="-4"/>
        </w:rPr>
        <w:noBreakHyphen/>
        <w:t>10, 2011</w:t>
      </w:r>
      <w:r w:rsidRPr="00947841">
        <w:rPr>
          <w:spacing w:val="-4"/>
        </w:rPr>
        <w:noBreakHyphen/>
        <w:t>12 – 2013</w:t>
      </w:r>
      <w:r w:rsidRPr="00947841">
        <w:rPr>
          <w:spacing w:val="-4"/>
        </w:rPr>
        <w:noBreakHyphen/>
        <w:t>14 and 2015</w:t>
      </w:r>
      <w:r w:rsidRPr="00947841">
        <w:rPr>
          <w:spacing w:val="-4"/>
        </w:rPr>
        <w:noBreakHyphen/>
        <w:t>16 – 2017</w:t>
      </w:r>
      <w:r w:rsidRPr="00947841">
        <w:rPr>
          <w:spacing w:val="-4"/>
        </w:rPr>
        <w:noBreakHyphen/>
        <w:t>18 (no data is yet available for 2019</w:t>
      </w:r>
      <w:r w:rsidRPr="00947841">
        <w:rPr>
          <w:spacing w:val="-4"/>
        </w:rPr>
        <w:noBreakHyphen/>
        <w:t>20 and onwards, so 2018 wealth data is not used). Hereafter, these are referred to as the ‘12 studied years’. As with wealth, wealth transfers are equivalised, meaning that that they are assumed to be shared equally among household members and scaled to reflect household size and composition.</w:t>
      </w:r>
    </w:p>
    <w:p w14:paraId="3BC954DE" w14:textId="77777777" w:rsidR="006E0ED6" w:rsidRDefault="006E0ED6" w:rsidP="006E0ED6">
      <w:pPr>
        <w:pStyle w:val="BodyText"/>
        <w:keepNext/>
      </w:pPr>
      <w:r>
        <w:t>The effect of wealth transfers on wealth inequality is measured relative to a counterfactual scenario where, hypothetically, wealth unexpectedly disappears after death and gifts are unexpectedly destroyed in transit (box 2.2).</w:t>
      </w:r>
      <w:r>
        <w:rPr>
          <w:rStyle w:val="FootnoteReference"/>
        </w:rPr>
        <w:footnoteReference w:id="28"/>
      </w:r>
      <w:r>
        <w:t xml:space="preserve"> This leads to the following limitations.</w:t>
      </w:r>
    </w:p>
    <w:p w14:paraId="35C98BEF" w14:textId="77777777" w:rsidR="006E0ED6" w:rsidRPr="00947841" w:rsidRDefault="006E0ED6" w:rsidP="006E0ED6">
      <w:pPr>
        <w:pStyle w:val="ListBullet"/>
      </w:pPr>
      <w:r w:rsidRPr="00947841">
        <w:t>Wealth transfers are considered an inflow of ‘new’ wealth, rather than a redistribution of existing wealth. If gifts were to be considered a redistribution of existing wealth — which is preferable, because donors’ loss of wealth has consequences for their wellbeing — gifts would likely have had a more equalising effect on absolute and relative wealth inequality than that found here (box 2.2).</w:t>
      </w:r>
    </w:p>
    <w:p w14:paraId="100A2E03" w14:textId="77777777" w:rsidR="006E0ED6" w:rsidRPr="00947841" w:rsidRDefault="006E0ED6" w:rsidP="006E0ED6">
      <w:pPr>
        <w:pStyle w:val="ListBullet"/>
      </w:pPr>
      <w:r w:rsidRPr="00947841">
        <w:t>It is not realistic to assume that no wealth is ever inherited. An interesting counterfactual that this study has not examined is the distributional consequences of taxing a share of wealth transfers but reducing other taxes such that the aggregate tax take is held constant.</w:t>
      </w:r>
    </w:p>
    <w:p w14:paraId="7193E8ED" w14:textId="77777777" w:rsidR="006E0ED6" w:rsidRPr="00947841" w:rsidRDefault="006E0ED6" w:rsidP="006E0ED6">
      <w:pPr>
        <w:pStyle w:val="ListBullet"/>
      </w:pPr>
      <w:r w:rsidRPr="00947841">
        <w:lastRenderedPageBreak/>
        <w:t>There is nonreporting of inheritances to the HILDA survey, particularly smaller inheritances (which are typically received by poorer recipients) (chapter 1). For this reason, inheritances probably reduce relative and absolute wealth inequality by more than this chapter suggests, but there is no way to be sure of this.</w:t>
      </w:r>
    </w:p>
    <w:p w14:paraId="525BC302"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4A1763C2" w14:textId="77777777" w:rsidTr="001625EC">
        <w:trPr>
          <w:tblHeader/>
        </w:trPr>
        <w:tc>
          <w:tcPr>
            <w:tcW w:w="9638" w:type="dxa"/>
            <w:tcMar>
              <w:top w:w="170" w:type="dxa"/>
              <w:left w:w="170" w:type="dxa"/>
              <w:bottom w:w="113" w:type="dxa"/>
              <w:right w:w="170" w:type="dxa"/>
            </w:tcMar>
            <w:hideMark/>
          </w:tcPr>
          <w:p w14:paraId="255507C2" w14:textId="0A840D70"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2</w:t>
            </w:r>
            <w:r w:rsidR="00B2270C">
              <w:rPr>
                <w:noProof/>
              </w:rPr>
              <w:fldChar w:fldCharType="end"/>
            </w:r>
            <w:r>
              <w:t xml:space="preserve"> – </w:t>
            </w:r>
            <w:r w:rsidR="000B591A">
              <w:t>Wealth transfers are considered an inflow of ‘new’ wealth, rather than a redistribution of existing wealth</w:t>
            </w:r>
          </w:p>
        </w:tc>
      </w:tr>
      <w:tr w:rsidR="006E0ED6" w14:paraId="64CF1342" w14:textId="77777777" w:rsidTr="001625EC">
        <w:tc>
          <w:tcPr>
            <w:tcW w:w="9638" w:type="dxa"/>
            <w:tcMar>
              <w:top w:w="28" w:type="dxa"/>
              <w:left w:w="170" w:type="dxa"/>
              <w:bottom w:w="170" w:type="dxa"/>
              <w:right w:w="170" w:type="dxa"/>
            </w:tcMar>
            <w:hideMark/>
          </w:tcPr>
          <w:p w14:paraId="6F0ACE53" w14:textId="77777777" w:rsidR="007D6234" w:rsidRDefault="007D6234" w:rsidP="007D6234">
            <w:pPr>
              <w:pStyle w:val="BodyText"/>
            </w:pPr>
            <w:r>
              <w:t xml:space="preserve">Our estimates of the immediate term effects of wealth transfers on wealth inequality consider the effects on the wealth of the household that receives the transfer, but disregard the effects on the wealth of the donor household. Hence, wealth transfers are considered to </w:t>
            </w:r>
            <w:r w:rsidR="006E0ED6">
              <w:t xml:space="preserve">be </w:t>
            </w:r>
            <w:r>
              <w:t>an inflow of new wealth, rather than a redistribution of existing wealth.</w:t>
            </w:r>
          </w:p>
          <w:p w14:paraId="0C9A41DD" w14:textId="77777777" w:rsidR="007D6234" w:rsidRDefault="007D6234" w:rsidP="007D6234">
            <w:pPr>
              <w:pStyle w:val="BodyText"/>
            </w:pPr>
            <w:r>
              <w:t>This is because of data limitations. Information about donor households is very incomplete, and the instances where such information is available are not representative of the broader population.</w:t>
            </w:r>
          </w:p>
          <w:p w14:paraId="01FD1303" w14:textId="26D5871A" w:rsidR="006E0ED6" w:rsidRDefault="007D6234" w:rsidP="001625EC">
            <w:pPr>
              <w:pStyle w:val="BodyText"/>
            </w:pPr>
            <w:r>
              <w:t>This is not a shortcoming</w:t>
            </w:r>
            <w:r w:rsidR="006E0ED6">
              <w:t xml:space="preserve"> in </w:t>
            </w:r>
            <w:r>
              <w:t>the case of inheritances. The donor is deceased, so the loss of their wealth has no consequences for their wellbeing. But it is a shortcoming in the case of gifts, as the donor’s wellbeing does matter. Under the assumption that gifts typically flow from wealthier households to poorer households, this means that our estimates likely understate the extent to which gifts reduce (</w:t>
            </w:r>
            <w:r w:rsidR="006E0ED6">
              <w:t>absolute and relative</w:t>
            </w:r>
            <w:r>
              <w:t>) wealth inequality.</w:t>
            </w:r>
          </w:p>
        </w:tc>
      </w:tr>
      <w:tr w:rsidR="006E0ED6" w14:paraId="0A80C76B" w14:textId="77777777" w:rsidTr="001625EC">
        <w:tc>
          <w:tcPr>
            <w:tcW w:w="9638" w:type="dxa"/>
            <w:shd w:val="clear" w:color="auto" w:fill="auto"/>
            <w:tcMar>
              <w:top w:w="0" w:type="dxa"/>
              <w:left w:w="170" w:type="dxa"/>
              <w:bottom w:w="0" w:type="dxa"/>
              <w:right w:w="170" w:type="dxa"/>
            </w:tcMar>
          </w:tcPr>
          <w:p w14:paraId="7722BB85" w14:textId="77777777" w:rsidR="006E0ED6" w:rsidRDefault="006E0ED6" w:rsidP="001625EC">
            <w:pPr>
              <w:pStyle w:val="BodyText"/>
              <w:spacing w:before="0" w:after="0" w:line="80" w:lineRule="atLeast"/>
            </w:pPr>
          </w:p>
        </w:tc>
      </w:tr>
    </w:tbl>
    <w:p w14:paraId="096F0F25" w14:textId="77777777" w:rsidR="006E0ED6" w:rsidRPr="00D85B4F" w:rsidRDefault="006E0ED6" w:rsidP="006E0ED6">
      <w:pPr>
        <w:pStyle w:val="Heading3"/>
        <w:rPr>
          <w:spacing w:val="-4"/>
        </w:rPr>
      </w:pPr>
      <w:r w:rsidRPr="00D85B4F">
        <w:rPr>
          <w:spacing w:val="-4"/>
        </w:rPr>
        <w:t>Wealthier people inherited more than poorer people, but inheritances reduced relative wealth inequality in the immediate term</w:t>
      </w:r>
    </w:p>
    <w:p w14:paraId="04A4A58F" w14:textId="77777777" w:rsidR="006E0ED6" w:rsidRDefault="006E0ED6" w:rsidP="006E0ED6">
      <w:pPr>
        <w:pStyle w:val="BodyText"/>
      </w:pPr>
      <w:r>
        <w:t>Over the 12 studied years, more money was bequeathed to wealthier people than to poorer people. This was because:</w:t>
      </w:r>
    </w:p>
    <w:p w14:paraId="3B700B62" w14:textId="77777777" w:rsidR="006E0ED6" w:rsidRDefault="006E0ED6" w:rsidP="006E0ED6">
      <w:pPr>
        <w:pStyle w:val="ListBullet"/>
      </w:pPr>
      <w:r>
        <w:t>larger shares of wealthier people received inheritances than poorer people (figure 2.1, panel a)</w:t>
      </w:r>
    </w:p>
    <w:p w14:paraId="54717D6D" w14:textId="77777777" w:rsidR="006E0ED6" w:rsidRDefault="006E0ED6" w:rsidP="006E0ED6">
      <w:pPr>
        <w:pStyle w:val="ListBullet"/>
      </w:pPr>
      <w:r>
        <w:t>among those who received inheritances, wealthier people usually received larger inheritances (figure 2.1, panel b). In equivalised terms, and averaging over the four three-year windows, the average inheritance received by the wealthiest 20 per cent of people was about $121 000, whereas the average inheritance received by the poorest 20 per cent of people was about $35 000.</w:t>
      </w:r>
    </w:p>
    <w:p w14:paraId="20E59BBC" w14:textId="77777777" w:rsidR="006E0ED6" w:rsidRDefault="006E0ED6" w:rsidP="006E0ED6">
      <w:pPr>
        <w:pStyle w:val="BodyText"/>
      </w:pPr>
      <w:r>
        <w:t>Including those who did not inherit, the average inheritance received by the wealthiest 20 per cent of people was about $11 000 (still in equivalised terms and averaging over the four three-year windows), whereas the average inheritance received by the poorest 20 per cent of people was about $1600.</w:t>
      </w:r>
    </w:p>
    <w:p w14:paraId="23944CAC" w14:textId="77777777" w:rsidR="006E0ED6" w:rsidRDefault="006E0ED6" w:rsidP="006E0ED6">
      <w:pPr>
        <w:pStyle w:val="BodyText"/>
      </w:pPr>
      <w:r>
        <w:t xml:space="preserve">Hence, inheritances increased </w:t>
      </w:r>
      <w:r w:rsidRPr="00344A6F">
        <w:rPr>
          <w:i/>
          <w:iCs/>
        </w:rPr>
        <w:t>absolute</w:t>
      </w:r>
      <w:r>
        <w:t xml:space="preserve"> wealth inequality — inequality in the </w:t>
      </w:r>
      <w:r w:rsidRPr="00F03F3E">
        <w:rPr>
          <w:i/>
          <w:iCs/>
        </w:rPr>
        <w:t>level</w:t>
      </w:r>
      <w:r>
        <w:t xml:space="preserve"> of wealth held by each person — in the immediate term. Appendix B shows that this conclusion is also reached when absolute wealth inequality is measured in other ways, and when wealth is adjusted for lifecycle effects (box 2.3).</w:t>
      </w:r>
    </w:p>
    <w:p w14:paraId="0B4E2001" w14:textId="3973D663"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w:t>
      </w:r>
      <w:r w:rsidR="00B2270C">
        <w:rPr>
          <w:noProof/>
        </w:rPr>
        <w:fldChar w:fldCharType="end"/>
      </w:r>
      <w:r>
        <w:rPr>
          <w:noProof/>
        </w:rPr>
        <w:t xml:space="preserve"> </w:t>
      </w:r>
      <w:r>
        <w:t>– Wealthier people inherited more money</w:t>
      </w:r>
      <w:r w:rsidRPr="00066CF5">
        <w:rPr>
          <w:vertAlign w:val="superscript"/>
        </w:rPr>
        <w:t>a,b</w:t>
      </w:r>
    </w:p>
    <w:p w14:paraId="4F2E7EB5" w14:textId="77777777" w:rsidR="006E0ED6" w:rsidRPr="004C58DE" w:rsidRDefault="006E0ED6" w:rsidP="006E0ED6">
      <w:pPr>
        <w:pStyle w:val="FigureTableSubheading"/>
        <w:keepLines/>
        <w:rPr>
          <w:sz w:val="18"/>
          <w:szCs w:val="16"/>
        </w:rPr>
      </w:pPr>
      <w:r w:rsidRPr="004C58DE">
        <w:rPr>
          <w:sz w:val="18"/>
          <w:szCs w:val="16"/>
        </w:rPr>
        <w:t>Inheritances received in 2003</w:t>
      </w:r>
      <w:r w:rsidRPr="004C58DE">
        <w:rPr>
          <w:sz w:val="18"/>
          <w:szCs w:val="16"/>
        </w:rPr>
        <w:noBreakHyphen/>
        <w:t>04 – 2005</w:t>
      </w:r>
      <w:r w:rsidRPr="004C58DE">
        <w:rPr>
          <w:sz w:val="18"/>
          <w:szCs w:val="16"/>
        </w:rPr>
        <w:noBreakHyphen/>
        <w:t>06, 2007</w:t>
      </w:r>
      <w:r w:rsidRPr="004C58DE">
        <w:rPr>
          <w:sz w:val="18"/>
          <w:szCs w:val="16"/>
        </w:rPr>
        <w:noBreakHyphen/>
        <w:t>08 – 2009</w:t>
      </w:r>
      <w:r w:rsidRPr="004C58DE">
        <w:rPr>
          <w:sz w:val="18"/>
          <w:szCs w:val="16"/>
        </w:rPr>
        <w:noBreakHyphen/>
        <w:t>10, 2011</w:t>
      </w:r>
      <w:r w:rsidRPr="004C58DE">
        <w:rPr>
          <w:sz w:val="18"/>
          <w:szCs w:val="16"/>
        </w:rPr>
        <w:noBreakHyphen/>
        <w:t>12 – 2013</w:t>
      </w:r>
      <w:r w:rsidRPr="004C58DE">
        <w:rPr>
          <w:sz w:val="18"/>
          <w:szCs w:val="16"/>
        </w:rPr>
        <w:noBreakHyphen/>
        <w:t>14 and 2015</w:t>
      </w:r>
      <w:r w:rsidRPr="004C58DE">
        <w:rPr>
          <w:sz w:val="18"/>
          <w:szCs w:val="16"/>
        </w:rPr>
        <w:noBreakHyphen/>
        <w:t>16 – 2017</w:t>
      </w:r>
      <w:r w:rsidRPr="004C58DE">
        <w:rPr>
          <w:sz w:val="18"/>
          <w:szCs w:val="16"/>
        </w:rPr>
        <w:noBreakHyphen/>
        <w:t>18</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6E0ED6" w:rsidRPr="00B1465D" w14:paraId="07DAF1FC" w14:textId="77777777" w:rsidTr="001625EC">
        <w:trPr>
          <w:tblHeader/>
          <w:jc w:val="center"/>
        </w:trPr>
        <w:tc>
          <w:tcPr>
            <w:tcW w:w="2500" w:type="pct"/>
            <w:tcBorders>
              <w:top w:val="nil"/>
              <w:bottom w:val="nil"/>
            </w:tcBorders>
          </w:tcPr>
          <w:p w14:paraId="45BFD65F" w14:textId="64A911EB" w:rsidR="006E0ED6" w:rsidRPr="00B1465D" w:rsidRDefault="006E0ED6" w:rsidP="00132C71">
            <w:pPr>
              <w:pStyle w:val="FigureTableSubheading"/>
              <w:numPr>
                <w:ilvl w:val="0"/>
                <w:numId w:val="32"/>
              </w:numPr>
            </w:pPr>
            <w:r w:rsidRPr="009F3E18">
              <w:rPr>
                <w:sz w:val="16"/>
                <w:szCs w:val="14"/>
              </w:rPr>
              <w:t xml:space="preserve">Share of people who inherited in </w:t>
            </w:r>
            <w:r w:rsidR="00F46041">
              <w:rPr>
                <w:sz w:val="16"/>
                <w:szCs w:val="14"/>
              </w:rPr>
              <w:t>a three-year period</w:t>
            </w:r>
            <w:r w:rsidRPr="009F3E18">
              <w:rPr>
                <w:sz w:val="16"/>
                <w:szCs w:val="14"/>
              </w:rPr>
              <w:t xml:space="preserve">, by initial equivalised wealth quintile </w:t>
            </w:r>
          </w:p>
        </w:tc>
        <w:tc>
          <w:tcPr>
            <w:tcW w:w="2500" w:type="pct"/>
            <w:tcBorders>
              <w:top w:val="nil"/>
              <w:bottom w:val="nil"/>
            </w:tcBorders>
          </w:tcPr>
          <w:p w14:paraId="6B8FD493" w14:textId="0B81C404" w:rsidR="006E0ED6" w:rsidRPr="009B05CF" w:rsidRDefault="006E0ED6" w:rsidP="00132C71">
            <w:pPr>
              <w:pStyle w:val="FigureTableSubheading"/>
              <w:numPr>
                <w:ilvl w:val="0"/>
                <w:numId w:val="32"/>
              </w:numPr>
            </w:pPr>
            <w:r w:rsidRPr="009F3E18">
              <w:rPr>
                <w:sz w:val="16"/>
                <w:szCs w:val="14"/>
              </w:rPr>
              <w:t>Average equivalised inheritance received among people who inherited</w:t>
            </w:r>
            <w:r w:rsidR="00F46041">
              <w:rPr>
                <w:sz w:val="16"/>
                <w:szCs w:val="14"/>
              </w:rPr>
              <w:t xml:space="preserve"> in a three-year period</w:t>
            </w:r>
            <w:r w:rsidRPr="009F3E18">
              <w:rPr>
                <w:sz w:val="16"/>
                <w:szCs w:val="14"/>
              </w:rPr>
              <w:t>, by initial equivalised wealth quintile</w:t>
            </w:r>
          </w:p>
        </w:tc>
      </w:tr>
      <w:tr w:rsidR="006E0ED6" w:rsidRPr="00B1465D" w14:paraId="7999D22B" w14:textId="77777777" w:rsidTr="001625EC">
        <w:trPr>
          <w:tblHeader/>
          <w:jc w:val="center"/>
        </w:trPr>
        <w:tc>
          <w:tcPr>
            <w:tcW w:w="2500" w:type="pct"/>
            <w:tcBorders>
              <w:top w:val="nil"/>
              <w:bottom w:val="nil"/>
            </w:tcBorders>
          </w:tcPr>
          <w:p w14:paraId="7581F748" w14:textId="78F997AD" w:rsidR="006E0ED6" w:rsidRPr="00B1465D" w:rsidRDefault="00522D31" w:rsidP="001625EC">
            <w:pPr>
              <w:spacing w:before="60" w:after="60"/>
              <w:rPr>
                <w:rFonts w:ascii="Arial" w:hAnsi="Arial" w:cs="Arial"/>
                <w:sz w:val="18"/>
                <w:szCs w:val="18"/>
              </w:rPr>
            </w:pPr>
            <w:r>
              <w:rPr>
                <w:rFonts w:ascii="Arial" w:hAnsi="Arial" w:cs="Arial"/>
                <w:sz w:val="18"/>
                <w:szCs w:val="18"/>
              </w:rPr>
              <w:t xml:space="preserve"> </w:t>
            </w:r>
            <w:r w:rsidRPr="00522D31">
              <w:rPr>
                <w:rFonts w:ascii="Arial" w:hAnsi="Arial" w:cs="Arial"/>
                <w:noProof/>
                <w:sz w:val="18"/>
                <w:szCs w:val="18"/>
              </w:rPr>
              <w:drawing>
                <wp:inline distT="0" distB="0" distL="0" distR="0" wp14:anchorId="4364DCE0" wp14:editId="1A721538">
                  <wp:extent cx="2987040" cy="2339340"/>
                  <wp:effectExtent l="0" t="0" r="3810" b="3810"/>
                  <wp:docPr id="112" name="Picture 112" descr="Figure 2.1, panel a. This chart shows the share of people who inherited in the year in question,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2.1, panel a. This chart shows the share of people who inherited in the year in question, by initial equivalised wealth quintile. More details are contained in the text surrounding this figu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15F881D7" w14:textId="3D99DA2E" w:rsidR="006E0ED6" w:rsidRPr="00B1465D" w:rsidRDefault="00522D31" w:rsidP="001625EC">
            <w:pPr>
              <w:spacing w:before="60" w:after="60"/>
              <w:rPr>
                <w:rFonts w:ascii="Arial" w:hAnsi="Arial" w:cs="Arial"/>
                <w:sz w:val="18"/>
                <w:szCs w:val="18"/>
              </w:rPr>
            </w:pPr>
            <w:r>
              <w:rPr>
                <w:rFonts w:ascii="Arial" w:hAnsi="Arial" w:cs="Arial"/>
                <w:sz w:val="18"/>
                <w:szCs w:val="18"/>
              </w:rPr>
              <w:t xml:space="preserve"> </w:t>
            </w:r>
            <w:r w:rsidR="006564C8" w:rsidRPr="006564C8">
              <w:rPr>
                <w:rFonts w:ascii="Arial" w:hAnsi="Arial" w:cs="Arial"/>
                <w:noProof/>
                <w:sz w:val="18"/>
                <w:szCs w:val="18"/>
              </w:rPr>
              <w:drawing>
                <wp:inline distT="0" distB="0" distL="0" distR="0" wp14:anchorId="71DA2732" wp14:editId="406DA588">
                  <wp:extent cx="2987040" cy="2339340"/>
                  <wp:effectExtent l="0" t="0" r="3810" b="3810"/>
                  <wp:docPr id="5" name="Picture 5" descr="Figure 2.1, panel b. This chart shows the average equivalised inheritance received among people who inherited,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1, panel b. This chart shows the average equivalised inheritance received among people who inherited, by initial equivalised wealth quintile. More details are contained in the text surrounding this figur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1D20BD40" w14:textId="77777777" w:rsidR="006E0ED6" w:rsidRPr="00B14126" w:rsidRDefault="006E0ED6" w:rsidP="006E0ED6">
      <w:pPr>
        <w:pStyle w:val="Note"/>
        <w:keepLines/>
        <w:rPr>
          <w:spacing w:val="-6"/>
        </w:rPr>
      </w:pPr>
      <w:r w:rsidRPr="00B14126">
        <w:rPr>
          <w:b/>
          <w:bCs/>
          <w:spacing w:val="-6"/>
        </w:rPr>
        <w:t>a.</w:t>
      </w:r>
      <w:r w:rsidRPr="00B14126">
        <w:rPr>
          <w:spacing w:val="-6"/>
        </w:rPr>
        <w:t xml:space="preserve"> Error bars represent 95 per cent confidence intervals. </w:t>
      </w:r>
      <w:r w:rsidRPr="00B14126">
        <w:rPr>
          <w:b/>
          <w:spacing w:val="-6"/>
        </w:rPr>
        <w:t>b.</w:t>
      </w:r>
      <w:r w:rsidRPr="00B14126">
        <w:rPr>
          <w:spacing w:val="-6"/>
        </w:rPr>
        <w:t xml:space="preserve"> Wealth quintile prior to receipt of inheritance (initial wealth) is measured in 2002 for inheritances received in 2003</w:t>
      </w:r>
      <w:r w:rsidRPr="00B14126">
        <w:rPr>
          <w:spacing w:val="-6"/>
        </w:rPr>
        <w:noBreakHyphen/>
        <w:t>04 – 2005</w:t>
      </w:r>
      <w:r w:rsidRPr="00B14126">
        <w:rPr>
          <w:spacing w:val="-6"/>
        </w:rPr>
        <w:noBreakHyphen/>
        <w:t>06, 2006 for inheritances received in 2007</w:t>
      </w:r>
      <w:r w:rsidRPr="00B14126">
        <w:rPr>
          <w:spacing w:val="-6"/>
        </w:rPr>
        <w:noBreakHyphen/>
        <w:t>08 – 2009</w:t>
      </w:r>
      <w:r w:rsidRPr="00B14126">
        <w:rPr>
          <w:spacing w:val="-6"/>
        </w:rPr>
        <w:noBreakHyphen/>
        <w:t>10, and so on.</w:t>
      </w:r>
    </w:p>
    <w:p w14:paraId="0C08FD05" w14:textId="77777777" w:rsidR="006E0ED6" w:rsidRDefault="006E0ED6" w:rsidP="006E0ED6">
      <w:pPr>
        <w:pStyle w:val="Source"/>
      </w:pPr>
      <w:r w:rsidRPr="00696447">
        <w:t xml:space="preserve">Source: </w:t>
      </w:r>
      <w:r w:rsidRPr="006E0341">
        <w:t>Productivity Commission estimates based on HILDA Restricted Release 19.</w:t>
      </w:r>
    </w:p>
    <w:p w14:paraId="4FDF6835" w14:textId="77777777" w:rsidR="006E0ED6" w:rsidRDefault="006E0ED6" w:rsidP="006E0ED6">
      <w:pPr>
        <w:pStyle w:val="Space"/>
      </w:pPr>
    </w:p>
    <w:tbl>
      <w:tblPr>
        <w:tblStyle w:val="Boxtable"/>
        <w:tblW w:w="5000" w:type="pct"/>
        <w:tblLook w:val="04A0" w:firstRow="1" w:lastRow="0" w:firstColumn="1" w:lastColumn="0" w:noHBand="0" w:noVBand="1"/>
      </w:tblPr>
      <w:tblGrid>
        <w:gridCol w:w="9638"/>
      </w:tblGrid>
      <w:tr w:rsidR="006E0ED6" w14:paraId="44082760" w14:textId="77777777" w:rsidTr="001625EC">
        <w:trPr>
          <w:tblHeader/>
        </w:trPr>
        <w:tc>
          <w:tcPr>
            <w:tcW w:w="9638" w:type="dxa"/>
            <w:tcMar>
              <w:top w:w="170" w:type="dxa"/>
              <w:left w:w="170" w:type="dxa"/>
              <w:bottom w:w="113" w:type="dxa"/>
              <w:right w:w="170" w:type="dxa"/>
            </w:tcMar>
            <w:hideMark/>
          </w:tcPr>
          <w:p w14:paraId="48AD865B" w14:textId="7516AB15"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3</w:t>
            </w:r>
            <w:r w:rsidR="00B2270C">
              <w:rPr>
                <w:noProof/>
              </w:rPr>
              <w:fldChar w:fldCharType="end"/>
            </w:r>
            <w:r>
              <w:t xml:space="preserve"> – When measuring wealth, lifecycle effects matter</w:t>
            </w:r>
          </w:p>
        </w:tc>
      </w:tr>
      <w:tr w:rsidR="006E0ED6" w14:paraId="53D045BA" w14:textId="77777777" w:rsidTr="001625EC">
        <w:tc>
          <w:tcPr>
            <w:tcW w:w="9638" w:type="dxa"/>
            <w:tcMar>
              <w:top w:w="28" w:type="dxa"/>
              <w:left w:w="170" w:type="dxa"/>
              <w:bottom w:w="170" w:type="dxa"/>
              <w:right w:w="170" w:type="dxa"/>
            </w:tcMar>
            <w:hideMark/>
          </w:tcPr>
          <w:p w14:paraId="07DB714F" w14:textId="77777777" w:rsidR="006E0ED6" w:rsidRPr="008E688C" w:rsidRDefault="006E0ED6" w:rsidP="001625EC">
            <w:pPr>
              <w:pStyle w:val="BodyText"/>
            </w:pPr>
            <w:r w:rsidRPr="008E688C">
              <w:t>The introduction to this chapter argued that equivalised wealth is the preferred measure of wealth for constructing wealth distributions, as it captures differences in the amount of wealth that each person can access better than individual or household wealth measures.</w:t>
            </w:r>
          </w:p>
          <w:p w14:paraId="0896989A" w14:textId="77777777" w:rsidR="006E0ED6" w:rsidRPr="008E688C" w:rsidRDefault="006E0ED6" w:rsidP="001625EC">
            <w:pPr>
              <w:pStyle w:val="BodyText"/>
            </w:pPr>
            <w:r w:rsidRPr="008E688C">
              <w:t>In the context of wealth transfers, an even better measure of wealth would capture differences in each person’s access to wealth over their entire lifetime, rather than at just a point in time. For example: most direct gift recipients are aged under 30, and the individual wealth of people aged under 30 is typically below average (figure below, panel a). Hence, individual measures will tend to show that gifts flow to relatively poor people, as a consequence of the age profile of gift recipients. But many of these recipients might go on to be relatively wealthy later in life, even in the absence of the gifts they have received. It is likely that such individual measures overstate the extent to which gifts reduce inequality (or understate the extent to which gifts increase inequality).</w:t>
            </w:r>
          </w:p>
          <w:p w14:paraId="14690891" w14:textId="77777777" w:rsidR="006E0ED6" w:rsidRPr="008E688C" w:rsidRDefault="006E0ED6" w:rsidP="001625EC">
            <w:pPr>
              <w:pStyle w:val="BodyText"/>
            </w:pPr>
            <w:r w:rsidRPr="008E688C">
              <w:t>Equivalised measures are superior to individual measures on this front, yet still not ideal. Equivalisation assumes that wealth and wealth transfers are shared among household members, which smooths age of receipt over the lifecycle (figure below, panel b). But it is still the case that most equivalised gift recipients are aged under 30, and that people aged under 30 typically have below average equivalised wealth. Hence, equivalised measures might still overstate the extent to which gifts reduce inequality (or understate the extent to which gifts increase inequality).</w:t>
            </w:r>
          </w:p>
          <w:p w14:paraId="1C7A5422" w14:textId="77777777" w:rsidR="006E0ED6" w:rsidRDefault="006E0ED6" w:rsidP="001625EC">
            <w:pPr>
              <w:pStyle w:val="BodyText"/>
            </w:pPr>
            <w:r w:rsidRPr="008E688C">
              <w:lastRenderedPageBreak/>
              <w:t>For this reason, the Commission has developed ‘lifecycle</w:t>
            </w:r>
            <w:r w:rsidRPr="008E688C">
              <w:noBreakHyphen/>
              <w:t>adjusted’ measures of the effects of wealth transfers on inequality that are robust to these distortions. Because they have other shortcomings, they are not presented in the main analysis, but are used as a check on the main analysis throughout this chapter and shown in more detail in appendix B.</w:t>
            </w:r>
          </w:p>
          <w:p w14:paraId="1BFA4B56" w14:textId="77777777" w:rsidR="006E0ED6" w:rsidRDefault="006E0ED6" w:rsidP="001625EC">
            <w:pPr>
              <w:pStyle w:val="FigureTableHeading"/>
            </w:pPr>
            <w:r w:rsidRPr="00895B17">
              <w:t>Equivalisation only partially smooths age of transfer receipt over the lifecycle</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4649"/>
              <w:gridCol w:w="4649"/>
            </w:tblGrid>
            <w:tr w:rsidR="006E0ED6" w:rsidRPr="00B1465D" w14:paraId="66479EA6" w14:textId="77777777" w:rsidTr="001625EC">
              <w:trPr>
                <w:tblHeader/>
                <w:jc w:val="center"/>
              </w:trPr>
              <w:tc>
                <w:tcPr>
                  <w:tcW w:w="2500" w:type="pct"/>
                  <w:tcBorders>
                    <w:top w:val="nil"/>
                    <w:bottom w:val="nil"/>
                  </w:tcBorders>
                </w:tcPr>
                <w:p w14:paraId="6C28D172" w14:textId="758C2EE9" w:rsidR="006E0ED6" w:rsidRPr="00B1465D" w:rsidRDefault="006E0ED6" w:rsidP="00132C71">
                  <w:pPr>
                    <w:pStyle w:val="FigureTableSubheading"/>
                    <w:numPr>
                      <w:ilvl w:val="0"/>
                      <w:numId w:val="33"/>
                    </w:numPr>
                  </w:pPr>
                  <w:r w:rsidRPr="001A1665">
                    <w:rPr>
                      <w:sz w:val="16"/>
                      <w:szCs w:val="14"/>
                    </w:rPr>
                    <w:t>Individual measures, 2018</w:t>
                  </w:r>
                  <w:r w:rsidR="002004B7" w:rsidRPr="001A1665">
                    <w:rPr>
                      <w:sz w:val="16"/>
                      <w:szCs w:val="14"/>
                      <w:vertAlign w:val="superscript"/>
                    </w:rPr>
                    <w:t>a</w:t>
                  </w:r>
                </w:p>
              </w:tc>
              <w:tc>
                <w:tcPr>
                  <w:tcW w:w="2500" w:type="pct"/>
                  <w:tcBorders>
                    <w:top w:val="nil"/>
                    <w:bottom w:val="nil"/>
                  </w:tcBorders>
                </w:tcPr>
                <w:p w14:paraId="74F7ECE2" w14:textId="77777777" w:rsidR="006E0ED6" w:rsidRPr="00B1465D" w:rsidRDefault="006E0ED6" w:rsidP="00132C71">
                  <w:pPr>
                    <w:pStyle w:val="FigureTableSubheading"/>
                    <w:numPr>
                      <w:ilvl w:val="0"/>
                      <w:numId w:val="33"/>
                    </w:numPr>
                  </w:pPr>
                  <w:r w:rsidRPr="001A1665">
                    <w:rPr>
                      <w:sz w:val="16"/>
                      <w:szCs w:val="14"/>
                    </w:rPr>
                    <w:t>Equivalised measures, 2018</w:t>
                  </w:r>
                </w:p>
              </w:tc>
            </w:tr>
            <w:tr w:rsidR="006E0ED6" w:rsidRPr="00B1465D" w14:paraId="49FAC4C6" w14:textId="77777777" w:rsidTr="001625EC">
              <w:trPr>
                <w:tblHeader/>
                <w:jc w:val="center"/>
              </w:trPr>
              <w:tc>
                <w:tcPr>
                  <w:tcW w:w="2500" w:type="pct"/>
                  <w:tcBorders>
                    <w:top w:val="nil"/>
                    <w:bottom w:val="nil"/>
                  </w:tcBorders>
                </w:tcPr>
                <w:p w14:paraId="649E2C94" w14:textId="383EF456" w:rsidR="006E0ED6" w:rsidRPr="00B1465D" w:rsidRDefault="00002F85" w:rsidP="001625EC">
                  <w:pPr>
                    <w:spacing w:before="60" w:after="60"/>
                    <w:rPr>
                      <w:rFonts w:ascii="Arial" w:hAnsi="Arial" w:cs="Arial"/>
                      <w:sz w:val="18"/>
                      <w:szCs w:val="18"/>
                    </w:rPr>
                  </w:pPr>
                  <w:r w:rsidRPr="00002F85">
                    <w:rPr>
                      <w:rFonts w:ascii="Arial" w:hAnsi="Arial" w:cs="Arial"/>
                      <w:noProof/>
                      <w:sz w:val="18"/>
                      <w:szCs w:val="18"/>
                    </w:rPr>
                    <w:drawing>
                      <wp:inline distT="0" distB="0" distL="0" distR="0" wp14:anchorId="3B34AFD1" wp14:editId="30AE8263">
                        <wp:extent cx="2987040" cy="2339340"/>
                        <wp:effectExtent l="0" t="0" r="0" b="0"/>
                        <wp:docPr id="3" name="Picture 3" descr="Box 2.3 figure, panel a. This chart shows the average individual wealth, share of individual inheritance recipients and share of individual gift recipients by single year of age in 2018.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x 2.3 figure, panel a. This chart shows the average individual wealth, share of individual inheritance recipients and share of individual gift recipients by single year of age in 2018. More details are contained in the text surrounding this figur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232127A6" w14:textId="2B3A0949" w:rsidR="006E0ED6" w:rsidRPr="00B1465D" w:rsidRDefault="00065D9D" w:rsidP="001625EC">
                  <w:pPr>
                    <w:spacing w:before="60" w:after="60"/>
                    <w:rPr>
                      <w:rFonts w:ascii="Arial" w:hAnsi="Arial" w:cs="Arial"/>
                      <w:sz w:val="18"/>
                      <w:szCs w:val="18"/>
                    </w:rPr>
                  </w:pPr>
                  <w:r w:rsidRPr="00065D9D">
                    <w:rPr>
                      <w:rFonts w:ascii="Arial" w:hAnsi="Arial" w:cs="Arial"/>
                      <w:noProof/>
                      <w:sz w:val="18"/>
                      <w:szCs w:val="18"/>
                    </w:rPr>
                    <w:drawing>
                      <wp:inline distT="0" distB="0" distL="0" distR="0" wp14:anchorId="0EC0CAB3" wp14:editId="58DB5120">
                        <wp:extent cx="2987040" cy="2339340"/>
                        <wp:effectExtent l="0" t="0" r="0" b="0"/>
                        <wp:docPr id="16" name="Picture 16" descr="Box 2.3 figure, panel b. This chart shows the average equivalised wealth, share of equivalised inheritance recipients and share of equivalised gift recipients by single year of age in 2018.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x 2.3 figure, panel b. This chart shows the average equivalised wealth, share of equivalised inheritance recipients and share of equivalised gift recipients by single year of age in 2018. More details are contained in the text surrounding this figur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345BC5FC" w14:textId="77777777" w:rsidR="006E0ED6" w:rsidRDefault="006E0ED6" w:rsidP="001625EC">
            <w:pPr>
              <w:pStyle w:val="Note"/>
            </w:pPr>
            <w:r w:rsidRPr="00F253EA">
              <w:rPr>
                <w:b/>
                <w:bCs/>
              </w:rPr>
              <w:t>a.</w:t>
            </w:r>
            <w:r>
              <w:t xml:space="preserve"> Excludes gifts from resident parents, for consistency with the data in panel b.</w:t>
            </w:r>
          </w:p>
          <w:p w14:paraId="3FC71729" w14:textId="77777777" w:rsidR="006E0ED6" w:rsidRDefault="006E0ED6" w:rsidP="001625EC">
            <w:pPr>
              <w:pStyle w:val="Source"/>
            </w:pPr>
            <w:r>
              <w:t>Source: Productivity Commission estimates based on HILDA Restricted Release 19.</w:t>
            </w:r>
          </w:p>
        </w:tc>
      </w:tr>
      <w:tr w:rsidR="006E0ED6" w14:paraId="127E5CAE" w14:textId="77777777" w:rsidTr="001625EC">
        <w:tc>
          <w:tcPr>
            <w:tcW w:w="9638" w:type="dxa"/>
            <w:shd w:val="clear" w:color="auto" w:fill="auto"/>
            <w:tcMar>
              <w:top w:w="0" w:type="dxa"/>
              <w:left w:w="170" w:type="dxa"/>
              <w:bottom w:w="0" w:type="dxa"/>
              <w:right w:w="170" w:type="dxa"/>
            </w:tcMar>
          </w:tcPr>
          <w:p w14:paraId="780FD57F" w14:textId="77777777" w:rsidR="006E0ED6" w:rsidRDefault="006E0ED6" w:rsidP="001625EC">
            <w:pPr>
              <w:pStyle w:val="BodyText"/>
              <w:spacing w:before="0" w:after="0" w:line="80" w:lineRule="atLeast"/>
            </w:pPr>
          </w:p>
        </w:tc>
      </w:tr>
    </w:tbl>
    <w:p w14:paraId="14B63649" w14:textId="77777777" w:rsidR="006E0ED6" w:rsidRPr="006B57DD" w:rsidRDefault="006E0ED6" w:rsidP="006E0ED6">
      <w:pPr>
        <w:pStyle w:val="BodyText"/>
        <w:rPr>
          <w:spacing w:val="-4"/>
        </w:rPr>
      </w:pPr>
      <w:r w:rsidRPr="006B57DD">
        <w:rPr>
          <w:spacing w:val="-4"/>
        </w:rPr>
        <w:t xml:space="preserve">The story for </w:t>
      </w:r>
      <w:r w:rsidRPr="006B57DD">
        <w:rPr>
          <w:i/>
          <w:iCs/>
          <w:spacing w:val="-4"/>
        </w:rPr>
        <w:t>relative</w:t>
      </w:r>
      <w:r w:rsidRPr="006B57DD">
        <w:rPr>
          <w:spacing w:val="-4"/>
        </w:rPr>
        <w:t xml:space="preserve"> wealth inequality — inequality in the </w:t>
      </w:r>
      <w:r w:rsidRPr="006B57DD">
        <w:rPr>
          <w:i/>
          <w:iCs/>
          <w:spacing w:val="-4"/>
        </w:rPr>
        <w:t>share</w:t>
      </w:r>
      <w:r w:rsidRPr="006B57DD">
        <w:rPr>
          <w:spacing w:val="-4"/>
        </w:rPr>
        <w:t xml:space="preserve"> of the wealth held by each person — is different. </w:t>
      </w:r>
    </w:p>
    <w:p w14:paraId="2D4D5567" w14:textId="77777777" w:rsidR="006E0ED6" w:rsidRPr="006B57DD" w:rsidRDefault="006E0ED6" w:rsidP="006E0ED6">
      <w:pPr>
        <w:pStyle w:val="BodyText"/>
        <w:rPr>
          <w:spacing w:val="-2"/>
        </w:rPr>
      </w:pPr>
      <w:r w:rsidRPr="006B57DD">
        <w:rPr>
          <w:spacing w:val="-2"/>
        </w:rPr>
        <w:t xml:space="preserve">Inheritances reduced relative wealth inequality in the immediate term. While this may seem counterintuitive, it is not inconsistent with the previous finding that inheritances increased absolute wealth inequality. The reason is that, while wealthier people received, on average, larger inheritances, they received smaller inheritances </w:t>
      </w:r>
      <w:r w:rsidRPr="006B57DD">
        <w:rPr>
          <w:i/>
          <w:iCs/>
          <w:spacing w:val="-2"/>
        </w:rPr>
        <w:t>as a share of their initial wealth</w:t>
      </w:r>
      <w:r w:rsidRPr="006B57DD">
        <w:rPr>
          <w:spacing w:val="-2"/>
        </w:rPr>
        <w:t xml:space="preserve"> (figure 2.2). Appendix B shows that this conclusion is also reached when relative wealth inequality is measured in other ways, and when wealth is adjusted for lifecycle effects.</w:t>
      </w:r>
    </w:p>
    <w:p w14:paraId="0AD223D1" w14:textId="77777777" w:rsidR="006E0ED6" w:rsidRPr="006A256A" w:rsidRDefault="006E0ED6" w:rsidP="006E0ED6">
      <w:pPr>
        <w:pStyle w:val="BodyText"/>
      </w:pPr>
      <w:r>
        <w:t>In equivalised terms, and averaging over the four three-year windows, the average inheritance that the wealthiest 20 per cent of people (including those who received no inheritances) received increased their wealth by about 0.8 per cent, whereas the average inheritance that the poorest 20 per cent of people received increased their wealth by about 22 per cent. The difference between the poorest 20 per cent of people and the wealthiest 80 per cent is striking — inheritances boosted the wealth of the wealthiest 80 per cent of people by less than 3 per cent.</w:t>
      </w:r>
    </w:p>
    <w:p w14:paraId="3AB4C2C5" w14:textId="7EAD96AF"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2</w:t>
      </w:r>
      <w:r w:rsidR="00B2270C">
        <w:rPr>
          <w:noProof/>
        </w:rPr>
        <w:fldChar w:fldCharType="end"/>
      </w:r>
      <w:r>
        <w:rPr>
          <w:noProof/>
        </w:rPr>
        <w:t xml:space="preserve"> </w:t>
      </w:r>
      <w:r>
        <w:t>– In the immediate term, inheritances reduced relative wealth inequality</w:t>
      </w:r>
      <w:r w:rsidRPr="00066CF5">
        <w:rPr>
          <w:vertAlign w:val="superscript"/>
        </w:rPr>
        <w:t>a,b</w:t>
      </w:r>
    </w:p>
    <w:p w14:paraId="43A0E219" w14:textId="79472AC1" w:rsidR="006E0ED6" w:rsidRPr="004C58DE" w:rsidRDefault="006E0ED6" w:rsidP="006E0ED6">
      <w:pPr>
        <w:pStyle w:val="FigureTableSubheading"/>
        <w:keepLines/>
        <w:rPr>
          <w:sz w:val="18"/>
          <w:szCs w:val="16"/>
        </w:rPr>
      </w:pPr>
      <w:r w:rsidRPr="004C58DE">
        <w:rPr>
          <w:sz w:val="18"/>
          <w:szCs w:val="16"/>
        </w:rPr>
        <w:t xml:space="preserve">Average equivalised inheritance received among all people </w:t>
      </w:r>
      <w:r w:rsidR="00F46041">
        <w:rPr>
          <w:sz w:val="18"/>
          <w:szCs w:val="16"/>
        </w:rPr>
        <w:t>in a three-year period</w:t>
      </w:r>
      <w:r w:rsidRPr="004C58DE">
        <w:rPr>
          <w:sz w:val="18"/>
          <w:szCs w:val="16"/>
        </w:rPr>
        <w:t xml:space="preserve"> as a share of average initial equivalised wealth, by initial equivalised wealth quintile; inheritances received in 2003</w:t>
      </w:r>
      <w:r w:rsidRPr="004C58DE">
        <w:rPr>
          <w:sz w:val="18"/>
          <w:szCs w:val="16"/>
        </w:rPr>
        <w:noBreakHyphen/>
        <w:t>04 – 2005</w:t>
      </w:r>
      <w:r w:rsidRPr="004C58DE">
        <w:rPr>
          <w:sz w:val="18"/>
          <w:szCs w:val="16"/>
        </w:rPr>
        <w:noBreakHyphen/>
        <w:t>06, 2007</w:t>
      </w:r>
      <w:r w:rsidRPr="004C58DE">
        <w:rPr>
          <w:sz w:val="18"/>
          <w:szCs w:val="16"/>
        </w:rPr>
        <w:noBreakHyphen/>
        <w:t>08 – 2009</w:t>
      </w:r>
      <w:r w:rsidRPr="004C58DE">
        <w:rPr>
          <w:sz w:val="18"/>
          <w:szCs w:val="16"/>
        </w:rPr>
        <w:noBreakHyphen/>
        <w:t>10, 2011</w:t>
      </w:r>
      <w:r w:rsidRPr="004C58DE">
        <w:rPr>
          <w:sz w:val="18"/>
          <w:szCs w:val="16"/>
        </w:rPr>
        <w:noBreakHyphen/>
        <w:t>12 – 2013</w:t>
      </w:r>
      <w:r w:rsidRPr="004C58DE">
        <w:rPr>
          <w:sz w:val="18"/>
          <w:szCs w:val="16"/>
        </w:rPr>
        <w:noBreakHyphen/>
        <w:t>14 and 2015</w:t>
      </w:r>
      <w:r w:rsidRPr="004C58DE">
        <w:rPr>
          <w:sz w:val="18"/>
          <w:szCs w:val="16"/>
        </w:rPr>
        <w:noBreakHyphen/>
        <w:t>16 – 2017</w:t>
      </w:r>
      <w:r w:rsidRPr="004C58DE">
        <w:rPr>
          <w:sz w:val="18"/>
          <w:szCs w:val="16"/>
        </w:rPr>
        <w:noBreakHyphen/>
        <w:t>18</w:t>
      </w:r>
    </w:p>
    <w:p w14:paraId="0E0EAD74" w14:textId="0B32E661" w:rsidR="006E0ED6" w:rsidRPr="005550A0" w:rsidRDefault="00C53A83" w:rsidP="006E0ED6">
      <w:pPr>
        <w:pStyle w:val="BodyText"/>
      </w:pPr>
      <w:r w:rsidRPr="00C53A83">
        <w:rPr>
          <w:noProof/>
        </w:rPr>
        <w:drawing>
          <wp:inline distT="0" distB="0" distL="0" distR="0" wp14:anchorId="7D4AD9BC" wp14:editId="0582679F">
            <wp:extent cx="6120130" cy="2877185"/>
            <wp:effectExtent l="0" t="0" r="0" b="0"/>
            <wp:docPr id="118" name="Picture 118" descr="Figure 2.2. This chart shows the Average equivalised inheritance received among all people as a share of average initial equivalised wealth,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igure 2.2. This chart shows the Average equivalised inheritance received among all people as a share of average initial equivalised wealth, by initial equivalised wealth quintile. More details are contained in the text surrounding this fig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r w:rsidRPr="00C53A83">
        <w:rPr>
          <w:noProof/>
        </w:rPr>
        <w:t xml:space="preserve"> </w:t>
      </w:r>
    </w:p>
    <w:p w14:paraId="642102D8" w14:textId="77777777" w:rsidR="006E0ED6" w:rsidRPr="00F50A5F" w:rsidRDefault="006E0ED6" w:rsidP="006E0ED6">
      <w:pPr>
        <w:pStyle w:val="Note"/>
        <w:keepLines/>
        <w:rPr>
          <w:spacing w:val="-6"/>
        </w:rPr>
      </w:pPr>
      <w:r w:rsidRPr="00F50A5F">
        <w:rPr>
          <w:b/>
          <w:bCs/>
          <w:spacing w:val="-6"/>
        </w:rPr>
        <w:t>a.</w:t>
      </w:r>
      <w:r w:rsidRPr="00F50A5F">
        <w:rPr>
          <w:spacing w:val="-6"/>
        </w:rPr>
        <w:t xml:space="preserve"> Error bars represent 95 per cent confidence intervals. </w:t>
      </w:r>
      <w:r w:rsidRPr="00F50A5F">
        <w:rPr>
          <w:b/>
          <w:spacing w:val="-6"/>
        </w:rPr>
        <w:t>b.</w:t>
      </w:r>
      <w:r w:rsidRPr="00F50A5F">
        <w:rPr>
          <w:spacing w:val="-6"/>
        </w:rPr>
        <w:t xml:space="preserve"> Wealth quintile prior to receipt of inheritance (initial wealth) is measured in 2002 for inheritances received in 2003</w:t>
      </w:r>
      <w:r w:rsidRPr="00F50A5F">
        <w:rPr>
          <w:spacing w:val="-6"/>
        </w:rPr>
        <w:noBreakHyphen/>
        <w:t>04 – 2005</w:t>
      </w:r>
      <w:r w:rsidRPr="00F50A5F">
        <w:rPr>
          <w:spacing w:val="-6"/>
        </w:rPr>
        <w:noBreakHyphen/>
        <w:t>06, 2006 for inheritances received in 2007</w:t>
      </w:r>
      <w:r w:rsidRPr="00F50A5F">
        <w:rPr>
          <w:spacing w:val="-6"/>
        </w:rPr>
        <w:noBreakHyphen/>
        <w:t>08 – 2009</w:t>
      </w:r>
      <w:r w:rsidRPr="00F50A5F">
        <w:rPr>
          <w:spacing w:val="-6"/>
        </w:rPr>
        <w:noBreakHyphen/>
        <w:t>10, and so on.</w:t>
      </w:r>
    </w:p>
    <w:p w14:paraId="61771227" w14:textId="77777777" w:rsidR="006E0ED6" w:rsidRDefault="006E0ED6" w:rsidP="006E0ED6">
      <w:pPr>
        <w:pStyle w:val="Source"/>
      </w:pPr>
      <w:r w:rsidRPr="00696447">
        <w:t xml:space="preserve">Source: </w:t>
      </w:r>
      <w:r w:rsidRPr="0002112F">
        <w:t>Productivity Commission estimates based on HILDA Restricted Release 19.</w:t>
      </w:r>
    </w:p>
    <w:p w14:paraId="30003B69" w14:textId="77777777" w:rsidR="006E0ED6" w:rsidRDefault="006E0ED6" w:rsidP="006E0ED6">
      <w:pPr>
        <w:pStyle w:val="Heading3"/>
      </w:pPr>
      <w:r w:rsidRPr="003715C2">
        <w:t xml:space="preserve">Inter vivos gifts have been shared between </w:t>
      </w:r>
      <w:r>
        <w:t>wealthy</w:t>
      </w:r>
      <w:r w:rsidRPr="003715C2">
        <w:t xml:space="preserve"> and poor, </w:t>
      </w:r>
      <w:r>
        <w:t xml:space="preserve">which has </w:t>
      </w:r>
      <w:r w:rsidRPr="003715C2">
        <w:t>reduced</w:t>
      </w:r>
      <w:r>
        <w:t xml:space="preserve"> immediate</w:t>
      </w:r>
      <w:r>
        <w:noBreakHyphen/>
        <w:t>term</w:t>
      </w:r>
      <w:r w:rsidRPr="003715C2">
        <w:t xml:space="preserve"> relative wealth inequality</w:t>
      </w:r>
    </w:p>
    <w:p w14:paraId="13F3EB70" w14:textId="2D60DB85" w:rsidR="006E0ED6" w:rsidRDefault="006E0ED6" w:rsidP="006E0ED6">
      <w:pPr>
        <w:pStyle w:val="BodyText"/>
      </w:pPr>
      <w:r>
        <w:t xml:space="preserve">Over the 12 studied years, gifts were shared sufficiently evenly between wealthier and poorer people that whether wealthier or poorer people received more is unclear (figure 2.3, panel a). This is </w:t>
      </w:r>
      <w:r w:rsidR="00992AB6">
        <w:t>a</w:t>
      </w:r>
      <w:r>
        <w:t xml:space="preserve"> consequence of two compensating effects.</w:t>
      </w:r>
    </w:p>
    <w:p w14:paraId="0F9BD552" w14:textId="59366FF0" w:rsidR="006E0ED6" w:rsidRDefault="006E0ED6" w:rsidP="006E0ED6">
      <w:pPr>
        <w:pStyle w:val="ListBullet"/>
      </w:pPr>
      <w:r>
        <w:t xml:space="preserve">Larger shares of poorer people received gifts than wealthier people (figure 2.3, panel b). This reflects that </w:t>
      </w:r>
      <w:r w:rsidRPr="00063A17">
        <w:t>gift</w:t>
      </w:r>
      <w:r>
        <w:t xml:space="preserve"> recipients were typically aged under 30, and people aged under 30 were poorer on average (appendix B shows that when the estimates are adjusted for these lifecycle effects similar shares of poorer and wealthier people received gifts).</w:t>
      </w:r>
    </w:p>
    <w:p w14:paraId="68537604" w14:textId="77777777" w:rsidR="006E0ED6" w:rsidRDefault="006E0ED6" w:rsidP="006E0ED6">
      <w:pPr>
        <w:pStyle w:val="ListBullet"/>
      </w:pPr>
      <w:r>
        <w:t>Among those who received a gift in the year in question, wealthier people usually received larger gifts (</w:t>
      </w:r>
      <w:r w:rsidRPr="00063A17">
        <w:t>figure</w:t>
      </w:r>
      <w:r>
        <w:t> 2.3, panel c).</w:t>
      </w:r>
    </w:p>
    <w:p w14:paraId="64E35F60" w14:textId="77777777" w:rsidR="006E0ED6" w:rsidRDefault="006E0ED6" w:rsidP="006E0ED6">
      <w:pPr>
        <w:pStyle w:val="BodyText"/>
      </w:pPr>
      <w:r>
        <w:t xml:space="preserve">Hence, gifts had an inconclusive effect on </w:t>
      </w:r>
      <w:r w:rsidRPr="00344A6F">
        <w:rPr>
          <w:i/>
          <w:iCs/>
        </w:rPr>
        <w:t>absolute</w:t>
      </w:r>
      <w:r>
        <w:t xml:space="preserve"> wealth inequality in the immediate term.</w:t>
      </w:r>
      <w:r>
        <w:rPr>
          <w:rStyle w:val="FootnoteReference"/>
        </w:rPr>
        <w:footnoteReference w:id="29"/>
      </w:r>
      <w:r>
        <w:t xml:space="preserve"> Appendix B shows that this conclusion is also reached when absolute wealth inequality is measured in other ways, and when wealth is adjusted for lifecycle effects.</w:t>
      </w:r>
    </w:p>
    <w:p w14:paraId="01CEE39C" w14:textId="7BECFBE2"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3</w:t>
      </w:r>
      <w:r w:rsidR="00B2270C">
        <w:rPr>
          <w:noProof/>
        </w:rPr>
        <w:fldChar w:fldCharType="end"/>
      </w:r>
      <w:r>
        <w:rPr>
          <w:noProof/>
        </w:rPr>
        <w:t xml:space="preserve"> </w:t>
      </w:r>
      <w:r>
        <w:t>– Gifts were shared between wealthy and poor</w:t>
      </w:r>
      <w:r w:rsidRPr="00066CF5">
        <w:rPr>
          <w:vertAlign w:val="superscript"/>
        </w:rPr>
        <w:t>a,b</w:t>
      </w:r>
    </w:p>
    <w:p w14:paraId="78FE8334" w14:textId="20E92E08" w:rsidR="006E0ED6" w:rsidRPr="004C58DE" w:rsidRDefault="006E0ED6" w:rsidP="006E0ED6">
      <w:pPr>
        <w:pStyle w:val="FigureTableSubheading"/>
        <w:keepLines/>
        <w:rPr>
          <w:spacing w:val="-6"/>
          <w:sz w:val="18"/>
          <w:szCs w:val="16"/>
        </w:rPr>
      </w:pPr>
      <w:r w:rsidRPr="004C58DE">
        <w:rPr>
          <w:spacing w:val="-6"/>
          <w:sz w:val="18"/>
          <w:szCs w:val="16"/>
        </w:rPr>
        <w:t>Gifts received in 2003</w:t>
      </w:r>
      <w:r w:rsidRPr="004C58DE">
        <w:rPr>
          <w:spacing w:val="-6"/>
          <w:sz w:val="18"/>
          <w:szCs w:val="16"/>
        </w:rPr>
        <w:noBreakHyphen/>
        <w:t>04 – 2005</w:t>
      </w:r>
      <w:r w:rsidRPr="004C58DE">
        <w:rPr>
          <w:spacing w:val="-6"/>
          <w:sz w:val="18"/>
          <w:szCs w:val="16"/>
        </w:rPr>
        <w:noBreakHyphen/>
        <w:t>06, 2007</w:t>
      </w:r>
      <w:r w:rsidRPr="004C58DE">
        <w:rPr>
          <w:spacing w:val="-6"/>
          <w:sz w:val="18"/>
          <w:szCs w:val="16"/>
        </w:rPr>
        <w:noBreakHyphen/>
        <w:t>08 – 2009</w:t>
      </w:r>
      <w:r w:rsidRPr="004C58DE">
        <w:rPr>
          <w:spacing w:val="-6"/>
          <w:sz w:val="18"/>
          <w:szCs w:val="16"/>
        </w:rPr>
        <w:noBreakHyphen/>
        <w:t>10, 2011</w:t>
      </w:r>
      <w:r w:rsidRPr="004C58DE">
        <w:rPr>
          <w:spacing w:val="-6"/>
          <w:sz w:val="18"/>
          <w:szCs w:val="16"/>
        </w:rPr>
        <w:noBreakHyphen/>
        <w:t>12 – 2013</w:t>
      </w:r>
      <w:r w:rsidRPr="004C58DE">
        <w:rPr>
          <w:spacing w:val="-6"/>
          <w:sz w:val="18"/>
          <w:szCs w:val="16"/>
        </w:rPr>
        <w:noBreakHyphen/>
        <w:t>14 and 2015</w:t>
      </w:r>
      <w:r w:rsidRPr="004C58DE">
        <w:rPr>
          <w:spacing w:val="-6"/>
          <w:sz w:val="18"/>
          <w:szCs w:val="16"/>
        </w:rPr>
        <w:noBreakHyphen/>
        <w:t>16 – 2017</w:t>
      </w:r>
      <w:r w:rsidRPr="004C58DE">
        <w:rPr>
          <w:spacing w:val="-6"/>
          <w:sz w:val="18"/>
          <w:szCs w:val="16"/>
        </w:rPr>
        <w:noBreakHyphen/>
        <w:t>18</w:t>
      </w:r>
    </w:p>
    <w:tbl>
      <w:tblPr>
        <w:tblW w:w="5000" w:type="pct"/>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6E0ED6" w:rsidRPr="00B1465D" w14:paraId="289D1A61" w14:textId="77777777" w:rsidTr="001625EC">
        <w:trPr>
          <w:tblHeader/>
        </w:trPr>
        <w:tc>
          <w:tcPr>
            <w:tcW w:w="5000" w:type="pct"/>
            <w:gridSpan w:val="2"/>
            <w:tcBorders>
              <w:top w:val="nil"/>
              <w:bottom w:val="nil"/>
            </w:tcBorders>
          </w:tcPr>
          <w:p w14:paraId="56FC5030" w14:textId="0D7B6842" w:rsidR="006E0ED6" w:rsidRPr="00B1465D" w:rsidRDefault="006E0ED6" w:rsidP="00132C71">
            <w:pPr>
              <w:pStyle w:val="FigureTableSubheading"/>
              <w:numPr>
                <w:ilvl w:val="0"/>
                <w:numId w:val="23"/>
              </w:numPr>
            </w:pPr>
            <w:r w:rsidRPr="00101404">
              <w:rPr>
                <w:sz w:val="16"/>
                <w:szCs w:val="14"/>
              </w:rPr>
              <w:t>Average equivalised gift received among all people</w:t>
            </w:r>
            <w:r w:rsidR="00F46041">
              <w:rPr>
                <w:sz w:val="16"/>
                <w:szCs w:val="14"/>
              </w:rPr>
              <w:t xml:space="preserve"> in a three-year period</w:t>
            </w:r>
            <w:r w:rsidRPr="00101404">
              <w:rPr>
                <w:sz w:val="16"/>
                <w:szCs w:val="14"/>
              </w:rPr>
              <w:t>, by initial equivalised wealth quintile</w:t>
            </w:r>
          </w:p>
        </w:tc>
      </w:tr>
      <w:tr w:rsidR="006E0ED6" w:rsidRPr="00B1465D" w14:paraId="47FE6BEF" w14:textId="77777777" w:rsidTr="001625EC">
        <w:trPr>
          <w:tblHeader/>
        </w:trPr>
        <w:tc>
          <w:tcPr>
            <w:tcW w:w="5000" w:type="pct"/>
            <w:gridSpan w:val="2"/>
            <w:tcBorders>
              <w:top w:val="nil"/>
              <w:bottom w:val="nil"/>
            </w:tcBorders>
          </w:tcPr>
          <w:p w14:paraId="2E09C605" w14:textId="0A285724" w:rsidR="006E0ED6" w:rsidRPr="00B1465D" w:rsidRDefault="00885A42" w:rsidP="001625EC">
            <w:pPr>
              <w:spacing w:before="60" w:after="60"/>
              <w:rPr>
                <w:rFonts w:ascii="Arial" w:hAnsi="Arial" w:cs="Arial"/>
                <w:sz w:val="18"/>
                <w:szCs w:val="18"/>
              </w:rPr>
            </w:pPr>
            <w:r>
              <w:rPr>
                <w:rFonts w:ascii="Arial" w:hAnsi="Arial" w:cs="Arial"/>
                <w:sz w:val="18"/>
                <w:szCs w:val="18"/>
              </w:rPr>
              <w:t xml:space="preserve"> </w:t>
            </w:r>
            <w:r w:rsidRPr="00885A42">
              <w:rPr>
                <w:rFonts w:ascii="Arial" w:hAnsi="Arial" w:cs="Arial"/>
                <w:noProof/>
                <w:sz w:val="18"/>
                <w:szCs w:val="18"/>
              </w:rPr>
              <w:drawing>
                <wp:inline distT="0" distB="0" distL="0" distR="0" wp14:anchorId="03A9CA86" wp14:editId="2B5D2587">
                  <wp:extent cx="6120130" cy="2877185"/>
                  <wp:effectExtent l="0" t="0" r="0" b="0"/>
                  <wp:docPr id="119" name="Picture 119" descr="Figure 2.3, panel a. This chart shows the average equivalised gift received among all people,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Figure 2.3, panel a. This chart shows the average equivalised gift received among all people, by initial equivalised wealth quintile. More details are contained in the text surrounding this figur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tc>
      </w:tr>
      <w:tr w:rsidR="006E0ED6" w:rsidRPr="00B1465D" w14:paraId="034D36DD" w14:textId="77777777" w:rsidTr="001625EC">
        <w:trPr>
          <w:tblHeader/>
        </w:trPr>
        <w:tc>
          <w:tcPr>
            <w:tcW w:w="2500" w:type="pct"/>
            <w:tcBorders>
              <w:top w:val="nil"/>
              <w:bottom w:val="nil"/>
            </w:tcBorders>
          </w:tcPr>
          <w:p w14:paraId="067F798F" w14:textId="4EDEA107" w:rsidR="006E0ED6" w:rsidRPr="00B1465D" w:rsidRDefault="006E0ED6" w:rsidP="00132C71">
            <w:pPr>
              <w:pStyle w:val="FigureTableSubheading"/>
              <w:numPr>
                <w:ilvl w:val="0"/>
                <w:numId w:val="23"/>
              </w:numPr>
            </w:pPr>
            <w:r w:rsidRPr="00101404">
              <w:rPr>
                <w:sz w:val="16"/>
                <w:szCs w:val="14"/>
              </w:rPr>
              <w:t xml:space="preserve">Share of people who received a gift in </w:t>
            </w:r>
            <w:r w:rsidR="00F46041">
              <w:rPr>
                <w:sz w:val="16"/>
                <w:szCs w:val="14"/>
              </w:rPr>
              <w:t>a three</w:t>
            </w:r>
            <w:r w:rsidR="00E606FC">
              <w:rPr>
                <w:sz w:val="16"/>
                <w:szCs w:val="14"/>
              </w:rPr>
              <w:noBreakHyphen/>
            </w:r>
            <w:r w:rsidR="00F46041">
              <w:rPr>
                <w:sz w:val="16"/>
                <w:szCs w:val="14"/>
              </w:rPr>
              <w:t>year period</w:t>
            </w:r>
            <w:r w:rsidRPr="00101404">
              <w:rPr>
                <w:sz w:val="16"/>
                <w:szCs w:val="14"/>
              </w:rPr>
              <w:t>, by initial equivalised wealth quintile</w:t>
            </w:r>
          </w:p>
        </w:tc>
        <w:tc>
          <w:tcPr>
            <w:tcW w:w="2500" w:type="pct"/>
            <w:tcBorders>
              <w:top w:val="nil"/>
              <w:bottom w:val="nil"/>
            </w:tcBorders>
          </w:tcPr>
          <w:p w14:paraId="63670C3C" w14:textId="4DD467A7" w:rsidR="006E0ED6" w:rsidRPr="00B1465D" w:rsidRDefault="006E0ED6" w:rsidP="00132C71">
            <w:pPr>
              <w:pStyle w:val="FigureTableSubheading"/>
              <w:numPr>
                <w:ilvl w:val="0"/>
                <w:numId w:val="23"/>
              </w:numPr>
            </w:pPr>
            <w:r w:rsidRPr="00101404">
              <w:rPr>
                <w:sz w:val="16"/>
                <w:szCs w:val="14"/>
              </w:rPr>
              <w:t>Average equivalised gift among people who received a gift</w:t>
            </w:r>
            <w:r w:rsidR="00EE163A">
              <w:rPr>
                <w:sz w:val="16"/>
                <w:szCs w:val="14"/>
              </w:rPr>
              <w:t xml:space="preserve"> in a three-year period</w:t>
            </w:r>
            <w:r w:rsidRPr="00101404">
              <w:rPr>
                <w:sz w:val="16"/>
                <w:szCs w:val="14"/>
              </w:rPr>
              <w:t>, by initial equivalised wealth quintile</w:t>
            </w:r>
          </w:p>
        </w:tc>
      </w:tr>
      <w:tr w:rsidR="006E0ED6" w:rsidRPr="00B1465D" w14:paraId="78312581" w14:textId="77777777" w:rsidTr="001625EC">
        <w:trPr>
          <w:tblHeader/>
        </w:trPr>
        <w:tc>
          <w:tcPr>
            <w:tcW w:w="2500" w:type="pct"/>
            <w:tcBorders>
              <w:top w:val="nil"/>
              <w:bottom w:val="nil"/>
            </w:tcBorders>
          </w:tcPr>
          <w:p w14:paraId="443E6053" w14:textId="65C5D3BD" w:rsidR="006E0ED6" w:rsidRPr="00B1465D" w:rsidRDefault="00FD2889" w:rsidP="001625EC">
            <w:pPr>
              <w:spacing w:before="60" w:after="60"/>
              <w:rPr>
                <w:rFonts w:ascii="Arial" w:hAnsi="Arial" w:cs="Arial"/>
                <w:sz w:val="18"/>
                <w:szCs w:val="18"/>
              </w:rPr>
            </w:pPr>
            <w:r>
              <w:rPr>
                <w:rFonts w:ascii="Arial" w:hAnsi="Arial" w:cs="Arial"/>
                <w:sz w:val="18"/>
                <w:szCs w:val="18"/>
              </w:rPr>
              <w:t xml:space="preserve"> </w:t>
            </w:r>
            <w:r w:rsidRPr="00FD2889">
              <w:rPr>
                <w:rFonts w:ascii="Arial" w:hAnsi="Arial" w:cs="Arial"/>
                <w:noProof/>
                <w:sz w:val="18"/>
                <w:szCs w:val="18"/>
              </w:rPr>
              <w:drawing>
                <wp:inline distT="0" distB="0" distL="0" distR="0" wp14:anchorId="45CC4A86" wp14:editId="19647C74">
                  <wp:extent cx="2987040" cy="2339340"/>
                  <wp:effectExtent l="0" t="0" r="3810" b="3810"/>
                  <wp:docPr id="122" name="Picture 122" descr="Figure 2.3, panel b. This chart shows the share of people who received a gift in the years in question,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2.3, panel b. This chart shows the share of people who received a gift in the years in question, by initial equivalised wealth quintile. More details are contained in the text surrounding this figu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28023828" w14:textId="483452F2" w:rsidR="006E0ED6" w:rsidRPr="00B1465D" w:rsidRDefault="007E24B5" w:rsidP="001625EC">
            <w:pPr>
              <w:spacing w:before="60" w:after="60"/>
              <w:rPr>
                <w:rFonts w:ascii="Arial" w:hAnsi="Arial" w:cs="Arial"/>
                <w:sz w:val="18"/>
                <w:szCs w:val="18"/>
              </w:rPr>
            </w:pPr>
            <w:r>
              <w:rPr>
                <w:rFonts w:ascii="Arial" w:hAnsi="Arial" w:cs="Arial"/>
                <w:sz w:val="18"/>
                <w:szCs w:val="18"/>
              </w:rPr>
              <w:t xml:space="preserve"> </w:t>
            </w:r>
            <w:r w:rsidRPr="007E24B5">
              <w:rPr>
                <w:rFonts w:ascii="Arial" w:hAnsi="Arial" w:cs="Arial"/>
                <w:noProof/>
                <w:sz w:val="18"/>
                <w:szCs w:val="18"/>
              </w:rPr>
              <w:drawing>
                <wp:inline distT="0" distB="0" distL="0" distR="0" wp14:anchorId="7DC78609" wp14:editId="68ADC751">
                  <wp:extent cx="2987040" cy="2339340"/>
                  <wp:effectExtent l="0" t="0" r="3810" b="3810"/>
                  <wp:docPr id="120" name="Picture 120" descr="Figure 2.3, panel c. This chart shows the average equivalised gift among people who received a gift,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2.3, panel c. This chart shows the average equivalised gift among people who received a gift, by initial equivalised wealth quintile. More details are contained in the text surrounding this figu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1078B0F0" w14:textId="77777777" w:rsidR="006E0ED6" w:rsidRDefault="006E0ED6" w:rsidP="006E0ED6">
      <w:pPr>
        <w:pStyle w:val="Note"/>
        <w:keepLines/>
      </w:pPr>
      <w:r w:rsidRPr="00180E66">
        <w:rPr>
          <w:b/>
          <w:bCs/>
        </w:rPr>
        <w:t>a.</w:t>
      </w:r>
      <w:r>
        <w:t xml:space="preserve"> </w:t>
      </w:r>
      <w:r w:rsidRPr="00880835">
        <w:t xml:space="preserve">Error bars represent 95 per cent confidence intervals. </w:t>
      </w:r>
      <w:r w:rsidRPr="00880835">
        <w:rPr>
          <w:b/>
        </w:rPr>
        <w:t>b</w:t>
      </w:r>
      <w:r>
        <w:rPr>
          <w:b/>
        </w:rPr>
        <w:t>.</w:t>
      </w:r>
      <w:r w:rsidRPr="00880835">
        <w:t xml:space="preserve"> Wealth quintile prior to receipt of gift (initial wealth) is measured in 2002 for gifts received in 2003</w:t>
      </w:r>
      <w:r w:rsidRPr="00880835">
        <w:noBreakHyphen/>
        <w:t>04 – 2005</w:t>
      </w:r>
      <w:r w:rsidRPr="00880835">
        <w:noBreakHyphen/>
        <w:t>06, 2006 for gifts received in 2007</w:t>
      </w:r>
      <w:r w:rsidRPr="00880835">
        <w:noBreakHyphen/>
        <w:t>08 – 2009</w:t>
      </w:r>
      <w:r w:rsidRPr="00880835">
        <w:noBreakHyphen/>
        <w:t>10, and so on.</w:t>
      </w:r>
    </w:p>
    <w:p w14:paraId="0128B066" w14:textId="77777777" w:rsidR="006E0ED6" w:rsidRDefault="006E0ED6" w:rsidP="006E0ED6">
      <w:pPr>
        <w:pStyle w:val="Source"/>
      </w:pPr>
      <w:r w:rsidRPr="00696447">
        <w:t xml:space="preserve">Source: </w:t>
      </w:r>
      <w:r>
        <w:t>Productivity Commission estimates based on HILDA Restricted Release 19.</w:t>
      </w:r>
    </w:p>
    <w:p w14:paraId="1103D7EE" w14:textId="77777777" w:rsidR="006E0ED6" w:rsidRPr="006C2D8A" w:rsidRDefault="006E0ED6" w:rsidP="006E0ED6">
      <w:pPr>
        <w:pStyle w:val="BodyText"/>
        <w:rPr>
          <w:spacing w:val="-4"/>
        </w:rPr>
      </w:pPr>
      <w:r w:rsidRPr="006C2D8A">
        <w:rPr>
          <w:spacing w:val="-4"/>
        </w:rPr>
        <w:t xml:space="preserve">However, as was the case for inheritances, gifts reduced </w:t>
      </w:r>
      <w:r w:rsidRPr="006C2D8A">
        <w:rPr>
          <w:i/>
          <w:iCs/>
          <w:spacing w:val="-4"/>
        </w:rPr>
        <w:t>relative</w:t>
      </w:r>
      <w:r w:rsidRPr="006C2D8A">
        <w:rPr>
          <w:spacing w:val="-4"/>
        </w:rPr>
        <w:t xml:space="preserve"> wealth inequality in the immediate term. Poorer people received more in gifts as a share of their existing wealth than wealthier people (figure 2.4). In equivalised terms, and averaging over the four three-year windows, the average gift that the wealthiest 20 per cent of people </w:t>
      </w:r>
      <w:r w:rsidRPr="006C2D8A">
        <w:rPr>
          <w:spacing w:val="-4"/>
        </w:rPr>
        <w:lastRenderedPageBreak/>
        <w:t>(including those who received no inheritances) received increased their wealth by about 0.1 per cent, whereas the average gift that the poorest 20 per cent of people received increased their wealth by about 10 per cent.</w:t>
      </w:r>
    </w:p>
    <w:p w14:paraId="5B7F72A4" w14:textId="77777777" w:rsidR="006E0ED6" w:rsidRDefault="006E0ED6" w:rsidP="006E0ED6">
      <w:pPr>
        <w:pStyle w:val="BodyText"/>
      </w:pPr>
      <w:r>
        <w:t xml:space="preserve">Appendix B shows that the conclusion that gifts reduced </w:t>
      </w:r>
      <w:r w:rsidRPr="00053672">
        <w:t>relative</w:t>
      </w:r>
      <w:r w:rsidRPr="00A8075F">
        <w:t xml:space="preserve"> </w:t>
      </w:r>
      <w:r>
        <w:t xml:space="preserve">wealth inequality is also reached when relative wealth inequality is measured in other ways, and when wealth is adjusted for lifecycle effects. This latter point is particularly notable, as it suggests that the reduction to relative wealth inequality was not merely an artefact of the age profile of gift recipients. This point was discussed in box 2.3. </w:t>
      </w:r>
    </w:p>
    <w:p w14:paraId="435DF739" w14:textId="0A28D0D0"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4</w:t>
      </w:r>
      <w:r w:rsidR="00B2270C">
        <w:rPr>
          <w:noProof/>
        </w:rPr>
        <w:fldChar w:fldCharType="end"/>
      </w:r>
      <w:r>
        <w:rPr>
          <w:noProof/>
        </w:rPr>
        <w:t xml:space="preserve"> </w:t>
      </w:r>
      <w:r>
        <w:t>– In the immediate term, gifts reduced relative wealth inequality</w:t>
      </w:r>
      <w:r w:rsidRPr="00066CF5">
        <w:rPr>
          <w:vertAlign w:val="superscript"/>
        </w:rPr>
        <w:t>a,b</w:t>
      </w:r>
    </w:p>
    <w:p w14:paraId="06E22E9C" w14:textId="41D891A0" w:rsidR="006E0ED6" w:rsidRPr="004C58DE" w:rsidRDefault="006E0ED6" w:rsidP="006E0ED6">
      <w:pPr>
        <w:pStyle w:val="FigureTableSubheading"/>
        <w:keepLines/>
        <w:rPr>
          <w:sz w:val="18"/>
          <w:szCs w:val="16"/>
        </w:rPr>
      </w:pPr>
      <w:r w:rsidRPr="004C58DE">
        <w:rPr>
          <w:sz w:val="18"/>
          <w:szCs w:val="16"/>
        </w:rPr>
        <w:t xml:space="preserve">Average equivalised gift received among all people </w:t>
      </w:r>
      <w:r w:rsidR="00EE163A">
        <w:rPr>
          <w:sz w:val="18"/>
          <w:szCs w:val="16"/>
        </w:rPr>
        <w:t>in a three-year period</w:t>
      </w:r>
      <w:r w:rsidRPr="004C58DE">
        <w:rPr>
          <w:sz w:val="18"/>
          <w:szCs w:val="16"/>
        </w:rPr>
        <w:t xml:space="preserve"> as a share of average initial equivalised wealth, by initial equivalised wealth quintile; gifts received in</w:t>
      </w:r>
      <w:r w:rsidR="00EE163A">
        <w:rPr>
          <w:sz w:val="18"/>
          <w:szCs w:val="16"/>
        </w:rPr>
        <w:br/>
      </w:r>
      <w:r w:rsidRPr="004C58DE">
        <w:rPr>
          <w:sz w:val="18"/>
          <w:szCs w:val="16"/>
        </w:rPr>
        <w:t>2003</w:t>
      </w:r>
      <w:r w:rsidRPr="004C58DE">
        <w:rPr>
          <w:sz w:val="18"/>
          <w:szCs w:val="16"/>
        </w:rPr>
        <w:noBreakHyphen/>
        <w:t>04 – 2005</w:t>
      </w:r>
      <w:r w:rsidRPr="004C58DE">
        <w:rPr>
          <w:sz w:val="18"/>
          <w:szCs w:val="16"/>
        </w:rPr>
        <w:noBreakHyphen/>
        <w:t>06,</w:t>
      </w:r>
      <w:r w:rsidR="00EE163A">
        <w:rPr>
          <w:sz w:val="18"/>
          <w:szCs w:val="16"/>
        </w:rPr>
        <w:t xml:space="preserve"> </w:t>
      </w:r>
      <w:r w:rsidRPr="004C58DE">
        <w:rPr>
          <w:sz w:val="18"/>
          <w:szCs w:val="16"/>
        </w:rPr>
        <w:t>2007</w:t>
      </w:r>
      <w:r w:rsidRPr="004C58DE">
        <w:rPr>
          <w:sz w:val="18"/>
          <w:szCs w:val="16"/>
        </w:rPr>
        <w:noBreakHyphen/>
        <w:t>08 – 2009</w:t>
      </w:r>
      <w:r w:rsidRPr="004C58DE">
        <w:rPr>
          <w:sz w:val="18"/>
          <w:szCs w:val="16"/>
        </w:rPr>
        <w:noBreakHyphen/>
        <w:t>10, 2011</w:t>
      </w:r>
      <w:r w:rsidRPr="004C58DE">
        <w:rPr>
          <w:sz w:val="18"/>
          <w:szCs w:val="16"/>
        </w:rPr>
        <w:noBreakHyphen/>
        <w:t>12 – 2013</w:t>
      </w:r>
      <w:r w:rsidRPr="004C58DE">
        <w:rPr>
          <w:sz w:val="18"/>
          <w:szCs w:val="16"/>
        </w:rPr>
        <w:noBreakHyphen/>
        <w:t>14 and 2015</w:t>
      </w:r>
      <w:r w:rsidRPr="004C58DE">
        <w:rPr>
          <w:sz w:val="18"/>
          <w:szCs w:val="16"/>
        </w:rPr>
        <w:noBreakHyphen/>
        <w:t>16 – 2017</w:t>
      </w:r>
      <w:r w:rsidRPr="004C58DE">
        <w:rPr>
          <w:sz w:val="18"/>
          <w:szCs w:val="16"/>
        </w:rPr>
        <w:noBreakHyphen/>
        <w:t>18</w:t>
      </w:r>
    </w:p>
    <w:p w14:paraId="2E22D58A" w14:textId="523AD1C8" w:rsidR="006E0ED6" w:rsidRPr="005550A0" w:rsidRDefault="00F22EC1" w:rsidP="006E0ED6">
      <w:pPr>
        <w:pStyle w:val="BodyText"/>
      </w:pPr>
      <w:r w:rsidRPr="00F22EC1">
        <w:rPr>
          <w:noProof/>
        </w:rPr>
        <w:drawing>
          <wp:inline distT="0" distB="0" distL="0" distR="0" wp14:anchorId="7C12D86D" wp14:editId="271CD52C">
            <wp:extent cx="6120130" cy="2877185"/>
            <wp:effectExtent l="0" t="0" r="0" b="0"/>
            <wp:docPr id="123" name="Picture 123" descr="Figure 2.4. This chart shows the average equivalised gift received among all people as a share of average initial equivalised wealth, by initial equivalis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Figure 2.4. This chart shows the average equivalised gift received among all people as a share of average initial equivalised wealth, by initial equivalised wealth quintile. More details are contained in the text surrounding this figur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r w:rsidRPr="00F22EC1">
        <w:rPr>
          <w:noProof/>
        </w:rPr>
        <w:t xml:space="preserve"> </w:t>
      </w:r>
    </w:p>
    <w:p w14:paraId="0966D1D3" w14:textId="77777777" w:rsidR="006E0ED6" w:rsidRDefault="006E0ED6" w:rsidP="006E0ED6">
      <w:pPr>
        <w:pStyle w:val="Note"/>
        <w:keepLines/>
      </w:pPr>
      <w:r w:rsidRPr="00180E66">
        <w:rPr>
          <w:b/>
          <w:bCs/>
        </w:rPr>
        <w:t>a.</w:t>
      </w:r>
      <w:r>
        <w:t xml:space="preserve"> </w:t>
      </w:r>
      <w:r w:rsidRPr="00F258FF">
        <w:t xml:space="preserve">Error bars represent 95 per cent confidence intervals. </w:t>
      </w:r>
      <w:r w:rsidRPr="00F258FF">
        <w:rPr>
          <w:b/>
        </w:rPr>
        <w:t>b</w:t>
      </w:r>
      <w:r>
        <w:rPr>
          <w:b/>
        </w:rPr>
        <w:t>.</w:t>
      </w:r>
      <w:r w:rsidRPr="00F258FF">
        <w:t xml:space="preserve"> Wealth quintile prior to receipt of gift is measured in 2002 for gifts received in 2003</w:t>
      </w:r>
      <w:r w:rsidRPr="00F258FF">
        <w:noBreakHyphen/>
        <w:t>04 – 2005</w:t>
      </w:r>
      <w:r w:rsidRPr="00F258FF">
        <w:noBreakHyphen/>
        <w:t>06, 2006 for gifts received in 2007</w:t>
      </w:r>
      <w:r w:rsidRPr="00F258FF">
        <w:noBreakHyphen/>
        <w:t>08 – 2009</w:t>
      </w:r>
      <w:r w:rsidRPr="00F258FF">
        <w:noBreakHyphen/>
        <w:t>10, and so on.</w:t>
      </w:r>
    </w:p>
    <w:p w14:paraId="488C3217" w14:textId="77777777" w:rsidR="006E0ED6" w:rsidRDefault="006E0ED6" w:rsidP="006E0ED6">
      <w:pPr>
        <w:pStyle w:val="Source"/>
      </w:pPr>
      <w:r w:rsidRPr="00696447">
        <w:t xml:space="preserve">Source: </w:t>
      </w:r>
      <w:r w:rsidRPr="00F42887">
        <w:t>Productivity Commission estimates based on HILDA Restricted Release 19.</w:t>
      </w:r>
    </w:p>
    <w:p w14:paraId="456A7D2A" w14:textId="77777777" w:rsidR="006E0ED6" w:rsidRDefault="006E0ED6" w:rsidP="006E0ED6">
      <w:pPr>
        <w:pStyle w:val="Heading3"/>
      </w:pPr>
      <w:r>
        <w:t>The effect is small — wealth transfers reduced wealth inequality by much less than welfare payments</w:t>
      </w:r>
    </w:p>
    <w:p w14:paraId="215081D0" w14:textId="77777777" w:rsidR="006E0ED6" w:rsidRDefault="006E0ED6" w:rsidP="006E0ED6">
      <w:pPr>
        <w:pStyle w:val="BodyText"/>
      </w:pPr>
      <w:r>
        <w:t xml:space="preserve">A useful comparator for understanding the magnitude of the distributional effect of wealth transfers is provided by Australian Government transfers (the welfare system), </w:t>
      </w:r>
      <w:r w:rsidRPr="003E0BD1">
        <w:t xml:space="preserve">through which about </w:t>
      </w:r>
      <w:r w:rsidRPr="00B525EE">
        <w:t>$</w:t>
      </w:r>
      <w:r>
        <w:t>970</w:t>
      </w:r>
      <w:r w:rsidRPr="00B525EE">
        <w:t xml:space="preserve"> billion was redistributed </w:t>
      </w:r>
      <w:r>
        <w:t>over the 12 studied years</w:t>
      </w:r>
      <w:r w:rsidRPr="003E0BD1">
        <w:t>,</w:t>
      </w:r>
      <w:r>
        <w:t xml:space="preserve"> compared to </w:t>
      </w:r>
      <w:r w:rsidRPr="003E0BD1">
        <w:t xml:space="preserve">wealth transfers inflow data </w:t>
      </w:r>
      <w:r>
        <w:t>worth about</w:t>
      </w:r>
      <w:r w:rsidRPr="003E0BD1">
        <w:t xml:space="preserve"> $</w:t>
      </w:r>
      <w:r>
        <w:t>350</w:t>
      </w:r>
      <w:r w:rsidRPr="003E0BD1">
        <w:t xml:space="preserve"> billion in </w:t>
      </w:r>
      <w:r>
        <w:t>the same years</w:t>
      </w:r>
      <w:r w:rsidRPr="003E0BD1">
        <w:t>.</w:t>
      </w:r>
      <w:r>
        <w:rPr>
          <w:rStyle w:val="FootnoteReference"/>
        </w:rPr>
        <w:footnoteReference w:id="30"/>
      </w:r>
    </w:p>
    <w:p w14:paraId="2890BBF7" w14:textId="49D70D54" w:rsidR="006E0ED6" w:rsidRDefault="006E0ED6" w:rsidP="006E0ED6">
      <w:pPr>
        <w:pStyle w:val="BodyText"/>
      </w:pPr>
      <w:r>
        <w:t xml:space="preserve">Whereas wealth transfers increased absolute wealth inequality in the immediate term, income support payments and income supplement payments decreased </w:t>
      </w:r>
      <w:r w:rsidR="00D50873">
        <w:t>it</w:t>
      </w:r>
      <w:r w:rsidR="008552F5">
        <w:t xml:space="preserve"> (figure 2.5, panel a)</w:t>
      </w:r>
      <w:r>
        <w:t xml:space="preserve">. The combined effect of </w:t>
      </w:r>
      <w:r>
        <w:lastRenderedPageBreak/>
        <w:t xml:space="preserve">income support and supplement payments on absolute wealth inequality was slightly larger in magnitude to the effect of wealth transfers, </w:t>
      </w:r>
      <w:r w:rsidR="00726E7E">
        <w:t>but</w:t>
      </w:r>
      <w:r>
        <w:t xml:space="preserve"> in the opposite direction.</w:t>
      </w:r>
    </w:p>
    <w:p w14:paraId="5387BD6F" w14:textId="77777777" w:rsidR="006E0ED6" w:rsidRDefault="006E0ED6" w:rsidP="006E0ED6">
      <w:pPr>
        <w:pStyle w:val="BodyText"/>
      </w:pPr>
      <w:r>
        <w:t>Both wealth transfers and the welfare system reduced relative wealth inequality in the immediate term (figure 2.5, panel b). But the reduction provided by the welfare system was far larger — the welfare system reduced relative wealth inequality by 20 times more than wealth transfers.</w:t>
      </w:r>
    </w:p>
    <w:p w14:paraId="197B28D6" w14:textId="691B800A" w:rsidR="006E0ED6" w:rsidRPr="008E3F7A" w:rsidRDefault="006E0ED6" w:rsidP="006E0ED6">
      <w:pPr>
        <w:pStyle w:val="BodyText"/>
        <w:rPr>
          <w:spacing w:val="-4"/>
        </w:rPr>
      </w:pPr>
      <w:r w:rsidRPr="008E3F7A">
        <w:rPr>
          <w:spacing w:val="-4"/>
        </w:rPr>
        <w:t>It is important to emphasise the ‘immediate term’ nature of this comparison (that is that it disregards behavioural responses). Inheritances are usually one</w:t>
      </w:r>
      <w:r w:rsidRPr="008E3F7A">
        <w:rPr>
          <w:spacing w:val="-4"/>
        </w:rPr>
        <w:noBreakHyphen/>
        <w:t>off lump</w:t>
      </w:r>
      <w:r w:rsidRPr="008E3F7A">
        <w:rPr>
          <w:spacing w:val="-4"/>
        </w:rPr>
        <w:noBreakHyphen/>
        <w:t xml:space="preserve">sum transfers, while welfare payments are usually regular payments. </w:t>
      </w:r>
      <w:r w:rsidR="009B5572">
        <w:rPr>
          <w:spacing w:val="-4"/>
        </w:rPr>
        <w:t>W</w:t>
      </w:r>
      <w:r w:rsidRPr="008E3F7A">
        <w:rPr>
          <w:spacing w:val="-4"/>
        </w:rPr>
        <w:t xml:space="preserve">elfare recipients </w:t>
      </w:r>
      <w:r w:rsidR="009B5572">
        <w:rPr>
          <w:spacing w:val="-4"/>
        </w:rPr>
        <w:t xml:space="preserve">likely </w:t>
      </w:r>
      <w:r w:rsidRPr="008E3F7A">
        <w:rPr>
          <w:spacing w:val="-4"/>
        </w:rPr>
        <w:t>consume larger shares of their welfare payments than wealth transfer recipients do of gifts and inheritances. Hence, in the longer term, wealth transfers likely have a larger effect on wealth inequality relative to welfare payments than that shown here.</w:t>
      </w:r>
    </w:p>
    <w:p w14:paraId="24DA6798" w14:textId="7C141EB9"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5</w:t>
      </w:r>
      <w:r w:rsidR="00B2270C">
        <w:rPr>
          <w:noProof/>
        </w:rPr>
        <w:fldChar w:fldCharType="end"/>
      </w:r>
      <w:r>
        <w:rPr>
          <w:noProof/>
        </w:rPr>
        <w:t xml:space="preserve"> </w:t>
      </w:r>
      <w:r>
        <w:t xml:space="preserve">– Welfare </w:t>
      </w:r>
      <w:r w:rsidRPr="00865EA2">
        <w:t>payments</w:t>
      </w:r>
      <w:r>
        <w:t xml:space="preserve"> have had a more equalising effect on wealth inequality than wealth transfers</w:t>
      </w:r>
      <w:r w:rsidRPr="00066CF5">
        <w:rPr>
          <w:vertAlign w:val="superscript"/>
        </w:rPr>
        <w:t>a,b</w:t>
      </w:r>
      <w:r>
        <w:rPr>
          <w:vertAlign w:val="superscript"/>
        </w:rPr>
        <w:t>,c</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6E0ED6" w:rsidRPr="00B1465D" w14:paraId="68DAC511" w14:textId="77777777" w:rsidTr="001625EC">
        <w:trPr>
          <w:tblHeader/>
          <w:jc w:val="center"/>
        </w:trPr>
        <w:tc>
          <w:tcPr>
            <w:tcW w:w="2500" w:type="pct"/>
            <w:tcBorders>
              <w:top w:val="nil"/>
              <w:bottom w:val="nil"/>
            </w:tcBorders>
          </w:tcPr>
          <w:p w14:paraId="69C5017E" w14:textId="42099BF4" w:rsidR="006E0ED6" w:rsidRPr="00B1465D" w:rsidRDefault="006E0ED6" w:rsidP="00132C71">
            <w:pPr>
              <w:pStyle w:val="FigureTableSubheading"/>
              <w:numPr>
                <w:ilvl w:val="0"/>
                <w:numId w:val="24"/>
              </w:numPr>
            </w:pPr>
            <w:r w:rsidRPr="00621422">
              <w:rPr>
                <w:sz w:val="16"/>
                <w:szCs w:val="14"/>
              </w:rPr>
              <w:t>Effect of transfers on absolute wealth inequality</w:t>
            </w:r>
          </w:p>
        </w:tc>
        <w:tc>
          <w:tcPr>
            <w:tcW w:w="2500" w:type="pct"/>
            <w:tcBorders>
              <w:top w:val="nil"/>
              <w:bottom w:val="nil"/>
            </w:tcBorders>
          </w:tcPr>
          <w:p w14:paraId="45D71F5B" w14:textId="77777777" w:rsidR="006E0ED6" w:rsidRPr="00621422" w:rsidRDefault="006E0ED6" w:rsidP="00132C71">
            <w:pPr>
              <w:pStyle w:val="FigureTableSubheading"/>
              <w:numPr>
                <w:ilvl w:val="0"/>
                <w:numId w:val="24"/>
              </w:numPr>
              <w:rPr>
                <w:sz w:val="16"/>
                <w:szCs w:val="16"/>
              </w:rPr>
            </w:pPr>
            <w:r w:rsidRPr="00621422">
              <w:rPr>
                <w:sz w:val="16"/>
                <w:szCs w:val="16"/>
              </w:rPr>
              <w:t xml:space="preserve">Effect of transfers on relative wealth </w:t>
            </w:r>
            <w:r w:rsidRPr="00621422">
              <w:rPr>
                <w:sz w:val="16"/>
                <w:szCs w:val="14"/>
              </w:rPr>
              <w:t>inequality</w:t>
            </w:r>
          </w:p>
        </w:tc>
      </w:tr>
      <w:tr w:rsidR="006E0ED6" w:rsidRPr="00B1465D" w14:paraId="1E824916" w14:textId="77777777" w:rsidTr="001625EC">
        <w:trPr>
          <w:tblHeader/>
          <w:jc w:val="center"/>
        </w:trPr>
        <w:tc>
          <w:tcPr>
            <w:tcW w:w="2500" w:type="pct"/>
            <w:tcBorders>
              <w:top w:val="nil"/>
              <w:bottom w:val="nil"/>
            </w:tcBorders>
          </w:tcPr>
          <w:p w14:paraId="2BC7034E" w14:textId="25796337" w:rsidR="006E0ED6" w:rsidRPr="00B1465D" w:rsidRDefault="00B12861" w:rsidP="001625EC">
            <w:pPr>
              <w:spacing w:before="60" w:after="60"/>
              <w:rPr>
                <w:rFonts w:ascii="Arial" w:hAnsi="Arial" w:cs="Arial"/>
                <w:sz w:val="18"/>
                <w:szCs w:val="18"/>
              </w:rPr>
            </w:pPr>
            <w:r>
              <w:rPr>
                <w:rFonts w:ascii="Arial" w:hAnsi="Arial" w:cs="Arial"/>
                <w:sz w:val="18"/>
                <w:szCs w:val="18"/>
              </w:rPr>
              <w:t xml:space="preserve"> </w:t>
            </w:r>
            <w:r w:rsidRPr="00B12861">
              <w:rPr>
                <w:rFonts w:ascii="Arial" w:hAnsi="Arial" w:cs="Arial"/>
                <w:noProof/>
                <w:sz w:val="18"/>
                <w:szCs w:val="18"/>
              </w:rPr>
              <w:drawing>
                <wp:inline distT="0" distB="0" distL="0" distR="0" wp14:anchorId="6AFB57D4" wp14:editId="3962B88F">
                  <wp:extent cx="2987040" cy="2339340"/>
                  <wp:effectExtent l="0" t="0" r="3810" b="3810"/>
                  <wp:docPr id="125" name="Picture 125" descr="Figure 2.5, panel a. This chart compares the effect of wealth transfers on immediate-term absolute wealth inequality to the effect of welfare payments on immediate-term absolute wealth inequality.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Figure 2.5, panel a. This chart compares the effect of wealth transfers on immediate-term absolute wealth inequality to the effect of welfare payments on immediate-term absolute wealth inequality. More details are contained in the text surrounding this figur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0CD690EB" w14:textId="5542D80F" w:rsidR="006E0ED6" w:rsidRPr="00B1465D" w:rsidRDefault="00A20BDB" w:rsidP="001625EC">
            <w:pPr>
              <w:spacing w:before="60" w:after="60"/>
              <w:rPr>
                <w:rFonts w:ascii="Arial" w:hAnsi="Arial" w:cs="Arial"/>
                <w:sz w:val="18"/>
                <w:szCs w:val="18"/>
              </w:rPr>
            </w:pPr>
            <w:r w:rsidRPr="00A20BDB">
              <w:rPr>
                <w:rFonts w:ascii="Arial" w:hAnsi="Arial" w:cs="Arial"/>
                <w:noProof/>
                <w:sz w:val="18"/>
                <w:szCs w:val="18"/>
              </w:rPr>
              <w:drawing>
                <wp:inline distT="0" distB="0" distL="0" distR="0" wp14:anchorId="634F53D2" wp14:editId="7E2FCE67">
                  <wp:extent cx="3002280" cy="2339340"/>
                  <wp:effectExtent l="0" t="0" r="7620" b="3810"/>
                  <wp:docPr id="128" name="Picture 128" descr="Figure 2.5, panel b. This chart compares the effect of wealth transfers on immediate-term relative wealth inequality to the effect of welfare payments on immediate-term relative wealth inequality.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Figure 2.5, panel b. This chart compares the effect of wealth transfers on immediate-term relative wealth inequality to the effect of welfare payments on immediate-term relative wealth inequality. More details are contained in the text surrounding this figur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02280" cy="2339340"/>
                          </a:xfrm>
                          <a:prstGeom prst="rect">
                            <a:avLst/>
                          </a:prstGeom>
                          <a:noFill/>
                          <a:ln>
                            <a:noFill/>
                          </a:ln>
                        </pic:spPr>
                      </pic:pic>
                    </a:graphicData>
                  </a:graphic>
                </wp:inline>
              </w:drawing>
            </w:r>
          </w:p>
        </w:tc>
      </w:tr>
    </w:tbl>
    <w:p w14:paraId="073A8FF0" w14:textId="77777777" w:rsidR="006E0ED6" w:rsidRPr="00437813" w:rsidRDefault="006E0ED6" w:rsidP="006E0ED6">
      <w:pPr>
        <w:pStyle w:val="Note"/>
        <w:keepLines/>
        <w:rPr>
          <w:spacing w:val="-6"/>
        </w:rPr>
      </w:pPr>
      <w:r w:rsidRPr="00437813">
        <w:rPr>
          <w:b/>
          <w:bCs/>
          <w:spacing w:val="-4"/>
        </w:rPr>
        <w:t>a.</w:t>
      </w:r>
      <w:r w:rsidRPr="00437813">
        <w:rPr>
          <w:spacing w:val="-4"/>
        </w:rPr>
        <w:t xml:space="preserve"> </w:t>
      </w:r>
      <w:r w:rsidRPr="00437813">
        <w:rPr>
          <w:spacing w:val="-6"/>
        </w:rPr>
        <w:t>The effect of transfers on absolute wealth inequality is the sum of the differences between the absolute Gini coefficient of the pre</w:t>
      </w:r>
      <w:r w:rsidRPr="00437813">
        <w:rPr>
          <w:spacing w:val="-6"/>
        </w:rPr>
        <w:noBreakHyphen/>
        <w:t>transfer wealth distributions and the absolute Gini coefficient of the post</w:t>
      </w:r>
      <w:r w:rsidRPr="00437813">
        <w:rPr>
          <w:spacing w:val="-6"/>
        </w:rPr>
        <w:noBreakHyphen/>
        <w:t>transfer wealth distributions — the difference between the absolute Gini coefficient of the 2002 wealth distribution and the absolute Gini coefficient of the 2002 wealth</w:t>
      </w:r>
      <w:r w:rsidRPr="00437813">
        <w:rPr>
          <w:spacing w:val="-6"/>
        </w:rPr>
        <w:noBreakHyphen/>
        <w:t>plus</w:t>
      </w:r>
      <w:r w:rsidRPr="00437813">
        <w:rPr>
          <w:spacing w:val="-6"/>
        </w:rPr>
        <w:noBreakHyphen/>
        <w:t>transfers</w:t>
      </w:r>
      <w:r w:rsidRPr="00437813">
        <w:rPr>
          <w:spacing w:val="-6"/>
        </w:rPr>
        <w:noBreakHyphen/>
      </w:r>
      <w:r>
        <w:rPr>
          <w:spacing w:val="-6"/>
        </w:rPr>
        <w:br/>
      </w:r>
      <w:r w:rsidRPr="00437813">
        <w:rPr>
          <w:spacing w:val="-6"/>
        </w:rPr>
        <w:t>received</w:t>
      </w:r>
      <w:r w:rsidRPr="00437813">
        <w:rPr>
          <w:spacing w:val="-6"/>
        </w:rPr>
        <w:noBreakHyphen/>
        <w:t>between</w:t>
      </w:r>
      <w:r w:rsidRPr="00437813">
        <w:rPr>
          <w:spacing w:val="-6"/>
        </w:rPr>
        <w:noBreakHyphen/>
        <w:t>mid 2003</w:t>
      </w:r>
      <w:r w:rsidRPr="00437813">
        <w:rPr>
          <w:spacing w:val="-6"/>
        </w:rPr>
        <w:noBreakHyphen/>
        <w:t>and</w:t>
      </w:r>
      <w:r w:rsidRPr="00437813">
        <w:rPr>
          <w:spacing w:val="-6"/>
        </w:rPr>
        <w:noBreakHyphen/>
        <w:t>mid 2006 distribution, plus the absolute Gini coefficient of the 2006 wealth distribution and the absolute Gini coefficient of the 2006 wealth</w:t>
      </w:r>
      <w:r w:rsidRPr="00437813">
        <w:rPr>
          <w:spacing w:val="-6"/>
        </w:rPr>
        <w:noBreakHyphen/>
        <w:t>plus</w:t>
      </w:r>
      <w:r w:rsidRPr="00437813">
        <w:rPr>
          <w:spacing w:val="-6"/>
        </w:rPr>
        <w:noBreakHyphen/>
        <w:t>transfers</w:t>
      </w:r>
      <w:r w:rsidRPr="00437813">
        <w:rPr>
          <w:spacing w:val="-6"/>
        </w:rPr>
        <w:noBreakHyphen/>
        <w:t>received</w:t>
      </w:r>
      <w:r w:rsidRPr="00437813">
        <w:rPr>
          <w:spacing w:val="-6"/>
        </w:rPr>
        <w:noBreakHyphen/>
        <w:t>between</w:t>
      </w:r>
      <w:r w:rsidRPr="00437813">
        <w:rPr>
          <w:spacing w:val="-6"/>
        </w:rPr>
        <w:noBreakHyphen/>
        <w:t>mid 2007</w:t>
      </w:r>
      <w:r w:rsidRPr="00437813">
        <w:rPr>
          <w:spacing w:val="-6"/>
        </w:rPr>
        <w:noBreakHyphen/>
        <w:t>and</w:t>
      </w:r>
      <w:r w:rsidRPr="00437813">
        <w:rPr>
          <w:spacing w:val="-6"/>
        </w:rPr>
        <w:noBreakHyphen/>
        <w:t>mid 2010 distribution, and so on.</w:t>
      </w:r>
      <w:r w:rsidRPr="00437813" w:rsidDel="00D765D5">
        <w:rPr>
          <w:spacing w:val="-6"/>
        </w:rPr>
        <w:t xml:space="preserve"> </w:t>
      </w:r>
      <w:r w:rsidRPr="00437813">
        <w:rPr>
          <w:spacing w:val="-6"/>
        </w:rPr>
        <w:t>The effect of transfers on relative wealth inequality is the corresponding sum of the differences between the Gini coefficient of the pre</w:t>
      </w:r>
      <w:r w:rsidRPr="00437813">
        <w:rPr>
          <w:spacing w:val="-6"/>
        </w:rPr>
        <w:noBreakHyphen/>
        <w:t>transfer wealth distributions and the Gini coefficient of the post</w:t>
      </w:r>
      <w:r w:rsidRPr="00437813">
        <w:rPr>
          <w:spacing w:val="-6"/>
        </w:rPr>
        <w:noBreakHyphen/>
        <w:t xml:space="preserve">transfer wealth distributions. </w:t>
      </w:r>
      <w:r w:rsidRPr="00437813">
        <w:rPr>
          <w:b/>
          <w:spacing w:val="-6"/>
        </w:rPr>
        <w:t>b.</w:t>
      </w:r>
      <w:r w:rsidRPr="00437813">
        <w:rPr>
          <w:spacing w:val="-6"/>
        </w:rPr>
        <w:t xml:space="preserve"> Error bars represent 95 per cent confidence intervals. </w:t>
      </w:r>
      <w:r w:rsidRPr="00437813">
        <w:rPr>
          <w:b/>
          <w:spacing w:val="-6"/>
        </w:rPr>
        <w:t>c.</w:t>
      </w:r>
      <w:r w:rsidRPr="00437813">
        <w:rPr>
          <w:spacing w:val="-6"/>
        </w:rPr>
        <w:t xml:space="preserve"> Income supports comprises pensions (e.g. Age Pension, Disability Support Pension) and allowances (e.g. Newstart Allowance). Income supplements comprises, for example, Family Tax Benefits A and B and Carer Allowance.</w:t>
      </w:r>
    </w:p>
    <w:p w14:paraId="6CB08D7A" w14:textId="77777777" w:rsidR="006E0ED6" w:rsidRDefault="006E0ED6" w:rsidP="006E0ED6">
      <w:pPr>
        <w:pStyle w:val="Source"/>
      </w:pPr>
      <w:r w:rsidRPr="00696447">
        <w:t xml:space="preserve">Source: </w:t>
      </w:r>
      <w:r w:rsidRPr="00157EBE">
        <w:t>Productivity Commission estimates based on HILDA Restricted Release 19.</w:t>
      </w:r>
    </w:p>
    <w:p w14:paraId="4C30705D" w14:textId="77777777" w:rsidR="006E0ED6" w:rsidRDefault="006E0ED6" w:rsidP="006E0ED6">
      <w:pPr>
        <w:pStyle w:val="Heading3"/>
      </w:pPr>
      <w:r>
        <w:lastRenderedPageBreak/>
        <w:t>Wealth transfers have reduced relative wealth inequality in other countries too, and by more than in Australia</w:t>
      </w:r>
    </w:p>
    <w:p w14:paraId="7953811D" w14:textId="77777777" w:rsidR="006E0ED6" w:rsidRDefault="006E0ED6" w:rsidP="006E0ED6">
      <w:pPr>
        <w:pStyle w:val="BodyText"/>
        <w:keepNext/>
        <w:keepLines/>
      </w:pPr>
      <w:r>
        <w:t xml:space="preserve">The finding that wealth transfers reduce relative wealth inequality is not unique to Australia. </w:t>
      </w:r>
    </w:p>
    <w:p w14:paraId="138D33DE" w14:textId="77777777" w:rsidR="006E0ED6" w:rsidRDefault="006E0ED6" w:rsidP="006E0ED6">
      <w:pPr>
        <w:pStyle w:val="BodyText"/>
      </w:pPr>
      <w:r>
        <w:t>However, the magnitude of the equalising effect is consistently smaller in Australia — that is, wealth transfers have only a small equalising effect on relative wealth inequality — than in all countries studied, except for the United States (where the effect is slightly smaller than in Australia) (figure 2.6).</w:t>
      </w:r>
      <w:r>
        <w:rPr>
          <w:rStyle w:val="FootnoteReference"/>
        </w:rPr>
        <w:footnoteReference w:id="31"/>
      </w:r>
    </w:p>
    <w:p w14:paraId="2B0B88B7" w14:textId="77777777" w:rsidR="006E0ED6" w:rsidRDefault="006E0ED6" w:rsidP="006E0ED6">
      <w:pPr>
        <w:pStyle w:val="BodyText"/>
      </w:pPr>
      <w:r>
        <w:t>The primary reason that wealth transfers reduce relative wealth inequality by less in Australia than in other countries is that a lower share of the total stock of wealth is transferred in Australia than in other countries (appendix B). If less wealth is transferred, the impact on wealth inequality will be lower, other things equal.</w:t>
      </w:r>
    </w:p>
    <w:p w14:paraId="7488AFBE" w14:textId="13A1E5AF"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6</w:t>
      </w:r>
      <w:r w:rsidR="00B2270C">
        <w:rPr>
          <w:noProof/>
        </w:rPr>
        <w:fldChar w:fldCharType="end"/>
      </w:r>
      <w:r>
        <w:rPr>
          <w:noProof/>
        </w:rPr>
        <w:t xml:space="preserve"> </w:t>
      </w:r>
      <w:r>
        <w:t xml:space="preserve">– Wealth transfers reduced relative wealth inequality in other countries </w:t>
      </w:r>
      <w:r w:rsidR="00E84FCC">
        <w:t>by</w:t>
      </w:r>
      <w:r>
        <w:t xml:space="preserve"> more so than in Australia</w:t>
      </w:r>
      <w:r w:rsidRPr="00066CF5">
        <w:rPr>
          <w:vertAlign w:val="superscript"/>
        </w:rPr>
        <w:t>a</w:t>
      </w:r>
    </w:p>
    <w:p w14:paraId="3ACAEF01" w14:textId="77777777" w:rsidR="006E0ED6" w:rsidRPr="004C58DE" w:rsidRDefault="006E0ED6" w:rsidP="006E0ED6">
      <w:pPr>
        <w:pStyle w:val="FigureTableSubheading"/>
        <w:keepLines/>
        <w:rPr>
          <w:sz w:val="18"/>
          <w:szCs w:val="16"/>
        </w:rPr>
      </w:pPr>
      <w:r w:rsidRPr="004C58DE">
        <w:rPr>
          <w:sz w:val="18"/>
          <w:szCs w:val="16"/>
        </w:rPr>
        <w:t>Published estimates of effect of transfers on relative wealth inequality in other countries and most comparable statistic for Australia</w:t>
      </w:r>
    </w:p>
    <w:p w14:paraId="163FD142" w14:textId="77777777" w:rsidR="006E0ED6" w:rsidRPr="005550A0" w:rsidRDefault="006E0ED6" w:rsidP="006E0ED6">
      <w:pPr>
        <w:pStyle w:val="BodyText"/>
      </w:pPr>
      <w:r w:rsidRPr="00AB3A71">
        <w:rPr>
          <w:noProof/>
        </w:rPr>
        <w:drawing>
          <wp:inline distT="0" distB="0" distL="0" distR="0" wp14:anchorId="1C413F7A" wp14:editId="4F78CFDD">
            <wp:extent cx="6105525" cy="2876550"/>
            <wp:effectExtent l="0" t="0" r="9525" b="0"/>
            <wp:docPr id="56" name="Picture 56" descr="Figure 2.6. This chart compares the effect of wealth transfers on relative wealth inequality in Australia to that found in Italy, Spain, Germany, France, Britain and the United State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2.6. This chart compares the effect of wealth transfers on relative wealth inequality in Australia to that found in Italy, Spain, Germany, France, Britain and the United States. More details are contained in the text surrounding this figur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5525" cy="2876550"/>
                    </a:xfrm>
                    <a:prstGeom prst="rect">
                      <a:avLst/>
                    </a:prstGeom>
                    <a:noFill/>
                    <a:ln>
                      <a:noFill/>
                    </a:ln>
                  </pic:spPr>
                </pic:pic>
              </a:graphicData>
            </a:graphic>
          </wp:inline>
        </w:drawing>
      </w:r>
    </w:p>
    <w:p w14:paraId="294B86ED" w14:textId="65B9562B" w:rsidR="006E0ED6" w:rsidRDefault="006E0ED6" w:rsidP="006E0ED6">
      <w:pPr>
        <w:pStyle w:val="Note"/>
        <w:keepLines/>
      </w:pPr>
      <w:r w:rsidRPr="00180E66">
        <w:rPr>
          <w:b/>
          <w:bCs/>
        </w:rPr>
        <w:t>a.</w:t>
      </w:r>
      <w:r>
        <w:t xml:space="preserve"> </w:t>
      </w:r>
      <w:r w:rsidRPr="00550A1F">
        <w:t>Other countries’ reported statistics are based on several different methodologies, and hence the most comparable statistic for Australia varies between countries. See appendix B, table B.</w:t>
      </w:r>
      <w:r w:rsidR="00CB4B51">
        <w:t>7</w:t>
      </w:r>
      <w:r w:rsidRPr="00550A1F">
        <w:t xml:space="preserve"> for more information about this figure.</w:t>
      </w:r>
    </w:p>
    <w:p w14:paraId="5184038B" w14:textId="007D62B4" w:rsidR="006E0ED6" w:rsidRDefault="006E0ED6" w:rsidP="006E0ED6">
      <w:pPr>
        <w:pStyle w:val="Source"/>
      </w:pPr>
      <w:r w:rsidRPr="00696447">
        <w:t xml:space="preserve">Source: </w:t>
      </w:r>
      <w:r w:rsidRPr="003C0663">
        <w:t>Crawford and Hood </w:t>
      </w:r>
      <w:r w:rsidRPr="003C0663">
        <w:fldChar w:fldCharType="begin"/>
      </w:r>
      <w:r w:rsidR="0047772E">
        <w:instrText xml:space="preserve"> ADDIN ZOTERO_ITEM CSL_CITATION {"citationID":"3KYzOC66","properties":{"formattedCitation":"(2016)","plainCitation":"(2016)","noteIndex":0},"citationItems":[{"id":1905,"uris":["http://zotero.org/groups/2714158/items/R5UKDRZ9"],"uri":["http://zotero.org/groups/2714158/items/R5UKDRZ9"],"itemData":{"id":1905,"type":"article-journal","container-title":"Fiscal Studies","issue":"1","page":"55–75","source":"Google Scholar","title":"Lifetime receipt of inheritances and the distribution of wealth in England","volume":"37","author":[{"family":"Crawford","given":"Rowena"},{"family":"Hood","given":"Andrew"}],"issued":{"date-parts":[["2016"]]}},"suppress-author":true}],"schema":"https://github.com/citation-style-language/schema/raw/master/csl-citation.json"} </w:instrText>
      </w:r>
      <w:r w:rsidRPr="003C0663">
        <w:fldChar w:fldCharType="separate"/>
      </w:r>
      <w:r w:rsidRPr="003C0663">
        <w:t>(2016)</w:t>
      </w:r>
      <w:r w:rsidRPr="003C0663">
        <w:fldChar w:fldCharType="end"/>
      </w:r>
      <w:r w:rsidRPr="003C0663">
        <w:t>; Karagiannaki </w:t>
      </w:r>
      <w:r w:rsidRPr="003C0663">
        <w:fldChar w:fldCharType="begin"/>
      </w:r>
      <w:r w:rsidR="0047772E">
        <w:instrText xml:space="preserve"> ADDIN ZOTERO_ITEM CSL_CITATION {"citationID":"E1oKAD4T","properties":{"formattedCitation":"(2017)","plainCitation":"(2017)","noteIndex":0},"citationItems":[{"id":1568,"uris":["http://zotero.org/groups/2714158/items/BKN7LA8J"],"uri":["http://zotero.org/groups/2714158/items/BKN7LA8J"],"itemData":{"id":1568,"type":"article-journal","container-title":"Review of Income and Wealth","issue":"2","page":"394–408","source":"Google Scholar","title":"The impact of inheritance on the distribution of wealth: Evidence from Great Britain","title-short":"The impact of inheritance on the distribution of wealth","volume":"63","author":[{"family":"Karagiannaki","given":"Eleni"}],"issued":{"date-parts":[["2017"]]}},"suppress-author":true}],"schema":"https://github.com/citation-style-language/schema/raw/master/csl-citation.json"} </w:instrText>
      </w:r>
      <w:r w:rsidRPr="003C0663">
        <w:fldChar w:fldCharType="separate"/>
      </w:r>
      <w:r w:rsidRPr="003C0663">
        <w:t>(2017)</w:t>
      </w:r>
      <w:r w:rsidRPr="003C0663">
        <w:fldChar w:fldCharType="end"/>
      </w:r>
      <w:r w:rsidRPr="003C0663">
        <w:t>; Nolan et al. </w:t>
      </w:r>
      <w:r w:rsidRPr="003C0663">
        <w:fldChar w:fldCharType="begin"/>
      </w:r>
      <w:r w:rsidR="0047772E">
        <w:instrText xml:space="preserve"> ADDIN ZOTERO_ITEM CSL_CITATION {"citationID":"iu3f8Syo","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3C0663">
        <w:fldChar w:fldCharType="separate"/>
      </w:r>
      <w:r w:rsidRPr="003C0663">
        <w:t>(2021)</w:t>
      </w:r>
      <w:r w:rsidRPr="003C0663">
        <w:fldChar w:fldCharType="end"/>
      </w:r>
      <w:r w:rsidRPr="003C0663">
        <w:t>; Productivity Commission estimates based on HILDA Restricted Release 19.</w:t>
      </w:r>
    </w:p>
    <w:p w14:paraId="5088D658" w14:textId="77777777" w:rsidR="006E0ED6" w:rsidRPr="00637FCD" w:rsidRDefault="006E0ED6" w:rsidP="00D208A3">
      <w:pPr>
        <w:pStyle w:val="Heading2"/>
        <w:rPr>
          <w:spacing w:val="-6"/>
        </w:rPr>
      </w:pPr>
      <w:bookmarkStart w:id="18" w:name="_Toc87543959"/>
      <w:r w:rsidRPr="00637FCD">
        <w:rPr>
          <w:spacing w:val="-6"/>
        </w:rPr>
        <w:lastRenderedPageBreak/>
        <w:t>Longer</w:t>
      </w:r>
      <w:r w:rsidRPr="00637FCD">
        <w:rPr>
          <w:spacing w:val="-6"/>
        </w:rPr>
        <w:noBreakHyphen/>
        <w:t>term effect of inheritances on wealth inequality</w:t>
      </w:r>
      <w:bookmarkEnd w:id="18"/>
    </w:p>
    <w:p w14:paraId="2C93C88F" w14:textId="77777777" w:rsidR="006E0ED6" w:rsidRDefault="006E0ED6" w:rsidP="006E0ED6">
      <w:pPr>
        <w:pStyle w:val="BodyText"/>
        <w:keepNext/>
        <w:keepLines/>
      </w:pPr>
      <w:r>
        <w:t>In the longer term, the effect of wealth transfers on wealth inequality depends on recipients’ initial wealth (the immediate</w:t>
      </w:r>
      <w:r>
        <w:noBreakHyphen/>
        <w:t xml:space="preserve">term effect) </w:t>
      </w:r>
      <w:r w:rsidRPr="004E7842">
        <w:rPr>
          <w:i/>
          <w:iCs/>
        </w:rPr>
        <w:t>and</w:t>
      </w:r>
      <w:r>
        <w:t xml:space="preserve"> how their household responds to the receipt of the transfer.</w:t>
      </w:r>
      <w:r>
        <w:rPr>
          <w:rStyle w:val="FootnoteReference"/>
        </w:rPr>
        <w:footnoteReference w:id="32"/>
      </w:r>
      <w:r>
        <w:t xml:space="preserve"> Members of the household might consume the transfer — or some share of it — either by purchasing goods and services (direct consumption) or by opting to earn less labour income (indirect consumption). The share that they do not consume is generally saved.</w:t>
      </w:r>
      <w:r>
        <w:rPr>
          <w:rStyle w:val="FootnoteReference"/>
        </w:rPr>
        <w:footnoteReference w:id="33"/>
      </w:r>
      <w:r>
        <w:t xml:space="preserve"> Those savings, or some share of them, might be invested, in which case the returns earned from that investment are also relevant. </w:t>
      </w:r>
    </w:p>
    <w:p w14:paraId="3C81E094" w14:textId="77777777" w:rsidR="006E0ED6" w:rsidRDefault="006E0ED6" w:rsidP="006E0ED6">
      <w:pPr>
        <w:pStyle w:val="BodyText"/>
      </w:pPr>
      <w:r>
        <w:t>For analysing the longer</w:t>
      </w:r>
      <w:r>
        <w:noBreakHyphen/>
        <w:t xml:space="preserve">term effect of wealth transfers on </w:t>
      </w:r>
      <w:r w:rsidRPr="00480907">
        <w:rPr>
          <w:i/>
        </w:rPr>
        <w:t>wealth accumulation</w:t>
      </w:r>
      <w:r>
        <w:t>, what matters is the net effect of the behavioural responses described above. Households that, on net, earn a return and grow their wealth transfer over time are ‘net investors’: each $1 of wealth transfers received in the past results in more than $1 of additional wealth today. Households that, on net, consume their inheritances over time are ‘net consumers’: each $1 of inheritances received in the past results in less than $1 of additional wealth today. And, because of inflation, a household must be a net investor for their wealth transfer to at least maintain its real (inflation</w:t>
      </w:r>
      <w:r>
        <w:noBreakHyphen/>
        <w:t>adjusted) value over time.</w:t>
      </w:r>
    </w:p>
    <w:p w14:paraId="5D91644E" w14:textId="77777777" w:rsidR="006E0ED6" w:rsidRDefault="006E0ED6" w:rsidP="006E0ED6">
      <w:pPr>
        <w:pStyle w:val="BodyText"/>
      </w:pPr>
      <w:r>
        <w:t>For analysing the longer</w:t>
      </w:r>
      <w:r>
        <w:noBreakHyphen/>
        <w:t xml:space="preserve">term effect of wealth transfers on </w:t>
      </w:r>
      <w:r w:rsidRPr="00480907">
        <w:rPr>
          <w:i/>
        </w:rPr>
        <w:t>wealth inequality</w:t>
      </w:r>
      <w:r>
        <w:t xml:space="preserve"> (relative and absolute) how these behavioural responses vary with initial wealth also matters. For example, if otherwise wealthier people were typically net investors and otherwise poorer people typically net consumers, then the immediate</w:t>
      </w:r>
      <w:r>
        <w:noBreakHyphen/>
        <w:t>term increase to absolute wealth inequality from wealth transfers would increase over time, and the immediate</w:t>
      </w:r>
      <w:r>
        <w:noBreakHyphen/>
        <w:t>term decrease to relative wealth inequality would dissipate over time.</w:t>
      </w:r>
    </w:p>
    <w:p w14:paraId="2DC1FCAC" w14:textId="77777777" w:rsidR="006E0ED6" w:rsidRDefault="006E0ED6" w:rsidP="006E0ED6">
      <w:pPr>
        <w:pStyle w:val="BodyText"/>
      </w:pPr>
      <w:r>
        <w:t>Unfortunately, it has not been possible to identify the longer</w:t>
      </w:r>
      <w:r>
        <w:noBreakHyphen/>
        <w:t>term effects of gifts on wealth inequality, in either our modelling or others’ (appendix B). Hence, this section considers only inheritances.</w:t>
      </w:r>
    </w:p>
    <w:p w14:paraId="06072163" w14:textId="77777777" w:rsidR="006E0ED6" w:rsidRDefault="006E0ED6" w:rsidP="006E0ED6">
      <w:pPr>
        <w:pStyle w:val="BodyText"/>
      </w:pPr>
      <w:r>
        <w:t>The next subsection discusses the longer</w:t>
      </w:r>
      <w:r>
        <w:noBreakHyphen/>
        <w:t>term effects of inheritances on wealth accumulation, then the following two subsections discuss the longer</w:t>
      </w:r>
      <w:r>
        <w:noBreakHyphen/>
        <w:t>term effects of inheritances on wealth inequality.</w:t>
      </w:r>
    </w:p>
    <w:p w14:paraId="5A9890B4" w14:textId="77777777" w:rsidR="006E0ED6" w:rsidRDefault="006E0ED6" w:rsidP="006E0ED6">
      <w:pPr>
        <w:pStyle w:val="Heading3"/>
      </w:pPr>
      <w:r>
        <w:t>Australians have typically been ‘net investors’ of their inheritances, but not by enough to overcome inflation</w:t>
      </w:r>
    </w:p>
    <w:p w14:paraId="3A02EE20" w14:textId="77777777" w:rsidR="00F16130" w:rsidRDefault="006E0ED6" w:rsidP="006E0ED6">
      <w:pPr>
        <w:pStyle w:val="BodyText"/>
        <w:rPr>
          <w:iCs/>
        </w:rPr>
      </w:pPr>
      <w:r w:rsidRPr="006535DF">
        <w:rPr>
          <w:iCs/>
          <w:spacing w:val="-4"/>
        </w:rPr>
        <w:t xml:space="preserve">Australians have typically been ‘net investors’ of their inheritances. </w:t>
      </w:r>
      <w:r w:rsidR="00740217">
        <w:rPr>
          <w:iCs/>
        </w:rPr>
        <w:t>This does not mean that Australians did not spend their inheritances on goods or services, nor that Australians did not choose to work less after receiving an inheritance. It means that, on average, the returns to the invested component of inheritances roughly balanced the additional consumption that inheritances yielded.</w:t>
      </w:r>
      <w:r w:rsidR="00F16130">
        <w:rPr>
          <w:iCs/>
        </w:rPr>
        <w:t xml:space="preserve"> </w:t>
      </w:r>
    </w:p>
    <w:p w14:paraId="29F43D02" w14:textId="13252EA3" w:rsidR="006E0ED6" w:rsidRPr="006535DF" w:rsidRDefault="006E0ED6" w:rsidP="006E0ED6">
      <w:pPr>
        <w:pStyle w:val="BodyText"/>
        <w:rPr>
          <w:iCs/>
          <w:spacing w:val="-4"/>
        </w:rPr>
      </w:pPr>
      <w:r w:rsidRPr="006535DF">
        <w:rPr>
          <w:iCs/>
          <w:spacing w:val="-4"/>
        </w:rPr>
        <w:t>Our best estimate is that, on average, each $1 of inheritance increased household wealth by $1.10 0–3 years later, and $1.20 4–7 years later (in nominal terms; figure 2.7)</w:t>
      </w:r>
      <w:r w:rsidR="00AC2FF1">
        <w:rPr>
          <w:iCs/>
          <w:spacing w:val="-4"/>
        </w:rPr>
        <w:t xml:space="preserve">, although there is significant uncertainty </w:t>
      </w:r>
      <w:r w:rsidR="00AD5DDC">
        <w:rPr>
          <w:iCs/>
          <w:spacing w:val="-4"/>
        </w:rPr>
        <w:t>surrounding</w:t>
      </w:r>
      <w:r w:rsidRPr="006535DF">
        <w:rPr>
          <w:iCs/>
          <w:spacing w:val="-4"/>
        </w:rPr>
        <w:t xml:space="preserve"> </w:t>
      </w:r>
      <w:r w:rsidRPr="006535DF">
        <w:rPr>
          <w:iCs/>
          <w:spacing w:val="-4"/>
        </w:rPr>
        <w:lastRenderedPageBreak/>
        <w:t xml:space="preserve">this </w:t>
      </w:r>
      <w:r w:rsidR="00AD5DDC">
        <w:rPr>
          <w:iCs/>
          <w:spacing w:val="-4"/>
        </w:rPr>
        <w:t xml:space="preserve">estimate </w:t>
      </w:r>
      <w:r w:rsidR="005F3711">
        <w:rPr>
          <w:iCs/>
          <w:spacing w:val="-4"/>
        </w:rPr>
        <w:t>(the</w:t>
      </w:r>
      <w:r w:rsidRPr="006535DF">
        <w:rPr>
          <w:iCs/>
          <w:spacing w:val="-4"/>
        </w:rPr>
        <w:t xml:space="preserve"> </w:t>
      </w:r>
      <w:r w:rsidR="005F3711">
        <w:rPr>
          <w:iCs/>
          <w:spacing w:val="-4"/>
        </w:rPr>
        <w:t>statistical evidence is not sufficient</w:t>
      </w:r>
      <w:r w:rsidRPr="006535DF">
        <w:rPr>
          <w:iCs/>
          <w:spacing w:val="-4"/>
        </w:rPr>
        <w:t xml:space="preserve"> to reject the possibility that Australians have typically been net consumers</w:t>
      </w:r>
      <w:r w:rsidR="005F3711">
        <w:rPr>
          <w:iCs/>
          <w:spacing w:val="-4"/>
        </w:rPr>
        <w:t>)</w:t>
      </w:r>
      <w:r w:rsidRPr="006535DF">
        <w:rPr>
          <w:iCs/>
          <w:spacing w:val="-4"/>
        </w:rPr>
        <w:t>. Appendix B explores the modelling outlined in this section in more detail.</w:t>
      </w:r>
    </w:p>
    <w:p w14:paraId="19D5339F" w14:textId="0170F91F"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7</w:t>
      </w:r>
      <w:r w:rsidR="00B2270C">
        <w:rPr>
          <w:noProof/>
        </w:rPr>
        <w:fldChar w:fldCharType="end"/>
      </w:r>
      <w:r>
        <w:rPr>
          <w:noProof/>
        </w:rPr>
        <w:t xml:space="preserve"> </w:t>
      </w:r>
      <w:r>
        <w:t>– Inheritances have a persistent effect on recipients’ wealth</w:t>
      </w:r>
      <w:r w:rsidRPr="00066CF5">
        <w:rPr>
          <w:vertAlign w:val="superscript"/>
        </w:rPr>
        <w:t>a</w:t>
      </w:r>
    </w:p>
    <w:p w14:paraId="232A0F97" w14:textId="77777777" w:rsidR="006E0ED6" w:rsidRPr="004C58DE" w:rsidRDefault="006E0ED6" w:rsidP="006E0ED6">
      <w:pPr>
        <w:pStyle w:val="FigureTableSubheading"/>
        <w:keepLines/>
        <w:rPr>
          <w:sz w:val="18"/>
          <w:szCs w:val="16"/>
        </w:rPr>
      </w:pPr>
      <w:r w:rsidRPr="004C58DE">
        <w:rPr>
          <w:sz w:val="18"/>
          <w:szCs w:val="16"/>
        </w:rPr>
        <w:t>Modelled average effect of $1 of inheritance on household wealth</w:t>
      </w:r>
    </w:p>
    <w:p w14:paraId="1FA4C982" w14:textId="499B8219" w:rsidR="006E0ED6" w:rsidRPr="005550A0" w:rsidRDefault="00336BBA" w:rsidP="006E0ED6">
      <w:pPr>
        <w:pStyle w:val="BodyText"/>
      </w:pPr>
      <w:r w:rsidRPr="00336BBA">
        <w:t xml:space="preserve"> </w:t>
      </w:r>
      <w:r w:rsidRPr="00336BBA">
        <w:rPr>
          <w:noProof/>
        </w:rPr>
        <w:drawing>
          <wp:inline distT="0" distB="0" distL="0" distR="0" wp14:anchorId="65870B21" wp14:editId="71237D98">
            <wp:extent cx="6120130" cy="2877185"/>
            <wp:effectExtent l="0" t="0" r="0" b="0"/>
            <wp:docPr id="129" name="Picture 129" descr="Figure 2.7. This chart shows the modelled average effect of $1 of inheritance on recipients household wealth 0-3 years after inheritances were received and 4-7 years after inheritances were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Figure 2.7. This chart shows the modelled average effect of $1 of inheritance on recipients household wealth 0-3 years after inheritances were received and 4-7 years after inheritances were received. More details are contained in the text surrounding this figur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0FD335CE" w14:textId="77777777" w:rsidR="006E0ED6" w:rsidRDefault="006E0ED6" w:rsidP="006E0ED6">
      <w:pPr>
        <w:pStyle w:val="Note"/>
        <w:keepLines/>
      </w:pPr>
      <w:r w:rsidRPr="00180E66">
        <w:rPr>
          <w:b/>
          <w:bCs/>
        </w:rPr>
        <w:t>a.</w:t>
      </w:r>
      <w:r>
        <w:t xml:space="preserve"> Error bars represent 95 per cent confidence intervals.</w:t>
      </w:r>
    </w:p>
    <w:p w14:paraId="34C3CE71" w14:textId="37CD6180" w:rsidR="006E0ED6" w:rsidRDefault="006E0ED6" w:rsidP="006E0ED6">
      <w:pPr>
        <w:pStyle w:val="Source"/>
      </w:pPr>
      <w:r w:rsidRPr="00696447">
        <w:t xml:space="preserve">Source: </w:t>
      </w:r>
      <w:r>
        <w:t xml:space="preserve">Productivity Commission estimates based on HILDA </w:t>
      </w:r>
      <w:r w:rsidR="00EB7F22">
        <w:t xml:space="preserve">Restricted </w:t>
      </w:r>
      <w:r>
        <w:t>Release 19.</w:t>
      </w:r>
    </w:p>
    <w:p w14:paraId="56D39E24" w14:textId="1D8C0763" w:rsidR="006E0ED6" w:rsidRDefault="00B503FB" w:rsidP="006E0ED6">
      <w:pPr>
        <w:pStyle w:val="BodyText"/>
        <w:rPr>
          <w:iCs/>
        </w:rPr>
      </w:pPr>
      <w:r>
        <w:rPr>
          <w:iCs/>
        </w:rPr>
        <w:t>D</w:t>
      </w:r>
      <w:r w:rsidR="006E0ED6">
        <w:rPr>
          <w:iCs/>
        </w:rPr>
        <w:t>ecomposing the effect of past inheritances on current household wealth shows that inheritances primarily increased household wealth by increasing holdings of assets that typically yield investment returns, such as equities, property and superannuation (figure 2.8, panels a and b; in nominal terms). This suggests that Australians invested a substantial share of their inheritances.</w:t>
      </w:r>
    </w:p>
    <w:p w14:paraId="0F66A3CC" w14:textId="77777777" w:rsidR="006E0ED6" w:rsidRDefault="006E0ED6" w:rsidP="006E0ED6">
      <w:pPr>
        <w:pStyle w:val="BodyText"/>
        <w:rPr>
          <w:iCs/>
        </w:rPr>
      </w:pPr>
      <w:r>
        <w:rPr>
          <w:iCs/>
        </w:rPr>
        <w:t>However, Australians did not typically invest enough, and/or earn high enough returns from those investments, to overcome inflation. In real (inflation</w:t>
      </w:r>
      <w:r>
        <w:rPr>
          <w:iCs/>
        </w:rPr>
        <w:noBreakHyphen/>
        <w:t xml:space="preserve">adjusted) terms, each $1 of inheritance increased household wealth by $1 0–3 years later, but only $0.90 4–7 years later. </w:t>
      </w:r>
    </w:p>
    <w:p w14:paraId="6FA67EFB" w14:textId="77777777" w:rsidR="006E0ED6" w:rsidRDefault="006E0ED6" w:rsidP="006E0ED6">
      <w:pPr>
        <w:pStyle w:val="BodyText"/>
      </w:pPr>
      <w:r>
        <w:rPr>
          <w:iCs/>
        </w:rPr>
        <w:t xml:space="preserve">These results are at odds with </w:t>
      </w:r>
      <w:r>
        <w:t>studies of other countries, which suggest that the average inheritance recipient is a net consumer — specifically, that half to three quarters of the pool of inheritances are depleted within a decade of receipt (in nominal terms).</w:t>
      </w:r>
    </w:p>
    <w:p w14:paraId="61625406" w14:textId="574D7AE5" w:rsidR="006E0ED6" w:rsidRDefault="006E0ED6" w:rsidP="006E0ED6">
      <w:pPr>
        <w:pStyle w:val="ListBullet"/>
      </w:pPr>
      <w:r>
        <w:t>Nekoei and Seim </w:t>
      </w:r>
      <w:r>
        <w:fldChar w:fldCharType="begin"/>
      </w:r>
      <w:r w:rsidR="0047772E">
        <w:instrText xml:space="preserve"> ADDIN ZOTERO_ITEM CSL_CITATION {"citationID":"gpNfcXsM","properties":{"formattedCitation":"(2019, p.\\uc0\\u160{}20)","plainCitation":"(2019, p. 20)","noteIndex":0},"citationItems":[{"id":1593,"uris":["http://zotero.org/groups/2714158/items/87CG2KPS"],"uri":["http://zotero.org/groups/2714158/items/87CG2KPS"],"itemData":{"id":1593,"type":"report","number":"Discussion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20","suppress-author":true}],"schema":"https://github.com/citation-style-language/schema/raw/master/csl-citation.json"} </w:instrText>
      </w:r>
      <w:r>
        <w:fldChar w:fldCharType="separate"/>
      </w:r>
      <w:r w:rsidRPr="00C42B7E">
        <w:rPr>
          <w:szCs w:val="24"/>
        </w:rPr>
        <w:t>(2019, p. 20)</w:t>
      </w:r>
      <w:r>
        <w:fldChar w:fldCharType="end"/>
      </w:r>
      <w:r>
        <w:t xml:space="preserve"> found that the average Swedish recipient had depleted about half of their inheritance seven years after receipt. </w:t>
      </w:r>
    </w:p>
    <w:p w14:paraId="143E594D" w14:textId="1FB4218D" w:rsidR="006E0ED6" w:rsidRDefault="006E0ED6" w:rsidP="006E0ED6">
      <w:pPr>
        <w:pStyle w:val="ListBullet"/>
      </w:pPr>
      <w:r>
        <w:t>Druedahl and Martinello </w:t>
      </w:r>
      <w:r>
        <w:fldChar w:fldCharType="begin"/>
      </w:r>
      <w:r w:rsidR="0047772E">
        <w:instrText xml:space="preserve"> ADDIN ZOTERO_ITEM CSL_CITATION {"citationID":"t8e6jif8","properties":{"formattedCitation":"(2017, p.\\uc0\\u160{}1)","plainCitation":"(2017, p. 1)","noteIndex":0},"citationItems":[{"id":3038,"uris":["http://zotero.org/groups/2714158/items/4RFV5IC6"],"uri":["http://zotero.org/groups/2714158/items/4RFV5IC6"],"itemData":{"id":3038,"type":"article-journal","container-title":"The Review of Economics and Statistics","page":"1–44","source":"Google Scholar","title":"Long-run saving dynamics: Evidence from unexpected inheritances","title-short":"Long-run saving dynamics","author":[{"family":"Druedahl","given":"Jeppe"},{"family":"Martinello","given":"Alessandro"}],"issued":{"date-parts":[["2017"]]}},"locator":"1","suppress-author":true}],"schema":"https://github.com/citation-style-language/schema/raw/master/csl-citation.json"} </w:instrText>
      </w:r>
      <w:r>
        <w:fldChar w:fldCharType="separate"/>
      </w:r>
      <w:r w:rsidRPr="00C42B7E">
        <w:rPr>
          <w:szCs w:val="24"/>
        </w:rPr>
        <w:t>(2017, p. 1)</w:t>
      </w:r>
      <w:r>
        <w:fldChar w:fldCharType="end"/>
      </w:r>
      <w:r>
        <w:t xml:space="preserve"> found that the average Danish recipient had depleted about two thirds of their inheritance nine years after receipt.</w:t>
      </w:r>
    </w:p>
    <w:p w14:paraId="36F4A0C3" w14:textId="6B05ED1E" w:rsidR="006E0ED6" w:rsidRDefault="006E0ED6" w:rsidP="006E0ED6">
      <w:pPr>
        <w:pStyle w:val="ListBullet"/>
      </w:pPr>
      <w:r>
        <w:t>Karagiannaki </w:t>
      </w:r>
      <w:r>
        <w:fldChar w:fldCharType="begin"/>
      </w:r>
      <w:r w:rsidR="0047772E">
        <w:instrText xml:space="preserve"> ADDIN ZOTERO_ITEM CSL_CITATION {"citationID":"qGFA78zA","properties":{"formattedCitation":"(2017, p.\\uc0\\u160{}401)","plainCitation":"(2017, p. 401)","noteIndex":0},"citationItems":[{"id":1568,"uris":["http://zotero.org/groups/2714158/items/BKN7LA8J"],"uri":["http://zotero.org/groups/2714158/items/BKN7LA8J"],"itemData":{"id":1568,"type":"article-journal","container-title":"Review of Income and Wealth","issue":"2","page":"394–408","source":"Google Scholar","title":"The impact of inheritance on the distribution of wealth: Evidence from Great Britain","title-short":"The impact of inheritance on the distribution of wealth","volume":"63","author":[{"family":"Karagiannaki","given":"Eleni"}],"issued":{"date-parts":[["2017"]]}},"locator":"401","suppress-author":true}],"schema":"https://github.com/citation-style-language/schema/raw/master/csl-citation.json"} </w:instrText>
      </w:r>
      <w:r>
        <w:fldChar w:fldCharType="separate"/>
      </w:r>
      <w:r w:rsidRPr="00C42B7E">
        <w:rPr>
          <w:szCs w:val="24"/>
        </w:rPr>
        <w:t>(2017, p. 401)</w:t>
      </w:r>
      <w:r>
        <w:fldChar w:fldCharType="end"/>
      </w:r>
      <w:r>
        <w:t xml:space="preserve"> found that the average British recipient had depleted about three quarters of their inheritance a decade after receipt. </w:t>
      </w:r>
    </w:p>
    <w:p w14:paraId="61C81EBF" w14:textId="0B3707AB" w:rsidR="006E0ED6" w:rsidRPr="00D2597A" w:rsidRDefault="006E0ED6" w:rsidP="006E0ED6">
      <w:pPr>
        <w:pStyle w:val="ListBullet"/>
      </w:pPr>
      <w:r>
        <w:t>Joulfaian </w:t>
      </w:r>
      <w:r>
        <w:fldChar w:fldCharType="begin"/>
      </w:r>
      <w:r w:rsidR="0047772E">
        <w:instrText xml:space="preserve"> ADDIN ZOTERO_ITEM CSL_CITATION {"citationID":"YT2PI1UJ","properties":{"formattedCitation":"(2006, p.\\uc0\\u160{}13)","plainCitation":"(2006, p. 13)","noteIndex":0},"citationItems":[{"id":3037,"uris":["http://zotero.org/groups/2714158/items/9IE82WIE"],"uri":["http://zotero.org/groups/2714158/items/9IE82WIE"],"itemData":{"id":3037,"type":"report","number":"Working Paper 12569","publisher":"National Bureau of Economic Research","title":"Inheritance and Saving","URL":"https://www.nber.org/system/files/working_papers/w12569/w12569.pdf","author":[{"family":"Joulfaian","given":"David"}],"issued":{"date-parts":[["2006"]]}},"locator":"13","suppress-author":true}],"schema":"https://github.com/citation-style-language/schema/raw/master/csl-citation.json"} </w:instrText>
      </w:r>
      <w:r>
        <w:fldChar w:fldCharType="separate"/>
      </w:r>
      <w:r w:rsidRPr="00C42B7E">
        <w:rPr>
          <w:szCs w:val="24"/>
        </w:rPr>
        <w:t>(2006, p. 13)</w:t>
      </w:r>
      <w:r>
        <w:fldChar w:fldCharType="end"/>
      </w:r>
      <w:r>
        <w:t xml:space="preserve"> found that a typical recipient from the United States had depleted about 40 per cent of their inheritance about two years after receipt. </w:t>
      </w:r>
    </w:p>
    <w:p w14:paraId="55507148" w14:textId="31F4317B"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8</w:t>
      </w:r>
      <w:r w:rsidR="00B2270C">
        <w:rPr>
          <w:noProof/>
        </w:rPr>
        <w:fldChar w:fldCharType="end"/>
      </w:r>
      <w:r>
        <w:rPr>
          <w:noProof/>
        </w:rPr>
        <w:t xml:space="preserve"> </w:t>
      </w:r>
      <w:r>
        <w:t xml:space="preserve">– </w:t>
      </w:r>
      <w:r w:rsidRPr="001D2F54">
        <w:t>Inheritances not consumed were mostly invested in equities, bonds and property</w:t>
      </w:r>
      <w:r w:rsidRPr="00066CF5">
        <w:rPr>
          <w:vertAlign w:val="superscript"/>
        </w:rPr>
        <w:t>a</w:t>
      </w:r>
    </w:p>
    <w:p w14:paraId="0A16C694" w14:textId="77777777" w:rsidR="006E0ED6" w:rsidRPr="004C58DE" w:rsidRDefault="006E0ED6" w:rsidP="006E0ED6">
      <w:pPr>
        <w:pStyle w:val="FigureTableSubheading"/>
        <w:keepLines/>
        <w:rPr>
          <w:sz w:val="18"/>
          <w:szCs w:val="16"/>
        </w:rPr>
      </w:pPr>
      <w:r w:rsidRPr="004C58DE">
        <w:rPr>
          <w:sz w:val="18"/>
          <w:szCs w:val="16"/>
        </w:rPr>
        <w:t>Modelled average effect of $1 of inheritance on components of household wealth</w:t>
      </w:r>
    </w:p>
    <w:tbl>
      <w:tblPr>
        <w:tblW w:w="5000" w:type="pct"/>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9638"/>
      </w:tblGrid>
      <w:tr w:rsidR="006E0ED6" w:rsidRPr="00B1465D" w14:paraId="1AC9E89A" w14:textId="77777777" w:rsidTr="001625EC">
        <w:trPr>
          <w:tblHeader/>
        </w:trPr>
        <w:tc>
          <w:tcPr>
            <w:tcW w:w="5000" w:type="pct"/>
            <w:tcBorders>
              <w:top w:val="nil"/>
              <w:bottom w:val="nil"/>
            </w:tcBorders>
          </w:tcPr>
          <w:p w14:paraId="26CCD311" w14:textId="77777777" w:rsidR="006E0ED6" w:rsidRPr="00B1465D" w:rsidRDefault="006E0ED6" w:rsidP="00132C71">
            <w:pPr>
              <w:pStyle w:val="FigureTableSubheading"/>
              <w:numPr>
                <w:ilvl w:val="0"/>
                <w:numId w:val="26"/>
              </w:numPr>
            </w:pPr>
            <w:r w:rsidRPr="00594657">
              <w:rPr>
                <w:sz w:val="16"/>
                <w:szCs w:val="14"/>
              </w:rPr>
              <w:t>0</w:t>
            </w:r>
            <w:r w:rsidRPr="00594657">
              <w:rPr>
                <w:sz w:val="16"/>
                <w:szCs w:val="14"/>
              </w:rPr>
              <w:noBreakHyphen/>
              <w:t>3 years after inheritance received</w:t>
            </w:r>
          </w:p>
        </w:tc>
      </w:tr>
      <w:tr w:rsidR="006E0ED6" w:rsidRPr="00B1465D" w14:paraId="7A63B226" w14:textId="77777777" w:rsidTr="001625EC">
        <w:trPr>
          <w:tblHeader/>
        </w:trPr>
        <w:tc>
          <w:tcPr>
            <w:tcW w:w="5000" w:type="pct"/>
            <w:tcBorders>
              <w:top w:val="nil"/>
              <w:bottom w:val="nil"/>
            </w:tcBorders>
          </w:tcPr>
          <w:p w14:paraId="4EED22FA" w14:textId="3017C989" w:rsidR="006E0ED6" w:rsidRPr="00B1465D" w:rsidRDefault="006A6D2C" w:rsidP="001625EC">
            <w:pPr>
              <w:spacing w:before="60" w:after="60"/>
              <w:rPr>
                <w:rFonts w:ascii="Arial" w:hAnsi="Arial" w:cs="Arial"/>
                <w:sz w:val="18"/>
                <w:szCs w:val="18"/>
              </w:rPr>
            </w:pPr>
            <w:r w:rsidRPr="006A6D2C">
              <w:rPr>
                <w:rFonts w:ascii="Arial" w:hAnsi="Arial" w:cs="Arial"/>
                <w:noProof/>
                <w:sz w:val="18"/>
                <w:szCs w:val="18"/>
              </w:rPr>
              <w:drawing>
                <wp:inline distT="0" distB="0" distL="0" distR="0" wp14:anchorId="368CA8EF" wp14:editId="71A50EE3">
                  <wp:extent cx="6120130" cy="2877185"/>
                  <wp:effectExtent l="0" t="0" r="0" b="0"/>
                  <wp:docPr id="130" name="Picture 130" descr="Figure 2.8, panel a. This chart shows the modelled average effect of $1 of inheritance on equities, investment properties, the place of residence, superannuation, bank accounts, bonds, other financial assets, reduction of debts and other non-financial assets 0-3 after inheritances were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Figure 2.8, panel a. This chart shows the modelled average effect of $1 of inheritance on equities, investment properties, the place of residence, superannuation, bank accounts, bonds, other financial assets, reduction of debts and other non-financial assets 0-3 after inheritances were received. More details are contained in the text surrounding this figur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tc>
      </w:tr>
      <w:tr w:rsidR="006E0ED6" w:rsidRPr="00B1465D" w14:paraId="37ACADC8" w14:textId="77777777" w:rsidTr="001625EC">
        <w:trPr>
          <w:tblHeader/>
        </w:trPr>
        <w:tc>
          <w:tcPr>
            <w:tcW w:w="5000" w:type="pct"/>
            <w:tcBorders>
              <w:top w:val="nil"/>
              <w:bottom w:val="nil"/>
            </w:tcBorders>
          </w:tcPr>
          <w:p w14:paraId="5DB65A22" w14:textId="77777777" w:rsidR="006E0ED6" w:rsidRPr="00B1465D" w:rsidRDefault="006E0ED6" w:rsidP="00132C71">
            <w:pPr>
              <w:pStyle w:val="FigureTableSubheading"/>
              <w:numPr>
                <w:ilvl w:val="0"/>
                <w:numId w:val="26"/>
              </w:numPr>
            </w:pPr>
            <w:r w:rsidRPr="006C516F">
              <w:rPr>
                <w:sz w:val="16"/>
                <w:szCs w:val="14"/>
              </w:rPr>
              <w:t>4</w:t>
            </w:r>
            <w:r w:rsidRPr="006C516F">
              <w:rPr>
                <w:sz w:val="16"/>
                <w:szCs w:val="14"/>
              </w:rPr>
              <w:noBreakHyphen/>
              <w:t>7 years after inheritance received</w:t>
            </w:r>
          </w:p>
        </w:tc>
      </w:tr>
      <w:tr w:rsidR="006E0ED6" w:rsidRPr="00B1465D" w14:paraId="1A5D965B" w14:textId="77777777" w:rsidTr="001625EC">
        <w:trPr>
          <w:tblHeader/>
        </w:trPr>
        <w:tc>
          <w:tcPr>
            <w:tcW w:w="5000" w:type="pct"/>
            <w:tcBorders>
              <w:top w:val="nil"/>
              <w:bottom w:val="nil"/>
            </w:tcBorders>
          </w:tcPr>
          <w:p w14:paraId="7693ACEA" w14:textId="7EDCCBC4" w:rsidR="006E0ED6" w:rsidRPr="00B1465D" w:rsidRDefault="00335A77" w:rsidP="001625EC">
            <w:pPr>
              <w:spacing w:before="60" w:after="60"/>
              <w:rPr>
                <w:rFonts w:ascii="Arial" w:hAnsi="Arial" w:cs="Arial"/>
                <w:sz w:val="18"/>
                <w:szCs w:val="18"/>
              </w:rPr>
            </w:pPr>
            <w:r w:rsidRPr="00335A77">
              <w:rPr>
                <w:rFonts w:ascii="Arial" w:hAnsi="Arial" w:cs="Arial"/>
                <w:noProof/>
                <w:sz w:val="18"/>
                <w:szCs w:val="18"/>
              </w:rPr>
              <w:drawing>
                <wp:inline distT="0" distB="0" distL="0" distR="0" wp14:anchorId="0FE4C8E9" wp14:editId="626BFD90">
                  <wp:extent cx="6120130" cy="2877185"/>
                  <wp:effectExtent l="0" t="0" r="0" b="0"/>
                  <wp:docPr id="131" name="Picture 131" descr="Figure 2.8, panel b. This chart shows the modelled average effect of $1 of inheritance on equities, investment properties, the place of residence, superannuation, bank accounts, bonds, other financial assets, reduction of debts and other non-financial assets 4-7 after inheritances were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Figure 2.8, panel b. This chart shows the modelled average effect of $1 of inheritance on equities, investment properties, the place of residence, superannuation, bank accounts, bonds, other financial assets, reduction of debts and other non-financial assets 4-7 after inheritances were received. More details are contained in the text surrounding this figu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tc>
      </w:tr>
    </w:tbl>
    <w:p w14:paraId="135DD297" w14:textId="77777777" w:rsidR="006E0ED6" w:rsidRDefault="006E0ED6" w:rsidP="006E0ED6">
      <w:pPr>
        <w:pStyle w:val="Note"/>
        <w:keepLines/>
      </w:pPr>
      <w:r w:rsidRPr="00180E66">
        <w:rPr>
          <w:b/>
          <w:bCs/>
        </w:rPr>
        <w:t>a.</w:t>
      </w:r>
      <w:r>
        <w:t xml:space="preserve"> Error bars represent 95 per cent confidence intervals.</w:t>
      </w:r>
    </w:p>
    <w:p w14:paraId="1164A0CF" w14:textId="77777777" w:rsidR="006E0ED6" w:rsidRPr="008F740E" w:rsidRDefault="006E0ED6" w:rsidP="006E0ED6">
      <w:pPr>
        <w:pStyle w:val="Source"/>
      </w:pPr>
      <w:r w:rsidRPr="00696447">
        <w:t xml:space="preserve">Source: </w:t>
      </w:r>
      <w:r>
        <w:t>Productivity Commission estimates based on HILDA Restricted Release 19.</w:t>
      </w:r>
    </w:p>
    <w:p w14:paraId="5C79D048" w14:textId="77777777" w:rsidR="006E0ED6" w:rsidRDefault="006E0ED6" w:rsidP="006E0ED6">
      <w:pPr>
        <w:pStyle w:val="BodyText"/>
      </w:pPr>
      <w:r>
        <w:t>Why these results differ from those found in this study is not clear. It may be that Australians are less inclined to consume their inheritances, and/or that Australians earn higher returns from the component that they do not consume. It is notable that Australians tended to invest their inheritances in assets that have yielded substantial returns over the previous two decades (figure 2.8 above). Because of data limitations, this study has not directly examined what inheritances were spent on in Australia.</w:t>
      </w:r>
    </w:p>
    <w:p w14:paraId="48384501" w14:textId="77777777" w:rsidR="006E0ED6" w:rsidRPr="00C4113C" w:rsidRDefault="006E0ED6" w:rsidP="006E0ED6">
      <w:pPr>
        <w:pStyle w:val="BodyText"/>
        <w:rPr>
          <w:spacing w:val="-4"/>
        </w:rPr>
      </w:pPr>
      <w:r w:rsidRPr="00C4113C">
        <w:rPr>
          <w:spacing w:val="-4"/>
        </w:rPr>
        <w:lastRenderedPageBreak/>
        <w:t>More generally, there is disagreement among studies from abroad on whether inheritances are mostly consumed directly (via increased spending on goods and services) or indirectly (via reduced labour income) (box 2.4).</w:t>
      </w:r>
    </w:p>
    <w:p w14:paraId="31BC11F4"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63BD959B" w14:textId="77777777" w:rsidTr="001625EC">
        <w:trPr>
          <w:tblHeader/>
        </w:trPr>
        <w:tc>
          <w:tcPr>
            <w:tcW w:w="9638" w:type="dxa"/>
            <w:tcMar>
              <w:top w:w="170" w:type="dxa"/>
              <w:left w:w="170" w:type="dxa"/>
              <w:bottom w:w="113" w:type="dxa"/>
              <w:right w:w="170" w:type="dxa"/>
            </w:tcMar>
            <w:hideMark/>
          </w:tcPr>
          <w:p w14:paraId="17098846" w14:textId="448EE4C4"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4</w:t>
            </w:r>
            <w:r w:rsidR="00B2270C">
              <w:rPr>
                <w:noProof/>
              </w:rPr>
              <w:fldChar w:fldCharType="end"/>
            </w:r>
            <w:r>
              <w:t xml:space="preserve"> – Inheritances are consumed both directly and indirectly</w:t>
            </w:r>
          </w:p>
        </w:tc>
      </w:tr>
      <w:tr w:rsidR="006E0ED6" w14:paraId="469C6F31" w14:textId="77777777" w:rsidTr="001625EC">
        <w:tc>
          <w:tcPr>
            <w:tcW w:w="9638" w:type="dxa"/>
            <w:tcMar>
              <w:top w:w="28" w:type="dxa"/>
              <w:left w:w="170" w:type="dxa"/>
              <w:bottom w:w="170" w:type="dxa"/>
              <w:right w:w="170" w:type="dxa"/>
            </w:tcMar>
            <w:hideMark/>
          </w:tcPr>
          <w:p w14:paraId="7B2153A4" w14:textId="77777777" w:rsidR="006E0ED6" w:rsidRDefault="006E0ED6" w:rsidP="001625EC">
            <w:pPr>
              <w:pStyle w:val="BodyText"/>
            </w:pPr>
            <w:r>
              <w:t>Whether inheritances are mostly consumed directly (via increased spending on goods and services) or indirectly (via reduced income) is an open question.</w:t>
            </w:r>
          </w:p>
          <w:p w14:paraId="4892AFD7" w14:textId="2F910812" w:rsidR="006E0ED6" w:rsidRDefault="006E0ED6" w:rsidP="001625EC">
            <w:pPr>
              <w:pStyle w:val="BodyText"/>
            </w:pPr>
            <w:r>
              <w:t>The only study to fully address this issue is Nekoei and Seim </w:t>
            </w:r>
            <w:r>
              <w:fldChar w:fldCharType="begin"/>
            </w:r>
            <w:r w:rsidR="0047772E">
              <w:instrText xml:space="preserve"> ADDIN ZOTERO_ITEM CSL_CITATION {"citationID":"3dTRu4ND","properties":{"formattedCitation":"(2019, p.\\uc0\\u160{}1)","plainCitation":"(2019, p. 1)","noteIndex":0},"citationItems":[{"id":1593,"uris":["http://zotero.org/groups/2714158/items/87CG2KPS"],"uri":["http://zotero.org/groups/2714158/items/87CG2KPS"],"itemData":{"id":1593,"type":"report","number":"Discussion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1","suppress-author":true}],"schema":"https://github.com/citation-style-language/schema/raw/master/csl-citation.json"} </w:instrText>
            </w:r>
            <w:r>
              <w:fldChar w:fldCharType="separate"/>
            </w:r>
            <w:r w:rsidRPr="00A84577">
              <w:rPr>
                <w:rFonts w:cs="Arial"/>
                <w:szCs w:val="24"/>
              </w:rPr>
              <w:t>(2019, p. 1)</w:t>
            </w:r>
            <w:r>
              <w:fldChar w:fldCharType="end"/>
            </w:r>
            <w:r>
              <w:t>, which found that increased consumption explained 70–90 per cent of inheritance depletion in Sweden, and labour supply reduction explained the remaining 10–30 per cent, with the relative contribution of increased consumption growing over time (and, consequently, the relative contribution of labour supply reduction declining over time). In the year following inheritance receipt, this was equivalent to a decrease in annual labour income of about $0.03 for each dollar of inheritance received.</w:t>
            </w:r>
          </w:p>
          <w:p w14:paraId="3E70AF49" w14:textId="1867C896" w:rsidR="006E0ED6" w:rsidRDefault="006E0ED6" w:rsidP="001625EC">
            <w:pPr>
              <w:pStyle w:val="BodyText"/>
            </w:pPr>
            <w:r>
              <w:t xml:space="preserve">However, </w:t>
            </w:r>
            <w:r w:rsidRPr="006D58B7">
              <w:rPr>
                <w:szCs w:val="24"/>
              </w:rPr>
              <w:t>Elinder, Erixson and Ohlsson</w:t>
            </w:r>
            <w:r>
              <w:t> </w:t>
            </w:r>
            <w:r>
              <w:fldChar w:fldCharType="begin"/>
            </w:r>
            <w:r w:rsidR="0047772E">
              <w:instrText xml:space="preserve"> ADDIN ZOTERO_ITEM CSL_CITATION {"citationID":"yILi3yNe","properties":{"formattedCitation":"(2012, p.\\uc0\\u160{}3)","plainCitation":"(2012, p. 3)","noteIndex":0},"citationItems":[{"id":1674,"uris":["http://zotero.org/groups/2714158/items/RML2X8WB"],"uri":["http://zotero.org/groups/2714158/items/RML2X8WB"],"itemData":{"id":1674,"type":"article-journal","container-title":"The BE Journal of Economic Analysis &amp; Policy","issue":"1","page":"1-35","source":"Google Scholar","title":"The impact of inheritances on heirs' labor and capital income","volume":"12","author":[{"family":"Elinder","given":"Mikael"},{"family":"Erixson","given":"Oscar"},{"family":"Ohlsson","given":"Henry"}],"issued":{"date-parts":[["2012"]]}},"locator":"3","suppress-author":true}],"schema":"https://github.com/citation-style-language/schema/raw/master/csl-citation.json"} </w:instrText>
            </w:r>
            <w:r>
              <w:fldChar w:fldCharType="separate"/>
            </w:r>
            <w:r w:rsidRPr="00A84577">
              <w:rPr>
                <w:rFonts w:cs="Arial"/>
                <w:szCs w:val="24"/>
              </w:rPr>
              <w:t>(2012, p. 3)</w:t>
            </w:r>
            <w:r>
              <w:fldChar w:fldCharType="end"/>
            </w:r>
            <w:r>
              <w:t xml:space="preserve"> found that, on average, annual labour income following receipt of an inheritance in Sweden decreased by $0.04 to $0.09 for each dollar of inheritance received in the four years following inheritance receipt. At the upper end of these estimates, decreases to labour supply would be sufficient to explain the majority of the direct and indirect consumption of inheritances documented by Nekoei and Seim </w:t>
            </w:r>
            <w:r>
              <w:fldChar w:fldCharType="begin"/>
            </w:r>
            <w:r w:rsidR="0047772E">
              <w:instrText xml:space="preserve"> ADDIN ZOTERO_ITEM CSL_CITATION {"citationID":"UbxSTs49","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fldChar w:fldCharType="separate"/>
            </w:r>
            <w:r w:rsidRPr="005A612D">
              <w:t>(2019)</w:t>
            </w:r>
            <w:r>
              <w:fldChar w:fldCharType="end"/>
            </w:r>
            <w:r>
              <w:t>.</w:t>
            </w:r>
          </w:p>
          <w:p w14:paraId="040157BE" w14:textId="77777777" w:rsidR="006E0ED6" w:rsidRDefault="006E0ED6" w:rsidP="001625EC">
            <w:pPr>
              <w:pStyle w:val="BodyText"/>
            </w:pPr>
            <w:r>
              <w:t>Studies of income and wealth shocks unrelated to inheritances lend support to the view that inheritances are mostly consumed directly.</w:t>
            </w:r>
          </w:p>
          <w:p w14:paraId="428FCDCB" w14:textId="4CBB0CA5" w:rsidR="006E0ED6" w:rsidRDefault="006E0ED6" w:rsidP="001625EC">
            <w:pPr>
              <w:pStyle w:val="ListBullet"/>
            </w:pPr>
            <w:r>
              <w:t xml:space="preserve">Other studies of wealth shocks have typically found that annual labour income decreases by about $0.01–0.02 for each dollar of additional wealth </w:t>
            </w:r>
            <w:r>
              <w:fldChar w:fldCharType="begin"/>
            </w:r>
            <w:r w:rsidR="0047772E">
              <w:instrText xml:space="preserve"> ADDIN ZOTERO_ITEM CSL_CITATION {"citationID":"puUK1t2U","properties":{"formattedCitation":"(summarised by Elinder, Erixson and Ohlsson\\uc0\\u160{}2012, p.\\uc0\\u160{}3)","plainCitation":"(summarised by Elinder, Erixson and Ohlsson 2012, p. 3)","noteIndex":0},"citationItems":[{"id":1674,"uris":["http://zotero.org/groups/2714158/items/RML2X8WB"],"uri":["http://zotero.org/groups/2714158/items/RML2X8WB"],"itemData":{"id":1674,"type":"article-journal","container-title":"The BE Journal of Economic Analysis &amp; Policy","issue":"1","page":"1-35","source":"Google Scholar","title":"The impact of inheritances on heirs' labor and capital income","volume":"12","author":[{"family":"Elinder","given":"Mikael"},{"family":"Erixson","given":"Oscar"},{"family":"Ohlsson","given":"Henry"}],"issued":{"date-parts":[["2012"]]}},"locator":"3","prefix":"summarised by"}],"schema":"https://github.com/citation-style-language/schema/raw/master/csl-citation.json"} </w:instrText>
            </w:r>
            <w:r>
              <w:fldChar w:fldCharType="separate"/>
            </w:r>
            <w:r w:rsidRPr="00F92765">
              <w:rPr>
                <w:rFonts w:cs="Arial"/>
                <w:szCs w:val="24"/>
              </w:rPr>
              <w:t>(summarised by Elinder, Erixson and Ohlsson 2012, p. 3)</w:t>
            </w:r>
            <w:r>
              <w:fldChar w:fldCharType="end"/>
            </w:r>
            <w:r>
              <w:t>. These magnitudes are more consistent with the findings of Nekoei and Seim </w:t>
            </w:r>
            <w:r>
              <w:fldChar w:fldCharType="begin"/>
            </w:r>
            <w:r w:rsidR="0047772E">
              <w:instrText xml:space="preserve"> ADDIN ZOTERO_ITEM CSL_CITATION {"citationID":"CtU2GMUg","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fldChar w:fldCharType="separate"/>
            </w:r>
            <w:r w:rsidRPr="005A612D">
              <w:t>(2019)</w:t>
            </w:r>
            <w:r>
              <w:fldChar w:fldCharType="end"/>
            </w:r>
            <w:r>
              <w:t xml:space="preserve"> than those of </w:t>
            </w:r>
            <w:r w:rsidRPr="006D58B7">
              <w:rPr>
                <w:szCs w:val="24"/>
              </w:rPr>
              <w:t>Elinder, Erixson and Ohlsson</w:t>
            </w:r>
            <w:r>
              <w:t> </w:t>
            </w:r>
            <w:r>
              <w:fldChar w:fldCharType="begin"/>
            </w:r>
            <w:r w:rsidR="0047772E">
              <w:instrText xml:space="preserve"> ADDIN ZOTERO_ITEM CSL_CITATION {"citationID":"ubTeo3Ti","properties":{"formattedCitation":"(2012)","plainCitation":"(2012)","noteIndex":0},"citationItems":[{"id":1674,"uris":["http://zotero.org/groups/2714158/items/RML2X8WB"],"uri":["http://zotero.org/groups/2714158/items/RML2X8WB"],"itemData":{"id":1674,"type":"article-journal","container-title":"The BE Journal of Economic Analysis &amp; Policy","issue":"1","page":"1-35","source":"Google Scholar","title":"The impact of inheritances on heirs' labor and capital income","volume":"12","author":[{"family":"Elinder","given":"Mikael"},{"family":"Erixson","given":"Oscar"},{"family":"Ohlsson","given":"Henry"}],"issued":{"date-parts":[["2012"]]}},"suppress-author":true}],"schema":"https://github.com/citation-style-language/schema/raw/master/csl-citation.json"} </w:instrText>
            </w:r>
            <w:r>
              <w:fldChar w:fldCharType="separate"/>
            </w:r>
            <w:r w:rsidRPr="00421661">
              <w:rPr>
                <w:rFonts w:cs="Arial"/>
              </w:rPr>
              <w:t>(2012)</w:t>
            </w:r>
            <w:r>
              <w:fldChar w:fldCharType="end"/>
            </w:r>
            <w:r>
              <w:t>.</w:t>
            </w:r>
          </w:p>
          <w:p w14:paraId="21D6C050" w14:textId="321AF3E8" w:rsidR="006E0ED6" w:rsidRDefault="006E0ED6" w:rsidP="001625EC">
            <w:pPr>
              <w:pStyle w:val="ListBullet"/>
            </w:pPr>
            <w:r>
              <w:t>The median estimate among 30 male labour supply studies surveyed by Pencavel </w:t>
            </w:r>
            <w:r>
              <w:fldChar w:fldCharType="begin"/>
            </w:r>
            <w:r w:rsidR="0047772E">
              <w:instrText xml:space="preserve"> ADDIN ZOTERO_ITEM CSL_CITATION {"citationID":"mtZoX9Ns","properties":{"formattedCitation":"(1986, pp.\\uc0\\u160{}69, 73, 80)","plainCitation":"(1986, pp. 69, 73, 80)","noteIndex":0},"citationItems":[{"id":3035,"uris":["http://zotero.org/groups/2714158/items/NH9EPMVN"],"uri":["http://zotero.org/groups/2714158/items/NH9EPMVN"],"itemData":{"id":3035,"type":"chapter","container-title":"Handbook of Labor Economics","page":"3–102","source":"Google Scholar","title":"Labor supply of men: a survey","volume":"1","author":[{"family":"Pencavel","given":"John"}],"issued":{"date-parts":[["1986"]]}},"locator":"69, 73, 80","suppress-author":true}],"schema":"https://github.com/citation-style-language/schema/raw/master/csl-citation.json"} </w:instrText>
            </w:r>
            <w:r>
              <w:fldChar w:fldCharType="separate"/>
            </w:r>
            <w:r w:rsidRPr="00A84577">
              <w:rPr>
                <w:rFonts w:cs="Arial"/>
                <w:szCs w:val="24"/>
              </w:rPr>
              <w:t>(1986, pp. 69, 73, 80)</w:t>
            </w:r>
            <w:r>
              <w:fldChar w:fldCharType="end"/>
            </w:r>
            <w:r>
              <w:t xml:space="preserve"> is that each dollar of ‘unearned income’ (of which inheritances are a form) reduced earned income by $0.15, implying that the remaining $0.85 was consumed directly. Note that the models surveyed did not incorporate lifecycle dynamics, hence all unearned income was assumed to be consumed either directly or indirectly.</w:t>
            </w:r>
          </w:p>
        </w:tc>
      </w:tr>
      <w:tr w:rsidR="006E0ED6" w14:paraId="2DC15932" w14:textId="77777777" w:rsidTr="001625EC">
        <w:tc>
          <w:tcPr>
            <w:tcW w:w="9638" w:type="dxa"/>
            <w:shd w:val="clear" w:color="auto" w:fill="auto"/>
            <w:tcMar>
              <w:top w:w="0" w:type="dxa"/>
              <w:left w:w="170" w:type="dxa"/>
              <w:bottom w:w="0" w:type="dxa"/>
              <w:right w:w="170" w:type="dxa"/>
            </w:tcMar>
          </w:tcPr>
          <w:p w14:paraId="7A627221" w14:textId="77777777" w:rsidR="006E0ED6" w:rsidRDefault="006E0ED6" w:rsidP="001625EC">
            <w:pPr>
              <w:pStyle w:val="BodyText"/>
              <w:spacing w:before="0" w:after="0" w:line="80" w:lineRule="atLeast"/>
            </w:pPr>
          </w:p>
        </w:tc>
      </w:tr>
    </w:tbl>
    <w:p w14:paraId="6D879AB8" w14:textId="77777777" w:rsidR="006E0ED6" w:rsidRDefault="006E0ED6" w:rsidP="006E0ED6">
      <w:pPr>
        <w:pStyle w:val="Heading3"/>
      </w:pPr>
      <w:r>
        <w:t>It is not clear how net inheritance consumption/investment varies across the initial wealth distribution</w:t>
      </w:r>
    </w:p>
    <w:p w14:paraId="06477098" w14:textId="77777777" w:rsidR="006E0ED6" w:rsidRDefault="006E0ED6" w:rsidP="006E0ED6">
      <w:pPr>
        <w:pStyle w:val="BodyText"/>
        <w:rPr>
          <w:iCs/>
        </w:rPr>
      </w:pPr>
      <w:r>
        <w:t>The longer</w:t>
      </w:r>
      <w:r>
        <w:noBreakHyphen/>
        <w:t>term effect of inheritances on wealth inequality depends on whether, and how, net inheritance consumption/investment varies across the initial wealth distribution.</w:t>
      </w:r>
    </w:p>
    <w:p w14:paraId="7DB7327C" w14:textId="77777777" w:rsidR="006E0ED6" w:rsidRDefault="006E0ED6" w:rsidP="006E0ED6">
      <w:pPr>
        <w:pStyle w:val="BodyText"/>
        <w:rPr>
          <w:iCs/>
        </w:rPr>
      </w:pPr>
      <w:r>
        <w:t xml:space="preserve">Unfortunately, the nature of these differences is difficult to elicit with the available data. Our best estimate is that, on average, each $1 of inheritance increases household wealth by about $1.55 both </w:t>
      </w:r>
      <w:r>
        <w:rPr>
          <w:iCs/>
        </w:rPr>
        <w:t xml:space="preserve">0–3 years later and 4–7 years later among the initially poorer 50 per cent of households and by about $1.10 </w:t>
      </w:r>
      <w:r>
        <w:t xml:space="preserve">both </w:t>
      </w:r>
      <w:r>
        <w:rPr>
          <w:iCs/>
        </w:rPr>
        <w:t xml:space="preserve">0–3 years later and 4–7 years later among the initially wealthier 50 per cent of households (figure 2.9; nominal terms). But, as indicated by the confidence intervals, the uncertainty surrounding these estimates is substantial. The </w:t>
      </w:r>
      <w:r>
        <w:rPr>
          <w:iCs/>
        </w:rPr>
        <w:lastRenderedPageBreak/>
        <w:t xml:space="preserve">finding is not sufficiently robust to reject the possibility that each </w:t>
      </w:r>
      <w:r>
        <w:t xml:space="preserve">$1 of inheritance actually increases household wealth by more among wealthier households than among poorer households. </w:t>
      </w:r>
    </w:p>
    <w:p w14:paraId="7818B2E2" w14:textId="15630D7C"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9</w:t>
      </w:r>
      <w:r w:rsidR="00B2270C">
        <w:rPr>
          <w:noProof/>
        </w:rPr>
        <w:fldChar w:fldCharType="end"/>
      </w:r>
      <w:r>
        <w:rPr>
          <w:noProof/>
        </w:rPr>
        <w:t xml:space="preserve"> </w:t>
      </w:r>
      <w:r>
        <w:t>– Poorer households appear to be ‘net investors’ to a greater extent than wealthier households, but uncertainty abounds</w:t>
      </w:r>
      <w:r w:rsidRPr="00066CF5">
        <w:rPr>
          <w:vertAlign w:val="superscript"/>
        </w:rPr>
        <w:t>a,b</w:t>
      </w:r>
    </w:p>
    <w:p w14:paraId="66938169" w14:textId="77777777" w:rsidR="006E0ED6" w:rsidRPr="004C58DE" w:rsidRDefault="006E0ED6" w:rsidP="006E0ED6">
      <w:pPr>
        <w:pStyle w:val="FigureTableSubheading"/>
        <w:keepLines/>
        <w:rPr>
          <w:sz w:val="18"/>
          <w:szCs w:val="16"/>
        </w:rPr>
      </w:pPr>
      <w:r w:rsidRPr="004C58DE">
        <w:rPr>
          <w:sz w:val="18"/>
          <w:szCs w:val="16"/>
        </w:rPr>
        <w:t>Modelled average effect of $1 of inheritance on household wealth, by halves of the initial wealth distribution</w:t>
      </w:r>
    </w:p>
    <w:p w14:paraId="43D875FB" w14:textId="2FF90DEE" w:rsidR="006E0ED6" w:rsidRPr="005550A0" w:rsidRDefault="00377C6F" w:rsidP="006E0ED6">
      <w:pPr>
        <w:pStyle w:val="BodyText"/>
      </w:pPr>
      <w:r w:rsidRPr="00377C6F">
        <w:rPr>
          <w:noProof/>
        </w:rPr>
        <w:drawing>
          <wp:inline distT="0" distB="0" distL="0" distR="0" wp14:anchorId="132C5224" wp14:editId="0B85F339">
            <wp:extent cx="6120130" cy="2877185"/>
            <wp:effectExtent l="0" t="0" r="0" b="0"/>
            <wp:docPr id="132" name="Picture 132" descr="Figure 2.9. This chart shows the modelled average effect of $1 of inheritance on recipients household wealth 0-3 years after inheritances were received and 4-7 years after inheritances were received, by poorer and wealthier household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Figure 2.9. This chart shows the modelled average effect of $1 of inheritance on recipients household wealth 0-3 years after inheritances were received and 4-7 years after inheritances were received, by poorer and wealthier households. More details are contained in the text surrounding this figur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6232FA0B" w14:textId="77777777" w:rsidR="006E0ED6" w:rsidRDefault="006E0ED6" w:rsidP="006E0ED6">
      <w:pPr>
        <w:pStyle w:val="Note"/>
        <w:keepLines/>
      </w:pPr>
      <w:r w:rsidRPr="00180E66">
        <w:rPr>
          <w:b/>
          <w:bCs/>
        </w:rPr>
        <w:t>a.</w:t>
      </w:r>
      <w:r>
        <w:t xml:space="preserve"> </w:t>
      </w:r>
      <w:r w:rsidRPr="008D5AA3">
        <w:t xml:space="preserve">Error bars represent 95 per cent confidence intervals. </w:t>
      </w:r>
      <w:r w:rsidRPr="008D5AA3">
        <w:rPr>
          <w:b/>
        </w:rPr>
        <w:t>b</w:t>
      </w:r>
      <w:r>
        <w:rPr>
          <w:b/>
        </w:rPr>
        <w:t>.</w:t>
      </w:r>
      <w:r w:rsidRPr="008D5AA3">
        <w:t xml:space="preserve"> ‘Poorer’ and ‘wealthier’ households are defined by halves of the initial wealth distribution.</w:t>
      </w:r>
    </w:p>
    <w:p w14:paraId="58AF6C5C" w14:textId="77777777" w:rsidR="006E0ED6" w:rsidRDefault="006E0ED6" w:rsidP="006E0ED6">
      <w:pPr>
        <w:pStyle w:val="Source"/>
      </w:pPr>
      <w:r w:rsidRPr="00696447">
        <w:t xml:space="preserve">Source: </w:t>
      </w:r>
      <w:r>
        <w:t>Productivity Commission estimates based on HILDA Restricted Release 19</w:t>
      </w:r>
      <w:r w:rsidRPr="00696447">
        <w:t>.</w:t>
      </w:r>
    </w:p>
    <w:p w14:paraId="5CDCE2A2" w14:textId="1676C06B" w:rsidR="006E0ED6" w:rsidRDefault="00334ED9" w:rsidP="006E0ED6">
      <w:pPr>
        <w:pStyle w:val="BodyText"/>
      </w:pPr>
      <w:r>
        <w:t>A</w:t>
      </w:r>
      <w:r w:rsidR="006E0ED6">
        <w:t xml:space="preserve">ppendix B shows that dividing the distribution of initial wealth into thirds or fifths </w:t>
      </w:r>
      <w:r w:rsidR="002761BA">
        <w:t>and</w:t>
      </w:r>
      <w:r w:rsidR="003C5FC6">
        <w:t>/or</w:t>
      </w:r>
      <w:r w:rsidR="002761BA">
        <w:t xml:space="preserve"> </w:t>
      </w:r>
      <w:r w:rsidR="003C5FC6">
        <w:t>using ‘lifecycle</w:t>
      </w:r>
      <w:r w:rsidR="003C5FC6">
        <w:noBreakHyphen/>
        <w:t>adjusted’ measures of initial wealth (recall box 2.3)</w:t>
      </w:r>
      <w:r w:rsidR="006E0ED6">
        <w:t xml:space="preserve"> does not clarify matters</w:t>
      </w:r>
      <w:r w:rsidR="003C5FC6">
        <w:t xml:space="preserve"> — the patterns that emerge are not robust.</w:t>
      </w:r>
    </w:p>
    <w:p w14:paraId="20EF3932" w14:textId="77777777" w:rsidR="006E0ED6" w:rsidRDefault="006E0ED6" w:rsidP="006E0ED6">
      <w:pPr>
        <w:pStyle w:val="BodyText"/>
      </w:pPr>
      <w:r>
        <w:t xml:space="preserve">Other studies suggest that, if there is a difference in inheritance consumption/investment among wealthier and poorer people, it is that </w:t>
      </w:r>
      <w:r>
        <w:rPr>
          <w:iCs/>
        </w:rPr>
        <w:t xml:space="preserve">each </w:t>
      </w:r>
      <w:r>
        <w:t>$1 of inheritance increases household wealth by more among wealthier households than among poorer households.</w:t>
      </w:r>
    </w:p>
    <w:p w14:paraId="1471EC90" w14:textId="77777777" w:rsidR="006E0ED6" w:rsidRDefault="006E0ED6" w:rsidP="006E0ED6">
      <w:pPr>
        <w:pStyle w:val="BodyText"/>
      </w:pPr>
      <w:r>
        <w:t>Two studies examined the issue directly.</w:t>
      </w:r>
    </w:p>
    <w:p w14:paraId="718D0908" w14:textId="1E739CA7" w:rsidR="006E0ED6" w:rsidRPr="00BB7330" w:rsidRDefault="006E0ED6" w:rsidP="006E0ED6">
      <w:pPr>
        <w:pStyle w:val="ListBullet"/>
      </w:pPr>
      <w:r w:rsidRPr="00BB7330">
        <w:t>Nekoei and Seim </w:t>
      </w:r>
      <w:r w:rsidRPr="00BB7330">
        <w:fldChar w:fldCharType="begin"/>
      </w:r>
      <w:r w:rsidR="0047772E">
        <w:instrText xml:space="preserve"> ADDIN ZOTERO_ITEM CSL_CITATION {"citationID":"aBVSo5fk","properties":{"formattedCitation":"(2019, pp.\\uc0\\u160{}21\\uc0\\u8211{}23)","plainCitation":"(2019, pp. 21–23)","noteIndex":0},"citationItems":[{"id":1593,"uris":["http://zotero.org/groups/2714158/items/87CG2KPS"],"uri":["http://zotero.org/groups/2714158/items/87CG2KPS"],"itemData":{"id":1593,"type":"report","number":"Discussion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21-23","suppress-author":true}],"schema":"https://github.com/citation-style-language/schema/raw/master/csl-citation.json"} </w:instrText>
      </w:r>
      <w:r w:rsidRPr="00BB7330">
        <w:fldChar w:fldCharType="separate"/>
      </w:r>
      <w:r w:rsidRPr="00BB7330">
        <w:t>(2019, pp. 21–23)</w:t>
      </w:r>
      <w:r w:rsidRPr="00BB7330">
        <w:fldChar w:fldCharType="end"/>
      </w:r>
      <w:r w:rsidRPr="00BB7330">
        <w:t xml:space="preserve"> found that recipients in the top 10 per cent of the wealth distribution prior to receiving their inheritances depleted their inheritances more slowly than those in the bottom 90 per cent of the distribution. This study drew on a large dataset (Swedish administrative records), which made it possible to examine differences at the extremes of the wealth distribution. This sort of analysis is not possible with the HILDA dataset.</w:t>
      </w:r>
    </w:p>
    <w:p w14:paraId="4AA06500" w14:textId="0907EA6B" w:rsidR="006E0ED6" w:rsidRPr="00BB7330" w:rsidRDefault="006E0ED6" w:rsidP="006E0ED6">
      <w:pPr>
        <w:pStyle w:val="ListBullet"/>
      </w:pPr>
      <w:r w:rsidRPr="00BB7330">
        <w:t>Karagiannaki </w:t>
      </w:r>
      <w:r w:rsidRPr="00BB7330">
        <w:fldChar w:fldCharType="begin"/>
      </w:r>
      <w:r w:rsidR="0047772E">
        <w:instrText xml:space="preserve"> ADDIN ZOTERO_ITEM CSL_CITATION {"citationID":"Dhty0wJN","properties":{"formattedCitation":"(2017, p.\\uc0\\u160{}402)","plainCitation":"(2017, p. 402)","noteIndex":0},"citationItems":[{"id":1568,"uris":["http://zotero.org/groups/2714158/items/BKN7LA8J"],"uri":["http://zotero.org/groups/2714158/items/BKN7LA8J"],"itemData":{"id":1568,"type":"article-journal","container-title":"Review of Income and Wealth","issue":"2","page":"394–408","source":"Google Scholar","title":"The impact of inheritance on the distribution of wealth: Evidence from Great Britain","title-short":"The impact of inheritance on the distribution of wealth","volume":"63","author":[{"family":"Karagiannaki","given":"Eleni"}],"issued":{"date-parts":[["2017"]]}},"locator":"402","suppress-author":true}],"schema":"https://github.com/citation-style-language/schema/raw/master/csl-citation.json"} </w:instrText>
      </w:r>
      <w:r w:rsidRPr="00BB7330">
        <w:fldChar w:fldCharType="separate"/>
      </w:r>
      <w:r w:rsidRPr="00BB7330">
        <w:t>(2017, p. 402)</w:t>
      </w:r>
      <w:r w:rsidRPr="00BB7330">
        <w:fldChar w:fldCharType="end"/>
      </w:r>
      <w:r w:rsidRPr="00BB7330">
        <w:t xml:space="preserve"> did not find sufficient evidence to conclude that there were systematic differences in inheritance depletion across the distribution of initial wealth in Britain. Like this study, her study drew on a smaller dataset drawn from household surveys.</w:t>
      </w:r>
    </w:p>
    <w:p w14:paraId="064F9CD3" w14:textId="0E4AF62D" w:rsidR="006E0ED6" w:rsidRPr="00BB7330" w:rsidRDefault="006E0ED6" w:rsidP="006E0ED6">
      <w:pPr>
        <w:pStyle w:val="BodyText"/>
        <w:rPr>
          <w:spacing w:val="-2"/>
        </w:rPr>
      </w:pPr>
      <w:r w:rsidRPr="00BB7330">
        <w:rPr>
          <w:spacing w:val="-2"/>
        </w:rPr>
        <w:t xml:space="preserve">Evidence from responses to lottery winnings suggests that initially wealthier inheritance recipients would directly consume (via increased spending on goods and services) their inheritances more slowly than poorer recipients. A Norwegian study found that, within a year, lottery winners with higher initial wealth directly </w:t>
      </w:r>
      <w:r w:rsidRPr="00BB7330">
        <w:rPr>
          <w:spacing w:val="-2"/>
        </w:rPr>
        <w:lastRenderedPageBreak/>
        <w:t xml:space="preserve">consumed smaller shares of their winnings than lottery winners with lower initial wealth </w:t>
      </w:r>
      <w:r w:rsidRPr="00BB7330">
        <w:rPr>
          <w:spacing w:val="-2"/>
        </w:rPr>
        <w:fldChar w:fldCharType="begin"/>
      </w:r>
      <w:r w:rsidR="0047772E">
        <w:rPr>
          <w:spacing w:val="-2"/>
        </w:rPr>
        <w:instrText xml:space="preserve"> ADDIN ZOTERO_ITEM CSL_CITATION {"citationID":"1QZwnJlx","properties":{"formattedCitation":"(Fagereng, Holm and Natvik\\uc0\\u160{}2018, p.\\uc0\\u160{}24)","plainCitation":"(Fagereng, Holm and Natvik 2018, p. 24)","noteIndex":0},"citationItems":[{"id":3031,"uris":["http://zotero.org/groups/2714158/items/7YGV92A4"],"uri":["http://zotero.org/groups/2714158/items/7YGV92A4"],"itemData":{"id":3031,"type":"report","genre":"CESifo Working Paper","number":"No. 7134","source":"Google Scholar","title":"MPC Heterogeneity and Household Balance Sheets","author":[{"family":"Fagereng","given":"Andreas"},{"family":"Holm","given":"Martin Blomhoff"},{"family":"Natvik","given":"Gisle James James"}],"issued":{"date-parts":[["2018"]]}},"locator":"24"}],"schema":"https://github.com/citation-style-language/schema/raw/master/csl-citation.json"} </w:instrText>
      </w:r>
      <w:r w:rsidRPr="00BB7330">
        <w:rPr>
          <w:spacing w:val="-2"/>
        </w:rPr>
        <w:fldChar w:fldCharType="separate"/>
      </w:r>
      <w:r w:rsidRPr="00BB7330">
        <w:rPr>
          <w:spacing w:val="-2"/>
          <w:szCs w:val="24"/>
        </w:rPr>
        <w:t>(Fagereng, Holm and Natvik 2018, p. 24)</w:t>
      </w:r>
      <w:r w:rsidRPr="00BB7330">
        <w:rPr>
          <w:spacing w:val="-2"/>
        </w:rPr>
        <w:fldChar w:fldCharType="end"/>
      </w:r>
      <w:r w:rsidRPr="00BB7330">
        <w:rPr>
          <w:spacing w:val="-2"/>
        </w:rPr>
        <w:t xml:space="preserve">. To the extent that inheritances lead to similar behavioural responses, this finding suggests that initially wealthier inheritance recipients ought to directly consume their inheritances more slowly than poorer recipients. A second finding about lottery winners strengthens the case further — </w:t>
      </w:r>
      <w:r w:rsidRPr="00BB7330">
        <w:rPr>
          <w:spacing w:val="-2"/>
          <w:szCs w:val="24"/>
        </w:rPr>
        <w:t>Fagereng, Holm and Natvik</w:t>
      </w:r>
      <w:r w:rsidRPr="00BB7330">
        <w:rPr>
          <w:spacing w:val="-2"/>
        </w:rPr>
        <w:t> </w:t>
      </w:r>
      <w:r w:rsidRPr="00BB7330">
        <w:rPr>
          <w:spacing w:val="-2"/>
        </w:rPr>
        <w:fldChar w:fldCharType="begin"/>
      </w:r>
      <w:r w:rsidR="0047772E">
        <w:rPr>
          <w:spacing w:val="-2"/>
        </w:rPr>
        <w:instrText xml:space="preserve"> ADDIN ZOTERO_ITEM CSL_CITATION {"citationID":"BgatkTfg","properties":{"formattedCitation":"(2018, p.\\uc0\\u160{}24)","plainCitation":"(2018, p. 24)","noteIndex":0},"citationItems":[{"id":3031,"uris":["http://zotero.org/groups/2714158/items/7YGV92A4"],"uri":["http://zotero.org/groups/2714158/items/7YGV92A4"],"itemData":{"id":3031,"type":"report","genre":"CESifo Working Paper","number":"No. 7134","source":"Google Scholar","title":"MPC Heterogeneity and Household Balance Sheets","author":[{"family":"Fagereng","given":"Andreas"},{"family":"Holm","given":"Martin Blomhoff"},{"family":"Natvik","given":"Gisle James James"}],"issued":{"date-parts":[["2018"]]}},"locator":"24","suppress-author":true}],"schema":"https://github.com/citation-style-language/schema/raw/master/csl-citation.json"} </w:instrText>
      </w:r>
      <w:r w:rsidRPr="00BB7330">
        <w:rPr>
          <w:spacing w:val="-2"/>
        </w:rPr>
        <w:fldChar w:fldCharType="separate"/>
      </w:r>
      <w:r w:rsidRPr="00BB7330">
        <w:rPr>
          <w:spacing w:val="-2"/>
          <w:szCs w:val="24"/>
        </w:rPr>
        <w:t>(2018, p. 24)</w:t>
      </w:r>
      <w:r w:rsidRPr="00BB7330">
        <w:rPr>
          <w:spacing w:val="-2"/>
        </w:rPr>
        <w:fldChar w:fldCharType="end"/>
      </w:r>
      <w:r w:rsidRPr="00BB7330">
        <w:rPr>
          <w:spacing w:val="-2"/>
        </w:rPr>
        <w:t xml:space="preserve"> also found that larger lottery winnings were directly consumed more slowly than smaller lottery winnings (in proportional terms).</w:t>
      </w:r>
      <w:r w:rsidRPr="0059379B">
        <w:rPr>
          <w:rStyle w:val="FootnoteReference"/>
        </w:rPr>
        <w:footnoteReference w:id="34"/>
      </w:r>
      <w:r w:rsidRPr="00BB7330">
        <w:rPr>
          <w:spacing w:val="-2"/>
        </w:rPr>
        <w:t xml:space="preserve"> Recall that initially wealthier Australian inheritance recipients have tended to receive larger inheritances than poorer inheritance recipients (figure 2.1, panel b). Thus, it is probable that the findings of </w:t>
      </w:r>
      <w:r w:rsidRPr="00BB7330">
        <w:rPr>
          <w:spacing w:val="-2"/>
          <w:szCs w:val="24"/>
        </w:rPr>
        <w:t>Fagereng, Holm and Natvik</w:t>
      </w:r>
      <w:r w:rsidRPr="00BB7330">
        <w:rPr>
          <w:spacing w:val="-2"/>
        </w:rPr>
        <w:t> </w:t>
      </w:r>
      <w:r w:rsidRPr="00BB7330">
        <w:rPr>
          <w:spacing w:val="-2"/>
        </w:rPr>
        <w:fldChar w:fldCharType="begin"/>
      </w:r>
      <w:r w:rsidR="0047772E">
        <w:rPr>
          <w:spacing w:val="-2"/>
        </w:rPr>
        <w:instrText xml:space="preserve"> ADDIN ZOTERO_ITEM CSL_CITATION {"citationID":"HvT3AL3c","properties":{"formattedCitation":"(2018)","plainCitation":"(2018)","noteIndex":0},"citationItems":[{"id":3031,"uris":["http://zotero.org/groups/2714158/items/7YGV92A4"],"uri":["http://zotero.org/groups/2714158/items/7YGV92A4"],"itemData":{"id":3031,"type":"report","genre":"CESifo Working Paper","number":"No. 7134","source":"Google Scholar","title":"MPC Heterogeneity and Household Balance Sheets","author":[{"family":"Fagereng","given":"Andreas"},{"family":"Holm","given":"Martin Blomhoff"},{"family":"Natvik","given":"Gisle James James"}],"issued":{"date-parts":[["2018"]]}},"suppress-author":true}],"schema":"https://github.com/citation-style-language/schema/raw/master/csl-citation.json"} </w:instrText>
      </w:r>
      <w:r w:rsidRPr="00BB7330">
        <w:rPr>
          <w:spacing w:val="-2"/>
        </w:rPr>
        <w:fldChar w:fldCharType="separate"/>
      </w:r>
      <w:r w:rsidRPr="00BB7330">
        <w:rPr>
          <w:spacing w:val="-2"/>
        </w:rPr>
        <w:t>(2018)</w:t>
      </w:r>
      <w:r w:rsidRPr="00BB7330">
        <w:rPr>
          <w:spacing w:val="-2"/>
        </w:rPr>
        <w:fldChar w:fldCharType="end"/>
      </w:r>
      <w:r w:rsidRPr="00BB7330">
        <w:rPr>
          <w:spacing w:val="-2"/>
        </w:rPr>
        <w:t xml:space="preserve"> imply that </w:t>
      </w:r>
      <w:r w:rsidRPr="00BB7330">
        <w:rPr>
          <w:iCs/>
          <w:spacing w:val="-2"/>
        </w:rPr>
        <w:t xml:space="preserve">each </w:t>
      </w:r>
      <w:r w:rsidRPr="00BB7330">
        <w:rPr>
          <w:spacing w:val="-2"/>
        </w:rPr>
        <w:t>$1 of inheritance would have increased household wealth by more among wealthier households than among poorer households.</w:t>
      </w:r>
      <w:r w:rsidRPr="0059379B">
        <w:rPr>
          <w:rStyle w:val="FootnoteReference"/>
        </w:rPr>
        <w:footnoteReference w:id="35"/>
      </w:r>
    </w:p>
    <w:p w14:paraId="37400CBD" w14:textId="77777777" w:rsidR="006E0ED6" w:rsidRDefault="006E0ED6" w:rsidP="006E0ED6">
      <w:pPr>
        <w:pStyle w:val="Heading3"/>
      </w:pPr>
      <w:r>
        <w:t>The longer</w:t>
      </w:r>
      <w:r>
        <w:noBreakHyphen/>
        <w:t>term effects of inheritances on wealth inequality are most likely similar to the immediate</w:t>
      </w:r>
      <w:r>
        <w:noBreakHyphen/>
        <w:t>term effects</w:t>
      </w:r>
    </w:p>
    <w:p w14:paraId="2F359071" w14:textId="77777777" w:rsidR="006E0ED6" w:rsidRDefault="006E0ED6" w:rsidP="006E0ED6">
      <w:pPr>
        <w:pStyle w:val="BodyText"/>
      </w:pPr>
      <w:r>
        <w:t>The longer</w:t>
      </w:r>
      <w:r>
        <w:noBreakHyphen/>
        <w:t>term effects of inheritances on absolute and relative wealth inequality in Australia are uncertain. It is most likely that the longer</w:t>
      </w:r>
      <w:r>
        <w:noBreakHyphen/>
        <w:t xml:space="preserve">term effects of inheritances on wealth inequality mirror the </w:t>
      </w:r>
      <w:r w:rsidRPr="00593B25">
        <w:rPr>
          <w:i/>
          <w:iCs/>
        </w:rPr>
        <w:t>direction</w:t>
      </w:r>
      <w:r>
        <w:t xml:space="preserve"> of the immediate</w:t>
      </w:r>
      <w:r>
        <w:noBreakHyphen/>
        <w:t xml:space="preserve">term effects (increase to absolute wealth inequality, decrease to relative wealth inequality), but their </w:t>
      </w:r>
      <w:r w:rsidRPr="00593B25">
        <w:rPr>
          <w:i/>
          <w:iCs/>
        </w:rPr>
        <w:t>magnitude</w:t>
      </w:r>
      <w:r>
        <w:t xml:space="preserve"> is unclear. </w:t>
      </w:r>
    </w:p>
    <w:p w14:paraId="02C4E4C2" w14:textId="77777777" w:rsidR="00854C46" w:rsidRDefault="006E0ED6" w:rsidP="006E0ED6">
      <w:pPr>
        <w:pStyle w:val="BodyText"/>
        <w:rPr>
          <w:spacing w:val="-4"/>
        </w:rPr>
      </w:pPr>
      <w:r w:rsidRPr="00BB7330">
        <w:rPr>
          <w:spacing w:val="-4"/>
        </w:rPr>
        <w:t>On average, the resultant increases to wealth from inheritance were mostly sustained, in real terms, 4–7 years after receipt. If it were the case that this average effect genuinely did not vary across the initial wealth distribution, then the longer</w:t>
      </w:r>
      <w:r w:rsidRPr="00BB7330">
        <w:rPr>
          <w:spacing w:val="-4"/>
        </w:rPr>
        <w:noBreakHyphen/>
        <w:t>term effects would most likely mirror the immediate</w:t>
      </w:r>
      <w:r w:rsidRPr="00BB7330">
        <w:rPr>
          <w:spacing w:val="-4"/>
        </w:rPr>
        <w:noBreakHyphen/>
        <w:t>term effects in both direction and magnitude.</w:t>
      </w:r>
      <w:r w:rsidRPr="0059379B">
        <w:rPr>
          <w:rStyle w:val="FootnoteReference"/>
        </w:rPr>
        <w:footnoteReference w:id="36"/>
      </w:r>
      <w:r w:rsidRPr="00BB7330">
        <w:rPr>
          <w:spacing w:val="-4"/>
        </w:rPr>
        <w:t xml:space="preserve"> </w:t>
      </w:r>
    </w:p>
    <w:p w14:paraId="34F31A77" w14:textId="553F91B0" w:rsidR="006E0ED6" w:rsidRPr="00BB7330" w:rsidRDefault="006E0ED6" w:rsidP="006E0ED6">
      <w:pPr>
        <w:pStyle w:val="BodyText"/>
        <w:rPr>
          <w:spacing w:val="-4"/>
        </w:rPr>
      </w:pPr>
      <w:r w:rsidRPr="00BB7330">
        <w:rPr>
          <w:spacing w:val="-4"/>
        </w:rPr>
        <w:t>Our modelling did not find evidence that the effect systematically varied across the initial wealth distribution in either direction, although there is substantial uncertainty. In light of this, it would be unwise to make any claims about the magnitude of the longer</w:t>
      </w:r>
      <w:r w:rsidRPr="00BB7330">
        <w:rPr>
          <w:spacing w:val="-4"/>
        </w:rPr>
        <w:noBreakHyphen/>
        <w:t>term effect, but the direction of the longer</w:t>
      </w:r>
      <w:r w:rsidRPr="00BB7330">
        <w:rPr>
          <w:spacing w:val="-4"/>
        </w:rPr>
        <w:noBreakHyphen/>
        <w:t>term effect is less uncertain.</w:t>
      </w:r>
    </w:p>
    <w:p w14:paraId="6D4B11C8" w14:textId="17877AE3" w:rsidR="006E0ED6" w:rsidRDefault="006E0ED6" w:rsidP="006E0ED6">
      <w:pPr>
        <w:pStyle w:val="BodyText"/>
      </w:pPr>
      <w:r>
        <w:t>The findings for Australia contrast with findings from Sweden, the only other country for which longer</w:t>
      </w:r>
      <w:r>
        <w:noBreakHyphen/>
        <w:t>term effects of inheritances on wealth inequality have been investigated.</w:t>
      </w:r>
      <w:r w:rsidRPr="00521092">
        <w:rPr>
          <w:szCs w:val="24"/>
        </w:rPr>
        <w:t xml:space="preserve"> </w:t>
      </w:r>
      <w:r>
        <w:rPr>
          <w:szCs w:val="24"/>
        </w:rPr>
        <w:t>Nekoei and Seim </w:t>
      </w:r>
      <w:r>
        <w:rPr>
          <w:szCs w:val="24"/>
        </w:rPr>
        <w:fldChar w:fldCharType="begin"/>
      </w:r>
      <w:r w:rsidR="0047772E">
        <w:rPr>
          <w:szCs w:val="24"/>
        </w:rPr>
        <w:instrText xml:space="preserve"> ADDIN ZOTERO_ITEM CSL_CITATION {"citationID":"UariLPln","properties":{"formattedCitation":"(2019, p.\\uc0\\u160{}1)","plainCitation":"(2019, p. 1)","noteIndex":0},"citationItems":[{"id":1593,"uris":["http://zotero.org/groups/2714158/items/87CG2KPS"],"uri":["http://zotero.org/groups/2714158/items/87CG2KPS"],"itemData":{"id":1593,"type":"report","number":"Discussion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1","suppress-author":true}],"schema":"https://github.com/citation-style-language/schema/raw/master/csl-citation.json"} </w:instrText>
      </w:r>
      <w:r>
        <w:rPr>
          <w:szCs w:val="24"/>
        </w:rPr>
        <w:fldChar w:fldCharType="separate"/>
      </w:r>
      <w:r w:rsidRPr="00630D91">
        <w:rPr>
          <w:szCs w:val="24"/>
        </w:rPr>
        <w:t>(2019, p. 1)</w:t>
      </w:r>
      <w:r>
        <w:rPr>
          <w:szCs w:val="24"/>
        </w:rPr>
        <w:fldChar w:fldCharType="end"/>
      </w:r>
      <w:r>
        <w:rPr>
          <w:szCs w:val="24"/>
        </w:rPr>
        <w:t xml:space="preserve"> found that the </w:t>
      </w:r>
      <w:r>
        <w:t xml:space="preserve">reduction in relative wealth inequality due to inheritances reversed within a decade of receipt, so that inheritances actually increased relative wealth inequality in the longer term (driven primarily by the ability of wealthier inheritors to </w:t>
      </w:r>
      <w:r w:rsidRPr="00470B80">
        <w:t>obtain a higher return on their inherited wealth</w:t>
      </w:r>
      <w:r>
        <w:t xml:space="preserve">). Similarly, </w:t>
      </w:r>
      <w:r w:rsidRPr="00F20EC4">
        <w:rPr>
          <w:szCs w:val="24"/>
        </w:rPr>
        <w:t>Elinder, Erixson and Waldenström</w:t>
      </w:r>
      <w:r>
        <w:t> </w:t>
      </w:r>
      <w:r>
        <w:fldChar w:fldCharType="begin"/>
      </w:r>
      <w:r w:rsidR="0047772E">
        <w:instrText xml:space="preserve"> ADDIN ZOTERO_ITEM CSL_CITATION {"citationID":"oKKaOELl","properties":{"formattedCitation":"(2018, pp.\\uc0\\u160{}25\\uc0\\u8211{}26)","plainCitation":"(2018, pp. 25–26)","noteIndex":0},"citationItems":[{"id":1591,"uris":["http://zotero.org/groups/2714158/items/7VZFGW4J"],"uri":["http://zotero.org/groups/2714158/items/7VZFGW4J"],"itemData":{"id":1591,"type":"article-journal","container-title":"Journal of Public Economics","page":"17–30","source":"Google Scholar","title":"Inheritance and wealth inequality: Evidence from population registers","title-short":"Inheritance and wealth inequality","volume":"165","author":[{"family":"Elinder","given":"Mikael"},{"family":"Erixson","given":"Oscar"},{"family":"Waldenström","given":"Daniel"}],"issued":{"date-parts":[["2018"]]}},"locator":"25-26","suppress-author":true}],"schema":"https://github.com/citation-style-language/schema/raw/master/csl-citation.json"} </w:instrText>
      </w:r>
      <w:r>
        <w:fldChar w:fldCharType="separate"/>
      </w:r>
      <w:r w:rsidRPr="00524C0D">
        <w:rPr>
          <w:szCs w:val="24"/>
        </w:rPr>
        <w:t>(2018, pp. 25–26)</w:t>
      </w:r>
      <w:r>
        <w:fldChar w:fldCharType="end"/>
      </w:r>
      <w:r>
        <w:t xml:space="preserve"> found that the reduction to relative wealth inequality due to inheritances was smaller (although not reversed) five years after those inheritances were received than in the immediate term. We do not find evidence of this type of reversal in Australia.</w:t>
      </w:r>
    </w:p>
    <w:p w14:paraId="73F61B97" w14:textId="77777777" w:rsidR="006E0ED6" w:rsidRDefault="006E0ED6" w:rsidP="00D208A3">
      <w:pPr>
        <w:pStyle w:val="Heading2"/>
      </w:pPr>
      <w:bookmarkStart w:id="19" w:name="_Toc87543960"/>
      <w:r>
        <w:lastRenderedPageBreak/>
        <w:t>Effect of inheritances on the intergenerational persistence of wealth</w:t>
      </w:r>
      <w:bookmarkEnd w:id="19"/>
    </w:p>
    <w:p w14:paraId="438D6C76" w14:textId="77777777" w:rsidR="006E0ED6" w:rsidRPr="00BB7330" w:rsidRDefault="006E0ED6" w:rsidP="006E0ED6">
      <w:pPr>
        <w:pStyle w:val="BodyText"/>
        <w:rPr>
          <w:spacing w:val="-2"/>
        </w:rPr>
      </w:pPr>
      <w:r w:rsidRPr="00BB7330">
        <w:rPr>
          <w:spacing w:val="-2"/>
        </w:rPr>
        <w:t>Intergenerational persistence — the association between an adult child’s position in society and their parents’ — is a measure of social mobility. Lower intergenerational persistence indicates higher social mobility, as it suggests that parents’ position in society has relatively little effect on their children’s position in society.</w:t>
      </w:r>
    </w:p>
    <w:p w14:paraId="2386C768" w14:textId="77777777" w:rsidR="006E0ED6" w:rsidRDefault="006E0ED6" w:rsidP="006E0ED6">
      <w:pPr>
        <w:pStyle w:val="BodyText"/>
      </w:pPr>
      <w:r>
        <w:t xml:space="preserve">Intergenerational persistence can be measured with respect to many variables, such as homeownership, employment, welfare dependency, and — most commonly — income. Intergenerational </w:t>
      </w:r>
      <w:r w:rsidRPr="00033380">
        <w:rPr>
          <w:i/>
          <w:iCs/>
        </w:rPr>
        <w:t>wealth</w:t>
      </w:r>
      <w:r>
        <w:t xml:space="preserve"> </w:t>
      </w:r>
      <w:r w:rsidRPr="00033380">
        <w:t>persistenc</w:t>
      </w:r>
      <w:r>
        <w:t>e (IWP) is pertinent to this study because wealth transfers from parents to their children directly contribute to it. Inheritances or gifts from parents to their children typically increase IWP.</w:t>
      </w:r>
    </w:p>
    <w:p w14:paraId="049CA0C6" w14:textId="77777777" w:rsidR="006E0ED6" w:rsidRPr="00BB7330" w:rsidRDefault="006E0ED6" w:rsidP="006E0ED6">
      <w:pPr>
        <w:pStyle w:val="BodyText"/>
        <w:rPr>
          <w:spacing w:val="-4"/>
        </w:rPr>
      </w:pPr>
      <w:r w:rsidRPr="00BB7330">
        <w:rPr>
          <w:spacing w:val="-4"/>
        </w:rPr>
        <w:t>IWP is typically measured as the percentile increase to a child’s household wealth associated with a 1 percentile increase to their parents’ household wealth. The respective percentiles are usually calculated relative to the age cohort in question — that is, by comparing adults and children when they were broadly the same age.</w:t>
      </w:r>
    </w:p>
    <w:p w14:paraId="07D0840E" w14:textId="7BC77108" w:rsidR="006E0ED6" w:rsidRPr="00033380" w:rsidRDefault="006E0ED6" w:rsidP="006E0ED6">
      <w:pPr>
        <w:pStyle w:val="BodyText"/>
      </w:pPr>
      <w:r>
        <w:t xml:space="preserve">A better variable with which to measure intergenerational persistence that is directly affected by wealth transfers would be ‘lifetime resources’ — the present value of all income and wealth transfers received over the lifetime </w:t>
      </w:r>
      <w:r>
        <w:fldChar w:fldCharType="begin"/>
      </w:r>
      <w:r w:rsidR="0047772E">
        <w:instrText xml:space="preserve"> ADDIN ZOTERO_ITEM CSL_CITATION {"citationID":"H1jJ3uZr","properties":{"formattedCitation":"(Boserup, Kopczuk and Kreiner\\uc0\\u160{}2017)","plainCitation":"(Boserup, Kopczuk and Kreiner 2017)","noteIndex":0},"citationItems":[{"id":1964,"uris":["http://zotero.org/groups/2714158/items/4G7IZVUF"],"uri":["http://zotero.org/groups/2714158/items/4G7IZVUF"],"itemData":{"id":1964,"type":"report","genre":"Working Paper","title":"Intergenerational Wealth Formation Over the Life Cycle: Evidence from Danish Wealth Records 1984-2013","author":[{"family":"Boserup","given":"Simon Halphen"},{"family":"Kopczuk","given":"Wojciech"},{"family":"Kreiner","given":"Claus Thustrup"}],"issued":{"date-parts":[["2017"]]}}}],"schema":"https://github.com/citation-style-language/schema/raw/master/csl-citation.json"} </w:instrText>
      </w:r>
      <w:r>
        <w:fldChar w:fldCharType="separate"/>
      </w:r>
      <w:r w:rsidRPr="00A5013A">
        <w:rPr>
          <w:szCs w:val="24"/>
        </w:rPr>
        <w:t>(Boserup, Kopczuk and Kreiner 2017)</w:t>
      </w:r>
      <w:r>
        <w:fldChar w:fldCharType="end"/>
      </w:r>
      <w:r>
        <w:t xml:space="preserve">. Unfortunately, the data necessary to estimate the intergenerational persistence of lifetime resources in Australia do not exist, let alone to determine the share of it attributable to wealth transfers </w:t>
      </w:r>
      <w:r>
        <w:fldChar w:fldCharType="begin"/>
      </w:r>
      <w:r w:rsidR="0047772E">
        <w:instrText xml:space="preserve"> ADDIN ZOTERO_ITEM CSL_CITATION {"citationID":"F0njWkRW","properties":{"formattedCitation":"(Siminski and Yu\\uc0\\u160{}2021)","plainCitation":"(Siminski and Yu 2021)","noteIndex":0},"citationItems":[{"id":3149,"uris":["http://zotero.org/groups/2714158/items/XZZV9CNS"],"uri":["http://zotero.org/groups/2714158/items/XZZV9CNS"],"itemData":{"id":3149,"type":"report","publisher":"IZA Discussion Paper","title":"The Correlation of Wealth Between Parents and Children in Australia","author":[{"family":"Siminski","given":"Peter"},{"family":"Yu","given":"Sin Hung"}],"issued":{"date-parts":[["2021"]]}}}],"schema":"https://github.com/citation-style-language/schema/raw/master/csl-citation.json"} </w:instrText>
      </w:r>
      <w:r>
        <w:fldChar w:fldCharType="separate"/>
      </w:r>
      <w:r w:rsidRPr="005B6217">
        <w:rPr>
          <w:szCs w:val="24"/>
        </w:rPr>
        <w:t>(Siminski and Yu 2021)</w:t>
      </w:r>
      <w:r>
        <w:fldChar w:fldCharType="end"/>
      </w:r>
      <w:r>
        <w:t>.</w:t>
      </w:r>
    </w:p>
    <w:p w14:paraId="6566C26F" w14:textId="77777777" w:rsidR="006E0ED6" w:rsidRDefault="006E0ED6" w:rsidP="006E0ED6">
      <w:pPr>
        <w:pStyle w:val="Heading3"/>
      </w:pPr>
      <w:r>
        <w:t>Intergenerational wealth persistence is lower in Australia than in the United States, and other comparisons are not yet possible</w:t>
      </w:r>
    </w:p>
    <w:p w14:paraId="323E02C1" w14:textId="77777777" w:rsidR="006E0ED6" w:rsidRDefault="006E0ED6" w:rsidP="006E0ED6">
      <w:pPr>
        <w:pStyle w:val="BodyText"/>
      </w:pPr>
      <w:r>
        <w:t xml:space="preserve">There has been only one study of IWP in Australia, which found that IWP was higher among older children — 0.09 among children aged 20–23 but 0.49 among children aged 40–65 (figure 2.10). </w:t>
      </w:r>
    </w:p>
    <w:p w14:paraId="0FFC6535" w14:textId="2379E0B5" w:rsidR="006E0ED6" w:rsidRDefault="006E0ED6" w:rsidP="006E0ED6">
      <w:pPr>
        <w:pStyle w:val="BodyText"/>
      </w:pPr>
      <w:r>
        <w:t xml:space="preserve">This pattern of IWP increasing with child age has been found in the United States and Denmark too, at least from about age 27 onwards (figure 2.10). It likely reflects that wealthier parents made larger investments in their children’s education and broader human capital development, which yielded financial returns later in life. Consistent with this, </w:t>
      </w:r>
      <w:r w:rsidRPr="00DD101C">
        <w:rPr>
          <w:szCs w:val="24"/>
        </w:rPr>
        <w:t>Boserup, Kopczuk and Kreiner</w:t>
      </w:r>
      <w:r>
        <w:t> </w:t>
      </w:r>
      <w:r>
        <w:fldChar w:fldCharType="begin"/>
      </w:r>
      <w:r w:rsidR="0047772E">
        <w:instrText xml:space="preserve"> ADDIN ZOTERO_ITEM CSL_CITATION {"citationID":"iZY8YBmA","properties":{"formattedCitation":"(2017)","plainCitation":"(2017)","noteIndex":0},"citationItems":[{"id":1964,"uris":["http://zotero.org/groups/2714158/items/4G7IZVUF"],"uri":["http://zotero.org/groups/2714158/items/4G7IZVUF"],"itemData":{"id":1964,"type":"report","genre":"Working Paper","title":"Intergenerational Wealth Formation Over the Life Cycle: Evidence from Danish Wealth Records 1984-2013","author":[{"family":"Boserup","given":"Simon Halphen"},{"family":"Kopczuk","given":"Wojciech"},{"family":"Kreiner","given":"Claus Thustrup"}],"issued":{"date-parts":[["2017"]]}},"suppress-author":true}],"schema":"https://github.com/citation-style-language/schema/raw/master/csl-citation.json"} </w:instrText>
      </w:r>
      <w:r>
        <w:fldChar w:fldCharType="separate"/>
      </w:r>
      <w:r w:rsidRPr="00986DA4">
        <w:t>(2017)</w:t>
      </w:r>
      <w:r>
        <w:fldChar w:fldCharType="end"/>
      </w:r>
      <w:r>
        <w:t xml:space="preserve"> argue that larger investments in education delayed the children of wealthier parents’ entry into the workforce, which is why IWP declined in Demark until children were aged about 27.</w:t>
      </w:r>
    </w:p>
    <w:p w14:paraId="60C3537B" w14:textId="77777777" w:rsidR="006E0ED6" w:rsidRDefault="006E0ED6" w:rsidP="006E0ED6">
      <w:pPr>
        <w:pStyle w:val="BodyText"/>
      </w:pPr>
      <w:r>
        <w:t>IWP also increases further in middle age, as inheritances are received. This is discussed in the next section.</w:t>
      </w:r>
    </w:p>
    <w:p w14:paraId="40667C7C" w14:textId="77777777" w:rsidR="006E0ED6" w:rsidRDefault="006E0ED6" w:rsidP="006E0ED6">
      <w:pPr>
        <w:pStyle w:val="BodyText"/>
      </w:pPr>
      <w:r>
        <w:t>Because of the difficulties in making cross</w:t>
      </w:r>
      <w:r>
        <w:noBreakHyphen/>
        <w:t>country comparisons among these few studies, the only conclusion that can be drawn is that IWP is lower in Australia than in the United States when averaged across children of different ages (figure 2.10). IWP appears lower in Australia than Denmark among children aged under 35 and higher thereafter, and higher in Australia than in Sweden among people aged over 42 (the only comparison available). But the Danish and Swedish studies draw on data from several decades ago, which makes such comparisons potentially misleading.</w:t>
      </w:r>
    </w:p>
    <w:p w14:paraId="36C282FB" w14:textId="7D5353A1" w:rsidR="006E0ED6" w:rsidRDefault="006E0ED6" w:rsidP="006E0ED6">
      <w:pPr>
        <w:pStyle w:val="BodyText"/>
      </w:pPr>
      <w:r>
        <w:t xml:space="preserve">Studies of intergenerational </w:t>
      </w:r>
      <w:r w:rsidRPr="00BF625D">
        <w:rPr>
          <w:i/>
          <w:iCs/>
        </w:rPr>
        <w:t>income</w:t>
      </w:r>
      <w:r>
        <w:t xml:space="preserve"> persistence align with the finding about Australia versus the United States</w:t>
      </w:r>
      <w:r w:rsidR="009F4A2E">
        <w:t xml:space="preserve"> for IWP</w:t>
      </w:r>
      <w:r>
        <w:t xml:space="preserve">. Intergenerational income persistence </w:t>
      </w:r>
      <w:r w:rsidR="00CE0199">
        <w:t>—</w:t>
      </w:r>
      <w:r>
        <w:t xml:space="preserve"> the association between an adult child’s position in the income distribution and that of their parents when they were a similar age </w:t>
      </w:r>
      <w:r w:rsidR="00CE0199">
        <w:t xml:space="preserve">— </w:t>
      </w:r>
      <w:r>
        <w:t xml:space="preserve">is much lower in Australia than in the United States. Intergenerational income persistence in Australia is also similar to that of Denmark </w:t>
      </w:r>
      <w:r>
        <w:lastRenderedPageBreak/>
        <w:t>and Sweden, and below the OECD average.</w:t>
      </w:r>
      <w:r>
        <w:rPr>
          <w:rStyle w:val="FootnoteReference"/>
        </w:rPr>
        <w:footnoteReference w:id="37"/>
      </w:r>
      <w:r>
        <w:t xml:space="preserve"> A corresponding result for IWP seems likely, since income is a critical input to wealth accumulation and Australians who earn higher incomes tend to be wealthier </w:t>
      </w:r>
      <w:r>
        <w:fldChar w:fldCharType="begin"/>
      </w:r>
      <w:r w:rsidR="0047772E">
        <w:instrText xml:space="preserve"> ADDIN ZOTERO_ITEM CSL_CITATION {"citationID":"C2zxAJiV","properties":{"formattedCitation":"(PC\\uc0\\u160{}2018a, p.\\uc0\\u160{}81)","plainCitation":"(PC 2018a, p. 81)","noteIndex":0},"citationItems":[{"id":2793,"uris":["http://zotero.org/groups/164861/items/7NVJM2JN"],"uri":["http://zotero.org/groups/164861/items/7NVJM2JN"],"itemData":{"id":2793,"type":"report","event-place":"Canberra","genre":"Commission Research Paper","publisher-place":"Canberra","title":"Rising inequality? A stocktake of the evidence","author":[{"family":"Productivity Commission","given":""}],"translator":[{"family":"PC","given":""}],"issued":{"date-parts":[["2018"]]}},"locator":"81"}],"schema":"https://github.com/citation-style-language/schema/raw/master/csl-citation.json"} </w:instrText>
      </w:r>
      <w:r>
        <w:fldChar w:fldCharType="separate"/>
      </w:r>
      <w:r w:rsidR="007A60F8" w:rsidRPr="007A60F8">
        <w:rPr>
          <w:rFonts w:ascii="Arial" w:hAnsi="Arial" w:cs="Arial"/>
          <w:szCs w:val="24"/>
        </w:rPr>
        <w:t>(PC 2018a, p. 81)</w:t>
      </w:r>
      <w:r>
        <w:fldChar w:fldCharType="end"/>
      </w:r>
      <w:r>
        <w:t>, but more research is needed to establish this.</w:t>
      </w:r>
    </w:p>
    <w:p w14:paraId="5F279A2B" w14:textId="5772BA33"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10</w:t>
      </w:r>
      <w:r w:rsidR="00B2270C">
        <w:rPr>
          <w:noProof/>
        </w:rPr>
        <w:fldChar w:fldCharType="end"/>
      </w:r>
      <w:r>
        <w:rPr>
          <w:noProof/>
        </w:rPr>
        <w:t xml:space="preserve"> </w:t>
      </w:r>
      <w:r>
        <w:t>– Intergenerational wealth persistence is lower in Australia than in the United States</w:t>
      </w:r>
      <w:r w:rsidRPr="00066CF5">
        <w:rPr>
          <w:vertAlign w:val="superscript"/>
        </w:rPr>
        <w:t>a,b</w:t>
      </w:r>
      <w:r>
        <w:rPr>
          <w:vertAlign w:val="superscript"/>
        </w:rPr>
        <w:t>,c,d</w:t>
      </w:r>
    </w:p>
    <w:p w14:paraId="0D524C4D" w14:textId="77777777" w:rsidR="006E0ED6" w:rsidRPr="005E6AF0" w:rsidRDefault="006E0ED6" w:rsidP="006E0ED6">
      <w:pPr>
        <w:pStyle w:val="FigureTableSubheading"/>
        <w:keepLines/>
        <w:rPr>
          <w:spacing w:val="-2"/>
          <w:sz w:val="18"/>
          <w:szCs w:val="16"/>
        </w:rPr>
      </w:pPr>
      <w:r w:rsidRPr="005E6AF0">
        <w:rPr>
          <w:spacing w:val="-2"/>
          <w:sz w:val="18"/>
          <w:szCs w:val="16"/>
        </w:rPr>
        <w:t>Estimates of intergenerational wealth persistence (percentile increase to a child’s household wealth associated with a 1 percentile increase to their parents’ household wealth) by age of child</w:t>
      </w:r>
    </w:p>
    <w:p w14:paraId="2945CFEF" w14:textId="7BD69E0B" w:rsidR="006E0ED6" w:rsidRPr="005550A0" w:rsidRDefault="0026058B" w:rsidP="006E0ED6">
      <w:pPr>
        <w:pStyle w:val="BodyText"/>
      </w:pPr>
      <w:r w:rsidRPr="0026058B">
        <w:rPr>
          <w:noProof/>
        </w:rPr>
        <w:drawing>
          <wp:inline distT="0" distB="0" distL="0" distR="0" wp14:anchorId="2F42006A" wp14:editId="58A94FD1">
            <wp:extent cx="6120130" cy="2877185"/>
            <wp:effectExtent l="0" t="0" r="0" b="0"/>
            <wp:docPr id="133" name="Picture 133" descr="Figure 2.10. This chart shows estimates of intergenerational wealth persistence by the age of the child cohort from Australia, the United States, Denmark and Sweden.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Figure 2.10. This chart shows estimates of intergenerational wealth persistence by the age of the child cohort from Australia, the United States, Denmark and Sweden. More details are contained in the text surrounding this figur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646D2DF" w14:textId="55BB3F3C" w:rsidR="006E0ED6" w:rsidRDefault="006E0ED6" w:rsidP="006E0ED6">
      <w:pPr>
        <w:pStyle w:val="Note"/>
        <w:keepLines/>
      </w:pPr>
      <w:r w:rsidRPr="00180E66">
        <w:rPr>
          <w:b/>
          <w:bCs/>
        </w:rPr>
        <w:t>a.</w:t>
      </w:r>
      <w:r>
        <w:t xml:space="preserve"> </w:t>
      </w:r>
      <w:r w:rsidRPr="00B76152">
        <w:t>Australian estimates are from Siminski and Yu </w:t>
      </w:r>
      <w:r w:rsidRPr="00B76152">
        <w:fldChar w:fldCharType="begin"/>
      </w:r>
      <w:r w:rsidR="0047772E">
        <w:instrText xml:space="preserve"> ADDIN ZOTERO_ITEM CSL_CITATION {"citationID":"3uO28gvO","properties":{"formattedCitation":"(2021, p.\\uc0\\u160{}2)","plainCitation":"(2021, p. 2)","noteIndex":0},"citationItems":[{"id":3149,"uris":["http://zotero.org/groups/2714158/items/XZZV9CNS"],"uri":["http://zotero.org/groups/2714158/items/XZZV9CNS"],"itemData":{"id":3149,"type":"report","publisher":"IZA Discussion Paper","title":"The Correlation of Wealth Between Parents and Children in Australia","author":[{"family":"Siminski","given":"Peter"},{"family":"Yu","given":"Sin Hung"}],"issued":{"date-parts":[["2021"]]}},"locator":"2","suppress-author":true}],"schema":"https://github.com/citation-style-language/schema/raw/master/csl-citation.json"} </w:instrText>
      </w:r>
      <w:r w:rsidRPr="00B76152">
        <w:fldChar w:fldCharType="separate"/>
      </w:r>
      <w:r w:rsidRPr="00B76152">
        <w:t>(2021, p. 2)</w:t>
      </w:r>
      <w:r w:rsidRPr="00B76152">
        <w:fldChar w:fldCharType="end"/>
      </w:r>
      <w:r w:rsidRPr="00B76152">
        <w:t xml:space="preserve">, with the children’s wealth measured in 2018. </w:t>
      </w:r>
      <w:r w:rsidRPr="00B76152">
        <w:rPr>
          <w:b/>
        </w:rPr>
        <w:t>b</w:t>
      </w:r>
      <w:r>
        <w:rPr>
          <w:b/>
        </w:rPr>
        <w:t>.</w:t>
      </w:r>
      <w:r w:rsidRPr="00B76152">
        <w:t xml:space="preserve"> The United States estimate that is directly comparable to the Australian estimate is from Siminski and Yu </w:t>
      </w:r>
      <w:r w:rsidRPr="00B76152">
        <w:fldChar w:fldCharType="begin"/>
      </w:r>
      <w:r w:rsidR="0047772E">
        <w:instrText xml:space="preserve"> ADDIN ZOTERO_ITEM CSL_CITATION {"citationID":"8H6WOJuy","properties":{"formattedCitation":"(2021, p.\\uc0\\u160{}2)","plainCitation":"(2021, p. 2)","noteIndex":0},"citationItems":[{"id":3149,"uris":["http://zotero.org/groups/2714158/items/XZZV9CNS"],"uri":["http://zotero.org/groups/2714158/items/XZZV9CNS"],"itemData":{"id":3149,"type":"report","publisher":"IZA Discussion Paper","title":"The Correlation of Wealth Between Parents and Children in Australia","author":[{"family":"Siminski","given":"Peter"},{"family":"Yu","given":"Sin Hung"}],"issued":{"date-parts":[["2021"]]}},"locator":"2","suppress-author":true}],"schema":"https://github.com/citation-style-language/schema/raw/master/csl-citation.json"} </w:instrText>
      </w:r>
      <w:r w:rsidRPr="00B76152">
        <w:fldChar w:fldCharType="separate"/>
      </w:r>
      <w:r w:rsidRPr="00B76152">
        <w:t>(2021, p. 2)</w:t>
      </w:r>
      <w:r w:rsidRPr="00B76152">
        <w:fldChar w:fldCharType="end"/>
      </w:r>
      <w:r w:rsidRPr="00B76152">
        <w:t xml:space="preserve"> (children’s wealth measured in 2018), while the other is from Pfeffer and Killewald </w:t>
      </w:r>
      <w:r w:rsidRPr="00B76152">
        <w:fldChar w:fldCharType="begin"/>
      </w:r>
      <w:r w:rsidR="0047772E">
        <w:instrText xml:space="preserve"> ADDIN ZOTERO_ITEM CSL_CITATION {"citationID":"LTRX7DLe","properties":{"formattedCitation":"(2018, p.\\uc0\\u160{}15)","plainCitation":"(2018, p. 15)","noteIndex":0},"citationItems":[{"id":2975,"uris":["http://zotero.org/groups/2714158/items/B347TB86"],"uri":["http://zotero.org/groups/2714158/items/B347TB86"],"itemData":{"id":2975,"type":"article-journal","container-title":"Social Forces","issue":"4","note":"publisher: Oxford University Press","page":"1411–1442","source":"Google Scholar","title":"Generations of advantage. Multigenerational correlations in family wealth","volume":"96","author":[{"family":"Pfeffer","given":"Fabian T."},{"family":"Killewald","given":"Alexandra"}],"issued":{"date-parts":[["2018"]]}},"locator":"15","suppress-author":true}],"schema":"https://github.com/citation-style-language/schema/raw/master/csl-citation.json"} </w:instrText>
      </w:r>
      <w:r w:rsidRPr="00B76152">
        <w:fldChar w:fldCharType="separate"/>
      </w:r>
      <w:r w:rsidRPr="00B76152">
        <w:t>(2018, p. 15)</w:t>
      </w:r>
      <w:r w:rsidRPr="00B76152">
        <w:fldChar w:fldCharType="end"/>
      </w:r>
      <w:r w:rsidRPr="00B76152">
        <w:t xml:space="preserve"> (children’s wealth measured between 2013–2015). </w:t>
      </w:r>
      <w:r w:rsidRPr="00B76152">
        <w:rPr>
          <w:b/>
        </w:rPr>
        <w:t>c</w:t>
      </w:r>
      <w:r>
        <w:rPr>
          <w:b/>
        </w:rPr>
        <w:t>.</w:t>
      </w:r>
      <w:r w:rsidRPr="00B76152">
        <w:t xml:space="preserve"> The estimate for Denmark is from Boserup, Kopczuk and Kreiner </w:t>
      </w:r>
      <w:r w:rsidRPr="00B76152">
        <w:fldChar w:fldCharType="begin"/>
      </w:r>
      <w:r w:rsidR="0047772E">
        <w:instrText xml:space="preserve"> ADDIN ZOTERO_ITEM CSL_CITATION {"citationID":"X4C72dRw","properties":{"formattedCitation":"(2017, p.\\uc0\\u160{}23)","plainCitation":"(2017, p. 23)","noteIndex":0},"citationItems":[{"id":1964,"uris":["http://zotero.org/groups/2714158/items/4G7IZVUF"],"uri":["http://zotero.org/groups/2714158/items/4G7IZVUF"],"itemData":{"id":1964,"type":"report","genre":"Working Paper","title":"Intergenerational Wealth Formation Over the Life Cycle: Evidence from Danish Wealth Records 1984-2013","author":[{"family":"Boserup","given":"Simon Halphen"},{"family":"Kopczuk","given":"Wojciech"},{"family":"Kreiner","given":"Claus Thustrup"}],"issued":{"date-parts":[["2017"]]}},"locator":"23","suppress-author":true}],"schema":"https://github.com/citation-style-language/schema/raw/master/csl-citation.json"} </w:instrText>
      </w:r>
      <w:r w:rsidRPr="00B76152">
        <w:fldChar w:fldCharType="separate"/>
      </w:r>
      <w:r w:rsidRPr="00B76152">
        <w:t>(2017, p. 23)</w:t>
      </w:r>
      <w:r w:rsidRPr="00B76152">
        <w:fldChar w:fldCharType="end"/>
      </w:r>
      <w:r w:rsidRPr="00B76152">
        <w:t xml:space="preserve">, and is derived from a single cohort of children who were aged 20 in 1985 and 45 in 2010. </w:t>
      </w:r>
      <w:r w:rsidRPr="00B76152">
        <w:rPr>
          <w:b/>
        </w:rPr>
        <w:t>d</w:t>
      </w:r>
      <w:r>
        <w:rPr>
          <w:b/>
        </w:rPr>
        <w:t>.</w:t>
      </w:r>
      <w:r w:rsidRPr="00B76152">
        <w:t xml:space="preserve"> The estimate for Sweden is from Adermon, Lindahl and Waldenström </w:t>
      </w:r>
      <w:r w:rsidRPr="00B76152">
        <w:fldChar w:fldCharType="begin"/>
      </w:r>
      <w:r w:rsidR="0047772E">
        <w:instrText xml:space="preserve"> ADDIN ZOTERO_ITEM CSL_CITATION {"citationID":"X2NyEmft","properties":{"formattedCitation":"(2018, p.\\uc0\\u160{}18)","plainCitation":"(2018, p. 18)","noteIndex":0},"citationItems":[{"id":1556,"uris":["http://zotero.org/groups/2714158/items/DWJGFPIU"],"uri":["http://zotero.org/groups/2714158/items/DWJGFPIU"],"itemData":{"id":1556,"type":"article-journal","container-title":"The Economic Journal","issue":"612","page":"F482–F513","source":"Google Scholar","title":"Intergenerational wealth mobility and the role of inheritance: Evidence from multiple generations","title-short":"Intergenerational wealth mobility and the role of inheritance","volume":"128","author":[{"family":"Adermon","given":"Adrian"},{"family":"Lindahl","given":"Mikael"},{"family":"Waldenström","given":"Daniel"}],"issued":{"date-parts":[["2018"]]}},"locator":"18","suppress-author":true}],"schema":"https://github.com/citation-style-language/schema/raw/master/csl-citation.json"} </w:instrText>
      </w:r>
      <w:r w:rsidRPr="00B76152">
        <w:fldChar w:fldCharType="separate"/>
      </w:r>
      <w:r w:rsidRPr="00B76152">
        <w:t>(2018, p. 18)</w:t>
      </w:r>
      <w:r w:rsidRPr="00B76152">
        <w:fldChar w:fldCharType="end"/>
      </w:r>
      <w:r w:rsidRPr="00B76152">
        <w:t>. The wealth of the children aged 42–49 was measured between 1999 and 2006, and the wealth of the children aged 57–63 was measured between 1985 and 1991.</w:t>
      </w:r>
    </w:p>
    <w:p w14:paraId="1614A70E" w14:textId="77777777" w:rsidR="006E0ED6" w:rsidRPr="003E76D9" w:rsidRDefault="006E0ED6" w:rsidP="006E0ED6">
      <w:pPr>
        <w:pStyle w:val="Heading3"/>
        <w:rPr>
          <w:spacing w:val="-6"/>
        </w:rPr>
      </w:pPr>
      <w:r w:rsidRPr="003E76D9">
        <w:rPr>
          <w:spacing w:val="-6"/>
        </w:rPr>
        <w:t>Inheritances accounted for one third of intergenerational wealth persistence in Australia among older people whose parents have died</w:t>
      </w:r>
    </w:p>
    <w:p w14:paraId="3159893F" w14:textId="77777777" w:rsidR="006E0ED6" w:rsidRPr="003E76D9" w:rsidRDefault="006E0ED6" w:rsidP="006E0ED6">
      <w:pPr>
        <w:pStyle w:val="BodyText"/>
        <w:rPr>
          <w:spacing w:val="-4"/>
        </w:rPr>
      </w:pPr>
      <w:r w:rsidRPr="003E76D9">
        <w:rPr>
          <w:spacing w:val="-4"/>
        </w:rPr>
        <w:t>Inheritances accounted for about one third (36 per cent is our best estimate, although considerable uncertainty surrounds it) of the IWP among Australians aged 64–74 in 2018 whose parents have both died. (The modelling underpinning this conclusion is shown in appendix B.) In other words, if all wealth had been unexpectedly destroyed at the time of death so that there were no inheritances, IWP would have been less by about one third.</w:t>
      </w:r>
    </w:p>
    <w:p w14:paraId="52F30276" w14:textId="77777777" w:rsidR="006E0ED6" w:rsidRPr="0026124E" w:rsidRDefault="006E0ED6" w:rsidP="006E0ED6">
      <w:pPr>
        <w:pStyle w:val="BodyText"/>
        <w:rPr>
          <w:spacing w:val="-2"/>
        </w:rPr>
      </w:pPr>
      <w:r w:rsidRPr="0026124E">
        <w:rPr>
          <w:spacing w:val="-2"/>
        </w:rPr>
        <w:t xml:space="preserve">There is no contradiction between this finding and the finding that inheritances reduced relative wealth inequality among the recipient (adult child) generation, as these are different concepts. Consider that some wealthy parents have poor children; the effect of inheritances is to substantially boost their wealth in </w:t>
      </w:r>
      <w:r w:rsidRPr="0026124E">
        <w:rPr>
          <w:spacing w:val="-2"/>
        </w:rPr>
        <w:lastRenderedPageBreak/>
        <w:t>proportional terms — reducing relative wealth inequality — and, in doing so pull them closer to their parents’ position in the wealth distribution — increasing IWP. In general, the relationship between the share of IWP that is due to inheritances and the extent to which inheritances reduce relative wealth inequality may be positive or negative, depending on which exogenous factor is driving the variation in the two measures (box 2.5).</w:t>
      </w:r>
    </w:p>
    <w:p w14:paraId="4FB25B22" w14:textId="182D649A" w:rsidR="006E0ED6" w:rsidRDefault="006E0ED6" w:rsidP="006E0ED6">
      <w:pPr>
        <w:pStyle w:val="BodyText"/>
      </w:pPr>
      <w:r>
        <w:t xml:space="preserve">The finding that inheritances accounted for one third of IWP among this cohort implies that the majority of IWP in Australia was the result of factors such as education, attitudes and values, genetics, and gifts. As mentioned previously, wealthier parents might have invested more in their children’s education by sending them to a private school or a better public school (by living near to it). They might have instilled their attitudes and values that promote wealth accumulation. And to the extent that there is a genetic predisposition to wealth accumulation, their children may have inherited it. There have been studies of how each of these channels influence IWP and intergenerational persistence with regard to other variables, but the results are often contradictory or not clear, which reflects the difficulties inherent to studying the subject matter </w:t>
      </w:r>
      <w:r>
        <w:fldChar w:fldCharType="begin"/>
      </w:r>
      <w:r w:rsidR="0047772E">
        <w:instrText xml:space="preserve"> ADDIN ZOTERO_ITEM CSL_CITATION {"citationID":"YOpXySW1","properties":{"formattedCitation":"(see, for example, Black et al.\\uc0\\u160{}2015; Fagereng, Mogstad and Ronning\\uc0\\u160{}2021; Pfeffer and Killewald\\uc0\\u160{}2015)","plainCitation":"(see, for example, Black et al. 2015; Fagereng, Mogstad and Ronning 2021; Pfeffer and Killewald 2015)","noteIndex":0},"citationItems":[{"id":1678,"uris":["http://zotero.org/groups/2714158/items/GAZT9J83"],"uri":["http://zotero.org/groups/2714158/items/GAZT9J83"],"itemData":{"id":1678,"type":"report","genre":"Working Paper 21409","publisher":"National Bureau of Economic Research","title":"Poor Little Rich Kids? The Determinants of the Intergenerational Transmission of Wealth","author":[{"family":"Black","given":"Sandra E."},{"family":"Devereux","given":"Paul J."},{"family":"Lundborg","given":"Petter"},{"family":"Majlesi","given":"Kaveh"}],"issued":{"date-parts":[["2015"]]}},"prefix":"see, for example,"},{"id":2982,"uris":["http://zotero.org/groups/2714158/items/3IAPUWSU"],"uri":["http://zotero.org/groups/2714158/items/3IAPUWSU"],"itemData":{"id":2982,"type":"article-journal","container-title":"Journal of Political Economy","issue":"3","page":"703-56","title":"Why do wealthy parents have wealthy children?","volume":"129","author":[{"family":"Fagereng","given":"A."},{"family":"Mogstad","given":"M."},{"family":"Ronning","given":"M."}],"issued":{"date-parts":[["2021"]]}}},{"id":1677,"uris":["http://zotero.org/groups/2714158/items/BSMGGCTA"],"uri":["http://zotero.org/groups/2714158/items/BSMGGCTA"],"itemData":{"id":1677,"type":"report","number":"Report 15-845","publisher":"Population Studies Centre","title":"How Rigid is the Wealth Structure and Why? Inter-and Multigenerational Associations in Family Wealth","author":[{"family":"Pfeffer","given":"Fabian T."},{"family":"Killewald","given":"Alexandra"}],"issued":{"date-parts":[["2015"]]}}}],"schema":"https://github.com/citation-style-language/schema/raw/master/csl-citation.json"} </w:instrText>
      </w:r>
      <w:r>
        <w:fldChar w:fldCharType="separate"/>
      </w:r>
      <w:r w:rsidRPr="00212ED1">
        <w:rPr>
          <w:szCs w:val="24"/>
        </w:rPr>
        <w:t>(see, for example, Black et al. 2015; Fagereng, Mogstad and Ronning 2021; Pfeffer and Killewald 2015)</w:t>
      </w:r>
      <w:r>
        <w:fldChar w:fldCharType="end"/>
      </w:r>
      <w:r>
        <w:t xml:space="preserve">. </w:t>
      </w:r>
    </w:p>
    <w:p w14:paraId="085F0145" w14:textId="634ADD8C" w:rsidR="006E0ED6" w:rsidRDefault="006E0ED6" w:rsidP="006E0ED6">
      <w:pPr>
        <w:pStyle w:val="BodyText"/>
      </w:pPr>
      <w:r>
        <w:t xml:space="preserve">A recent study </w:t>
      </w:r>
      <w:r w:rsidR="001C068C">
        <w:t xml:space="preserve">in Denmark </w:t>
      </w:r>
      <w:r>
        <w:t>found that a smaller share of IWP is attributable to inheritances than in Australia, while two studies of Sweden found larger shares of IWP were attributable to inheritances.</w:t>
      </w:r>
    </w:p>
    <w:p w14:paraId="3FC06658" w14:textId="53FABBE8" w:rsidR="006E0ED6" w:rsidRPr="003E76D9" w:rsidRDefault="006E0ED6" w:rsidP="006E0ED6">
      <w:pPr>
        <w:pStyle w:val="ListBullet"/>
        <w:rPr>
          <w:spacing w:val="-2"/>
        </w:rPr>
      </w:pPr>
      <w:r w:rsidRPr="003E76D9">
        <w:rPr>
          <w:spacing w:val="-2"/>
        </w:rPr>
        <w:t xml:space="preserve">The Danish study found that 35 per cent of IWP was attributable to inheritances </w:t>
      </w:r>
      <w:r w:rsidRPr="003E76D9">
        <w:rPr>
          <w:spacing w:val="-2"/>
        </w:rPr>
        <w:fldChar w:fldCharType="begin"/>
      </w:r>
      <w:r w:rsidR="0047772E">
        <w:rPr>
          <w:spacing w:val="-2"/>
        </w:rPr>
        <w:instrText xml:space="preserve"> ADDIN ZOTERO_ITEM CSL_CITATION {"citationID":"s3cX4f9F","properties":{"formattedCitation":"(Boserup, Kopczuk and Kreiner\\uc0\\u160{}2017, p.\\uc0\\u160{}35)","plainCitation":"(Boserup, Kopczuk and Kreiner 2017, p. 35)","noteIndex":0},"citationItems":[{"id":1964,"uris":["http://zotero.org/groups/2714158/items/4G7IZVUF"],"uri":["http://zotero.org/groups/2714158/items/4G7IZVUF"],"itemData":{"id":1964,"type":"report","genre":"Working Paper","title":"Intergenerational Wealth Formation Over the Life Cycle: Evidence from Danish Wealth Records 1984-2013","author":[{"family":"Boserup","given":"Simon Halphen"},{"family":"Kopczuk","given":"Wojciech"},{"family":"Kreiner","given":"Claus Thustrup"}],"issued":{"date-parts":[["2017"]]}},"locator":"35"}],"schema":"https://github.com/citation-style-language/schema/raw/master/csl-citation.json"} </w:instrText>
      </w:r>
      <w:r w:rsidRPr="003E76D9">
        <w:rPr>
          <w:spacing w:val="-2"/>
        </w:rPr>
        <w:fldChar w:fldCharType="separate"/>
      </w:r>
      <w:r w:rsidRPr="003E76D9">
        <w:rPr>
          <w:spacing w:val="-2"/>
          <w:szCs w:val="24"/>
        </w:rPr>
        <w:t>(Boserup, Kopczuk and Kreiner 2017, p. 35)</w:t>
      </w:r>
      <w:r w:rsidRPr="003E76D9">
        <w:rPr>
          <w:spacing w:val="-2"/>
        </w:rPr>
        <w:fldChar w:fldCharType="end"/>
      </w:r>
      <w:r w:rsidRPr="003E76D9">
        <w:rPr>
          <w:spacing w:val="-2"/>
        </w:rPr>
        <w:t>. This is very similar to this study’s estimate for Australia (36 per cent), but a fairer comparison suggests a wider gap: the Danish study measured child wealth immediately following inheritance receipt, whereas our estimate captures child wealth up to 17 years after some of the studied children received their inheritances, and by which point our estimates indicate that most of the inheritance will have been depleted in real terms (leading it to have a smaller effect on IWP) (appendix B).</w:t>
      </w:r>
      <w:r w:rsidRPr="0059379B">
        <w:rPr>
          <w:rStyle w:val="FootnoteReference"/>
        </w:rPr>
        <w:footnoteReference w:id="38"/>
      </w:r>
      <w:r w:rsidRPr="003E76D9">
        <w:rPr>
          <w:spacing w:val="-2"/>
        </w:rPr>
        <w:t xml:space="preserve"> If, for comparison with the Swedish study, it is assumed that inheritances were not depleted in Australia, then our modelling would suggest that 59 per cent of IWP in Australia was due to inheritances.</w:t>
      </w:r>
    </w:p>
    <w:p w14:paraId="5323133C" w14:textId="1DB7168E" w:rsidR="006E0ED6" w:rsidRDefault="006E0ED6" w:rsidP="006E0ED6">
      <w:pPr>
        <w:pStyle w:val="ListBullet"/>
      </w:pPr>
      <w:r>
        <w:t xml:space="preserve">Of the two Swedish studies, one found that 50–60 per cent of IWP was due to inheritances </w:t>
      </w:r>
      <w:r>
        <w:fldChar w:fldCharType="begin"/>
      </w:r>
      <w:r w:rsidR="0047772E">
        <w:instrText xml:space="preserve"> ADDIN ZOTERO_ITEM CSL_CITATION {"citationID":"VeIEgGM3","properties":{"formattedCitation":"(Adermon, Lindahl and Waldenstr\\uc0\\u246{}m\\uc0\\u160{}2018, p.\\uc0\\u160{}27)","plainCitation":"(Adermon, Lindahl and Waldenström 2018, p. 27)","noteIndex":0},"citationItems":[{"id":1556,"uris":["http://zotero.org/groups/2714158/items/DWJGFPIU"],"uri":["http://zotero.org/groups/2714158/items/DWJGFPIU"],"itemData":{"id":1556,"type":"article-journal","container-title":"The Economic Journal","issue":"612","page":"F482–F513","source":"Google Scholar","title":"Intergenerational wealth mobility and the role of inheritance: Evidence from multiple generations","title-short":"Intergenerational wealth mobility and the role of inheritance","volume":"128","author":[{"family":"Adermon","given":"Adrian"},{"family":"Lindahl","given":"Mikael"},{"family":"Waldenström","given":"Daniel"}],"issued":{"date-parts":[["2018"]]}},"locator":"27"}],"schema":"https://github.com/citation-style-language/schema/raw/master/csl-citation.json"} </w:instrText>
      </w:r>
      <w:r>
        <w:fldChar w:fldCharType="separate"/>
      </w:r>
      <w:r w:rsidRPr="004811AC">
        <w:rPr>
          <w:szCs w:val="24"/>
        </w:rPr>
        <w:t>(Adermon, Lindahl and Waldenström 2018, p. 27)</w:t>
      </w:r>
      <w:r>
        <w:fldChar w:fldCharType="end"/>
      </w:r>
      <w:r>
        <w:t>,</w:t>
      </w:r>
      <w:r w:rsidRPr="0059379B">
        <w:rPr>
          <w:rStyle w:val="FootnoteReference"/>
        </w:rPr>
        <w:footnoteReference w:id="39"/>
      </w:r>
      <w:r>
        <w:t xml:space="preserve"> </w:t>
      </w:r>
      <w:r w:rsidRPr="003E76D9">
        <w:t>while</w:t>
      </w:r>
      <w:r>
        <w:t xml:space="preserve"> the other found that about 65 per cent of IWP was due to inheritances </w:t>
      </w:r>
      <w:r>
        <w:fldChar w:fldCharType="begin"/>
      </w:r>
      <w:r w:rsidR="0047772E">
        <w:instrText xml:space="preserve"> ADDIN ZOTERO_ITEM CSL_CITATION {"citationID":"7dhU2Gcs","properties":{"formattedCitation":"(Black et al.\\uc0\\u160{}2015, p.\\uc0\\u160{}19)","plainCitation":"(Black et al. 2015, p. 19)","noteIndex":0},"citationItems":[{"id":1678,"uris":["http://zotero.org/groups/2714158/items/GAZT9J83"],"uri":["http://zotero.org/groups/2714158/items/GAZT9J83"],"itemData":{"id":1678,"type":"report","genre":"Working Paper 21409","publisher":"National Bureau of Economic Research","title":"Poor Little Rich Kids? The Determinants of the Intergenerational Transmission of Wealth","author":[{"family":"Black","given":"Sandra E."},{"family":"Devereux","given":"Paul J."},{"family":"Lundborg","given":"Petter"},{"family":"Majlesi","given":"Kaveh"}],"issued":{"date-parts":[["2015"]]}},"locator":"19"}],"schema":"https://github.com/citation-style-language/schema/raw/master/csl-citation.json"} </w:instrText>
      </w:r>
      <w:r>
        <w:fldChar w:fldCharType="separate"/>
      </w:r>
      <w:r w:rsidRPr="00F63B62">
        <w:rPr>
          <w:szCs w:val="24"/>
        </w:rPr>
        <w:t>(Black et al. 2015, p. 19)</w:t>
      </w:r>
      <w:r>
        <w:fldChar w:fldCharType="end"/>
      </w:r>
      <w:r>
        <w:t>.</w:t>
      </w:r>
    </w:p>
    <w:p w14:paraId="03A5D9C4" w14:textId="53DBC915" w:rsidR="006E0ED6" w:rsidRPr="003E76D9" w:rsidRDefault="006E0ED6" w:rsidP="006E0ED6">
      <w:pPr>
        <w:pStyle w:val="BodyText"/>
        <w:rPr>
          <w:spacing w:val="-4"/>
        </w:rPr>
      </w:pPr>
      <w:r w:rsidRPr="003E76D9">
        <w:rPr>
          <w:spacing w:val="-4"/>
        </w:rPr>
        <w:t xml:space="preserve">Two factors might explain why </w:t>
      </w:r>
      <w:r w:rsidR="00872D15" w:rsidRPr="003E76D9">
        <w:rPr>
          <w:spacing w:val="-4"/>
        </w:rPr>
        <w:t xml:space="preserve">in Sweden </w:t>
      </w:r>
      <w:r w:rsidRPr="003E76D9">
        <w:rPr>
          <w:spacing w:val="-4"/>
        </w:rPr>
        <w:t xml:space="preserve">the share of IWP attributable to inheritances is higher than in Australia. </w:t>
      </w:r>
    </w:p>
    <w:p w14:paraId="0C9FD613" w14:textId="5BD6A4B5" w:rsidR="006E0ED6" w:rsidRPr="003E76D9" w:rsidRDefault="006E0ED6" w:rsidP="006E0ED6">
      <w:pPr>
        <w:pStyle w:val="ListBullet"/>
        <w:rPr>
          <w:spacing w:val="-4"/>
        </w:rPr>
      </w:pPr>
      <w:r w:rsidRPr="003E76D9">
        <w:rPr>
          <w:spacing w:val="-4"/>
        </w:rPr>
        <w:t>As a share of recipients’ initial wealth, inheritances were larger in Sweden than in Australia. Larger inheritances (as a share of initial wealth) imply that the level of IWP attributable to inheritances ought to be larger, other things equal. Inheritances amounted to 9–13 per cent of recipients’ initial wealth over in 2003</w:t>
      </w:r>
      <w:r w:rsidRPr="003E76D9">
        <w:rPr>
          <w:spacing w:val="-4"/>
        </w:rPr>
        <w:noBreakHyphen/>
        <w:t>04, 2007</w:t>
      </w:r>
      <w:r w:rsidRPr="003E76D9">
        <w:rPr>
          <w:spacing w:val="-4"/>
        </w:rPr>
        <w:noBreakHyphen/>
        <w:t>08, 2011</w:t>
      </w:r>
      <w:r w:rsidRPr="003E76D9">
        <w:rPr>
          <w:spacing w:val="-4"/>
        </w:rPr>
        <w:noBreakHyphen/>
        <w:t>12 and 2015</w:t>
      </w:r>
      <w:r w:rsidRPr="003E76D9">
        <w:rPr>
          <w:spacing w:val="-4"/>
        </w:rPr>
        <w:noBreakHyphen/>
        <w:t xml:space="preserve">16 in Australia. Yet, in Sweden, inheritances amounted to up to 30 per cent of recipients’ initial wealth in 2000 </w:t>
      </w:r>
      <w:r w:rsidRPr="003E76D9">
        <w:rPr>
          <w:spacing w:val="-4"/>
        </w:rPr>
        <w:fldChar w:fldCharType="begin"/>
      </w:r>
      <w:r w:rsidR="0047772E">
        <w:rPr>
          <w:spacing w:val="-4"/>
        </w:rPr>
        <w:instrText xml:space="preserve"> ADDIN ZOTERO_ITEM CSL_CITATION {"citationID":"iqaIZoHb","properties":{"formattedCitation":"(Commission estimate based on Nekoei and Seim\\uc0\\u160{}2019, p.\\uc0\\u160{}106)","plainCitation":"(Commission estimate based on Nekoei and Seim 2019, p. 106)","noteIndex":0},"citationItems":[{"id":1593,"uris":["http://zotero.org/groups/2714158/items/87CG2KPS"],"uri":["http://zotero.org/groups/2714158/items/87CG2KPS"],"itemData":{"id":1593,"type":"report","number":"Discussion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Sweden","author":[{"family":"Nekoei","given":"Arash"},{"family":"Seim","given":"David"}],"accessed":{"date-parts":[["2021",1,15]]},"issued":{"date-parts":[["2019"]]}},"locator":"106","prefix":"Commission estimate based on"}],"schema":"https://github.com/citation-style-language/schema/raw/master/csl-citation.json"} </w:instrText>
      </w:r>
      <w:r w:rsidRPr="003E76D9">
        <w:rPr>
          <w:spacing w:val="-4"/>
        </w:rPr>
        <w:fldChar w:fldCharType="separate"/>
      </w:r>
      <w:r w:rsidRPr="003E76D9">
        <w:rPr>
          <w:spacing w:val="-4"/>
        </w:rPr>
        <w:t>(Commission estimate based on Nekoei and Seim 2019, p. 106)</w:t>
      </w:r>
      <w:r w:rsidRPr="003E76D9">
        <w:rPr>
          <w:spacing w:val="-4"/>
        </w:rPr>
        <w:fldChar w:fldCharType="end"/>
      </w:r>
      <w:r w:rsidRPr="003E76D9">
        <w:rPr>
          <w:spacing w:val="-4"/>
        </w:rPr>
        <w:t>.</w:t>
      </w:r>
    </w:p>
    <w:p w14:paraId="6AE44E46" w14:textId="71157D62" w:rsidR="006E0ED6" w:rsidRPr="003E76D9" w:rsidRDefault="006E0ED6" w:rsidP="006E0ED6">
      <w:pPr>
        <w:pStyle w:val="ListBullet"/>
        <w:rPr>
          <w:spacing w:val="-2"/>
        </w:rPr>
      </w:pPr>
      <w:r w:rsidRPr="003E76D9">
        <w:rPr>
          <w:spacing w:val="-2"/>
        </w:rPr>
        <w:t>IWP appears to be lower in Sweden than in Australia (figure 2.1</w:t>
      </w:r>
      <w:r>
        <w:rPr>
          <w:spacing w:val="-2"/>
        </w:rPr>
        <w:t>0</w:t>
      </w:r>
      <w:r w:rsidRPr="003E76D9">
        <w:rPr>
          <w:spacing w:val="-2"/>
        </w:rPr>
        <w:t>), so a given level of IWP due to inheritances would correspond with a large</w:t>
      </w:r>
      <w:r w:rsidR="00C814D3">
        <w:rPr>
          <w:spacing w:val="-2"/>
        </w:rPr>
        <w:t>r</w:t>
      </w:r>
      <w:r w:rsidRPr="003E76D9">
        <w:rPr>
          <w:spacing w:val="-2"/>
        </w:rPr>
        <w:t xml:space="preserve"> share of IWP due to inheritances in Sweden than in Australia. Relatedly, the second study of Sweden </w:t>
      </w:r>
      <w:r w:rsidRPr="003E76D9">
        <w:rPr>
          <w:spacing w:val="-2"/>
        </w:rPr>
        <w:fldChar w:fldCharType="begin"/>
      </w:r>
      <w:r w:rsidR="0047772E">
        <w:rPr>
          <w:spacing w:val="-2"/>
        </w:rPr>
        <w:instrText xml:space="preserve"> ADDIN ZOTERO_ITEM CSL_CITATION {"citationID":"C6fx1yRd","properties":{"formattedCitation":"(Black et al.\\uc0\\u160{}2015)","plainCitation":"(Black et al. 2015)","noteIndex":0},"citationItems":[{"id":1678,"uris":["http://zotero.org/groups/2714158/items/GAZT9J83"],"uri":["http://zotero.org/groups/2714158/items/GAZT9J83"],"itemData":{"id":1678,"type":"report","genre":"Working Paper 21409","publisher":"National Bureau of Economic Research","title":"Poor Little Rich Kids? The Determinants of the Intergenerational Transmission of Wealth","author":[{"family":"Black","given":"Sandra E."},{"family":"Devereux","given":"Paul J."},{"family":"Lundborg","given":"Petter"},{"family":"Majlesi","given":"Kaveh"}],"issued":{"date-parts":[["2015"]]}}}],"schema":"https://github.com/citation-style-language/schema/raw/master/csl-citation.json"} </w:instrText>
      </w:r>
      <w:r w:rsidRPr="003E76D9">
        <w:rPr>
          <w:spacing w:val="-2"/>
        </w:rPr>
        <w:fldChar w:fldCharType="separate"/>
      </w:r>
      <w:r w:rsidRPr="003E76D9">
        <w:rPr>
          <w:spacing w:val="-2"/>
        </w:rPr>
        <w:t>(Black et al. 2015)</w:t>
      </w:r>
      <w:r w:rsidRPr="003E76D9">
        <w:rPr>
          <w:spacing w:val="-2"/>
        </w:rPr>
        <w:fldChar w:fldCharType="end"/>
      </w:r>
      <w:r w:rsidRPr="003E76D9">
        <w:rPr>
          <w:spacing w:val="-2"/>
        </w:rPr>
        <w:t xml:space="preserve"> was of adoptive children, amongst whom IWP is lower than amongst the general population for reasons other than inheritance, which exacerbates this effect.</w:t>
      </w:r>
    </w:p>
    <w:tbl>
      <w:tblPr>
        <w:tblStyle w:val="Boxtable"/>
        <w:tblW w:w="5000" w:type="pct"/>
        <w:tblLook w:val="04A0" w:firstRow="1" w:lastRow="0" w:firstColumn="1" w:lastColumn="0" w:noHBand="0" w:noVBand="1"/>
      </w:tblPr>
      <w:tblGrid>
        <w:gridCol w:w="9638"/>
      </w:tblGrid>
      <w:tr w:rsidR="006E0ED6" w14:paraId="17A91280" w14:textId="77777777" w:rsidTr="001625EC">
        <w:trPr>
          <w:tblHeader/>
        </w:trPr>
        <w:tc>
          <w:tcPr>
            <w:tcW w:w="9638" w:type="dxa"/>
            <w:tcMar>
              <w:top w:w="170" w:type="dxa"/>
              <w:left w:w="170" w:type="dxa"/>
              <w:bottom w:w="113" w:type="dxa"/>
              <w:right w:w="170" w:type="dxa"/>
            </w:tcMar>
            <w:hideMark/>
          </w:tcPr>
          <w:p w14:paraId="539BB62F" w14:textId="6BAC4C5E" w:rsidR="006E0ED6" w:rsidRDefault="006E0ED6" w:rsidP="001625EC">
            <w:pPr>
              <w:pStyle w:val="BoxHeading1"/>
            </w:pPr>
            <w:r>
              <w:lastRenderedPageBreak/>
              <w:t xml:space="preserve">Box </w:t>
            </w:r>
            <w:r w:rsidR="00B2270C">
              <w:fldChar w:fldCharType="begin"/>
            </w:r>
            <w:r w:rsidR="00B2270C">
              <w:instrText xml:space="preserve"> STYLEREF 1 \s </w:instrText>
            </w:r>
            <w:r w:rsidR="00B2270C">
              <w:fldChar w:fldCharType="separate"/>
            </w:r>
            <w:r w:rsidR="00F3386D">
              <w:rPr>
                <w:noProof/>
              </w:rPr>
              <w:t>2</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5</w:t>
            </w:r>
            <w:r w:rsidR="00B2270C">
              <w:rPr>
                <w:noProof/>
              </w:rPr>
              <w:fldChar w:fldCharType="end"/>
            </w:r>
            <w:r>
              <w:t xml:space="preserve"> – </w:t>
            </w:r>
            <w:r w:rsidRPr="00EA4320">
              <w:t>The share of IWP attributable to inheritances versus the effect of inheritances on relative wealth inequality</w:t>
            </w:r>
          </w:p>
        </w:tc>
      </w:tr>
      <w:tr w:rsidR="006E0ED6" w14:paraId="5E70209B" w14:textId="77777777" w:rsidTr="001625EC">
        <w:tc>
          <w:tcPr>
            <w:tcW w:w="9638" w:type="dxa"/>
            <w:tcMar>
              <w:top w:w="28" w:type="dxa"/>
              <w:left w:w="170" w:type="dxa"/>
              <w:bottom w:w="170" w:type="dxa"/>
              <w:right w:w="170" w:type="dxa"/>
            </w:tcMar>
            <w:hideMark/>
          </w:tcPr>
          <w:p w14:paraId="4C3781C8" w14:textId="77777777" w:rsidR="006E0ED6" w:rsidRDefault="006E0ED6" w:rsidP="001625EC">
            <w:pPr>
              <w:pStyle w:val="BodyText"/>
            </w:pPr>
            <w:r>
              <w:t>The relationship between the share of intergenerational wealth persistence (IWP) attributable to inheritances and the extent to which inheritances reduce relative wealth inequality may be positive or negative, depending on which exogenous factor is driving the variation in the two measures.</w:t>
            </w:r>
          </w:p>
          <w:p w14:paraId="087AA1DD" w14:textId="77777777" w:rsidR="006E0ED6" w:rsidRDefault="006E0ED6" w:rsidP="001625EC">
            <w:pPr>
              <w:pStyle w:val="BodyText"/>
            </w:pPr>
            <w:r>
              <w:t>For an example of a positive relationship between the two measures, suppose that IWP for reasons other than inheritance (pre</w:t>
            </w:r>
            <w:r>
              <w:noBreakHyphen/>
              <w:t>inheritance IWP) were to be higher, other things equal (this is the ‘exogenous factor’ driving the variation in this instance). This could occur if, say, public schools were to decline in quality relative to private schools, such that investment in private schooling (usually made by wealthier parents) boosted their children further up the wealth rankings. The share of IWP attributable to inheritances would then be lower, for two reasons:</w:t>
            </w:r>
          </w:p>
          <w:p w14:paraId="63A04458" w14:textId="77777777" w:rsidR="006E0ED6" w:rsidRDefault="006E0ED6" w:rsidP="001625EC">
            <w:pPr>
              <w:pStyle w:val="ListBullet"/>
            </w:pPr>
            <w:r>
              <w:t xml:space="preserve">the </w:t>
            </w:r>
            <w:r w:rsidRPr="00DD586D">
              <w:rPr>
                <w:i/>
              </w:rPr>
              <w:t>level</w:t>
            </w:r>
            <w:r>
              <w:t xml:space="preserve"> change to IWP attributable to inheritances would be lower, because the distribution of inheritances would more closely align with the existing child wealth distribution, so less re</w:t>
            </w:r>
            <w:r>
              <w:noBreakHyphen/>
              <w:t>ordering of the child wealth distribution would take place</w:t>
            </w:r>
          </w:p>
          <w:p w14:paraId="166AD27E" w14:textId="77777777" w:rsidR="006E0ED6" w:rsidRDefault="006E0ED6" w:rsidP="001625EC">
            <w:pPr>
              <w:pStyle w:val="ListBullet"/>
            </w:pPr>
            <w:r>
              <w:t xml:space="preserve">the </w:t>
            </w:r>
            <w:r w:rsidRPr="00DD586D">
              <w:rPr>
                <w:i/>
              </w:rPr>
              <w:t>share</w:t>
            </w:r>
            <w:r>
              <w:t xml:space="preserve"> of IWP attributable to inheritances would be lower, both because the level change would be lower and because pre</w:t>
            </w:r>
            <w:r>
              <w:noBreakHyphen/>
              <w:t>inheritance IWP would be higher.</w:t>
            </w:r>
          </w:p>
          <w:p w14:paraId="1B19DC2E" w14:textId="77777777" w:rsidR="006E0ED6" w:rsidRDefault="006E0ED6" w:rsidP="001625EC">
            <w:pPr>
              <w:pStyle w:val="BodyText"/>
            </w:pPr>
            <w:r>
              <w:t>Meanwhile, inheritances would have a less equalising effect on relative wealth inequality, again because the distribution of inheritances would more closely align with the existing child wealth distribution.</w:t>
            </w:r>
          </w:p>
          <w:p w14:paraId="4A209139" w14:textId="77777777" w:rsidR="006E0ED6" w:rsidRDefault="006E0ED6" w:rsidP="001625EC">
            <w:pPr>
              <w:pStyle w:val="BodyText"/>
            </w:pPr>
            <w:r w:rsidRPr="008262CA">
              <w:t xml:space="preserve">For an example of a negative relationship between the two measures, suppose instead that wealth inequality among those who die were to be higher while wealth inequality among those receiving inheritances were to be unchanged, other things equal (this </w:t>
            </w:r>
            <w:r>
              <w:t xml:space="preserve">is </w:t>
            </w:r>
            <w:r w:rsidRPr="008262CA">
              <w:t>the ‘</w:t>
            </w:r>
            <w:r>
              <w:t>exogenous</w:t>
            </w:r>
            <w:r w:rsidRPr="008262CA">
              <w:t xml:space="preserve"> factor’ driving the variation in this instance). This could occur if, say, the Age Pension were reduced in value or if aged care funding were reformed to a more ‘user pays’ basis. The share of IWP attributable to inheritances would then be higher, because the larger inequality in inheritance flows lead to more re</w:t>
            </w:r>
            <w:r>
              <w:noBreakHyphen/>
            </w:r>
            <w:r w:rsidRPr="008262CA">
              <w:t>ordering of the child wealth distribution. Yet inheritances would again have a less equalising effect on relative wealth inequality, because poorer children would receive smaller inheritances, and vice versa.</w:t>
            </w:r>
          </w:p>
        </w:tc>
      </w:tr>
      <w:tr w:rsidR="006E0ED6" w14:paraId="2183D3D2" w14:textId="77777777" w:rsidTr="001625EC">
        <w:tc>
          <w:tcPr>
            <w:tcW w:w="9638" w:type="dxa"/>
            <w:shd w:val="clear" w:color="auto" w:fill="auto"/>
            <w:tcMar>
              <w:top w:w="0" w:type="dxa"/>
              <w:left w:w="170" w:type="dxa"/>
              <w:bottom w:w="0" w:type="dxa"/>
              <w:right w:w="170" w:type="dxa"/>
            </w:tcMar>
          </w:tcPr>
          <w:p w14:paraId="0E9FBF8A" w14:textId="77777777" w:rsidR="006E0ED6" w:rsidRDefault="006E0ED6" w:rsidP="001625EC">
            <w:pPr>
              <w:pStyle w:val="BodyText"/>
              <w:spacing w:before="0" w:after="0" w:line="80" w:lineRule="atLeast"/>
            </w:pPr>
          </w:p>
        </w:tc>
      </w:tr>
    </w:tbl>
    <w:p w14:paraId="5961EC17" w14:textId="77777777" w:rsidR="006E0ED6" w:rsidRDefault="006E0ED6" w:rsidP="006E0ED6">
      <w:pPr>
        <w:pStyle w:val="Boxspace"/>
        <w:sectPr w:rsidR="006E0ED6" w:rsidSect="001625EC">
          <w:headerReference w:type="even" r:id="rId88"/>
          <w:headerReference w:type="default" r:id="rId89"/>
          <w:footerReference w:type="even" r:id="rId90"/>
          <w:footerReference w:type="default" r:id="rId91"/>
          <w:type w:val="oddPage"/>
          <w:pgSz w:w="11906" w:h="16838" w:code="9"/>
          <w:pgMar w:top="1134" w:right="1134" w:bottom="1134" w:left="1134" w:header="794" w:footer="510" w:gutter="0"/>
          <w:cols w:space="708"/>
          <w:docGrid w:linePitch="360"/>
        </w:sectPr>
      </w:pPr>
    </w:p>
    <w:p w14:paraId="1CAB0F2A" w14:textId="77777777" w:rsidR="006E0ED6" w:rsidRDefault="006E0ED6" w:rsidP="00303CA0">
      <w:pPr>
        <w:pStyle w:val="Heading1"/>
      </w:pPr>
      <w:bookmarkStart w:id="20" w:name="_Toc87543961"/>
      <w:r w:rsidRPr="00D02344">
        <w:rPr>
          <w:spacing w:val="-8"/>
        </w:rPr>
        <w:lastRenderedPageBreak/>
        <w:t>How might future wealth transfers</w:t>
      </w:r>
      <w:r w:rsidRPr="00D507A0">
        <w:t xml:space="preserve"> affect wealth inequality?</w:t>
      </w:r>
      <w:bookmarkEnd w:id="20"/>
    </w:p>
    <w:tbl>
      <w:tblPr>
        <w:tblStyle w:val="Texttable-Paleblue"/>
        <w:tblW w:w="5000" w:type="pct"/>
        <w:tblLook w:val="04A0" w:firstRow="1" w:lastRow="0" w:firstColumn="1" w:lastColumn="0" w:noHBand="0" w:noVBand="1"/>
      </w:tblPr>
      <w:tblGrid>
        <w:gridCol w:w="577"/>
        <w:gridCol w:w="9061"/>
      </w:tblGrid>
      <w:tr w:rsidR="006E0ED6" w:rsidRPr="002F759A" w14:paraId="440D5DF7" w14:textId="77777777" w:rsidTr="001625EC">
        <w:tc>
          <w:tcPr>
            <w:tcW w:w="9638" w:type="dxa"/>
            <w:gridSpan w:val="2"/>
            <w:tcMar>
              <w:left w:w="170" w:type="dxa"/>
            </w:tcMar>
          </w:tcPr>
          <w:p w14:paraId="69718BCE" w14:textId="77777777" w:rsidR="006E0ED6" w:rsidRPr="002F759A" w:rsidRDefault="006E0ED6" w:rsidP="001625EC">
            <w:pPr>
              <w:pStyle w:val="Keypoints-heading"/>
            </w:pPr>
            <w:r w:rsidRPr="002F759A">
              <w:t>Key points</w:t>
            </w:r>
          </w:p>
        </w:tc>
      </w:tr>
      <w:tr w:rsidR="006E0ED6" w14:paraId="12D99199" w14:textId="77777777" w:rsidTr="001625EC">
        <w:tc>
          <w:tcPr>
            <w:tcW w:w="577" w:type="dxa"/>
            <w:tcMar>
              <w:top w:w="0" w:type="dxa"/>
              <w:bottom w:w="0" w:type="dxa"/>
              <w:right w:w="113" w:type="dxa"/>
            </w:tcMar>
          </w:tcPr>
          <w:p w14:paraId="4FDA976F" w14:textId="77777777" w:rsidR="006E0ED6" w:rsidRDefault="006E0ED6" w:rsidP="004C58DE">
            <w:pPr>
              <w:pStyle w:val="KeyPointsicon"/>
              <w:spacing w:line="240" w:lineRule="atLeast"/>
            </w:pPr>
            <w:r w:rsidRPr="00A51374">
              <w:rPr>
                <w:noProof/>
              </w:rPr>
              <w:drawing>
                <wp:inline distT="0" distB="0" distL="0" distR="0" wp14:anchorId="486B7AF1" wp14:editId="5E5847E4">
                  <wp:extent cx="180000" cy="180000"/>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FF05AD7" w14:textId="77777777" w:rsidR="006E0ED6" w:rsidRDefault="006E0ED6" w:rsidP="004C58DE">
            <w:pPr>
              <w:pStyle w:val="KeyPoints-Bold"/>
              <w:spacing w:line="240" w:lineRule="atLeast"/>
            </w:pPr>
            <w:r w:rsidRPr="00817BD9">
              <w:t>The total value of inheritances passed onto the next generation is projected to increase nearly fourfold between 2020 and 2050.</w:t>
            </w:r>
          </w:p>
        </w:tc>
      </w:tr>
      <w:tr w:rsidR="006E0ED6" w14:paraId="05A69712" w14:textId="77777777" w:rsidTr="001625EC">
        <w:tc>
          <w:tcPr>
            <w:tcW w:w="577" w:type="dxa"/>
            <w:tcMar>
              <w:top w:w="0" w:type="dxa"/>
              <w:bottom w:w="0" w:type="dxa"/>
              <w:right w:w="113" w:type="dxa"/>
            </w:tcMar>
          </w:tcPr>
          <w:p w14:paraId="3FB3437E" w14:textId="77777777" w:rsidR="006E0ED6" w:rsidRPr="00A51374" w:rsidRDefault="006E0ED6" w:rsidP="004C58DE">
            <w:pPr>
              <w:pStyle w:val="KeyPointsicon"/>
              <w:spacing w:line="240" w:lineRule="atLeast"/>
            </w:pPr>
            <w:r w:rsidRPr="00F31E73">
              <w:rPr>
                <w:noProof/>
              </w:rPr>
              <w:drawing>
                <wp:inline distT="0" distB="0" distL="0" distR="0" wp14:anchorId="7BCAD595" wp14:editId="2F70BA94">
                  <wp:extent cx="180000" cy="180000"/>
                  <wp:effectExtent l="0" t="0" r="0" b="0"/>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B31195B" w14:textId="77777777" w:rsidR="006E0ED6" w:rsidRPr="00610627" w:rsidRDefault="006E0ED6" w:rsidP="004C58DE">
            <w:pPr>
              <w:pStyle w:val="KeyPoints-Bold"/>
              <w:spacing w:line="240" w:lineRule="atLeast"/>
            </w:pPr>
            <w:r w:rsidRPr="00686931">
              <w:t>Projected growth in inheritances is partly driven by rising wealth among older age groups, who hold a disproportionately large share of wealth in the future.</w:t>
            </w:r>
          </w:p>
        </w:tc>
      </w:tr>
      <w:tr w:rsidR="006E0ED6" w14:paraId="008D6316" w14:textId="77777777" w:rsidTr="001625EC">
        <w:tc>
          <w:tcPr>
            <w:tcW w:w="577" w:type="dxa"/>
            <w:tcMar>
              <w:top w:w="0" w:type="dxa"/>
              <w:bottom w:w="0" w:type="dxa"/>
              <w:right w:w="113" w:type="dxa"/>
            </w:tcMar>
          </w:tcPr>
          <w:p w14:paraId="62FE4D4D" w14:textId="77777777" w:rsidR="006E0ED6" w:rsidRPr="00A51374" w:rsidRDefault="006E0ED6" w:rsidP="004C58DE">
            <w:pPr>
              <w:pStyle w:val="KeyPointsicon"/>
              <w:spacing w:line="240" w:lineRule="atLeast"/>
            </w:pPr>
            <w:r w:rsidRPr="00F31E73">
              <w:rPr>
                <w:noProof/>
              </w:rPr>
              <w:drawing>
                <wp:inline distT="0" distB="0" distL="0" distR="0" wp14:anchorId="12B28693" wp14:editId="65E181D4">
                  <wp:extent cx="180000" cy="18000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0E872EA" w14:textId="77777777" w:rsidR="006E0ED6" w:rsidRPr="00610627" w:rsidRDefault="006E0ED6" w:rsidP="004C58DE">
            <w:pPr>
              <w:pStyle w:val="KeyPoints-Bold"/>
              <w:spacing w:line="240" w:lineRule="atLeast"/>
            </w:pPr>
            <w:r w:rsidRPr="00CF5BF5">
              <w:t>Housing wealth is a significant factor driving these outcomes. Older age groups own more housing wealth, they draw down on that housing wealth slowly, and they inherit large housing wealth from their partners in old age.</w:t>
            </w:r>
          </w:p>
        </w:tc>
      </w:tr>
      <w:tr w:rsidR="006E0ED6" w14:paraId="12FEAF45" w14:textId="77777777" w:rsidTr="001625EC">
        <w:tc>
          <w:tcPr>
            <w:tcW w:w="577" w:type="dxa"/>
            <w:tcMar>
              <w:top w:w="0" w:type="dxa"/>
              <w:bottom w:w="0" w:type="dxa"/>
              <w:right w:w="113" w:type="dxa"/>
            </w:tcMar>
          </w:tcPr>
          <w:p w14:paraId="4B1F01EE" w14:textId="77777777" w:rsidR="006E0ED6" w:rsidRPr="00A51374" w:rsidRDefault="006E0ED6" w:rsidP="004C58DE">
            <w:pPr>
              <w:pStyle w:val="KeyPointsicon"/>
              <w:spacing w:line="240" w:lineRule="atLeast"/>
            </w:pPr>
            <w:r w:rsidRPr="00F31E73">
              <w:rPr>
                <w:noProof/>
              </w:rPr>
              <w:drawing>
                <wp:inline distT="0" distB="0" distL="0" distR="0" wp14:anchorId="173E8659" wp14:editId="54B4C020">
                  <wp:extent cx="180000" cy="180000"/>
                  <wp:effectExtent l="0" t="0" r="0" b="0"/>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99F77A" w14:textId="77777777" w:rsidR="006E0ED6" w:rsidRDefault="006E0ED6" w:rsidP="004C58DE">
            <w:pPr>
              <w:pStyle w:val="KeyPoints-Bold"/>
              <w:spacing w:line="240" w:lineRule="atLeast"/>
            </w:pPr>
            <w:r w:rsidRPr="003D0891">
              <w:t>Demographic factors are also driving increases in the average value of inheritances, and the size of inheritances relative to recipients’ existing wealth and income.</w:t>
            </w:r>
          </w:p>
          <w:p w14:paraId="50B7FDD4" w14:textId="77777777" w:rsidR="006E0ED6" w:rsidRDefault="006E0ED6" w:rsidP="004C58DE">
            <w:pPr>
              <w:pStyle w:val="KeyPoints-Bullet"/>
              <w:spacing w:before="0" w:line="240" w:lineRule="atLeast"/>
            </w:pPr>
            <w:r>
              <w:t>The ageing population means that the number of deaths doubles by 2050, and older people make up a larger share of deaths.</w:t>
            </w:r>
          </w:p>
          <w:p w14:paraId="3D918741" w14:textId="77777777" w:rsidR="006E0ED6" w:rsidRPr="00610627" w:rsidRDefault="006E0ED6" w:rsidP="004C58DE">
            <w:pPr>
              <w:pStyle w:val="KeyPoints-Bullet"/>
              <w:spacing w:after="0" w:line="240" w:lineRule="atLeast"/>
            </w:pPr>
            <w:r>
              <w:t>The long term trend of falling fertility rates means that people who are expected to die have fewer children to leave their wealth to in the future.</w:t>
            </w:r>
          </w:p>
        </w:tc>
      </w:tr>
      <w:tr w:rsidR="006E0ED6" w14:paraId="6B83777F" w14:textId="77777777" w:rsidTr="001625EC">
        <w:tc>
          <w:tcPr>
            <w:tcW w:w="577" w:type="dxa"/>
            <w:tcMar>
              <w:top w:w="0" w:type="dxa"/>
              <w:bottom w:w="0" w:type="dxa"/>
              <w:right w:w="113" w:type="dxa"/>
            </w:tcMar>
          </w:tcPr>
          <w:p w14:paraId="4F9697B2" w14:textId="77777777" w:rsidR="006E0ED6" w:rsidRPr="00A51374" w:rsidRDefault="006E0ED6" w:rsidP="004C58DE">
            <w:pPr>
              <w:pStyle w:val="KeyPointsicon"/>
              <w:spacing w:line="240" w:lineRule="atLeast"/>
            </w:pPr>
            <w:r w:rsidRPr="00F31E73">
              <w:rPr>
                <w:noProof/>
              </w:rPr>
              <w:drawing>
                <wp:inline distT="0" distB="0" distL="0" distR="0" wp14:anchorId="353B6384" wp14:editId="42659B44">
                  <wp:extent cx="180000" cy="180000"/>
                  <wp:effectExtent l="0" t="0" r="0" b="0"/>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F467941" w14:textId="77777777" w:rsidR="006E0ED6" w:rsidRDefault="006E0ED6" w:rsidP="004C58DE">
            <w:pPr>
              <w:pStyle w:val="KeyPoints-Bold"/>
              <w:spacing w:line="240" w:lineRule="atLeast"/>
            </w:pPr>
            <w:r w:rsidRPr="00606348">
              <w:t>Consistent with analysis of their historical impacts in Australia (and overseas), wealth transfers are projected to increase absolute wealth inequality (which is measured in dollar terms) but reduce relative wealth inequality (which is measured in proportional terms).</w:t>
            </w:r>
          </w:p>
          <w:p w14:paraId="2DA69A8A" w14:textId="77777777" w:rsidR="006E0ED6" w:rsidRPr="00610627" w:rsidRDefault="006E0ED6" w:rsidP="004C58DE">
            <w:pPr>
              <w:pStyle w:val="KeyPoints-Bullet"/>
              <w:spacing w:before="0" w:after="0" w:line="240" w:lineRule="atLeast"/>
            </w:pPr>
            <w:r w:rsidRPr="00A34096">
              <w:t>This is because wealth transfers received by the less wealthy constitute a larger proportion of their existing wealth than wealth transfers received by wealthier people.</w:t>
            </w:r>
          </w:p>
        </w:tc>
      </w:tr>
      <w:tr w:rsidR="006E0ED6" w14:paraId="6E70AEA4" w14:textId="77777777" w:rsidTr="001625EC">
        <w:tc>
          <w:tcPr>
            <w:tcW w:w="577" w:type="dxa"/>
            <w:tcMar>
              <w:top w:w="0" w:type="dxa"/>
              <w:bottom w:w="0" w:type="dxa"/>
              <w:right w:w="113" w:type="dxa"/>
            </w:tcMar>
          </w:tcPr>
          <w:p w14:paraId="2D8C3B66" w14:textId="77777777" w:rsidR="006E0ED6" w:rsidRPr="00A51374" w:rsidRDefault="006E0ED6" w:rsidP="004C58DE">
            <w:pPr>
              <w:pStyle w:val="KeyPointsicon"/>
              <w:spacing w:line="240" w:lineRule="atLeast"/>
            </w:pPr>
            <w:r w:rsidRPr="00A51374">
              <w:rPr>
                <w:noProof/>
              </w:rPr>
              <w:drawing>
                <wp:inline distT="0" distB="0" distL="0" distR="0" wp14:anchorId="4F025126" wp14:editId="26F009A7">
                  <wp:extent cx="180000" cy="180000"/>
                  <wp:effectExtent l="0" t="0" r="0" b="0"/>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CF800F" w14:textId="77777777" w:rsidR="006E0ED6" w:rsidRPr="00610627" w:rsidRDefault="006E0ED6" w:rsidP="004C58DE">
            <w:pPr>
              <w:pStyle w:val="KeyPoints-Bold"/>
              <w:spacing w:line="240" w:lineRule="atLeast"/>
            </w:pPr>
            <w:r w:rsidRPr="008D701D">
              <w:t>The projected sizes of total wealth and wealth transfers are highly sensitive to changes in rates of return on assets. However, the finding that wealth transfers moderate relative wealth inequality holds consistently, regardless of assumed rates of return.</w:t>
            </w:r>
          </w:p>
        </w:tc>
      </w:tr>
      <w:tr w:rsidR="006E0ED6" w14:paraId="721833C7" w14:textId="77777777" w:rsidTr="001625EC">
        <w:tc>
          <w:tcPr>
            <w:tcW w:w="577" w:type="dxa"/>
            <w:tcMar>
              <w:top w:w="0" w:type="dxa"/>
              <w:bottom w:w="0" w:type="dxa"/>
              <w:right w:w="113" w:type="dxa"/>
            </w:tcMar>
          </w:tcPr>
          <w:p w14:paraId="73E8B8B2" w14:textId="77777777" w:rsidR="006E0ED6" w:rsidRPr="00A51374" w:rsidRDefault="006E0ED6" w:rsidP="004C58DE">
            <w:pPr>
              <w:pStyle w:val="KeyPointsicon"/>
              <w:spacing w:line="240" w:lineRule="atLeast"/>
            </w:pPr>
            <w:r w:rsidRPr="00F31E73">
              <w:rPr>
                <w:noProof/>
              </w:rPr>
              <w:drawing>
                <wp:inline distT="0" distB="0" distL="0" distR="0" wp14:anchorId="61AF2641" wp14:editId="175B7C9C">
                  <wp:extent cx="180000" cy="180000"/>
                  <wp:effectExtent l="0" t="0" r="0" b="0"/>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2026CE4" w14:textId="77777777" w:rsidR="006E0ED6" w:rsidRPr="00610627" w:rsidRDefault="006E0ED6" w:rsidP="004C58DE">
            <w:pPr>
              <w:pStyle w:val="KeyPoints-Bold"/>
              <w:spacing w:line="240" w:lineRule="atLeast"/>
            </w:pPr>
            <w:r w:rsidRPr="0000253E">
              <w:t>Scenario analysis demonstrates that wealth transfers would increase relative wealth inequality if, when compared to past outcomes, wealthier people receive much larger inheritances, or they save a much larger share of their inheritances compared with less wealthy recipients.</w:t>
            </w:r>
          </w:p>
        </w:tc>
      </w:tr>
      <w:tr w:rsidR="006E0ED6" w14:paraId="6382079E" w14:textId="77777777" w:rsidTr="001625EC">
        <w:tc>
          <w:tcPr>
            <w:tcW w:w="577" w:type="dxa"/>
            <w:tcMar>
              <w:top w:w="0" w:type="dxa"/>
              <w:bottom w:w="0" w:type="dxa"/>
              <w:right w:w="113" w:type="dxa"/>
            </w:tcMar>
          </w:tcPr>
          <w:p w14:paraId="2587480A" w14:textId="77777777" w:rsidR="006E0ED6" w:rsidRPr="00A51374" w:rsidRDefault="006E0ED6" w:rsidP="004C58DE">
            <w:pPr>
              <w:pStyle w:val="KeyPointsicon"/>
              <w:spacing w:line="240" w:lineRule="atLeast"/>
            </w:pPr>
            <w:r w:rsidRPr="00A51374">
              <w:rPr>
                <w:noProof/>
              </w:rPr>
              <w:drawing>
                <wp:inline distT="0" distB="0" distL="0" distR="0" wp14:anchorId="2BC81CDA" wp14:editId="3707A92B">
                  <wp:extent cx="180000" cy="180000"/>
                  <wp:effectExtent l="0" t="0" r="0" b="0"/>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1E36D17" w14:textId="0AFF66EA" w:rsidR="006E0ED6" w:rsidRDefault="006E0ED6" w:rsidP="004C58DE">
            <w:pPr>
              <w:pStyle w:val="KeyPoints-Bold"/>
              <w:keepNext/>
              <w:spacing w:line="240" w:lineRule="atLeast"/>
            </w:pPr>
            <w:bookmarkStart w:id="21" w:name="_Hlk82782555"/>
            <w:r>
              <w:t>The projected effects on relative wealth inequality under all scenarios were found to be relatively small, particularly in comparison to the impact of changes in rates of return</w:t>
            </w:r>
            <w:bookmarkEnd w:id="21"/>
            <w:r>
              <w:t xml:space="preserve"> on assets</w:t>
            </w:r>
            <w:r w:rsidR="00EE1A30">
              <w:t>.</w:t>
            </w:r>
          </w:p>
          <w:p w14:paraId="1CDCF3CF" w14:textId="77777777" w:rsidR="006E0ED6" w:rsidRPr="00610627" w:rsidRDefault="006E0ED6" w:rsidP="004C58DE">
            <w:pPr>
              <w:pStyle w:val="KeyPoints-Bullet"/>
              <w:spacing w:before="0" w:line="240" w:lineRule="atLeast"/>
            </w:pPr>
            <w:r>
              <w:t>A one percentage point change in the rate of return on housing led to relative wealth inequality effects that were more than triple the effect of wealth transfers by 2050.</w:t>
            </w:r>
          </w:p>
        </w:tc>
      </w:tr>
    </w:tbl>
    <w:p w14:paraId="0E6B13D0" w14:textId="77777777" w:rsidR="006E0ED6" w:rsidRDefault="006E0ED6" w:rsidP="006E0ED6">
      <w:pPr>
        <w:pStyle w:val="Space"/>
      </w:pPr>
    </w:p>
    <w:p w14:paraId="3CE3DD1E" w14:textId="524596A2" w:rsidR="006E0ED6" w:rsidRDefault="006E0ED6" w:rsidP="006E0ED6">
      <w:pPr>
        <w:pStyle w:val="BodyText"/>
      </w:pPr>
      <w:bookmarkStart w:id="22" w:name="_Hlk82600017"/>
      <w:r>
        <w:lastRenderedPageBreak/>
        <w:t xml:space="preserve">Strong residential property price growth and increasing stores of wealth in the superannuation system have contributed to rising wealth </w:t>
      </w:r>
      <w:r>
        <w:fldChar w:fldCharType="begin"/>
      </w:r>
      <w:r w:rsidR="0047772E">
        <w:instrText xml:space="preserve"> ADDIN ZOTERO_ITEM CSL_CITATION {"citationID":"h98HVJ0E","properties":{"formattedCitation":"(The Treasury\\uc0\\u160{}2020, p.\\uc0\\u160{}369)","plainCitation":"(The Treasury 2020, p. 369)","noteIndex":0},"citationItems":[{"id":1552,"uris":["http://zotero.org/groups/2714158/items/R5Y5AKIH"],"uri":["http://zotero.org/groups/2714158/items/R5Y5AKIH"],"itemData":{"id":1552,"type":"report","event-place":"Canberra","genre":"Final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Treasury","given":""}],"accessed":{"date-parts":[["2021",2,4]]},"issued":{"date-parts":[["2020"]]}},"locator":"369"}],"schema":"https://github.com/citation-style-language/schema/raw/master/csl-citation.json"} </w:instrText>
      </w:r>
      <w:r>
        <w:fldChar w:fldCharType="separate"/>
      </w:r>
      <w:r w:rsidRPr="006E4BB5">
        <w:rPr>
          <w:szCs w:val="24"/>
        </w:rPr>
        <w:t>(The Treasury 2020, p. 369)</w:t>
      </w:r>
      <w:r>
        <w:fldChar w:fldCharType="end"/>
      </w:r>
      <w:r>
        <w:t xml:space="preserve">. Retirees have also tended to draw down moderately on their savings </w:t>
      </w:r>
      <w:r>
        <w:fldChar w:fldCharType="begin"/>
      </w:r>
      <w:r w:rsidR="0047772E">
        <w:instrText xml:space="preserve"> ADDIN ZOTERO_ITEM CSL_CITATION {"citationID":"TFpyaaQV","properties":{"formattedCitation":"(Wood, Griffiths and Emslie\\uc0\\u160{}2019, p.\\uc0\\u160{}43)","plainCitation":"(Wood, Griffiths and Emslie 2019, p. 43)","noteIndex":0},"citationItems":[{"id":1565,"uris":["http://zotero.org/groups/2714158/items/DGH2PIV8"],"uri":["http://zotero.org/groups/2714158/items/DGH2PIV8"],"itemData":{"id":1565,"type":"report","number":"2019-07","publisher":"Grattan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locator":"43"}],"schema":"https://github.com/citation-style-language/schema/raw/master/csl-citation.json"} </w:instrText>
      </w:r>
      <w:r>
        <w:fldChar w:fldCharType="separate"/>
      </w:r>
      <w:r w:rsidRPr="00A46128">
        <w:rPr>
          <w:szCs w:val="24"/>
        </w:rPr>
        <w:t>(Wood, Griffiths and Emslie 2019, p. 43)</w:t>
      </w:r>
      <w:r>
        <w:fldChar w:fldCharType="end"/>
      </w:r>
      <w:r>
        <w:t>. If these trends continue and current policy settings remain broadly unchanged, generations reaching the end of their lives will potentially leave sizeable inheritances to younger generations.</w:t>
      </w:r>
      <w:r w:rsidRPr="00A703FC">
        <w:t xml:space="preserve"> </w:t>
      </w:r>
    </w:p>
    <w:bookmarkEnd w:id="22"/>
    <w:p w14:paraId="0CA6977A" w14:textId="77777777" w:rsidR="006E0ED6" w:rsidRDefault="006E0ED6" w:rsidP="006E0ED6">
      <w:pPr>
        <w:pStyle w:val="BodyText"/>
      </w:pPr>
      <w:r w:rsidRPr="007C1247">
        <w:t>While chapter 2 examined past impacts of wealth transfers, t</w:t>
      </w:r>
      <w:r w:rsidRPr="00011435">
        <w:t xml:space="preserve">his chapter examines the potential </w:t>
      </w:r>
      <w:r w:rsidRPr="004C3311">
        <w:t>future impacts</w:t>
      </w:r>
      <w:r>
        <w:t xml:space="preserve"> of wealth transfers</w:t>
      </w:r>
      <w:r w:rsidRPr="003A46E1">
        <w:rPr>
          <w:rStyle w:val="FootnoteReference"/>
        </w:rPr>
        <w:footnoteReference w:id="40"/>
      </w:r>
      <w:r>
        <w:t xml:space="preserve"> on wealth inequality, given current policy settings and a range of scenarios about future wealth accumulation. There have been some past studies into how the size of inheritances might increase in the future, but little research on the implications of future wealth transfers on inequality in Australia (section 3.1). A simulation modelling exercise was used to examine the potential impacts of future wealth transfers in this study (section 3.2). Section 3.3 presents the results from the base scenario model projections and section 3.4 summarises the results from sensitivity testing of key assumptions in the base scenario. Section 3.5 concludes. Further details of the modelling are provided in append</w:t>
      </w:r>
      <w:r w:rsidRPr="007C1247">
        <w:t>ix C.</w:t>
      </w:r>
      <w:r>
        <w:t xml:space="preserve"> </w:t>
      </w:r>
    </w:p>
    <w:p w14:paraId="6E0DD30C" w14:textId="77777777" w:rsidR="006E0ED6" w:rsidRDefault="006E0ED6" w:rsidP="00D208A3">
      <w:pPr>
        <w:pStyle w:val="Heading2"/>
      </w:pPr>
      <w:bookmarkStart w:id="24" w:name="_Toc87543962"/>
      <w:r>
        <w:t>Existing research and projections of future wealth transfers</w:t>
      </w:r>
      <w:bookmarkEnd w:id="24"/>
    </w:p>
    <w:p w14:paraId="23666840" w14:textId="77777777" w:rsidR="006E0ED6" w:rsidRPr="0088113B" w:rsidRDefault="006E0ED6" w:rsidP="006E0ED6">
      <w:pPr>
        <w:pStyle w:val="Heading3"/>
        <w:spacing w:before="280"/>
      </w:pPr>
      <w:r>
        <w:t>Wealth transfers between generations are expected to grow</w:t>
      </w:r>
    </w:p>
    <w:p w14:paraId="2ABA2084" w14:textId="70B59925" w:rsidR="006E0ED6" w:rsidRDefault="006E0ED6" w:rsidP="006E0ED6">
      <w:pPr>
        <w:pStyle w:val="BodyText"/>
      </w:pPr>
      <w:r w:rsidRPr="007C1247">
        <w:t>Chapter 1 found</w:t>
      </w:r>
      <w:r>
        <w:t xml:space="preserve"> that intergenerational inheritances increased from $24 billion in 2002 to $52 billion in 2018, largely due to increases in per</w:t>
      </w:r>
      <w:r>
        <w:noBreakHyphen/>
        <w:t xml:space="preserve">person wealth. The Grattan Institute has suggested that in the future, inheritances may get bigger even faster given recent strong growth in wealth and evidence that older households tend to maintain or increase their wealth in retirement </w:t>
      </w:r>
      <w:r>
        <w:fldChar w:fldCharType="begin"/>
      </w:r>
      <w:r w:rsidR="0047772E">
        <w:instrText xml:space="preserve"> ADDIN ZOTERO_ITEM CSL_CITATION {"citationID":"NdFHpnO5","properties":{"formattedCitation":"(Wood, Griffiths and Emslie\\uc0\\u160{}2019, p.\\uc0\\u160{}42)","plainCitation":"(Wood, Griffiths and Emslie 2019, p. 42)","noteIndex":0},"citationItems":[{"id":1565,"uris":["http://zotero.org/groups/2714158/items/DGH2PIV8"],"uri":["http://zotero.org/groups/2714158/items/DGH2PIV8"],"itemData":{"id":1565,"type":"report","number":"2019-07","publisher":"Grattan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locator":"42"}],"schema":"https://github.com/citation-style-language/schema/raw/master/csl-citation.json"} </w:instrText>
      </w:r>
      <w:r>
        <w:fldChar w:fldCharType="separate"/>
      </w:r>
      <w:r w:rsidRPr="00EB0E36">
        <w:rPr>
          <w:szCs w:val="24"/>
        </w:rPr>
        <w:t>(Wood, Griffiths and Emslie 2019, p. 42)</w:t>
      </w:r>
      <w:r>
        <w:fldChar w:fldCharType="end"/>
      </w:r>
      <w:r>
        <w:t xml:space="preserve">. </w:t>
      </w:r>
    </w:p>
    <w:p w14:paraId="417E2372" w14:textId="491D5999" w:rsidR="006E0ED6" w:rsidRDefault="006E0ED6" w:rsidP="006E0ED6">
      <w:pPr>
        <w:pStyle w:val="BodyText"/>
      </w:pPr>
      <w:r>
        <w:t xml:space="preserve">Research by Griffith University researchers </w:t>
      </w:r>
      <w:r>
        <w:fldChar w:fldCharType="begin"/>
      </w:r>
      <w:r w:rsidR="0047772E">
        <w:instrText xml:space="preserve"> ADDIN ZOTERO_ITEM CSL_CITATION {"citationID":"KeCAKxnL","properties":{"formattedCitation":"(Brimble et al.\\uc0\\u160{}2017, pp.\\uc0\\u160{}5, 36)","plainCitation":"(Brimble et al. 2017, pp. 5, 36)","noteIndex":0},"citationItems":[{"id":1707,"uris":["http://zotero.org/groups/2714158/items/CRJBVEYY"],"uri":["http://zotero.org/groups/2714158/items/CRJBVEYY"],"itemData":{"id":1707,"type":"report","publisher":"Griffith University &amp; No More Practice Education","title":"Intergenerational Wealth Transfer: The Opportunity of Gen X &amp; Y in Australia","author":[{"family":"Brimble","given":"Mark"},{"family":"Hunt","given":"Katherine"},{"family":"Johnson","given":"Di"},{"family":"MacDonald","given":"Kirsten"}],"issued":{"date-parts":[["2017"]]}},"locator":"5, 36"}],"schema":"https://github.com/citation-style-language/schema/raw/master/csl-citation.json"} </w:instrText>
      </w:r>
      <w:r>
        <w:fldChar w:fldCharType="separate"/>
      </w:r>
      <w:r w:rsidRPr="00E42623">
        <w:rPr>
          <w:szCs w:val="24"/>
        </w:rPr>
        <w:t>(Brimble et al. 2017, pp. 5, 36)</w:t>
      </w:r>
      <w:r>
        <w:fldChar w:fldCharType="end"/>
      </w:r>
      <w:r>
        <w:t xml:space="preserve"> and McCrindle </w:t>
      </w:r>
      <w:r>
        <w:fldChar w:fldCharType="begin"/>
      </w:r>
      <w:r w:rsidR="0047772E">
        <w:instrText xml:space="preserve"> ADDIN ZOTERO_ITEM CSL_CITATION {"citationID":"7vy8KP7D","properties":{"formattedCitation":"(2016, quoted in Brimble et al. 2017)","plainCitation":"(2016, quoted in Brimble et al. 2017)","noteIndex":0},"citationItems":[{"id":1928,"uris":["http://zotero.org/groups/2714158/items/KQC3BMCX"],"uri":["http://zotero.org/groups/2714158/items/KQC3BMCX"],"itemData":{"id":1928,"type":"report","genre":"A report for No More Practice","title":"Wealth Transfer Report","author":[{"literal":"McCrindle"}],"issued":{"date-parts":[["2016"]]}},"suppress-author":true,"suffix":", quoted in Brimble et al. 2017"}],"schema":"https://github.com/citation-style-language/schema/raw/master/csl-citation.json"} </w:instrText>
      </w:r>
      <w:r>
        <w:fldChar w:fldCharType="separate"/>
      </w:r>
      <w:r w:rsidRPr="00D36115">
        <w:t>(2016, quoted in Brimble et al. 2017)</w:t>
      </w:r>
      <w:r>
        <w:fldChar w:fldCharType="end"/>
      </w:r>
      <w:r>
        <w:t xml:space="preserve"> estimated that Australians aged 60 and over would transfer $3.5 trillion or an average of about $175 billion per year in wealth in the next two decades. I</w:t>
      </w:r>
      <w:r w:rsidRPr="001E1F37">
        <w:t xml:space="preserve">nheritances are </w:t>
      </w:r>
      <w:r>
        <w:t xml:space="preserve">likely </w:t>
      </w:r>
      <w:r w:rsidRPr="001E1F37">
        <w:t xml:space="preserve">to increase </w:t>
      </w:r>
      <w:r>
        <w:t>across other OECD countries</w:t>
      </w:r>
      <w:r w:rsidRPr="001E1F37">
        <w:t xml:space="preserve"> </w:t>
      </w:r>
      <w:r>
        <w:t xml:space="preserve">as well — both </w:t>
      </w:r>
      <w:r w:rsidRPr="001E1F37">
        <w:t>in value</w:t>
      </w:r>
      <w:r>
        <w:t>,</w:t>
      </w:r>
      <w:r w:rsidRPr="001E1F37">
        <w:t xml:space="preserve"> if trends in asset prices continue, and in number, with the </w:t>
      </w:r>
      <w:r>
        <w:t>ageing of the baby boomer</w:t>
      </w:r>
      <w:r w:rsidRPr="001E1F37">
        <w:t xml:space="preserve"> generation</w:t>
      </w:r>
      <w:r>
        <w:t xml:space="preserve"> </w:t>
      </w:r>
      <w:r>
        <w:fldChar w:fldCharType="begin"/>
      </w:r>
      <w:r w:rsidR="0047772E">
        <w:instrText xml:space="preserve"> ADDIN ZOTERO_ITEM CSL_CITATION {"citationID":"MHvIS7HV","properties":{"formattedCitation":"(OECD\\uc0\\u160{}2020, p.\\uc0\\u160{}27)","plainCitation":"(OECD 2020, p. 27)","noteIndex":0},"citationItems":[{"id":1575,"uris":["http://zotero.org/groups/2714158/items/C27I5VGR"],"uri":["http://zotero.org/groups/2714158/items/C27I5VGR"],"itemData":{"id":1575,"type":"report","genre":"Working Party No.2 on Tax Policy Analysis and Tax Statistics","title":"Inheritance Taxation in OECD Countries","author":[{"family":"Organisation for Economic Co-operation and Development","given":""}],"translator":[{"family":"OECD","given":""}],"issued":{"date-parts":[["2020"]]}},"locator":"27"}],"schema":"https://github.com/citation-style-language/schema/raw/master/csl-citation.json"} </w:instrText>
      </w:r>
      <w:r>
        <w:fldChar w:fldCharType="separate"/>
      </w:r>
      <w:r w:rsidRPr="00E80634">
        <w:rPr>
          <w:szCs w:val="24"/>
        </w:rPr>
        <w:t>(OECD 2020, p. 27)</w:t>
      </w:r>
      <w:r>
        <w:fldChar w:fldCharType="end"/>
      </w:r>
      <w:r w:rsidRPr="001E1F37">
        <w:t>.</w:t>
      </w:r>
      <w:r>
        <w:t xml:space="preserve"> In Australia, the share of the population aged 65 and over is projected to continue increasing in the coming decades (figure 3.1, panel a).</w:t>
      </w:r>
    </w:p>
    <w:p w14:paraId="1F22AECC" w14:textId="77777777" w:rsidR="006E0ED6" w:rsidRPr="003B71CE" w:rsidRDefault="006E0ED6" w:rsidP="006E0ED6">
      <w:pPr>
        <w:pStyle w:val="Heading4"/>
      </w:pPr>
      <w:r>
        <w:t>F</w:t>
      </w:r>
      <w:r w:rsidRPr="003B71CE">
        <w:t xml:space="preserve">ertility </w:t>
      </w:r>
      <w:r>
        <w:t xml:space="preserve">will continue </w:t>
      </w:r>
      <w:r w:rsidRPr="003B71CE">
        <w:t>to fall</w:t>
      </w:r>
    </w:p>
    <w:p w14:paraId="10988E8C" w14:textId="04ACA02E" w:rsidR="006E0ED6" w:rsidRDefault="006E0ED6" w:rsidP="006E0ED6">
      <w:pPr>
        <w:pStyle w:val="BodyText"/>
      </w:pPr>
      <w:bookmarkStart w:id="25" w:name="_Hlk82601044"/>
      <w:r>
        <w:t>Declining fertility rates are</w:t>
      </w:r>
      <w:r w:rsidDel="002C541A">
        <w:t xml:space="preserve"> </w:t>
      </w:r>
      <w:r>
        <w:t xml:space="preserve">expected to result in larger inheritances per person, as parent wealth at death is shared between fewer heirs </w:t>
      </w:r>
      <w:bookmarkEnd w:id="25"/>
      <w:r>
        <w:fldChar w:fldCharType="begin"/>
      </w:r>
      <w:r w:rsidR="0047772E">
        <w:instrText xml:space="preserve"> ADDIN ZOTERO_ITEM CSL_CITATION {"citationID":"Hcezfahe","properties":{"formattedCitation":"(Bourquin, Joyce and Sturrock\\uc0\\u160{}2020, p.\\uc0\\u160{}5; OECD\\uc0\\u160{}2020, p.\\uc0\\u160{}38)","plainCitation":"(Bourquin, Joyce and Sturrock 2020, p. 5; OECD 2020, p. 38)","noteIndex":0},"citationItems":[{"id":1875,"uris":["http://zotero.org/groups/2714158/items/ARN3ZJC9"],"uri":["http://zotero.org/groups/2714158/items/ARN3ZJC9"],"itemData":{"id":1875,"type":"report","event-place":"London","genre":"IFS Report","number":"R173","publisher":"Institute for Fiscal Studies","publisher-place":"London","title":"Inheritances and Inequality Within Generations","author":[{"family":"Bourquin","given":"Pascale"},{"family":"Joyce","given":"Robert"},{"family":"Sturrock","given":"David"}],"issued":{"date-parts":[["2020"]]}},"locator":"5"},{"id":1575,"uris":["http://zotero.org/groups/2714158/items/C27I5VGR"],"uri":["http://zotero.org/groups/2714158/items/C27I5VGR"],"itemData":{"id":1575,"type":"report","genre":"Working Party No.2 on Tax Policy Analysis and Tax Statistics","title":"Inheritance Taxation in OECD Countries","author":[{"family":"Organisation for Economic Co-operation and Development","given":""}],"translator":[{"family":"OECD","given":""}],"issued":{"date-parts":[["2020"]]}},"locator":"38"}],"schema":"https://github.com/citation-style-language/schema/raw/master/csl-citation.json"} </w:instrText>
      </w:r>
      <w:r>
        <w:fldChar w:fldCharType="separate"/>
      </w:r>
      <w:r w:rsidRPr="00D44A38">
        <w:rPr>
          <w:szCs w:val="24"/>
        </w:rPr>
        <w:t>(Bourquin, Joyce and Sturrock 2020, p. 5; OECD 2020, p. 38)</w:t>
      </w:r>
      <w:r>
        <w:fldChar w:fldCharType="end"/>
      </w:r>
      <w:r>
        <w:t>. In Australia, fertility rates peaked at 3.55 babies per woman in 1961 during the baby boom. They then began to fall, to 1.89 by 1980 (corresponding to the last year of generation X births) and, albeit with a brief uptick in the 2000s, to a low of 1.66 in 2019 (figure 3.1, panel b). Projections in the 2021 Intergenerational Report assumed that the fertility rate would continue to decline to 1.62 by 2030</w:t>
      </w:r>
      <w:r>
        <w:noBreakHyphen/>
        <w:t xml:space="preserve">31 </w:t>
      </w:r>
      <w:r>
        <w:fldChar w:fldCharType="begin"/>
      </w:r>
      <w:r w:rsidR="0047772E">
        <w:instrText xml:space="preserve"> ADDIN ZOTERO_ITEM CSL_CITATION {"citationID":"eK3C1stO","properties":{"formattedCitation":"(McDonald\\uc0\\u160{}2020, p.\\uc0\\u160{}4; The Commonwealth of Australia\\uc0\\u160{}2021a, p.\\uc0\\u160{}25)","plainCitation":"(McDonald 2020, p. 4; The Commonwealth of Australia 2021a, p. 25)","noteIndex":0},"citationItems":[{"id":3143,"uris":["http://zotero.org/groups/2714158/items/WEZ97LKR"],"uri":["http://zotero.org/groups/2714158/items/WEZ97LKR"],"itemData":{"id":3143,"type":"report","event-place":"Canberra","genre":"Centre for Population Research Paper","publisher":"The Australian Government","publisher-place":"Canberra","title":"A Projection of Australia's Future Fertility Rates","author":[{"family":"McDonald","given":"Peter"}],"issued":{"date-parts":[["2020"]]}},"locator":"4"},{"id":1957,"uris":["http://zotero.org/groups/2714158/items/MUULXQ7N"],"uri":["http://zotero.org/groups/2714158/items/MUULXQ7N"],"itemData":{"id":1957,"type":"report","event-place":"Canberra","publisher-place":"Canberra","title":"2021 Intergenerational Report: Australia Over the Next 40 Years","author":[{"literal":"The Commonwealth of Australia"}],"issued":{"date-parts":[["2021"]]}},"locator":"25"}],"schema":"https://github.com/citation-style-language/schema/raw/master/csl-citation.json"} </w:instrText>
      </w:r>
      <w:r>
        <w:fldChar w:fldCharType="separate"/>
      </w:r>
      <w:r w:rsidR="007A60F8" w:rsidRPr="007A60F8">
        <w:rPr>
          <w:rFonts w:ascii="Arial" w:hAnsi="Arial" w:cs="Arial"/>
          <w:szCs w:val="24"/>
        </w:rPr>
        <w:t>(McDonald 2020, p. 4; The Commonwealth of Australia 2021a, p. 25)</w:t>
      </w:r>
      <w:r>
        <w:fldChar w:fldCharType="end"/>
      </w:r>
      <w:r>
        <w:t>.</w:t>
      </w:r>
    </w:p>
    <w:p w14:paraId="0FC0829E" w14:textId="77777777" w:rsidR="00961663" w:rsidRDefault="00961663" w:rsidP="006E0ED6">
      <w:pPr>
        <w:pStyle w:val="BodyText"/>
      </w:pPr>
    </w:p>
    <w:p w14:paraId="47A13A72" w14:textId="5C9E02A0" w:rsidR="006E0ED6" w:rsidRDefault="006E0ED6" w:rsidP="006E0ED6">
      <w:pPr>
        <w:pStyle w:val="FigureTableHeading"/>
        <w:spacing w:after="120"/>
        <w:rPr>
          <w:vertAlign w:val="superscript"/>
        </w:rPr>
      </w:pPr>
      <w:r>
        <w:lastRenderedPageBreak/>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1</w:t>
      </w:r>
      <w:r w:rsidR="00B2270C">
        <w:rPr>
          <w:noProof/>
        </w:rPr>
        <w:fldChar w:fldCharType="end"/>
      </w:r>
      <w:r>
        <w:rPr>
          <w:noProof/>
        </w:rPr>
        <w:t xml:space="preserve"> </w:t>
      </w:r>
      <w:r>
        <w:t xml:space="preserve">– </w:t>
      </w:r>
      <w:r w:rsidRPr="00074F51">
        <w:t>An ageing population and falling fertility</w:t>
      </w:r>
      <w:r w:rsidRPr="00066CF5">
        <w:rPr>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04"/>
        <w:gridCol w:w="15"/>
      </w:tblGrid>
      <w:tr w:rsidR="006E0ED6" w:rsidRPr="00176FA9" w14:paraId="0F90E0FA" w14:textId="2FA13328" w:rsidTr="005D64A2">
        <w:tc>
          <w:tcPr>
            <w:tcW w:w="4814" w:type="dxa"/>
          </w:tcPr>
          <w:p w14:paraId="0F4BF9FD" w14:textId="25E7BCE9" w:rsidR="006E0ED6" w:rsidRPr="00DE39C9" w:rsidRDefault="006E0ED6" w:rsidP="00132C71">
            <w:pPr>
              <w:pStyle w:val="FigureTableSubheading"/>
              <w:numPr>
                <w:ilvl w:val="0"/>
                <w:numId w:val="31"/>
              </w:numPr>
              <w:rPr>
                <w:sz w:val="16"/>
                <w:szCs w:val="16"/>
              </w:rPr>
            </w:pPr>
            <w:r w:rsidRPr="00242222">
              <w:rPr>
                <w:sz w:val="16"/>
                <w:szCs w:val="16"/>
              </w:rPr>
              <w:t>Population aged 65 and over</w:t>
            </w:r>
            <w:r w:rsidRPr="00DE39C9">
              <w:rPr>
                <w:sz w:val="16"/>
                <w:szCs w:val="16"/>
                <w:vertAlign w:val="superscript"/>
              </w:rPr>
              <w:t>b</w:t>
            </w:r>
          </w:p>
          <w:p w14:paraId="70C218D4" w14:textId="5AB6FF74" w:rsidR="006E0ED6" w:rsidRPr="00176FA9" w:rsidRDefault="008D4E96" w:rsidP="001625EC">
            <w:pPr>
              <w:pStyle w:val="BodyText"/>
              <w:spacing w:before="0" w:after="0"/>
            </w:pPr>
            <w:r w:rsidRPr="008D4E96">
              <w:rPr>
                <w:noProof/>
              </w:rPr>
              <w:drawing>
                <wp:inline distT="0" distB="0" distL="0" distR="0" wp14:anchorId="7B97AD1B" wp14:editId="2D89D475">
                  <wp:extent cx="2992755" cy="1799590"/>
                  <wp:effectExtent l="0" t="0" r="0" b="0"/>
                  <wp:docPr id="116" name="Picture 116" descr="Figure 3.1, panel a. This chart shows actual and projected numbers of the population aged 65 and over and their share of the total population. It shows an increase in the population aged 65 and over from 1.1 million in 1971 to 8.9 million in 2066, with their share of the population rising from 8 to 21 per cent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3.1, panel a. This chart shows actual and projected numbers of the population aged 65 and over and their share of the total population. It shows an increase in the population aged 65 and over from 1.1 million in 1971 to 8.9 million in 2066, with their share of the population rising from 8 to 21 per cent over the perio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92755" cy="1799590"/>
                          </a:xfrm>
                          <a:prstGeom prst="rect">
                            <a:avLst/>
                          </a:prstGeom>
                          <a:noFill/>
                          <a:ln>
                            <a:noFill/>
                          </a:ln>
                        </pic:spPr>
                      </pic:pic>
                    </a:graphicData>
                  </a:graphic>
                </wp:inline>
              </w:drawing>
            </w:r>
          </w:p>
        </w:tc>
        <w:tc>
          <w:tcPr>
            <w:tcW w:w="4814" w:type="dxa"/>
            <w:gridSpan w:val="2"/>
          </w:tcPr>
          <w:p w14:paraId="613F6683" w14:textId="0DA8550C" w:rsidR="006E0ED6" w:rsidRPr="00242222" w:rsidRDefault="006E0ED6" w:rsidP="00132C71">
            <w:pPr>
              <w:pStyle w:val="FigureTableSubheading"/>
              <w:numPr>
                <w:ilvl w:val="0"/>
                <w:numId w:val="31"/>
              </w:numPr>
              <w:rPr>
                <w:b/>
                <w:sz w:val="16"/>
                <w:szCs w:val="16"/>
                <w:vertAlign w:val="superscript"/>
              </w:rPr>
            </w:pPr>
            <w:r w:rsidRPr="00242222">
              <w:rPr>
                <w:sz w:val="16"/>
                <w:szCs w:val="16"/>
              </w:rPr>
              <w:t>Fertility rate (babies per woman)</w:t>
            </w:r>
            <w:r w:rsidRPr="00242222">
              <w:rPr>
                <w:b/>
                <w:sz w:val="16"/>
                <w:szCs w:val="16"/>
                <w:vertAlign w:val="superscript"/>
              </w:rPr>
              <w:t>c</w:t>
            </w:r>
          </w:p>
          <w:p w14:paraId="584CA633" w14:textId="5C6E0C21" w:rsidR="006E0ED6" w:rsidRPr="00176FA9" w:rsidDel="0061458F" w:rsidRDefault="008D4E96" w:rsidP="005D64A2">
            <w:pPr>
              <w:pStyle w:val="BodyText"/>
              <w:spacing w:before="0" w:after="0"/>
            </w:pPr>
            <w:r w:rsidRPr="008D4E96">
              <w:rPr>
                <w:noProof/>
              </w:rPr>
              <w:drawing>
                <wp:inline distT="0" distB="0" distL="0" distR="0" wp14:anchorId="5CC81DC2" wp14:editId="3E6B5660">
                  <wp:extent cx="2992755" cy="1799590"/>
                  <wp:effectExtent l="0" t="0" r="0" b="0"/>
                  <wp:docPr id="117" name="Picture 117" descr="Figure 3.1, panel b. This chart shows total fertility rates from 1935 to 2032.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igure 3.1, panel b. This chart shows total fertility rates from 1935 to 2032. More details are contained in the text surrounding this figur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92755" cy="1799590"/>
                          </a:xfrm>
                          <a:prstGeom prst="rect">
                            <a:avLst/>
                          </a:prstGeom>
                          <a:noFill/>
                          <a:ln>
                            <a:noFill/>
                          </a:ln>
                        </pic:spPr>
                      </pic:pic>
                    </a:graphicData>
                  </a:graphic>
                </wp:inline>
              </w:drawing>
            </w:r>
          </w:p>
        </w:tc>
      </w:tr>
      <w:tr w:rsidR="006E0ED6" w:rsidRPr="00176FA9" w14:paraId="3B2C289D" w14:textId="77777777" w:rsidTr="001625EC">
        <w:trPr>
          <w:gridAfter w:val="1"/>
          <w:wAfter w:w="10" w:type="dxa"/>
        </w:trPr>
        <w:tc>
          <w:tcPr>
            <w:tcW w:w="9628" w:type="dxa"/>
            <w:gridSpan w:val="2"/>
          </w:tcPr>
          <w:p w14:paraId="44138041" w14:textId="77777777" w:rsidR="006E0ED6" w:rsidRPr="00176FA9" w:rsidRDefault="006E0ED6" w:rsidP="001625EC">
            <w:pPr>
              <w:pStyle w:val="BodyText"/>
              <w:spacing w:after="0"/>
              <w:jc w:val="center"/>
            </w:pPr>
            <w:r w:rsidRPr="004C4DDA">
              <w:rPr>
                <w:rFonts w:ascii="Arial" w:hAnsi="Arial" w:cs="Arial"/>
                <w:b/>
                <w:bCs/>
                <w:noProof/>
                <w:sz w:val="18"/>
                <w:szCs w:val="18"/>
              </w:rPr>
              <w:drawing>
                <wp:inline distT="0" distB="0" distL="0" distR="0" wp14:anchorId="60AA0529" wp14:editId="62D25C06">
                  <wp:extent cx="1495425" cy="247650"/>
                  <wp:effectExtent l="0" t="0" r="0" b="0"/>
                  <wp:docPr id="77" name="Picture 77" descr="Figure 3.1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3.1 Legen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95425" cy="247650"/>
                          </a:xfrm>
                          <a:prstGeom prst="rect">
                            <a:avLst/>
                          </a:prstGeom>
                          <a:noFill/>
                          <a:ln>
                            <a:noFill/>
                          </a:ln>
                        </pic:spPr>
                      </pic:pic>
                    </a:graphicData>
                  </a:graphic>
                </wp:inline>
              </w:drawing>
            </w:r>
          </w:p>
        </w:tc>
      </w:tr>
    </w:tbl>
    <w:p w14:paraId="281ED133" w14:textId="77777777" w:rsidR="006E0ED6" w:rsidRPr="00661525" w:rsidRDefault="006E0ED6" w:rsidP="006E0ED6">
      <w:pPr>
        <w:pStyle w:val="Note"/>
      </w:pPr>
      <w:r w:rsidRPr="00661525">
        <w:rPr>
          <w:b/>
          <w:bCs/>
        </w:rPr>
        <w:t>a.</w:t>
      </w:r>
      <w:r w:rsidRPr="00661525">
        <w:t xml:space="preserve"> Projections assuming no impact of </w:t>
      </w:r>
      <w:r>
        <w:t>COVID-19</w:t>
      </w:r>
      <w:r w:rsidRPr="00661525">
        <w:t xml:space="preserve">. </w:t>
      </w:r>
      <w:r w:rsidRPr="00661525">
        <w:rPr>
          <w:b/>
          <w:bCs/>
        </w:rPr>
        <w:t>b.</w:t>
      </w:r>
      <w:r w:rsidRPr="00661525">
        <w:t xml:space="preserve"> Projections using medium ABS assumptions for fertility, life expectancy and net overseas migration. </w:t>
      </w:r>
      <w:r w:rsidRPr="00622834">
        <w:rPr>
          <w:b/>
          <w:bCs/>
        </w:rPr>
        <w:t>c.</w:t>
      </w:r>
      <w:r w:rsidRPr="00661525">
        <w:t xml:space="preserve"> Actuals are by calendar year, projections are by financial year.</w:t>
      </w:r>
    </w:p>
    <w:p w14:paraId="414C53EA" w14:textId="45439DEF" w:rsidR="006E0ED6" w:rsidRPr="00661525" w:rsidRDefault="006E0ED6" w:rsidP="006E0ED6">
      <w:pPr>
        <w:pStyle w:val="Source"/>
      </w:pPr>
      <w:r w:rsidRPr="00661525">
        <w:t xml:space="preserve">Source: ABS </w:t>
      </w:r>
      <w:r w:rsidRPr="00661525">
        <w:fldChar w:fldCharType="begin"/>
      </w:r>
      <w:r w:rsidR="0047772E">
        <w:instrText xml:space="preserve"> ADDIN ZOTERO_ITEM CSL_CITATION {"citationID":"CsF0QPCF","properties":{"formattedCitation":"(2018, 2020b, 2021c)","plainCitation":"(2018, 2020b, 2021c)","noteIndex":0},"citationItems":[{"id":3140,"uris":["http://zotero.org/groups/2714158/items/VDI3XMHW"],"uri":["http://zotero.org/groups/2714158/items/VDI3XMHW"],"itemData":{"id":3140,"type":"webpage","container-title":"ABS.Stat","title":"Population Projections, Australia, 2017-2066","URL":"https://stat.data.abs.gov.au/Index.aspx?DatasetCode=POP_PROJ_2011#","author":[{"literal":"Australian Bureau of Statistics"}],"translator":[{"literal":"ABS"}],"accessed":{"date-parts":[["2021",8,18]]},"issued":{"date-parts":[["2018"]]}},"suppress-author":true},{"id":3014,"uris":["http://zotero.org/groups/2714158/items/C8Z69Q7S"],"uri":["http://zotero.org/groups/2714158/items/C8Z69Q7S"],"itemData":{"id":3014,"type":"webpage","abstract":"Statistics about births and fertility rates for Australia, states and territories, and sub-state regions","container-title":"Cat. no. 3301.0","language":"en","title":"Births, Australia, 2019","URL":"https://www.abs.gov.au/statistics/people/population/births-australia/latest-release","author":[{"literal":"Australian Bureau of Statistics"}],"translator":[{"literal":"ABS"}],"accessed":{"date-parts":[["2021",7,26]]},"issued":{"date-parts":[["2020",12,9]]}},"suppress-author":true},{"id":3008,"uris":["http://zotero.org/groups/2714158/items/33FDHUZM"],"uri":["http://zotero.org/groups/2714158/items/33FDHUZM"],"itemData":{"id":3008,"type":"webpage","abstract":"Statistics about the population and components of change (births, deaths, migration) for Australia and its states and territories","container-title":"Cat. no. 3101.0","language":"en","title":"National, State and Territory Population, December 2020","URL":"https://www.abs.gov.au/statistics/people/population/national-state-and-territory-population/latest-release","author":[{"literal":"Australian Bureau of Statistics"}],"translator":[{"literal":"ABS"}],"accessed":{"date-parts":[["2021",7,30]]},"issued":{"date-parts":[["2021",6,17]]}},"suppress-author":true}],"schema":"https://github.com/citation-style-language/schema/raw/master/csl-citation.json"} </w:instrText>
      </w:r>
      <w:r w:rsidRPr="00661525">
        <w:fldChar w:fldCharType="separate"/>
      </w:r>
      <w:r w:rsidR="007A60F8" w:rsidRPr="007A60F8">
        <w:rPr>
          <w:rFonts w:ascii="Arial" w:hAnsi="Arial" w:cs="Arial"/>
        </w:rPr>
        <w:t>(2018, 2020b, 2021c)</w:t>
      </w:r>
      <w:r w:rsidRPr="00661525">
        <w:fldChar w:fldCharType="end"/>
      </w:r>
      <w:r w:rsidRPr="00661525">
        <w:t xml:space="preserve">; McDonald </w:t>
      </w:r>
      <w:r w:rsidRPr="00661525">
        <w:fldChar w:fldCharType="begin"/>
      </w:r>
      <w:r w:rsidR="0047772E">
        <w:instrText xml:space="preserve"> ADDIN ZOTERO_ITEM CSL_CITATION {"citationID":"ISYA9x4Y","properties":{"formattedCitation":"(2020)","plainCitation":"(2020)","noteIndex":0},"citationItems":[{"id":3143,"uris":["http://zotero.org/groups/2714158/items/WEZ97LKR"],"uri":["http://zotero.org/groups/2714158/items/WEZ97LKR"],"itemData":{"id":3143,"type":"report","event-place":"Canberra","genre":"Centre for Population Research Paper","publisher":"The Australian Government","publisher-place":"Canberra","title":"A Projection of Australia's Future Fertility Rates","author":[{"family":"McDonald","given":"Peter"}],"issued":{"date-parts":[["2020"]]}},"suppress-author":true}],"schema":"https://github.com/citation-style-language/schema/raw/master/csl-citation.json"} </w:instrText>
      </w:r>
      <w:r w:rsidRPr="00661525">
        <w:fldChar w:fldCharType="separate"/>
      </w:r>
      <w:r w:rsidRPr="00661525">
        <w:t>(2020)</w:t>
      </w:r>
      <w:r w:rsidRPr="00661525">
        <w:fldChar w:fldCharType="end"/>
      </w:r>
      <w:r w:rsidRPr="00661525">
        <w:t>; Productivity Commission estimates.</w:t>
      </w:r>
    </w:p>
    <w:p w14:paraId="283C0F4D" w14:textId="77777777" w:rsidR="006E0ED6" w:rsidRPr="007E7488" w:rsidRDefault="006E0ED6" w:rsidP="006E0ED6">
      <w:pPr>
        <w:pStyle w:val="Heading4"/>
      </w:pPr>
      <w:r>
        <w:t>H</w:t>
      </w:r>
      <w:r w:rsidRPr="007E7488">
        <w:t>ousing wealth will continue to increase</w:t>
      </w:r>
      <w:r>
        <w:t xml:space="preserve"> …</w:t>
      </w:r>
    </w:p>
    <w:p w14:paraId="2323C7E7" w14:textId="339F4C7C" w:rsidR="006E0ED6" w:rsidRPr="00263521" w:rsidRDefault="006E0ED6" w:rsidP="006E0ED6">
      <w:pPr>
        <w:pStyle w:val="BodyText"/>
        <w:rPr>
          <w:spacing w:val="-4"/>
        </w:rPr>
      </w:pPr>
      <w:r w:rsidRPr="00263521">
        <w:rPr>
          <w:spacing w:val="-4"/>
        </w:rPr>
        <w:t xml:space="preserve">Housing is the largest source of wealth for most Australian retiree households </w:t>
      </w:r>
      <w:r w:rsidRPr="00263521">
        <w:rPr>
          <w:spacing w:val="-4"/>
        </w:rPr>
        <w:fldChar w:fldCharType="begin"/>
      </w:r>
      <w:r w:rsidR="0047772E">
        <w:rPr>
          <w:spacing w:val="-4"/>
        </w:rPr>
        <w:instrText xml:space="preserve"> ADDIN ZOTERO_ITEM CSL_CITATION {"citationID":"svP8WU1P","properties":{"formattedCitation":"(The Treasury\\uc0\\u160{}2020, p.\\uc0\\u160{}83)","plainCitation":"(The Treasury 2020, p. 83)","noteIndex":0},"citationItems":[{"id":1552,"uris":["http://zotero.org/groups/2714158/items/R5Y5AKIH"],"uri":["http://zotero.org/groups/2714158/items/R5Y5AKIH"],"itemData":{"id":1552,"type":"report","event-place":"Canberra","genre":"Final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Treasury","given":""}],"accessed":{"date-parts":[["2021",2,4]]},"issued":{"date-parts":[["2020"]]}},"locator":"83"}],"schema":"https://github.com/citation-style-language/schema/raw/master/csl-citation.json"} </w:instrText>
      </w:r>
      <w:r w:rsidRPr="00263521">
        <w:rPr>
          <w:spacing w:val="-4"/>
        </w:rPr>
        <w:fldChar w:fldCharType="separate"/>
      </w:r>
      <w:r w:rsidRPr="00263521">
        <w:rPr>
          <w:spacing w:val="-4"/>
          <w:szCs w:val="24"/>
        </w:rPr>
        <w:t>(The Treasury 2020, p. 83)</w:t>
      </w:r>
      <w:r w:rsidRPr="00263521">
        <w:rPr>
          <w:spacing w:val="-4"/>
        </w:rPr>
        <w:fldChar w:fldCharType="end"/>
      </w:r>
      <w:r w:rsidRPr="00263521">
        <w:rPr>
          <w:spacing w:val="-4"/>
        </w:rPr>
        <w:t>. Despite this, retirees tend to be cautious about drawing down this wealth. Property was estimated to make up 72 per cent of net assets at death for those aged 65 and over, worth about $40 billion in total in 2009</w:t>
      </w:r>
      <w:r w:rsidRPr="00263521">
        <w:rPr>
          <w:spacing w:val="-4"/>
        </w:rPr>
        <w:noBreakHyphen/>
        <w:t xml:space="preserve">10 </w:t>
      </w:r>
      <w:r w:rsidRPr="00263521">
        <w:rPr>
          <w:spacing w:val="-4"/>
        </w:rPr>
        <w:fldChar w:fldCharType="begin"/>
      </w:r>
      <w:r w:rsidR="0047772E">
        <w:rPr>
          <w:spacing w:val="-4"/>
        </w:rPr>
        <w:instrText xml:space="preserve"> ADDIN ZOTERO_ITEM CSL_CITATION {"citationID":"8HDvhINm","properties":{"formattedCitation":"(Temple, McDonald and Rice\\uc0\\u160{}2017, p.\\uc0\\u160{}89)","plainCitation":"(Temple, McDonald and Rice 2017, p. 89)","noteIndex":0},"citationItems":[{"id":1539,"uris":["http://zotero.org/groups/2714158/items/YMJ33UXH"],"uri":["http://zotero.org/groups/2714158/items/YMJ33UXH"],"itemData":{"id":1539,"type":"article-journal","container-title":"Population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Mahmud"}],"accessed":{"date-parts":[["2021",2,12]]},"issued":{"date-parts":[["2017"]]}},"locator":"89"}],"schema":"https://github.com/citation-style-language/schema/raw/master/csl-citation.json"} </w:instrText>
      </w:r>
      <w:r w:rsidRPr="00263521">
        <w:rPr>
          <w:spacing w:val="-4"/>
        </w:rPr>
        <w:fldChar w:fldCharType="separate"/>
      </w:r>
      <w:r w:rsidRPr="00263521">
        <w:rPr>
          <w:spacing w:val="-4"/>
          <w:szCs w:val="24"/>
        </w:rPr>
        <w:t>(Temple, McDonald and Rice 2017, p. 89)</w:t>
      </w:r>
      <w:r w:rsidRPr="00263521">
        <w:rPr>
          <w:spacing w:val="-4"/>
        </w:rPr>
        <w:fldChar w:fldCharType="end"/>
      </w:r>
      <w:r w:rsidRPr="00263521">
        <w:rPr>
          <w:spacing w:val="-4"/>
        </w:rPr>
        <w:t xml:space="preserve">. The primary residence is also exempt from the Age Pension assets test </w:t>
      </w:r>
      <w:r w:rsidRPr="00263521">
        <w:rPr>
          <w:spacing w:val="-4"/>
        </w:rPr>
        <w:fldChar w:fldCharType="begin"/>
      </w:r>
      <w:r w:rsidR="0047772E">
        <w:rPr>
          <w:spacing w:val="-4"/>
        </w:rPr>
        <w:instrText xml:space="preserve"> ADDIN ZOTERO_ITEM CSL_CITATION {"citationID":"FuhyxwKK","properties":{"formattedCitation":"(The Treasury\\uc0\\u160{}2020, p.\\uc0\\u160{}287)","plainCitation":"(The Treasury 2020, p. 287)","noteIndex":0},"citationItems":[{"id":1552,"uris":["http://zotero.org/groups/2714158/items/R5Y5AKIH"],"uri":["http://zotero.org/groups/2714158/items/R5Y5AKIH"],"itemData":{"id":1552,"type":"report","event-place":"Canberra","genre":"Final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Treasury","given":""}],"accessed":{"date-parts":[["2021",2,4]]},"issued":{"date-parts":[["2020"]]}},"locator":"287"}],"schema":"https://github.com/citation-style-language/schema/raw/master/csl-citation.json"} </w:instrText>
      </w:r>
      <w:r w:rsidRPr="00263521">
        <w:rPr>
          <w:spacing w:val="-4"/>
        </w:rPr>
        <w:fldChar w:fldCharType="separate"/>
      </w:r>
      <w:r w:rsidRPr="00263521">
        <w:rPr>
          <w:spacing w:val="-4"/>
          <w:szCs w:val="24"/>
        </w:rPr>
        <w:t>(The Treasury 2020, p. 287)</w:t>
      </w:r>
      <w:r w:rsidRPr="00263521">
        <w:rPr>
          <w:spacing w:val="-4"/>
        </w:rPr>
        <w:fldChar w:fldCharType="end"/>
      </w:r>
      <w:r w:rsidRPr="00263521">
        <w:rPr>
          <w:spacing w:val="-4"/>
        </w:rPr>
        <w:t xml:space="preserve"> and can be exempt or only assessed up to a relatively low threshold in aged care fee calculations </w:t>
      </w:r>
      <w:r w:rsidRPr="00263521">
        <w:rPr>
          <w:spacing w:val="-4"/>
        </w:rPr>
        <w:fldChar w:fldCharType="begin"/>
      </w:r>
      <w:r w:rsidR="0047772E">
        <w:rPr>
          <w:spacing w:val="-4"/>
        </w:rPr>
        <w:instrText xml:space="preserve"> ADDIN ZOTERO_ITEM CSL_CITATION {"citationID":"XJobI1wO","properties":{"formattedCitation":"(DoH\\uc0\\u160{}2021; DSS\\uc0\\u160{}2020)","plainCitation":"(DoH 2021; DSS 2020)","noteIndex":0},"citationItems":[{"id":3137,"uris":["http://zotero.org/groups/2714158/items/SL8KT5KV"],"uri":["http://zotero.org/groups/2714158/items/SL8KT5KV"],"itemData":{"id":3137,"type":"report","title":"Schedule of Fees and Charges for Residential and Home Care: From 20 March 2021","author":[{"literal":"Department of Health"}],"translator":[{"family":"DoH","given":""}],"issued":{"date-parts":[["2021"]]}}},{"id":3136,"uris":["http://zotero.org/groups/2714158/items/WPLBLCRL"],"uri":["http://zotero.org/groups/2714158/items/WPLBLCRL"],"itemData":{"id":3136,"type":"webpage","container-title":"Social Security Guide","title":"4.6.3.70 Exempting the Principal Home - Care Situations","URL":"https://guides.dss.gov.au/guide-social-security-law/4/6/3/70","author":[{"literal":"Department of Social Services"}],"translator":[{"literal":"DSS"}],"accessed":{"date-parts":[["2021",8,18]]},"issued":{"date-parts":[["2020"]]}}}],"schema":"https://github.com/citation-style-language/schema/raw/master/csl-citation.json"} </w:instrText>
      </w:r>
      <w:r w:rsidRPr="00263521">
        <w:rPr>
          <w:spacing w:val="-4"/>
        </w:rPr>
        <w:fldChar w:fldCharType="separate"/>
      </w:r>
      <w:r w:rsidRPr="00263521">
        <w:rPr>
          <w:spacing w:val="-4"/>
          <w:szCs w:val="24"/>
        </w:rPr>
        <w:t>(DoH 2021; DSS 2020)</w:t>
      </w:r>
      <w:r w:rsidRPr="00263521">
        <w:rPr>
          <w:spacing w:val="-4"/>
        </w:rPr>
        <w:fldChar w:fldCharType="end"/>
      </w:r>
      <w:r w:rsidRPr="00263521">
        <w:rPr>
          <w:spacing w:val="-4"/>
        </w:rPr>
        <w:t xml:space="preserve">, meaning there is a strong incentive for retirees not to sell their residence. </w:t>
      </w:r>
    </w:p>
    <w:p w14:paraId="2EB8B4F9" w14:textId="7452AF70" w:rsidR="006E0ED6" w:rsidRPr="00263521" w:rsidRDefault="006E0ED6" w:rsidP="006E0ED6">
      <w:pPr>
        <w:pStyle w:val="BodyText"/>
        <w:rPr>
          <w:spacing w:val="-2"/>
        </w:rPr>
      </w:pPr>
      <w:r w:rsidRPr="00263521">
        <w:rPr>
          <w:spacing w:val="-2"/>
        </w:rPr>
        <w:t>Research projecting the future value of housing</w:t>
      </w:r>
      <w:r w:rsidRPr="00263521">
        <w:rPr>
          <w:spacing w:val="-2"/>
        </w:rPr>
        <w:noBreakHyphen/>
        <w:t xml:space="preserve">based inheritances suggested that the total annual value of bequeathed housing from the existing stock of homes will reach about $100 billion (in 2019 dollars) in the year 2035, assuming that house prices grow at the same rate as the Consumer Price Index </w:t>
      </w:r>
      <w:r w:rsidRPr="00263521">
        <w:rPr>
          <w:spacing w:val="-2"/>
        </w:rPr>
        <w:fldChar w:fldCharType="begin"/>
      </w:r>
      <w:r w:rsidR="0047772E">
        <w:rPr>
          <w:spacing w:val="-2"/>
        </w:rPr>
        <w:instrText xml:space="preserve"> ADDIN ZOTERO_ITEM CSL_CITATION {"citationID":"LJdqtfjE","properties":{"formattedCitation":"(CEPAR\\uc0\\u160{}2019, p.\\uc0\\u160{}36)","plainCitation":"(CEPAR 2019, p. 36)","noteIndex":0},"citationItems":[{"id":1655,"uris":["http://zotero.org/groups/2714158/items/M4BG4B9F"],"uri":["http://zotero.org/groups/2714158/items/M4BG4B9F"],"itemData":{"id":1655,"type":"report","genre":"CEPAR research brief","publisher":"University of New South Wales","title":"Housing in an Ageing Australia: Nest and Nest Egg?","author":[{"family":"Centre of Excellence in Population and Ageing Research","given":""}],"translator":[{"family":"CEPAR","given":""}],"issued":{"date-parts":[["2019",11]]}},"locator":"36"}],"schema":"https://github.com/citation-style-language/schema/raw/master/csl-citation.json"} </w:instrText>
      </w:r>
      <w:r w:rsidRPr="00263521">
        <w:rPr>
          <w:spacing w:val="-2"/>
        </w:rPr>
        <w:fldChar w:fldCharType="separate"/>
      </w:r>
      <w:r w:rsidRPr="00263521">
        <w:rPr>
          <w:spacing w:val="-2"/>
          <w:szCs w:val="24"/>
        </w:rPr>
        <w:t>(CEPAR 2019, p. 36)</w:t>
      </w:r>
      <w:r w:rsidRPr="00263521">
        <w:rPr>
          <w:spacing w:val="-2"/>
        </w:rPr>
        <w:fldChar w:fldCharType="end"/>
      </w:r>
      <w:r w:rsidRPr="00263521">
        <w:rPr>
          <w:spacing w:val="-2"/>
        </w:rPr>
        <w:t>.</w:t>
      </w:r>
    </w:p>
    <w:p w14:paraId="7F0375F1" w14:textId="77777777" w:rsidR="006E0ED6" w:rsidRPr="00B243F6" w:rsidRDefault="006E0ED6" w:rsidP="006E0ED6">
      <w:pPr>
        <w:pStyle w:val="Heading4"/>
      </w:pPr>
      <w:r>
        <w:t xml:space="preserve">… </w:t>
      </w:r>
      <w:r w:rsidRPr="00B243F6">
        <w:t>as will superannuation</w:t>
      </w:r>
    </w:p>
    <w:p w14:paraId="42D09550" w14:textId="6CE60F0A" w:rsidR="006E0ED6" w:rsidRDefault="006E0ED6" w:rsidP="006E0ED6">
      <w:pPr>
        <w:pStyle w:val="BodyText"/>
      </w:pPr>
      <w:r>
        <w:t xml:space="preserve">Superannuation represents the second largest share of net household wealth for Australians aged 55 to 74 </w:t>
      </w:r>
      <w:r>
        <w:fldChar w:fldCharType="begin"/>
      </w:r>
      <w:r w:rsidR="0047772E">
        <w:instrText xml:space="preserve"> ADDIN ZOTERO_ITEM CSL_CITATION {"citationID":"DSYNvASq","properties":{"formattedCitation":"(The Treasury\\uc0\\u160{}2020, p.\\uc0\\u160{}76)","plainCitation":"(The Treasury 2020, p. 76)","noteIndex":0},"citationItems":[{"id":1552,"uris":["http://zotero.org/groups/2714158/items/R5Y5AKIH"],"uri":["http://zotero.org/groups/2714158/items/R5Y5AKIH"],"itemData":{"id":1552,"type":"report","event-place":"Canberra","genre":"Final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Treasury","given":""}],"accessed":{"date-parts":[["2021",2,4]]},"issued":{"date-parts":[["2020"]]}},"locator":"76"}],"schema":"https://github.com/citation-style-language/schema/raw/master/csl-citation.json"} </w:instrText>
      </w:r>
      <w:r>
        <w:fldChar w:fldCharType="separate"/>
      </w:r>
      <w:r w:rsidRPr="0025205A">
        <w:rPr>
          <w:szCs w:val="24"/>
        </w:rPr>
        <w:t>(The Treasury 2020, p. 76)</w:t>
      </w:r>
      <w:r>
        <w:fldChar w:fldCharType="end"/>
      </w:r>
      <w:r>
        <w:t xml:space="preserve">. The Superannuation Guarantee was introduced in 1992 and is expected to be a more significant source of savings for people in the future, having been in place for 40 years — the average length of a working life — by the 2030s </w:t>
      </w:r>
      <w:r>
        <w:fldChar w:fldCharType="begin"/>
      </w:r>
      <w:r w:rsidR="0047772E">
        <w:instrText xml:space="preserve"> ADDIN ZOTERO_ITEM CSL_CITATION {"citationID":"bZ3dBMeu","properties":{"formattedCitation":"(The Treasury\\uc0\\u160{}2020, p.\\uc0\\u160{}116)","plainCitation":"(The Treasury 2020, p. 116)","noteIndex":0},"citationItems":[{"id":1552,"uris":["http://zotero.org/groups/2714158/items/R5Y5AKIH"],"uri":["http://zotero.org/groups/2714158/items/R5Y5AKIH"],"itemData":{"id":1552,"type":"report","event-place":"Canberra","genre":"Final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Treasury","given":""}],"accessed":{"date-parts":[["2021",2,4]]},"issued":{"date-parts":[["2020"]]}},"locator":"116"}],"schema":"https://github.com/citation-style-language/schema/raw/master/csl-citation.json"} </w:instrText>
      </w:r>
      <w:r>
        <w:fldChar w:fldCharType="separate"/>
      </w:r>
      <w:r w:rsidRPr="00122C68">
        <w:rPr>
          <w:szCs w:val="24"/>
        </w:rPr>
        <w:t>(The Treasury 2020, p. 116)</w:t>
      </w:r>
      <w:r>
        <w:fldChar w:fldCharType="end"/>
      </w:r>
      <w:r>
        <w:t xml:space="preserve">. </w:t>
      </w:r>
    </w:p>
    <w:p w14:paraId="56FCF427" w14:textId="5F843A8E" w:rsidR="006E0ED6" w:rsidRPr="00E55DC3" w:rsidRDefault="006E0ED6" w:rsidP="006E0ED6">
      <w:pPr>
        <w:pStyle w:val="BodyText"/>
      </w:pPr>
      <w:r>
        <w:t>W</w:t>
      </w:r>
      <w:r w:rsidRPr="00AA7653">
        <w:t>ell</w:t>
      </w:r>
      <w:r>
        <w:noBreakHyphen/>
      </w:r>
      <w:r w:rsidRPr="00AA7653">
        <w:t>off retirees tend to draw down on their superannuation slowly</w:t>
      </w:r>
      <w:r>
        <w:t xml:space="preserve"> </w:t>
      </w:r>
      <w:r>
        <w:fldChar w:fldCharType="begin"/>
      </w:r>
      <w:r w:rsidR="0047772E">
        <w:instrText xml:space="preserve"> ADDIN ZOTERO_ITEM CSL_CITATION {"citationID":"F813dB7S","properties":{"formattedCitation":"(Polidano et al.\\uc0\\u160{}2020, pp.\\uc0\\u160{}17\\uc0\\u8211{}19; Rice Warner\\uc0\\u160{}2021)","plainCitation":"(Polidano et al. 2020, pp. 17–19; Rice Warner 2021)","noteIndex":0},"citationItems":[{"id":1701,"uris":["http://zotero.org/groups/2714158/items/UBKSUJHQ"],"uri":["http://zotero.org/groups/2714158/items/UBKSUJHQ"],"itemData":{"id":1701,"type":"report","genre":"TTPI Working Paper","number":"2/2020","publisher":"Tax and Transfer Policy Institute","title":"The ATO Longitudinal Information Files (ALife): A New Resource for Retirement Policy Research","author":[{"family":"Polidano","given":"Cain"},{"family":"Carter","given":"Andrew"},{"family":"Chan","given":"Marc"},{"family":"Chigavazira","given":"Abraham"},{"family":"To","given":"Hang"},{"family":"Holland","given":"Justin"},{"family":"Nguyen","given":"Son"},{"family":"Vu","given":"Ha"},{"family":"Wilkins","given":"Roger"}],"accessed":{"date-parts":[["2021",4,21]]},"issued":{"date-parts":[["2020"]]}},"locator":"17-19"},{"id":1698,"uris":["http://zotero.org/groups/2714158/items/3RSWAILX"],"uri":["http://zotero.org/groups/2714158/items/3RSWAILX"],"itemData":{"id":1698,"type":"webpage","abstract":"Legislating for retirement incomes The world-renowned Australian superannuation system has been incredibly successful in delivering consistently strong real rates of return for members in the accumulation phase.  Even the worst performing funds have delivered higher returns than most members could have done themselves.  Once the current legislative process to weed out poor performers has been […]","container-title":"Rice Warner","language":"en-AU","title":"Using Retirement Funds More Efficiently","URL":"https://www.ricewarner.com/using-retirement-funds-more-efficiently/","author":[{"family":"Rice Warner","given":""}],"accessed":{"date-parts":[["2021",4,9]]},"issued":{"date-parts":[["2021",3,30]]}}}],"schema":"https://github.com/citation-style-language/schema/raw/master/csl-citation.json"} </w:instrText>
      </w:r>
      <w:r>
        <w:fldChar w:fldCharType="separate"/>
      </w:r>
      <w:r w:rsidRPr="001F39D8">
        <w:rPr>
          <w:szCs w:val="24"/>
        </w:rPr>
        <w:t>(Polidano et al. 2020, pp. 17–19; Rice Warner 2021)</w:t>
      </w:r>
      <w:r>
        <w:fldChar w:fldCharType="end"/>
      </w:r>
      <w:r w:rsidRPr="00AA7653">
        <w:t xml:space="preserve">. </w:t>
      </w:r>
      <w:r>
        <w:t xml:space="preserve">If low drawdown rates continue, future inheritances out of remaining superannuation balances (‘death benefits’) may be large. Projections suggest that average death benefits (in 2019 dollars) for people aged 65 and over could grow from $190 000 to more than $480 000 over 40 years from 2019, or from about $17 billion to $130 billion in aggregate terms </w:t>
      </w:r>
      <w:r w:rsidRPr="00E55DC3">
        <w:fldChar w:fldCharType="begin"/>
      </w:r>
      <w:r w:rsidR="0047772E">
        <w:instrText xml:space="preserve"> ADDIN ZOTERO_ITEM CSL_CITATION {"citationID":"noRqP9e0","properties":{"formattedCitation":"(The Treasury\\uc0\\u160{}2020, pp.\\uc0\\u160{}369, 435)","plainCitation":"(The Treasury 2020, pp. 369, 435)","noteIndex":0},"citationItems":[{"id":1552,"uris":["http://zotero.org/groups/2714158/items/R5Y5AKIH"],"uri":["http://zotero.org/groups/2714158/items/R5Y5AKIH"],"itemData":{"id":1552,"type":"report","event-place":"Canberra","genre":"Final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Treasury","given":""}],"accessed":{"date-parts":[["2021",2,4]]},"issued":{"date-parts":[["2020"]]}},"locator":"369, 435"}],"schema":"https://github.com/citation-style-language/schema/raw/master/csl-citation.json"} </w:instrText>
      </w:r>
      <w:r w:rsidRPr="00E55DC3">
        <w:fldChar w:fldCharType="separate"/>
      </w:r>
      <w:r w:rsidRPr="00E55DC3">
        <w:t>(The Treasury 2020, pp. 369, 435)</w:t>
      </w:r>
      <w:r w:rsidRPr="00E55DC3">
        <w:fldChar w:fldCharType="end"/>
      </w:r>
      <w:r w:rsidRPr="00E55DC3">
        <w:t>.</w:t>
      </w:r>
    </w:p>
    <w:p w14:paraId="412F710E" w14:textId="77777777" w:rsidR="006E0ED6" w:rsidRPr="00B243F6" w:rsidRDefault="006E0ED6" w:rsidP="006E0ED6">
      <w:pPr>
        <w:pStyle w:val="Heading4"/>
      </w:pPr>
      <w:r>
        <w:t>Generally</w:t>
      </w:r>
      <w:r w:rsidRPr="00B243F6">
        <w:t>, retirees do not seem to consume very much</w:t>
      </w:r>
      <w:r>
        <w:t xml:space="preserve"> </w:t>
      </w:r>
    </w:p>
    <w:p w14:paraId="54110DB6" w14:textId="61EA0251" w:rsidR="006E0ED6" w:rsidRPr="00E55DC3" w:rsidRDefault="006E0ED6" w:rsidP="006E0ED6">
      <w:pPr>
        <w:pStyle w:val="BodyText"/>
      </w:pPr>
      <w:r>
        <w:t>Slow decumulation of assets is a characteristic behaviour of retirees.</w:t>
      </w:r>
      <w:r w:rsidRPr="00BF1896">
        <w:t xml:space="preserve"> Research using administrative data found that Age Pensioner households </w:t>
      </w:r>
      <w:r>
        <w:t xml:space="preserve">in Australia </w:t>
      </w:r>
      <w:r w:rsidRPr="00BF1896">
        <w:t xml:space="preserve">from 1999 to 2007 (who would not have had many working years under the Superannuation Guarantee) decumulated their financial assets </w:t>
      </w:r>
      <w:r>
        <w:t xml:space="preserve">at a ‘remarkably </w:t>
      </w:r>
      <w:r w:rsidRPr="00BF1896">
        <w:t>slow</w:t>
      </w:r>
      <w:r>
        <w:t xml:space="preserve">’ rate </w:t>
      </w:r>
      <w:r w:rsidRPr="00BF1896">
        <w:fldChar w:fldCharType="begin"/>
      </w:r>
      <w:r w:rsidR="0047772E">
        <w:instrText xml:space="preserve"> ADDIN ZOTERO_ITEM CSL_CITATION {"citationID":"8pDmgLXl","properties":{"formattedCitation":"(Asher et al.\\uc0\\u160{}2017, p.\\uc0\\u160{}585)","plainCitation":"(Asher et al. 2017, p. 585)","noteIndex":0},"citationItems":[{"id":1545,"uris":["http://zotero.org/groups/2714158/items/IAY8938J"],"uri":["http://zotero.org/groups/2714158/items/IAY8938J"],"itemData":{"id":1545,"type":"article-journal","container-title":"Australian Journal of Management","issue":"4","page":"583-607","title":"Age pensioner decumulation: Responses to incentives, uncertainty and family need","volume":"42","author":[{"family":"Asher","given":"Anthony"},{"family":"Meyricke","given":"Ramona"},{"family":"Thorp","given":"Susan"},{"family":"Wu","given":"Shang"}],"issued":{"date-parts":[["2017"]]}},"locator":"585"}],"schema":"https://github.com/citation-style-language/schema/raw/master/csl-citation.json"} </w:instrText>
      </w:r>
      <w:r w:rsidRPr="00BF1896">
        <w:fldChar w:fldCharType="separate"/>
      </w:r>
      <w:r w:rsidRPr="000674AB">
        <w:rPr>
          <w:szCs w:val="24"/>
        </w:rPr>
        <w:t>(Asher et al. 2017, p. 585)</w:t>
      </w:r>
      <w:r w:rsidRPr="00BF1896">
        <w:fldChar w:fldCharType="end"/>
      </w:r>
      <w:r w:rsidRPr="00BF1896">
        <w:t>.</w:t>
      </w:r>
      <w:r>
        <w:t xml:space="preserve"> Pensioners tended to spend at rates below that required to maintain even a </w:t>
      </w:r>
      <w:r>
        <w:lastRenderedPageBreak/>
        <w:t>modest lifestyle</w:t>
      </w:r>
      <w:r w:rsidRPr="00BF1896">
        <w:t xml:space="preserve"> </w:t>
      </w:r>
      <w:r>
        <w:t>such that t</w:t>
      </w:r>
      <w:r w:rsidRPr="00BF1896">
        <w:t xml:space="preserve">he median pensioner passed away with 90 per cent of </w:t>
      </w:r>
      <w:r>
        <w:t xml:space="preserve">the initial value of their </w:t>
      </w:r>
      <w:r w:rsidRPr="00BF1896">
        <w:t xml:space="preserve">assessable assets (largely financial assets) </w:t>
      </w:r>
      <w:r>
        <w:t>still intact</w:t>
      </w:r>
      <w:r w:rsidRPr="00BF1896">
        <w:t xml:space="preserve"> </w:t>
      </w:r>
      <w:r w:rsidRPr="00BF1896">
        <w:fldChar w:fldCharType="begin"/>
      </w:r>
      <w:r w:rsidR="0047772E">
        <w:instrText xml:space="preserve"> ADDIN ZOTERO_ITEM CSL_CITATION {"citationID":"lawXYK9V","properties":{"formattedCitation":"(Asher et al.\\uc0\\u160{}2017, pp.\\uc0\\u160{}598\\uc0\\u8211{}599)","plainCitation":"(Asher et al. 2017, pp. 598–599)","noteIndex":0},"citationItems":[{"id":1545,"uris":["http://zotero.org/groups/2714158/items/IAY8938J"],"uri":["http://zotero.org/groups/2714158/items/IAY8938J"],"itemData":{"id":1545,"type":"article-journal","container-title":"Australian Journal of Management","issue":"4","page":"583-607","title":"Age pensioner decumulation: Responses to incentives, uncertainty and family need","volume":"42","author":[{"family":"Asher","given":"Anthony"},{"family":"Meyricke","given":"Ramona"},{"family":"Thorp","given":"Susan"},{"family":"Wu","given":"Shang"}],"issued":{"date-parts":[["2017"]]}},"locator":"598-599"}],"schema":"https://github.com/citation-style-language/schema/raw/master/csl-citation.json"} </w:instrText>
      </w:r>
      <w:r w:rsidRPr="00BF1896">
        <w:fldChar w:fldCharType="separate"/>
      </w:r>
      <w:r w:rsidRPr="00304BC5">
        <w:rPr>
          <w:szCs w:val="24"/>
        </w:rPr>
        <w:t>(Asher et al. 2017, pp. 598–599)</w:t>
      </w:r>
      <w:r w:rsidRPr="00BF1896">
        <w:fldChar w:fldCharType="end"/>
      </w:r>
      <w:r w:rsidRPr="00BF1896">
        <w:t>.</w:t>
      </w:r>
    </w:p>
    <w:p w14:paraId="2D47E0FA" w14:textId="77777777" w:rsidR="006E0ED6" w:rsidRDefault="006E0ED6" w:rsidP="006E0ED6">
      <w:pPr>
        <w:pStyle w:val="Heading3"/>
      </w:pPr>
      <w:r>
        <w:t>Limited research on effects on future wealth inequality in Australia</w:t>
      </w:r>
    </w:p>
    <w:p w14:paraId="398E92D7" w14:textId="77777777" w:rsidR="006E0ED6" w:rsidRPr="002769A0" w:rsidRDefault="006E0ED6" w:rsidP="006E0ED6">
      <w:pPr>
        <w:pStyle w:val="BodyText"/>
      </w:pPr>
      <w:r>
        <w:t>Other than the studies cited above, there has been little research on future wealth transfers in Australia, particularly those that examine the effects on future</w:t>
      </w:r>
      <w:r w:rsidRPr="00C9696A" w:rsidDel="001868F9">
        <w:t xml:space="preserve"> </w:t>
      </w:r>
      <w:r w:rsidRPr="00C9696A">
        <w:t>wealth</w:t>
      </w:r>
      <w:r>
        <w:t xml:space="preserve"> inequality</w:t>
      </w:r>
      <w:r w:rsidRPr="002769A0">
        <w:t xml:space="preserve">. </w:t>
      </w:r>
    </w:p>
    <w:p w14:paraId="2DA4088A" w14:textId="4D9AF38A" w:rsidR="006E0ED6" w:rsidRDefault="006E0ED6" w:rsidP="006E0ED6">
      <w:pPr>
        <w:pStyle w:val="BodyText"/>
      </w:pPr>
      <w:r>
        <w:t xml:space="preserve">An Australian study </w:t>
      </w:r>
      <w:r>
        <w:fldChar w:fldCharType="begin"/>
      </w:r>
      <w:r w:rsidR="0047772E">
        <w:instrText xml:space="preserve"> ADDIN ZOTERO_ITEM CSL_CITATION {"citationID":"DXvXnkne","properties":{"formattedCitation":"(Brimble et al.\\uc0\\u160{}2017, pp.\\uc0\\u160{}38\\uc0\\u8211{}40)","plainCitation":"(Brimble et al. 2017, pp. 38–40)","noteIndex":0},"citationItems":[{"id":1707,"uris":["http://zotero.org/groups/2714158/items/CRJBVEYY"],"uri":["http://zotero.org/groups/2714158/items/CRJBVEYY"],"itemData":{"id":1707,"type":"report","publisher":"Griffith University &amp; No More Practice Education","title":"Intergenerational Wealth Transfer: The Opportunity of Gen X &amp; Y in Australia","author":[{"family":"Brimble","given":"Mark"},{"family":"Hunt","given":"Katherine"},{"family":"Johnson","given":"Di"},{"family":"MacDonald","given":"Kirsten"}],"issued":{"date-parts":[["2017"]]}},"locator":"38-40"}],"schema":"https://github.com/citation-style-language/schema/raw/master/csl-citation.json"} </w:instrText>
      </w:r>
      <w:r>
        <w:fldChar w:fldCharType="separate"/>
      </w:r>
      <w:r w:rsidRPr="00FF48FA">
        <w:rPr>
          <w:szCs w:val="24"/>
        </w:rPr>
        <w:t>(Brimble et al. 2017, pp. 38–40)</w:t>
      </w:r>
      <w:r>
        <w:fldChar w:fldCharType="end"/>
      </w:r>
      <w:r w:rsidDel="005A21A7">
        <w:t xml:space="preserve"> </w:t>
      </w:r>
      <w:r>
        <w:t xml:space="preserve">examined potential </w:t>
      </w:r>
      <w:r w:rsidRPr="00C9696A">
        <w:t>distributions of inheritances received</w:t>
      </w:r>
      <w:r>
        <w:t xml:space="preserve"> — that is, inheritance inequality —</w:t>
      </w:r>
      <w:r>
        <w:rPr>
          <w:i/>
          <w:iCs/>
        </w:rPr>
        <w:t xml:space="preserve"> </w:t>
      </w:r>
      <w:r w:rsidRPr="00C9696A">
        <w:t>by</w:t>
      </w:r>
      <w:r>
        <w:t xml:space="preserve"> projecting the future wealth of households aged 60 and over and then estimating the size of inheritances per surviving child or estate. The study’s</w:t>
      </w:r>
      <w:r w:rsidDel="005A21A7">
        <w:t xml:space="preserve"> </w:t>
      </w:r>
      <w:r>
        <w:t>projected distribution of inheritances was</w:t>
      </w:r>
      <w:r w:rsidDel="00682F92">
        <w:t xml:space="preserve"> </w:t>
      </w:r>
      <w:r>
        <w:t xml:space="preserve">in line with the current distribution of inheritances. Specifically, they projected that over three quarters of the total wealth transferred in the future would accrue to the top 20 per cent of inheritance recipients (figure 3.2) — broadly in line with the share of total inheritances that went to the top 20 per cent of inheritance recipients over the past 10 years (Productivity Commission estimates using HILDA Restricted Release 19). The study did not examine the subsequent effect on wealth inequality, which would have required projections for wealth of recipients at the time they received the inheritance. </w:t>
      </w:r>
    </w:p>
    <w:p w14:paraId="08E86616" w14:textId="3FF0118F"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2</w:t>
      </w:r>
      <w:r w:rsidR="00B2270C">
        <w:rPr>
          <w:noProof/>
        </w:rPr>
        <w:fldChar w:fldCharType="end"/>
      </w:r>
      <w:r>
        <w:rPr>
          <w:noProof/>
        </w:rPr>
        <w:t xml:space="preserve"> </w:t>
      </w:r>
      <w:r>
        <w:t>– Projected inheritances by decile of inheritance received</w:t>
      </w:r>
      <w:r w:rsidRPr="00066CF5">
        <w:rPr>
          <w:vertAlign w:val="superscript"/>
        </w:rPr>
        <w:t>a</w:t>
      </w:r>
    </w:p>
    <w:p w14:paraId="56A10633" w14:textId="77777777" w:rsidR="006E0ED6" w:rsidRPr="004C58DE" w:rsidRDefault="006E0ED6" w:rsidP="006E0ED6">
      <w:pPr>
        <w:pStyle w:val="FigureTableSubheading"/>
        <w:keepLines/>
        <w:rPr>
          <w:sz w:val="18"/>
        </w:rPr>
      </w:pPr>
      <w:r w:rsidRPr="004C58DE">
        <w:rPr>
          <w:sz w:val="18"/>
        </w:rPr>
        <w:t>Inheritances received from households aged 60 and over</w:t>
      </w:r>
    </w:p>
    <w:p w14:paraId="7A77B2CF" w14:textId="77777777" w:rsidR="006E0ED6" w:rsidRPr="005550A0" w:rsidRDefault="006E0ED6" w:rsidP="006E0ED6">
      <w:pPr>
        <w:pStyle w:val="BodyText"/>
      </w:pPr>
      <w:r w:rsidRPr="00FE2BD7">
        <w:rPr>
          <w:noProof/>
        </w:rPr>
        <w:drawing>
          <wp:inline distT="0" distB="0" distL="0" distR="0" wp14:anchorId="69486D16" wp14:editId="3A7DA5D9">
            <wp:extent cx="6120130" cy="2861945"/>
            <wp:effectExtent l="0" t="0" r="0" b="0"/>
            <wp:docPr id="92" name="Picture 92" descr="Figure 3.2. This chart shows the cumulative percentage of inheritances received by each inheritance recipient decile, and the average inheritance received by each decile. Over three quarters of inheritances are transferred to the top 20 per cent of inheritance recipients. The top decile receives an average of over $4 million, while the second highest decile receives about $1 million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3.2. This chart shows the cumulative percentage of inheritances received by each inheritance recipient decile, and the average inheritance received by each decile. Over three quarters of inheritances are transferred to the top 20 per cent of inheritance recipients. The top decile receives an average of over $4 million, while the second highest decile receives about $1 million on aver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2861945"/>
                    </a:xfrm>
                    <a:prstGeom prst="rect">
                      <a:avLst/>
                    </a:prstGeom>
                    <a:noFill/>
                    <a:ln>
                      <a:noFill/>
                    </a:ln>
                  </pic:spPr>
                </pic:pic>
              </a:graphicData>
            </a:graphic>
          </wp:inline>
        </w:drawing>
      </w:r>
    </w:p>
    <w:p w14:paraId="5D1398B2" w14:textId="77777777" w:rsidR="006E0ED6" w:rsidRDefault="006E0ED6" w:rsidP="006E0ED6">
      <w:pPr>
        <w:pStyle w:val="Note"/>
        <w:keepLines/>
      </w:pPr>
      <w:r w:rsidRPr="00180E66">
        <w:rPr>
          <w:b/>
          <w:bCs/>
        </w:rPr>
        <w:t>a.</w:t>
      </w:r>
      <w:r>
        <w:t xml:space="preserve"> </w:t>
      </w:r>
      <w:r w:rsidRPr="00F56BC1">
        <w:t>Inheritances on a per surviving child basis. Where there is no surviving child, the final estate value is used.</w:t>
      </w:r>
    </w:p>
    <w:p w14:paraId="53D5DB46" w14:textId="7452065E" w:rsidR="006E0ED6" w:rsidRDefault="006E0ED6" w:rsidP="006E0ED6">
      <w:pPr>
        <w:pStyle w:val="Source"/>
      </w:pPr>
      <w:r w:rsidRPr="00696447">
        <w:t xml:space="preserve">Source: </w:t>
      </w:r>
      <w:r w:rsidRPr="00D122FC">
        <w:t xml:space="preserve">Brimble et al. </w:t>
      </w:r>
      <w:r w:rsidRPr="00D122FC">
        <w:fldChar w:fldCharType="begin"/>
      </w:r>
      <w:r w:rsidR="0047772E">
        <w:instrText xml:space="preserve"> ADDIN ZOTERO_ITEM CSL_CITATION {"citationID":"CuKYQf4X","properties":{"formattedCitation":"(2017, table 9)","plainCitation":"(2017, table 9)","noteIndex":0},"citationItems":[{"id":1707,"uris":["http://zotero.org/groups/2714158/items/CRJBVEYY"],"uri":["http://zotero.org/groups/2714158/items/CRJBVEYY"],"itemData":{"id":1707,"type":"report","publisher":"Griffith University &amp; No More Practice Education","title":"Intergenerational Wealth Transfer: The Opportunity of Gen X &amp; Y in Australia","author":[{"family":"Brimble","given":"Mark"},{"family":"Hunt","given":"Katherine"},{"family":"Johnson","given":"Di"},{"family":"MacDonald","given":"Kirsten"}],"issued":{"date-parts":[["2017"]]}},"suppress-author":true,"suffix":", table 9"}],"schema":"https://github.com/citation-style-language/schema/raw/master/csl-citation.json"} </w:instrText>
      </w:r>
      <w:r w:rsidRPr="00D122FC">
        <w:fldChar w:fldCharType="separate"/>
      </w:r>
      <w:r w:rsidRPr="00D122FC">
        <w:t>(2017, table 9)</w:t>
      </w:r>
      <w:r w:rsidRPr="00D122FC">
        <w:fldChar w:fldCharType="end"/>
      </w:r>
      <w:r w:rsidRPr="00D122FC">
        <w:t>.</w:t>
      </w:r>
    </w:p>
    <w:p w14:paraId="4E49FAE0" w14:textId="77777777" w:rsidR="006E0ED6" w:rsidRPr="00AE2827" w:rsidRDefault="006E0ED6" w:rsidP="006E0ED6">
      <w:pPr>
        <w:pStyle w:val="BodyText"/>
        <w:rPr>
          <w:spacing w:val="-4"/>
        </w:rPr>
      </w:pPr>
      <w:r w:rsidRPr="00AE2827">
        <w:rPr>
          <w:spacing w:val="-4"/>
        </w:rPr>
        <w:t xml:space="preserve">As described in chapter 2, </w:t>
      </w:r>
      <w:r w:rsidRPr="00AE2827">
        <w:rPr>
          <w:i/>
          <w:spacing w:val="-4"/>
        </w:rPr>
        <w:t>absolute</w:t>
      </w:r>
      <w:r w:rsidRPr="00AE2827">
        <w:rPr>
          <w:spacing w:val="-4"/>
        </w:rPr>
        <w:t xml:space="preserve"> wealth inequality is inequality in the level of wealth held by each person. </w:t>
      </w:r>
      <w:r w:rsidRPr="00AE2827">
        <w:rPr>
          <w:i/>
          <w:spacing w:val="-4"/>
        </w:rPr>
        <w:t>Relative</w:t>
      </w:r>
      <w:r w:rsidRPr="00AE2827">
        <w:rPr>
          <w:spacing w:val="-4"/>
        </w:rPr>
        <w:t xml:space="preserve"> wealth inequality is inequality in the share of wealth held by each person, and can be quantified using measures such as the ratio of the wealth of the top 20 per cent to the bottom 20 per cent, or the Gini coefficient.</w:t>
      </w:r>
      <w:r w:rsidRPr="0059379B">
        <w:rPr>
          <w:rStyle w:val="FootnoteReference"/>
        </w:rPr>
        <w:footnoteReference w:id="41"/>
      </w:r>
    </w:p>
    <w:p w14:paraId="072A332D" w14:textId="57E47B57" w:rsidR="006E0ED6" w:rsidRDefault="006E0ED6" w:rsidP="006E0ED6">
      <w:pPr>
        <w:pStyle w:val="BodyText"/>
      </w:pPr>
      <w:r>
        <w:lastRenderedPageBreak/>
        <w:t xml:space="preserve">Predicting the direction of the impact of wealth transfers on wealth inequality is straightforward with respect to absolute wealth inequality — in all practical circumstances, inheritances ‘unambiguously increase absolute measures of wealth inequality’ </w:t>
      </w:r>
      <w:r>
        <w:fldChar w:fldCharType="begin"/>
      </w:r>
      <w:r w:rsidR="0047772E">
        <w:instrText xml:space="preserve"> ADDIN ZOTERO_ITEM CSL_CITATION {"citationID":"1znaLqNH","properties":{"formattedCitation":"(Nekoei and Seim\\uc0\\u160{}2019, pp.\\uc0\\u160{}3, 8)","plainCitation":"(Nekoei and Seim 2019, pp. 3, 8)","noteIndex":0},"citationItems":[{"id":1593,"uris":["http://zotero.org/groups/2714158/items/87CG2KPS"],"uri":["http://zotero.org/groups/2714158/items/87CG2KPS"],"itemData":{"id":1593,"type":"report","number":"Discussion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Sweden","author":[{"family":"Nekoei","given":"Arash"},{"family":"Seim","given":"David"}],"accessed":{"date-parts":[["2021",1,15]]},"issued":{"date-parts":[["2019"]]}},"locator":"3, 8"}],"schema":"https://github.com/citation-style-language/schema/raw/master/csl-citation.json"} </w:instrText>
      </w:r>
      <w:r>
        <w:fldChar w:fldCharType="separate"/>
      </w:r>
      <w:r w:rsidRPr="005F399B">
        <w:rPr>
          <w:szCs w:val="24"/>
        </w:rPr>
        <w:t>(Nekoei and Seim 2019, pp. 3, 8)</w:t>
      </w:r>
      <w:r>
        <w:fldChar w:fldCharType="end"/>
      </w:r>
      <w:r>
        <w:t>.</w:t>
      </w:r>
      <w:r w:rsidRPr="0059379B">
        <w:rPr>
          <w:rStyle w:val="FootnoteReference"/>
        </w:rPr>
        <w:footnoteReference w:id="42"/>
      </w:r>
    </w:p>
    <w:p w14:paraId="78FA09FB" w14:textId="77777777" w:rsidR="006E0ED6" w:rsidRDefault="006E0ED6" w:rsidP="006E0ED6">
      <w:pPr>
        <w:pStyle w:val="BodyText"/>
      </w:pPr>
      <w:r>
        <w:t xml:space="preserve">However, the effect of wealth transfers on </w:t>
      </w:r>
      <w:r w:rsidRPr="007D3906">
        <w:t>relative</w:t>
      </w:r>
      <w:r>
        <w:t xml:space="preserve"> wealth inequality is less straightforward, and</w:t>
      </w:r>
      <w:r w:rsidDel="006230BB">
        <w:t xml:space="preserve"> </w:t>
      </w:r>
      <w:r>
        <w:t xml:space="preserve">depends on the ratio of transfers to existing wealth as well as behavioural responses. </w:t>
      </w:r>
    </w:p>
    <w:p w14:paraId="2B5DCAB6" w14:textId="77777777" w:rsidR="006E0ED6" w:rsidRDefault="006E0ED6" w:rsidP="006E0ED6">
      <w:pPr>
        <w:pStyle w:val="ListBullet"/>
      </w:pPr>
      <w:r>
        <w:t xml:space="preserve">In the immediate term, the impact can be explained by the size of wealth transfers received by the wealthy and the less wealthy, relative to their existing wealth (box 3.1). </w:t>
      </w:r>
    </w:p>
    <w:p w14:paraId="48366A94" w14:textId="20447283" w:rsidR="006E0ED6" w:rsidRDefault="006E0ED6" w:rsidP="006E0ED6">
      <w:pPr>
        <w:pStyle w:val="ListBullet"/>
      </w:pPr>
      <w:r>
        <w:t xml:space="preserve">In the longer term, the impact also depends on differences in patterns of spending or saving </w:t>
      </w:r>
      <w:r w:rsidR="009A721D">
        <w:t xml:space="preserve">associated with receiving an </w:t>
      </w:r>
      <w:r>
        <w:t>inheritance by people with different wealth levels.</w:t>
      </w:r>
    </w:p>
    <w:p w14:paraId="6AA38E06"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68B26E1F" w14:textId="77777777" w:rsidTr="001625EC">
        <w:trPr>
          <w:tblHeader/>
        </w:trPr>
        <w:tc>
          <w:tcPr>
            <w:tcW w:w="9638" w:type="dxa"/>
            <w:tcMar>
              <w:top w:w="170" w:type="dxa"/>
              <w:left w:w="170" w:type="dxa"/>
              <w:bottom w:w="113" w:type="dxa"/>
              <w:right w:w="170" w:type="dxa"/>
            </w:tcMar>
            <w:hideMark/>
          </w:tcPr>
          <w:p w14:paraId="1F8C695A" w14:textId="6AE375BF"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1</w:t>
            </w:r>
            <w:r w:rsidR="00B2270C">
              <w:rPr>
                <w:noProof/>
              </w:rPr>
              <w:fldChar w:fldCharType="end"/>
            </w:r>
            <w:r>
              <w:t xml:space="preserve"> – </w:t>
            </w:r>
            <w:r w:rsidRPr="00437EC2">
              <w:t>How do inheritances affect wealth inequality? A framework</w:t>
            </w:r>
          </w:p>
        </w:tc>
      </w:tr>
      <w:tr w:rsidR="006E0ED6" w14:paraId="00E8369B" w14:textId="77777777" w:rsidTr="001625EC">
        <w:tc>
          <w:tcPr>
            <w:tcW w:w="9638" w:type="dxa"/>
            <w:tcMar>
              <w:top w:w="28" w:type="dxa"/>
              <w:left w:w="170" w:type="dxa"/>
              <w:bottom w:w="170" w:type="dxa"/>
              <w:right w:w="170" w:type="dxa"/>
            </w:tcMar>
            <w:hideMark/>
          </w:tcPr>
          <w:p w14:paraId="20377F98" w14:textId="3FCABFAC" w:rsidR="006E0ED6" w:rsidRDefault="006E0ED6" w:rsidP="001625EC">
            <w:pPr>
              <w:pStyle w:val="BodyText"/>
            </w:pPr>
            <w:r w:rsidRPr="00437EC2">
              <w:t>The</w:t>
            </w:r>
            <w:r w:rsidRPr="00437EC2" w:rsidDel="00D222F3">
              <w:t xml:space="preserve"> </w:t>
            </w:r>
            <w:r w:rsidRPr="00437EC2">
              <w:t xml:space="preserve">immediate effect of wealth transfers on relative wealth inequality are driven by three factors (described here in terms of inheritances, but the same logic applies to inter vivos gifts) </w:t>
            </w:r>
            <w:r w:rsidRPr="00437EC2">
              <w:fldChar w:fldCharType="begin"/>
            </w:r>
            <w:r w:rsidR="0047772E">
              <w:instrText xml:space="preserve"> ADDIN ZOTERO_ITEM CSL_CITATION {"citationID":"RpHVJkzV","properties":{"formattedCitation":"(Nekoei and Seim\\uc0\\u160{}2019, p.\\uc0\\u160{}8)","plainCitation":"(Nekoei and Seim 2019, p. 8)","noteIndex":0},"citationItems":[{"id":1593,"uris":["http://zotero.org/groups/2714158/items/87CG2KPS"],"uri":["http://zotero.org/groups/2714158/items/87CG2KPS"],"itemData":{"id":1593,"type":"report","number":"Discussion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Sweden","author":[{"family":"Nekoei","given":"Arash"},{"family":"Seim","given":"David"}],"accessed":{"date-parts":[["2021",1,15]]},"issued":{"date-parts":[["2019"]]}},"locator":"8"}],"schema":"https://github.com/citation-style-language/schema/raw/master/csl-citation.json"} </w:instrText>
            </w:r>
            <w:r w:rsidRPr="00437EC2">
              <w:fldChar w:fldCharType="separate"/>
            </w:r>
            <w:r w:rsidRPr="00437EC2">
              <w:t>(Nekoei and Seim 2019, p. 8)</w:t>
            </w:r>
            <w:r w:rsidRPr="00437EC2">
              <w:fldChar w:fldCharType="end"/>
            </w:r>
            <w:r w:rsidRPr="00437EC2">
              <w:t>.</w:t>
            </w:r>
          </w:p>
          <w:p w14:paraId="0C26A604" w14:textId="77777777" w:rsidR="006E0ED6" w:rsidRPr="0024696F" w:rsidRDefault="006E0ED6" w:rsidP="00132C71">
            <w:pPr>
              <w:pStyle w:val="ListNumber"/>
              <w:numPr>
                <w:ilvl w:val="0"/>
                <w:numId w:val="21"/>
              </w:numPr>
              <w:rPr>
                <w:spacing w:val="-4"/>
              </w:rPr>
            </w:pPr>
            <w:r w:rsidRPr="00A62492">
              <w:rPr>
                <w:i/>
                <w:spacing w:val="-4"/>
              </w:rPr>
              <w:t>Pre</w:t>
            </w:r>
            <w:r w:rsidRPr="00A62492">
              <w:rPr>
                <w:i/>
                <w:spacing w:val="-4"/>
              </w:rPr>
              <w:noBreakHyphen/>
            </w:r>
            <w:r w:rsidRPr="0024696F">
              <w:rPr>
                <w:i/>
                <w:spacing w:val="-4"/>
              </w:rPr>
              <w:t>inheritance wealth inequality among people receiving wealth transfers</w:t>
            </w:r>
            <w:r w:rsidRPr="0024696F">
              <w:rPr>
                <w:spacing w:val="-4"/>
              </w:rPr>
              <w:t>. As a thought exercise, imagine the receiving generation all receive equal inheritances. If their pre</w:t>
            </w:r>
            <w:r w:rsidRPr="0024696F">
              <w:rPr>
                <w:spacing w:val="-4"/>
              </w:rPr>
              <w:noBreakHyphen/>
              <w:t>inheritance wealth was also equal, inheritances would have no effect on wealth inequality. If</w:t>
            </w:r>
            <w:r w:rsidRPr="0024696F" w:rsidDel="00513E8A">
              <w:rPr>
                <w:spacing w:val="-4"/>
              </w:rPr>
              <w:t xml:space="preserve"> </w:t>
            </w:r>
            <w:r w:rsidRPr="0024696F">
              <w:rPr>
                <w:spacing w:val="-4"/>
              </w:rPr>
              <w:t>they had different levels of pre</w:t>
            </w:r>
            <w:r w:rsidRPr="0024696F">
              <w:rPr>
                <w:spacing w:val="-4"/>
              </w:rPr>
              <w:noBreakHyphen/>
              <w:t>inheritance wealth, then the wealthier someone is, the smaller their inheritance is relative to their pre</w:t>
            </w:r>
            <w:r w:rsidRPr="0024696F">
              <w:rPr>
                <w:spacing w:val="-4"/>
              </w:rPr>
              <w:noBreakHyphen/>
              <w:t>inheritance wealth (illustrated in example 1 below). This means that the more unequal the pre</w:t>
            </w:r>
            <w:r w:rsidRPr="0024696F">
              <w:rPr>
                <w:spacing w:val="-4"/>
              </w:rPr>
              <w:noBreakHyphen/>
              <w:t>inheritance wealth distribution is, the more likely wealth transfers are to reduce relative wealth inequality, keeping other factors unchanged.</w:t>
            </w:r>
          </w:p>
          <w:p w14:paraId="41BB98FB" w14:textId="77777777" w:rsidR="006E0ED6" w:rsidRPr="00102992" w:rsidRDefault="006E0ED6" w:rsidP="00132C71">
            <w:pPr>
              <w:pStyle w:val="ListNumber"/>
              <w:numPr>
                <w:ilvl w:val="0"/>
                <w:numId w:val="21"/>
              </w:numPr>
              <w:rPr>
                <w:spacing w:val="-2"/>
              </w:rPr>
            </w:pPr>
            <w:r w:rsidRPr="00102992">
              <w:rPr>
                <w:i/>
                <w:iCs/>
                <w:spacing w:val="-2"/>
              </w:rPr>
              <w:t>Wealth inequality among those who die, which determines the inequality in inheritances left by parents</w:t>
            </w:r>
            <w:r w:rsidRPr="00102992">
              <w:rPr>
                <w:spacing w:val="-2"/>
              </w:rPr>
              <w:t>. As described above, if the receiving generation all have equal pre</w:t>
            </w:r>
            <w:r w:rsidRPr="00102992">
              <w:rPr>
                <w:spacing w:val="-2"/>
              </w:rPr>
              <w:noBreakHyphen/>
              <w:t xml:space="preserve">inheritance wealth and their parents also had equal wealth, then everyone would receive equal inheritances, and inheritances would have no effect on wealth inequality (disregarding parents with multiple heirs). However, if parents had unequal wealth, then those who receive larger inheritances would end up with greater wealth after receiving the inheritance, resulting in increased wealth inequality (as illustrated in example 2 below). </w:t>
            </w:r>
          </w:p>
          <w:p w14:paraId="54E8B17F" w14:textId="77777777" w:rsidR="006E0ED6" w:rsidRPr="00437EC2" w:rsidRDefault="006E0ED6" w:rsidP="00132C71">
            <w:pPr>
              <w:pStyle w:val="ListNumber"/>
              <w:numPr>
                <w:ilvl w:val="0"/>
                <w:numId w:val="21"/>
              </w:numPr>
              <w:ind w:left="340" w:hanging="340"/>
            </w:pPr>
            <w:r w:rsidRPr="00437EC2">
              <w:rPr>
                <w:i/>
                <w:iCs/>
              </w:rPr>
              <w:t>Intergenerational wealth persistence between children and their parents</w:t>
            </w:r>
            <w:r w:rsidRPr="00437EC2">
              <w:t>. Inheritances are</w:t>
            </w:r>
            <w:r w:rsidRPr="00437EC2" w:rsidDel="000256FE">
              <w:t xml:space="preserve"> </w:t>
            </w:r>
            <w:r w:rsidRPr="00437EC2">
              <w:t>more likely to reduce wealth inequality if intergenerational wealth persistence is low. The weaker the relationship between the wealth of children and of their parents before inheritances, the more likely it is for less wealthy children to receive larger inheritances and for wealthier children to receive smaller inheritances. This results in a wealth distribution that is more equal than if intergenerational wealth persistence was high (as illustrated below in comparing examples 2 and 3).</w:t>
            </w:r>
          </w:p>
          <w:p w14:paraId="7DEE2695" w14:textId="38BEC7CA" w:rsidR="006E0ED6" w:rsidRPr="00437EC2" w:rsidRDefault="006E0ED6" w:rsidP="001625EC">
            <w:pPr>
              <w:pStyle w:val="BodyText"/>
              <w:rPr>
                <w:spacing w:val="-4"/>
              </w:rPr>
            </w:pPr>
            <w:r w:rsidRPr="00437EC2">
              <w:rPr>
                <w:spacing w:val="-4"/>
              </w:rPr>
              <w:t xml:space="preserve">Together, wealth inequality among those who die (2) and intergenerational wealth persistence (3) determine the shares of total inheritances that children receive by wealth level </w:t>
            </w:r>
            <w:r w:rsidRPr="00437EC2">
              <w:rPr>
                <w:spacing w:val="-4"/>
              </w:rPr>
              <w:fldChar w:fldCharType="begin"/>
            </w:r>
            <w:r w:rsidR="0047772E">
              <w:rPr>
                <w:spacing w:val="-4"/>
              </w:rPr>
              <w:instrText xml:space="preserve"> ADDIN ZOTERO_ITEM CSL_CITATION {"citationID":"oj33NNyr","properties":{"formattedCitation":"(Nekoei and Seim\\uc0\\u160{}2019, p.\\uc0\\u160{}19)","plainCitation":"(Nekoei and Seim 2019, p. 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Sweden","author":[{"family":"Nekoei","given":"Arash"},{"family":"Seim","given":"David"}],"accessed":{"date-parts":[["2021",1,15]]},"issued":{"date-parts":[["2019"]]}},"locator":"19"}],"schema":"https://github.com/citation-style-language/schema/raw/master/csl-citation.json"} </w:instrText>
            </w:r>
            <w:r w:rsidRPr="00437EC2">
              <w:rPr>
                <w:spacing w:val="-4"/>
              </w:rPr>
              <w:fldChar w:fldCharType="separate"/>
            </w:r>
            <w:r w:rsidRPr="00437EC2">
              <w:rPr>
                <w:spacing w:val="-4"/>
              </w:rPr>
              <w:t>(Nekoei and Seim 2019, p. 19)</w:t>
            </w:r>
            <w:r w:rsidRPr="00437EC2">
              <w:rPr>
                <w:spacing w:val="-4"/>
              </w:rPr>
              <w:fldChar w:fldCharType="end"/>
            </w:r>
            <w:r w:rsidRPr="00437EC2">
              <w:rPr>
                <w:spacing w:val="-4"/>
              </w:rPr>
              <w:t xml:space="preserve">. </w:t>
            </w:r>
          </w:p>
          <w:p w14:paraId="344B0CFA" w14:textId="77777777" w:rsidR="006E0ED6" w:rsidRDefault="006E0ED6" w:rsidP="001625EC">
            <w:pPr>
              <w:pStyle w:val="FigureTableHeading"/>
            </w:pPr>
            <w:r>
              <w:lastRenderedPageBreak/>
              <w:t>Illustrative effects of inheritances on relative wealth inequality</w:t>
            </w:r>
          </w:p>
          <w:p w14:paraId="3E3DAD8F" w14:textId="77777777" w:rsidR="006E0ED6" w:rsidRPr="004C58DE" w:rsidRDefault="006E0ED6" w:rsidP="001625EC">
            <w:pPr>
              <w:pStyle w:val="FigureTableSubheading"/>
              <w:rPr>
                <w:sz w:val="18"/>
              </w:rPr>
            </w:pPr>
            <w:r w:rsidRPr="004C58DE">
              <w:rPr>
                <w:sz w:val="18"/>
              </w:rPr>
              <w:t>Average wealth of recipients before and after receiving an inheritance</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3100"/>
              <w:gridCol w:w="3100"/>
              <w:gridCol w:w="3098"/>
            </w:tblGrid>
            <w:tr w:rsidR="00CD417B" w:rsidRPr="00B1465D" w14:paraId="027323AF" w14:textId="77777777" w:rsidTr="00CD417B">
              <w:trPr>
                <w:tblHeader/>
                <w:jc w:val="center"/>
              </w:trPr>
              <w:tc>
                <w:tcPr>
                  <w:tcW w:w="1667" w:type="pct"/>
                  <w:tcBorders>
                    <w:top w:val="nil"/>
                    <w:bottom w:val="nil"/>
                  </w:tcBorders>
                </w:tcPr>
                <w:p w14:paraId="05871CC2" w14:textId="5CE52CD3" w:rsidR="00CD417B" w:rsidRPr="002B665E" w:rsidRDefault="00CD417B" w:rsidP="00CA5628">
                  <w:pPr>
                    <w:pStyle w:val="BodyText"/>
                    <w:rPr>
                      <w:sz w:val="18"/>
                      <w:szCs w:val="18"/>
                    </w:rPr>
                  </w:pPr>
                  <w:r w:rsidRPr="002B665E">
                    <w:rPr>
                      <w:spacing w:val="-4"/>
                      <w:sz w:val="18"/>
                      <w:szCs w:val="18"/>
                    </w:rPr>
                    <w:t>Example 1: Different pre</w:t>
                  </w:r>
                  <w:r w:rsidRPr="002B665E">
                    <w:rPr>
                      <w:spacing w:val="-4"/>
                      <w:sz w:val="18"/>
                      <w:szCs w:val="18"/>
                    </w:rPr>
                    <w:noBreakHyphen/>
                    <w:t>inheritance wealth, same inheritance</w:t>
                  </w:r>
                  <w:r w:rsidRPr="002B665E">
                    <w:rPr>
                      <w:rFonts w:ascii="Arial" w:hAnsi="Arial" w:cs="Arial"/>
                      <w:noProof/>
                      <w:sz w:val="18"/>
                      <w:szCs w:val="18"/>
                    </w:rPr>
                    <w:t xml:space="preserve"> </w:t>
                  </w:r>
                  <w:r w:rsidRPr="002B665E">
                    <w:rPr>
                      <w:rFonts w:ascii="Arial" w:hAnsi="Arial" w:cs="Arial"/>
                      <w:noProof/>
                      <w:sz w:val="18"/>
                      <w:szCs w:val="18"/>
                    </w:rPr>
                    <w:drawing>
                      <wp:inline distT="0" distB="0" distL="0" distR="0" wp14:anchorId="5EF59229" wp14:editId="0DF5243C">
                        <wp:extent cx="1911350" cy="1441450"/>
                        <wp:effectExtent l="0" t="0" r="0" b="6350"/>
                        <wp:docPr id="1" name="Picture 1" descr="Box 3.1 figure, panel a. This illustrative chart shows each wealth quintile having different levels of average pre-inheritance wealth but the same average inheritance. Before inheritances, the top quintile’s wealth is four times the lowest quintile. After inheritances, it is double the low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Box 3.1 figure, panel a. This illustrative chart shows each wealth quintile having different levels of average pre-inheritance wealth but the same average inheritance. Before inheritances, the top quintile’s wealth is four times the lowest quintile. After inheritances, it is double the lowest quintil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1350" cy="1441450"/>
                                </a:xfrm>
                                <a:prstGeom prst="rect">
                                  <a:avLst/>
                                </a:prstGeom>
                                <a:noFill/>
                                <a:ln>
                                  <a:noFill/>
                                </a:ln>
                              </pic:spPr>
                            </pic:pic>
                          </a:graphicData>
                        </a:graphic>
                      </wp:inline>
                    </w:drawing>
                  </w:r>
                </w:p>
              </w:tc>
              <w:tc>
                <w:tcPr>
                  <w:tcW w:w="1667" w:type="pct"/>
                  <w:tcBorders>
                    <w:top w:val="nil"/>
                    <w:bottom w:val="nil"/>
                  </w:tcBorders>
                </w:tcPr>
                <w:p w14:paraId="2B66E418" w14:textId="2CA6A8D0" w:rsidR="00CD417B" w:rsidRPr="002B665E" w:rsidRDefault="00CD417B" w:rsidP="00CA5628">
                  <w:pPr>
                    <w:pStyle w:val="BodyText"/>
                    <w:rPr>
                      <w:sz w:val="18"/>
                      <w:szCs w:val="18"/>
                    </w:rPr>
                  </w:pPr>
                  <w:r w:rsidRPr="002B665E">
                    <w:rPr>
                      <w:sz w:val="18"/>
                      <w:szCs w:val="18"/>
                    </w:rPr>
                    <w:t>Example 2: Same pre</w:t>
                  </w:r>
                  <w:r w:rsidRPr="002B665E">
                    <w:rPr>
                      <w:sz w:val="18"/>
                      <w:szCs w:val="18"/>
                    </w:rPr>
                    <w:noBreakHyphen/>
                    <w:t>inheritance wealth, different inheritance</w:t>
                  </w:r>
                  <w:r w:rsidRPr="002B665E">
                    <w:rPr>
                      <w:rFonts w:cs="Arial"/>
                      <w:iCs/>
                      <w:sz w:val="18"/>
                      <w:szCs w:val="18"/>
                    </w:rPr>
                    <w:br/>
                  </w:r>
                  <w:r w:rsidRPr="002B665E">
                    <w:rPr>
                      <w:rFonts w:ascii="Arial" w:hAnsi="Arial" w:cs="Arial"/>
                      <w:sz w:val="18"/>
                      <w:szCs w:val="18"/>
                    </w:rPr>
                    <w:t xml:space="preserve"> </w:t>
                  </w:r>
                  <w:r w:rsidRPr="002B665E">
                    <w:rPr>
                      <w:rFonts w:ascii="Arial" w:hAnsi="Arial" w:cs="Arial"/>
                      <w:noProof/>
                      <w:sz w:val="18"/>
                      <w:szCs w:val="18"/>
                    </w:rPr>
                    <w:drawing>
                      <wp:inline distT="0" distB="0" distL="0" distR="0" wp14:anchorId="79E1025A" wp14:editId="482441B0">
                        <wp:extent cx="1911350" cy="1441450"/>
                        <wp:effectExtent l="0" t="0" r="0" b="6350"/>
                        <wp:docPr id="14" name="Picture 14" descr="Box 3.1 figure, panel b. This illustrative chart shows each wealth quintile having the same average pre-inheritance wealth but different average inheritances. The wealth distribution is more unequal after inheri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Box 3.1 figure, panel b. This illustrative chart shows each wealth quintile having the same average pre-inheritance wealth but different average inheritances. The wealth distribution is more unequal after inheritanc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1350" cy="1441450"/>
                                </a:xfrm>
                                <a:prstGeom prst="rect">
                                  <a:avLst/>
                                </a:prstGeom>
                                <a:noFill/>
                                <a:ln>
                                  <a:noFill/>
                                </a:ln>
                              </pic:spPr>
                            </pic:pic>
                          </a:graphicData>
                        </a:graphic>
                      </wp:inline>
                    </w:drawing>
                  </w:r>
                </w:p>
              </w:tc>
              <w:tc>
                <w:tcPr>
                  <w:tcW w:w="1666" w:type="pct"/>
                  <w:tcBorders>
                    <w:top w:val="nil"/>
                    <w:bottom w:val="nil"/>
                  </w:tcBorders>
                </w:tcPr>
                <w:p w14:paraId="2549273D" w14:textId="31F8D4AE" w:rsidR="00CD417B" w:rsidRPr="002B665E" w:rsidRDefault="00CD417B" w:rsidP="00CA5628">
                  <w:pPr>
                    <w:pStyle w:val="BodyText"/>
                    <w:rPr>
                      <w:sz w:val="18"/>
                      <w:szCs w:val="18"/>
                    </w:rPr>
                  </w:pPr>
                  <w:r w:rsidRPr="002B665E">
                    <w:rPr>
                      <w:spacing w:val="-4"/>
                      <w:sz w:val="18"/>
                      <w:szCs w:val="18"/>
                    </w:rPr>
                    <w:t>Example 3: Example 2 with lower intergenerational wealth persistence</w:t>
                  </w:r>
                  <w:r w:rsidRPr="002B665E">
                    <w:rPr>
                      <w:rFonts w:ascii="Arial" w:hAnsi="Arial" w:cs="Arial"/>
                      <w:sz w:val="18"/>
                      <w:szCs w:val="18"/>
                    </w:rPr>
                    <w:t xml:space="preserve"> </w:t>
                  </w:r>
                  <w:r w:rsidRPr="002B665E">
                    <w:rPr>
                      <w:rFonts w:ascii="Arial" w:hAnsi="Arial" w:cs="Arial"/>
                      <w:noProof/>
                      <w:sz w:val="18"/>
                      <w:szCs w:val="18"/>
                    </w:rPr>
                    <w:drawing>
                      <wp:inline distT="0" distB="0" distL="0" distR="0" wp14:anchorId="3203E596" wp14:editId="5A8B852E">
                        <wp:extent cx="1911350" cy="1441450"/>
                        <wp:effectExtent l="0" t="0" r="0" b="6350"/>
                        <wp:docPr id="15" name="Picture 15" descr="Box 3.1 figure, panel c. This illustrative chart shows each wealth quintile having the same average pre-inheritance wealth. Inheritances are more equal than in example 2 but still uneven. The wealth distribution is less unequal after inheritances than in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Box 3.1 figure, panel c. This illustrative chart shows each wealth quintile having the same average pre-inheritance wealth. Inheritances are more equal than in example 2 but still uneven. The wealth distribution is less unequal after inheritances than in exampl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11350" cy="1441450"/>
                                </a:xfrm>
                                <a:prstGeom prst="rect">
                                  <a:avLst/>
                                </a:prstGeom>
                                <a:noFill/>
                                <a:ln>
                                  <a:noFill/>
                                </a:ln>
                              </pic:spPr>
                            </pic:pic>
                          </a:graphicData>
                        </a:graphic>
                      </wp:inline>
                    </w:drawing>
                  </w:r>
                </w:p>
              </w:tc>
            </w:tr>
          </w:tbl>
          <w:p w14:paraId="6FEA0C56" w14:textId="2C587B7C" w:rsidR="006E0ED6" w:rsidRDefault="005B34F0" w:rsidP="00DE39C9">
            <w:pPr>
              <w:pStyle w:val="FigureTableSubheading"/>
              <w:jc w:val="center"/>
            </w:pPr>
            <w:r w:rsidRPr="00FC23E6">
              <w:rPr>
                <w:rFonts w:ascii="Arial" w:hAnsi="Arial" w:cs="Arial"/>
                <w:noProof/>
                <w:sz w:val="18"/>
              </w:rPr>
              <w:drawing>
                <wp:inline distT="0" distB="0" distL="0" distR="0" wp14:anchorId="59860981" wp14:editId="58E5BF93">
                  <wp:extent cx="5581015" cy="219075"/>
                  <wp:effectExtent l="0" t="0" r="0" b="0"/>
                  <wp:docPr id="85" name="Picture 85" descr="Box 3.1 figur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Box 3.1 figure, Legen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81015" cy="219075"/>
                          </a:xfrm>
                          <a:prstGeom prst="rect">
                            <a:avLst/>
                          </a:prstGeom>
                          <a:noFill/>
                          <a:ln>
                            <a:noFill/>
                          </a:ln>
                        </pic:spPr>
                      </pic:pic>
                    </a:graphicData>
                  </a:graphic>
                </wp:inline>
              </w:drawing>
            </w:r>
          </w:p>
        </w:tc>
      </w:tr>
      <w:tr w:rsidR="006E0ED6" w14:paraId="3EA19828" w14:textId="77777777" w:rsidTr="001625EC">
        <w:tc>
          <w:tcPr>
            <w:tcW w:w="9638" w:type="dxa"/>
            <w:shd w:val="clear" w:color="auto" w:fill="auto"/>
            <w:tcMar>
              <w:top w:w="0" w:type="dxa"/>
              <w:left w:w="170" w:type="dxa"/>
              <w:bottom w:w="0" w:type="dxa"/>
              <w:right w:w="170" w:type="dxa"/>
            </w:tcMar>
          </w:tcPr>
          <w:p w14:paraId="6783996B" w14:textId="77777777" w:rsidR="006E0ED6" w:rsidRDefault="006E0ED6" w:rsidP="001625EC">
            <w:pPr>
              <w:pStyle w:val="BodyText"/>
              <w:spacing w:before="0" w:after="0" w:line="80" w:lineRule="atLeast"/>
            </w:pPr>
          </w:p>
        </w:tc>
      </w:tr>
    </w:tbl>
    <w:p w14:paraId="58570641" w14:textId="77777777" w:rsidR="006E0ED6" w:rsidRDefault="006E0ED6" w:rsidP="006E0ED6">
      <w:pPr>
        <w:pStyle w:val="BodyText"/>
      </w:pPr>
      <w:r>
        <w:t xml:space="preserve">Behavioural responses that have been analysed in the literature include changes in saving behaviour: </w:t>
      </w:r>
    </w:p>
    <w:p w14:paraId="1D97CFA5" w14:textId="720436F6" w:rsidR="006E0ED6" w:rsidRPr="0040336C" w:rsidRDefault="006E0ED6" w:rsidP="006E0ED6">
      <w:pPr>
        <w:pStyle w:val="ListBullet"/>
      </w:pPr>
      <w:r>
        <w:t xml:space="preserve">in response to receiving a wealth transfer. The degree to which wealth transfers are saved by the wealthy and the less wealthy was shown by Nekoei and Seim </w:t>
      </w:r>
      <w:r>
        <w:fldChar w:fldCharType="begin"/>
      </w:r>
      <w:r w:rsidR="0047772E">
        <w:instrText xml:space="preserve"> ADDIN ZOTERO_ITEM CSL_CITATION {"citationID":"gne1mKcK","properties":{"formattedCitation":"(2019, pp.\\uc0\\u160{}20\\uc0\\u8211{}22)","plainCitation":"(2019, pp. 20–22)","noteIndex":0},"citationItems":[{"id":1593,"uris":["http://zotero.org/groups/2714158/items/87CG2KPS"],"uri":["http://zotero.org/groups/2714158/items/87CG2KPS"],"itemData":{"id":1593,"type":"report","number":"Discussion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20-22","suppress-author":true}],"schema":"https://github.com/citation-style-language/schema/raw/master/csl-citation.json"} </w:instrText>
      </w:r>
      <w:r>
        <w:fldChar w:fldCharType="separate"/>
      </w:r>
      <w:r w:rsidRPr="004C3311">
        <w:rPr>
          <w:szCs w:val="24"/>
        </w:rPr>
        <w:t>(2019, pp. 20–22)</w:t>
      </w:r>
      <w:r>
        <w:fldChar w:fldCharType="end"/>
      </w:r>
      <w:r>
        <w:t xml:space="preserve"> to be the key driver of whether or not the immediate reduction in inequality from wealth transfers persisted in the </w:t>
      </w:r>
      <w:r w:rsidRPr="0041738D">
        <w:t>long</w:t>
      </w:r>
      <w:r>
        <w:t xml:space="preserve"> </w:t>
      </w:r>
      <w:r w:rsidRPr="0041738D">
        <w:t>run</w:t>
      </w:r>
      <w:r>
        <w:t xml:space="preserve"> </w:t>
      </w:r>
      <w:r>
        <w:fldChar w:fldCharType="begin"/>
      </w:r>
      <w:r w:rsidR="0047772E">
        <w:instrText xml:space="preserve"> ADDIN ZOTERO_ITEM CSL_CITATION {"citationID":"a51TD5oG","properties":{"formattedCitation":"(Nekoei and Seim\\uc0\\u160{}2019, pp.\\uc0\\u160{}20\\uc0\\u8211{}22)","plainCitation":"(Nekoei and Seim 2019, pp. 20–22)","noteIndex":0},"citationItems":[{"id":1593,"uris":["http://zotero.org/groups/2714158/items/87CG2KPS"],"uri":["http://zotero.org/groups/2714158/items/87CG2KPS"],"itemData":{"id":1593,"type":"report","number":"Discussion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Sweden","author":[{"family":"Nekoei","given":"Arash"},{"family":"Seim","given":"David"}],"accessed":{"date-parts":[["2021",1,15]]},"issued":{"date-parts":[["2019"]]}},"locator":"20-22"}],"schema":"https://github.com/citation-style-language/schema/raw/master/csl-citation.json"} </w:instrText>
      </w:r>
      <w:r>
        <w:fldChar w:fldCharType="separate"/>
      </w:r>
      <w:r w:rsidRPr="000256FE">
        <w:rPr>
          <w:szCs w:val="24"/>
        </w:rPr>
        <w:t>(Nekoei and Seim 2019, pp. 20–22)</w:t>
      </w:r>
      <w:r>
        <w:fldChar w:fldCharType="end"/>
      </w:r>
      <w:r>
        <w:t xml:space="preserve">. De Nardi </w:t>
      </w:r>
      <w:r>
        <w:fldChar w:fldCharType="begin"/>
      </w:r>
      <w:r w:rsidR="0047772E">
        <w:instrText xml:space="preserve"> ADDIN ZOTERO_ITEM CSL_CITATION {"citationID":"MpbgnSok","properties":{"formattedCitation":"(2002, p.\\uc0\\u160{}22)","plainCitation":"(2002, p. 22)","noteIndex":0},"citationItems":[{"id":3021,"uris":["http://zotero.org/groups/2714158/items/T9E3UMS5"],"uri":["http://zotero.org/groups/2714158/items/T9E3UMS5"],"itemData":{"id":3021,"type":"report","genre":"Research Department Staff Report","number":"314","publisher":"Federal Reserve Bank of Minneapolis","title":"Wealth Inequality and Intergenerational Links","author":[{"family":"De Nardi","given":"Mariacristina"}],"issued":{"date-parts":[["2002"]]}},"locator":"22","suppress-author":true}],"schema":"https://github.com/citation-style-language/schema/raw/master/csl-citation.json"} </w:instrText>
      </w:r>
      <w:r>
        <w:fldChar w:fldCharType="separate"/>
      </w:r>
      <w:r w:rsidRPr="00B102B9">
        <w:rPr>
          <w:szCs w:val="24"/>
        </w:rPr>
        <w:t>(2002, p. 22)</w:t>
      </w:r>
      <w:r>
        <w:fldChar w:fldCharType="end"/>
      </w:r>
      <w:r>
        <w:t xml:space="preserve"> found that a bequest motive could induce higher wealth households to </w:t>
      </w:r>
      <w:r w:rsidRPr="00437EC2">
        <w:t>choose</w:t>
      </w:r>
      <w:r>
        <w:t xml:space="preserve"> a higher saving rate, and lead to the accumulation of large </w:t>
      </w:r>
      <w:r w:rsidRPr="0040336C">
        <w:t>fortunes across generations over time</w:t>
      </w:r>
      <w:r>
        <w:t>.</w:t>
      </w:r>
    </w:p>
    <w:p w14:paraId="6405B339" w14:textId="20447646" w:rsidR="006E0ED6" w:rsidRPr="00437EC2" w:rsidRDefault="006E0ED6" w:rsidP="006E0ED6">
      <w:pPr>
        <w:pStyle w:val="ListBullet"/>
        <w:rPr>
          <w:spacing w:val="-4"/>
        </w:rPr>
      </w:pPr>
      <w:r>
        <w:t xml:space="preserve">in </w:t>
      </w:r>
      <w:r w:rsidRPr="00437EC2">
        <w:rPr>
          <w:spacing w:val="-4"/>
        </w:rPr>
        <w:t>anticipation of receiving a wealth transfer.</w:t>
      </w:r>
      <w:r w:rsidRPr="00437EC2" w:rsidDel="001D1103">
        <w:rPr>
          <w:spacing w:val="-4"/>
        </w:rPr>
        <w:t xml:space="preserve"> </w:t>
      </w:r>
      <w:r w:rsidRPr="00437EC2">
        <w:rPr>
          <w:spacing w:val="-4"/>
        </w:rPr>
        <w:t xml:space="preserve">International studies suggest that anticipation may lead to people reducing their savings </w:t>
      </w:r>
      <w:r w:rsidRPr="00437EC2">
        <w:rPr>
          <w:spacing w:val="-4"/>
        </w:rPr>
        <w:fldChar w:fldCharType="begin"/>
      </w:r>
      <w:r w:rsidR="0047772E">
        <w:rPr>
          <w:spacing w:val="-4"/>
        </w:rPr>
        <w:instrText xml:space="preserve"> ADDIN ZOTERO_ITEM CSL_CITATION {"citationID":"Vp8NgtzD","properties":{"formattedCitation":"(for example, Basiglio, Rossi and van Soest\\uc0\\u160{}2019; Lundberg\\uc0\\u160{}2020)","plainCitation":"(for example, Basiglio, Rossi and van Soest 2019; Lundberg 2020)","noteIndex":0},"citationItems":[{"id":3141,"uris":["http://zotero.org/groups/2714158/items/FUFFLJC9"],"uri":["http://zotero.org/groups/2714158/items/FUFFLJC9"],"itemData":{"id":3141,"type":"report","genre":"Working Paper","number":"190/19","publisher":"Center for Research on Pensions and Welfare Policies","title":"Subjective Inheritance Expectations and Economic Outcomes","author":[{"family":"Basiglio","given":"Stefania"},{"family":"Rossi","given":"Maria Cristina"},{"family":"Soest","given":"Arthur","non-dropping-particle":"van"}],"issued":{"date-parts":[["2019"]]}},"prefix":"for example, "},{"id":3142,"uris":["http://zotero.org/groups/2714158/items/5HSUL68F"],"uri":["http://zotero.org/groups/2714158/items/5HSUL68F"],"itemData":{"id":3142,"type":"report","genre":"Master's Thesis","publisher":"Uppsala University","title":"The Effects of Inheritance Expectation on Current Economic Behavior","author":[{"family":"Lundberg","given":"Erik"}],"issued":{"date-parts":[["2020"]]}}}],"schema":"https://github.com/citation-style-language/schema/raw/master/csl-citation.json"} </w:instrText>
      </w:r>
      <w:r w:rsidRPr="00437EC2">
        <w:rPr>
          <w:spacing w:val="-4"/>
        </w:rPr>
        <w:fldChar w:fldCharType="separate"/>
      </w:r>
      <w:r w:rsidRPr="00437EC2">
        <w:rPr>
          <w:spacing w:val="-4"/>
          <w:szCs w:val="24"/>
        </w:rPr>
        <w:t>(for example, Basiglio, Rossi and van Soest 2019; Lundberg 2020)</w:t>
      </w:r>
      <w:r w:rsidRPr="00437EC2">
        <w:rPr>
          <w:spacing w:val="-4"/>
        </w:rPr>
        <w:fldChar w:fldCharType="end"/>
      </w:r>
      <w:r w:rsidRPr="00437EC2">
        <w:rPr>
          <w:spacing w:val="-4"/>
        </w:rPr>
        <w:t xml:space="preserve">. In a lifecycle simulation of UK households, Bourquin, Joyce and Sturrock </w:t>
      </w:r>
      <w:r w:rsidRPr="00437EC2">
        <w:rPr>
          <w:spacing w:val="-4"/>
        </w:rPr>
        <w:fldChar w:fldCharType="begin"/>
      </w:r>
      <w:r w:rsidR="0047772E">
        <w:rPr>
          <w:spacing w:val="-4"/>
        </w:rPr>
        <w:instrText xml:space="preserve"> ADDIN ZOTERO_ITEM CSL_CITATION {"citationID":"U6wKZb41","properties":{"formattedCitation":"(2021, pp.\\uc0\\u160{}67, 71)","plainCitation":"(2021, pp. 67, 71)","noteIndex":0},"citationItems":[{"id":3013,"uris":["http://zotero.org/groups/2714158/items/GJZQV7DZ"],"uri":["http://zotero.org/groups/2714158/items/GJZQV7DZ"],"itemData":{"id":3013,"type":"report","event-place":"London","genre":"IFS Report","number":"R188","publisher":"Institute for Fiscal Studies","publisher-place":"London","title":"Inheritances and Inequality Over the Life Cycle: What Will They Mean for Younger Generations?","author":[{"family":"Bourquin","given":"Pascale"},{"family":"Joyce","given":"Robert"},{"family":"Sturrock","given":"David"}],"issued":{"date-parts":[["2021"]]}},"locator":"67, 71","suppress-author":true}],"schema":"https://github.com/citation-style-language/schema/raw/master/csl-citation.json"} </w:instrText>
      </w:r>
      <w:r w:rsidRPr="00437EC2">
        <w:rPr>
          <w:spacing w:val="-4"/>
        </w:rPr>
        <w:fldChar w:fldCharType="separate"/>
      </w:r>
      <w:r w:rsidRPr="00437EC2">
        <w:rPr>
          <w:spacing w:val="-4"/>
          <w:szCs w:val="24"/>
        </w:rPr>
        <w:t>(2021, pp. 67, 71)</w:t>
      </w:r>
      <w:r w:rsidRPr="00437EC2">
        <w:rPr>
          <w:spacing w:val="-4"/>
        </w:rPr>
        <w:fldChar w:fldCharType="end"/>
      </w:r>
      <w:r w:rsidRPr="00437EC2">
        <w:rPr>
          <w:spacing w:val="-4"/>
        </w:rPr>
        <w:t xml:space="preserve"> found that inheritance anticipation resulted in higher wealth households saving less earlier in life compared with lower wealth households in </w:t>
      </w:r>
      <w:r w:rsidRPr="00437EC2">
        <w:rPr>
          <w:i/>
          <w:iCs/>
          <w:spacing w:val="-4"/>
        </w:rPr>
        <w:t>absolute</w:t>
      </w:r>
      <w:r w:rsidRPr="00437EC2">
        <w:rPr>
          <w:spacing w:val="-4"/>
        </w:rPr>
        <w:t xml:space="preserve"> terms. This is because lower wealth households were less likely to spend uncertain amounts of money before they receive it and because they were more limited by borrowing constraints. However, inheritance anticipation led to lower wealth households building up less wealth in </w:t>
      </w:r>
      <w:r w:rsidRPr="00437EC2">
        <w:rPr>
          <w:i/>
          <w:iCs/>
          <w:spacing w:val="-4"/>
        </w:rPr>
        <w:t>percentage</w:t>
      </w:r>
      <w:r w:rsidRPr="00437EC2">
        <w:rPr>
          <w:spacing w:val="-4"/>
        </w:rPr>
        <w:t xml:space="preserve"> terms early in life, which increased relative wealth inequality before inheritances were received. </w:t>
      </w:r>
    </w:p>
    <w:p w14:paraId="49B97A15" w14:textId="3725C41B" w:rsidR="006E0ED6" w:rsidRDefault="006E0ED6" w:rsidP="006E0ED6">
      <w:pPr>
        <w:pStyle w:val="BodyText"/>
      </w:pPr>
      <w:r w:rsidRPr="000952F9">
        <w:t>As found in chapter 2, wealth</w:t>
      </w:r>
      <w:r w:rsidRPr="007B6295">
        <w:t xml:space="preserve"> transfers have </w:t>
      </w:r>
      <w:r>
        <w:t>reduced relative inequality across the wealth distributio</w:t>
      </w:r>
      <w:r w:rsidRPr="00095366">
        <w:t xml:space="preserve">n and </w:t>
      </w:r>
      <w:r w:rsidRPr="00095366">
        <w:rPr>
          <w:i/>
          <w:iCs/>
        </w:rPr>
        <w:t>within age groups</w:t>
      </w:r>
      <w:r w:rsidRPr="00095366">
        <w:t xml:space="preserve"> in </w:t>
      </w:r>
      <w:r>
        <w:t xml:space="preserve">Australia over the past twenty years. This is consistent with the international literature. In terms of inequality </w:t>
      </w:r>
      <w:r w:rsidRPr="001A7D23">
        <w:rPr>
          <w:i/>
          <w:iCs/>
        </w:rPr>
        <w:t>across age groups</w:t>
      </w:r>
      <w:r>
        <w:t xml:space="preserve"> at future points in time, the OECD has suggested that as life expectancies rise, so will wealth concentration among older cohorts and the age at which people receive inheritances </w:t>
      </w:r>
      <w:r>
        <w:fldChar w:fldCharType="begin"/>
      </w:r>
      <w:r w:rsidR="0047772E">
        <w:instrText xml:space="preserve"> ADDIN ZOTERO_ITEM CSL_CITATION {"citationID":"ukhGnYec","properties":{"formattedCitation":"(OECD\\uc0\\u160{}2020, p.\\uc0\\u160{}27)","plainCitation":"(OECD 2020, p. 27)","noteIndex":0},"citationItems":[{"id":1575,"uris":["http://zotero.org/groups/2714158/items/C27I5VGR"],"uri":["http://zotero.org/groups/2714158/items/C27I5VGR"],"itemData":{"id":1575,"type":"report","genre":"Working Party No.2 on Tax Policy Analysis and Tax Statistics","title":"Inheritance Taxation in OECD Countries","author":[{"family":"Organisation for Economic Co-operation and Development","given":""}],"translator":[{"family":"OECD","given":""}],"issued":{"date-parts":[["2020"]]}},"locator":"27"}],"schema":"https://github.com/citation-style-language/schema/raw/master/csl-citation.json"} </w:instrText>
      </w:r>
      <w:r>
        <w:fldChar w:fldCharType="separate"/>
      </w:r>
      <w:r w:rsidRPr="00F34EDD">
        <w:rPr>
          <w:szCs w:val="24"/>
        </w:rPr>
        <w:t>(OECD 2020, p. 27)</w:t>
      </w:r>
      <w:r>
        <w:fldChar w:fldCharType="end"/>
      </w:r>
      <w:r>
        <w:t>.</w:t>
      </w:r>
    </w:p>
    <w:p w14:paraId="6B8D5271" w14:textId="5FC7B303" w:rsidR="006E0ED6" w:rsidRPr="00437EC2" w:rsidRDefault="006E0ED6" w:rsidP="006E0ED6">
      <w:pPr>
        <w:pStyle w:val="BodyText"/>
        <w:rPr>
          <w:spacing w:val="-2"/>
        </w:rPr>
      </w:pPr>
      <w:r w:rsidRPr="00437EC2">
        <w:rPr>
          <w:spacing w:val="-2"/>
        </w:rPr>
        <w:t>While this study focuses on the effects of wealth transfers on wealth accumulation and inequality, wealth transfers could have broader effects on wellbeing. Recent research on this</w:t>
      </w:r>
      <w:r w:rsidRPr="00437EC2" w:rsidDel="00BF612A">
        <w:rPr>
          <w:spacing w:val="-2"/>
        </w:rPr>
        <w:t xml:space="preserve"> </w:t>
      </w:r>
      <w:r w:rsidRPr="00437EC2">
        <w:rPr>
          <w:spacing w:val="-2"/>
        </w:rPr>
        <w:t xml:space="preserve">topic from the United Kingdom suggests that receiving inheritances can reduce both wealth inequality and consumption inequality because the relatively large inheritances received by the less wealthy can lead to larger percentage increases in their wealth and consumption than inheritances received by the wealthy </w:t>
      </w:r>
      <w:r w:rsidRPr="00437EC2">
        <w:rPr>
          <w:spacing w:val="-2"/>
        </w:rPr>
        <w:fldChar w:fldCharType="begin"/>
      </w:r>
      <w:r w:rsidR="0047772E">
        <w:rPr>
          <w:spacing w:val="-2"/>
        </w:rPr>
        <w:instrText xml:space="preserve"> ADDIN ZOTERO_ITEM CSL_CITATION {"citationID":"4BJYqg21","properties":{"formattedCitation":"(Bourquin, Joyce and Sturrock\\uc0\\u160{}2021, pp.\\uc0\\u160{}72\\uc0\\u8211{}73)","plainCitation":"(Bourquin, Joyce and Sturrock 2021, pp. 72–73)","noteIndex":0},"citationItems":[{"id":3013,"uris":["http://zotero.org/groups/2714158/items/GJZQV7DZ"],"uri":["http://zotero.org/groups/2714158/items/GJZQV7DZ"],"itemData":{"id":3013,"type":"report","event-place":"London","genre":"IFS Report","number":"R188","publisher":"Institute for Fiscal Studies","publisher-place":"London","title":"Inheritances and Inequality Over the Life Cycle: What Will They Mean for Younger Generations?","author":[{"family":"Bourquin","given":"Pascale"},{"family":"Joyce","given":"Robert"},{"family":"Sturrock","given":"David"}],"issued":{"date-parts":[["2021"]]}},"locator":"72-73"}],"schema":"https://github.com/citation-style-language/schema/raw/master/csl-citation.json"} </w:instrText>
      </w:r>
      <w:r w:rsidRPr="00437EC2">
        <w:rPr>
          <w:spacing w:val="-2"/>
        </w:rPr>
        <w:fldChar w:fldCharType="separate"/>
      </w:r>
      <w:r w:rsidRPr="00437EC2">
        <w:rPr>
          <w:spacing w:val="-2"/>
          <w:szCs w:val="24"/>
        </w:rPr>
        <w:t>(Bourquin, Joyce and Sturrock 2021, pp. 72–73)</w:t>
      </w:r>
      <w:r w:rsidRPr="00437EC2">
        <w:rPr>
          <w:spacing w:val="-2"/>
        </w:rPr>
        <w:fldChar w:fldCharType="end"/>
      </w:r>
      <w:r w:rsidRPr="00437EC2">
        <w:rPr>
          <w:spacing w:val="-2"/>
        </w:rPr>
        <w:t>.</w:t>
      </w:r>
    </w:p>
    <w:p w14:paraId="27A09896" w14:textId="77777777" w:rsidR="006E0ED6" w:rsidRDefault="006E0ED6" w:rsidP="00D208A3">
      <w:pPr>
        <w:pStyle w:val="Heading2"/>
      </w:pPr>
      <w:bookmarkStart w:id="26" w:name="_Hlk78358692"/>
      <w:bookmarkStart w:id="27" w:name="_Toc87543963"/>
      <w:r>
        <w:lastRenderedPageBreak/>
        <w:t>Simulation model of wealth transfers and inequality</w:t>
      </w:r>
      <w:bookmarkEnd w:id="26"/>
      <w:bookmarkEnd w:id="27"/>
    </w:p>
    <w:p w14:paraId="570A7CBF" w14:textId="77777777" w:rsidR="006E0ED6" w:rsidRDefault="006E0ED6" w:rsidP="006E0ED6">
      <w:pPr>
        <w:pStyle w:val="BodyText"/>
      </w:pPr>
      <w:bookmarkStart w:id="28" w:name="_Hlk82600045"/>
      <w:r>
        <w:t xml:space="preserve">This study </w:t>
      </w:r>
      <w:bookmarkStart w:id="29" w:name="_Hlk81312604"/>
      <w:r>
        <w:t xml:space="preserve">models projections about the future for the primary purpose of </w:t>
      </w:r>
      <w:bookmarkEnd w:id="29"/>
      <w:r>
        <w:t xml:space="preserve">understanding the impact of transferred wealth on wealth distributions within and across generations. </w:t>
      </w:r>
      <w:bookmarkEnd w:id="28"/>
      <w:r>
        <w:t xml:space="preserve">That is, the interest is in identifying broad patterns and trends </w:t>
      </w:r>
      <w:r w:rsidDel="005B0EA9">
        <w:t xml:space="preserve">and </w:t>
      </w:r>
      <w:r>
        <w:t xml:space="preserve">understanding what drives them, rather than actual levels of wealth in the future, which are subject to greater uncertainty. </w:t>
      </w:r>
    </w:p>
    <w:p w14:paraId="48608573" w14:textId="77777777" w:rsidR="006E0ED6" w:rsidRDefault="006E0ED6" w:rsidP="006E0ED6">
      <w:pPr>
        <w:pStyle w:val="BodyText"/>
      </w:pPr>
      <w:bookmarkStart w:id="30" w:name="_Hlk82600059"/>
      <w:r>
        <w:t xml:space="preserve">The study’s projections are constructed using a dynamic cohort simulation model </w:t>
      </w:r>
      <w:bookmarkEnd w:id="30"/>
      <w:r>
        <w:t xml:space="preserve">(box 3.2). </w:t>
      </w:r>
      <w:r w:rsidRPr="0032718A">
        <w:t xml:space="preserve">This </w:t>
      </w:r>
      <w:r>
        <w:t xml:space="preserve">type of model </w:t>
      </w:r>
      <w:r w:rsidRPr="0032718A">
        <w:t xml:space="preserve">provides a flexible framework for exploring the study’s questions of interest, with fewer </w:t>
      </w:r>
      <w:r>
        <w:t xml:space="preserve">data requirements and less computational complexity than </w:t>
      </w:r>
      <w:r w:rsidRPr="0032718A">
        <w:t>approaches such as microsimulation modelling</w:t>
      </w:r>
      <w:r>
        <w:t>. (</w:t>
      </w:r>
      <w:r w:rsidRPr="00AE6E70">
        <w:t>Appendix C contains</w:t>
      </w:r>
      <w:r>
        <w:t xml:space="preserve"> a brief exposition on alternative modelling approaches.)</w:t>
      </w:r>
    </w:p>
    <w:p w14:paraId="39EC735B"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38D81658" w14:textId="77777777" w:rsidTr="001625EC">
        <w:trPr>
          <w:tblHeader/>
        </w:trPr>
        <w:tc>
          <w:tcPr>
            <w:tcW w:w="9638" w:type="dxa"/>
            <w:tcMar>
              <w:top w:w="170" w:type="dxa"/>
              <w:left w:w="170" w:type="dxa"/>
              <w:bottom w:w="113" w:type="dxa"/>
              <w:right w:w="170" w:type="dxa"/>
            </w:tcMar>
            <w:hideMark/>
          </w:tcPr>
          <w:p w14:paraId="3F123716" w14:textId="37771688" w:rsidR="006E0ED6" w:rsidRDefault="006E0ED6" w:rsidP="001625EC">
            <w:pPr>
              <w:pStyle w:val="BoxHeading1"/>
            </w:pPr>
            <w:r>
              <w:t xml:space="preserve">Box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2</w:t>
            </w:r>
            <w:r w:rsidR="00B2270C">
              <w:rPr>
                <w:noProof/>
              </w:rPr>
              <w:fldChar w:fldCharType="end"/>
            </w:r>
            <w:r>
              <w:t xml:space="preserve"> – </w:t>
            </w:r>
            <w:r w:rsidRPr="00437EC2">
              <w:t>The dynamic cohort simulation model of wealth transfers</w:t>
            </w:r>
          </w:p>
        </w:tc>
      </w:tr>
      <w:tr w:rsidR="006E0ED6" w14:paraId="1CD80220" w14:textId="77777777" w:rsidTr="001625EC">
        <w:tc>
          <w:tcPr>
            <w:tcW w:w="9638" w:type="dxa"/>
            <w:tcMar>
              <w:top w:w="28" w:type="dxa"/>
              <w:left w:w="170" w:type="dxa"/>
              <w:bottom w:w="170" w:type="dxa"/>
              <w:right w:w="170" w:type="dxa"/>
            </w:tcMar>
            <w:hideMark/>
          </w:tcPr>
          <w:p w14:paraId="54DDEF28" w14:textId="77777777" w:rsidR="006E0ED6" w:rsidRDefault="006E0ED6" w:rsidP="001625EC">
            <w:pPr>
              <w:pStyle w:val="BodyText"/>
            </w:pPr>
            <w:r>
              <w:t xml:space="preserve">A dynamic cohort simulation model was used to examine future wealth transfers and inequality effects. The initial population in the model was based on the surveyed population in the 2018 </w:t>
            </w:r>
            <w:r w:rsidRPr="00DE39C9">
              <w:rPr>
                <w:i/>
              </w:rPr>
              <w:t>Household, Income and Labour Dynamics in Australia</w:t>
            </w:r>
            <w:r>
              <w:t xml:space="preserve"> (HILDA) Survey. The population was split into cohorts based on five</w:t>
            </w:r>
            <w:r>
              <w:noBreakHyphen/>
              <w:t xml:space="preserve">year age groups (from ages 0–4 to 100+), five income quintiles, four initial wealth quartiles, initial homeowner status and an indicator for whether an inheritance has already been received. </w:t>
            </w:r>
          </w:p>
          <w:p w14:paraId="612CAC6B" w14:textId="77777777" w:rsidR="006E0ED6" w:rsidRDefault="006E0ED6" w:rsidP="001625EC">
            <w:pPr>
              <w:pStyle w:val="BodyText"/>
            </w:pPr>
            <w:r>
              <w:t>Over the next 32 years to 2050, the model projects population, income and wealth for each cohort using assumptions about mortality rates, income growth, rates of return, saving rates and drawdown rates. Each year, wealth is transferred from older to younger generations via inheritances and inter vivos gifts. Changes in population due to births and migration were not included, meaning the model population declines over time as people pass away.</w:t>
            </w:r>
          </w:p>
          <w:p w14:paraId="09DF6B60" w14:textId="77777777" w:rsidR="006E0ED6" w:rsidRDefault="006E0ED6" w:rsidP="001625EC">
            <w:pPr>
              <w:pStyle w:val="BodyText"/>
            </w:pPr>
            <w:r>
              <w:t>Major model components include:</w:t>
            </w:r>
          </w:p>
          <w:p w14:paraId="5B2707EE" w14:textId="77777777" w:rsidR="006E0ED6" w:rsidRDefault="006E0ED6" w:rsidP="001625EC">
            <w:pPr>
              <w:pStyle w:val="ListBullet"/>
            </w:pPr>
            <w:r>
              <w:t>income — wages and other income were projected. Income transitions were incorporated based on age of entry into the workforce, career establishment and retirement to reflect lifecycle experiences. Income taxes and mandatory superannuation contributions were also simulated based on income.</w:t>
            </w:r>
          </w:p>
          <w:p w14:paraId="03682F4C" w14:textId="77777777" w:rsidR="006E0ED6" w:rsidRDefault="006E0ED6" w:rsidP="001625EC">
            <w:pPr>
              <w:pStyle w:val="ListBullet"/>
            </w:pPr>
            <w:r>
              <w:t>wealth — housing, superannuation and ‘other assets’ were projected, along with housing debt. Non</w:t>
            </w:r>
            <w:r>
              <w:noBreakHyphen/>
              <w:t>homeowners have a probability of entering home ownership based on their age, income and whether they have received an inheritance.</w:t>
            </w:r>
          </w:p>
          <w:p w14:paraId="4EEB376C" w14:textId="77777777" w:rsidR="006E0ED6" w:rsidRDefault="006E0ED6" w:rsidP="001625EC">
            <w:pPr>
              <w:pStyle w:val="ListBullet"/>
            </w:pPr>
            <w:r>
              <w:t>inheritances — a proportion of wealth was assumed to be transferred to younger generations the year after death, in line with the probability of being single at death. The remaining wealth at death remains within the cohort. Cohorts that have not yet received an inheritance may receive one based on the ages of their living parents and the probability of those parents dying. A portion of inheritances received is saved in other assets.</w:t>
            </w:r>
          </w:p>
          <w:p w14:paraId="30BA08A5" w14:textId="77777777" w:rsidR="006E0ED6" w:rsidRDefault="006E0ED6" w:rsidP="001625EC">
            <w:pPr>
              <w:pStyle w:val="ListBullet"/>
            </w:pPr>
            <w:r>
              <w:t>inter vivos gifts — cohorts gift a proportion of their assets, which younger cohorts receive based on the ages of their living parents. A portion of gifts is saved in other assets.</w:t>
            </w:r>
          </w:p>
          <w:p w14:paraId="6BEA76AF" w14:textId="77777777" w:rsidR="006E0ED6" w:rsidRDefault="006E0ED6" w:rsidP="001625EC">
            <w:pPr>
              <w:pStyle w:val="BodyText"/>
            </w:pPr>
            <w:r>
              <w:t>Model parameters were estimated from a range of sources. For example, wealth transfers, saving and drawdown behaviour were estimated largely using HILDA data. Various ABS datasets and other data and research findings were used to estimate parameters such as mortality and asset growth rates. Appendix C provides additional detail.</w:t>
            </w:r>
          </w:p>
        </w:tc>
      </w:tr>
      <w:tr w:rsidR="006E0ED6" w14:paraId="280E5876" w14:textId="77777777" w:rsidTr="001625EC">
        <w:tc>
          <w:tcPr>
            <w:tcW w:w="9638" w:type="dxa"/>
            <w:shd w:val="clear" w:color="auto" w:fill="auto"/>
            <w:tcMar>
              <w:top w:w="0" w:type="dxa"/>
              <w:left w:w="170" w:type="dxa"/>
              <w:bottom w:w="0" w:type="dxa"/>
              <w:right w:w="170" w:type="dxa"/>
            </w:tcMar>
          </w:tcPr>
          <w:p w14:paraId="25D6447E" w14:textId="77777777" w:rsidR="006E0ED6" w:rsidRDefault="006E0ED6" w:rsidP="001625EC">
            <w:pPr>
              <w:pStyle w:val="BodyText"/>
              <w:spacing w:before="0" w:after="0" w:line="80" w:lineRule="atLeast"/>
            </w:pPr>
          </w:p>
        </w:tc>
      </w:tr>
    </w:tbl>
    <w:p w14:paraId="496473AB" w14:textId="51BA2C21" w:rsidR="006E0ED6" w:rsidRDefault="006E0ED6" w:rsidP="006E0ED6">
      <w:pPr>
        <w:pStyle w:val="BodyText"/>
      </w:pPr>
      <w:bookmarkStart w:id="31" w:name="_Hlk82600089"/>
      <w:r>
        <w:lastRenderedPageBreak/>
        <w:t xml:space="preserve">The model is used to analyse </w:t>
      </w:r>
      <w:r w:rsidR="006334A8">
        <w:t>questions pertaining to</w:t>
      </w:r>
      <w:r>
        <w:t xml:space="preserve"> wealth inequality </w:t>
      </w:r>
      <w:r w:rsidRPr="004056ED">
        <w:rPr>
          <w:i/>
          <w:iCs/>
        </w:rPr>
        <w:t>within</w:t>
      </w:r>
      <w:r>
        <w:t xml:space="preserve"> and </w:t>
      </w:r>
      <w:r>
        <w:rPr>
          <w:i/>
          <w:iCs/>
        </w:rPr>
        <w:t xml:space="preserve">across </w:t>
      </w:r>
      <w:r>
        <w:t xml:space="preserve">age cohorts under different scenarios relating to asset returns, home ownership, savings and wealth transfer behaviour, while holding current policy settings (such as the tax and superannuation systems) fixed. </w:t>
      </w:r>
      <w:bookmarkEnd w:id="31"/>
      <w:r>
        <w:t xml:space="preserve">For instance, if people continue giving and receiving </w:t>
      </w:r>
      <w:r w:rsidRPr="0091211D">
        <w:t xml:space="preserve">wealth transfers consistent with what </w:t>
      </w:r>
      <w:r>
        <w:t xml:space="preserve">is observed </w:t>
      </w:r>
      <w:r w:rsidRPr="0091211D">
        <w:t>in existing survey data</w:t>
      </w:r>
      <w:r>
        <w:t xml:space="preserve">, does this result in the relatively wealthy accruing relatively more wealth? </w:t>
      </w:r>
      <w:r w:rsidRPr="0091211D">
        <w:t>Similarly,</w:t>
      </w:r>
      <w:r>
        <w:t xml:space="preserve"> how much more or less wealth might younger generations hold compared with older generations?</w:t>
      </w:r>
    </w:p>
    <w:p w14:paraId="2DB647EE" w14:textId="77777777" w:rsidR="006E0ED6" w:rsidRDefault="006E0ED6" w:rsidP="006E0ED6">
      <w:pPr>
        <w:pStyle w:val="BodyText"/>
      </w:pPr>
      <w:r>
        <w:t xml:space="preserve">This model sheds light on these types of questions by projecting income, wealth and transfers for cohorts of the population, using 2018 </w:t>
      </w:r>
      <w:r w:rsidRPr="004C0FA7">
        <w:rPr>
          <w:i/>
          <w:iCs/>
        </w:rPr>
        <w:t xml:space="preserve">Household, Income and Labour Dynamics </w:t>
      </w:r>
      <w:r>
        <w:rPr>
          <w:i/>
          <w:iCs/>
        </w:rPr>
        <w:t xml:space="preserve">in </w:t>
      </w:r>
      <w:r w:rsidRPr="004C0FA7">
        <w:rPr>
          <w:i/>
          <w:iCs/>
        </w:rPr>
        <w:t>Australia</w:t>
      </w:r>
      <w:r>
        <w:t xml:space="preserve"> (HILDA) Survey data as the initial model population (box 3.2). Outcomes were projected to 2050. </w:t>
      </w:r>
    </w:p>
    <w:p w14:paraId="44F24303" w14:textId="77777777" w:rsidR="006E0ED6" w:rsidRPr="00437EC2" w:rsidRDefault="006E0ED6" w:rsidP="006E0ED6">
      <w:pPr>
        <w:pStyle w:val="Heading3"/>
        <w:rPr>
          <w:spacing w:val="-4"/>
        </w:rPr>
      </w:pPr>
      <w:r w:rsidRPr="00437EC2">
        <w:rPr>
          <w:spacing w:val="-4"/>
        </w:rPr>
        <w:t>The future is uncertain and the model does not attempt to predict it</w:t>
      </w:r>
    </w:p>
    <w:p w14:paraId="1D01A3DB" w14:textId="77777777" w:rsidR="006E0ED6" w:rsidRDefault="006E0ED6" w:rsidP="006E0ED6">
      <w:pPr>
        <w:pStyle w:val="BodyText"/>
      </w:pPr>
      <w:r w:rsidRPr="00881D29">
        <w:t xml:space="preserve">The model outputs depend heavily on assumptions. </w:t>
      </w:r>
      <w:r>
        <w:t>Actual future outcomes will certainly differ from the model projections for a number of reasons.</w:t>
      </w:r>
    </w:p>
    <w:p w14:paraId="62F7D343" w14:textId="38BAB52A" w:rsidR="006E0ED6" w:rsidRDefault="006E0ED6" w:rsidP="006E0ED6">
      <w:pPr>
        <w:pStyle w:val="ListBullet"/>
      </w:pPr>
      <w:r>
        <w:t xml:space="preserve">The model </w:t>
      </w:r>
      <w:r w:rsidRPr="00437EC2">
        <w:t>structure</w:t>
      </w:r>
      <w:r>
        <w:t xml:space="preserve">, while useful for the purposes of this study, is not, and does not seek to be, a perfect or </w:t>
      </w:r>
      <w:r w:rsidRPr="00437EC2">
        <w:t>comprehensive</w:t>
      </w:r>
      <w:r>
        <w:t xml:space="preserve"> representation of reality</w:t>
      </w:r>
      <w:r w:rsidR="00A8354B">
        <w:t>.</w:t>
      </w:r>
    </w:p>
    <w:p w14:paraId="58708ED9" w14:textId="77777777" w:rsidR="006E0ED6" w:rsidRPr="00437EC2" w:rsidRDefault="006E0ED6" w:rsidP="006E0ED6">
      <w:pPr>
        <w:pStyle w:val="ListBullet2"/>
      </w:pPr>
      <w:r w:rsidRPr="00437EC2">
        <w:t xml:space="preserve">Actual wealth accumulation processes are more complex than represented in the cohort model with only three broad types of wealth. </w:t>
      </w:r>
    </w:p>
    <w:p w14:paraId="71250F0B" w14:textId="3786CC40" w:rsidR="006E0ED6" w:rsidRDefault="006E0ED6" w:rsidP="006E0ED6">
      <w:pPr>
        <w:pStyle w:val="ListBullet2"/>
      </w:pPr>
      <w:r w:rsidRPr="00437EC2">
        <w:t xml:space="preserve">The model does not account for population changes due to births or migration. Migration in particular has been a large source of population growth in Australia, and immigrants tend to be younger and higher skilled than the existing population </w:t>
      </w:r>
      <w:r w:rsidRPr="00437EC2">
        <w:fldChar w:fldCharType="begin"/>
      </w:r>
      <w:r w:rsidR="0047772E">
        <w:instrText xml:space="preserve"> ADDIN ZOTERO_ITEM CSL_CITATION {"citationID":"fxUUjw20","properties":{"formattedCitation":"(The Commonwealth of Australia\\uc0\\u160{}2021a, p.\\uc0\\u160{}7)","plainCitation":"(The Commonwealth of Australia 2021a, p. 7)","noteIndex":0},"citationItems":[{"id":1957,"uris":["http://zotero.org/groups/2714158/items/MUULXQ7N"],"uri":["http://zotero.org/groups/2714158/items/MUULXQ7N"],"itemData":{"id":1957,"type":"report","event-place":"Canberra","publisher-place":"Canberra","title":"2021 Intergenerational Report: Australia Over the Next 40 Years","author":[{"literal":"The Commonwealth of Australia"}],"issued":{"date-parts":[["2021"]]}},"locator":"7"}],"schema":"https://github.com/citation-style-language/schema/raw/master/csl-citation.json"} </w:instrText>
      </w:r>
      <w:r w:rsidRPr="00437EC2">
        <w:fldChar w:fldCharType="separate"/>
      </w:r>
      <w:r w:rsidR="007A60F8" w:rsidRPr="007A60F8">
        <w:rPr>
          <w:rFonts w:ascii="Arial" w:hAnsi="Arial" w:cs="Arial"/>
          <w:szCs w:val="24"/>
        </w:rPr>
        <w:t>(The Commonwealth of Australia 2021a, p. 7)</w:t>
      </w:r>
      <w:r w:rsidRPr="00437EC2">
        <w:fldChar w:fldCharType="end"/>
      </w:r>
      <w:r w:rsidRPr="00437EC2">
        <w:t>. This can affect comparisons of</w:t>
      </w:r>
      <w:r>
        <w:t xml:space="preserve"> wealth by age group if higher skills translate to higher incomes and saving.</w:t>
      </w:r>
    </w:p>
    <w:p w14:paraId="35BF0EA2" w14:textId="77777777" w:rsidR="006E0ED6" w:rsidRDefault="006E0ED6" w:rsidP="006E0ED6">
      <w:pPr>
        <w:pStyle w:val="ListBullet"/>
      </w:pPr>
      <w:r>
        <w:t>The past is not understood perfectly.</w:t>
      </w:r>
    </w:p>
    <w:p w14:paraId="7DA13D95" w14:textId="77777777" w:rsidR="006E0ED6" w:rsidRDefault="006E0ED6" w:rsidP="006E0ED6">
      <w:pPr>
        <w:pStyle w:val="ListBullet2"/>
      </w:pPr>
      <w:r>
        <w:t xml:space="preserve">There is very little data with which to model certain past economic behaviour (for example, that relating to </w:t>
      </w:r>
      <w:r w:rsidRPr="00437EC2">
        <w:t>drawdowns</w:t>
      </w:r>
      <w:r>
        <w:t xml:space="preserve"> from wealth in retirement and housing investment). This means some model parameters were estimated with a high degree of uncertainty.</w:t>
      </w:r>
    </w:p>
    <w:p w14:paraId="2DC46A13" w14:textId="77777777" w:rsidR="006E0ED6" w:rsidRDefault="006E0ED6" w:rsidP="006E0ED6">
      <w:pPr>
        <w:pStyle w:val="ListBullet"/>
      </w:pPr>
      <w:r>
        <w:t xml:space="preserve">The future is </w:t>
      </w:r>
      <w:r w:rsidRPr="00881D29">
        <w:t>uncertain</w:t>
      </w:r>
      <w:r>
        <w:t>.</w:t>
      </w:r>
    </w:p>
    <w:p w14:paraId="632638EF" w14:textId="77777777" w:rsidR="006E0ED6" w:rsidRPr="00437EC2" w:rsidRDefault="006E0ED6" w:rsidP="006E0ED6">
      <w:pPr>
        <w:pStyle w:val="ListBullet2"/>
      </w:pPr>
      <w:r>
        <w:t xml:space="preserve">Future growth rates of asset prices — particularly housing, given its outsized influence on household wealth — </w:t>
      </w:r>
      <w:r w:rsidRPr="00437EC2">
        <w:t>and incomes, including relative differences between them, are especially important. They can drive large changes in relative wealth holdings through time and across the wealth distribution (box 3.3).</w:t>
      </w:r>
    </w:p>
    <w:p w14:paraId="4C632774" w14:textId="7B3F32AD" w:rsidR="006E0ED6" w:rsidRDefault="006E0ED6" w:rsidP="006E0ED6">
      <w:pPr>
        <w:pStyle w:val="ListBullet2"/>
      </w:pPr>
      <w:r w:rsidRPr="00437EC2">
        <w:t>Future wealth accumulation and transfer behaviours may change as peoples’ preferences change. For example, there</w:t>
      </w:r>
      <w:r>
        <w:t xml:space="preserve"> is some evidence that o</w:t>
      </w:r>
      <w:r w:rsidRPr="00E55DC3">
        <w:t xml:space="preserve">lder homeowners </w:t>
      </w:r>
      <w:r>
        <w:t>are becoming</w:t>
      </w:r>
      <w:r w:rsidRPr="00E55DC3" w:rsidDel="003116D9">
        <w:t xml:space="preserve"> </w:t>
      </w:r>
      <w:r>
        <w:t xml:space="preserve">more </w:t>
      </w:r>
      <w:r w:rsidRPr="00E55DC3">
        <w:t xml:space="preserve">likely to draw down on their housing wealth </w:t>
      </w:r>
      <w:r w:rsidRPr="00E55DC3">
        <w:fldChar w:fldCharType="begin"/>
      </w:r>
      <w:r w:rsidR="0047772E">
        <w:instrText xml:space="preserve"> ADDIN ZOTERO_ITEM CSL_CITATION {"citationID":"BdyN3Pui","properties":{"formattedCitation":"(Ong et al.\\uc0\\u160{}2013, pp.\\uc0\\u160{}16\\uc0\\u8211{}17)","plainCitation":"(Ong et al. 2013, pp. 16–17)","noteIndex":0},"citationItems":[{"id":1925,"uris":["http://zotero.org/groups/2714158/items/QY6DV328"],"uri":["http://zotero.org/groups/2714158/items/QY6DV328"],"itemData":{"id":1925,"type":"report","event-place":"Melbourne","genre":"AHURI Final Report","number":"217","publisher":"Australian Housing and Urban Research Institute","publisher-place":"Melbourne","title":"Housing Equity Withdrawal: Uses, Risks, and Barriers to Alternative Mechanisms in Later Life","author":[{"family":"Ong","given":"Rachel"},{"family":"Jefferson","given":"Therese"},{"family":"Wood","given":"Gavin"},{"family":"Haffner","given":"Marietta"},{"family":"Austen","given":"Siobhan"}],"issued":{"date-parts":[["2013"]]}},"locator":"16-17"}],"schema":"https://github.com/citation-style-language/schema/raw/master/csl-citation.json"} </w:instrText>
      </w:r>
      <w:r w:rsidRPr="00E55DC3">
        <w:fldChar w:fldCharType="separate"/>
      </w:r>
      <w:r w:rsidRPr="003A46E1">
        <w:rPr>
          <w:szCs w:val="24"/>
        </w:rPr>
        <w:t>(Ong et al. 2013, pp. 16–17)</w:t>
      </w:r>
      <w:r w:rsidRPr="00E55DC3">
        <w:fldChar w:fldCharType="end"/>
      </w:r>
      <w:r w:rsidRPr="00E55DC3">
        <w:t>.</w:t>
      </w:r>
    </w:p>
    <w:p w14:paraId="12ED65EF" w14:textId="77777777" w:rsidR="006E0ED6" w:rsidRDefault="006E0ED6" w:rsidP="006E0ED6">
      <w:pPr>
        <w:pStyle w:val="BodyText"/>
      </w:pPr>
      <w:r>
        <w:t xml:space="preserve">For these </w:t>
      </w:r>
      <w:r w:rsidRPr="00437EC2">
        <w:t>reasons</w:t>
      </w:r>
      <w:r>
        <w:t xml:space="preserve">, </w:t>
      </w:r>
      <w:r w:rsidRPr="00881D29">
        <w:t xml:space="preserve">model </w:t>
      </w:r>
      <w:r>
        <w:t xml:space="preserve">outputs are not, </w:t>
      </w:r>
      <w:r w:rsidRPr="00881D29">
        <w:t>and should not be</w:t>
      </w:r>
      <w:r>
        <w:t>,</w:t>
      </w:r>
      <w:r w:rsidRPr="00881D29">
        <w:t xml:space="preserve"> interpreted as predict</w:t>
      </w:r>
      <w:r>
        <w:t>ions of</w:t>
      </w:r>
      <w:r w:rsidRPr="00881D29">
        <w:t xml:space="preserve"> the future. Rather, the model constructs projections</w:t>
      </w:r>
      <w:r>
        <w:t>,</w:t>
      </w:r>
      <w:r w:rsidRPr="00881D29">
        <w:t xml:space="preserve"> </w:t>
      </w:r>
      <w:r>
        <w:t>given varying assumptions</w:t>
      </w:r>
      <w:r w:rsidRPr="00881D29">
        <w:t xml:space="preserve">, which </w:t>
      </w:r>
      <w:r>
        <w:t>are</w:t>
      </w:r>
      <w:r w:rsidRPr="00881D29">
        <w:t xml:space="preserve"> useful for producing </w:t>
      </w:r>
      <w:r>
        <w:t xml:space="preserve">the </w:t>
      </w:r>
      <w:r w:rsidRPr="00881D29">
        <w:t>forward</w:t>
      </w:r>
      <w:r>
        <w:noBreakHyphen/>
      </w:r>
      <w:r w:rsidRPr="00881D29">
        <w:t>looking descriptive statistics</w:t>
      </w:r>
      <w:r>
        <w:t xml:space="preserve"> in this chapter.</w:t>
      </w:r>
    </w:p>
    <w:p w14:paraId="386C3EAB" w14:textId="730AEBC0" w:rsidR="006E0ED6" w:rsidRPr="00437EC2" w:rsidRDefault="006E0ED6" w:rsidP="006E0ED6">
      <w:pPr>
        <w:pStyle w:val="Quote"/>
        <w:rPr>
          <w:spacing w:val="-4"/>
        </w:rPr>
      </w:pPr>
      <w:r w:rsidRPr="00437EC2">
        <w:rPr>
          <w:spacing w:val="-4"/>
        </w:rPr>
        <w:t xml:space="preserve">A projection is not making a prediction or forecast about what is going to happen, it </w:t>
      </w:r>
      <w:bookmarkStart w:id="32" w:name="_Hlk82101136"/>
      <w:r w:rsidRPr="00437EC2">
        <w:rPr>
          <w:spacing w:val="-4"/>
        </w:rPr>
        <w:t>is indicating what would happen if the assumptions which underpin the projection actually occur</w:t>
      </w:r>
      <w:bookmarkEnd w:id="32"/>
      <w:r w:rsidRPr="00437EC2">
        <w:rPr>
          <w:spacing w:val="-4"/>
        </w:rPr>
        <w:t xml:space="preserve">. </w:t>
      </w:r>
      <w:r w:rsidRPr="00437EC2">
        <w:rPr>
          <w:spacing w:val="-4"/>
        </w:rPr>
        <w:fldChar w:fldCharType="begin"/>
      </w:r>
      <w:r w:rsidR="0047772E">
        <w:rPr>
          <w:spacing w:val="-4"/>
        </w:rPr>
        <w:instrText xml:space="preserve"> ADDIN ZOTERO_ITEM CSL_CITATION {"citationID":"w8tZAFmf","properties":{"formattedCitation":"(ABS\\uc0\\u160{}nd)","plainCitation":"(ABS nd)","noteIndex":0},"citationItems":[{"id":3084,"uris":["http://zotero.org/groups/2714158/items/QVAAIGDS"],"uri":["http://zotero.org/groups/2714158/items/QVAAIGDS"],"itemData":{"id":3084,"type":"webpage","abstract":"Statistical Language","language":"en","title":"Statistical Language - Estimate and Projection","URL":"https://www.abs.gov.au/websitedbs/D3310114.nsf/Home/Statistical+Language+-+estimate+and+projection","author":[{"literal":"Australian Bureau of Statistics"}],"translator":[{"family":"ABS","given":""}],"accessed":{"date-parts":[["2021",8,6]]}}}],"schema":"https://github.com/citation-style-language/schema/raw/master/csl-citation.json"} </w:instrText>
      </w:r>
      <w:r w:rsidRPr="00437EC2">
        <w:rPr>
          <w:spacing w:val="-4"/>
        </w:rPr>
        <w:fldChar w:fldCharType="separate"/>
      </w:r>
      <w:r w:rsidRPr="00437EC2">
        <w:rPr>
          <w:spacing w:val="-4"/>
          <w:szCs w:val="24"/>
        </w:rPr>
        <w:t>(ABS nd)</w:t>
      </w:r>
      <w:r w:rsidRPr="00437EC2">
        <w:rPr>
          <w:spacing w:val="-4"/>
        </w:rPr>
        <w:fldChar w:fldCharType="end"/>
      </w:r>
    </w:p>
    <w:p w14:paraId="2BACEC7B"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20A89774" w14:textId="77777777" w:rsidTr="001625EC">
        <w:trPr>
          <w:tblHeader/>
        </w:trPr>
        <w:tc>
          <w:tcPr>
            <w:tcW w:w="9638" w:type="dxa"/>
            <w:tcMar>
              <w:top w:w="170" w:type="dxa"/>
              <w:left w:w="170" w:type="dxa"/>
              <w:bottom w:w="113" w:type="dxa"/>
              <w:right w:w="170" w:type="dxa"/>
            </w:tcMar>
            <w:hideMark/>
          </w:tcPr>
          <w:p w14:paraId="23F8F3AA" w14:textId="32715DD0" w:rsidR="006E0ED6" w:rsidRDefault="006E0ED6" w:rsidP="001625EC">
            <w:pPr>
              <w:pStyle w:val="BoxHeading1"/>
            </w:pPr>
            <w:r>
              <w:lastRenderedPageBreak/>
              <w:t xml:space="preserve">Box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3</w:t>
            </w:r>
            <w:r w:rsidR="00B2270C">
              <w:rPr>
                <w:noProof/>
              </w:rPr>
              <w:fldChar w:fldCharType="end"/>
            </w:r>
            <w:r>
              <w:t xml:space="preserve"> – </w:t>
            </w:r>
            <w:r w:rsidRPr="00AE2827">
              <w:t>Asset and income growth rates and inequality</w:t>
            </w:r>
          </w:p>
        </w:tc>
      </w:tr>
      <w:tr w:rsidR="006E0ED6" w14:paraId="65AA26D7" w14:textId="77777777" w:rsidTr="001625EC">
        <w:tc>
          <w:tcPr>
            <w:tcW w:w="9638" w:type="dxa"/>
            <w:tcMar>
              <w:top w:w="28" w:type="dxa"/>
              <w:left w:w="170" w:type="dxa"/>
              <w:bottom w:w="170" w:type="dxa"/>
              <w:right w:w="170" w:type="dxa"/>
            </w:tcMar>
            <w:hideMark/>
          </w:tcPr>
          <w:p w14:paraId="7EC6F6AF" w14:textId="620998DB" w:rsidR="006E0ED6" w:rsidRPr="00AE2827" w:rsidRDefault="006E0ED6" w:rsidP="001625EC">
            <w:pPr>
              <w:pStyle w:val="BodyText"/>
            </w:pPr>
            <w:r w:rsidRPr="00AE2827">
              <w:t xml:space="preserve">Piketty </w:t>
            </w:r>
            <w:r w:rsidRPr="00AE2827">
              <w:fldChar w:fldCharType="begin"/>
            </w:r>
            <w:r w:rsidR="0047772E">
              <w:instrText xml:space="preserve"> ADDIN ZOTERO_ITEM CSL_CITATION {"citationID":"MRdHWsdu","properties":{"formattedCitation":"(2014, p.\\uc0\\u160{}258)","plainCitation":"(2014, p. 258)","noteIndex":0},"citationItems":[{"id":1687,"uris":["http://zotero.org/groups/2714158/items/8VI8XQ7V"],"uri":["http://zotero.org/groups/2714158/items/8VI8XQ7V"],"itemData":{"id":1687,"type":"book","call-number":"HB501 .P43613 2014","event-place":"Cambridge Massachusetts","ISBN":"978-0-674-43000-6","language":"eng","number-of-pages":"685","publisher":"The Belknap Press of Harvard University Press","publisher-place":"Cambridge Massachusetts","source":"Library of Congress ISBN","title":"Capital in the Twenty-First Century","author":[{"family":"Piketty","given":"Thomas"}],"accessed":{"date-parts":[["2021",2,22]]},"issued":{"date-parts":[["2014"]]}},"locator":"258","suppress-author":true}],"schema":"https://github.com/citation-style-language/schema/raw/master/csl-citation.json"} </w:instrText>
            </w:r>
            <w:r w:rsidRPr="00AE2827">
              <w:fldChar w:fldCharType="separate"/>
            </w:r>
            <w:r w:rsidRPr="00AE2827">
              <w:t>(2014, p. 258)</w:t>
            </w:r>
            <w:r w:rsidRPr="00AE2827">
              <w:fldChar w:fldCharType="end"/>
            </w:r>
            <w:r w:rsidRPr="00AE2827">
              <w:t xml:space="preserve"> found that the relative difference between asset and income growth rates — which measures how quickly capital income diverges from average income if capital gains are reinvested — was an important driver of historical patterns of wealth inequality. When capital grows significantly faster, the dynamics of wealth accumulation lead to highly concentrated wealth distributions.</w:t>
            </w:r>
          </w:p>
          <w:p w14:paraId="31F28499" w14:textId="30EE77AE" w:rsidR="006E0ED6" w:rsidRPr="00AE2827" w:rsidRDefault="006E0ED6" w:rsidP="001625EC">
            <w:pPr>
              <w:pStyle w:val="BodyText"/>
            </w:pPr>
            <w:r w:rsidRPr="00AE2827">
              <w:t>Historically, house prices in Australia have grown faster than the value of other types of assets, and faster than labour income (illustrated in the figure below). Research published by the Reserve Bank of Australia showed that since the 1970s, there has been a gradual increase in the share of income paid to capital owners and a falling share paid to workers. An important contributor to this was increases in</w:t>
            </w:r>
            <w:r w:rsidRPr="00AE2827" w:rsidDel="005B0EA9">
              <w:t xml:space="preserve"> </w:t>
            </w:r>
            <w:r w:rsidRPr="00AE2827">
              <w:t xml:space="preserve">housing rents and prices </w:t>
            </w:r>
            <w:r w:rsidRPr="00AE2827">
              <w:fldChar w:fldCharType="begin"/>
            </w:r>
            <w:r w:rsidR="0047772E">
              <w:instrText xml:space="preserve"> ADDIN ZOTERO_ITEM CSL_CITATION {"citationID":"kSJSSAFU","properties":{"formattedCitation":"(La Cava\\uc0\\u160{}2019)","plainCitation":"(La Cava 2019)","noteIndex":0},"citationItems":[{"id":3026,"uris":["http://zotero.org/groups/2714158/items/N6QY5NVG"],"uri":["http://zotero.org/groups/2714158/items/N6QY5NVG"],"itemData":{"id":3026,"type":"report","abstract":"In Australia, the share of total income paid to workers in wages and salaries (the ‘labour share’) rose over the 1960s and 1970s but has gradually declined since then.","archive_location":"Australia","genre":"Bulletin","language":"en-AU","note":"Company: scheme=AGLSTERMS.AglsAgent; corporateName=Reserve Bank of Australia\nDistributor: scheme=AGLSTERMS.AglsAgent; corporateName=Reserve Bank of Australia\nInstitution: scheme=AGLSTERMS.AglsAgent; corporateName=Reserve Bank of Australia\nLabel: scheme=AGLSTERMS.AglsAgent; corporateName=Reserve Bank of Australia\nLast Modified: 2020-06-15\npublisher: Reserve Bank of Australia","number":"March","publisher":"Reserve Bank of Australia","source":"www.rba.gov.au","title":"The Labour and Capital Shares of Income in Australia","URL":"https://www.rba.gov.au/publications/bulletin/2019/mar/the-labour-and-capital-shares-of-income-in-australia.html","author":[{"family":"La Cava","given":"Gianni"}],"issued":{"date-parts":[["2019"]]}}}],"schema":"https://github.com/citation-style-language/schema/raw/master/csl-citation.json"} </w:instrText>
            </w:r>
            <w:r w:rsidRPr="00AE2827">
              <w:fldChar w:fldCharType="separate"/>
            </w:r>
            <w:r w:rsidRPr="00AE2827">
              <w:t>(La Cava 2019)</w:t>
            </w:r>
            <w:r w:rsidRPr="00AE2827">
              <w:fldChar w:fldCharType="end"/>
            </w:r>
            <w:r w:rsidRPr="00AE2827">
              <w:t xml:space="preserve">. Low interest rates and high immigration appear to explain a large part of the rise in house prices in recent years </w:t>
            </w:r>
            <w:r w:rsidRPr="00AE2827">
              <w:fldChar w:fldCharType="begin"/>
            </w:r>
            <w:r w:rsidR="0047772E">
              <w:instrText xml:space="preserve"> ADDIN ZOTERO_ITEM CSL_CITATION {"citationID":"TmNu1ygK","properties":{"formattedCitation":"(Saunders and Tulip\\uc0\\u160{}2019)","plainCitation":"(Saunders and Tulip 2019)","noteIndex":0},"citationItems":[{"id":3025,"uris":["http://zotero.org/groups/2714158/items/MMQYMTC5"],"uri":["http://zotero.org/groups/2714158/items/MMQYMTC5"],"itemData":{"id":3025,"type":"report","archive_location":"Australia","genre":"Research Discussion Paper","language":"en-AU","note":"Company: scheme=AGLSTERMS.AglsAgent; corporateName=Reserve Bank of Australia\nDistributor: scheme=AGLSTERMS.AglsAgent; corporateName=Reserve Bank of Australia\nInstitution: scheme=AGLSTERMS.AglsAgent; corporateName=Reserve Bank of Australia\nLabel: scheme=AGLSTERMS.AglsAgent; corporateName=Reserve Bank of Australia\nLast Modified: 2021-07-08\npublisher: Reserve Bank of Australia","number":"March","publisher":"Reserve Bank of Australia","source":"www.rba.gov.au","title":"A Model of the Australian Housing Market","title-short":"Abstract for RDP 2019-01","URL":"https://www.rba.gov.au/publications/rdp/2019/2019-01.html","author":[{"family":"Saunders","given":"Trent"},{"family":"Tulip","given":"Peter"}],"issued":{"date-parts":[["2019"]]}}}],"schema":"https://github.com/citation-style-language/schema/raw/master/csl-citation.json"} </w:instrText>
            </w:r>
            <w:r w:rsidRPr="00AE2827">
              <w:fldChar w:fldCharType="separate"/>
            </w:r>
            <w:r w:rsidRPr="00AE2827">
              <w:t>(Saunders and Tulip 2019)</w:t>
            </w:r>
            <w:r w:rsidRPr="00AE2827">
              <w:fldChar w:fldCharType="end"/>
            </w:r>
            <w:r w:rsidRPr="00AE2827">
              <w:t xml:space="preserve">. </w:t>
            </w:r>
          </w:p>
          <w:p w14:paraId="3FD5A026" w14:textId="77777777" w:rsidR="006E0ED6" w:rsidRPr="00AE2827" w:rsidRDefault="006E0ED6" w:rsidP="001625EC">
            <w:pPr>
              <w:pStyle w:val="BodyText"/>
            </w:pPr>
            <w:r w:rsidRPr="00AE2827">
              <w:t xml:space="preserve">Whether the strong growth in housing prices will continue is uncertain. Changing interest rates, future immigration, and new dwelling construction — none of which are modelled in this study — have the potential to affect future rates of return. </w:t>
            </w:r>
          </w:p>
          <w:p w14:paraId="016D9EFC" w14:textId="77777777" w:rsidR="006E0ED6" w:rsidRPr="00AE2827" w:rsidRDefault="006E0ED6" w:rsidP="001625EC">
            <w:pPr>
              <w:pStyle w:val="FigureTableHeading"/>
            </w:pPr>
            <w:r w:rsidRPr="00AE2827">
              <w:t>Real house prices have risen faster than superannuation and income</w:t>
            </w:r>
          </w:p>
          <w:p w14:paraId="6578E078" w14:textId="77777777" w:rsidR="006E0ED6" w:rsidRPr="004C58DE" w:rsidRDefault="006E0ED6" w:rsidP="001625EC">
            <w:pPr>
              <w:pStyle w:val="FigureTableSubheading"/>
              <w:rPr>
                <w:sz w:val="18"/>
              </w:rPr>
            </w:pPr>
            <w:r w:rsidRPr="004C58DE">
              <w:rPr>
                <w:sz w:val="18"/>
              </w:rPr>
              <w:t>1970 to 2018, indexed to 100 at 1970,</w:t>
            </w:r>
            <w:r w:rsidRPr="004C58DE">
              <w:rPr>
                <w:b/>
                <w:position w:val="2"/>
                <w:sz w:val="18"/>
                <w:vertAlign w:val="superscript"/>
              </w:rPr>
              <w:t>a</w:t>
            </w:r>
            <w:r w:rsidRPr="004C58DE">
              <w:rPr>
                <w:sz w:val="18"/>
              </w:rPr>
              <w:t xml:space="preserve"> 20</w:t>
            </w:r>
            <w:r w:rsidRPr="004C58DE">
              <w:rPr>
                <w:sz w:val="18"/>
              </w:rPr>
              <w:noBreakHyphen/>
              <w:t>year real growth rate in brackets</w:t>
            </w:r>
          </w:p>
          <w:p w14:paraId="69483AE7" w14:textId="68C6B262" w:rsidR="006E0ED6" w:rsidRPr="00AE2827" w:rsidRDefault="00B25821" w:rsidP="001625EC">
            <w:pPr>
              <w:pStyle w:val="Note"/>
              <w:rPr>
                <w:rStyle w:val="BodyTextChar"/>
              </w:rPr>
            </w:pPr>
            <w:r w:rsidRPr="00B25821">
              <w:rPr>
                <w:rStyle w:val="BodyTextChar"/>
                <w:noProof/>
              </w:rPr>
              <w:drawing>
                <wp:inline distT="0" distB="0" distL="0" distR="0" wp14:anchorId="29DFDF3C" wp14:editId="47B21FD8">
                  <wp:extent cx="6120130" cy="2729865"/>
                  <wp:effectExtent l="0" t="0" r="0" b="0"/>
                  <wp:docPr id="127" name="Picture 127" descr="Box 3.3 figure. This chart shows an index of the real value of housing, superannuation and average full-time earnings. The real growth rate over the 20 years to 2018 is 4.5% for housing, 3.3% for superannuation and 1.3% for average full-time e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Box 3.3 figure. This chart shows an index of the real value of housing, superannuation and average full-time earnings. The real growth rate over the 20 years to 2018 is 4.5% for housing, 3.3% for superannuation and 1.3% for average full-time earning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2729865"/>
                          </a:xfrm>
                          <a:prstGeom prst="rect">
                            <a:avLst/>
                          </a:prstGeom>
                          <a:noFill/>
                          <a:ln>
                            <a:noFill/>
                          </a:ln>
                        </pic:spPr>
                      </pic:pic>
                    </a:graphicData>
                  </a:graphic>
                </wp:inline>
              </w:drawing>
            </w:r>
          </w:p>
          <w:p w14:paraId="13089706" w14:textId="77777777" w:rsidR="006E0ED6" w:rsidRDefault="006E0ED6" w:rsidP="001625EC">
            <w:pPr>
              <w:pStyle w:val="Note"/>
            </w:pPr>
            <w:r w:rsidRPr="00AE2827">
              <w:rPr>
                <w:b/>
                <w:bCs/>
              </w:rPr>
              <w:t>a.</w:t>
            </w:r>
            <w:r>
              <w:t xml:space="preserve"> Superannuation index set equal to earnings index at 1997, because 1998 is the earliest date for which super returns were available in Grattan Institute analysis.</w:t>
            </w:r>
          </w:p>
          <w:p w14:paraId="4B967242" w14:textId="5E4C4B92" w:rsidR="006E0ED6" w:rsidRDefault="006E0ED6" w:rsidP="001625EC">
            <w:pPr>
              <w:pStyle w:val="Source"/>
            </w:pPr>
            <w:r>
              <w:t xml:space="preserve">Source: </w:t>
            </w:r>
            <w:r w:rsidRPr="00AE2827">
              <w:t>Wood</w:t>
            </w:r>
            <w:r w:rsidR="00785D96" w:rsidRPr="003C3506">
              <w:t>, Griffiths and</w:t>
            </w:r>
            <w:r w:rsidR="00785D96" w:rsidRPr="003C3506" w:rsidDel="0054159E">
              <w:t xml:space="preserve"> </w:t>
            </w:r>
            <w:r w:rsidR="00785D96" w:rsidRPr="003C3506">
              <w:t>Emslie</w:t>
            </w:r>
            <w:r w:rsidRPr="00AE2827">
              <w:t xml:space="preserve"> </w:t>
            </w:r>
            <w:r w:rsidRPr="00AE2827">
              <w:fldChar w:fldCharType="begin"/>
            </w:r>
            <w:r w:rsidR="0047772E">
              <w:instrText xml:space="preserve"> ADDIN ZOTERO_ITEM CSL_CITATION {"citationID":"ipUyBl9h","properties":{"formattedCitation":"(2019, figure 2.6)","plainCitation":"(2019, figure 2.6)","noteIndex":0},"citationItems":[{"id":1565,"uris":["http://zotero.org/groups/2714158/items/DGH2PIV8"],"uri":["http://zotero.org/groups/2714158/items/DGH2PIV8"],"itemData":{"id":1565,"type":"report","number":"2019-07","publisher":"Grattan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Australians","author":[{"family":"Wood","given":"Danielle"},{"family":"Griffiths","given":"Kate"},{"family":"Emslie","given":"Owain"}],"accessed":{"date-parts":[["2021",2,1]]},"issued":{"date-parts":[["2019",8]]}},"suppress-author":true,"suffix":", figure 2.6"}],"schema":"https://github.com/citation-style-language/schema/raw/master/csl-citation.json"} </w:instrText>
            </w:r>
            <w:r w:rsidRPr="00AE2827">
              <w:fldChar w:fldCharType="separate"/>
            </w:r>
            <w:r w:rsidRPr="00AE2827">
              <w:t>(2019, figure 2.6)</w:t>
            </w:r>
            <w:r w:rsidRPr="00AE2827">
              <w:fldChar w:fldCharType="end"/>
            </w:r>
            <w:r w:rsidRPr="00AE2827">
              <w:t>; Productivity Commission estimates.</w:t>
            </w:r>
          </w:p>
        </w:tc>
      </w:tr>
      <w:tr w:rsidR="006E0ED6" w14:paraId="782EBC64" w14:textId="77777777" w:rsidTr="001625EC">
        <w:tc>
          <w:tcPr>
            <w:tcW w:w="9638" w:type="dxa"/>
            <w:shd w:val="clear" w:color="auto" w:fill="auto"/>
            <w:tcMar>
              <w:top w:w="0" w:type="dxa"/>
              <w:left w:w="170" w:type="dxa"/>
              <w:bottom w:w="0" w:type="dxa"/>
              <w:right w:w="170" w:type="dxa"/>
            </w:tcMar>
          </w:tcPr>
          <w:p w14:paraId="4BA0F047" w14:textId="77777777" w:rsidR="006E0ED6" w:rsidRDefault="006E0ED6" w:rsidP="001625EC">
            <w:pPr>
              <w:pStyle w:val="BodyText"/>
              <w:spacing w:before="0" w:after="0" w:line="80" w:lineRule="atLeast"/>
            </w:pPr>
          </w:p>
        </w:tc>
      </w:tr>
    </w:tbl>
    <w:p w14:paraId="5A9EF2E7" w14:textId="57DD93E5" w:rsidR="00B25821" w:rsidRDefault="00B25821" w:rsidP="00B25821">
      <w:pPr>
        <w:pStyle w:val="BodyText"/>
      </w:pPr>
    </w:p>
    <w:p w14:paraId="6A7F90D4" w14:textId="77777777" w:rsidR="00B25821" w:rsidRDefault="00B25821">
      <w:pPr>
        <w:spacing w:before="0" w:after="160" w:line="259" w:lineRule="auto"/>
      </w:pPr>
      <w:r>
        <w:br w:type="page"/>
      </w:r>
    </w:p>
    <w:p w14:paraId="33FE380C" w14:textId="77777777" w:rsidR="006E0ED6" w:rsidRDefault="006E0ED6" w:rsidP="006E0ED6">
      <w:pPr>
        <w:pStyle w:val="Heading3"/>
      </w:pPr>
      <w:r>
        <w:lastRenderedPageBreak/>
        <w:t>The base scenario</w:t>
      </w:r>
    </w:p>
    <w:p w14:paraId="3AB8F79B" w14:textId="77777777" w:rsidR="006E0ED6" w:rsidRDefault="006E0ED6" w:rsidP="006E0ED6">
      <w:pPr>
        <w:pStyle w:val="BodyText"/>
      </w:pPr>
      <w:r>
        <w:t xml:space="preserve">The base scenario results in this chapter largely reflect continuation of historical rates and distributions estimated from HILDA (including in relation to gifting rates, home ownership rates and the distributions of total inheritances to different cohorts by wealth group), with a number of other parameters informed by additional </w:t>
      </w:r>
      <w:r w:rsidRPr="00881D29">
        <w:t xml:space="preserve">data </w:t>
      </w:r>
      <w:r>
        <w:t xml:space="preserve">sources </w:t>
      </w:r>
      <w:r w:rsidRPr="00881D29">
        <w:t>and research</w:t>
      </w:r>
      <w:r>
        <w:t xml:space="preserve"> (table 3.1).</w:t>
      </w:r>
      <w:r w:rsidRPr="00C86BA8">
        <w:t xml:space="preserve"> </w:t>
      </w:r>
      <w:r>
        <w:t>However, the base scenario assumes that rates of return on all assets converge over ten years from their historical rates to 4 per cent, equivalent to the assumed long</w:t>
      </w:r>
      <w:r>
        <w:noBreakHyphen/>
        <w:t>run rate of income growth. Wealth outcomes are projected in nominal dollars and discounted to 2018 values. Results from this projection are presented in section 3.3.</w:t>
      </w:r>
    </w:p>
    <w:p w14:paraId="64FFC794" w14:textId="77777777" w:rsidR="006E0ED6" w:rsidRDefault="006E0ED6" w:rsidP="006E0ED6">
      <w:pPr>
        <w:pStyle w:val="BodyText"/>
      </w:pPr>
      <w:bookmarkStart w:id="33" w:name="_Hlk82603175"/>
      <w:r>
        <w:t xml:space="preserve">Scenario analysis was conducted to test how sensitive the outcomes in the base scenario were to the assumptions used </w:t>
      </w:r>
      <w:bookmarkEnd w:id="33"/>
      <w:r>
        <w:t>(section 3.4).</w:t>
      </w:r>
    </w:p>
    <w:p w14:paraId="4398638A" w14:textId="77777777" w:rsidR="006E0ED6" w:rsidRPr="00AE2827" w:rsidRDefault="006E0ED6" w:rsidP="006E0ED6">
      <w:pPr>
        <w:pStyle w:val="BodyText"/>
        <w:rPr>
          <w:spacing w:val="-4"/>
        </w:rPr>
      </w:pPr>
      <w:r w:rsidRPr="00AE2827">
        <w:rPr>
          <w:spacing w:val="-4"/>
        </w:rPr>
        <w:t>Further assumptions and parameters in the base scenario are summarised in table 3.1. Appendix C contains further details of the model structure and limitations, and parameters in the base and alternate scenario models.</w:t>
      </w:r>
    </w:p>
    <w:p w14:paraId="482F78C1" w14:textId="77777777" w:rsidR="006E0ED6" w:rsidRDefault="006E0ED6" w:rsidP="006E0ED6">
      <w:pPr>
        <w:pStyle w:val="Heading3"/>
      </w:pPr>
      <w:r>
        <w:t>The counterfactual</w:t>
      </w:r>
    </w:p>
    <w:p w14:paraId="603852DC" w14:textId="77777777" w:rsidR="006E0ED6" w:rsidRDefault="006E0ED6" w:rsidP="006E0ED6">
      <w:pPr>
        <w:pStyle w:val="BodyText"/>
      </w:pPr>
      <w:r>
        <w:t xml:space="preserve">The effect of wealth transfers was analysed by comparing results from the model relative to a counterfactual — a hypothetical world in which no future wealth transfers occur between generations. That is, parents are assumed not to gift any wealth to their children, and any wealth at death that is not inherited by partners is destroyed rather than passed on. This counterfactual was used to analyse the effects of wealth transfers in the base scenario and in alternate scenarios. </w:t>
      </w:r>
    </w:p>
    <w:p w14:paraId="6BCFBE73" w14:textId="77777777" w:rsidR="006E0ED6" w:rsidRDefault="006E0ED6" w:rsidP="006E0ED6">
      <w:pPr>
        <w:pStyle w:val="BodyText"/>
      </w:pPr>
      <w:r>
        <w:t>These effects can be analysed for specific generations by comparing outcomes for that generation in the scenario that includes wealth transfers relative to the counterfactual. Effects analysed over the projection period are cumulative across time. For example, outcomes ten years into the projection incorporate the cumulative effect of wealth transfers in each of those ten years.</w:t>
      </w:r>
    </w:p>
    <w:p w14:paraId="1BCA3DA3" w14:textId="77777777" w:rsidR="006E0ED6" w:rsidRDefault="006E0ED6" w:rsidP="006E0ED6">
      <w:pPr>
        <w:pStyle w:val="BodyText"/>
      </w:pPr>
      <w:r>
        <w:t>While this counterfactual provides one way to examine the effect of wealth transfers, it is not realistic — wealth is not typically destroyed at death. An alternative counterfactual could be a non</w:t>
      </w:r>
      <w:r>
        <w:noBreakHyphen/>
        <w:t>inheritance based, distribution mechanism. Depending on the design of this distribution mechanism, it could result in either a more or less equal distribution of wealth.</w:t>
      </w:r>
      <w:r w:rsidRPr="003A46E1">
        <w:rPr>
          <w:rStyle w:val="FootnoteReference"/>
        </w:rPr>
        <w:footnoteReference w:id="43"/>
      </w:r>
      <w:r>
        <w:t xml:space="preserve"> This study does not examine alternate ways of distributing wealth transfers, so a relatively simple counterfactual of no wealth transfers was used.</w:t>
      </w:r>
    </w:p>
    <w:p w14:paraId="38AB536F" w14:textId="5B87CC8C" w:rsidR="006E0ED6" w:rsidRDefault="006E0ED6" w:rsidP="006E0ED6">
      <w:pPr>
        <w:pStyle w:val="FigureTableHeading"/>
        <w:spacing w:after="120"/>
      </w:pPr>
      <w:r>
        <w:lastRenderedPageBreak/>
        <w:t xml:space="preserve">Table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Table \* ARABIC \s 1 </w:instrText>
      </w:r>
      <w:r w:rsidR="00B2270C">
        <w:fldChar w:fldCharType="separate"/>
      </w:r>
      <w:r w:rsidR="00F3386D">
        <w:rPr>
          <w:noProof/>
        </w:rPr>
        <w:t>1</w:t>
      </w:r>
      <w:r w:rsidR="00B2270C">
        <w:rPr>
          <w:noProof/>
        </w:rPr>
        <w:fldChar w:fldCharType="end"/>
      </w:r>
      <w:r>
        <w:rPr>
          <w:noProof/>
        </w:rPr>
        <w:t xml:space="preserve"> – </w:t>
      </w:r>
      <w:r w:rsidRPr="00A56BA9">
        <w:t>Select model components and base scenario assumptions</w:t>
      </w:r>
    </w:p>
    <w:tbl>
      <w:tblPr>
        <w:tblW w:w="5000" w:type="pct"/>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26"/>
        <w:gridCol w:w="7512"/>
      </w:tblGrid>
      <w:tr w:rsidR="006E0ED6" w:rsidRPr="00DE5C5E" w14:paraId="78BBAE6A" w14:textId="77777777" w:rsidTr="00062C01">
        <w:trPr>
          <w:tblHeader/>
        </w:trPr>
        <w:tc>
          <w:tcPr>
            <w:tcW w:w="1103" w:type="pct"/>
            <w:tcBorders>
              <w:bottom w:val="single" w:sz="4" w:space="0" w:color="B3B3B3"/>
            </w:tcBorders>
            <w:shd w:val="clear" w:color="000000" w:fill="auto"/>
          </w:tcPr>
          <w:p w14:paraId="1FAC8C2A" w14:textId="77777777" w:rsidR="006E0ED6" w:rsidRPr="00DE5C5E" w:rsidRDefault="006E0ED6" w:rsidP="001625EC">
            <w:pPr>
              <w:pStyle w:val="BodyText"/>
              <w:spacing w:before="45" w:after="45"/>
              <w:ind w:left="57" w:right="108"/>
              <w:rPr>
                <w:rFonts w:ascii="Arial (Body)" w:hAnsi="Arial (Body)"/>
                <w:b/>
                <w:color w:val="265A9A"/>
                <w:sz w:val="18"/>
              </w:rPr>
            </w:pPr>
            <w:r w:rsidRPr="00DE5C5E">
              <w:rPr>
                <w:rFonts w:ascii="Arial (Body)" w:hAnsi="Arial (Body)"/>
                <w:b/>
                <w:color w:val="265A9A"/>
                <w:sz w:val="18"/>
              </w:rPr>
              <w:t>Component</w:t>
            </w:r>
          </w:p>
        </w:tc>
        <w:tc>
          <w:tcPr>
            <w:tcW w:w="3897" w:type="pct"/>
            <w:tcBorders>
              <w:bottom w:val="single" w:sz="4" w:space="0" w:color="B3B3B3"/>
            </w:tcBorders>
            <w:shd w:val="clear" w:color="000000" w:fill="auto"/>
          </w:tcPr>
          <w:p w14:paraId="3989DBA2" w14:textId="77777777" w:rsidR="006E0ED6" w:rsidRPr="00DE5C5E" w:rsidRDefault="006E0ED6" w:rsidP="001625EC">
            <w:pPr>
              <w:pStyle w:val="BodyText"/>
              <w:spacing w:before="45" w:after="45"/>
              <w:ind w:left="57" w:right="108"/>
              <w:rPr>
                <w:rFonts w:ascii="Arial (Body)" w:hAnsi="Arial (Body)"/>
                <w:b/>
                <w:color w:val="265A9A"/>
                <w:sz w:val="18"/>
              </w:rPr>
            </w:pPr>
            <w:r w:rsidRPr="00DE5C5E">
              <w:rPr>
                <w:rFonts w:ascii="Arial (Body)" w:hAnsi="Arial (Body)"/>
                <w:b/>
                <w:color w:val="265A9A"/>
                <w:sz w:val="18"/>
              </w:rPr>
              <w:t>Base scenario model approach</w:t>
            </w:r>
          </w:p>
        </w:tc>
      </w:tr>
      <w:tr w:rsidR="006E0ED6" w:rsidRPr="00CB6651" w14:paraId="35EE7E7B" w14:textId="77777777" w:rsidTr="00536218">
        <w:tblPrEx>
          <w:tblCellMar>
            <w:top w:w="28" w:type="dxa"/>
          </w:tblCellMar>
        </w:tblPrEx>
        <w:tc>
          <w:tcPr>
            <w:tcW w:w="1103" w:type="pct"/>
            <w:tcBorders>
              <w:top w:val="single" w:sz="4" w:space="0" w:color="B3B3B3"/>
              <w:bottom w:val="nil"/>
            </w:tcBorders>
            <w:shd w:val="clear" w:color="auto" w:fill="auto"/>
          </w:tcPr>
          <w:p w14:paraId="531F0D2C" w14:textId="77777777" w:rsidR="006E0ED6" w:rsidRPr="00DE5C5E" w:rsidRDefault="006E0ED6" w:rsidP="001625EC">
            <w:pPr>
              <w:pStyle w:val="BodyText"/>
              <w:keepNext/>
              <w:spacing w:before="45" w:after="45"/>
              <w:ind w:left="57" w:right="108"/>
              <w:rPr>
                <w:rFonts w:ascii="Arial (Body)" w:hAnsi="Arial (Body)"/>
                <w:b/>
                <w:color w:val="265A9A"/>
                <w:sz w:val="18"/>
              </w:rPr>
            </w:pPr>
            <w:r w:rsidRPr="00CB6651">
              <w:rPr>
                <w:rFonts w:ascii="Arial (Body)" w:hAnsi="Arial (Body)"/>
                <w:b/>
                <w:color w:val="265A9A"/>
                <w:sz w:val="18"/>
              </w:rPr>
              <w:t>Cohort size</w:t>
            </w:r>
          </w:p>
        </w:tc>
        <w:tc>
          <w:tcPr>
            <w:tcW w:w="3897" w:type="pct"/>
            <w:tcBorders>
              <w:top w:val="single" w:sz="4" w:space="0" w:color="B3B3B3"/>
              <w:bottom w:val="nil"/>
            </w:tcBorders>
            <w:shd w:val="clear" w:color="auto" w:fill="auto"/>
          </w:tcPr>
          <w:p w14:paraId="694923C7" w14:textId="77777777" w:rsidR="006E0ED6" w:rsidRPr="00CB6651" w:rsidRDefault="006E0ED6" w:rsidP="001625EC">
            <w:pPr>
              <w:pStyle w:val="BodyText"/>
              <w:keepNext/>
              <w:spacing w:before="45" w:after="45"/>
              <w:ind w:left="57" w:right="108"/>
              <w:rPr>
                <w:rFonts w:ascii="Arial (Body)" w:hAnsi="Arial (Body)"/>
                <w:b/>
                <w:color w:val="265A9A"/>
                <w:sz w:val="18"/>
              </w:rPr>
            </w:pPr>
          </w:p>
        </w:tc>
      </w:tr>
      <w:tr w:rsidR="006E0ED6" w:rsidRPr="00DE5C5E" w14:paraId="221C1547" w14:textId="77777777" w:rsidTr="00536218">
        <w:tblPrEx>
          <w:tblCellMar>
            <w:top w:w="28" w:type="dxa"/>
          </w:tblCellMar>
        </w:tblPrEx>
        <w:tc>
          <w:tcPr>
            <w:tcW w:w="1103" w:type="pct"/>
            <w:tcBorders>
              <w:top w:val="nil"/>
              <w:bottom w:val="nil"/>
            </w:tcBorders>
            <w:shd w:val="clear" w:color="000000" w:fill="F1F1F1"/>
          </w:tcPr>
          <w:p w14:paraId="197711D2" w14:textId="77777777" w:rsidR="006E0ED6" w:rsidRPr="00DE74A4" w:rsidRDefault="006E0ED6" w:rsidP="001625EC">
            <w:pPr>
              <w:pStyle w:val="TableBodyText"/>
              <w:jc w:val="left"/>
            </w:pPr>
            <w:r w:rsidRPr="00DE74A4">
              <w:t>Starting cohorts</w:t>
            </w:r>
          </w:p>
        </w:tc>
        <w:tc>
          <w:tcPr>
            <w:tcW w:w="3897" w:type="pct"/>
            <w:tcBorders>
              <w:top w:val="nil"/>
              <w:bottom w:val="nil"/>
            </w:tcBorders>
            <w:shd w:val="clear" w:color="000000" w:fill="F1F1F1"/>
          </w:tcPr>
          <w:p w14:paraId="07F376AA" w14:textId="77777777" w:rsidR="006E0ED6" w:rsidRPr="00DE74A4" w:rsidRDefault="006E0ED6" w:rsidP="001625EC">
            <w:pPr>
              <w:pStyle w:val="TableBodyText"/>
              <w:jc w:val="left"/>
            </w:pPr>
            <w:r w:rsidRPr="00DE74A4">
              <w:t>HILDA 2018 population split into 5</w:t>
            </w:r>
            <w:r w:rsidRPr="00DE74A4">
              <w:noBreakHyphen/>
              <w:t xml:space="preserve">year age groups, five income quintiles, four starting wealth quartiles, inheritance received status, and homeowner status. </w:t>
            </w:r>
          </w:p>
        </w:tc>
      </w:tr>
      <w:tr w:rsidR="006E0ED6" w:rsidRPr="00DE5C5E" w14:paraId="35E64EF2" w14:textId="77777777" w:rsidTr="00536218">
        <w:tblPrEx>
          <w:tblCellMar>
            <w:top w:w="28" w:type="dxa"/>
          </w:tblCellMar>
        </w:tblPrEx>
        <w:tc>
          <w:tcPr>
            <w:tcW w:w="1103" w:type="pct"/>
            <w:tcBorders>
              <w:top w:val="nil"/>
              <w:bottom w:val="nil"/>
            </w:tcBorders>
            <w:shd w:val="clear" w:color="000000" w:fill="auto"/>
          </w:tcPr>
          <w:p w14:paraId="2A68FD24" w14:textId="77777777" w:rsidR="006E0ED6" w:rsidRPr="00DE74A4" w:rsidRDefault="006E0ED6" w:rsidP="001625EC">
            <w:pPr>
              <w:pStyle w:val="TableBodyText"/>
              <w:jc w:val="left"/>
            </w:pPr>
            <w:r w:rsidRPr="00DE74A4">
              <w:t>Mortality rate</w:t>
            </w:r>
          </w:p>
        </w:tc>
        <w:tc>
          <w:tcPr>
            <w:tcW w:w="3897" w:type="pct"/>
            <w:tcBorders>
              <w:top w:val="nil"/>
              <w:bottom w:val="nil"/>
            </w:tcBorders>
            <w:shd w:val="clear" w:color="000000" w:fill="auto"/>
          </w:tcPr>
          <w:p w14:paraId="18C41856" w14:textId="3E11AB6C" w:rsidR="006E0ED6" w:rsidRPr="00DE74A4" w:rsidRDefault="006E0ED6" w:rsidP="001625EC">
            <w:pPr>
              <w:pStyle w:val="TableBodyText"/>
              <w:jc w:val="left"/>
            </w:pPr>
            <w:r w:rsidRPr="00DE74A4">
              <w:t xml:space="preserve">Observed death rates calculated by age group </w:t>
            </w:r>
            <w:r w:rsidRPr="00DE74A4">
              <w:fldChar w:fldCharType="begin"/>
            </w:r>
            <w:r w:rsidR="0047772E">
              <w:instrText xml:space="preserve"> ADDIN ZOTERO_ITEM CSL_CITATION {"citationID":"pfkHq0q8","properties":{"formattedCitation":"(ABS\\uc0\\u160{}2020c)","plainCitation":"(ABS 2020c)","noteIndex":0},"citationItems":[{"id":3125,"uris":["http://zotero.org/groups/2714158/items/MNLWKNHC"],"uri":["http://zotero.org/groups/2714158/items/MNLWKNHC"],"itemData":{"id":3125,"type":"webpage","container-title":"ABS.Stat","title":"Deaths, Year of Occurrence, Age at Death, Age-Specific Death Rates, Sex, States, Territories and Australia","URL":"https://stat.data.abs.gov.au/Index.aspx?DataSetCode=DEATHS_AGESPECIFIC_OCCURENCEYEAR","author":[{"literal":"Australian Bureau of Statistics"}],"translator":[{"literal":"ABS"}],"accessed":{"date-parts":[["2021",8,6]]},"issued":{"date-parts":[["2020"]]}}}],"schema":"https://github.com/citation-style-language/schema/raw/master/csl-citation.json"} </w:instrText>
            </w:r>
            <w:r w:rsidRPr="00DE74A4">
              <w:fldChar w:fldCharType="separate"/>
            </w:r>
            <w:r w:rsidR="00816542" w:rsidRPr="00816542">
              <w:rPr>
                <w:rFonts w:cs="Arial"/>
                <w:szCs w:val="24"/>
              </w:rPr>
              <w:t>(ABS 2020c)</w:t>
            </w:r>
            <w:r w:rsidRPr="00DE74A4">
              <w:fldChar w:fldCharType="end"/>
            </w:r>
            <w:r w:rsidRPr="00DE74A4">
              <w:t>.</w:t>
            </w:r>
          </w:p>
        </w:tc>
      </w:tr>
      <w:tr w:rsidR="006E0ED6" w:rsidRPr="00DE5C5E" w14:paraId="5CB975CD" w14:textId="77777777" w:rsidTr="00536218">
        <w:tblPrEx>
          <w:tblCellMar>
            <w:top w:w="28" w:type="dxa"/>
          </w:tblCellMar>
        </w:tblPrEx>
        <w:tc>
          <w:tcPr>
            <w:tcW w:w="1103" w:type="pct"/>
            <w:tcBorders>
              <w:top w:val="nil"/>
              <w:bottom w:val="nil"/>
            </w:tcBorders>
            <w:shd w:val="clear" w:color="000000" w:fill="F1F1F1"/>
          </w:tcPr>
          <w:p w14:paraId="5F6F5A20" w14:textId="77777777" w:rsidR="006E0ED6" w:rsidRPr="00DE74A4" w:rsidRDefault="006E0ED6" w:rsidP="001625EC">
            <w:pPr>
              <w:pStyle w:val="TableBodyText"/>
              <w:jc w:val="left"/>
            </w:pPr>
            <w:r w:rsidRPr="00DE74A4">
              <w:t>Income transitions</w:t>
            </w:r>
          </w:p>
        </w:tc>
        <w:tc>
          <w:tcPr>
            <w:tcW w:w="3897" w:type="pct"/>
            <w:tcBorders>
              <w:top w:val="nil"/>
              <w:bottom w:val="nil"/>
            </w:tcBorders>
            <w:shd w:val="clear" w:color="000000" w:fill="F1F1F1"/>
          </w:tcPr>
          <w:p w14:paraId="4DE17104" w14:textId="68FABDFF" w:rsidR="006E0ED6" w:rsidRPr="00DE74A4" w:rsidRDefault="006E0ED6" w:rsidP="001625EC">
            <w:pPr>
              <w:pStyle w:val="TableBodyText"/>
              <w:jc w:val="left"/>
            </w:pPr>
            <w:r w:rsidRPr="00DE74A4">
              <w:t>Estimated probability of income group transitions in HILDA. Only cohorts aged 15–39 and 60–74 in the model assumed to be able to transition, at 5</w:t>
            </w:r>
            <w:r w:rsidRPr="00DE74A4">
              <w:noBreakHyphen/>
              <w:t>year intervals.</w:t>
            </w:r>
          </w:p>
        </w:tc>
      </w:tr>
      <w:tr w:rsidR="006E0ED6" w:rsidRPr="00DE5C5E" w14:paraId="061C78AE" w14:textId="77777777" w:rsidTr="00536218">
        <w:tblPrEx>
          <w:tblCellMar>
            <w:top w:w="28" w:type="dxa"/>
          </w:tblCellMar>
        </w:tblPrEx>
        <w:tc>
          <w:tcPr>
            <w:tcW w:w="1103" w:type="pct"/>
            <w:tcBorders>
              <w:top w:val="nil"/>
              <w:bottom w:val="nil"/>
            </w:tcBorders>
            <w:shd w:val="clear" w:color="000000" w:fill="auto"/>
          </w:tcPr>
          <w:p w14:paraId="51E92106" w14:textId="77777777" w:rsidR="006E0ED6" w:rsidRPr="00DE74A4" w:rsidRDefault="006E0ED6" w:rsidP="001625EC">
            <w:pPr>
              <w:pStyle w:val="TableBodyText"/>
              <w:jc w:val="left"/>
            </w:pPr>
            <w:r w:rsidRPr="00DE74A4">
              <w:t>Home ownership transitions</w:t>
            </w:r>
          </w:p>
        </w:tc>
        <w:tc>
          <w:tcPr>
            <w:tcW w:w="3897" w:type="pct"/>
            <w:tcBorders>
              <w:top w:val="nil"/>
              <w:bottom w:val="nil"/>
            </w:tcBorders>
            <w:shd w:val="clear" w:color="000000" w:fill="auto"/>
          </w:tcPr>
          <w:p w14:paraId="77A4BE11" w14:textId="7DE2A4C8" w:rsidR="006E0ED6" w:rsidRPr="00DE74A4" w:rsidRDefault="006E0ED6" w:rsidP="001625EC">
            <w:pPr>
              <w:pStyle w:val="TableBodyText"/>
              <w:jc w:val="left"/>
            </w:pPr>
            <w:r w:rsidRPr="00DE74A4">
              <w:t xml:space="preserve">Estimated probability of purchasing a first home by age and income in HILDA, for cohorts aged 15–54. Cohorts that have received an inheritance have higher probabilities, informed by estimates in Cigdem and Whelan </w:t>
            </w:r>
            <w:r w:rsidRPr="00DE74A4">
              <w:fldChar w:fldCharType="begin"/>
            </w:r>
            <w:r w:rsidR="0047772E">
              <w:instrText xml:space="preserve"> ADDIN ZOTERO_ITEM CSL_CITATION {"citationID":"PHdce1kW","properties":{"formattedCitation":"(2017)","plainCitation":"(2017)","noteIndex":0},"citationItems":[{"id":1561,"uris":["http://zotero.org/groups/2714158/items/YFRPTTTW"],"uri":["http://zotero.org/groups/2714158/items/YFRPTTTW"],"itemData":{"id":1561,"type":"article-journal","container-title":"International Journal of Housing Policy","issue":"2","page":"227–248","source":"Google Scholar","title":"Intergenerational transfers and housing tenure–Australian evidence","volume":"17","author":[{"family":"Cigdem","given":"Melek"},{"family":"Whelan","given":"Stephen"}],"issued":{"date-parts":[["2017"]]}},"suppress-author":true}],"schema":"https://github.com/citation-style-language/schema/raw/master/csl-citation.json"} </w:instrText>
            </w:r>
            <w:r w:rsidRPr="00DE74A4">
              <w:fldChar w:fldCharType="separate"/>
            </w:r>
            <w:r w:rsidRPr="00DE74A4">
              <w:t>(2017)</w:t>
            </w:r>
            <w:r w:rsidRPr="00DE74A4">
              <w:fldChar w:fldCharType="end"/>
            </w:r>
            <w:r w:rsidRPr="00DE74A4">
              <w:t>.</w:t>
            </w:r>
          </w:p>
        </w:tc>
      </w:tr>
      <w:tr w:rsidR="006E0ED6" w:rsidRPr="00DE5C5E" w14:paraId="0DCB69F3" w14:textId="77777777" w:rsidTr="00536218">
        <w:tblPrEx>
          <w:tblCellMar>
            <w:top w:w="28" w:type="dxa"/>
          </w:tblCellMar>
        </w:tblPrEx>
        <w:tc>
          <w:tcPr>
            <w:tcW w:w="1103" w:type="pct"/>
            <w:tcBorders>
              <w:top w:val="nil"/>
              <w:bottom w:val="nil"/>
            </w:tcBorders>
            <w:shd w:val="clear" w:color="000000" w:fill="F1F1F1"/>
          </w:tcPr>
          <w:p w14:paraId="0D4E7146" w14:textId="77777777" w:rsidR="006E0ED6" w:rsidRPr="00DE74A4" w:rsidRDefault="006E0ED6" w:rsidP="001625EC">
            <w:pPr>
              <w:pStyle w:val="TableBodyText"/>
              <w:jc w:val="left"/>
            </w:pPr>
            <w:r w:rsidRPr="00DE74A4">
              <w:t>Inheritance receipt</w:t>
            </w:r>
          </w:p>
        </w:tc>
        <w:tc>
          <w:tcPr>
            <w:tcW w:w="3897" w:type="pct"/>
            <w:tcBorders>
              <w:top w:val="nil"/>
              <w:bottom w:val="nil"/>
            </w:tcBorders>
            <w:shd w:val="clear" w:color="000000" w:fill="F1F1F1"/>
          </w:tcPr>
          <w:p w14:paraId="155C378A" w14:textId="77777777" w:rsidR="006E0ED6" w:rsidRPr="00DE74A4" w:rsidRDefault="006E0ED6" w:rsidP="001625EC">
            <w:pPr>
              <w:pStyle w:val="TableBodyText"/>
              <w:jc w:val="left"/>
            </w:pPr>
            <w:r w:rsidRPr="00DE74A4">
              <w:t>Based on ages of living parents in each cohort in HILDA and probabilities of those parents dying according to estimated mortality rates.</w:t>
            </w:r>
          </w:p>
        </w:tc>
      </w:tr>
      <w:tr w:rsidR="006E0ED6" w:rsidRPr="00CB6651" w14:paraId="1F390FE6" w14:textId="77777777" w:rsidTr="001625EC">
        <w:tblPrEx>
          <w:tblCellMar>
            <w:top w:w="28" w:type="dxa"/>
          </w:tblCellMar>
        </w:tblPrEx>
        <w:tc>
          <w:tcPr>
            <w:tcW w:w="5000" w:type="pct"/>
            <w:gridSpan w:val="2"/>
            <w:tcBorders>
              <w:top w:val="nil"/>
              <w:bottom w:val="nil"/>
            </w:tcBorders>
            <w:shd w:val="clear" w:color="000000" w:fill="auto"/>
          </w:tcPr>
          <w:p w14:paraId="4FAC4753" w14:textId="77777777" w:rsidR="006E0ED6" w:rsidRPr="00CB6651" w:rsidRDefault="006E0ED6" w:rsidP="001625EC">
            <w:pPr>
              <w:pStyle w:val="BodyText"/>
              <w:keepNext/>
              <w:spacing w:before="45" w:after="45"/>
              <w:ind w:left="57" w:right="108"/>
              <w:rPr>
                <w:rFonts w:ascii="Arial (Body)" w:hAnsi="Arial (Body)"/>
                <w:b/>
                <w:color w:val="265A9A"/>
                <w:sz w:val="18"/>
              </w:rPr>
            </w:pPr>
            <w:r w:rsidRPr="00CB6651">
              <w:rPr>
                <w:rFonts w:ascii="Arial (Body)" w:hAnsi="Arial (Body)"/>
                <w:b/>
                <w:color w:val="265A9A"/>
                <w:sz w:val="18"/>
              </w:rPr>
              <w:t>Income and asset growth (nominal growth rates)</w:t>
            </w:r>
          </w:p>
        </w:tc>
      </w:tr>
      <w:tr w:rsidR="006E0ED6" w:rsidRPr="00DE5C5E" w14:paraId="5FC5C6D9" w14:textId="77777777" w:rsidTr="00536218">
        <w:tblPrEx>
          <w:tblCellMar>
            <w:top w:w="28" w:type="dxa"/>
          </w:tblCellMar>
        </w:tblPrEx>
        <w:tc>
          <w:tcPr>
            <w:tcW w:w="1103" w:type="pct"/>
            <w:tcBorders>
              <w:top w:val="nil"/>
              <w:bottom w:val="nil"/>
            </w:tcBorders>
            <w:shd w:val="clear" w:color="000000" w:fill="F1F1F1"/>
          </w:tcPr>
          <w:p w14:paraId="6B23AEBD" w14:textId="77777777" w:rsidR="006E0ED6" w:rsidRPr="00CB6651" w:rsidRDefault="006E0ED6" w:rsidP="001625EC">
            <w:pPr>
              <w:pStyle w:val="TableBodyText"/>
              <w:spacing w:after="20"/>
              <w:ind w:right="108"/>
              <w:jc w:val="left"/>
              <w:rPr>
                <w:rFonts w:ascii="Arial (Body)" w:hAnsi="Arial (Body)"/>
                <w:bCs/>
              </w:rPr>
            </w:pPr>
            <w:r w:rsidRPr="00CB6651">
              <w:rPr>
                <w:rFonts w:ascii="Arial (Body)" w:hAnsi="Arial (Body)"/>
                <w:bCs/>
              </w:rPr>
              <w:t>Income growth (and discount rate)</w:t>
            </w:r>
          </w:p>
        </w:tc>
        <w:tc>
          <w:tcPr>
            <w:tcW w:w="3897" w:type="pct"/>
            <w:tcBorders>
              <w:top w:val="nil"/>
              <w:bottom w:val="nil"/>
            </w:tcBorders>
            <w:shd w:val="clear" w:color="000000" w:fill="F1F1F1"/>
          </w:tcPr>
          <w:p w14:paraId="52F36DBD" w14:textId="0FED82AF" w:rsidR="006E0ED6" w:rsidRPr="00DE5C5E" w:rsidRDefault="006E0ED6" w:rsidP="001625EC">
            <w:pPr>
              <w:pStyle w:val="TableBodyText"/>
              <w:spacing w:after="20"/>
              <w:ind w:right="108"/>
              <w:jc w:val="left"/>
              <w:rPr>
                <w:rFonts w:ascii="Arial (Body)" w:hAnsi="Arial (Body)"/>
                <w:color w:val="000000"/>
              </w:rPr>
            </w:pPr>
            <w:r w:rsidRPr="00DE5C5E">
              <w:rPr>
                <w:rFonts w:ascii="Arial (Body)" w:hAnsi="Arial (Body)"/>
                <w:color w:val="000000"/>
              </w:rPr>
              <w:t xml:space="preserve">Converging from 2018 growth to 4 per cent over ten years. In line with 2.5 per cent inflation and 1.5 per cent labour productivity growth assumed in Intergenerational Report </w:t>
            </w:r>
            <w:r w:rsidRPr="00DE5C5E">
              <w:rPr>
                <w:rFonts w:ascii="Arial (Body)" w:hAnsi="Arial (Body)"/>
                <w:color w:val="000000"/>
              </w:rPr>
              <w:fldChar w:fldCharType="begin"/>
            </w:r>
            <w:r w:rsidR="0047772E">
              <w:rPr>
                <w:rFonts w:ascii="Arial (Body)" w:hAnsi="Arial (Body)"/>
                <w:color w:val="000000"/>
              </w:rPr>
              <w:instrText xml:space="preserve"> ADDIN ZOTERO_ITEM CSL_CITATION {"citationID":"bE9kYbNA","properties":{"formattedCitation":"(The Commonwealth of Australia\\uc0\\u160{}2021a, p.\\uc0\\u160{}11)","plainCitation":"(The Commonwealth of Australia</w:instrText>
            </w:r>
            <w:r w:rsidR="0047772E">
              <w:rPr>
                <w:rFonts w:ascii="Arial (Body)" w:hAnsi="Arial (Body)" w:hint="eastAsia"/>
                <w:color w:val="000000"/>
              </w:rPr>
              <w:instrText> </w:instrText>
            </w:r>
            <w:r w:rsidR="0047772E">
              <w:rPr>
                <w:rFonts w:ascii="Arial (Body)" w:hAnsi="Arial (Body)"/>
                <w:color w:val="000000"/>
              </w:rPr>
              <w:instrText>2021a, p.</w:instrText>
            </w:r>
            <w:r w:rsidR="0047772E">
              <w:rPr>
                <w:rFonts w:ascii="Arial (Body)" w:hAnsi="Arial (Body)" w:hint="eastAsia"/>
                <w:color w:val="000000"/>
              </w:rPr>
              <w:instrText> </w:instrText>
            </w:r>
            <w:r w:rsidR="0047772E">
              <w:rPr>
                <w:rFonts w:ascii="Arial (Body)" w:hAnsi="Arial (Body)"/>
                <w:color w:val="000000"/>
              </w:rPr>
              <w:instrText xml:space="preserve">11)","noteIndex":0},"citationItems":[{"id":1957,"uris":["http://zotero.org/groups/2714158/items/MUULXQ7N"],"uri":["http://zotero.org/groups/2714158/items/MUULXQ7N"],"itemData":{"id":1957,"type":"report","event-place":"Canberra","publisher-place":"Canberra","title":"2021 Intergenerational Report: Australia Over the Next 40 Years","author":[{"literal":"The Commonwealth of Australia"}],"issued":{"date-parts":[["2021"]]}},"locator":"11"}],"schema":"https://github.com/citation-style-language/schema/raw/master/csl-citation.json"} </w:instrText>
            </w:r>
            <w:r w:rsidRPr="00DE5C5E">
              <w:rPr>
                <w:rFonts w:ascii="Arial (Body)" w:hAnsi="Arial (Body)"/>
                <w:color w:val="000000"/>
              </w:rPr>
              <w:fldChar w:fldCharType="separate"/>
            </w:r>
            <w:r w:rsidR="007A60F8" w:rsidRPr="007A60F8">
              <w:rPr>
                <w:rFonts w:ascii="Arial (Body)" w:hAnsi="Arial (Body)"/>
                <w:szCs w:val="24"/>
              </w:rPr>
              <w:t>(The Commonwealth of Australia 2021a, p. 11)</w:t>
            </w:r>
            <w:r w:rsidRPr="00DE5C5E">
              <w:rPr>
                <w:rFonts w:ascii="Arial (Body)" w:hAnsi="Arial (Body)"/>
                <w:color w:val="000000"/>
              </w:rPr>
              <w:fldChar w:fldCharType="end"/>
            </w:r>
            <w:r w:rsidRPr="00DE5C5E">
              <w:rPr>
                <w:rFonts w:ascii="Arial (Body)" w:hAnsi="Arial (Body)"/>
                <w:color w:val="000000"/>
              </w:rPr>
              <w:t xml:space="preserve"> and Retirement Income Review </w:t>
            </w:r>
            <w:r w:rsidRPr="00DE5C5E">
              <w:rPr>
                <w:rFonts w:ascii="Arial (Body)" w:hAnsi="Arial (Body)"/>
                <w:color w:val="000000"/>
              </w:rPr>
              <w:fldChar w:fldCharType="begin"/>
            </w:r>
            <w:r w:rsidR="0047772E">
              <w:rPr>
                <w:rFonts w:ascii="Arial (Body)" w:hAnsi="Arial (Body)"/>
                <w:color w:val="000000"/>
              </w:rPr>
              <w:instrText xml:space="preserve"> ADDIN ZOTERO_ITEM CSL_CITATION {"citationID":"JJbRoYEJ","properties":{"formattedCitation":"(The Treasury\\uc0\\u160{}2020, p.\\uc0\\u160{}178)","plainCitation":"(The Treasury</w:instrText>
            </w:r>
            <w:r w:rsidR="0047772E">
              <w:rPr>
                <w:rFonts w:ascii="Arial (Body)" w:hAnsi="Arial (Body)" w:hint="eastAsia"/>
                <w:color w:val="000000"/>
              </w:rPr>
              <w:instrText> </w:instrText>
            </w:r>
            <w:r w:rsidR="0047772E">
              <w:rPr>
                <w:rFonts w:ascii="Arial (Body)" w:hAnsi="Arial (Body)"/>
                <w:color w:val="000000"/>
              </w:rPr>
              <w:instrText>2020, p.</w:instrText>
            </w:r>
            <w:r w:rsidR="0047772E">
              <w:rPr>
                <w:rFonts w:ascii="Arial (Body)" w:hAnsi="Arial (Body)" w:hint="eastAsia"/>
                <w:color w:val="000000"/>
              </w:rPr>
              <w:instrText> </w:instrText>
            </w:r>
            <w:r w:rsidR="0047772E">
              <w:rPr>
                <w:rFonts w:ascii="Arial (Body)" w:hAnsi="Arial (Body)"/>
                <w:color w:val="000000"/>
              </w:rPr>
              <w:instrText xml:space="preserve">178)","noteIndex":0},"citationItems":[{"id":1552,"uris":["http://zotero.org/groups/2714158/items/R5Y5AKIH"],"uri":["http://zotero.org/groups/2714158/items/R5Y5AKIH"],"itemData":{"id":1552,"type":"report","event-place":"Canberra","genre":"Final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Treasury","given":""}],"accessed":{"date-parts":[["2021",2,4]]},"issued":{"date-parts":[["2020"]]}},"locator":"178"}],"schema":"https://github.com/citation-style-language/schema/raw/master/csl-citation.json"} </w:instrText>
            </w:r>
            <w:r w:rsidRPr="00DE5C5E">
              <w:rPr>
                <w:rFonts w:ascii="Arial (Body)" w:hAnsi="Arial (Body)"/>
                <w:color w:val="000000"/>
              </w:rPr>
              <w:fldChar w:fldCharType="separate"/>
            </w:r>
            <w:r w:rsidRPr="00DE5C5E">
              <w:rPr>
                <w:rFonts w:ascii="Arial (Body)" w:hAnsi="Arial (Body)" w:cs="Arial"/>
                <w:color w:val="000000"/>
                <w:szCs w:val="24"/>
              </w:rPr>
              <w:t>(The Treasury 2020, p. 178)</w:t>
            </w:r>
            <w:r w:rsidRPr="00DE5C5E">
              <w:rPr>
                <w:rFonts w:ascii="Arial (Body)" w:hAnsi="Arial (Body)"/>
                <w:color w:val="000000"/>
              </w:rPr>
              <w:fldChar w:fldCharType="end"/>
            </w:r>
            <w:r w:rsidRPr="00DE5C5E">
              <w:rPr>
                <w:rFonts w:ascii="Arial (Body)" w:hAnsi="Arial (Body)"/>
                <w:color w:val="000000"/>
              </w:rPr>
              <w:t xml:space="preserve">. </w:t>
            </w:r>
          </w:p>
        </w:tc>
      </w:tr>
      <w:tr w:rsidR="006E0ED6" w:rsidRPr="00DE5C5E" w14:paraId="3B33BAC0" w14:textId="77777777" w:rsidTr="00536218">
        <w:tblPrEx>
          <w:tblCellMar>
            <w:top w:w="28" w:type="dxa"/>
          </w:tblCellMar>
        </w:tblPrEx>
        <w:tc>
          <w:tcPr>
            <w:tcW w:w="1103" w:type="pct"/>
            <w:tcBorders>
              <w:top w:val="nil"/>
              <w:bottom w:val="nil"/>
            </w:tcBorders>
            <w:shd w:val="clear" w:color="000000" w:fill="auto"/>
          </w:tcPr>
          <w:p w14:paraId="416A4ED8" w14:textId="77777777" w:rsidR="006E0ED6" w:rsidRPr="00CB6651" w:rsidRDefault="006E0ED6" w:rsidP="001625EC">
            <w:pPr>
              <w:pStyle w:val="TableBodyText"/>
              <w:spacing w:after="20"/>
              <w:ind w:right="108"/>
              <w:jc w:val="left"/>
              <w:rPr>
                <w:rFonts w:ascii="Arial (Body)" w:hAnsi="Arial (Body)"/>
                <w:bCs/>
              </w:rPr>
            </w:pPr>
            <w:r w:rsidRPr="00CB6651">
              <w:rPr>
                <w:rFonts w:ascii="Arial (Body)" w:hAnsi="Arial (Body)"/>
                <w:bCs/>
              </w:rPr>
              <w:t>Return on housing</w:t>
            </w:r>
          </w:p>
        </w:tc>
        <w:tc>
          <w:tcPr>
            <w:tcW w:w="3897" w:type="pct"/>
            <w:tcBorders>
              <w:top w:val="nil"/>
              <w:bottom w:val="nil"/>
            </w:tcBorders>
            <w:shd w:val="clear" w:color="000000" w:fill="auto"/>
          </w:tcPr>
          <w:p w14:paraId="265F9068" w14:textId="1812E115" w:rsidR="006E0ED6" w:rsidRPr="00DE5C5E" w:rsidRDefault="006E0ED6" w:rsidP="001625EC">
            <w:pPr>
              <w:pStyle w:val="TableBodyText"/>
              <w:spacing w:after="20"/>
              <w:ind w:right="108"/>
              <w:jc w:val="left"/>
              <w:rPr>
                <w:rFonts w:ascii="Arial (Body)" w:hAnsi="Arial (Body)"/>
                <w:color w:val="000000"/>
              </w:rPr>
            </w:pPr>
            <w:r w:rsidRPr="00DE5C5E">
              <w:rPr>
                <w:rFonts w:ascii="Arial (Body)" w:hAnsi="Arial (Body)"/>
                <w:color w:val="000000"/>
              </w:rPr>
              <w:t xml:space="preserve">Converging from historic average of 7 per cent to 4 per cent over ten years. Historic average informed by the average of property asset returns over 20 years from Vanguard </w:t>
            </w:r>
            <w:r w:rsidRPr="00DE5C5E">
              <w:rPr>
                <w:rFonts w:ascii="Arial (Body)" w:hAnsi="Arial (Body)"/>
                <w:color w:val="000000"/>
              </w:rPr>
              <w:fldChar w:fldCharType="begin"/>
            </w:r>
            <w:r w:rsidR="0047772E">
              <w:rPr>
                <w:rFonts w:ascii="Arial (Body)" w:hAnsi="Arial (Body)"/>
                <w:color w:val="000000"/>
              </w:rPr>
              <w:instrText xml:space="preserve"> ADDIN ZOTERO_ITEM CSL_CITATION {"citationID":"vTuyWCAY","properties":{"formattedCitation":"(2021)","plainCitation":"(2021)","noteIndex":0},"citationItems":[{"id":3028,"uris":["http://zotero.org/groups/2714158/items/QQZPCJV7"],"uri":["http://zotero.org/groups/2714158/items/QQZPCJV7"],"itemData":{"id":3028,"type":"webpage","title":"Vanguard Asset Class Tool","URL":"https://insights.vanguard.com.au/static/asset-class/app.html","author":[{"literal":"Vanguard"}],"accessed":{"date-parts":[["2021",7,16]]},"issued":{"date-parts":[["2021"]]}},"suppress-author":true}],"schema":"https://github.com/citation-style-language/schema/raw/master/csl-citation.json"} </w:instrText>
            </w:r>
            <w:r w:rsidRPr="00DE5C5E">
              <w:rPr>
                <w:rFonts w:ascii="Arial (Body)" w:hAnsi="Arial (Body)"/>
                <w:color w:val="000000"/>
              </w:rPr>
              <w:fldChar w:fldCharType="separate"/>
            </w:r>
            <w:r w:rsidRPr="00DE5C5E">
              <w:rPr>
                <w:rFonts w:ascii="Arial (Body)" w:hAnsi="Arial (Body)" w:cs="Arial"/>
                <w:color w:val="000000"/>
              </w:rPr>
              <w:t>(2021)</w:t>
            </w:r>
            <w:r w:rsidRPr="00DE5C5E">
              <w:rPr>
                <w:rFonts w:ascii="Arial (Body)" w:hAnsi="Arial (Body)"/>
                <w:color w:val="000000"/>
              </w:rPr>
              <w:fldChar w:fldCharType="end"/>
            </w:r>
            <w:r w:rsidRPr="00DE5C5E">
              <w:rPr>
                <w:rFonts w:ascii="Arial (Body)" w:hAnsi="Arial (Body)"/>
                <w:color w:val="000000"/>
              </w:rPr>
              <w:t xml:space="preserve">, and Reserve Bank of Australia reported average over 30 years to 2015 </w:t>
            </w:r>
            <w:r w:rsidRPr="00DE5C5E">
              <w:rPr>
                <w:rFonts w:ascii="Arial (Body)" w:hAnsi="Arial (Body)"/>
                <w:color w:val="000000"/>
              </w:rPr>
              <w:fldChar w:fldCharType="begin"/>
            </w:r>
            <w:r w:rsidR="0047772E">
              <w:rPr>
                <w:rFonts w:ascii="Arial (Body)" w:hAnsi="Arial (Body)"/>
                <w:color w:val="000000"/>
              </w:rPr>
              <w:instrText xml:space="preserve"> ADDIN ZOTERO_ITEM CSL_CITATION {"citationID":"KFTPEhXk","properties":{"formattedCitation":"(Kohler and van der Merwe\\uc0\\u160{}2015)","plainCitation":"(Kohler and van der Merwe</w:instrText>
            </w:r>
            <w:r w:rsidR="0047772E">
              <w:rPr>
                <w:rFonts w:ascii="Arial (Body)" w:hAnsi="Arial (Body)" w:hint="eastAsia"/>
                <w:color w:val="000000"/>
              </w:rPr>
              <w:instrText> </w:instrText>
            </w:r>
            <w:r w:rsidR="0047772E">
              <w:rPr>
                <w:rFonts w:ascii="Arial (Body)" w:hAnsi="Arial (Body)"/>
                <w:color w:val="000000"/>
              </w:rPr>
              <w:instrText xml:space="preserve">2015)","noteIndex":0},"citationItems":[{"id":3029,"uris":["http://zotero.org/groups/2714158/items/BQ2BMRVJ"],"uri":["http://zotero.org/groups/2714158/items/BQ2BMRVJ"],"itemData":{"id":3029,"type":"report","genre":"Bulletin","note":"https://www.rba.gov.au/publications/bulletin/2015/sep/3.html","number":"September Quarter","publisher":"Reserve Bank of Australia","title":"Long-run Trends in Housing Price Growth","author":[{"family":"Kohler","given":"Marion"},{"family":"Merwe","given":"Michelle","non-dropping-particle":"van der"}],"issued":{"date-parts":[["2015"]]}}}],"schema":"https://github.com/citation-style-language/schema/raw/master/csl-citation.json"} </w:instrText>
            </w:r>
            <w:r w:rsidRPr="00DE5C5E">
              <w:rPr>
                <w:rFonts w:ascii="Arial (Body)" w:hAnsi="Arial (Body)"/>
                <w:color w:val="000000"/>
              </w:rPr>
              <w:fldChar w:fldCharType="separate"/>
            </w:r>
            <w:r w:rsidRPr="00DE5C5E">
              <w:rPr>
                <w:rFonts w:ascii="Arial (Body)" w:hAnsi="Arial (Body)" w:cs="Arial"/>
                <w:color w:val="000000"/>
                <w:szCs w:val="24"/>
              </w:rPr>
              <w:t>(Kohler and van der Merwe 2015)</w:t>
            </w:r>
            <w:r w:rsidRPr="00DE5C5E">
              <w:rPr>
                <w:rFonts w:ascii="Arial (Body)" w:hAnsi="Arial (Body)"/>
                <w:color w:val="000000"/>
              </w:rPr>
              <w:fldChar w:fldCharType="end"/>
            </w:r>
            <w:r w:rsidRPr="00DE5C5E">
              <w:rPr>
                <w:rFonts w:ascii="Arial (Body)" w:hAnsi="Arial (Body)"/>
                <w:color w:val="000000"/>
              </w:rPr>
              <w:t>.</w:t>
            </w:r>
          </w:p>
        </w:tc>
      </w:tr>
      <w:tr w:rsidR="006E0ED6" w:rsidRPr="00DE5C5E" w14:paraId="7990D486" w14:textId="77777777" w:rsidTr="00536218">
        <w:tblPrEx>
          <w:tblCellMar>
            <w:top w:w="28" w:type="dxa"/>
          </w:tblCellMar>
        </w:tblPrEx>
        <w:tc>
          <w:tcPr>
            <w:tcW w:w="1103" w:type="pct"/>
            <w:tcBorders>
              <w:top w:val="nil"/>
              <w:bottom w:val="nil"/>
            </w:tcBorders>
            <w:shd w:val="clear" w:color="000000" w:fill="F1F1F1"/>
          </w:tcPr>
          <w:p w14:paraId="4A9030D7" w14:textId="77777777" w:rsidR="006E0ED6" w:rsidRPr="00CB6651" w:rsidRDefault="006E0ED6" w:rsidP="001625EC">
            <w:pPr>
              <w:pStyle w:val="TableBodyText"/>
              <w:spacing w:after="20"/>
              <w:ind w:right="108"/>
              <w:jc w:val="left"/>
              <w:rPr>
                <w:rFonts w:ascii="Arial (Body)" w:hAnsi="Arial (Body)"/>
                <w:bCs/>
              </w:rPr>
            </w:pPr>
            <w:r w:rsidRPr="00CB6651">
              <w:rPr>
                <w:rFonts w:ascii="Arial (Body)" w:hAnsi="Arial (Body)"/>
                <w:bCs/>
              </w:rPr>
              <w:t>Return on superannuation</w:t>
            </w:r>
          </w:p>
        </w:tc>
        <w:tc>
          <w:tcPr>
            <w:tcW w:w="3897" w:type="pct"/>
            <w:tcBorders>
              <w:top w:val="nil"/>
              <w:bottom w:val="nil"/>
            </w:tcBorders>
            <w:shd w:val="clear" w:color="000000" w:fill="F1F1F1"/>
          </w:tcPr>
          <w:p w14:paraId="18AE80D3" w14:textId="4CB30EA8" w:rsidR="006E0ED6" w:rsidRPr="00DE5C5E" w:rsidRDefault="006E0ED6" w:rsidP="001625EC">
            <w:pPr>
              <w:pStyle w:val="TableBodyText"/>
              <w:spacing w:after="20"/>
              <w:ind w:right="108"/>
              <w:jc w:val="left"/>
              <w:rPr>
                <w:rFonts w:ascii="Arial (Body)" w:hAnsi="Arial (Body)"/>
                <w:color w:val="000000"/>
              </w:rPr>
            </w:pPr>
            <w:r w:rsidRPr="00DE5C5E">
              <w:rPr>
                <w:rFonts w:ascii="Arial (Body)" w:hAnsi="Arial (Body)"/>
                <w:color w:val="000000"/>
              </w:rPr>
              <w:t xml:space="preserve">Converging from initial rates (6.0 per cent for ages under 65, 5.35 per cent for ages 65 and over) to 4 per cent over ten years. Initial rates based on Retirement Income Review assumptions about returns on superannuation </w:t>
            </w:r>
            <w:r w:rsidRPr="00DE5C5E">
              <w:rPr>
                <w:rFonts w:ascii="Arial (Body)" w:hAnsi="Arial (Body)"/>
                <w:color w:val="000000"/>
              </w:rPr>
              <w:fldChar w:fldCharType="begin"/>
            </w:r>
            <w:r w:rsidR="0047772E">
              <w:rPr>
                <w:rFonts w:ascii="Arial (Body)" w:hAnsi="Arial (Body)"/>
                <w:color w:val="000000"/>
              </w:rPr>
              <w:instrText xml:space="preserve"> ADDIN ZOTERO_ITEM CSL_CITATION {"citationID":"QhMiMOnU","properties":{"formattedCitation":"(The Treasury\\uc0\\u160{}2020, pp.\\uc0\\u160{}516\\uc0\\u8211{}517)","plainCitation":"(The Treasury</w:instrText>
            </w:r>
            <w:r w:rsidR="0047772E">
              <w:rPr>
                <w:rFonts w:ascii="Arial (Body)" w:hAnsi="Arial (Body)" w:hint="eastAsia"/>
                <w:color w:val="000000"/>
              </w:rPr>
              <w:instrText> </w:instrText>
            </w:r>
            <w:r w:rsidR="0047772E">
              <w:rPr>
                <w:rFonts w:ascii="Arial (Body)" w:hAnsi="Arial (Body)"/>
                <w:color w:val="000000"/>
              </w:rPr>
              <w:instrText>2020, pp.</w:instrText>
            </w:r>
            <w:r w:rsidR="0047772E">
              <w:rPr>
                <w:rFonts w:ascii="Arial (Body)" w:hAnsi="Arial (Body)" w:hint="eastAsia"/>
                <w:color w:val="000000"/>
              </w:rPr>
              <w:instrText> </w:instrText>
            </w:r>
            <w:r w:rsidR="0047772E">
              <w:rPr>
                <w:rFonts w:ascii="Arial (Body)" w:hAnsi="Arial (Body)"/>
                <w:color w:val="000000"/>
              </w:rPr>
              <w:instrText>516</w:instrText>
            </w:r>
            <w:r w:rsidR="0047772E">
              <w:rPr>
                <w:rFonts w:ascii="Arial (Body)" w:hAnsi="Arial (Body)" w:hint="eastAsia"/>
                <w:color w:val="000000"/>
              </w:rPr>
              <w:instrText>–</w:instrText>
            </w:r>
            <w:r w:rsidR="0047772E">
              <w:rPr>
                <w:rFonts w:ascii="Arial (Body)" w:hAnsi="Arial (Body)"/>
                <w:color w:val="000000"/>
              </w:rPr>
              <w:instrText xml:space="preserve">517)","noteIndex":0},"citationItems":[{"id":1552,"uris":["http://zotero.org/groups/2714158/items/R5Y5AKIH"],"uri":["http://zotero.org/groups/2714158/items/R5Y5AKIH"],"itemData":{"id":1552,"type":"report","event-place":"Canberra","genre":"Final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Treasury","given":""}],"accessed":{"date-parts":[["2021",2,4]]},"issued":{"date-parts":[["2020"]]}},"locator":"516-17"}],"schema":"https://github.com/citation-style-language/schema/raw/master/csl-citation.json"} </w:instrText>
            </w:r>
            <w:r w:rsidRPr="00DE5C5E">
              <w:rPr>
                <w:rFonts w:ascii="Arial (Body)" w:hAnsi="Arial (Body)"/>
                <w:color w:val="000000"/>
              </w:rPr>
              <w:fldChar w:fldCharType="separate"/>
            </w:r>
            <w:r w:rsidRPr="00DE5C5E">
              <w:rPr>
                <w:rFonts w:ascii="Arial (Body)" w:hAnsi="Arial (Body)" w:cs="Arial"/>
                <w:color w:val="000000"/>
                <w:szCs w:val="24"/>
              </w:rPr>
              <w:t>(The Treasury 2020, pp. 516–517)</w:t>
            </w:r>
            <w:r w:rsidRPr="00DE5C5E">
              <w:rPr>
                <w:rFonts w:ascii="Arial (Body)" w:hAnsi="Arial (Body)"/>
                <w:color w:val="000000"/>
              </w:rPr>
              <w:fldChar w:fldCharType="end"/>
            </w:r>
            <w:r w:rsidRPr="00DE5C5E">
              <w:rPr>
                <w:rFonts w:ascii="Arial (Body)" w:hAnsi="Arial (Body)"/>
                <w:color w:val="000000"/>
              </w:rPr>
              <w:t>.</w:t>
            </w:r>
          </w:p>
        </w:tc>
      </w:tr>
      <w:tr w:rsidR="006E0ED6" w:rsidRPr="00DE5C5E" w14:paraId="00EDE47B" w14:textId="77777777" w:rsidTr="00536218">
        <w:tblPrEx>
          <w:tblCellMar>
            <w:top w:w="28" w:type="dxa"/>
          </w:tblCellMar>
        </w:tblPrEx>
        <w:tc>
          <w:tcPr>
            <w:tcW w:w="1103" w:type="pct"/>
            <w:tcBorders>
              <w:top w:val="nil"/>
              <w:bottom w:val="nil"/>
            </w:tcBorders>
            <w:shd w:val="clear" w:color="000000" w:fill="auto"/>
          </w:tcPr>
          <w:p w14:paraId="44360986" w14:textId="77777777" w:rsidR="006E0ED6" w:rsidRPr="00CB6651" w:rsidRDefault="006E0ED6" w:rsidP="001625EC">
            <w:pPr>
              <w:pStyle w:val="TableBodyText"/>
              <w:spacing w:after="20"/>
              <w:ind w:right="108"/>
              <w:jc w:val="left"/>
              <w:rPr>
                <w:rFonts w:ascii="Arial (Body)" w:hAnsi="Arial (Body)"/>
                <w:bCs/>
              </w:rPr>
            </w:pPr>
            <w:r w:rsidRPr="00CB6651">
              <w:rPr>
                <w:rFonts w:ascii="Arial (Body)" w:hAnsi="Arial (Body)"/>
                <w:bCs/>
              </w:rPr>
              <w:t>Return on other assets</w:t>
            </w:r>
          </w:p>
        </w:tc>
        <w:tc>
          <w:tcPr>
            <w:tcW w:w="3897" w:type="pct"/>
            <w:tcBorders>
              <w:top w:val="nil"/>
              <w:bottom w:val="nil"/>
            </w:tcBorders>
            <w:shd w:val="clear" w:color="000000" w:fill="auto"/>
          </w:tcPr>
          <w:p w14:paraId="6818226F" w14:textId="2461DFF4" w:rsidR="006E0ED6" w:rsidRPr="00DE5C5E" w:rsidRDefault="006E0ED6" w:rsidP="001625EC">
            <w:pPr>
              <w:pStyle w:val="TableBodyText"/>
              <w:spacing w:after="20"/>
              <w:ind w:right="108"/>
              <w:jc w:val="left"/>
              <w:rPr>
                <w:rFonts w:ascii="Arial (Body)" w:hAnsi="Arial (Body)"/>
                <w:color w:val="000000"/>
              </w:rPr>
            </w:pPr>
            <w:r w:rsidRPr="00DE5C5E">
              <w:rPr>
                <w:rFonts w:ascii="Arial (Body)" w:hAnsi="Arial (Body)"/>
                <w:color w:val="000000"/>
              </w:rPr>
              <w:t>Converging from historic average (3.3–5.0 per cent depending on age group) to 4</w:t>
            </w:r>
            <w:r w:rsidR="00536218">
              <w:rPr>
                <w:rFonts w:ascii="Arial (Body)" w:hAnsi="Arial (Body)" w:hint="eastAsia"/>
                <w:color w:val="000000"/>
              </w:rPr>
              <w:t> </w:t>
            </w:r>
            <w:r w:rsidRPr="00DE5C5E">
              <w:rPr>
                <w:rFonts w:ascii="Arial (Body)" w:hAnsi="Arial (Body)"/>
                <w:color w:val="000000"/>
              </w:rPr>
              <w:t>per</w:t>
            </w:r>
            <w:r w:rsidR="00536218">
              <w:rPr>
                <w:rFonts w:ascii="Arial (Body)" w:hAnsi="Arial (Body)" w:hint="eastAsia"/>
                <w:color w:val="000000"/>
              </w:rPr>
              <w:t> </w:t>
            </w:r>
            <w:r w:rsidRPr="00DE5C5E">
              <w:rPr>
                <w:rFonts w:ascii="Arial (Body)" w:hAnsi="Arial (Body)"/>
                <w:color w:val="000000"/>
              </w:rPr>
              <w:t>cent over ten years. Assumed historic return on cash assets of about 4 per cent, and equity of about 8 per cent based on 20</w:t>
            </w:r>
            <w:r w:rsidRPr="00DE5C5E">
              <w:rPr>
                <w:rFonts w:ascii="Arial (Body)" w:hAnsi="Arial (Body)"/>
                <w:color w:val="000000"/>
              </w:rPr>
              <w:noBreakHyphen/>
              <w:t xml:space="preserve">year average from Vanguard </w:t>
            </w:r>
            <w:r w:rsidRPr="00DE5C5E">
              <w:rPr>
                <w:rFonts w:ascii="Arial (Body)" w:hAnsi="Arial (Body)"/>
                <w:color w:val="000000"/>
              </w:rPr>
              <w:fldChar w:fldCharType="begin"/>
            </w:r>
            <w:r w:rsidR="0047772E">
              <w:rPr>
                <w:rFonts w:ascii="Arial (Body)" w:hAnsi="Arial (Body)"/>
                <w:color w:val="000000"/>
              </w:rPr>
              <w:instrText xml:space="preserve"> ADDIN ZOTERO_ITEM CSL_CITATION {"citationID":"juq5JeAI","properties":{"formattedCitation":"(2021)","plainCitation":"(2021)","noteIndex":0},"citationItems":[{"id":3028,"uris":["http://zotero.org/groups/2714158/items/QQZPCJV7"],"uri":["http://zotero.org/groups/2714158/items/QQZPCJV7"],"itemData":{"id":3028,"type":"webpage","title":"Vanguard Asset Class Tool","URL":"https://insights.vanguard.com.au/static/asset-class/app.html","author":[{"literal":"Vanguard"}],"accessed":{"date-parts":[["2021",7,16]]},"issued":{"date-parts":[["2021"]]}},"suppress-author":true}],"schema":"https://github.com/citation-style-language/schema/raw/master/csl-citation.json"} </w:instrText>
            </w:r>
            <w:r w:rsidRPr="00DE5C5E">
              <w:rPr>
                <w:rFonts w:ascii="Arial (Body)" w:hAnsi="Arial (Body)"/>
                <w:color w:val="000000"/>
              </w:rPr>
              <w:fldChar w:fldCharType="separate"/>
            </w:r>
            <w:r w:rsidRPr="00DE5C5E">
              <w:rPr>
                <w:rFonts w:ascii="Arial (Body)" w:hAnsi="Arial (Body)" w:cs="Arial"/>
                <w:color w:val="000000"/>
              </w:rPr>
              <w:t>(2021)</w:t>
            </w:r>
            <w:r w:rsidRPr="00DE5C5E">
              <w:rPr>
                <w:rFonts w:ascii="Arial (Body)" w:hAnsi="Arial (Body)"/>
                <w:color w:val="000000"/>
              </w:rPr>
              <w:fldChar w:fldCharType="end"/>
            </w:r>
            <w:r w:rsidRPr="00DE5C5E">
              <w:rPr>
                <w:rFonts w:ascii="Arial (Body)" w:hAnsi="Arial (Body)"/>
                <w:color w:val="000000"/>
              </w:rPr>
              <w:t>. Rate of return on additional assets (such as vehicles, collectibles) assumed to be about 2 per</w:t>
            </w:r>
            <w:r w:rsidR="00536218">
              <w:rPr>
                <w:rFonts w:ascii="Arial (Body)" w:hAnsi="Arial (Body)" w:hint="eastAsia"/>
                <w:color w:val="000000"/>
              </w:rPr>
              <w:t> </w:t>
            </w:r>
            <w:r w:rsidRPr="00DE5C5E">
              <w:rPr>
                <w:rFonts w:ascii="Arial (Body)" w:hAnsi="Arial (Body)"/>
                <w:color w:val="000000"/>
              </w:rPr>
              <w:t>cent (half of cash assets). Converted to age</w:t>
            </w:r>
            <w:r w:rsidRPr="00DE5C5E">
              <w:rPr>
                <w:rFonts w:ascii="Arial (Body)" w:hAnsi="Arial (Body)"/>
                <w:color w:val="000000"/>
              </w:rPr>
              <w:noBreakHyphen/>
              <w:t>dependent rates of return based on HILDA data on the composition of ‘other assets’ by age group.</w:t>
            </w:r>
          </w:p>
        </w:tc>
      </w:tr>
      <w:tr w:rsidR="006E0ED6" w:rsidRPr="00CB6651" w14:paraId="098DB6F9" w14:textId="77777777" w:rsidTr="001625EC">
        <w:tblPrEx>
          <w:tblCellMar>
            <w:top w:w="28" w:type="dxa"/>
          </w:tblCellMar>
        </w:tblPrEx>
        <w:tc>
          <w:tcPr>
            <w:tcW w:w="5000" w:type="pct"/>
            <w:gridSpan w:val="2"/>
            <w:tcBorders>
              <w:top w:val="nil"/>
              <w:bottom w:val="nil"/>
            </w:tcBorders>
            <w:shd w:val="clear" w:color="auto" w:fill="auto"/>
          </w:tcPr>
          <w:p w14:paraId="4162E23B" w14:textId="77777777" w:rsidR="006E0ED6" w:rsidRPr="00DE5C5E" w:rsidRDefault="006E0ED6" w:rsidP="001625EC">
            <w:pPr>
              <w:pStyle w:val="BodyText"/>
              <w:spacing w:before="45" w:after="45"/>
              <w:ind w:left="57" w:right="108"/>
              <w:rPr>
                <w:rFonts w:ascii="Arial (Body)" w:hAnsi="Arial (Body)"/>
                <w:b/>
                <w:color w:val="265A9A"/>
                <w:sz w:val="18"/>
              </w:rPr>
            </w:pPr>
            <w:r w:rsidRPr="00CB6651">
              <w:rPr>
                <w:rFonts w:ascii="Arial (Body)" w:hAnsi="Arial (Body)"/>
                <w:b/>
                <w:color w:val="265A9A"/>
                <w:sz w:val="18"/>
              </w:rPr>
              <w:t>Saving and drawdowns</w:t>
            </w:r>
          </w:p>
        </w:tc>
      </w:tr>
      <w:tr w:rsidR="006E0ED6" w:rsidRPr="00DE5C5E" w14:paraId="571B3D9E" w14:textId="77777777" w:rsidTr="00536218">
        <w:tblPrEx>
          <w:tblCellMar>
            <w:top w:w="28" w:type="dxa"/>
          </w:tblCellMar>
        </w:tblPrEx>
        <w:tc>
          <w:tcPr>
            <w:tcW w:w="1103" w:type="pct"/>
            <w:tcBorders>
              <w:top w:val="nil"/>
              <w:bottom w:val="nil"/>
            </w:tcBorders>
            <w:shd w:val="clear" w:color="auto" w:fill="F2F2F2" w:themeFill="background1" w:themeFillShade="F2"/>
          </w:tcPr>
          <w:p w14:paraId="1CB11C9E" w14:textId="77777777" w:rsidR="006E0ED6" w:rsidRPr="00CB6651" w:rsidRDefault="006E0ED6" w:rsidP="001625EC">
            <w:pPr>
              <w:pStyle w:val="TableBodyText"/>
              <w:spacing w:after="200"/>
              <w:ind w:right="108"/>
              <w:jc w:val="left"/>
              <w:rPr>
                <w:rFonts w:ascii="Arial (Body)" w:hAnsi="Arial (Body)"/>
                <w:bCs/>
              </w:rPr>
            </w:pPr>
            <w:r w:rsidRPr="00CB6651">
              <w:rPr>
                <w:rFonts w:ascii="Arial (Body)" w:hAnsi="Arial (Body)"/>
                <w:bCs/>
              </w:rPr>
              <w:t>Housing</w:t>
            </w:r>
          </w:p>
        </w:tc>
        <w:tc>
          <w:tcPr>
            <w:tcW w:w="3897" w:type="pct"/>
            <w:tcBorders>
              <w:top w:val="nil"/>
              <w:bottom w:val="nil"/>
            </w:tcBorders>
            <w:shd w:val="clear" w:color="auto" w:fill="F2F2F2" w:themeFill="background1" w:themeFillShade="F2"/>
          </w:tcPr>
          <w:p w14:paraId="51A388AD" w14:textId="77777777" w:rsidR="006E0ED6" w:rsidRPr="00DE5C5E" w:rsidRDefault="006E0ED6" w:rsidP="001625EC">
            <w:pPr>
              <w:pStyle w:val="TableBodyText"/>
              <w:spacing w:after="0"/>
              <w:ind w:right="108"/>
              <w:jc w:val="left"/>
              <w:rPr>
                <w:rFonts w:ascii="Arial (Body)" w:hAnsi="Arial (Body)"/>
                <w:color w:val="000000"/>
              </w:rPr>
            </w:pPr>
            <w:r w:rsidRPr="00DE5C5E">
              <w:rPr>
                <w:rFonts w:ascii="Arial (Body)" w:hAnsi="Arial (Body)"/>
                <w:color w:val="000000"/>
              </w:rPr>
              <w:t>HILDA used to estimate:</w:t>
            </w:r>
          </w:p>
          <w:p w14:paraId="09BF464B" w14:textId="77777777" w:rsidR="006E0ED6" w:rsidRPr="008713CE" w:rsidRDefault="006E0ED6" w:rsidP="00D208A3">
            <w:pPr>
              <w:pStyle w:val="TableBullet"/>
              <w:spacing w:after="200"/>
            </w:pPr>
            <w:r w:rsidRPr="008713CE">
              <w:t xml:space="preserve">individual value of housing assets on purchase of first home. This is assumed to grow with income growth over time </w:t>
            </w:r>
          </w:p>
          <w:p w14:paraId="09F85EE0" w14:textId="77777777" w:rsidR="006E0ED6" w:rsidRPr="008713CE" w:rsidRDefault="006E0ED6" w:rsidP="00D208A3">
            <w:pPr>
              <w:pStyle w:val="TableBullet"/>
              <w:spacing w:after="200"/>
            </w:pPr>
            <w:r w:rsidRPr="008713CE">
              <w:t>ratio of housing debt to assets after first home purchases</w:t>
            </w:r>
          </w:p>
          <w:p w14:paraId="185C709F" w14:textId="77777777" w:rsidR="006E0ED6" w:rsidRPr="008713CE" w:rsidRDefault="006E0ED6" w:rsidP="00D208A3">
            <w:pPr>
              <w:pStyle w:val="TableBullet"/>
              <w:spacing w:after="200"/>
            </w:pPr>
            <w:r w:rsidRPr="008713CE">
              <w:t>rate of housing debt reduction as a percentage of existing housing debt</w:t>
            </w:r>
          </w:p>
          <w:p w14:paraId="2D5954E9" w14:textId="77777777" w:rsidR="006E0ED6" w:rsidRPr="00DE5C5E" w:rsidRDefault="006E0ED6" w:rsidP="00D208A3">
            <w:pPr>
              <w:pStyle w:val="TableBullet"/>
              <w:spacing w:after="20"/>
            </w:pPr>
            <w:r w:rsidRPr="008713CE">
              <w:t>changes in individual housing wealth via additional home purchases or sales.</w:t>
            </w:r>
          </w:p>
        </w:tc>
      </w:tr>
      <w:tr w:rsidR="006E0ED6" w:rsidRPr="00DE5C5E" w14:paraId="0A5118A0" w14:textId="77777777" w:rsidTr="00536218">
        <w:tblPrEx>
          <w:tblCellMar>
            <w:top w:w="28" w:type="dxa"/>
          </w:tblCellMar>
        </w:tblPrEx>
        <w:tc>
          <w:tcPr>
            <w:tcW w:w="1103" w:type="pct"/>
            <w:tcBorders>
              <w:top w:val="nil"/>
              <w:bottom w:val="nil"/>
            </w:tcBorders>
            <w:shd w:val="clear" w:color="auto" w:fill="auto"/>
          </w:tcPr>
          <w:p w14:paraId="4B17C178" w14:textId="77777777" w:rsidR="006E0ED6" w:rsidRPr="00CB6651" w:rsidRDefault="006E0ED6" w:rsidP="001625EC">
            <w:pPr>
              <w:pStyle w:val="TableBodyText"/>
              <w:ind w:right="108"/>
              <w:jc w:val="left"/>
              <w:rPr>
                <w:rFonts w:ascii="Arial (Body)" w:hAnsi="Arial (Body)"/>
                <w:bCs/>
              </w:rPr>
            </w:pPr>
            <w:r w:rsidRPr="00CB6651">
              <w:rPr>
                <w:rFonts w:ascii="Arial (Body)" w:hAnsi="Arial (Body)"/>
                <w:bCs/>
              </w:rPr>
              <w:t>Superannuation</w:t>
            </w:r>
          </w:p>
        </w:tc>
        <w:tc>
          <w:tcPr>
            <w:tcW w:w="3897" w:type="pct"/>
            <w:tcBorders>
              <w:top w:val="nil"/>
              <w:bottom w:val="nil"/>
            </w:tcBorders>
            <w:shd w:val="clear" w:color="auto" w:fill="auto"/>
          </w:tcPr>
          <w:p w14:paraId="69660816" w14:textId="138719F7" w:rsidR="006E0ED6" w:rsidRPr="00DE5C5E" w:rsidRDefault="006E0ED6" w:rsidP="001625EC">
            <w:pPr>
              <w:pStyle w:val="TableBodyText"/>
              <w:ind w:right="108"/>
              <w:jc w:val="left"/>
              <w:rPr>
                <w:rFonts w:ascii="Arial (Body)" w:hAnsi="Arial (Body)"/>
                <w:color w:val="000000"/>
              </w:rPr>
            </w:pPr>
            <w:r w:rsidRPr="00DE5C5E">
              <w:rPr>
                <w:rFonts w:ascii="Arial (Body)" w:hAnsi="Arial (Body)"/>
                <w:color w:val="000000"/>
              </w:rPr>
              <w:t>Superannuation contributions projected by applying superannuation guarantee rates to projected wage income, including planned increase to 12 per cent by 2026, and 15 per</w:t>
            </w:r>
            <w:r w:rsidR="00536218">
              <w:rPr>
                <w:rFonts w:ascii="Arial (Body)" w:hAnsi="Arial (Body)" w:hint="eastAsia"/>
                <w:color w:val="000000"/>
              </w:rPr>
              <w:t> </w:t>
            </w:r>
            <w:r w:rsidRPr="00DE5C5E">
              <w:rPr>
                <w:rFonts w:ascii="Arial (Body)" w:hAnsi="Arial (Body)"/>
                <w:color w:val="000000"/>
              </w:rPr>
              <w:t>cent contributions tax. Balances drawn down according to legislated minimum rates.</w:t>
            </w:r>
          </w:p>
        </w:tc>
      </w:tr>
      <w:tr w:rsidR="006E0ED6" w:rsidRPr="00DE5C5E" w14:paraId="1A0D05F6" w14:textId="77777777" w:rsidTr="00536218">
        <w:tblPrEx>
          <w:tblCellMar>
            <w:top w:w="28" w:type="dxa"/>
          </w:tblCellMar>
        </w:tblPrEx>
        <w:tc>
          <w:tcPr>
            <w:tcW w:w="1103" w:type="pct"/>
            <w:tcBorders>
              <w:top w:val="nil"/>
              <w:bottom w:val="nil"/>
            </w:tcBorders>
            <w:shd w:val="clear" w:color="auto" w:fill="F2F2F2"/>
          </w:tcPr>
          <w:p w14:paraId="642A636D" w14:textId="77777777" w:rsidR="006E0ED6" w:rsidRPr="00CB6651" w:rsidRDefault="006E0ED6" w:rsidP="001625EC">
            <w:pPr>
              <w:pStyle w:val="TableBodyText"/>
              <w:ind w:right="108"/>
              <w:jc w:val="left"/>
              <w:rPr>
                <w:rFonts w:ascii="Arial (Body)" w:hAnsi="Arial (Body)"/>
                <w:bCs/>
              </w:rPr>
            </w:pPr>
            <w:r w:rsidRPr="00CB6651">
              <w:rPr>
                <w:rFonts w:ascii="Arial (Body)" w:hAnsi="Arial (Body)"/>
                <w:bCs/>
              </w:rPr>
              <w:t>Other assets</w:t>
            </w:r>
          </w:p>
        </w:tc>
        <w:tc>
          <w:tcPr>
            <w:tcW w:w="3897" w:type="pct"/>
            <w:tcBorders>
              <w:top w:val="nil"/>
              <w:bottom w:val="nil"/>
            </w:tcBorders>
            <w:shd w:val="clear" w:color="auto" w:fill="F2F2F2"/>
          </w:tcPr>
          <w:p w14:paraId="49353A5E" w14:textId="28EDB59A" w:rsidR="006E0ED6" w:rsidRPr="00DE5C5E" w:rsidRDefault="006E0ED6" w:rsidP="001625EC">
            <w:pPr>
              <w:pStyle w:val="TableBodyText"/>
              <w:ind w:right="108"/>
              <w:jc w:val="left"/>
              <w:rPr>
                <w:rFonts w:ascii="Arial (Body)" w:hAnsi="Arial (Body)"/>
                <w:color w:val="000000"/>
              </w:rPr>
            </w:pPr>
            <w:r w:rsidRPr="00DE5C5E">
              <w:rPr>
                <w:rFonts w:ascii="Arial (Body)" w:hAnsi="Arial (Body)"/>
                <w:color w:val="000000"/>
              </w:rPr>
              <w:t xml:space="preserve">Saving based on estimated shares of income not used in consumption, according to Household Expenditure Survey data </w:t>
            </w:r>
            <w:r w:rsidRPr="00DE5C5E">
              <w:rPr>
                <w:rFonts w:ascii="Arial (Body)" w:hAnsi="Arial (Body)"/>
                <w:color w:val="000000"/>
              </w:rPr>
              <w:fldChar w:fldCharType="begin"/>
            </w:r>
            <w:r w:rsidR="0047772E">
              <w:rPr>
                <w:rFonts w:ascii="Arial (Body)" w:hAnsi="Arial (Body)"/>
                <w:color w:val="000000"/>
              </w:rPr>
              <w:instrText xml:space="preserve"> ADDIN ZOTERO_ITEM CSL_CITATION {"citationID":"sgj1IUQ8","properties":{"formattedCitation":"(ABS\\uc0\\u160{}2017a)","plainCitation":"(ABS</w:instrText>
            </w:r>
            <w:r w:rsidR="0047772E">
              <w:rPr>
                <w:rFonts w:ascii="Arial (Body)" w:hAnsi="Arial (Body)" w:hint="eastAsia"/>
                <w:color w:val="000000"/>
              </w:rPr>
              <w:instrText> </w:instrText>
            </w:r>
            <w:r w:rsidR="0047772E">
              <w:rPr>
                <w:rFonts w:ascii="Arial (Body)" w:hAnsi="Arial (Body)"/>
                <w:color w:val="000000"/>
              </w:rPr>
              <w:instrText xml:space="preserve">2017a)","noteIndex":0},"citationItems":[{"id":3010,"uris":["http://zotero.org/groups/2714158/items/JL4G5XWD"],"uri":["http://zotero.org/groups/2714158/items/JL4G5XWD"],"itemData":{"id":3010,"type":"webpage","abstract":"This is a summary from publication Data Items which contains key figures, key points and notes from the publication.","language":"en","title":"6540.0 - Microdata: Household Expenditure, Income and Housing, 2015-16","URL":"https://www.abs.gov.au/ausstats/abs@.nsf/Latestproducts/6540.0Main%20Features42015-16?opendocument&amp;tabname=Summary&amp;prodno=6540.0&amp;issue=2015-16&amp;num=&amp;view=","author":[{"literal":"Australian Bureau of Statistics"}],"translator":[{"literal":"ABS"}],"accessed":{"date-parts":[["2021",7,30]]},"issued":{"date-parts":[["2017"]]}}}],"schema":"https://github.com/citation-style-language/schema/raw/master/csl-citation.json"} </w:instrText>
            </w:r>
            <w:r w:rsidRPr="00DE5C5E">
              <w:rPr>
                <w:rFonts w:ascii="Arial (Body)" w:hAnsi="Arial (Body)"/>
                <w:color w:val="000000"/>
              </w:rPr>
              <w:fldChar w:fldCharType="separate"/>
            </w:r>
            <w:r w:rsidR="007A60F8" w:rsidRPr="007A60F8">
              <w:rPr>
                <w:rFonts w:ascii="Arial (Body)" w:hAnsi="Arial (Body)"/>
                <w:szCs w:val="24"/>
              </w:rPr>
              <w:t>(ABS 2017a)</w:t>
            </w:r>
            <w:r w:rsidRPr="00DE5C5E">
              <w:rPr>
                <w:rFonts w:ascii="Arial (Body)" w:hAnsi="Arial (Body)"/>
                <w:color w:val="000000"/>
              </w:rPr>
              <w:fldChar w:fldCharType="end"/>
            </w:r>
            <w:r w:rsidRPr="00DE5C5E">
              <w:rPr>
                <w:rFonts w:ascii="Arial (Body)" w:hAnsi="Arial (Body)"/>
                <w:color w:val="000000"/>
              </w:rPr>
              <w:t>. Inheritances and inter vivos gifts assumed to be saved in other assets at the same saving rate. Drawdown rates estimated using HILDA wealth data and assumed rates of return and saving.</w:t>
            </w:r>
          </w:p>
        </w:tc>
      </w:tr>
      <w:tr w:rsidR="006E0ED6" w:rsidRPr="00CB6651" w14:paraId="25D9D1BA" w14:textId="77777777" w:rsidTr="001625EC">
        <w:tblPrEx>
          <w:tblCellMar>
            <w:top w:w="28" w:type="dxa"/>
          </w:tblCellMar>
        </w:tblPrEx>
        <w:tc>
          <w:tcPr>
            <w:tcW w:w="5000" w:type="pct"/>
            <w:gridSpan w:val="2"/>
            <w:tcBorders>
              <w:top w:val="nil"/>
              <w:bottom w:val="nil"/>
            </w:tcBorders>
            <w:shd w:val="clear" w:color="auto" w:fill="auto"/>
          </w:tcPr>
          <w:p w14:paraId="00AA71BB" w14:textId="77777777" w:rsidR="006E0ED6" w:rsidRPr="00DE5C5E" w:rsidRDefault="006E0ED6" w:rsidP="001625EC">
            <w:pPr>
              <w:pStyle w:val="BodyText"/>
              <w:spacing w:before="45" w:after="45"/>
              <w:ind w:left="57" w:right="108"/>
              <w:rPr>
                <w:rFonts w:ascii="Arial (Body)" w:hAnsi="Arial (Body)"/>
                <w:b/>
                <w:color w:val="265A9A"/>
                <w:sz w:val="18"/>
              </w:rPr>
            </w:pPr>
            <w:r w:rsidRPr="00CB6651">
              <w:rPr>
                <w:rFonts w:ascii="Arial (Body)" w:hAnsi="Arial (Body)"/>
                <w:b/>
                <w:color w:val="265A9A"/>
                <w:sz w:val="18"/>
              </w:rPr>
              <w:t>Wealth transfers between generations</w:t>
            </w:r>
          </w:p>
        </w:tc>
      </w:tr>
      <w:tr w:rsidR="006E0ED6" w:rsidRPr="00DE5C5E" w14:paraId="1EB7AE6B" w14:textId="77777777" w:rsidTr="00536218">
        <w:tblPrEx>
          <w:tblCellMar>
            <w:top w:w="28" w:type="dxa"/>
          </w:tblCellMar>
        </w:tblPrEx>
        <w:tc>
          <w:tcPr>
            <w:tcW w:w="1103" w:type="pct"/>
            <w:tcBorders>
              <w:top w:val="nil"/>
              <w:bottom w:val="nil"/>
            </w:tcBorders>
            <w:shd w:val="clear" w:color="auto" w:fill="F2F2F2" w:themeFill="background1" w:themeFillShade="F2"/>
          </w:tcPr>
          <w:p w14:paraId="304F884A" w14:textId="77777777" w:rsidR="006E0ED6" w:rsidRPr="003A26CE" w:rsidRDefault="006E0ED6" w:rsidP="001625EC">
            <w:pPr>
              <w:pStyle w:val="TableBodyText"/>
              <w:jc w:val="left"/>
            </w:pPr>
            <w:r w:rsidRPr="003A26CE">
              <w:t>Inheritances</w:t>
            </w:r>
          </w:p>
        </w:tc>
        <w:tc>
          <w:tcPr>
            <w:tcW w:w="3897" w:type="pct"/>
            <w:tcBorders>
              <w:top w:val="nil"/>
              <w:bottom w:val="nil"/>
            </w:tcBorders>
            <w:shd w:val="clear" w:color="auto" w:fill="F2F2F2" w:themeFill="background1" w:themeFillShade="F2"/>
          </w:tcPr>
          <w:p w14:paraId="762C5B4E" w14:textId="09EB6CE1" w:rsidR="006E0ED6" w:rsidRPr="003A26CE" w:rsidRDefault="006E0ED6" w:rsidP="001625EC">
            <w:pPr>
              <w:pStyle w:val="TableBodyText"/>
              <w:jc w:val="left"/>
            </w:pPr>
            <w:r w:rsidRPr="003A26CE">
              <w:t xml:space="preserve">‘Pools’ of intergenerational inheritances by age group are formed from wealth at death for single people using data on marriage status at death </w:t>
            </w:r>
            <w:r w:rsidRPr="003A26CE">
              <w:fldChar w:fldCharType="begin"/>
            </w:r>
            <w:r w:rsidR="0047772E">
              <w:instrText xml:space="preserve"> ADDIN ZOTERO_ITEM CSL_CITATION {"citationID":"DCRrXPfX","properties":{"formattedCitation":"(ABS\\uc0\\u160{}2020d)","plainCitation":"(ABS 2020d)","noteIndex":0},"citationItems":[{"id":2988,"uris":["http://zotero.org/groups/2714158/items/6HJQPLAK"],"uri":["http://zotero.org/groups/2714158/items/6HJQPLAK"],"itemData":{"id":2988,"type":"webpage","container-title":"ABS.Stat","title":"Deaths, Year of Registration, Marital Status, Age at Death, Sex, Australia","URL":"https://stat.data.abs.gov.au/Index.aspx?DataSetCode=DEATHS_MARITAL_STATUS","author":[{"literal":"Australian Bureau of Statistics"}],"translator":[{"literal":"ABS"}],"accessed":{"date-parts":[["2021",8,5]]},"issued":{"date-parts":[["2020"]]}}}],"schema":"https://github.com/citation-style-language/schema/raw/master/csl-citation.json"} </w:instrText>
            </w:r>
            <w:r w:rsidRPr="003A26CE">
              <w:fldChar w:fldCharType="separate"/>
            </w:r>
            <w:r w:rsidR="00816542" w:rsidRPr="00816542">
              <w:rPr>
                <w:rFonts w:cs="Arial"/>
                <w:szCs w:val="24"/>
              </w:rPr>
              <w:t>(ABS 2020d)</w:t>
            </w:r>
            <w:r w:rsidRPr="003A26CE">
              <w:fldChar w:fldCharType="end"/>
            </w:r>
            <w:r w:rsidRPr="003A26CE">
              <w:t>, with 2 per cent assumed to go to charity. Cohorts that had not yet received an inheritance receive a share of the pools based on the ages of parents who have died and the cohort’s wealth ranking within their age group, informed by HILDA.</w:t>
            </w:r>
          </w:p>
        </w:tc>
      </w:tr>
      <w:tr w:rsidR="006E0ED6" w:rsidRPr="00DE5C5E" w14:paraId="47F1D1CD" w14:textId="77777777" w:rsidTr="00536218">
        <w:tblPrEx>
          <w:tblCellMar>
            <w:top w:w="28" w:type="dxa"/>
          </w:tblCellMar>
        </w:tblPrEx>
        <w:tc>
          <w:tcPr>
            <w:tcW w:w="1103" w:type="pct"/>
            <w:tcBorders>
              <w:top w:val="nil"/>
            </w:tcBorders>
            <w:shd w:val="clear" w:color="auto" w:fill="auto"/>
          </w:tcPr>
          <w:p w14:paraId="07AB1079" w14:textId="77777777" w:rsidR="006E0ED6" w:rsidRPr="003A26CE" w:rsidRDefault="006E0ED6" w:rsidP="001625EC">
            <w:pPr>
              <w:pStyle w:val="TableBodyText"/>
              <w:jc w:val="left"/>
            </w:pPr>
            <w:r w:rsidRPr="003A26CE">
              <w:t>Inter vivos gifts</w:t>
            </w:r>
          </w:p>
        </w:tc>
        <w:tc>
          <w:tcPr>
            <w:tcW w:w="3897" w:type="pct"/>
            <w:tcBorders>
              <w:top w:val="nil"/>
            </w:tcBorders>
            <w:shd w:val="clear" w:color="auto" w:fill="auto"/>
          </w:tcPr>
          <w:p w14:paraId="48A39E04" w14:textId="77777777" w:rsidR="006E0ED6" w:rsidRPr="003A26CE" w:rsidRDefault="006E0ED6" w:rsidP="001625EC">
            <w:pPr>
              <w:pStyle w:val="TableBodyText"/>
              <w:jc w:val="left"/>
            </w:pPr>
            <w:r w:rsidRPr="003A26CE">
              <w:t>Estimated size of gifts given as a ratio of ‘other assets’ using HILDA. Younger cohorts receive a share of the gift ‘pools’ based on the ages of their living parents.</w:t>
            </w:r>
          </w:p>
        </w:tc>
      </w:tr>
    </w:tbl>
    <w:p w14:paraId="230A70DA" w14:textId="77777777" w:rsidR="006E0ED6" w:rsidRDefault="006E0ED6" w:rsidP="006E0ED6">
      <w:pPr>
        <w:pStyle w:val="BodyText"/>
      </w:pPr>
    </w:p>
    <w:p w14:paraId="62982AB1" w14:textId="77777777" w:rsidR="006E0ED6" w:rsidRDefault="006E0ED6" w:rsidP="006E0ED6">
      <w:pPr>
        <w:pStyle w:val="Heading3"/>
      </w:pPr>
      <w:r>
        <w:lastRenderedPageBreak/>
        <w:t>Generations and age groups in the model</w:t>
      </w:r>
    </w:p>
    <w:p w14:paraId="02AABDCB" w14:textId="77777777" w:rsidR="006E0ED6" w:rsidRDefault="006E0ED6" w:rsidP="006E0ED6">
      <w:pPr>
        <w:pStyle w:val="BodyText"/>
      </w:pPr>
      <w:r>
        <w:t>Assumptions about the ages of generations of the population have been made to align with the five</w:t>
      </w:r>
      <w:r>
        <w:noBreakHyphen/>
        <w:t>year age groups in the model (table 3.2). During the 32</w:t>
      </w:r>
      <w:r>
        <w:noBreakHyphen/>
        <w:t>year projection period, pre</w:t>
      </w:r>
      <w:r>
        <w:noBreakHyphen/>
        <w:t>boomers and most baby boomers reach the end of their lives, with generation X beginning to reach old age as well. These definitions of generations have been used throughout the results presented in this chapter.</w:t>
      </w:r>
    </w:p>
    <w:p w14:paraId="6B3FC107" w14:textId="0C6C60CD" w:rsidR="006E0ED6" w:rsidRDefault="006E0ED6" w:rsidP="006E0ED6">
      <w:pPr>
        <w:pStyle w:val="FigureTableHeading"/>
        <w:spacing w:after="120"/>
      </w:pPr>
      <w:r>
        <w:t xml:space="preserve">Table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Table \* ARABIC \s 1 </w:instrText>
      </w:r>
      <w:r w:rsidR="00B2270C">
        <w:fldChar w:fldCharType="separate"/>
      </w:r>
      <w:r w:rsidR="00F3386D">
        <w:rPr>
          <w:noProof/>
        </w:rPr>
        <w:t>2</w:t>
      </w:r>
      <w:r w:rsidR="00B2270C">
        <w:rPr>
          <w:noProof/>
        </w:rPr>
        <w:fldChar w:fldCharType="end"/>
      </w:r>
      <w:r>
        <w:rPr>
          <w:noProof/>
        </w:rPr>
        <w:t xml:space="preserve"> – </w:t>
      </w:r>
      <w:r w:rsidRPr="009543ED">
        <w:t>Generations in the dynamic cohort simulation model</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6E0ED6" w:rsidRPr="00CB7325" w14:paraId="5FA79535" w14:textId="77777777" w:rsidTr="001625EC">
        <w:trPr>
          <w:tblHeader/>
        </w:trPr>
        <w:tc>
          <w:tcPr>
            <w:tcW w:w="1250" w:type="pct"/>
            <w:tcBorders>
              <w:bottom w:val="single" w:sz="4" w:space="0" w:color="B3B3B3"/>
            </w:tcBorders>
            <w:shd w:val="clear" w:color="000000" w:fill="auto"/>
            <w:tcMar>
              <w:top w:w="28" w:type="dxa"/>
            </w:tcMar>
          </w:tcPr>
          <w:p w14:paraId="07DD10CD" w14:textId="77777777" w:rsidR="006E0ED6" w:rsidRPr="00CB7325" w:rsidRDefault="006E0ED6" w:rsidP="001625EC">
            <w:pPr>
              <w:pStyle w:val="TableColumnHeading"/>
              <w:spacing w:before="45" w:after="45"/>
              <w:ind w:right="108"/>
              <w:jc w:val="left"/>
              <w:rPr>
                <w:rFonts w:ascii="Arial (Body)" w:hAnsi="Arial (Body)"/>
                <w:b/>
                <w:i w:val="0"/>
                <w:color w:val="265A9A"/>
              </w:rPr>
            </w:pPr>
            <w:r w:rsidRPr="00CB7325">
              <w:rPr>
                <w:rFonts w:ascii="Arial (Body)" w:hAnsi="Arial (Body)"/>
                <w:b/>
                <w:i w:val="0"/>
                <w:color w:val="265A9A"/>
              </w:rPr>
              <w:t>Generation name</w:t>
            </w:r>
          </w:p>
        </w:tc>
        <w:tc>
          <w:tcPr>
            <w:tcW w:w="1250" w:type="pct"/>
            <w:tcBorders>
              <w:bottom w:val="single" w:sz="4" w:space="0" w:color="B3B3B3"/>
            </w:tcBorders>
            <w:shd w:val="clear" w:color="000000" w:fill="auto"/>
          </w:tcPr>
          <w:p w14:paraId="46DA3834" w14:textId="77777777" w:rsidR="006E0ED6" w:rsidRPr="00CB7325" w:rsidRDefault="006E0ED6" w:rsidP="001625EC">
            <w:pPr>
              <w:pStyle w:val="TableColumnHeading"/>
              <w:spacing w:before="45" w:after="45"/>
              <w:ind w:right="108"/>
              <w:rPr>
                <w:rFonts w:ascii="Arial (Body)" w:hAnsi="Arial (Body)"/>
                <w:b/>
                <w:i w:val="0"/>
                <w:color w:val="265A9A"/>
              </w:rPr>
            </w:pPr>
            <w:r w:rsidRPr="00CB7325">
              <w:rPr>
                <w:rFonts w:ascii="Arial (Body)" w:hAnsi="Arial (Body)"/>
                <w:b/>
                <w:i w:val="0"/>
                <w:color w:val="265A9A"/>
              </w:rPr>
              <w:t>Years of birth</w:t>
            </w:r>
            <w:r w:rsidRPr="00DE39C9">
              <w:rPr>
                <w:rFonts w:ascii="Arial (Body)" w:hAnsi="Arial (Body)"/>
                <w:b/>
                <w:i w:val="0"/>
                <w:color w:val="265A9A"/>
                <w:vertAlign w:val="superscript"/>
              </w:rPr>
              <w:t>a</w:t>
            </w:r>
          </w:p>
        </w:tc>
        <w:tc>
          <w:tcPr>
            <w:tcW w:w="1250" w:type="pct"/>
            <w:tcBorders>
              <w:bottom w:val="single" w:sz="4" w:space="0" w:color="B3B3B3"/>
            </w:tcBorders>
            <w:shd w:val="clear" w:color="000000" w:fill="auto"/>
            <w:tcMar>
              <w:top w:w="28" w:type="dxa"/>
            </w:tcMar>
          </w:tcPr>
          <w:p w14:paraId="3CAAF16A" w14:textId="77777777" w:rsidR="006E0ED6" w:rsidRPr="00CB7325" w:rsidRDefault="006E0ED6" w:rsidP="001625EC">
            <w:pPr>
              <w:pStyle w:val="TableColumnHeading"/>
              <w:spacing w:before="45" w:after="45"/>
              <w:ind w:right="108"/>
              <w:rPr>
                <w:rFonts w:ascii="Arial (Body)" w:hAnsi="Arial (Body)"/>
                <w:b/>
                <w:i w:val="0"/>
                <w:color w:val="265A9A"/>
              </w:rPr>
            </w:pPr>
            <w:r w:rsidRPr="00CB7325">
              <w:rPr>
                <w:rFonts w:ascii="Arial (Body)" w:hAnsi="Arial (Body)"/>
                <w:b/>
                <w:i w:val="0"/>
                <w:color w:val="265A9A"/>
              </w:rPr>
              <w:t>Actual ages in 2018</w:t>
            </w:r>
          </w:p>
        </w:tc>
        <w:tc>
          <w:tcPr>
            <w:tcW w:w="1250" w:type="pct"/>
            <w:tcBorders>
              <w:bottom w:val="single" w:sz="4" w:space="0" w:color="B3B3B3"/>
            </w:tcBorders>
            <w:shd w:val="clear" w:color="000000" w:fill="auto"/>
            <w:tcMar>
              <w:top w:w="28" w:type="dxa"/>
            </w:tcMar>
          </w:tcPr>
          <w:p w14:paraId="04FC5723" w14:textId="77777777" w:rsidR="006E0ED6" w:rsidRPr="00CB7325" w:rsidRDefault="006E0ED6" w:rsidP="001625EC">
            <w:pPr>
              <w:pStyle w:val="TableColumnHeading"/>
              <w:spacing w:before="45" w:after="45"/>
              <w:ind w:right="108"/>
              <w:rPr>
                <w:rFonts w:ascii="Arial (Body)" w:hAnsi="Arial (Body)"/>
                <w:b/>
                <w:i w:val="0"/>
                <w:color w:val="265A9A"/>
              </w:rPr>
            </w:pPr>
            <w:r w:rsidRPr="00CB7325">
              <w:rPr>
                <w:rFonts w:ascii="Arial (Body)" w:hAnsi="Arial (Body)"/>
                <w:b/>
                <w:i w:val="0"/>
                <w:color w:val="265A9A"/>
              </w:rPr>
              <w:t>Assumed five</w:t>
            </w:r>
            <w:r w:rsidRPr="00CB7325">
              <w:rPr>
                <w:rFonts w:ascii="Arial (Body)" w:hAnsi="Arial (Body)"/>
                <w:b/>
                <w:i w:val="0"/>
                <w:color w:val="265A9A"/>
              </w:rPr>
              <w:noBreakHyphen/>
              <w:t>year age groups in 2018</w:t>
            </w:r>
          </w:p>
        </w:tc>
      </w:tr>
      <w:tr w:rsidR="006E0ED6" w:rsidRPr="00CB7325" w14:paraId="22359E5C" w14:textId="77777777" w:rsidTr="001625EC">
        <w:tc>
          <w:tcPr>
            <w:tcW w:w="1250" w:type="pct"/>
            <w:tcBorders>
              <w:top w:val="single" w:sz="4" w:space="0" w:color="B3B3B3"/>
              <w:bottom w:val="nil"/>
            </w:tcBorders>
            <w:shd w:val="clear" w:color="000000" w:fill="F1F1F1"/>
          </w:tcPr>
          <w:p w14:paraId="3B13F4A3" w14:textId="77777777" w:rsidR="006E0ED6" w:rsidRPr="003648F9" w:rsidRDefault="006E0ED6" w:rsidP="001625EC">
            <w:pPr>
              <w:pStyle w:val="TableUnitsRow"/>
              <w:spacing w:before="45" w:after="45"/>
              <w:ind w:right="108"/>
              <w:jc w:val="left"/>
              <w:rPr>
                <w:rFonts w:ascii="Arial (Body)" w:hAnsi="Arial (Body)"/>
                <w:bCs/>
              </w:rPr>
            </w:pPr>
            <w:r w:rsidRPr="003648F9">
              <w:rPr>
                <w:rFonts w:ascii="Arial (Body)" w:hAnsi="Arial (Body)"/>
                <w:bCs/>
              </w:rPr>
              <w:t>Pre</w:t>
            </w:r>
            <w:r w:rsidRPr="003648F9">
              <w:rPr>
                <w:rFonts w:ascii="Arial (Body)" w:hAnsi="Arial (Body)"/>
                <w:bCs/>
              </w:rPr>
              <w:noBreakHyphen/>
              <w:t>boomers</w:t>
            </w:r>
          </w:p>
        </w:tc>
        <w:tc>
          <w:tcPr>
            <w:tcW w:w="1250" w:type="pct"/>
            <w:tcBorders>
              <w:top w:val="single" w:sz="4" w:space="0" w:color="B3B3B3"/>
              <w:bottom w:val="nil"/>
            </w:tcBorders>
            <w:shd w:val="clear" w:color="000000" w:fill="F1F1F1"/>
          </w:tcPr>
          <w:p w14:paraId="079CD7A7" w14:textId="77777777" w:rsidR="006E0ED6" w:rsidRPr="00CB7325" w:rsidRDefault="006E0ED6" w:rsidP="001625EC">
            <w:pPr>
              <w:pStyle w:val="TableUnitsRow"/>
              <w:spacing w:before="45" w:after="45"/>
              <w:ind w:right="108"/>
              <w:rPr>
                <w:rFonts w:ascii="Arial (Body)" w:hAnsi="Arial (Body)"/>
                <w:color w:val="000000"/>
              </w:rPr>
            </w:pPr>
            <w:r w:rsidRPr="00CB7325">
              <w:rPr>
                <w:rFonts w:ascii="Arial (Body)" w:hAnsi="Arial (Body)"/>
                <w:color w:val="000000"/>
              </w:rPr>
              <w:t>Pre</w:t>
            </w:r>
            <w:r w:rsidRPr="00CB7325">
              <w:rPr>
                <w:rFonts w:ascii="Arial (Body)" w:hAnsi="Arial (Body)"/>
                <w:color w:val="000000"/>
              </w:rPr>
              <w:noBreakHyphen/>
              <w:t>1946</w:t>
            </w:r>
          </w:p>
        </w:tc>
        <w:tc>
          <w:tcPr>
            <w:tcW w:w="1250" w:type="pct"/>
            <w:tcBorders>
              <w:top w:val="single" w:sz="4" w:space="0" w:color="B3B3B3"/>
              <w:bottom w:val="nil"/>
            </w:tcBorders>
            <w:shd w:val="clear" w:color="000000" w:fill="F1F1F1"/>
          </w:tcPr>
          <w:p w14:paraId="2709CB41" w14:textId="77777777" w:rsidR="006E0ED6" w:rsidRPr="00CB7325" w:rsidRDefault="006E0ED6" w:rsidP="001625EC">
            <w:pPr>
              <w:pStyle w:val="TableUnitsRow"/>
              <w:spacing w:before="45" w:after="45"/>
              <w:ind w:right="108"/>
              <w:rPr>
                <w:rFonts w:ascii="Arial (Body)" w:hAnsi="Arial (Body)"/>
                <w:color w:val="000000"/>
              </w:rPr>
            </w:pPr>
            <w:r w:rsidRPr="00CB7325">
              <w:rPr>
                <w:rFonts w:ascii="Arial (Body)" w:hAnsi="Arial (Body)"/>
                <w:color w:val="000000"/>
              </w:rPr>
              <w:t>73+</w:t>
            </w:r>
          </w:p>
        </w:tc>
        <w:tc>
          <w:tcPr>
            <w:tcW w:w="1250" w:type="pct"/>
            <w:tcBorders>
              <w:top w:val="single" w:sz="4" w:space="0" w:color="B3B3B3"/>
              <w:bottom w:val="nil"/>
            </w:tcBorders>
            <w:shd w:val="clear" w:color="000000" w:fill="F1F1F1"/>
          </w:tcPr>
          <w:p w14:paraId="3DC74F2F" w14:textId="77777777" w:rsidR="006E0ED6" w:rsidRPr="00CB7325" w:rsidRDefault="006E0ED6" w:rsidP="001625EC">
            <w:pPr>
              <w:pStyle w:val="TableUnitsRow"/>
              <w:spacing w:before="45" w:after="45"/>
              <w:ind w:right="108"/>
              <w:rPr>
                <w:rFonts w:ascii="Arial (Body)" w:hAnsi="Arial (Body)"/>
                <w:color w:val="000000"/>
              </w:rPr>
            </w:pPr>
            <w:r w:rsidRPr="00CB7325">
              <w:rPr>
                <w:rFonts w:ascii="Arial (Body)" w:hAnsi="Arial (Body)"/>
                <w:color w:val="000000"/>
              </w:rPr>
              <w:t>75+</w:t>
            </w:r>
          </w:p>
        </w:tc>
      </w:tr>
      <w:tr w:rsidR="006E0ED6" w:rsidRPr="00CB7325" w14:paraId="5036547B" w14:textId="77777777" w:rsidTr="001625EC">
        <w:tc>
          <w:tcPr>
            <w:tcW w:w="1250" w:type="pct"/>
            <w:tcBorders>
              <w:top w:val="nil"/>
              <w:bottom w:val="nil"/>
            </w:tcBorders>
            <w:shd w:val="clear" w:color="000000" w:fill="auto"/>
          </w:tcPr>
          <w:p w14:paraId="7E08F28E" w14:textId="77777777" w:rsidR="006E0ED6" w:rsidRPr="003648F9" w:rsidRDefault="006E0ED6" w:rsidP="001625EC">
            <w:pPr>
              <w:pStyle w:val="TableBodyText"/>
              <w:spacing w:before="45" w:after="45"/>
              <w:ind w:right="108"/>
              <w:jc w:val="left"/>
              <w:rPr>
                <w:rFonts w:ascii="Arial (Body)" w:hAnsi="Arial (Body)"/>
                <w:bCs/>
              </w:rPr>
            </w:pPr>
            <w:r w:rsidRPr="003648F9">
              <w:rPr>
                <w:rFonts w:ascii="Arial (Body)" w:hAnsi="Arial (Body)"/>
                <w:bCs/>
              </w:rPr>
              <w:t>Baby boomers</w:t>
            </w:r>
          </w:p>
        </w:tc>
        <w:tc>
          <w:tcPr>
            <w:tcW w:w="1250" w:type="pct"/>
            <w:tcBorders>
              <w:top w:val="nil"/>
              <w:bottom w:val="nil"/>
            </w:tcBorders>
            <w:shd w:val="clear" w:color="000000" w:fill="auto"/>
          </w:tcPr>
          <w:p w14:paraId="384E2833"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1946–1964</w:t>
            </w:r>
          </w:p>
        </w:tc>
        <w:tc>
          <w:tcPr>
            <w:tcW w:w="1250" w:type="pct"/>
            <w:tcBorders>
              <w:top w:val="nil"/>
              <w:bottom w:val="nil"/>
            </w:tcBorders>
            <w:shd w:val="clear" w:color="000000" w:fill="auto"/>
          </w:tcPr>
          <w:p w14:paraId="2968F4AF"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54–72</w:t>
            </w:r>
          </w:p>
        </w:tc>
        <w:tc>
          <w:tcPr>
            <w:tcW w:w="1250" w:type="pct"/>
            <w:tcBorders>
              <w:top w:val="nil"/>
              <w:bottom w:val="nil"/>
            </w:tcBorders>
            <w:shd w:val="clear" w:color="000000" w:fill="auto"/>
          </w:tcPr>
          <w:p w14:paraId="3A7FB458"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55–74</w:t>
            </w:r>
          </w:p>
        </w:tc>
      </w:tr>
      <w:tr w:rsidR="006E0ED6" w:rsidRPr="00CB7325" w14:paraId="33114B44" w14:textId="77777777" w:rsidTr="001625EC">
        <w:tc>
          <w:tcPr>
            <w:tcW w:w="1250" w:type="pct"/>
            <w:tcBorders>
              <w:bottom w:val="nil"/>
            </w:tcBorders>
            <w:shd w:val="clear" w:color="000000" w:fill="F1F1F1"/>
          </w:tcPr>
          <w:p w14:paraId="4F53DB95" w14:textId="77777777" w:rsidR="006E0ED6" w:rsidRPr="003648F9" w:rsidRDefault="006E0ED6" w:rsidP="001625EC">
            <w:pPr>
              <w:pStyle w:val="TableBodyText"/>
              <w:spacing w:before="45" w:after="45"/>
              <w:ind w:right="108"/>
              <w:jc w:val="left"/>
              <w:rPr>
                <w:rFonts w:ascii="Arial (Body)" w:hAnsi="Arial (Body)"/>
                <w:bCs/>
              </w:rPr>
            </w:pPr>
            <w:r w:rsidRPr="003648F9">
              <w:rPr>
                <w:rFonts w:ascii="Arial (Body)" w:hAnsi="Arial (Body)"/>
                <w:bCs/>
              </w:rPr>
              <w:t>Generation X</w:t>
            </w:r>
          </w:p>
        </w:tc>
        <w:tc>
          <w:tcPr>
            <w:tcW w:w="1250" w:type="pct"/>
            <w:tcBorders>
              <w:bottom w:val="nil"/>
            </w:tcBorders>
            <w:shd w:val="clear" w:color="000000" w:fill="F1F1F1"/>
          </w:tcPr>
          <w:p w14:paraId="5F1BC85B"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1965–1980</w:t>
            </w:r>
          </w:p>
        </w:tc>
        <w:tc>
          <w:tcPr>
            <w:tcW w:w="1250" w:type="pct"/>
            <w:tcBorders>
              <w:bottom w:val="nil"/>
            </w:tcBorders>
            <w:shd w:val="clear" w:color="000000" w:fill="F1F1F1"/>
          </w:tcPr>
          <w:p w14:paraId="47E2341C"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38–53</w:t>
            </w:r>
          </w:p>
        </w:tc>
        <w:tc>
          <w:tcPr>
            <w:tcW w:w="1250" w:type="pct"/>
            <w:tcBorders>
              <w:bottom w:val="nil"/>
            </w:tcBorders>
            <w:shd w:val="clear" w:color="000000" w:fill="F1F1F1"/>
          </w:tcPr>
          <w:p w14:paraId="4BF5E2F9"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40–54</w:t>
            </w:r>
          </w:p>
        </w:tc>
      </w:tr>
      <w:tr w:rsidR="006E0ED6" w:rsidRPr="00CB7325" w14:paraId="574E4DA9" w14:textId="77777777" w:rsidTr="001625EC">
        <w:tc>
          <w:tcPr>
            <w:tcW w:w="1250" w:type="pct"/>
            <w:tcBorders>
              <w:top w:val="nil"/>
              <w:bottom w:val="nil"/>
            </w:tcBorders>
            <w:shd w:val="clear" w:color="000000" w:fill="auto"/>
          </w:tcPr>
          <w:p w14:paraId="39813D41" w14:textId="77777777" w:rsidR="006E0ED6" w:rsidRPr="003648F9" w:rsidRDefault="006E0ED6" w:rsidP="001625EC">
            <w:pPr>
              <w:pStyle w:val="TableBodyText"/>
              <w:spacing w:before="45" w:after="45"/>
              <w:ind w:right="108"/>
              <w:jc w:val="left"/>
              <w:rPr>
                <w:rFonts w:ascii="Arial (Body)" w:hAnsi="Arial (Body)"/>
                <w:bCs/>
              </w:rPr>
            </w:pPr>
            <w:r w:rsidRPr="003648F9">
              <w:rPr>
                <w:rFonts w:ascii="Arial (Body)" w:hAnsi="Arial (Body)"/>
                <w:bCs/>
              </w:rPr>
              <w:t>Millennials</w:t>
            </w:r>
          </w:p>
        </w:tc>
        <w:tc>
          <w:tcPr>
            <w:tcW w:w="1250" w:type="pct"/>
            <w:tcBorders>
              <w:top w:val="nil"/>
              <w:bottom w:val="nil"/>
            </w:tcBorders>
            <w:shd w:val="clear" w:color="000000" w:fill="auto"/>
          </w:tcPr>
          <w:p w14:paraId="2E17C061"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1981–1996</w:t>
            </w:r>
          </w:p>
        </w:tc>
        <w:tc>
          <w:tcPr>
            <w:tcW w:w="1250" w:type="pct"/>
            <w:tcBorders>
              <w:top w:val="nil"/>
              <w:bottom w:val="nil"/>
            </w:tcBorders>
            <w:shd w:val="clear" w:color="000000" w:fill="auto"/>
          </w:tcPr>
          <w:p w14:paraId="603C13F1"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22–37</w:t>
            </w:r>
          </w:p>
        </w:tc>
        <w:tc>
          <w:tcPr>
            <w:tcW w:w="1250" w:type="pct"/>
            <w:tcBorders>
              <w:top w:val="nil"/>
              <w:bottom w:val="nil"/>
            </w:tcBorders>
            <w:shd w:val="clear" w:color="000000" w:fill="auto"/>
          </w:tcPr>
          <w:p w14:paraId="7BD5E20F"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20–39</w:t>
            </w:r>
          </w:p>
        </w:tc>
      </w:tr>
      <w:tr w:rsidR="006E0ED6" w:rsidRPr="00CB7325" w14:paraId="3484529A" w14:textId="77777777" w:rsidTr="001625EC">
        <w:tc>
          <w:tcPr>
            <w:tcW w:w="1250" w:type="pct"/>
            <w:tcBorders>
              <w:bottom w:val="single" w:sz="4" w:space="0" w:color="B3B3B3"/>
            </w:tcBorders>
            <w:shd w:val="clear" w:color="000000" w:fill="F1F1F1"/>
          </w:tcPr>
          <w:p w14:paraId="7206421B" w14:textId="77777777" w:rsidR="006E0ED6" w:rsidRPr="003648F9" w:rsidRDefault="006E0ED6" w:rsidP="001625EC">
            <w:pPr>
              <w:pStyle w:val="TableBodyText"/>
              <w:spacing w:before="45" w:after="45"/>
              <w:ind w:right="108"/>
              <w:jc w:val="left"/>
              <w:rPr>
                <w:rFonts w:ascii="Arial (Body)" w:hAnsi="Arial (Body)"/>
                <w:bCs/>
              </w:rPr>
            </w:pPr>
            <w:r w:rsidRPr="003648F9">
              <w:rPr>
                <w:rFonts w:ascii="Arial (Body)" w:hAnsi="Arial (Body)"/>
                <w:bCs/>
              </w:rPr>
              <w:t>Post</w:t>
            </w:r>
            <w:r w:rsidRPr="003648F9">
              <w:rPr>
                <w:rFonts w:ascii="Arial (Body)" w:hAnsi="Arial (Body)"/>
                <w:bCs/>
              </w:rPr>
              <w:noBreakHyphen/>
              <w:t>millennials</w:t>
            </w:r>
          </w:p>
        </w:tc>
        <w:tc>
          <w:tcPr>
            <w:tcW w:w="1250" w:type="pct"/>
            <w:tcBorders>
              <w:bottom w:val="single" w:sz="4" w:space="0" w:color="B3B3B3"/>
            </w:tcBorders>
            <w:shd w:val="clear" w:color="000000" w:fill="F1F1F1"/>
          </w:tcPr>
          <w:p w14:paraId="7522ED5B"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Post</w:t>
            </w:r>
            <w:r w:rsidRPr="00CB7325">
              <w:rPr>
                <w:rFonts w:ascii="Arial (Body)" w:hAnsi="Arial (Body)"/>
                <w:color w:val="000000"/>
              </w:rPr>
              <w:noBreakHyphen/>
              <w:t>1996</w:t>
            </w:r>
          </w:p>
        </w:tc>
        <w:tc>
          <w:tcPr>
            <w:tcW w:w="1250" w:type="pct"/>
            <w:tcBorders>
              <w:bottom w:val="single" w:sz="4" w:space="0" w:color="B3B3B3"/>
            </w:tcBorders>
            <w:shd w:val="clear" w:color="000000" w:fill="F1F1F1"/>
          </w:tcPr>
          <w:p w14:paraId="57F8BD75"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0–21</w:t>
            </w:r>
          </w:p>
        </w:tc>
        <w:tc>
          <w:tcPr>
            <w:tcW w:w="1250" w:type="pct"/>
            <w:tcBorders>
              <w:bottom w:val="single" w:sz="4" w:space="0" w:color="B3B3B3"/>
            </w:tcBorders>
            <w:shd w:val="clear" w:color="000000" w:fill="F1F1F1"/>
          </w:tcPr>
          <w:p w14:paraId="7C892604" w14:textId="77777777" w:rsidR="006E0ED6" w:rsidRPr="00CB7325" w:rsidRDefault="006E0ED6" w:rsidP="001625EC">
            <w:pPr>
              <w:pStyle w:val="TableBodyText"/>
              <w:spacing w:before="45" w:after="45"/>
              <w:ind w:right="108"/>
              <w:rPr>
                <w:rFonts w:ascii="Arial (Body)" w:hAnsi="Arial (Body)"/>
                <w:color w:val="000000"/>
              </w:rPr>
            </w:pPr>
            <w:r w:rsidRPr="00CB7325">
              <w:rPr>
                <w:rFonts w:ascii="Arial (Body)" w:hAnsi="Arial (Body)"/>
                <w:color w:val="000000"/>
              </w:rPr>
              <w:t>0–19</w:t>
            </w:r>
          </w:p>
        </w:tc>
      </w:tr>
    </w:tbl>
    <w:p w14:paraId="5361AE31" w14:textId="2730913C" w:rsidR="006E0ED6" w:rsidRDefault="006E0ED6" w:rsidP="006E0ED6">
      <w:pPr>
        <w:pStyle w:val="Note"/>
        <w:spacing w:after="240"/>
      </w:pPr>
      <w:r w:rsidRPr="00C36914">
        <w:rPr>
          <w:b/>
          <w:bCs/>
        </w:rPr>
        <w:t>a.</w:t>
      </w:r>
      <w:r w:rsidRPr="00C36914">
        <w:t xml:space="preserve"> </w:t>
      </w:r>
      <w:r w:rsidRPr="0072466F">
        <w:t xml:space="preserve">There is no universally agreed definition of generations by year of birth. These years are consistent with commonly used year ranges </w:t>
      </w:r>
      <w:r w:rsidRPr="0072466F">
        <w:fldChar w:fldCharType="begin"/>
      </w:r>
      <w:r w:rsidR="0047772E">
        <w:instrText xml:space="preserve"> ADDIN ZOTERO_ITEM CSL_CITATION {"citationID":"9M8XX14y","properties":{"formattedCitation":"(Beresford Research\\uc0\\u160{}2021; Dimock\\uc0\\u160{}2019)","plainCitation":"(Beresford Research 2021; Dimock 2019)","noteIndex":0},"citationItems":[{"id":3023,"uris":["http://zotero.org/groups/2714158/items/ZK4GQPQL"],"uri":["http://zotero.org/groups/2714158/items/ZK4GQPQL"],"itemData":{"id":3023,"type":"webpage","abstract":"Identify and name the generational differences your US research uncovers using one chart with discrete dates and ages","container-title":"Beresford Research","language":"en-US","title":"Age Range by Generation","URL":"https://www.beresfordresearch.com/age-range-by-generation/","author":[{"literal":"Beresford Research"}],"accessed":{"date-parts":[["2021",7,19]]},"issued":{"date-parts":[["2021"]]}}},{"id":3024,"uris":["http://zotero.org/groups/2714158/items/4UGKUVWN"],"uri":["http://zotero.org/groups/2714158/items/4UGKUVWN"],"itemData":{"id":3024,"type":"webpage","abstract":"Pew Research Center now uses 1996 as the last birth year for Millennials in our work. President Michael Dimock explains why.","container-title":"Pew Research Center","language":"en-US","title":"Defining Generations: Where Millennials End and Generation Z Begins","URL":"https://www.pewresearch.org/fact-tank/2019/01/17/where-millennials-end-and-generation-z-begins/","author":[{"family":"Dimock","given":"Michael"}],"accessed":{"date-parts":[["2021",7,19]]},"issued":{"date-parts":[["2019"]]}}}],"schema":"https://github.com/citation-style-language/schema/raw/master/csl-citation.json"} </w:instrText>
      </w:r>
      <w:r w:rsidRPr="0072466F">
        <w:fldChar w:fldCharType="separate"/>
      </w:r>
      <w:r w:rsidRPr="0072466F">
        <w:t>(Beresford Research 2021; Dimock 2019)</w:t>
      </w:r>
      <w:r w:rsidRPr="0072466F">
        <w:fldChar w:fldCharType="end"/>
      </w:r>
      <w:r w:rsidRPr="0072466F">
        <w:t>.</w:t>
      </w:r>
    </w:p>
    <w:p w14:paraId="65647C3E" w14:textId="77777777" w:rsidR="006E0ED6" w:rsidRDefault="006E0ED6" w:rsidP="006E0ED6">
      <w:pPr>
        <w:pStyle w:val="BodyText"/>
      </w:pPr>
      <w:bookmarkStart w:id="34" w:name="_Hlk77776942"/>
      <w:r>
        <w:t>In addition, the five</w:t>
      </w:r>
      <w:r>
        <w:noBreakHyphen/>
        <w:t>year age groups in the model age over time, such that they transition to the next five</w:t>
      </w:r>
      <w:r>
        <w:noBreakHyphen/>
        <w:t>year age group every five years.</w:t>
      </w:r>
      <w:r w:rsidRPr="003442BE">
        <w:t xml:space="preserve"> </w:t>
      </w:r>
      <w:r>
        <w:t xml:space="preserve">Comparisons of age groups between projection years are presented in multiples of five years to ensure that they are comparing the same age ranges over time. (For example, the 60–64 age group in 2018 is compared with the 60–64 age group in 2048.) Comparisons of the population over time are often presented using the 30–‍99 </w:t>
      </w:r>
      <w:r w:rsidRPr="00AF6D1E">
        <w:t xml:space="preserve">age range because the model does not include births and there are no cohorts under the age of 30 by the year 2048. The 100+ age group is also excluded due to the small sample size in the </w:t>
      </w:r>
      <w:r>
        <w:t>initial</w:t>
      </w:r>
      <w:r w:rsidRPr="00AF6D1E">
        <w:t xml:space="preserve"> population</w:t>
      </w:r>
      <w:r>
        <w:t>,</w:t>
      </w:r>
      <w:r w:rsidRPr="00AF6D1E">
        <w:t xml:space="preserve"> that can skew results.</w:t>
      </w:r>
    </w:p>
    <w:p w14:paraId="5AFF4CAF" w14:textId="77777777" w:rsidR="006E0ED6" w:rsidRDefault="006E0ED6" w:rsidP="00D208A3">
      <w:pPr>
        <w:pStyle w:val="Heading2"/>
      </w:pPr>
      <w:bookmarkStart w:id="35" w:name="_Toc87543964"/>
      <w:bookmarkEnd w:id="34"/>
      <w:r>
        <w:t>Projected effects of transfers on wealth inequality</w:t>
      </w:r>
      <w:bookmarkEnd w:id="35"/>
    </w:p>
    <w:p w14:paraId="0F2DC093" w14:textId="77777777" w:rsidR="006E0ED6" w:rsidRDefault="006E0ED6" w:rsidP="006E0ED6">
      <w:pPr>
        <w:pStyle w:val="BodyText"/>
      </w:pPr>
      <w:r w:rsidRPr="00DE63EE">
        <w:t xml:space="preserve">This section presents results for future wealth, wealth transfers and </w:t>
      </w:r>
      <w:r>
        <w:t xml:space="preserve">effects on </w:t>
      </w:r>
      <w:r w:rsidRPr="00DE63EE">
        <w:t xml:space="preserve">wealth inequality between and within generations, as projected </w:t>
      </w:r>
      <w:r>
        <w:t>under</w:t>
      </w:r>
      <w:r w:rsidRPr="00DE63EE">
        <w:t xml:space="preserve"> the base scenario. </w:t>
      </w:r>
    </w:p>
    <w:p w14:paraId="69418990" w14:textId="77777777" w:rsidR="006E0ED6" w:rsidRDefault="006E0ED6" w:rsidP="006E0ED6">
      <w:pPr>
        <w:pStyle w:val="BodyText"/>
      </w:pPr>
      <w:r>
        <w:t xml:space="preserve">A number of factors shape projected wealth in the model. One is the initial wealth levels of population cohorts, which reflect past wealth accumulation behaviour and asset price growth. Wealth projections in the model build on these initial values. The model is not designed to change past returns or behaviour to align with assumed future rates of return or behaviour in the projection. Changes from initial wealth levels during the projection period are determined by assumptions about future incomes; rates of return, saving and drawdowns in each asset type; and wealth transfer behaviour for each cohort (section 3.2). </w:t>
      </w:r>
      <w:bookmarkStart w:id="36" w:name="_Hlk79139981"/>
    </w:p>
    <w:p w14:paraId="12474211" w14:textId="77777777" w:rsidR="006E0ED6" w:rsidRDefault="006E0ED6" w:rsidP="006E0ED6">
      <w:pPr>
        <w:pStyle w:val="BodyText"/>
      </w:pPr>
      <w:r>
        <w:t>Consistent with the</w:t>
      </w:r>
      <w:r w:rsidRPr="00DE63EE">
        <w:t xml:space="preserve"> primary interest </w:t>
      </w:r>
      <w:r>
        <w:t xml:space="preserve">of this study — </w:t>
      </w:r>
      <w:r w:rsidRPr="00DE63EE">
        <w:t xml:space="preserve">understanding the effects of </w:t>
      </w:r>
      <w:r>
        <w:t>wealth transfers on</w:t>
      </w:r>
      <w:r w:rsidRPr="00DE63EE">
        <w:t xml:space="preserve"> the wealth distribution across </w:t>
      </w:r>
      <w:r>
        <w:t>and within generations — the presentation of results in this section focuses on relative changes to wealth, rather than absolute changes</w:t>
      </w:r>
      <w:r w:rsidRPr="00DE63EE">
        <w:t xml:space="preserve">. </w:t>
      </w:r>
      <w:r>
        <w:t>This section presents these results for the base scenario, and results from alternate scenarios that affect these findings are summarised in section 3.4. Additional results and discussions of projected wealth inequality over time are presented in appendix C.</w:t>
      </w:r>
    </w:p>
    <w:p w14:paraId="52BE371A" w14:textId="77777777" w:rsidR="006E0ED6" w:rsidRDefault="006E0ED6" w:rsidP="006E0ED6">
      <w:pPr>
        <w:pStyle w:val="Heading3"/>
      </w:pPr>
      <w:bookmarkStart w:id="37" w:name="_Hlk82602129"/>
      <w:r>
        <w:lastRenderedPageBreak/>
        <w:t>Wealth is projected to become more concentrated towards older people</w:t>
      </w:r>
    </w:p>
    <w:p w14:paraId="6654D1BC" w14:textId="77777777" w:rsidR="006E0ED6" w:rsidRDefault="006E0ED6" w:rsidP="006E0ED6">
      <w:pPr>
        <w:pStyle w:val="BodyText"/>
      </w:pPr>
      <w:bookmarkStart w:id="38" w:name="_Hlk82601365"/>
      <w:bookmarkEnd w:id="36"/>
      <w:bookmarkEnd w:id="37"/>
      <w:r>
        <w:t xml:space="preserve">Wealth inequality between generations is projected to increase over time, driven by older age groups holding a disproportionately large share of wealth </w:t>
      </w:r>
      <w:bookmarkEnd w:id="38"/>
      <w:r>
        <w:t>(figure 3.</w:t>
      </w:r>
      <w:r w:rsidRPr="007C06EA">
        <w:t>3).</w:t>
      </w:r>
      <w:r>
        <w:t xml:space="preserve"> The base scenario projection suggests that among people aged 30–99, those aged 60 and over account for about a third of the population in 2018, rising by about 12 percentage points to 46 per cent in </w:t>
      </w:r>
      <w:r w:rsidRPr="009B2007">
        <w:t>2048.</w:t>
      </w:r>
      <w:r>
        <w:t xml:space="preserve"> However, their share of wealth increases</w:t>
      </w:r>
      <w:r w:rsidDel="0090147B">
        <w:t xml:space="preserve"> </w:t>
      </w:r>
      <w:r>
        <w:t xml:space="preserve">by about 22 percentage points to 67 per cent over the same period. </w:t>
      </w:r>
    </w:p>
    <w:p w14:paraId="5EFF0BB6" w14:textId="61C6D038"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3</w:t>
      </w:r>
      <w:r w:rsidR="00B2270C">
        <w:rPr>
          <w:noProof/>
        </w:rPr>
        <w:fldChar w:fldCharType="end"/>
      </w:r>
      <w:r>
        <w:rPr>
          <w:noProof/>
        </w:rPr>
        <w:t xml:space="preserve"> </w:t>
      </w:r>
      <w:r>
        <w:t xml:space="preserve">– </w:t>
      </w:r>
      <w:r w:rsidRPr="00DC07B8">
        <w:t>Older people are projected to hold more wealth</w:t>
      </w:r>
    </w:p>
    <w:p w14:paraId="79712CF7" w14:textId="77777777" w:rsidR="006E0ED6" w:rsidRPr="004C58DE" w:rsidRDefault="006E0ED6" w:rsidP="006E0ED6">
      <w:pPr>
        <w:pStyle w:val="FigureTableSubheading"/>
        <w:keepLines/>
        <w:rPr>
          <w:sz w:val="18"/>
        </w:rPr>
      </w:pPr>
      <w:r w:rsidRPr="004C58DE">
        <w:rPr>
          <w:sz w:val="18"/>
        </w:rPr>
        <w:t>Percentage of projected 30–99 year old population (column) and wealth (line)</w:t>
      </w:r>
      <w:r w:rsidRPr="004C58DE">
        <w:rPr>
          <w:sz w:val="18"/>
          <w:vertAlign w:val="superscript"/>
        </w:rPr>
        <w:t>a</w:t>
      </w:r>
    </w:p>
    <w:p w14:paraId="05D6F67F" w14:textId="6795AFE8" w:rsidR="006E0ED6" w:rsidRPr="005550A0" w:rsidRDefault="00F620CE" w:rsidP="006E0ED6">
      <w:pPr>
        <w:pStyle w:val="BodyText"/>
      </w:pPr>
      <w:r>
        <w:rPr>
          <w:noProof/>
        </w:rPr>
        <w:drawing>
          <wp:inline distT="0" distB="0" distL="0" distR="0" wp14:anchorId="735167B4" wp14:editId="3EB07791">
            <wp:extent cx="6120130" cy="2874645"/>
            <wp:effectExtent l="0" t="0" r="0" b="1905"/>
            <wp:docPr id="136" name="Graphic 136" descr="Figure 3.3. This chart shows historic shares of the population and wealth held by each 5-year age group for 2002, 2010 and 2018, and projected shares of the population and wealth held for 2028, 2038 and 2048. Older age groups holding a disproportionately large share of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phic 136" descr="Figure 3.3. This chart shows historic shares of the population and wealth held by each 5-year age group for 2002, 2010 and 2018, and projected shares of the population and wealth held for 2028, 2038 and 2048. Older age groups holding a disproportionately large share of wealth. More details are contained in the text surrounding this figure."/>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6120130" cy="2874645"/>
                    </a:xfrm>
                    <a:prstGeom prst="rect">
                      <a:avLst/>
                    </a:prstGeom>
                  </pic:spPr>
                </pic:pic>
              </a:graphicData>
            </a:graphic>
          </wp:inline>
        </w:drawing>
      </w:r>
    </w:p>
    <w:p w14:paraId="22BB15DE" w14:textId="77777777" w:rsidR="006E0ED6" w:rsidRDefault="006E0ED6" w:rsidP="006E0ED6">
      <w:pPr>
        <w:pStyle w:val="Note"/>
        <w:keepLines/>
      </w:pPr>
      <w:r w:rsidRPr="00180E66">
        <w:rPr>
          <w:b/>
          <w:bCs/>
        </w:rPr>
        <w:t>a.</w:t>
      </w:r>
      <w:r>
        <w:t xml:space="preserve"> </w:t>
      </w:r>
      <w:r w:rsidRPr="00840306">
        <w:t>Historic data based on HILDA. Non</w:t>
      </w:r>
      <w:r>
        <w:t>-</w:t>
      </w:r>
      <w:r w:rsidRPr="00840306">
        <w:t>housing debt is excluded.</w:t>
      </w:r>
    </w:p>
    <w:p w14:paraId="7E42B42B" w14:textId="77777777" w:rsidR="006E0ED6" w:rsidRDefault="006E0ED6" w:rsidP="006E0ED6">
      <w:pPr>
        <w:pStyle w:val="Source"/>
      </w:pPr>
      <w:r w:rsidRPr="00696447">
        <w:t xml:space="preserve">Source: </w:t>
      </w:r>
      <w:r w:rsidRPr="00990822">
        <w:t>Productivity Commission estimates from cohort simulation model and using HILDA Restricted Release 19.</w:t>
      </w:r>
    </w:p>
    <w:p w14:paraId="6006E39C" w14:textId="77777777" w:rsidR="006E0ED6" w:rsidRPr="00C54E70" w:rsidRDefault="006E0ED6" w:rsidP="006E0ED6">
      <w:pPr>
        <w:pStyle w:val="BodyText"/>
        <w:rPr>
          <w:spacing w:val="-2"/>
        </w:rPr>
      </w:pPr>
      <w:r w:rsidRPr="00C54E70">
        <w:rPr>
          <w:spacing w:val="-2"/>
        </w:rPr>
        <w:t>This increase is broadly consistent with trends in HILDA data, which show</w:t>
      </w:r>
      <w:r>
        <w:rPr>
          <w:spacing w:val="-2"/>
        </w:rPr>
        <w:t>s</w:t>
      </w:r>
      <w:r w:rsidRPr="00C54E70">
        <w:rPr>
          <w:spacing w:val="-2"/>
        </w:rPr>
        <w:t xml:space="preserve"> that people aged 60 and over accounted for about 28 per cent of the 30–99 year old population and 31 per cent of their wealth in 2002</w:t>
      </w:r>
      <w:r>
        <w:rPr>
          <w:spacing w:val="-2"/>
        </w:rPr>
        <w:t>,</w:t>
      </w:r>
      <w:r w:rsidRPr="00C54E70">
        <w:rPr>
          <w:spacing w:val="-2"/>
        </w:rPr>
        <w:t xml:space="preserve"> with shares of wealth rising faster </w:t>
      </w:r>
      <w:r>
        <w:rPr>
          <w:spacing w:val="-2"/>
        </w:rPr>
        <w:t>in the decades since (figure 3.3)</w:t>
      </w:r>
      <w:r w:rsidRPr="00C54E70">
        <w:rPr>
          <w:spacing w:val="-2"/>
        </w:rPr>
        <w:t xml:space="preserve">. These historical trends </w:t>
      </w:r>
      <w:r>
        <w:rPr>
          <w:spacing w:val="-2"/>
        </w:rPr>
        <w:t>are</w:t>
      </w:r>
      <w:r w:rsidRPr="00C54E70">
        <w:rPr>
          <w:spacing w:val="-2"/>
        </w:rPr>
        <w:t xml:space="preserve"> partly driven by falling home</w:t>
      </w:r>
      <w:r>
        <w:rPr>
          <w:spacing w:val="-2"/>
        </w:rPr>
        <w:t xml:space="preserve"> </w:t>
      </w:r>
      <w:r w:rsidRPr="00C54E70">
        <w:rPr>
          <w:spacing w:val="-2"/>
        </w:rPr>
        <w:t>ownership rates among younger cohorts (box</w:t>
      </w:r>
      <w:r>
        <w:rPr>
          <w:spacing w:val="-2"/>
        </w:rPr>
        <w:t> 3.4</w:t>
      </w:r>
      <w:r w:rsidRPr="00C54E70">
        <w:rPr>
          <w:spacing w:val="-2"/>
        </w:rPr>
        <w:t xml:space="preserve">). </w:t>
      </w:r>
    </w:p>
    <w:p w14:paraId="0356B99B" w14:textId="77777777" w:rsidR="006E0ED6" w:rsidRDefault="006E0ED6" w:rsidP="006E0ED6">
      <w:pPr>
        <w:pStyle w:val="BodyText"/>
      </w:pPr>
    </w:p>
    <w:tbl>
      <w:tblPr>
        <w:tblStyle w:val="Boxtable"/>
        <w:tblW w:w="5000" w:type="pct"/>
        <w:tblLook w:val="04A0" w:firstRow="1" w:lastRow="0" w:firstColumn="1" w:lastColumn="0" w:noHBand="0" w:noVBand="1"/>
      </w:tblPr>
      <w:tblGrid>
        <w:gridCol w:w="9638"/>
      </w:tblGrid>
      <w:tr w:rsidR="006E0ED6" w14:paraId="7B654FEB" w14:textId="77777777" w:rsidTr="001625EC">
        <w:trPr>
          <w:tblHeader/>
        </w:trPr>
        <w:tc>
          <w:tcPr>
            <w:tcW w:w="9638" w:type="dxa"/>
            <w:tcMar>
              <w:top w:w="170" w:type="dxa"/>
              <w:left w:w="170" w:type="dxa"/>
              <w:bottom w:w="113" w:type="dxa"/>
              <w:right w:w="170" w:type="dxa"/>
            </w:tcMar>
            <w:hideMark/>
          </w:tcPr>
          <w:p w14:paraId="311B324C" w14:textId="741FBAE8" w:rsidR="006E0ED6" w:rsidRDefault="006E0ED6" w:rsidP="001625EC">
            <w:pPr>
              <w:pStyle w:val="BoxHeading1"/>
            </w:pPr>
            <w:r>
              <w:lastRenderedPageBreak/>
              <w:t xml:space="preserve">Box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Box \* ARABIC \s 1 </w:instrText>
            </w:r>
            <w:r w:rsidR="00B2270C">
              <w:fldChar w:fldCharType="separate"/>
            </w:r>
            <w:r w:rsidR="00F3386D">
              <w:rPr>
                <w:noProof/>
              </w:rPr>
              <w:t>4</w:t>
            </w:r>
            <w:r w:rsidR="00B2270C">
              <w:rPr>
                <w:noProof/>
              </w:rPr>
              <w:fldChar w:fldCharType="end"/>
            </w:r>
            <w:r>
              <w:t xml:space="preserve"> – </w:t>
            </w:r>
            <w:r w:rsidRPr="00F52EE4">
              <w:t>Falling home ownership rates</w:t>
            </w:r>
          </w:p>
        </w:tc>
      </w:tr>
      <w:tr w:rsidR="006E0ED6" w14:paraId="5E17C439" w14:textId="77777777" w:rsidTr="001625EC">
        <w:tc>
          <w:tcPr>
            <w:tcW w:w="9638" w:type="dxa"/>
            <w:tcMar>
              <w:top w:w="28" w:type="dxa"/>
              <w:left w:w="170" w:type="dxa"/>
              <w:bottom w:w="170" w:type="dxa"/>
              <w:right w:w="170" w:type="dxa"/>
            </w:tcMar>
            <w:hideMark/>
          </w:tcPr>
          <w:p w14:paraId="78B7E10E" w14:textId="755C9CC1" w:rsidR="006E0ED6" w:rsidRDefault="006E0ED6" w:rsidP="001625EC">
            <w:pPr>
              <w:pStyle w:val="Box"/>
            </w:pPr>
            <w:r>
              <w:t xml:space="preserve">Home ownership rates by age group have fallen over time in Australia, as illustrated in the figure below </w:t>
            </w:r>
            <w:r>
              <w:fldChar w:fldCharType="begin"/>
            </w:r>
            <w:r w:rsidR="0047772E">
              <w:instrText xml:space="preserve"> ADDIN ZOTERO_ITEM CSL_CITATION {"citationID":"nURbe0WL","properties":{"formattedCitation":"(AIHW\\uc0\\u160{}2021a)","plainCitation":"(AIHW 2021a)","noteIndex":0},"citationItems":[{"id":3145,"uris":["http://zotero.org/groups/2714158/items/5EL3VN78"],"uri":["http://zotero.org/groups/2714158/items/5EL3VN78"],"itemData":{"id":3145,"type":"webpage","abstract":"Secure and affordable housing is fundamental to the wellbeing of Australians. Home ownership continues to be a widely held aspiration in Australia, providing owners with security of housing tenure...","container-title":"Australian Institute of Health and Welfare","language":"en-AU","title":"Home Ownership and Housing Tenure","URL":"https://www.aihw.gov.au/reports/australias-welfare/home-ownership-and-housing-tenure","author":[{"literal":"Australian Institute of Health and Welfare"}],"translator":[{"literal":"AIHW"}],"accessed":{"date-parts":[["2021",8,12]]},"issued":{"date-parts":[["2021"]]}}}],"schema":"https://github.com/citation-style-language/schema/raw/master/csl-citation.json"} </w:instrText>
            </w:r>
            <w:r>
              <w:fldChar w:fldCharType="separate"/>
            </w:r>
            <w:r w:rsidR="00816542" w:rsidRPr="00816542">
              <w:rPr>
                <w:rFonts w:cs="Arial"/>
                <w:szCs w:val="24"/>
              </w:rPr>
              <w:t>(AIHW 2021a)</w:t>
            </w:r>
            <w:r>
              <w:fldChar w:fldCharType="end"/>
            </w:r>
            <w:r>
              <w:t>. For example, 68 per cent of people aged 30–34 owned a home in 1981 (born 1947–51). By 2016, the rate had fallen to 50 per cent in that age group (born 1982–86). The Grattan Institute estimated that home ownership rates for those aged</w:t>
            </w:r>
            <w:r w:rsidDel="006A62E2">
              <w:t xml:space="preserve"> </w:t>
            </w:r>
            <w:r>
              <w:t xml:space="preserve">65 and over would fall by 19 percentage points from 2016 to 2056 if these trends continue </w:t>
            </w:r>
            <w:r>
              <w:fldChar w:fldCharType="begin"/>
            </w:r>
            <w:r w:rsidR="0047772E">
              <w:instrText xml:space="preserve"> ADDIN ZOTERO_ITEM CSL_CITATION {"citationID":"p6mDnwkb","properties":{"formattedCitation":"(Coates and Chen\\uc0\\u160{}2019)","plainCitation":"(Coates and Chen 2019)","noteIndex":0},"citationItems":[{"id":3207,"uris":["http://zotero.org/groups/2714158/items/R2HRP2LN"],"uri":["http://zotero.org/groups/2714158/items/R2HRP2LN"],"itemData":{"id":3207,"type":"webpage","abstract":"Our retirement incomes system has been built around the assumption that most will own their own homes. New projections suggest it’s no longer valid.","container-title":"The Conversation","language":"en","title":"Retiree Home Ownership Is About to Plummet. Soon Little More Than Half Will Own Where They Live","URL":"http://theconversation.com/retiree-home-ownership-is-about-to-plummet-soon-little-more-than-half-will-own-where-they-live-115255","author":[{"family":"Coates","given":"Brendan"},{"family":"Chen","given":"Tony"}],"accessed":{"date-parts":[["2021",10,6]]},"issued":{"date-parts":[["2019"]]}}}],"schema":"https://github.com/citation-style-language/schema/raw/master/csl-citation.json"} </w:instrText>
            </w:r>
            <w:r>
              <w:fldChar w:fldCharType="separate"/>
            </w:r>
            <w:r w:rsidRPr="006A62E2">
              <w:rPr>
                <w:rFonts w:cs="Arial"/>
                <w:szCs w:val="24"/>
              </w:rPr>
              <w:t>(Coates and Chen 2019)</w:t>
            </w:r>
            <w:r>
              <w:fldChar w:fldCharType="end"/>
            </w:r>
            <w:r>
              <w:t xml:space="preserve">. </w:t>
            </w:r>
          </w:p>
          <w:p w14:paraId="4141CB80" w14:textId="665FAAFA" w:rsidR="006E0ED6" w:rsidRPr="002A285F" w:rsidRDefault="006E0ED6" w:rsidP="001625EC">
            <w:pPr>
              <w:pStyle w:val="BodyText"/>
              <w:rPr>
                <w:spacing w:val="-2"/>
              </w:rPr>
            </w:pPr>
            <w:r w:rsidRPr="002A285F">
              <w:rPr>
                <w:spacing w:val="-2"/>
              </w:rPr>
              <w:t>Cross</w:t>
            </w:r>
            <w:r w:rsidRPr="002A285F">
              <w:rPr>
                <w:spacing w:val="-2"/>
              </w:rPr>
              <w:noBreakHyphen/>
              <w:t xml:space="preserve">country research published by the OECD showed that countries with lower home ownership rates tended to have higher wealth inequality </w:t>
            </w:r>
            <w:r w:rsidRPr="002A285F">
              <w:rPr>
                <w:spacing w:val="-2"/>
              </w:rPr>
              <w:fldChar w:fldCharType="begin"/>
            </w:r>
            <w:r w:rsidR="0047772E">
              <w:rPr>
                <w:spacing w:val="-2"/>
              </w:rPr>
              <w:instrText xml:space="preserve"> ADDIN ZOTERO_ITEM CSL_CITATION {"citationID":"V2VwR3HS","properties":{"formattedCitation":"(Causa, Woloszko and Leite\\uc0\\u160{}2019)","plainCitation":"(Causa, Woloszko and Leite 2019)","noteIndex":0},"citationItems":[{"id":3144,"uris":["http://zotero.org/groups/2714158/items/UKG5PNMG"],"uri":["http://zotero.org/groups/2714158/items/UKG5PNMG"],"itemData":{"id":3144,"type":"report","genre":"Economics Department Working Papers","number":"No. 1588","publisher":"Organisation for Economic Co-operation and Development","title":"Housing, Wealth Accumulation and Wealth Distribution: Evidence and Stylized Facts","author":[{"family":"Causa","given":"Orsetta"},{"family":"Woloszko","given":"Nicolas"},{"family":"Leite","given":"David"}],"issued":{"date-parts":[["2019"]]}}}],"schema":"https://github.com/citation-style-language/schema/raw/master/csl-citation.json"} </w:instrText>
            </w:r>
            <w:r w:rsidRPr="002A285F">
              <w:rPr>
                <w:spacing w:val="-2"/>
              </w:rPr>
              <w:fldChar w:fldCharType="separate"/>
            </w:r>
            <w:r w:rsidRPr="002A285F">
              <w:rPr>
                <w:spacing w:val="-2"/>
              </w:rPr>
              <w:t>(Causa, Woloszko and Leite 2019)</w:t>
            </w:r>
            <w:r w:rsidRPr="002A285F">
              <w:rPr>
                <w:spacing w:val="-2"/>
              </w:rPr>
              <w:fldChar w:fldCharType="end"/>
            </w:r>
            <w:r w:rsidRPr="002A285F">
              <w:rPr>
                <w:spacing w:val="-2"/>
              </w:rPr>
              <w:t>. Preliminary research on wealth inequality over recent periods in the same study suggested that countries that experienced declining home ownership rates tended to have a decreasing share of wealth held by the bottom 40 per cent (indicating greater inequality). The relationship was less clear for countries that had also experienced rising house prices (such as Australia, the United States, Canada and the United Kingdom), where there was relatively little change in the share of wealth held by the bottom 40 per cent. This may be because rising house prices increase the share of wealth held by homeowners, including those in the bottom 40 per cent of the wealth distribution, offsetting falls in shares of wealth due to declines in home ownership.</w:t>
            </w:r>
          </w:p>
          <w:p w14:paraId="1428B941" w14:textId="77777777" w:rsidR="006E0ED6" w:rsidRDefault="006E0ED6" w:rsidP="001625EC">
            <w:pPr>
              <w:pStyle w:val="FigureTableHeading"/>
              <w:rPr>
                <w:vertAlign w:val="superscript"/>
              </w:rPr>
            </w:pPr>
            <w:r w:rsidRPr="002A285F">
              <w:t>Home ownership rates by birth cohort and age group</w:t>
            </w:r>
            <w:r w:rsidRPr="002A285F">
              <w:rPr>
                <w:vertAlign w:val="superscript"/>
              </w:rPr>
              <w:t>a</w:t>
            </w:r>
          </w:p>
          <w:p w14:paraId="7957BE96" w14:textId="05790706" w:rsidR="006E0ED6" w:rsidRPr="002A285F" w:rsidRDefault="00AB5A29" w:rsidP="001625EC">
            <w:pPr>
              <w:pStyle w:val="BodyText"/>
              <w:rPr>
                <w:spacing w:val="-2"/>
              </w:rPr>
            </w:pPr>
            <w:r w:rsidRPr="00AB5A29">
              <w:rPr>
                <w:noProof/>
                <w:spacing w:val="-2"/>
              </w:rPr>
              <w:drawing>
                <wp:inline distT="0" distB="0" distL="0" distR="0" wp14:anchorId="54D092B1" wp14:editId="01E54202">
                  <wp:extent cx="5961104" cy="2877185"/>
                  <wp:effectExtent l="0" t="0" r="0" b="0"/>
                  <wp:docPr id="12" name="Picture 12" descr="Box 3.4 figure. This chart shows home ownership rates by age group for different years of birth, from 1947-51 to 1987-91. Over time, younger generations have had lower home ownership rates than the generations that came before them at the same age group.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x 3.4 figure. This chart shows home ownership rates by age group for different years of birth, from 1947-51 to 1987-91. Over time, younger generations have had lower home ownership rates than the generations that came before them at the same age group. More details are contained in the text surrounding this figur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a:stretch/>
                        </pic:blipFill>
                        <pic:spPr bwMode="auto">
                          <a:xfrm>
                            <a:off x="0" y="0"/>
                            <a:ext cx="5961104" cy="2877185"/>
                          </a:xfrm>
                          <a:prstGeom prst="rect">
                            <a:avLst/>
                          </a:prstGeom>
                          <a:noFill/>
                          <a:ln>
                            <a:noFill/>
                          </a:ln>
                          <a:extLst>
                            <a:ext uri="{53640926-AAD7-44D8-BBD7-CCE9431645EC}">
                              <a14:shadowObscured xmlns:a14="http://schemas.microsoft.com/office/drawing/2010/main"/>
                            </a:ext>
                          </a:extLst>
                        </pic:spPr>
                      </pic:pic>
                    </a:graphicData>
                  </a:graphic>
                </wp:inline>
              </w:drawing>
            </w:r>
          </w:p>
          <w:p w14:paraId="363787BD" w14:textId="77777777" w:rsidR="006E0ED6" w:rsidRDefault="006E0ED6" w:rsidP="001625EC">
            <w:pPr>
              <w:pStyle w:val="Note"/>
            </w:pPr>
            <w:r w:rsidRPr="00E65310">
              <w:rPr>
                <w:b/>
                <w:bCs/>
              </w:rPr>
              <w:t xml:space="preserve">a. </w:t>
            </w:r>
            <w:r>
              <w:t>Based on Census data. Rates reflect the year the household reference person was born.</w:t>
            </w:r>
          </w:p>
          <w:p w14:paraId="0B5F3242" w14:textId="161511EC" w:rsidR="006E0ED6" w:rsidRDefault="006E0ED6" w:rsidP="001625EC">
            <w:pPr>
              <w:pStyle w:val="Source"/>
            </w:pPr>
            <w:r>
              <w:t xml:space="preserve">Source: </w:t>
            </w:r>
            <w:r w:rsidRPr="00E6001C">
              <w:t xml:space="preserve">AIHW </w:t>
            </w:r>
            <w:r w:rsidRPr="00E6001C">
              <w:fldChar w:fldCharType="begin"/>
            </w:r>
            <w:r w:rsidR="0047772E">
              <w:instrText xml:space="preserve"> ADDIN ZOTERO_ITEM CSL_CITATION {"citationID":"IqlY92oU","properties":{"formattedCitation":"(2021a, figure 2)","plainCitation":"(2021a, figure 2)","noteIndex":0},"citationItems":[{"id":3145,"uris":["http://zotero.org/groups/2714158/items/5EL3VN78"],"uri":["http://zotero.org/groups/2714158/items/5EL3VN78"],"itemData":{"id":3145,"type":"webpage","abstract":"Secure and affordable housing is fundamental to the wellbeing of Australians. Home ownership continues to be a widely held aspiration in Australia, providing owners with security of housing tenure...","container-title":"Australian Institute of Health and Welfare","language":"en-AU","title":"Home Ownership and Housing Tenure","URL":"https://www.aihw.gov.au/reports/australias-welfare/home-ownership-and-housing-tenure","author":[{"literal":"Australian Institute of Health and Welfare"}],"translator":[{"literal":"AIHW"}],"accessed":{"date-parts":[["2021",8,12]]},"issued":{"date-parts":[["2021"]]}},"suppress-author":true,"suffix":", figure 2"}],"schema":"https://github.com/citation-style-language/schema/raw/master/csl-citation.json"} </w:instrText>
            </w:r>
            <w:r w:rsidRPr="00E6001C">
              <w:fldChar w:fldCharType="separate"/>
            </w:r>
            <w:r w:rsidR="00816542" w:rsidRPr="00816542">
              <w:rPr>
                <w:rFonts w:ascii="Arial" w:hAnsi="Arial" w:cs="Arial"/>
              </w:rPr>
              <w:t>(2021a, figure 2)</w:t>
            </w:r>
            <w:r w:rsidRPr="00E6001C">
              <w:fldChar w:fldCharType="end"/>
            </w:r>
            <w:r w:rsidRPr="00E6001C">
              <w:t>.</w:t>
            </w:r>
          </w:p>
        </w:tc>
      </w:tr>
      <w:tr w:rsidR="006E0ED6" w14:paraId="4A0762E8" w14:textId="77777777" w:rsidTr="001625EC">
        <w:tc>
          <w:tcPr>
            <w:tcW w:w="9638" w:type="dxa"/>
            <w:shd w:val="clear" w:color="auto" w:fill="auto"/>
            <w:tcMar>
              <w:top w:w="0" w:type="dxa"/>
              <w:left w:w="170" w:type="dxa"/>
              <w:bottom w:w="0" w:type="dxa"/>
              <w:right w:w="170" w:type="dxa"/>
            </w:tcMar>
          </w:tcPr>
          <w:p w14:paraId="50CFAC07" w14:textId="77777777" w:rsidR="006E0ED6" w:rsidRDefault="006E0ED6" w:rsidP="001625EC">
            <w:pPr>
              <w:pStyle w:val="BodyText"/>
              <w:spacing w:before="0" w:after="0" w:line="80" w:lineRule="atLeast"/>
            </w:pPr>
          </w:p>
        </w:tc>
      </w:tr>
    </w:tbl>
    <w:p w14:paraId="186A3A5F" w14:textId="77777777" w:rsidR="006E0ED6" w:rsidRDefault="006E0ED6" w:rsidP="006E0ED6">
      <w:pPr>
        <w:pStyle w:val="BodyText"/>
        <w:keepNext/>
      </w:pPr>
      <w:r>
        <w:t>Increasing housing wealth is a significant driver of rising total wealth among older age groups in the projection (</w:t>
      </w:r>
      <w:r w:rsidRPr="007C06EA">
        <w:t>figure 3.4). Housing</w:t>
      </w:r>
      <w:r>
        <w:t xml:space="preserve"> wealth represents about half of the total wealth of those aged 30–59 in both </w:t>
      </w:r>
      <w:r>
        <w:lastRenderedPageBreak/>
        <w:t>2018 and 2048. In comparison, housing wealth represents</w:t>
      </w:r>
      <w:r w:rsidRPr="005B6312">
        <w:t xml:space="preserve"> about 54</w:t>
      </w:r>
      <w:r>
        <w:t> </w:t>
      </w:r>
      <w:r w:rsidRPr="005B6312">
        <w:t xml:space="preserve">per cent </w:t>
      </w:r>
      <w:r>
        <w:t xml:space="preserve">of the total wealth of </w:t>
      </w:r>
      <w:r w:rsidRPr="005B6312">
        <w:t>people aged 60–99</w:t>
      </w:r>
      <w:r>
        <w:t xml:space="preserve"> in 2018 and increases to </w:t>
      </w:r>
      <w:r w:rsidRPr="005B6312">
        <w:t>6</w:t>
      </w:r>
      <w:r>
        <w:t>6</w:t>
      </w:r>
      <w:r w:rsidRPr="005B6312">
        <w:t xml:space="preserve"> per cent </w:t>
      </w:r>
      <w:r>
        <w:t>by 2048</w:t>
      </w:r>
      <w:r w:rsidRPr="005B6312">
        <w:t xml:space="preserve">. </w:t>
      </w:r>
      <w:bookmarkStart w:id="39" w:name="_Hlk79140020"/>
      <w:r w:rsidRPr="005B6312">
        <w:t xml:space="preserve">This is because older </w:t>
      </w:r>
      <w:r>
        <w:t xml:space="preserve">age groups: </w:t>
      </w:r>
    </w:p>
    <w:p w14:paraId="3E4E0B0E" w14:textId="77777777" w:rsidR="006E0ED6" w:rsidRPr="0006357B" w:rsidRDefault="006E0ED6" w:rsidP="006E0ED6">
      <w:pPr>
        <w:pStyle w:val="ListBullet"/>
      </w:pPr>
      <w:r w:rsidRPr="0006357B">
        <w:t>experience more years of higher returns on housing (including historical returns reflected in initial wealth values) before all asset returns converge to income growth in the model. If house prices had grown more slowly in the past, the initial housing wealth of these cohorts would also be lower</w:t>
      </w:r>
    </w:p>
    <w:p w14:paraId="530AE8EF" w14:textId="77777777" w:rsidR="006E0ED6" w:rsidRPr="0006357B" w:rsidRDefault="006E0ED6" w:rsidP="006E0ED6">
      <w:pPr>
        <w:pStyle w:val="ListBullet"/>
      </w:pPr>
      <w:r w:rsidRPr="0006357B">
        <w:t>draw down housing wealth slowly</w:t>
      </w:r>
    </w:p>
    <w:p w14:paraId="6496F249" w14:textId="77777777" w:rsidR="006E0ED6" w:rsidRPr="0006357B" w:rsidRDefault="006E0ED6" w:rsidP="006E0ED6">
      <w:pPr>
        <w:pStyle w:val="ListBullet"/>
      </w:pPr>
      <w:r w:rsidRPr="0006357B">
        <w:t>inherit large housing wealth from their partners in old age.</w:t>
      </w:r>
      <w:bookmarkEnd w:id="39"/>
      <w:r w:rsidRPr="0006357B">
        <w:t xml:space="preserve"> </w:t>
      </w:r>
    </w:p>
    <w:p w14:paraId="0DD9D614" w14:textId="77777777" w:rsidR="006E0ED6" w:rsidRDefault="006E0ED6" w:rsidP="006E0ED6">
      <w:pPr>
        <w:pStyle w:val="BodyText"/>
      </w:pPr>
      <w:r>
        <w:t>P</w:t>
      </w:r>
      <w:r w:rsidRPr="00D7526A">
        <w:t xml:space="preserve">robabilities of becoming a homeowner in the base scenario were estimated using HILDA, </w:t>
      </w:r>
      <w:r>
        <w:t xml:space="preserve">which </w:t>
      </w:r>
      <w:r w:rsidRPr="00D7526A">
        <w:t>produc</w:t>
      </w:r>
      <w:r>
        <w:t>ed</w:t>
      </w:r>
      <w:r w:rsidRPr="00D7526A">
        <w:t xml:space="preserve"> home</w:t>
      </w:r>
      <w:r>
        <w:t xml:space="preserve"> </w:t>
      </w:r>
      <w:r w:rsidRPr="00D7526A">
        <w:t>ownership rates by age group that were similar to those observed in HILDA in 2018</w:t>
      </w:r>
      <w:r>
        <w:t xml:space="preserve"> (appendix C)</w:t>
      </w:r>
      <w:r w:rsidRPr="00D7526A">
        <w:t xml:space="preserve">. </w:t>
      </w:r>
      <w:r>
        <w:t xml:space="preserve">If alternatively, the model </w:t>
      </w:r>
      <w:r w:rsidRPr="00D7526A">
        <w:t>assum</w:t>
      </w:r>
      <w:r>
        <w:t>ed</w:t>
      </w:r>
      <w:r w:rsidRPr="00D7526A">
        <w:t xml:space="preserve"> </w:t>
      </w:r>
      <w:r>
        <w:t>that</w:t>
      </w:r>
      <w:r w:rsidRPr="00D7526A" w:rsidDel="00C32DA3">
        <w:t xml:space="preserve"> </w:t>
      </w:r>
      <w:r w:rsidRPr="00D7526A">
        <w:t>home</w:t>
      </w:r>
      <w:r>
        <w:t xml:space="preserve"> </w:t>
      </w:r>
      <w:r w:rsidRPr="00D7526A">
        <w:t>ownership rate</w:t>
      </w:r>
      <w:r>
        <w:t>s continue to decline as they have in recent decades (box 3.4),</w:t>
      </w:r>
      <w:r w:rsidRPr="00D7526A">
        <w:t xml:space="preserve"> the share of wealth held by younger cohorts would reduce by a greater extent than under the base scenario, increasing wealth inequality across age groups.</w:t>
      </w:r>
    </w:p>
    <w:p w14:paraId="78F684E5" w14:textId="11276A29" w:rsidR="006E0ED6" w:rsidRPr="00146382"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4</w:t>
      </w:r>
      <w:r w:rsidR="00B2270C">
        <w:rPr>
          <w:noProof/>
        </w:rPr>
        <w:fldChar w:fldCharType="end"/>
      </w:r>
      <w:r>
        <w:rPr>
          <w:noProof/>
        </w:rPr>
        <w:t xml:space="preserve"> </w:t>
      </w:r>
      <w:r>
        <w:t xml:space="preserve">– </w:t>
      </w:r>
      <w:r w:rsidRPr="008155AF">
        <w:t>Housing is projected to drive growth in wealth among older age groups</w:t>
      </w:r>
    </w:p>
    <w:p w14:paraId="245537E9" w14:textId="77777777" w:rsidR="006E0ED6" w:rsidRPr="004C58DE" w:rsidRDefault="006E0ED6" w:rsidP="006E0ED6">
      <w:pPr>
        <w:pStyle w:val="FigureTableSubheading"/>
        <w:keepLines/>
        <w:rPr>
          <w:sz w:val="18"/>
          <w:szCs w:val="16"/>
        </w:rPr>
      </w:pPr>
      <w:r w:rsidRPr="004C58DE">
        <w:rPr>
          <w:sz w:val="18"/>
          <w:szCs w:val="16"/>
        </w:rPr>
        <w:t>Composition of projected total wealth held within each age group by year</w:t>
      </w:r>
      <w:r w:rsidRPr="004C58DE">
        <w:rPr>
          <w:sz w:val="18"/>
          <w:szCs w:val="16"/>
          <w:vertAlign w:val="superscript"/>
        </w:rPr>
        <w:t>a</w:t>
      </w:r>
    </w:p>
    <w:p w14:paraId="744E9CB7" w14:textId="7C16FD97" w:rsidR="006E0ED6" w:rsidRPr="005550A0" w:rsidRDefault="006C506F" w:rsidP="006E0ED6">
      <w:pPr>
        <w:pStyle w:val="BodyText"/>
      </w:pPr>
      <w:r>
        <w:rPr>
          <w:noProof/>
        </w:rPr>
        <w:drawing>
          <wp:inline distT="0" distB="0" distL="0" distR="0" wp14:anchorId="2661226A" wp14:editId="0CA69DAD">
            <wp:extent cx="6120130" cy="2693670"/>
            <wp:effectExtent l="0" t="0" r="0" b="0"/>
            <wp:docPr id="13" name="Graphic 13" descr="Figure 3.4. This chart shows, within each age group, what share of their wealth is held in housing, superannuation and other assets in 2018 and 2048. The share of wealth in housing rises among older age group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Figure 3.4. This chart shows, within each age group, what share of their wealth is held in housing, superannuation and other assets in 2018 and 2048. The share of wealth in housing rises among older age groups. More details are contained in the text surrounding this figure."/>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6120130" cy="2693670"/>
                    </a:xfrm>
                    <a:prstGeom prst="rect">
                      <a:avLst/>
                    </a:prstGeom>
                  </pic:spPr>
                </pic:pic>
              </a:graphicData>
            </a:graphic>
          </wp:inline>
        </w:drawing>
      </w:r>
    </w:p>
    <w:p w14:paraId="06DF05BB" w14:textId="77777777" w:rsidR="006E0ED6" w:rsidRDefault="006E0ED6" w:rsidP="006E0ED6">
      <w:pPr>
        <w:pStyle w:val="Note"/>
        <w:keepLines/>
      </w:pPr>
      <w:r w:rsidRPr="00180E66">
        <w:rPr>
          <w:b/>
          <w:bCs/>
        </w:rPr>
        <w:t>a.</w:t>
      </w:r>
      <w:r>
        <w:t xml:space="preserve"> </w:t>
      </w:r>
      <w:r w:rsidRPr="00B62A34">
        <w:t>Discounted to 2018 values by projected income growth. Non</w:t>
      </w:r>
      <w:r>
        <w:t>-</w:t>
      </w:r>
      <w:r w:rsidRPr="00B62A34">
        <w:t>housing debt is not projected. As there are no births in the model, by 2048 there are no people aged under 30.</w:t>
      </w:r>
    </w:p>
    <w:p w14:paraId="34EB841E" w14:textId="77777777" w:rsidR="006E0ED6" w:rsidRDefault="006E0ED6" w:rsidP="006E0ED6">
      <w:pPr>
        <w:pStyle w:val="Source"/>
      </w:pPr>
      <w:r w:rsidRPr="00696447">
        <w:t xml:space="preserve">Source: </w:t>
      </w:r>
      <w:r w:rsidRPr="003A34D3">
        <w:t>Productivity Commission estimates from cohort simulation model.</w:t>
      </w:r>
    </w:p>
    <w:p w14:paraId="4A383AAE" w14:textId="77777777" w:rsidR="006E0ED6" w:rsidRDefault="006E0ED6" w:rsidP="006E0ED6">
      <w:pPr>
        <w:pStyle w:val="BodyText"/>
      </w:pPr>
      <w:r>
        <w:t>Wealth accumulation is sensitive to the assumed rate of return on housing. For example, when housing was assumed to grow at its historical rate of 7 per cent in the long run, rather than 4 per cent, average wealth accumulated over the projection period by people aged 60–</w:t>
      </w:r>
      <w:r w:rsidRPr="005B6312">
        <w:t xml:space="preserve">64 </w:t>
      </w:r>
      <w:r>
        <w:t>nearly doubled</w:t>
      </w:r>
      <w:r w:rsidRPr="005B6312">
        <w:t xml:space="preserve"> ($1.8</w:t>
      </w:r>
      <w:r>
        <w:t> </w:t>
      </w:r>
      <w:r w:rsidRPr="005B6312">
        <w:t>million by 2048 compared with $1 million in constant dollars).</w:t>
      </w:r>
    </w:p>
    <w:p w14:paraId="6A2FFF7F" w14:textId="77777777" w:rsidR="006E0ED6" w:rsidRDefault="006E0ED6" w:rsidP="006E0ED6">
      <w:pPr>
        <w:pStyle w:val="Heading3"/>
      </w:pPr>
      <w:bookmarkStart w:id="40" w:name="_Hlk82602143"/>
      <w:r>
        <w:t>Future wealth transfers are projected to increase in size</w:t>
      </w:r>
    </w:p>
    <w:bookmarkEnd w:id="40"/>
    <w:p w14:paraId="4E69A69E" w14:textId="77777777" w:rsidR="006E0ED6" w:rsidRPr="001D1103" w:rsidRDefault="006E0ED6" w:rsidP="006E0ED6">
      <w:pPr>
        <w:pStyle w:val="BodyText"/>
      </w:pPr>
      <w:r>
        <w:t>I</w:t>
      </w:r>
      <w:r w:rsidRPr="00697C54">
        <w:t>n the base scenario</w:t>
      </w:r>
      <w:r>
        <w:t>,</w:t>
      </w:r>
      <w:r w:rsidRPr="00697C54">
        <w:t xml:space="preserve"> </w:t>
      </w:r>
      <w:bookmarkStart w:id="41" w:name="_Hlk82602093"/>
      <w:r>
        <w:t xml:space="preserve">wealth at death and </w:t>
      </w:r>
      <w:r w:rsidRPr="00697C54">
        <w:t xml:space="preserve">inheritances passed onto the next generation </w:t>
      </w:r>
      <w:r>
        <w:t>are</w:t>
      </w:r>
      <w:r w:rsidRPr="00697C54">
        <w:t xml:space="preserve"> </w:t>
      </w:r>
      <w:r>
        <w:t>projected</w:t>
      </w:r>
      <w:r w:rsidRPr="00697C54">
        <w:t xml:space="preserve"> to grow in line with rising wealth among older age groups. </w:t>
      </w:r>
      <w:bookmarkStart w:id="42" w:name="_Hlk82602259"/>
      <w:bookmarkStart w:id="43" w:name="_Hlk77867908"/>
      <w:bookmarkStart w:id="44" w:name="_Hlk79140150"/>
      <w:bookmarkEnd w:id="41"/>
      <w:r w:rsidRPr="00697C54">
        <w:t xml:space="preserve">Total wealth at death </w:t>
      </w:r>
      <w:r>
        <w:t>is</w:t>
      </w:r>
      <w:r w:rsidRPr="00697C54">
        <w:t xml:space="preserve"> projected to increase by a factor of 3.</w:t>
      </w:r>
      <w:r>
        <w:t>3</w:t>
      </w:r>
      <w:r w:rsidRPr="00697C54">
        <w:t xml:space="preserve"> between 2020 and 2050</w:t>
      </w:r>
      <w:bookmarkEnd w:id="42"/>
      <w:r w:rsidRPr="00697C54">
        <w:t>, with the total amount passed onto the next generation increasing by a factor of 3.</w:t>
      </w:r>
      <w:r>
        <w:t>9.</w:t>
      </w:r>
      <w:r w:rsidRPr="00697C54">
        <w:t xml:space="preserve"> </w:t>
      </w:r>
      <w:r>
        <w:t>T</w:t>
      </w:r>
      <w:r w:rsidRPr="00697C54">
        <w:t xml:space="preserve">he larger factor increase in </w:t>
      </w:r>
      <w:r>
        <w:t xml:space="preserve">intergenerational </w:t>
      </w:r>
      <w:r w:rsidRPr="00697C54">
        <w:t xml:space="preserve">inheritances </w:t>
      </w:r>
      <w:r>
        <w:t xml:space="preserve">in the model </w:t>
      </w:r>
      <w:r w:rsidRPr="00697C54">
        <w:t xml:space="preserve">is because older age </w:t>
      </w:r>
      <w:r w:rsidRPr="00697C54">
        <w:lastRenderedPageBreak/>
        <w:t xml:space="preserve">groups make up a larger </w:t>
      </w:r>
      <w:r>
        <w:t>share</w:t>
      </w:r>
      <w:r w:rsidRPr="00697C54">
        <w:t xml:space="preserve"> of total deaths </w:t>
      </w:r>
      <w:r>
        <w:t xml:space="preserve">projected </w:t>
      </w:r>
      <w:r w:rsidRPr="00697C54">
        <w:t xml:space="preserve">in 2050 and are less likely to </w:t>
      </w:r>
      <w:r>
        <w:t>have a surviving spouse (who would otherwise receive the inheritance)</w:t>
      </w:r>
      <w:r w:rsidRPr="00697C54">
        <w:t xml:space="preserve">. </w:t>
      </w:r>
    </w:p>
    <w:bookmarkEnd w:id="43"/>
    <w:p w14:paraId="4629E26D" w14:textId="77777777" w:rsidR="006E0ED6" w:rsidRDefault="006E0ED6" w:rsidP="006E0ED6">
      <w:pPr>
        <w:pStyle w:val="BodyText"/>
      </w:pPr>
      <w:r>
        <w:t>Decomposing the increase in total wealth at death into changes in the number of deaths and in average wealth shows that it is largely driven by an increase in the number of deaths, which is projected to double.</w:t>
      </w:r>
      <w:r w:rsidRPr="00674BBB">
        <w:t xml:space="preserve"> </w:t>
      </w:r>
      <w:r>
        <w:t>(The</w:t>
      </w:r>
      <w:r w:rsidDel="00B2674A">
        <w:t xml:space="preserve"> </w:t>
      </w:r>
      <w:r>
        <w:t>decomposition of total wealth at death is highly sensitive to assumptions for returns on assets, which are explored in section 3.4).</w:t>
      </w:r>
    </w:p>
    <w:bookmarkEnd w:id="44"/>
    <w:p w14:paraId="4FE04012" w14:textId="77777777" w:rsidR="006E0ED6" w:rsidRDefault="006E0ED6" w:rsidP="006E0ED6">
      <w:pPr>
        <w:pStyle w:val="BodyText"/>
        <w:keepNext/>
      </w:pPr>
      <w:r w:rsidRPr="009726A1">
        <w:t xml:space="preserve">The relative size of inheritances received </w:t>
      </w:r>
      <w:r>
        <w:t>is</w:t>
      </w:r>
      <w:r w:rsidRPr="009726A1">
        <w:t xml:space="preserve"> also projected to increase. </w:t>
      </w:r>
      <w:r>
        <w:t>For</w:t>
      </w:r>
      <w:r w:rsidDel="00221EC2">
        <w:t xml:space="preserve"> </w:t>
      </w:r>
      <w:r>
        <w:t>inheritance recipients aged 62–66 (the age group at which total received inheritances peaks) in 2020 and 2050:</w:t>
      </w:r>
    </w:p>
    <w:p w14:paraId="6906CF86" w14:textId="77777777" w:rsidR="006E0ED6" w:rsidRDefault="006E0ED6" w:rsidP="006E0ED6">
      <w:pPr>
        <w:pStyle w:val="ListBullet"/>
      </w:pPr>
      <w:r>
        <w:t>the ratio of received inheritances to existing wealth increases from 0.16 to 0.78</w:t>
      </w:r>
    </w:p>
    <w:p w14:paraId="4554317A" w14:textId="77777777" w:rsidR="006E0ED6" w:rsidRDefault="006E0ED6" w:rsidP="006E0ED6">
      <w:pPr>
        <w:pStyle w:val="ListBullet"/>
      </w:pPr>
      <w:r>
        <w:t>the ratio of received inheritances to estimated cumulative income increases from 0.08 to 0.43.</w:t>
      </w:r>
      <w:r w:rsidRPr="003A46E1">
        <w:rPr>
          <w:rStyle w:val="FootnoteReference"/>
        </w:rPr>
        <w:footnoteReference w:id="44"/>
      </w:r>
      <w:r>
        <w:t xml:space="preserve"> </w:t>
      </w:r>
    </w:p>
    <w:p w14:paraId="49FB0171" w14:textId="77777777" w:rsidR="006E0ED6" w:rsidRDefault="006E0ED6" w:rsidP="006E0ED6">
      <w:pPr>
        <w:pStyle w:val="BodyText"/>
      </w:pPr>
      <w:r>
        <w:t xml:space="preserve">These outcomes are partially </w:t>
      </w:r>
      <w:bookmarkStart w:id="45" w:name="_Hlk82602913"/>
      <w:r>
        <w:t>driven by the disproportionately strong growth in wealth for older people (including from historical returns, described above). This wealth is especially large relative to the incomes and lower returns on wealth for younger people</w:t>
      </w:r>
      <w:r w:rsidRPr="004E1E9A">
        <w:t xml:space="preserve"> </w:t>
      </w:r>
      <w:r>
        <w:t xml:space="preserve">during the projection period. </w:t>
      </w:r>
      <w:bookmarkEnd w:id="45"/>
    </w:p>
    <w:p w14:paraId="3D732A03" w14:textId="77777777" w:rsidR="006E0ED6" w:rsidRDefault="006E0ED6" w:rsidP="006E0ED6">
      <w:pPr>
        <w:pStyle w:val="BodyText"/>
        <w:keepNext/>
      </w:pPr>
      <w:r>
        <w:t xml:space="preserve">There is also a rise in the average size of received inheritances, driven by a 50 per cent fall in the ratio of inheritance recipients to deaths (from about 2:1 to 1:1) over the projection period. Even if there was no change in average wealth passed onto younger generations at death, the relative fall in recipients effectively doubles the size of inheritances received. As discussed in section 3.1, this is partly because of falling fertility rates observed in recent decades, reflected in the initial population. Analysis of 2018 HILDA data shows that about 55 per cent of people aged 80–84 had more than two children, whereas it was only 35 per cent for people aged 50–54 (Productivity Commission estimates using HILDA Restricted Release 19). </w:t>
      </w:r>
    </w:p>
    <w:p w14:paraId="061F8664" w14:textId="77777777" w:rsidR="006E0ED6" w:rsidRDefault="006E0ED6" w:rsidP="006E0ED6">
      <w:pPr>
        <w:pStyle w:val="BodyText"/>
      </w:pPr>
      <w:r>
        <w:t xml:space="preserve">While inter vivos gifts are included in the model, </w:t>
      </w:r>
      <w:bookmarkStart w:id="46" w:name="_Hlk82602371"/>
      <w:r>
        <w:t>gifting rates are assumed to remain constant over time in the base scenario and are estimated based on HILDA data,</w:t>
      </w:r>
      <w:r w:rsidDel="005F5999">
        <w:t xml:space="preserve"> which</w:t>
      </w:r>
      <w:r>
        <w:t xml:space="preserve">, as noted in </w:t>
      </w:r>
      <w:r w:rsidRPr="007C06EA">
        <w:t>chapter 1,</w:t>
      </w:r>
      <w:r w:rsidRPr="007C06EA" w:rsidDel="005F5999">
        <w:t xml:space="preserve"> </w:t>
      </w:r>
      <w:r w:rsidRPr="007C06EA">
        <w:t xml:space="preserve">may </w:t>
      </w:r>
      <w:r w:rsidRPr="007C06EA" w:rsidDel="005F5999">
        <w:t>underreport</w:t>
      </w:r>
      <w:r w:rsidDel="005F5999">
        <w:t xml:space="preserve"> gifts received</w:t>
      </w:r>
      <w:r>
        <w:t>. The total value</w:t>
      </w:r>
      <w:r w:rsidDel="0064270B">
        <w:t xml:space="preserve"> </w:t>
      </w:r>
      <w:r>
        <w:t>of gifts is projected to increase only slightly and fall relative to the value of inheritances</w:t>
      </w:r>
      <w:bookmarkEnd w:id="46"/>
      <w:r>
        <w:t xml:space="preserve"> (from about 23 per cent in the 2019 base scenario projections to only 6 per cent in 2050). This is because gifts are assumed to be given from other assets, which </w:t>
      </w:r>
      <w:bookmarkStart w:id="47" w:name="_Hlk82602606"/>
      <w:r>
        <w:t>are projected to grow more slowly than wealth at death</w:t>
      </w:r>
      <w:bookmarkEnd w:id="47"/>
      <w:r>
        <w:t>.</w:t>
      </w:r>
    </w:p>
    <w:p w14:paraId="027360E1" w14:textId="77777777" w:rsidR="006E0ED6" w:rsidRDefault="006E0ED6" w:rsidP="006E0ED6">
      <w:pPr>
        <w:pStyle w:val="Heading3"/>
      </w:pPr>
      <w:r>
        <w:t>Benefits from wealth transfers change over the lifecycle</w:t>
      </w:r>
    </w:p>
    <w:p w14:paraId="1F585435" w14:textId="77777777" w:rsidR="006E0ED6" w:rsidRDefault="006E0ED6" w:rsidP="006E0ED6">
      <w:pPr>
        <w:pStyle w:val="BodyText"/>
      </w:pPr>
      <w:r>
        <w:t xml:space="preserve">The degree to </w:t>
      </w:r>
      <w:r w:rsidRPr="007C06EA">
        <w:t xml:space="preserve">which people benefit from wealth transfers changes over the lifecycle (figure 3.5). </w:t>
      </w:r>
      <w:bookmarkStart w:id="48" w:name="_Hlk77868846"/>
      <w:r w:rsidRPr="007C06EA">
        <w:t>In the simulation</w:t>
      </w:r>
      <w:r>
        <w:t xml:space="preserve"> results:</w:t>
      </w:r>
    </w:p>
    <w:p w14:paraId="1AA33F23" w14:textId="77777777" w:rsidR="006E0ED6" w:rsidRPr="00FF5C3E" w:rsidRDefault="006E0ED6" w:rsidP="006E0ED6">
      <w:pPr>
        <w:pStyle w:val="ListBullet"/>
      </w:pPr>
      <w:r w:rsidRPr="00FF5C3E">
        <w:t>younger people under the age of about 40, who are millennials and post</w:t>
      </w:r>
      <w:r w:rsidRPr="00FF5C3E">
        <w:noBreakHyphen/>
        <w:t xml:space="preserve">millennials in the model, benefit from being net receivers of gifts from their parents. Those who receive an inheritance also benefit from an increased probability of home ownership. </w:t>
      </w:r>
    </w:p>
    <w:p w14:paraId="03B9EFF2" w14:textId="77777777" w:rsidR="006E0ED6" w:rsidRPr="00FF5C3E" w:rsidRDefault="006E0ED6" w:rsidP="006E0ED6">
      <w:pPr>
        <w:pStyle w:val="ListBullet"/>
      </w:pPr>
      <w:r w:rsidRPr="00FF5C3E">
        <w:t>early middle aged people, aged around 45–54, tend to give more gifts, offsetting increases in wealth from saving received wealth transfers. Over the projection period, this age group initially covers generation X and then transitions to cover millennials and older post</w:t>
      </w:r>
      <w:r w:rsidRPr="00FF5C3E">
        <w:noBreakHyphen/>
        <w:t>millennials.</w:t>
      </w:r>
    </w:p>
    <w:p w14:paraId="0F36BC4E" w14:textId="77777777" w:rsidR="006E0ED6" w:rsidRPr="00FF5C3E" w:rsidRDefault="006E0ED6" w:rsidP="006E0ED6">
      <w:pPr>
        <w:pStyle w:val="ListBullet"/>
      </w:pPr>
      <w:r w:rsidRPr="00FF5C3E">
        <w:lastRenderedPageBreak/>
        <w:t>older middle aged people and retirees, aged around 55–74, are the biggest immediate beneficiaries of wealth transfers through the receipt of inheritances. For example, two thirds of the 60–64 age group had received an inheritance by 2048. The cohort of older middle aged people and retirees largely consists of baby boomers at the start of the projection, with generation X and older millennials transitioning into this age range during the projection period.</w:t>
      </w:r>
    </w:p>
    <w:p w14:paraId="41E2C850" w14:textId="77777777" w:rsidR="006E0ED6" w:rsidRPr="00FF5C3E" w:rsidRDefault="006E0ED6" w:rsidP="006E0ED6">
      <w:pPr>
        <w:pStyle w:val="ListBullet"/>
      </w:pPr>
      <w:r w:rsidRPr="00FF5C3E">
        <w:t>older people, from the age of about 75 onwards, had mostly already received an inheritance, and are assumed to continue giving gifts to their children until age 79. This age group initially covers pre</w:t>
      </w:r>
      <w:r w:rsidRPr="00FF5C3E">
        <w:noBreakHyphen/>
        <w:t>boomers in the model, with the baby boomer generation and older members of generation X reaching this age range over time.</w:t>
      </w:r>
    </w:p>
    <w:p w14:paraId="342B85F2" w14:textId="77777777" w:rsidR="006E0ED6" w:rsidRDefault="006E0ED6" w:rsidP="006E0ED6">
      <w:pPr>
        <w:pStyle w:val="BodyText"/>
      </w:pPr>
      <w:r>
        <w:t>Figure 3.5 illustrates the cumulative effects of future wealth transfers during the projection period. For example, the difference in average wealth for people aged 60–64 in 2048 reflects the cumulative effect of increases in wealth due to gifts received while young, falls in wealth due to gifts given during early middle age, and increases in wealth from inheritances received in the latter parts of middle age.</w:t>
      </w:r>
      <w:r w:rsidRPr="00F935B9">
        <w:t xml:space="preserve"> </w:t>
      </w:r>
      <w:r>
        <w:t>Average wealth is lower for people aged over 90 in 2048 because most had already received an inheritance before the start of the simulation, and they reduced their wealth by giving gifts in the earlier years of the projection.</w:t>
      </w:r>
    </w:p>
    <w:bookmarkEnd w:id="48"/>
    <w:p w14:paraId="04BE6970" w14:textId="74692897" w:rsidR="006E0ED6"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5</w:t>
      </w:r>
      <w:r w:rsidR="00B2270C">
        <w:rPr>
          <w:noProof/>
        </w:rPr>
        <w:fldChar w:fldCharType="end"/>
      </w:r>
      <w:r>
        <w:rPr>
          <w:noProof/>
        </w:rPr>
        <w:t xml:space="preserve"> </w:t>
      </w:r>
      <w:r>
        <w:t>– Wealth transfers increase wealth most when aged 55–74</w:t>
      </w:r>
    </w:p>
    <w:p w14:paraId="17DF9CF8" w14:textId="77777777" w:rsidR="006E0ED6" w:rsidRPr="004C58DE" w:rsidRDefault="006E0ED6" w:rsidP="006E0ED6">
      <w:pPr>
        <w:pStyle w:val="FigureTableSubheading"/>
        <w:keepLines/>
        <w:rPr>
          <w:sz w:val="18"/>
          <w:szCs w:val="16"/>
        </w:rPr>
      </w:pPr>
      <w:r w:rsidRPr="004C58DE">
        <w:rPr>
          <w:sz w:val="18"/>
          <w:szCs w:val="16"/>
        </w:rPr>
        <w:t>Difference in average wealth in 2048 relative to a counterfactual in which no future wealth transfers occur, by age group (2018 dollars)</w:t>
      </w:r>
      <w:r w:rsidRPr="004C58DE">
        <w:rPr>
          <w:sz w:val="18"/>
          <w:szCs w:val="16"/>
          <w:vertAlign w:val="superscript"/>
        </w:rPr>
        <w:t>a,b</w:t>
      </w:r>
    </w:p>
    <w:p w14:paraId="7895A12B" w14:textId="77777777" w:rsidR="006E0ED6" w:rsidRPr="005550A0" w:rsidRDefault="006E0ED6" w:rsidP="006E0ED6">
      <w:pPr>
        <w:pStyle w:val="BodyText"/>
      </w:pPr>
      <w:r w:rsidRPr="00141B79">
        <w:rPr>
          <w:noProof/>
        </w:rPr>
        <w:drawing>
          <wp:inline distT="0" distB="0" distL="0" distR="0" wp14:anchorId="2F9E557F" wp14:editId="6A36012A">
            <wp:extent cx="6120130" cy="2861945"/>
            <wp:effectExtent l="0" t="0" r="0" b="0"/>
            <wp:docPr id="91" name="Picture 91" descr="Figure 3.5. This chart shows, within each age group, what the difference in average wealth held in 2048 is relative to a counterfactual in which no future wealth transfers occur, and split into that attributable to inheritances and gifts. The 70–74 age group in 2048 had the largest gain in wealth from wealth transfers, receiving a cumulative amount of over $40 000 in inheritances and giving net gifts of over $10 000 on average, resulting in about a $30 000 net gain in 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3.5. This chart shows, within each age group, what the difference in average wealth held in 2048 is relative to a counterfactual in which no future wealth transfers occur, and split into that attributable to inheritances and gifts. The 70–74 age group in 2048 had the largest gain in wealth from wealth transfers, receiving a cumulative amount of over $40 000 in inheritances and giving net gifts of over $10 000 on average, resulting in about a $30 000 net gain in wealt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2861945"/>
                    </a:xfrm>
                    <a:prstGeom prst="rect">
                      <a:avLst/>
                    </a:prstGeom>
                    <a:noFill/>
                    <a:ln>
                      <a:noFill/>
                    </a:ln>
                  </pic:spPr>
                </pic:pic>
              </a:graphicData>
            </a:graphic>
          </wp:inline>
        </w:drawing>
      </w:r>
    </w:p>
    <w:p w14:paraId="1F54EEFA" w14:textId="77777777" w:rsidR="006E0ED6" w:rsidRDefault="006E0ED6" w:rsidP="006E0ED6">
      <w:pPr>
        <w:pStyle w:val="Note"/>
        <w:keepLines/>
      </w:pPr>
      <w:r w:rsidRPr="00180E66">
        <w:rPr>
          <w:b/>
          <w:bCs/>
        </w:rPr>
        <w:t>a.</w:t>
      </w:r>
      <w:r>
        <w:t xml:space="preserve"> </w:t>
      </w:r>
      <w:r w:rsidRPr="00065383">
        <w:t>Discounted to 2018 values by projected income growth</w:t>
      </w:r>
      <w:r>
        <w:t xml:space="preserve">. </w:t>
      </w:r>
      <w:r w:rsidRPr="00065383">
        <w:t>Non</w:t>
      </w:r>
      <w:r>
        <w:t>-</w:t>
      </w:r>
      <w:r w:rsidRPr="00065383">
        <w:t xml:space="preserve">housing debt is not projected. </w:t>
      </w:r>
      <w:r w:rsidRPr="00065383">
        <w:rPr>
          <w:b/>
          <w:bCs/>
        </w:rPr>
        <w:t>b.</w:t>
      </w:r>
      <w:r w:rsidRPr="00065383">
        <w:t xml:space="preserve"> The sum of changes in average wealth with inheritances only and with gifts only do not add exactly to change with both inheritances and gifts because receiving an inheritance allows more wealth to be gifted.</w:t>
      </w:r>
    </w:p>
    <w:p w14:paraId="1860A625" w14:textId="77777777" w:rsidR="006E0ED6" w:rsidRDefault="006E0ED6" w:rsidP="006E0ED6">
      <w:pPr>
        <w:pStyle w:val="Source"/>
      </w:pPr>
      <w:r w:rsidRPr="00696447">
        <w:t xml:space="preserve">Source: </w:t>
      </w:r>
      <w:r w:rsidRPr="00202296">
        <w:t>Productivity Commission estimates from cohort simulation model.</w:t>
      </w:r>
    </w:p>
    <w:p w14:paraId="4ED28B31" w14:textId="280F04CC" w:rsidR="006E0ED6" w:rsidRDefault="00A83300" w:rsidP="0026345C">
      <w:pPr>
        <w:pStyle w:val="BodyText"/>
      </w:pPr>
      <w:r>
        <w:t>Inheritances do not appear to be a key driver of home ownership.</w:t>
      </w:r>
      <w:r w:rsidRPr="002B733F">
        <w:t xml:space="preserve"> </w:t>
      </w:r>
      <w:r>
        <w:t xml:space="preserve">In the base scenario </w:t>
      </w:r>
      <w:r w:rsidR="006E0ED6">
        <w:t>projection, 81</w:t>
      </w:r>
      <w:r w:rsidR="00FE094A">
        <w:t> </w:t>
      </w:r>
      <w:r w:rsidR="006E0ED6">
        <w:t>per</w:t>
      </w:r>
      <w:r w:rsidR="00FE094A">
        <w:t> </w:t>
      </w:r>
      <w:r w:rsidR="006E0ED6">
        <w:t xml:space="preserve">cent of people aged </w:t>
      </w:r>
      <w:r w:rsidR="006E0ED6" w:rsidRPr="0034242D">
        <w:t xml:space="preserve">55–59 </w:t>
      </w:r>
      <w:r w:rsidR="006E0ED6">
        <w:t>are homeowners</w:t>
      </w:r>
      <w:r w:rsidR="006E0ED6" w:rsidRPr="0034242D">
        <w:t xml:space="preserve"> in 2048</w:t>
      </w:r>
      <w:r w:rsidR="006E0ED6">
        <w:t xml:space="preserve">, </w:t>
      </w:r>
      <w:r w:rsidR="006E0ED6" w:rsidRPr="0034242D">
        <w:t xml:space="preserve">marginally higher than </w:t>
      </w:r>
      <w:r w:rsidR="006E0ED6">
        <w:t xml:space="preserve">the </w:t>
      </w:r>
      <w:r w:rsidR="006E0ED6" w:rsidRPr="0034242D">
        <w:t>79</w:t>
      </w:r>
      <w:r w:rsidR="006E0ED6">
        <w:t> </w:t>
      </w:r>
      <w:r w:rsidR="006E0ED6" w:rsidRPr="0034242D">
        <w:t>per cent</w:t>
      </w:r>
      <w:r w:rsidR="006E0ED6">
        <w:t xml:space="preserve"> in a hypothetical world with no transfers</w:t>
      </w:r>
      <w:r w:rsidR="006E0ED6" w:rsidRPr="0034242D">
        <w:t>.</w:t>
      </w:r>
      <w:r w:rsidR="006E0ED6" w:rsidRPr="002B733F">
        <w:t xml:space="preserve"> </w:t>
      </w:r>
      <w:r w:rsidR="006E0ED6">
        <w:t xml:space="preserve">These projections are consistent with the fact that inheritances tend to be received in late middle age but about 95 per cent of first home buyers are under the age of 55 </w:t>
      </w:r>
      <w:r w:rsidR="006E0ED6">
        <w:fldChar w:fldCharType="begin"/>
      </w:r>
      <w:r w:rsidR="0047772E">
        <w:instrText xml:space="preserve"> ADDIN ZOTERO_ITEM CSL_CITATION {"citationID":"xLzTmv8H","properties":{"formattedCitation":"(ABS\\uc0\\u160{}2019a, table 9.5)","plainCitation":"(ABS 2019a, table 9.5)","noteIndex":0},"citationItems":[{"id":1958,"uris":["http://zotero.org/groups/2714158/items/K9KVNCMS"],"uri":["http://zotero.org/groups/2714158/items/K9KVNCMS"],"itemData":{"id":1958,"type":"webpage","container-title":"Cat. no. 4130.0","title":"Housing Occupancy and Costs, 2017-18 Financial Year","URL":"https://www.abs.gov.au/statistics/people/housing/housing-occupancy-and-costs/2017-18","author":[{"literal":"Australian Bureau of Statistics"}],"translator":[{"literal":"ABS"}],"accessed":{"date-parts":[["2021",6,28]]},"issued":{"date-parts":[["2019"]]}},"suffix":", table 9.5"}],"schema":"https://github.com/citation-style-language/schema/raw/master/csl-citation.json"} </w:instrText>
      </w:r>
      <w:r w:rsidR="006E0ED6">
        <w:fldChar w:fldCharType="separate"/>
      </w:r>
      <w:r w:rsidR="00816542" w:rsidRPr="00816542">
        <w:rPr>
          <w:rFonts w:ascii="Arial" w:hAnsi="Arial" w:cs="Arial"/>
          <w:szCs w:val="24"/>
        </w:rPr>
        <w:t>(ABS 2019a, table 9.5)</w:t>
      </w:r>
      <w:r w:rsidR="006E0ED6">
        <w:fldChar w:fldCharType="end"/>
      </w:r>
      <w:r w:rsidR="006E0ED6">
        <w:t xml:space="preserve">. </w:t>
      </w:r>
    </w:p>
    <w:p w14:paraId="7E32C804" w14:textId="77777777" w:rsidR="006E0ED6" w:rsidRDefault="006E0ED6" w:rsidP="006E0ED6">
      <w:pPr>
        <w:pStyle w:val="BodyText"/>
      </w:pPr>
      <w:r>
        <w:lastRenderedPageBreak/>
        <w:t xml:space="preserve">While wealth transfers do change the percentage of wealth held by each age group, the effect is projected to be small. In 2048, people within the 55–74 age range are projected to hold an additional </w:t>
      </w:r>
      <w:r w:rsidRPr="00E0257D">
        <w:t>0.</w:t>
      </w:r>
      <w:r>
        <w:t>15</w:t>
      </w:r>
      <w:r w:rsidRPr="00E0257D">
        <w:t xml:space="preserve"> percentage points</w:t>
      </w:r>
      <w:r>
        <w:t xml:space="preserve"> of the total wealth held by the 30–99 year old population, relative to a hypothetical world without future wealth transfers. This is because only a portion of wealth transfers received are assumed to be saved to generate more wealth, and in the long term it is small relative to wealth generated from other sources. Some of the additional wealth is also assumed to be given as gifts to younger generations, which balances the wealth across age groups. </w:t>
      </w:r>
    </w:p>
    <w:p w14:paraId="7D302CE6" w14:textId="77777777" w:rsidR="006E0ED6" w:rsidRDefault="006E0ED6" w:rsidP="006E0ED6">
      <w:pPr>
        <w:pStyle w:val="Heading3"/>
      </w:pPr>
      <w:bookmarkStart w:id="49" w:name="_Hlk82603018"/>
      <w:r>
        <w:t xml:space="preserve">Wealth transfers are projected to reduce relative wealth inequality </w:t>
      </w:r>
    </w:p>
    <w:bookmarkEnd w:id="49"/>
    <w:p w14:paraId="3C375FAD" w14:textId="77777777" w:rsidR="006E0ED6" w:rsidRDefault="006E0ED6" w:rsidP="006E0ED6">
      <w:pPr>
        <w:pStyle w:val="BodyText"/>
      </w:pPr>
      <w:r>
        <w:t xml:space="preserve">Wealth transfers increase </w:t>
      </w:r>
      <w:r w:rsidRPr="00D979D7">
        <w:rPr>
          <w:i/>
          <w:iCs/>
        </w:rPr>
        <w:t>absolute</w:t>
      </w:r>
      <w:r>
        <w:t xml:space="preserve"> wealth inequality in the base scenario simulation. The range of wealth for people aged 30–99 at the 25</w:t>
      </w:r>
      <w:r w:rsidRPr="0E9EE120">
        <w:rPr>
          <w:vertAlign w:val="superscript"/>
        </w:rPr>
        <w:t>th</w:t>
      </w:r>
      <w:r>
        <w:t xml:space="preserve"> and 75</w:t>
      </w:r>
      <w:r w:rsidRPr="0E9EE120">
        <w:rPr>
          <w:vertAlign w:val="superscript"/>
        </w:rPr>
        <w:t>th</w:t>
      </w:r>
      <w:r>
        <w:t xml:space="preserve"> percentiles is projected to be $673 000 (2018 dollars) in 2048. In a hypothetical world without future wealth transfers between generations, that range would be marginally lower in 2048, at about $660 000. </w:t>
      </w:r>
    </w:p>
    <w:p w14:paraId="335E4DE2" w14:textId="26A31E44" w:rsidR="006E0ED6" w:rsidRPr="00141B79" w:rsidRDefault="006E0ED6" w:rsidP="006E0ED6">
      <w:pPr>
        <w:pStyle w:val="BodyText"/>
        <w:rPr>
          <w:spacing w:val="-4"/>
        </w:rPr>
      </w:pPr>
      <w:r w:rsidRPr="00141B79">
        <w:rPr>
          <w:spacing w:val="-4"/>
        </w:rPr>
        <w:t xml:space="preserve">Although wealth transfers lead to </w:t>
      </w:r>
      <w:r w:rsidRPr="00141B79">
        <w:rPr>
          <w:i/>
          <w:iCs/>
          <w:spacing w:val="-4"/>
        </w:rPr>
        <w:t>absolute</w:t>
      </w:r>
      <w:r w:rsidRPr="00141B79">
        <w:rPr>
          <w:spacing w:val="-4"/>
        </w:rPr>
        <w:t xml:space="preserve"> wealth inequality increasing, as observed in chapter 2, they reduce </w:t>
      </w:r>
      <w:r w:rsidRPr="00141B79">
        <w:rPr>
          <w:i/>
          <w:iCs/>
          <w:spacing w:val="-4"/>
        </w:rPr>
        <w:t xml:space="preserve">relative </w:t>
      </w:r>
      <w:r w:rsidRPr="00141B79">
        <w:rPr>
          <w:spacing w:val="-4"/>
        </w:rPr>
        <w:t>wealth inequality across the population and within generations (</w:t>
      </w:r>
      <w:r w:rsidR="00DB3F87">
        <w:t>illustrated with reference to the millennial and generation X birth cohorts</w:t>
      </w:r>
      <w:r w:rsidR="00DB3F87" w:rsidRPr="00141B79">
        <w:rPr>
          <w:spacing w:val="-4"/>
        </w:rPr>
        <w:t xml:space="preserve"> </w:t>
      </w:r>
      <w:r w:rsidR="00C4563D">
        <w:rPr>
          <w:spacing w:val="-4"/>
        </w:rPr>
        <w:t xml:space="preserve">in the light blue line in </w:t>
      </w:r>
      <w:r w:rsidRPr="00141B79">
        <w:rPr>
          <w:spacing w:val="-4"/>
        </w:rPr>
        <w:t xml:space="preserve">figure 3.6). This is because lower wealth cohorts tend to receive larger wealth transfers relative to their existing wealth. </w:t>
      </w:r>
      <w:bookmarkStart w:id="50" w:name="_Hlk77869103"/>
      <w:r w:rsidRPr="00141B79">
        <w:rPr>
          <w:spacing w:val="-4"/>
        </w:rPr>
        <w:t>For example, in 2048, inheritance recipients aged 60–64 who are in the bottom third of the wealth distribution for their age group are projected to receive an average of $230 000 in the base scenario model, which is about 70 per cent of their wealth before the inheritance. Those in the top third of the wealth distribution are projected to receive an average of $929 000 — while this is larger in absolute terms, it is about 60 per cent of their existing wealth.</w:t>
      </w:r>
      <w:bookmarkEnd w:id="50"/>
    </w:p>
    <w:p w14:paraId="43DEAF5E" w14:textId="77777777" w:rsidR="006E0ED6" w:rsidRDefault="006E0ED6" w:rsidP="006E0ED6">
      <w:pPr>
        <w:pStyle w:val="BodyText"/>
      </w:pPr>
      <w:r>
        <w:t>The reduction in relative wealth inequality is observed across a number of measures. T</w:t>
      </w:r>
      <w:bookmarkStart w:id="51" w:name="_Hlk77869110"/>
      <w:r>
        <w:t>he ratio of wealth held by people in the top 20</w:t>
      </w:r>
      <w:r w:rsidRPr="002E45C5">
        <w:rPr>
          <w:vertAlign w:val="superscript"/>
        </w:rPr>
        <w:t>th</w:t>
      </w:r>
      <w:r>
        <w:t xml:space="preserve"> percentile to that held by the bottom 20</w:t>
      </w:r>
      <w:r w:rsidRPr="002E45C5">
        <w:rPr>
          <w:vertAlign w:val="superscript"/>
        </w:rPr>
        <w:t>th</w:t>
      </w:r>
      <w:r>
        <w:t xml:space="preserve"> percentile — the 80:20 ratio — is marginally lower for people aged 30–99 in 2048 after accounting for wealth transfers</w:t>
      </w:r>
      <w:r w:rsidRPr="00B059D5">
        <w:t xml:space="preserve"> </w:t>
      </w:r>
      <w:r>
        <w:t xml:space="preserve">(4.67 without transfers compared with 4.59 with transfers), indicating slightly better relative wealth equality. </w:t>
      </w:r>
      <w:bookmarkEnd w:id="51"/>
      <w:r>
        <w:t>The Gini coefficient is also lower for the same population (43.6 without transfers compared with 43.1 with transfers)</w:t>
      </w:r>
      <w:r w:rsidRPr="002B0EF2">
        <w:t>.</w:t>
      </w:r>
    </w:p>
    <w:p w14:paraId="50FA81F0" w14:textId="7CF18B07" w:rsidR="006E0ED6" w:rsidRPr="006C2B0E" w:rsidRDefault="006E0ED6" w:rsidP="006E0ED6">
      <w:pPr>
        <w:pStyle w:val="BodyText"/>
        <w:rPr>
          <w:spacing w:val="-2"/>
        </w:rPr>
      </w:pPr>
      <w:r w:rsidRPr="006C2B0E">
        <w:rPr>
          <w:spacing w:val="-2"/>
        </w:rPr>
        <w:t>In examining relative wealth inequality effects over time by generation, a slight timing effect of inheritances is observed for millennials, where the effect on the Gini coefficient falls between 2035 and 2045 (figure 3.6</w:t>
      </w:r>
      <w:r w:rsidR="0018361B">
        <w:rPr>
          <w:spacing w:val="-2"/>
        </w:rPr>
        <w:t>, light blue line</w:t>
      </w:r>
      <w:r w:rsidRPr="006C2B0E">
        <w:rPr>
          <w:spacing w:val="-2"/>
        </w:rPr>
        <w:t>). Not all millennials received an inheritance at the same time, which reduced the improvement in inequality from wealth transfers within that generation in the immediate term. Once all people within the generation receive an inheritance in the model, there is an equalising effect. This timing effect is present in all modelling results.</w:t>
      </w:r>
    </w:p>
    <w:p w14:paraId="3557B765" w14:textId="77777777" w:rsidR="006E0ED6" w:rsidRDefault="006E0ED6" w:rsidP="006E0ED6">
      <w:pPr>
        <w:pStyle w:val="Heading3"/>
      </w:pPr>
      <w:r>
        <w:t>The reduction in relative wealth inequality due to wealth transfers is small</w:t>
      </w:r>
    </w:p>
    <w:p w14:paraId="0123640E" w14:textId="77777777" w:rsidR="006E0ED6" w:rsidRDefault="006E0ED6" w:rsidP="006E0ED6">
      <w:pPr>
        <w:pStyle w:val="BodyText"/>
      </w:pPr>
      <w:r>
        <w:t>Wealth transfers reduce relative wealth inequality but the effect is small in the long run. To put its size in context, future wealth inequality was simulated based on a housing counterfactual scenario that was identical to the base scenario, except the long</w:t>
      </w:r>
      <w:r>
        <w:noBreakHyphen/>
        <w:t xml:space="preserve">run rate of return to housing was set to 5 per cent (1 percentage point higher than in the base scenario). </w:t>
      </w:r>
    </w:p>
    <w:p w14:paraId="45C20FB4" w14:textId="77777777" w:rsidR="006E0ED6" w:rsidRDefault="006E0ED6" w:rsidP="006E0ED6">
      <w:pPr>
        <w:pStyle w:val="BodyText"/>
      </w:pPr>
      <w:r>
        <w:t xml:space="preserve">The wealth Gini coefficient in the housing counterfactual scenario is </w:t>
      </w:r>
      <w:bookmarkStart w:id="52" w:name="_Hlk77869147"/>
      <w:r>
        <w:t xml:space="preserve">about 2 percentage points higher than in the base scenario for the 30–99 year old age range in 2048 — more than three times the size of the difference in the Gini coefficient attributed to future wealth transfers in the </w:t>
      </w:r>
      <w:r w:rsidRPr="00DE63EE">
        <w:t xml:space="preserve">base </w:t>
      </w:r>
      <w:r>
        <w:t>scenario.</w:t>
      </w:r>
      <w:bookmarkEnd w:id="52"/>
      <w:r>
        <w:t xml:space="preserve"> In other words, a 1 percentage point change in the rate of return to housing wealth is projected to have a much larger impact on relative wealth inequality than wealth transfers. </w:t>
      </w:r>
    </w:p>
    <w:p w14:paraId="40E14316" w14:textId="66B929BC" w:rsidR="006E0ED6" w:rsidRDefault="006E0ED6" w:rsidP="006E0ED6">
      <w:pPr>
        <w:pStyle w:val="BodyText"/>
      </w:pPr>
      <w:r>
        <w:lastRenderedPageBreak/>
        <w:t>The difference is largest among younger generations who are more likely to be moving into home ownership during the projection period. That is, when the rate of return to housing is lower (as it is in the base scenario compared to the housing counterfactual), the difference in wealth between those who own a home — and have higher wealth — and those who do not own a home — and have lower wealth — is smaller in absolute and relative terms (</w:t>
      </w:r>
      <w:r w:rsidRPr="007C06EA">
        <w:t>figure 3.6</w:t>
      </w:r>
      <w:r w:rsidR="00254149">
        <w:t>, dark blue line</w:t>
      </w:r>
      <w:r w:rsidRPr="007C06EA">
        <w:t>).</w:t>
      </w:r>
    </w:p>
    <w:p w14:paraId="1CD76801" w14:textId="55FA5F2D" w:rsidR="006E0ED6" w:rsidRDefault="006E0ED6" w:rsidP="006E0ED6">
      <w:pPr>
        <w:pStyle w:val="FigureTableHeading"/>
      </w:pPr>
      <w:r>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6</w:t>
      </w:r>
      <w:r w:rsidR="00B2270C">
        <w:rPr>
          <w:noProof/>
        </w:rPr>
        <w:fldChar w:fldCharType="end"/>
      </w:r>
      <w:r>
        <w:rPr>
          <w:noProof/>
        </w:rPr>
        <w:t xml:space="preserve"> </w:t>
      </w:r>
      <w:r>
        <w:t>– Wealth transfers improve relative wealth equality</w:t>
      </w:r>
    </w:p>
    <w:p w14:paraId="0EBDAD02" w14:textId="77777777" w:rsidR="006E0ED6" w:rsidRPr="004C58DE" w:rsidRDefault="006E0ED6" w:rsidP="006E0ED6">
      <w:pPr>
        <w:pStyle w:val="FigureTableSubheading"/>
        <w:keepLines/>
        <w:rPr>
          <w:sz w:val="18"/>
        </w:rPr>
      </w:pPr>
      <w:r w:rsidRPr="004C58DE">
        <w:rPr>
          <w:sz w:val="18"/>
        </w:rPr>
        <w:t>Projected improvement in equality (reduction in Gini, 100 point scale)</w:t>
      </w:r>
      <w:r w:rsidRPr="004C58DE">
        <w:rPr>
          <w:sz w:val="18"/>
          <w:vertAlign w:val="superscript"/>
        </w:rPr>
        <w:t>a,b</w:t>
      </w:r>
    </w:p>
    <w:p w14:paraId="1DA2D383" w14:textId="35E766BF" w:rsidR="006E0ED6" w:rsidRPr="005550A0" w:rsidRDefault="00773507" w:rsidP="006E0ED6">
      <w:pPr>
        <w:pStyle w:val="BodyText"/>
      </w:pPr>
      <w:r w:rsidRPr="00773507">
        <w:rPr>
          <w:noProof/>
        </w:rPr>
        <w:drawing>
          <wp:inline distT="0" distB="0" distL="0" distR="0" wp14:anchorId="06D7ECB9" wp14:editId="1470B66D">
            <wp:extent cx="6120130" cy="2682875"/>
            <wp:effectExtent l="0" t="0" r="0" b="3175"/>
            <wp:docPr id="281" name="Picture 281" descr="Figure 3.6. This chart shows the cumulative change in the Gini coefficient for millennials and Gen X under a situation with wealth transfers, and under a situation with a lower housing return. The improvement in equality is greater under the lower housing return situation by 2050.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Figure 3.6. This chart shows the cumulative change in the Gini coefficient for millennials and Gen X under a situation with wealth transfers, and under a situation with a lower housing return. The improvement in equality is greater under the lower housing return situation by 2050. More details are contained in the text surrounding this fig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682875"/>
                    </a:xfrm>
                    <a:prstGeom prst="rect">
                      <a:avLst/>
                    </a:prstGeom>
                    <a:noFill/>
                    <a:ln>
                      <a:noFill/>
                    </a:ln>
                  </pic:spPr>
                </pic:pic>
              </a:graphicData>
            </a:graphic>
          </wp:inline>
        </w:drawing>
      </w:r>
    </w:p>
    <w:p w14:paraId="0A98FB65" w14:textId="77777777" w:rsidR="006E0ED6" w:rsidRPr="00710B2E" w:rsidRDefault="006E0ED6" w:rsidP="006E0ED6">
      <w:pPr>
        <w:pStyle w:val="Note"/>
        <w:keepLines/>
        <w:rPr>
          <w:spacing w:val="-2"/>
        </w:rPr>
      </w:pPr>
      <w:r w:rsidRPr="00710B2E">
        <w:rPr>
          <w:b/>
          <w:bCs/>
          <w:spacing w:val="-2"/>
        </w:rPr>
        <w:t>a.</w:t>
      </w:r>
      <w:r w:rsidRPr="00710B2E">
        <w:rPr>
          <w:spacing w:val="-2"/>
        </w:rPr>
        <w:t xml:space="preserve"> The ‘wealth transfers’ line shows the reduction in the Gini coefficient due to wealth transfers, relative to no future wealth transfers. The ‘lower housing return’ line shows the reduction in the Gini in a world with wealth transfers when housing returns in the model are 4 rather than 5 per cent in the long run. Excludes non</w:t>
      </w:r>
      <w:r>
        <w:rPr>
          <w:spacing w:val="-2"/>
        </w:rPr>
        <w:t>-</w:t>
      </w:r>
      <w:r w:rsidRPr="00710B2E">
        <w:rPr>
          <w:spacing w:val="-2"/>
        </w:rPr>
        <w:t xml:space="preserve">housing debt. </w:t>
      </w:r>
      <w:r w:rsidRPr="00710B2E">
        <w:rPr>
          <w:b/>
          <w:bCs/>
          <w:spacing w:val="-2"/>
        </w:rPr>
        <w:t>b.</w:t>
      </w:r>
      <w:r w:rsidRPr="00710B2E">
        <w:rPr>
          <w:spacing w:val="-2"/>
        </w:rPr>
        <w:t xml:space="preserve"> Post</w:t>
      </w:r>
      <w:r>
        <w:rPr>
          <w:spacing w:val="-2"/>
        </w:rPr>
        <w:t>-</w:t>
      </w:r>
      <w:r w:rsidRPr="00710B2E">
        <w:rPr>
          <w:spacing w:val="-2"/>
        </w:rPr>
        <w:t>millennials not shown due to the large scale of change in initial years, but wealth transfers are also found to be equalising for them. Baby boomers and pre</w:t>
      </w:r>
      <w:r>
        <w:rPr>
          <w:spacing w:val="-2"/>
        </w:rPr>
        <w:t>-</w:t>
      </w:r>
      <w:r w:rsidRPr="00710B2E">
        <w:rPr>
          <w:spacing w:val="-2"/>
        </w:rPr>
        <w:t>boomers not shown as changes in their composition due to deaths affects comparisons over time.</w:t>
      </w:r>
    </w:p>
    <w:p w14:paraId="29F10B03" w14:textId="77777777" w:rsidR="006E0ED6" w:rsidRDefault="006E0ED6" w:rsidP="006E0ED6">
      <w:pPr>
        <w:pStyle w:val="Source"/>
      </w:pPr>
      <w:r w:rsidRPr="00696447">
        <w:t xml:space="preserve">Source: </w:t>
      </w:r>
      <w:r w:rsidRPr="00C65F3E">
        <w:t>Productivity Commission estimates from cohort simulation model.</w:t>
      </w:r>
    </w:p>
    <w:p w14:paraId="1F404A35" w14:textId="77777777" w:rsidR="006E0ED6" w:rsidRDefault="006E0ED6" w:rsidP="00D208A3">
      <w:pPr>
        <w:pStyle w:val="Heading2"/>
      </w:pPr>
      <w:bookmarkStart w:id="53" w:name="_Toc87543965"/>
      <w:r>
        <w:t>Scenario analysis</w:t>
      </w:r>
      <w:bookmarkEnd w:id="53"/>
    </w:p>
    <w:p w14:paraId="006B9E1D" w14:textId="77777777" w:rsidR="006E0ED6" w:rsidRDefault="006E0ED6" w:rsidP="006E0ED6">
      <w:pPr>
        <w:pStyle w:val="BodyText"/>
      </w:pPr>
      <w:r>
        <w:t xml:space="preserve">There is uncertainty around the parameters in the simulation model (section 3.2). To test the sensitivity of the distributional effects of wealth transfers, a number of alternative projections were simulated based on different parameter assumptions for key variables. </w:t>
      </w:r>
    </w:p>
    <w:p w14:paraId="3B9D5D42" w14:textId="77777777" w:rsidR="006E0ED6" w:rsidRDefault="006E0ED6" w:rsidP="006E0ED6">
      <w:pPr>
        <w:pStyle w:val="BodyText"/>
      </w:pPr>
      <w:r>
        <w:t>The scenarios that are discussed in detail in this section involve changes to assumptions that, in theory, would alter the size and/or direction of the effect of wealth transfers on relative wealth inequality. This includes three pre</w:t>
      </w:r>
      <w:r>
        <w:noBreakHyphen/>
        <w:t>transfer factors (the pre</w:t>
      </w:r>
      <w:r>
        <w:noBreakHyphen/>
        <w:t>inheritance wealth distribution, inequality in inheritances left by parents and intergenerational wealth persistence) as well as behavioural responses to receiving and anticipating a wealth transfer (section 3.1).</w:t>
      </w:r>
    </w:p>
    <w:p w14:paraId="1F0F7297" w14:textId="77777777" w:rsidR="006E0ED6" w:rsidRDefault="006E0ED6" w:rsidP="006E0ED6">
      <w:pPr>
        <w:pStyle w:val="BodyText"/>
      </w:pPr>
      <w:r>
        <w:t xml:space="preserve">More details of the scenario analyses and additional results are found in </w:t>
      </w:r>
      <w:r w:rsidRPr="007C06EA">
        <w:t>appendix C.</w:t>
      </w:r>
    </w:p>
    <w:p w14:paraId="2EABBFFB" w14:textId="77777777" w:rsidR="006E0ED6" w:rsidRDefault="006E0ED6" w:rsidP="006E0ED6">
      <w:pPr>
        <w:pStyle w:val="Heading3"/>
      </w:pPr>
      <w:bookmarkStart w:id="54" w:name="_Hlk77761657"/>
      <w:r>
        <w:lastRenderedPageBreak/>
        <w:t>Rate of return assumptions affect projected wealth and transfers but not the equalising effect of wealth transfers</w:t>
      </w:r>
    </w:p>
    <w:bookmarkEnd w:id="54"/>
    <w:p w14:paraId="0DF0D1B5" w14:textId="54318B13" w:rsidR="006E0ED6" w:rsidRDefault="006E0ED6" w:rsidP="006E0ED6">
      <w:pPr>
        <w:pStyle w:val="BodyText"/>
      </w:pPr>
      <w:r>
        <w:t xml:space="preserve">To assess the impact of different rates of return on the size of accumulated wealth across generations and the subsequent effects of wealth transfers on wealth inequality, four alternative scenarios are modelled (table 3.3). In each of these scenarios, the shares of inheritances distributed to different wealth groups are assumed to be the same as under the base scenario. </w:t>
      </w:r>
    </w:p>
    <w:p w14:paraId="6AA9D834" w14:textId="2E7FA885" w:rsidR="006E0ED6" w:rsidRDefault="006E0ED6" w:rsidP="006E0ED6">
      <w:pPr>
        <w:pStyle w:val="FigureTableHeading"/>
        <w:spacing w:after="120"/>
      </w:pPr>
      <w:r>
        <w:t xml:space="preserve">Table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Table \* ARABIC \s 1 </w:instrText>
      </w:r>
      <w:r w:rsidR="00B2270C">
        <w:fldChar w:fldCharType="separate"/>
      </w:r>
      <w:r w:rsidR="00F3386D">
        <w:rPr>
          <w:noProof/>
        </w:rPr>
        <w:t>3</w:t>
      </w:r>
      <w:r w:rsidR="00B2270C">
        <w:rPr>
          <w:noProof/>
        </w:rPr>
        <w:fldChar w:fldCharType="end"/>
      </w:r>
      <w:r>
        <w:rPr>
          <w:noProof/>
        </w:rPr>
        <w:t xml:space="preserve"> – </w:t>
      </w:r>
      <w:r w:rsidRPr="002A433D">
        <w:t>Alternative rate of return scenarios modelled</w:t>
      </w:r>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935"/>
        <w:gridCol w:w="7703"/>
      </w:tblGrid>
      <w:tr w:rsidR="006E0ED6" w:rsidRPr="007F1A04" w14:paraId="5DB155A3" w14:textId="77777777" w:rsidTr="001625EC">
        <w:trPr>
          <w:tblHeader/>
        </w:trPr>
        <w:tc>
          <w:tcPr>
            <w:tcW w:w="1004" w:type="pct"/>
            <w:tcBorders>
              <w:bottom w:val="single" w:sz="4" w:space="0" w:color="B3B3B3"/>
            </w:tcBorders>
            <w:shd w:val="clear" w:color="auto" w:fill="auto"/>
            <w:tcMar>
              <w:top w:w="28" w:type="dxa"/>
            </w:tcMar>
          </w:tcPr>
          <w:p w14:paraId="10D83FB9" w14:textId="77777777" w:rsidR="006E0ED6" w:rsidRPr="007F1A04" w:rsidRDefault="006E0ED6" w:rsidP="001625EC">
            <w:pPr>
              <w:pStyle w:val="TableColumnHeading"/>
              <w:spacing w:before="45" w:after="45"/>
              <w:ind w:right="108"/>
              <w:jc w:val="left"/>
              <w:rPr>
                <w:rFonts w:ascii="Arial (Body)" w:hAnsi="Arial (Body)"/>
                <w:b/>
                <w:i w:val="0"/>
                <w:color w:val="265A9A"/>
              </w:rPr>
            </w:pPr>
            <w:r w:rsidRPr="007F1A04">
              <w:rPr>
                <w:rFonts w:ascii="Arial (Body)" w:hAnsi="Arial (Body)"/>
                <w:b/>
                <w:i w:val="0"/>
                <w:color w:val="265A9A"/>
              </w:rPr>
              <w:t>Scenario</w:t>
            </w:r>
          </w:p>
        </w:tc>
        <w:tc>
          <w:tcPr>
            <w:tcW w:w="3996" w:type="pct"/>
            <w:tcBorders>
              <w:bottom w:val="single" w:sz="4" w:space="0" w:color="B3B3B3"/>
            </w:tcBorders>
            <w:shd w:val="clear" w:color="auto" w:fill="auto"/>
          </w:tcPr>
          <w:p w14:paraId="53116736" w14:textId="77777777" w:rsidR="006E0ED6" w:rsidRPr="007F1A04" w:rsidRDefault="006E0ED6" w:rsidP="001625EC">
            <w:pPr>
              <w:pStyle w:val="TableColumnHeading"/>
              <w:spacing w:before="45" w:after="45"/>
              <w:ind w:right="108"/>
              <w:jc w:val="left"/>
              <w:rPr>
                <w:rFonts w:ascii="Arial (Body)" w:hAnsi="Arial (Body)"/>
                <w:b/>
                <w:i w:val="0"/>
                <w:color w:val="265A9A"/>
              </w:rPr>
            </w:pPr>
            <w:r w:rsidRPr="007F1A04">
              <w:rPr>
                <w:rFonts w:ascii="Arial (Body)" w:hAnsi="Arial (Body)"/>
                <w:b/>
                <w:i w:val="0"/>
                <w:color w:val="265A9A"/>
              </w:rPr>
              <w:t>Description</w:t>
            </w:r>
          </w:p>
        </w:tc>
      </w:tr>
      <w:tr w:rsidR="006E0ED6" w:rsidRPr="007F1A04" w14:paraId="3F2DEF95" w14:textId="77777777" w:rsidTr="001625EC">
        <w:tc>
          <w:tcPr>
            <w:tcW w:w="1004" w:type="pct"/>
            <w:tcBorders>
              <w:top w:val="single" w:sz="4" w:space="0" w:color="B3B3B3"/>
              <w:bottom w:val="nil"/>
            </w:tcBorders>
            <w:shd w:val="clear" w:color="auto" w:fill="F1F1F1"/>
          </w:tcPr>
          <w:p w14:paraId="772F31F1" w14:textId="77777777" w:rsidR="006E0ED6" w:rsidRPr="007E7951" w:rsidRDefault="006E0ED6" w:rsidP="001625EC">
            <w:pPr>
              <w:pStyle w:val="TableBodyText"/>
              <w:spacing w:before="45" w:after="45"/>
              <w:ind w:right="108" w:hanging="1"/>
              <w:jc w:val="left"/>
              <w:rPr>
                <w:rFonts w:ascii="Arial (Body)" w:hAnsi="Arial (Body)"/>
                <w:bCs/>
              </w:rPr>
            </w:pPr>
            <w:r w:rsidRPr="007E7951">
              <w:rPr>
                <w:rFonts w:ascii="Arial (Body)" w:hAnsi="Arial (Body)"/>
                <w:bCs/>
              </w:rPr>
              <w:t>Base scenario</w:t>
            </w:r>
          </w:p>
        </w:tc>
        <w:tc>
          <w:tcPr>
            <w:tcW w:w="3996" w:type="pct"/>
            <w:tcBorders>
              <w:top w:val="single" w:sz="4" w:space="0" w:color="B3B3B3"/>
              <w:bottom w:val="nil"/>
            </w:tcBorders>
            <w:shd w:val="clear" w:color="auto" w:fill="F1F1F1"/>
          </w:tcPr>
          <w:p w14:paraId="689BE1AF" w14:textId="77777777" w:rsidR="006E0ED6" w:rsidRPr="007F1A04" w:rsidRDefault="006E0ED6" w:rsidP="001625EC">
            <w:pPr>
              <w:pStyle w:val="TableBodyText"/>
              <w:spacing w:before="45" w:after="45"/>
              <w:ind w:right="108"/>
              <w:jc w:val="left"/>
              <w:rPr>
                <w:rFonts w:ascii="Arial (Body)" w:hAnsi="Arial (Body)"/>
                <w:color w:val="000000"/>
              </w:rPr>
            </w:pPr>
            <w:r w:rsidRPr="007F1A04">
              <w:rPr>
                <w:rFonts w:ascii="Arial (Body)" w:hAnsi="Arial (Body)"/>
                <w:color w:val="000000"/>
              </w:rPr>
              <w:t>Rates of return on assets converge from historical rates to 4 per cent over 10 years.</w:t>
            </w:r>
          </w:p>
        </w:tc>
      </w:tr>
      <w:tr w:rsidR="006E0ED6" w:rsidRPr="007F1A04" w14:paraId="78457205" w14:textId="77777777" w:rsidTr="001625EC">
        <w:tc>
          <w:tcPr>
            <w:tcW w:w="1004" w:type="pct"/>
            <w:tcBorders>
              <w:top w:val="nil"/>
              <w:bottom w:val="nil"/>
            </w:tcBorders>
            <w:shd w:val="clear" w:color="auto" w:fill="auto"/>
          </w:tcPr>
          <w:p w14:paraId="604D0E61" w14:textId="77777777" w:rsidR="006E0ED6" w:rsidRPr="007E7951" w:rsidRDefault="006E0ED6" w:rsidP="001625EC">
            <w:pPr>
              <w:pStyle w:val="TableBodyText"/>
              <w:spacing w:before="45" w:after="45"/>
              <w:ind w:right="108" w:hanging="1"/>
              <w:jc w:val="left"/>
              <w:rPr>
                <w:rFonts w:ascii="Arial (Body)" w:hAnsi="Arial (Body)"/>
                <w:bCs/>
              </w:rPr>
            </w:pPr>
            <w:r w:rsidRPr="007E7951">
              <w:rPr>
                <w:rFonts w:ascii="Arial (Body)" w:hAnsi="Arial (Body)"/>
                <w:bCs/>
              </w:rPr>
              <w:t>1a: Historical rates</w:t>
            </w:r>
          </w:p>
        </w:tc>
        <w:tc>
          <w:tcPr>
            <w:tcW w:w="3996" w:type="pct"/>
            <w:tcBorders>
              <w:top w:val="nil"/>
              <w:bottom w:val="nil"/>
            </w:tcBorders>
            <w:shd w:val="clear" w:color="auto" w:fill="auto"/>
          </w:tcPr>
          <w:p w14:paraId="072D849F" w14:textId="77777777" w:rsidR="006E0ED6" w:rsidRPr="007F1A04" w:rsidRDefault="006E0ED6" w:rsidP="001625EC">
            <w:pPr>
              <w:pStyle w:val="TableBodyText"/>
              <w:spacing w:before="45" w:after="45"/>
              <w:ind w:right="108"/>
              <w:jc w:val="left"/>
              <w:rPr>
                <w:rFonts w:ascii="Arial (Body)" w:hAnsi="Arial (Body)"/>
                <w:color w:val="000000"/>
              </w:rPr>
            </w:pPr>
            <w:r w:rsidRPr="007F1A04">
              <w:rPr>
                <w:rFonts w:ascii="Arial (Body)" w:hAnsi="Arial (Body)"/>
                <w:color w:val="000000"/>
              </w:rPr>
              <w:t>Historical rates of return across whole projection period (housing 7 per cent, superannuation 5.35–6.00 per cent, other assets 3.3–5.0 per cent depending on age group).</w:t>
            </w:r>
          </w:p>
        </w:tc>
      </w:tr>
      <w:tr w:rsidR="006E0ED6" w:rsidRPr="007F1A04" w14:paraId="516FA2B9" w14:textId="77777777" w:rsidTr="001625EC">
        <w:tc>
          <w:tcPr>
            <w:tcW w:w="1004" w:type="pct"/>
            <w:tcBorders>
              <w:top w:val="nil"/>
              <w:bottom w:val="nil"/>
            </w:tcBorders>
            <w:shd w:val="clear" w:color="auto" w:fill="F1F1F1"/>
          </w:tcPr>
          <w:p w14:paraId="1B3414BE" w14:textId="77777777" w:rsidR="006E0ED6" w:rsidRPr="007E7951" w:rsidRDefault="006E0ED6" w:rsidP="001625EC">
            <w:pPr>
              <w:pStyle w:val="TableBodyText"/>
              <w:spacing w:before="45" w:after="45"/>
              <w:ind w:right="108" w:hanging="1"/>
              <w:jc w:val="left"/>
              <w:rPr>
                <w:rFonts w:ascii="Arial (Body)" w:hAnsi="Arial (Body)"/>
                <w:bCs/>
              </w:rPr>
            </w:pPr>
            <w:r w:rsidRPr="007E7951">
              <w:rPr>
                <w:rFonts w:ascii="Arial (Body)" w:hAnsi="Arial (Body)"/>
                <w:bCs/>
              </w:rPr>
              <w:t>1b: High returns</w:t>
            </w:r>
          </w:p>
        </w:tc>
        <w:tc>
          <w:tcPr>
            <w:tcW w:w="3996" w:type="pct"/>
            <w:tcBorders>
              <w:top w:val="nil"/>
              <w:bottom w:val="nil"/>
            </w:tcBorders>
            <w:shd w:val="clear" w:color="auto" w:fill="F1F1F1"/>
          </w:tcPr>
          <w:p w14:paraId="380C784B" w14:textId="77777777" w:rsidR="006E0ED6" w:rsidRPr="007F1A04" w:rsidRDefault="006E0ED6" w:rsidP="001625EC">
            <w:pPr>
              <w:pStyle w:val="TableBodyText"/>
              <w:spacing w:before="45" w:after="45"/>
              <w:ind w:right="108"/>
              <w:jc w:val="left"/>
              <w:rPr>
                <w:rFonts w:ascii="Arial (Body)" w:hAnsi="Arial (Body)"/>
                <w:color w:val="000000"/>
              </w:rPr>
            </w:pPr>
            <w:r w:rsidRPr="007F1A04">
              <w:rPr>
                <w:rFonts w:ascii="Arial (Body)" w:hAnsi="Arial (Body)"/>
                <w:color w:val="000000"/>
              </w:rPr>
              <w:t>All rates of return on assets converge to 5.6 per cent.</w:t>
            </w:r>
          </w:p>
        </w:tc>
      </w:tr>
      <w:tr w:rsidR="006E0ED6" w:rsidRPr="007F1A04" w14:paraId="65172592" w14:textId="77777777" w:rsidTr="001625EC">
        <w:tc>
          <w:tcPr>
            <w:tcW w:w="1004" w:type="pct"/>
            <w:tcBorders>
              <w:top w:val="nil"/>
              <w:bottom w:val="nil"/>
            </w:tcBorders>
            <w:shd w:val="clear" w:color="auto" w:fill="auto"/>
          </w:tcPr>
          <w:p w14:paraId="42C26601" w14:textId="77777777" w:rsidR="006E0ED6" w:rsidRPr="007E7951" w:rsidRDefault="006E0ED6" w:rsidP="001625EC">
            <w:pPr>
              <w:pStyle w:val="TableBodyText"/>
              <w:spacing w:before="45" w:after="45"/>
              <w:ind w:right="108" w:hanging="1"/>
              <w:jc w:val="left"/>
              <w:rPr>
                <w:rFonts w:ascii="Arial (Body)" w:hAnsi="Arial (Body)"/>
                <w:bCs/>
              </w:rPr>
            </w:pPr>
            <w:r w:rsidRPr="007E7951">
              <w:rPr>
                <w:rFonts w:ascii="Arial (Body)" w:hAnsi="Arial (Body)"/>
                <w:bCs/>
              </w:rPr>
              <w:t>1c: Low returns</w:t>
            </w:r>
          </w:p>
        </w:tc>
        <w:tc>
          <w:tcPr>
            <w:tcW w:w="3996" w:type="pct"/>
            <w:tcBorders>
              <w:top w:val="nil"/>
              <w:bottom w:val="nil"/>
            </w:tcBorders>
            <w:shd w:val="clear" w:color="auto" w:fill="auto"/>
          </w:tcPr>
          <w:p w14:paraId="36D00330" w14:textId="77777777" w:rsidR="006E0ED6" w:rsidRPr="007F1A04" w:rsidRDefault="006E0ED6" w:rsidP="001625EC">
            <w:pPr>
              <w:pStyle w:val="TableBodyText"/>
              <w:spacing w:before="45" w:after="45"/>
              <w:ind w:right="108"/>
              <w:jc w:val="left"/>
              <w:rPr>
                <w:rFonts w:ascii="Arial (Body)" w:hAnsi="Arial (Body)"/>
                <w:color w:val="000000"/>
              </w:rPr>
            </w:pPr>
            <w:r w:rsidRPr="007F1A04">
              <w:rPr>
                <w:rFonts w:ascii="Arial (Body)" w:hAnsi="Arial (Body)"/>
                <w:color w:val="000000"/>
              </w:rPr>
              <w:t>All rates of return on assets converge to 2.4 per cent.</w:t>
            </w:r>
          </w:p>
        </w:tc>
      </w:tr>
      <w:tr w:rsidR="006E0ED6" w:rsidRPr="007F1A04" w14:paraId="080B27EA" w14:textId="77777777" w:rsidTr="001625EC">
        <w:tc>
          <w:tcPr>
            <w:tcW w:w="1004" w:type="pct"/>
            <w:tcBorders>
              <w:top w:val="nil"/>
            </w:tcBorders>
            <w:shd w:val="clear" w:color="auto" w:fill="F1F1F1"/>
          </w:tcPr>
          <w:p w14:paraId="440949C6" w14:textId="77777777" w:rsidR="006E0ED6" w:rsidRPr="007E7951" w:rsidRDefault="006E0ED6" w:rsidP="001625EC">
            <w:pPr>
              <w:pStyle w:val="TableBodyText"/>
              <w:spacing w:before="45" w:after="45"/>
              <w:ind w:right="108" w:hanging="1"/>
              <w:jc w:val="left"/>
              <w:rPr>
                <w:rFonts w:ascii="Arial (Body)" w:hAnsi="Arial (Body)"/>
                <w:bCs/>
              </w:rPr>
            </w:pPr>
            <w:r w:rsidRPr="007E7951">
              <w:rPr>
                <w:rFonts w:ascii="Arial (Body)" w:hAnsi="Arial (Body)"/>
                <w:bCs/>
              </w:rPr>
              <w:t>1d: Zero returns</w:t>
            </w:r>
          </w:p>
        </w:tc>
        <w:tc>
          <w:tcPr>
            <w:tcW w:w="3996" w:type="pct"/>
            <w:tcBorders>
              <w:top w:val="nil"/>
            </w:tcBorders>
            <w:shd w:val="clear" w:color="auto" w:fill="F1F1F1"/>
          </w:tcPr>
          <w:p w14:paraId="336014CF" w14:textId="254C5D25" w:rsidR="006E0ED6" w:rsidRPr="007F1A04" w:rsidRDefault="006E0ED6" w:rsidP="001625EC">
            <w:pPr>
              <w:pStyle w:val="TableBodyText"/>
              <w:spacing w:before="45" w:after="45"/>
              <w:ind w:right="108"/>
              <w:jc w:val="left"/>
              <w:rPr>
                <w:rFonts w:ascii="Arial (Body)" w:hAnsi="Arial (Body)"/>
                <w:color w:val="000000"/>
              </w:rPr>
            </w:pPr>
            <w:r w:rsidRPr="007F1A04">
              <w:rPr>
                <w:rFonts w:ascii="Arial (Body)" w:hAnsi="Arial (Body)"/>
                <w:color w:val="000000"/>
              </w:rPr>
              <w:t xml:space="preserve">All rates of return on assets are zero. </w:t>
            </w:r>
          </w:p>
        </w:tc>
      </w:tr>
    </w:tbl>
    <w:p w14:paraId="2F06DFE6" w14:textId="77777777" w:rsidR="006E0ED6" w:rsidRDefault="006E0ED6" w:rsidP="006E0ED6">
      <w:pPr>
        <w:pStyle w:val="Space"/>
      </w:pPr>
    </w:p>
    <w:p w14:paraId="35C8549F" w14:textId="77777777" w:rsidR="006E0ED6" w:rsidRDefault="006E0ED6" w:rsidP="006E0ED6">
      <w:pPr>
        <w:pStyle w:val="BodyText"/>
      </w:pPr>
      <w:r>
        <w:t>Changing assumed rates of return can lead to substantial differences in the projected size of total wealth (</w:t>
      </w:r>
      <w:r w:rsidRPr="00FC7E77">
        <w:t>figure 3.7, panel a),</w:t>
      </w:r>
      <w:r>
        <w:t xml:space="preserve"> and hence the size of wealth transfers and wealth inequality.</w:t>
      </w:r>
    </w:p>
    <w:p w14:paraId="616317F9" w14:textId="77777777" w:rsidR="006E0ED6" w:rsidRPr="003E6D39" w:rsidRDefault="006E0ED6" w:rsidP="006E0ED6">
      <w:pPr>
        <w:pStyle w:val="BodyText"/>
        <w:rPr>
          <w:spacing w:val="-2"/>
        </w:rPr>
      </w:pPr>
      <w:r w:rsidRPr="003E6D39">
        <w:rPr>
          <w:spacing w:val="-2"/>
        </w:rPr>
        <w:t>The ‘Historical rates’ scenario (1a) assumes that asset values continue to grow at average historical rates, characterised by very high rates of growth in housing assets (box 3.3). This led to the largest difference in wealth accumulation relative to the base scenario. People aged 30–99 in this scenario hold 73 per cent of their total wealth in housing in 2048, compared with 61 per cent under the base scenario. Wealth held by people aged 65–69 (the age group at which total wealth peaks in 2048) is 88 per cent higher than in the base scenario.</w:t>
      </w:r>
    </w:p>
    <w:p w14:paraId="319B9ED9" w14:textId="77777777" w:rsidR="006E0ED6" w:rsidRPr="00561B83" w:rsidRDefault="006E0ED6" w:rsidP="006E0ED6">
      <w:pPr>
        <w:pStyle w:val="BodyText"/>
        <w:rPr>
          <w:spacing w:val="-2"/>
        </w:rPr>
      </w:pPr>
      <w:r w:rsidRPr="00561B83">
        <w:rPr>
          <w:spacing w:val="-2"/>
        </w:rPr>
        <w:t>Compared with the base scenario, estimates of wealth held by people aged 65–69 in 2048 are projected to be:</w:t>
      </w:r>
    </w:p>
    <w:p w14:paraId="3A29BA2F" w14:textId="77777777" w:rsidR="006E0ED6" w:rsidRPr="00561B83" w:rsidRDefault="006E0ED6" w:rsidP="006E0ED6">
      <w:pPr>
        <w:pStyle w:val="ListBullet"/>
      </w:pPr>
      <w:r w:rsidRPr="00561B83">
        <w:t>44 per cent higher in the high returns scenario (1b)</w:t>
      </w:r>
    </w:p>
    <w:p w14:paraId="6DD85E42" w14:textId="77777777" w:rsidR="006E0ED6" w:rsidRPr="00561B83" w:rsidRDefault="006E0ED6" w:rsidP="006E0ED6">
      <w:pPr>
        <w:pStyle w:val="ListBullet"/>
      </w:pPr>
      <w:r w:rsidRPr="00561B83">
        <w:t>30 per cent lower in the low returns scenario (1c)</w:t>
      </w:r>
    </w:p>
    <w:p w14:paraId="20A50B3B" w14:textId="77777777" w:rsidR="006E0ED6" w:rsidRPr="00561B83" w:rsidRDefault="006E0ED6" w:rsidP="006E0ED6">
      <w:pPr>
        <w:pStyle w:val="ListBullet"/>
      </w:pPr>
      <w:r w:rsidRPr="00561B83">
        <w:t>65 per cent lower in the zero returns scenario (1d).</w:t>
      </w:r>
    </w:p>
    <w:p w14:paraId="76AC96A5" w14:textId="720966EE" w:rsidR="006E0ED6" w:rsidRDefault="006E0ED6" w:rsidP="006E0ED6">
      <w:pPr>
        <w:pStyle w:val="BodyText"/>
      </w:pPr>
      <w:r>
        <w:t>As projected in the base scenario, wealth is also projected to become more concentrated among older age cohorts</w:t>
      </w:r>
      <w:r w:rsidRPr="004077C3">
        <w:t xml:space="preserve"> </w:t>
      </w:r>
      <w:r>
        <w:t>in each alternative rate of return scenario. T</w:t>
      </w:r>
      <w:r w:rsidRPr="002400C9">
        <w:t xml:space="preserve">here was a shift </w:t>
      </w:r>
      <w:r>
        <w:t>in wealth concentration</w:t>
      </w:r>
      <w:r w:rsidRPr="004077C3">
        <w:t xml:space="preserve"> </w:t>
      </w:r>
      <w:r w:rsidR="00A8204F">
        <w:t xml:space="preserve">towards older age </w:t>
      </w:r>
      <w:r w:rsidR="009D57BA">
        <w:t xml:space="preserve">groups </w:t>
      </w:r>
      <w:r>
        <w:t>even in the zero returns scenario</w:t>
      </w:r>
      <w:r w:rsidR="0011423B">
        <w:t>,</w:t>
      </w:r>
      <w:r w:rsidR="003965BF">
        <w:t xml:space="preserve"> </w:t>
      </w:r>
      <w:r w:rsidR="00080384">
        <w:t xml:space="preserve">although this was </w:t>
      </w:r>
      <w:r w:rsidR="009320B7">
        <w:t xml:space="preserve">in line with </w:t>
      </w:r>
      <w:r w:rsidR="00A8204F">
        <w:t>the change in the population shares</w:t>
      </w:r>
      <w:r w:rsidR="00E554C7">
        <w:t>, which reflected the ag</w:t>
      </w:r>
      <w:r w:rsidR="0020725C">
        <w:t>e</w:t>
      </w:r>
      <w:r w:rsidR="00E554C7">
        <w:t>ing of the population</w:t>
      </w:r>
      <w:r w:rsidRPr="002400C9">
        <w:t>.</w:t>
      </w:r>
    </w:p>
    <w:p w14:paraId="561C2B54" w14:textId="77777777" w:rsidR="006E0ED6" w:rsidRPr="00FC7E77" w:rsidRDefault="006E0ED6" w:rsidP="006E0ED6">
      <w:pPr>
        <w:pStyle w:val="BodyText"/>
      </w:pPr>
      <w:r>
        <w:t xml:space="preserve">Although rate of return assumptions can have large effects on the size of accumulated wealth and </w:t>
      </w:r>
      <w:r w:rsidRPr="00FC7E77">
        <w:t xml:space="preserve">wealth transfers, the finding that wealth transfers improve relative wealth equality, when compared with a world without future wealth transfers, persists across all these scenarios (figure 3.7, panel b). </w:t>
      </w:r>
    </w:p>
    <w:p w14:paraId="11B72B3B" w14:textId="43F868C7" w:rsidR="006E0ED6" w:rsidRPr="003B4390" w:rsidRDefault="006E0ED6" w:rsidP="006E0ED6">
      <w:pPr>
        <w:pStyle w:val="BodyText"/>
        <w:rPr>
          <w:spacing w:val="-2"/>
        </w:rPr>
      </w:pPr>
      <w:r w:rsidRPr="00517FD3">
        <w:rPr>
          <w:spacing w:val="-2"/>
        </w:rPr>
        <w:t>While relative wealth inequality, as measured by the Gini coefficient, is greatest in scenarios with higher rates of return, wealth transfers are found to moderate the increase in the Gini coefficient relatively more in these scenarios. This is consistent with the</w:t>
      </w:r>
      <w:r w:rsidRPr="00517FD3" w:rsidDel="00312F3D">
        <w:rPr>
          <w:spacing w:val="-2"/>
        </w:rPr>
        <w:t xml:space="preserve"> </w:t>
      </w:r>
      <w:r w:rsidRPr="00517FD3">
        <w:rPr>
          <w:spacing w:val="-2"/>
        </w:rPr>
        <w:t xml:space="preserve">framework presented in box 3.1 (Nekoei and Seim </w:t>
      </w:r>
      <w:r w:rsidRPr="00517FD3">
        <w:rPr>
          <w:spacing w:val="-2"/>
        </w:rPr>
        <w:fldChar w:fldCharType="begin"/>
      </w:r>
      <w:r w:rsidR="0047772E">
        <w:rPr>
          <w:spacing w:val="-2"/>
        </w:rPr>
        <w:instrText xml:space="preserve"> ADDIN ZOTERO_ITEM CSL_CITATION {"citationID":"48gny4zR","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rsidRPr="00517FD3">
        <w:rPr>
          <w:spacing w:val="-2"/>
        </w:rPr>
        <w:fldChar w:fldCharType="separate"/>
      </w:r>
      <w:r w:rsidRPr="00517FD3">
        <w:rPr>
          <w:spacing w:val="-2"/>
        </w:rPr>
        <w:t>(2019)</w:t>
      </w:r>
      <w:r w:rsidRPr="00517FD3">
        <w:rPr>
          <w:spacing w:val="-2"/>
        </w:rPr>
        <w:fldChar w:fldCharType="end"/>
      </w:r>
      <w:r w:rsidRPr="00517FD3">
        <w:rPr>
          <w:spacing w:val="-2"/>
        </w:rPr>
        <w:t>), which suggests that the equalising effects of inheritances are greater when there is higher pre</w:t>
      </w:r>
      <w:r w:rsidRPr="00517FD3">
        <w:rPr>
          <w:spacing w:val="-2"/>
        </w:rPr>
        <w:noBreakHyphen/>
        <w:t>inheritance wealth inequality. As an example of the intuition for this, consider pre</w:t>
      </w:r>
      <w:r w:rsidRPr="00517FD3">
        <w:rPr>
          <w:spacing w:val="-2"/>
        </w:rPr>
        <w:noBreakHyphen/>
        <w:t>inheritance wealth held by homeowners and non</w:t>
      </w:r>
      <w:r w:rsidRPr="00517FD3">
        <w:rPr>
          <w:spacing w:val="-2"/>
        </w:rPr>
        <w:noBreakHyphen/>
        <w:t>homeowners. Non</w:t>
      </w:r>
      <w:r w:rsidRPr="00517FD3">
        <w:rPr>
          <w:spacing w:val="-2"/>
        </w:rPr>
        <w:noBreakHyphen/>
        <w:t xml:space="preserve">homeowners will tend to be among the lowest wealth groups, and when rates of return are high, homeowners will have even more wealth in relative terms, resulting in greater wealth inequality. Total inheritances are also larger when rates of return are high. Assuming that inheritances continue to be distributed to younger generations by wealth group in the same way as in the base scenario, they will be an even larger </w:t>
      </w:r>
      <w:r w:rsidRPr="00517FD3">
        <w:rPr>
          <w:spacing w:val="-2"/>
        </w:rPr>
        <w:lastRenderedPageBreak/>
        <w:t>share of the pre</w:t>
      </w:r>
      <w:r w:rsidRPr="00517FD3">
        <w:rPr>
          <w:spacing w:val="-2"/>
        </w:rPr>
        <w:noBreakHyphen/>
        <w:t>inheritance wealth for non</w:t>
      </w:r>
      <w:r w:rsidRPr="00517FD3">
        <w:rPr>
          <w:spacing w:val="-2"/>
        </w:rPr>
        <w:noBreakHyphen/>
        <w:t>homeowners, which would reduce wealth inequality by a greater extent. However, if a larger portion of the increased inheritances was to be received by those who already have high wealth, the inequality effects could reverse — such a scenario is analysed below.</w:t>
      </w:r>
    </w:p>
    <w:p w14:paraId="3B02379F" w14:textId="39DCBB96" w:rsidR="006E0ED6" w:rsidRPr="00146382" w:rsidRDefault="006E0ED6" w:rsidP="006E0ED6">
      <w:pPr>
        <w:pStyle w:val="FigureTableHeading"/>
        <w:spacing w:after="120"/>
      </w:pPr>
      <w:bookmarkStart w:id="55" w:name="_Hlk77767814"/>
      <w:r>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7</w:t>
      </w:r>
      <w:r w:rsidR="00B2270C">
        <w:rPr>
          <w:noProof/>
        </w:rPr>
        <w:fldChar w:fldCharType="end"/>
      </w:r>
      <w:r>
        <w:rPr>
          <w:noProof/>
        </w:rPr>
        <w:t xml:space="preserve"> </w:t>
      </w:r>
      <w:r>
        <w:t xml:space="preserve">– </w:t>
      </w:r>
      <w:r w:rsidRPr="002F6CA0">
        <w:t>Higher rates of return increase projected wealth and wealth inequality but wealth transfers are still equalising</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950"/>
        <w:gridCol w:w="4688"/>
      </w:tblGrid>
      <w:tr w:rsidR="006E0ED6" w:rsidRPr="00B1465D" w14:paraId="7B9BB197" w14:textId="16D56442" w:rsidTr="005D64A2">
        <w:trPr>
          <w:trHeight w:val="330"/>
          <w:tblHeader/>
          <w:jc w:val="center"/>
        </w:trPr>
        <w:tc>
          <w:tcPr>
            <w:tcW w:w="2500" w:type="pct"/>
            <w:tcBorders>
              <w:top w:val="nil"/>
              <w:bottom w:val="nil"/>
            </w:tcBorders>
          </w:tcPr>
          <w:p w14:paraId="5F1CA9A6" w14:textId="1E86EFA6" w:rsidR="006E0ED6" w:rsidRPr="00DE39C9" w:rsidRDefault="006E0ED6" w:rsidP="00132C71">
            <w:pPr>
              <w:pStyle w:val="FigureTableSubheading"/>
              <w:numPr>
                <w:ilvl w:val="0"/>
                <w:numId w:val="27"/>
              </w:numPr>
              <w:rPr>
                <w:sz w:val="16"/>
                <w:szCs w:val="16"/>
              </w:rPr>
            </w:pPr>
            <w:r w:rsidRPr="00DE39C9">
              <w:rPr>
                <w:sz w:val="16"/>
                <w:szCs w:val="16"/>
              </w:rPr>
              <w:t>Total wealth in 2048 by age group (2018</w:t>
            </w:r>
            <w:r w:rsidR="0061458F" w:rsidRPr="00DE39C9">
              <w:rPr>
                <w:sz w:val="16"/>
                <w:szCs w:val="16"/>
              </w:rPr>
              <w:t> </w:t>
            </w:r>
            <w:r w:rsidRPr="00DE39C9">
              <w:rPr>
                <w:sz w:val="16"/>
                <w:szCs w:val="16"/>
              </w:rPr>
              <w:t>dollars)</w:t>
            </w:r>
          </w:p>
          <w:p w14:paraId="69A52BCE" w14:textId="77777777" w:rsidR="006E0ED6" w:rsidRDefault="006E0ED6" w:rsidP="001625EC">
            <w:pPr>
              <w:spacing w:before="60" w:after="60"/>
              <w:rPr>
                <w:rFonts w:ascii="Arial" w:hAnsi="Arial" w:cs="Arial"/>
                <w:sz w:val="18"/>
                <w:szCs w:val="18"/>
              </w:rPr>
            </w:pPr>
            <w:r w:rsidRPr="007E2A50">
              <w:rPr>
                <w:rFonts w:ascii="Arial" w:hAnsi="Arial" w:cs="Arial"/>
                <w:noProof/>
                <w:sz w:val="18"/>
                <w:szCs w:val="18"/>
              </w:rPr>
              <w:drawing>
                <wp:inline distT="0" distB="0" distL="0" distR="0" wp14:anchorId="3B5607CB" wp14:editId="69F91BB2">
                  <wp:extent cx="3138805" cy="2251710"/>
                  <wp:effectExtent l="0" t="0" r="4445" b="0"/>
                  <wp:docPr id="88" name="Picture 88" descr="Figure 3.7, panel a. This chart shows total wealth projected in 2048 by 5-year age group, under the base scenario and alternate rate of return scenarios. Total wealth peaks at the 65–69 age group, and is highest under the historical rates scenario.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3.7, panel a. This chart shows total wealth projected in 2048 by 5-year age group, under the base scenario and alternate rate of return scenarios. Total wealth peaks at the 65–69 age group, and is highest under the historical rates scenario. More details are contained in the text surrounding this figur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38805" cy="2251710"/>
                          </a:xfrm>
                          <a:prstGeom prst="rect">
                            <a:avLst/>
                          </a:prstGeom>
                          <a:noFill/>
                          <a:ln>
                            <a:noFill/>
                          </a:ln>
                        </pic:spPr>
                      </pic:pic>
                    </a:graphicData>
                  </a:graphic>
                </wp:inline>
              </w:drawing>
            </w:r>
          </w:p>
        </w:tc>
        <w:tc>
          <w:tcPr>
            <w:tcW w:w="2500" w:type="pct"/>
            <w:tcBorders>
              <w:top w:val="nil"/>
              <w:bottom w:val="nil"/>
            </w:tcBorders>
          </w:tcPr>
          <w:p w14:paraId="008E6A43" w14:textId="745D7789" w:rsidR="006E0ED6" w:rsidRPr="00DE39C9" w:rsidRDefault="006E0ED6" w:rsidP="00132C71">
            <w:pPr>
              <w:pStyle w:val="FigureTableSubheading"/>
              <w:numPr>
                <w:ilvl w:val="0"/>
                <w:numId w:val="27"/>
              </w:numPr>
              <w:rPr>
                <w:sz w:val="16"/>
                <w:szCs w:val="16"/>
              </w:rPr>
            </w:pPr>
            <w:r w:rsidRPr="00DE39C9">
              <w:rPr>
                <w:sz w:val="16"/>
                <w:szCs w:val="16"/>
              </w:rPr>
              <w:t>Reduction in Gini coefficient due to wealth transfers for millennials (100 point scale)</w:t>
            </w:r>
          </w:p>
          <w:p w14:paraId="728F3972" w14:textId="77777777" w:rsidR="006E0ED6" w:rsidRPr="007B71EB" w:rsidDel="00573C39" w:rsidRDefault="006E0ED6" w:rsidP="005D64A2">
            <w:pPr>
              <w:spacing w:before="60" w:after="60"/>
              <w:rPr>
                <w:rFonts w:ascii="Arial" w:hAnsi="Arial" w:cs="Arial"/>
                <w:b/>
                <w:bCs/>
                <w:sz w:val="18"/>
                <w:szCs w:val="18"/>
              </w:rPr>
            </w:pPr>
            <w:r w:rsidRPr="00602568">
              <w:rPr>
                <w:rFonts w:ascii="Arial" w:hAnsi="Arial" w:cs="Arial"/>
                <w:b/>
                <w:bCs/>
                <w:noProof/>
                <w:sz w:val="18"/>
                <w:szCs w:val="18"/>
              </w:rPr>
              <w:drawing>
                <wp:inline distT="0" distB="0" distL="0" distR="0" wp14:anchorId="3668B7D7" wp14:editId="457ACF60">
                  <wp:extent cx="2933729" cy="2251307"/>
                  <wp:effectExtent l="0" t="0" r="0" b="0"/>
                  <wp:docPr id="89" name="Picture 89" descr="Figure 3.7, panel b. This chart shows the cumulative change in the Gini coefficient for millennials due to wealth transfers, under the base scenario and alternate rate of return scenarios. The improvement in equality is greatest in the historical rates scenario.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3.7, panel b. This chart shows the cumulative change in the Gini coefficient for millennials due to wealth transfers, under the base scenario and alternate rate of return scenarios. The improvement in equality is greatest in the historical rates scenario. More details are contained in the text surrounding this figure."/>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2644" r="2646"/>
                          <a:stretch/>
                        </pic:blipFill>
                        <pic:spPr bwMode="auto">
                          <a:xfrm>
                            <a:off x="0" y="0"/>
                            <a:ext cx="2934254" cy="2251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0ED6" w:rsidRPr="00B1465D" w14:paraId="4B7EAD7A" w14:textId="77777777" w:rsidTr="001625EC">
        <w:trPr>
          <w:trHeight w:val="330"/>
          <w:tblHeader/>
          <w:jc w:val="center"/>
        </w:trPr>
        <w:tc>
          <w:tcPr>
            <w:tcW w:w="5000" w:type="pct"/>
            <w:gridSpan w:val="2"/>
            <w:tcBorders>
              <w:top w:val="nil"/>
              <w:bottom w:val="nil"/>
            </w:tcBorders>
          </w:tcPr>
          <w:p w14:paraId="1EF8D7E2" w14:textId="77777777" w:rsidR="006E0ED6" w:rsidRDefault="006E0ED6" w:rsidP="001625EC">
            <w:pPr>
              <w:spacing w:before="60" w:after="60"/>
              <w:jc w:val="center"/>
              <w:rPr>
                <w:rFonts w:ascii="Arial" w:hAnsi="Arial" w:cs="Arial"/>
                <w:sz w:val="18"/>
                <w:szCs w:val="18"/>
              </w:rPr>
            </w:pPr>
            <w:r w:rsidRPr="00772817">
              <w:rPr>
                <w:rFonts w:ascii="Arial" w:hAnsi="Arial" w:cs="Arial"/>
                <w:noProof/>
                <w:sz w:val="18"/>
                <w:szCs w:val="18"/>
              </w:rPr>
              <w:drawing>
                <wp:inline distT="0" distB="0" distL="0" distR="0" wp14:anchorId="3B467323" wp14:editId="5119A06D">
                  <wp:extent cx="3535045" cy="436880"/>
                  <wp:effectExtent l="0" t="0" r="0" b="0"/>
                  <wp:docPr id="90" name="Picture 90" descr="Figure 3.7 Leg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3.7 Legend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35045" cy="436880"/>
                          </a:xfrm>
                          <a:prstGeom prst="rect">
                            <a:avLst/>
                          </a:prstGeom>
                          <a:noFill/>
                          <a:ln>
                            <a:noFill/>
                          </a:ln>
                        </pic:spPr>
                      </pic:pic>
                    </a:graphicData>
                  </a:graphic>
                </wp:inline>
              </w:drawing>
            </w:r>
          </w:p>
        </w:tc>
      </w:tr>
    </w:tbl>
    <w:p w14:paraId="55D1F9E2" w14:textId="77777777" w:rsidR="006E0ED6" w:rsidRDefault="006E0ED6" w:rsidP="006E0ED6">
      <w:pPr>
        <w:pStyle w:val="Source"/>
      </w:pPr>
      <w:r w:rsidRPr="00696447">
        <w:t xml:space="preserve">Source: </w:t>
      </w:r>
      <w:r w:rsidRPr="00D65C23">
        <w:t>Productivity Commission estimates from cohort simulation model.</w:t>
      </w:r>
    </w:p>
    <w:p w14:paraId="5A67D4E6" w14:textId="77777777" w:rsidR="002D7F99" w:rsidRDefault="002D7F99" w:rsidP="00334188">
      <w:pPr>
        <w:pStyle w:val="BodyText"/>
        <w:rPr>
          <w:rFonts w:asciiTheme="majorHAnsi" w:eastAsiaTheme="majorEastAsia" w:hAnsiTheme="majorHAnsi" w:cstheme="majorBidi"/>
          <w:color w:val="2D9AC2" w:themeColor="text2" w:themeShade="BF"/>
          <w:sz w:val="26"/>
          <w:szCs w:val="37"/>
        </w:rPr>
      </w:pPr>
      <w:r>
        <w:br w:type="page"/>
      </w:r>
    </w:p>
    <w:p w14:paraId="736C47C3" w14:textId="0D3236AA" w:rsidR="006E0ED6" w:rsidRPr="00C3535A" w:rsidRDefault="006E0ED6" w:rsidP="006E0ED6">
      <w:pPr>
        <w:pStyle w:val="Heading3"/>
        <w:rPr>
          <w:spacing w:val="-6"/>
        </w:rPr>
      </w:pPr>
      <w:r w:rsidRPr="00C3535A">
        <w:rPr>
          <w:spacing w:val="-6"/>
        </w:rPr>
        <w:lastRenderedPageBreak/>
        <w:t>Wealth transfers increase relative wealth inequality in some scenarios</w:t>
      </w:r>
    </w:p>
    <w:bookmarkEnd w:id="55"/>
    <w:p w14:paraId="1C09FCED" w14:textId="77777777" w:rsidR="006E0ED6" w:rsidRPr="00FC7E77" w:rsidRDefault="006E0ED6" w:rsidP="006E0ED6">
      <w:pPr>
        <w:pStyle w:val="BodyText"/>
      </w:pPr>
      <w:r>
        <w:t>Three simple modifications were made to base scenario assumptions that increase the extent to which wealth transfers benefit the already</w:t>
      </w:r>
      <w:r>
        <w:noBreakHyphen/>
        <w:t xml:space="preserve">wealthy in accumulating </w:t>
      </w:r>
      <w:r w:rsidRPr="00FC7E77">
        <w:t xml:space="preserve">wealth (table 3.4). </w:t>
      </w:r>
    </w:p>
    <w:p w14:paraId="3D1A0EA6" w14:textId="2D50031D" w:rsidR="006E0ED6" w:rsidRDefault="006E0ED6" w:rsidP="006E0ED6">
      <w:pPr>
        <w:pStyle w:val="FigureTableHeading"/>
        <w:spacing w:after="120"/>
      </w:pPr>
      <w:r>
        <w:t xml:space="preserve">Table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Table \* ARABIC \s 1 </w:instrText>
      </w:r>
      <w:r w:rsidR="00B2270C">
        <w:fldChar w:fldCharType="separate"/>
      </w:r>
      <w:r w:rsidR="00F3386D">
        <w:rPr>
          <w:noProof/>
        </w:rPr>
        <w:t>4</w:t>
      </w:r>
      <w:r w:rsidR="00B2270C">
        <w:rPr>
          <w:noProof/>
        </w:rPr>
        <w:fldChar w:fldCharType="end"/>
      </w:r>
      <w:r>
        <w:rPr>
          <w:noProof/>
        </w:rPr>
        <w:t xml:space="preserve"> – </w:t>
      </w:r>
      <w:r>
        <w:t>Alternative wealth transfer scenarios modelled</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257"/>
        <w:gridCol w:w="7381"/>
      </w:tblGrid>
      <w:tr w:rsidR="006E0ED6" w:rsidRPr="00EC6917" w14:paraId="2A90F4E2" w14:textId="77777777" w:rsidTr="001625EC">
        <w:trPr>
          <w:tblHeader/>
        </w:trPr>
        <w:tc>
          <w:tcPr>
            <w:tcW w:w="1171" w:type="pct"/>
            <w:tcBorders>
              <w:bottom w:val="single" w:sz="4" w:space="0" w:color="B3B3B3"/>
            </w:tcBorders>
            <w:shd w:val="clear" w:color="auto" w:fill="auto"/>
            <w:tcMar>
              <w:top w:w="28" w:type="dxa"/>
            </w:tcMar>
          </w:tcPr>
          <w:p w14:paraId="2BB0BB9D" w14:textId="77777777" w:rsidR="006E0ED6" w:rsidRPr="00EC6917" w:rsidRDefault="006E0ED6" w:rsidP="001625EC">
            <w:pPr>
              <w:pStyle w:val="TableColumnHeading"/>
              <w:spacing w:before="45" w:after="45"/>
              <w:ind w:right="108"/>
              <w:jc w:val="left"/>
              <w:rPr>
                <w:rFonts w:ascii="Arial (Body)" w:hAnsi="Arial (Body)"/>
                <w:b/>
                <w:i w:val="0"/>
                <w:color w:val="265A9A"/>
              </w:rPr>
            </w:pPr>
            <w:r w:rsidRPr="00EC6917">
              <w:rPr>
                <w:rFonts w:ascii="Arial (Body)" w:hAnsi="Arial (Body)"/>
                <w:b/>
                <w:i w:val="0"/>
                <w:color w:val="265A9A"/>
              </w:rPr>
              <w:t>Scenario</w:t>
            </w:r>
          </w:p>
        </w:tc>
        <w:tc>
          <w:tcPr>
            <w:tcW w:w="3829" w:type="pct"/>
            <w:tcBorders>
              <w:bottom w:val="single" w:sz="4" w:space="0" w:color="B3B3B3"/>
            </w:tcBorders>
            <w:shd w:val="clear" w:color="auto" w:fill="auto"/>
          </w:tcPr>
          <w:p w14:paraId="361A508D" w14:textId="77777777" w:rsidR="006E0ED6" w:rsidRPr="00EC6917" w:rsidRDefault="006E0ED6" w:rsidP="001625EC">
            <w:pPr>
              <w:pStyle w:val="TableColumnHeading"/>
              <w:spacing w:before="45" w:after="45"/>
              <w:ind w:right="108"/>
              <w:jc w:val="left"/>
              <w:rPr>
                <w:rFonts w:ascii="Arial (Body)" w:hAnsi="Arial (Body)"/>
                <w:b/>
                <w:i w:val="0"/>
                <w:color w:val="265A9A"/>
              </w:rPr>
            </w:pPr>
            <w:r w:rsidRPr="00EC6917">
              <w:rPr>
                <w:rFonts w:ascii="Arial (Body)" w:hAnsi="Arial (Body)"/>
                <w:b/>
                <w:i w:val="0"/>
                <w:color w:val="265A9A"/>
              </w:rPr>
              <w:t>Description</w:t>
            </w:r>
          </w:p>
        </w:tc>
      </w:tr>
      <w:tr w:rsidR="006E0ED6" w:rsidRPr="00EC6917" w14:paraId="099A36E6" w14:textId="77777777" w:rsidTr="001625EC">
        <w:tc>
          <w:tcPr>
            <w:tcW w:w="1171" w:type="pct"/>
            <w:tcBorders>
              <w:top w:val="single" w:sz="4" w:space="0" w:color="B3B3B3"/>
              <w:bottom w:val="nil"/>
            </w:tcBorders>
            <w:shd w:val="clear" w:color="auto" w:fill="F1F1F1"/>
          </w:tcPr>
          <w:p w14:paraId="160F5CC5" w14:textId="77777777" w:rsidR="006E0ED6" w:rsidRPr="007E7951" w:rsidRDefault="006E0ED6" w:rsidP="001625EC">
            <w:pPr>
              <w:pStyle w:val="TableBodyText"/>
              <w:spacing w:before="45" w:after="45" w:line="240" w:lineRule="atLeast"/>
              <w:ind w:right="108"/>
              <w:jc w:val="left"/>
              <w:rPr>
                <w:rFonts w:ascii="Arial (Body)" w:hAnsi="Arial (Body)"/>
                <w:bCs/>
              </w:rPr>
            </w:pPr>
            <w:r w:rsidRPr="007E7951">
              <w:rPr>
                <w:rFonts w:ascii="Arial (Body)" w:hAnsi="Arial (Body)"/>
                <w:bCs/>
              </w:rPr>
              <w:t>2a: Wealthy receive larger inheritances than in base scenario</w:t>
            </w:r>
          </w:p>
        </w:tc>
        <w:tc>
          <w:tcPr>
            <w:tcW w:w="3829" w:type="pct"/>
            <w:tcBorders>
              <w:top w:val="single" w:sz="4" w:space="0" w:color="B3B3B3"/>
              <w:bottom w:val="nil"/>
            </w:tcBorders>
            <w:shd w:val="clear" w:color="auto" w:fill="F1F1F1"/>
          </w:tcPr>
          <w:p w14:paraId="66669CCC" w14:textId="77777777" w:rsidR="006E0ED6" w:rsidRPr="00EC6917" w:rsidRDefault="006E0ED6" w:rsidP="001625EC">
            <w:pPr>
              <w:pStyle w:val="TableBody"/>
              <w:spacing w:before="40" w:after="40" w:line="240" w:lineRule="atLeast"/>
              <w:rPr>
                <w:color w:val="000000"/>
              </w:rPr>
            </w:pPr>
            <w:r w:rsidRPr="00EC6917">
              <w:rPr>
                <w:color w:val="000000"/>
              </w:rPr>
              <w:t>Inheritance recipients aged 30–89 in the top third of the wealth distribution for their age group receive 65 per cent of the pool of inheritances for their age group, the middle third receives 30 per cent, and bottom third receives 5 per cent. (Base scenario distributions are about 54, 33 and 13 per cent respectively). It is also assumed that receiving an inheritance does not lead to an increased probability of home ownership.</w:t>
            </w:r>
          </w:p>
        </w:tc>
      </w:tr>
      <w:tr w:rsidR="006E0ED6" w:rsidRPr="00EC6917" w14:paraId="5C4BEF3D" w14:textId="77777777" w:rsidTr="001625EC">
        <w:tc>
          <w:tcPr>
            <w:tcW w:w="1171" w:type="pct"/>
            <w:tcBorders>
              <w:top w:val="nil"/>
              <w:bottom w:val="nil"/>
            </w:tcBorders>
            <w:shd w:val="clear" w:color="auto" w:fill="auto"/>
          </w:tcPr>
          <w:p w14:paraId="7C38C189" w14:textId="77777777" w:rsidR="006E0ED6" w:rsidRPr="007E7951" w:rsidRDefault="006E0ED6" w:rsidP="001625EC">
            <w:pPr>
              <w:pStyle w:val="TableBodyText"/>
              <w:spacing w:before="45" w:after="45" w:line="240" w:lineRule="atLeast"/>
              <w:ind w:right="108"/>
              <w:jc w:val="left"/>
              <w:rPr>
                <w:rFonts w:ascii="Arial (Body)" w:hAnsi="Arial (Body)"/>
                <w:bCs/>
              </w:rPr>
            </w:pPr>
            <w:r w:rsidRPr="007E7951">
              <w:rPr>
                <w:rFonts w:ascii="Arial (Body)" w:hAnsi="Arial (Body)"/>
                <w:bCs/>
              </w:rPr>
              <w:t>2b: Wealthy save more of inheritance than in base scenario</w:t>
            </w:r>
          </w:p>
        </w:tc>
        <w:tc>
          <w:tcPr>
            <w:tcW w:w="3829" w:type="pct"/>
            <w:tcBorders>
              <w:top w:val="nil"/>
              <w:bottom w:val="nil"/>
            </w:tcBorders>
            <w:shd w:val="clear" w:color="auto" w:fill="auto"/>
          </w:tcPr>
          <w:p w14:paraId="28659683" w14:textId="77777777" w:rsidR="006E0ED6" w:rsidRPr="00EC6917" w:rsidRDefault="006E0ED6" w:rsidP="001625EC">
            <w:pPr>
              <w:pStyle w:val="TableBody"/>
              <w:spacing w:before="40" w:after="40" w:line="240" w:lineRule="atLeast"/>
              <w:rPr>
                <w:color w:val="000000"/>
              </w:rPr>
            </w:pPr>
            <w:r w:rsidRPr="00EC6917">
              <w:rPr>
                <w:color w:val="000000"/>
              </w:rPr>
              <w:t>Inheritance recipients aged 30–89 in the top third of the wealth distribution for their age group save 40 per cent of their received inheritance in other assets upon receipt, the middle third saves 20 per cent, and the bottom third saves 5 per cent. (Base scenario rates are about 15 per cent, differing depending on age group, income group and homeowner status.)</w:t>
            </w:r>
          </w:p>
        </w:tc>
      </w:tr>
      <w:tr w:rsidR="006E0ED6" w:rsidRPr="00EC6917" w14:paraId="7BA66F2B" w14:textId="77777777" w:rsidTr="001625EC">
        <w:tc>
          <w:tcPr>
            <w:tcW w:w="1171" w:type="pct"/>
            <w:tcBorders>
              <w:top w:val="nil"/>
            </w:tcBorders>
            <w:shd w:val="clear" w:color="auto" w:fill="F1F1F1"/>
          </w:tcPr>
          <w:p w14:paraId="6825D438" w14:textId="77777777" w:rsidR="006E0ED6" w:rsidRPr="007E7951" w:rsidRDefault="006E0ED6" w:rsidP="001625EC">
            <w:pPr>
              <w:pStyle w:val="TableBodyText"/>
              <w:spacing w:before="45" w:after="45" w:line="240" w:lineRule="atLeast"/>
              <w:ind w:right="108"/>
              <w:jc w:val="left"/>
              <w:rPr>
                <w:rFonts w:ascii="Arial (Body)" w:hAnsi="Arial (Body)"/>
                <w:bCs/>
              </w:rPr>
            </w:pPr>
            <w:bookmarkStart w:id="56" w:name="_Hlk79139825"/>
            <w:r w:rsidRPr="007E7951">
              <w:rPr>
                <w:rFonts w:ascii="Arial (Body)" w:hAnsi="Arial (Body)"/>
                <w:bCs/>
              </w:rPr>
              <w:t>2c: Less wealthy save less than the wealthy before receiving inheritance</w:t>
            </w:r>
            <w:bookmarkEnd w:id="56"/>
          </w:p>
        </w:tc>
        <w:tc>
          <w:tcPr>
            <w:tcW w:w="3829" w:type="pct"/>
            <w:tcBorders>
              <w:top w:val="nil"/>
            </w:tcBorders>
            <w:shd w:val="clear" w:color="auto" w:fill="F1F1F1"/>
          </w:tcPr>
          <w:p w14:paraId="0E4B591D" w14:textId="77777777" w:rsidR="006E0ED6" w:rsidRPr="00EC6917" w:rsidRDefault="006E0ED6" w:rsidP="001625EC">
            <w:pPr>
              <w:pStyle w:val="TableBody"/>
              <w:spacing w:before="40" w:after="40" w:line="240" w:lineRule="atLeast"/>
              <w:rPr>
                <w:color w:val="000000"/>
              </w:rPr>
            </w:pPr>
            <w:r w:rsidRPr="00EC6917">
              <w:rPr>
                <w:color w:val="000000"/>
              </w:rPr>
              <w:t>Cohorts aged 30–89 that have not yet received an inheritance and are in the top third of the wealth distribution for their age group have a rate of saving on income in other assets that is 10 per cent lower than under the base scenario, the middle third have a saving rate that is 20 per cent lower, and the bottom third have a saving rate that is 40 per cent lower. Saving rates on income in other assets revert to base scenario rates upon receiving an inheritance. (Base scenario rates are about 15 per cent, differing depending on age group, income group and homeowner status.)</w:t>
            </w:r>
          </w:p>
        </w:tc>
      </w:tr>
    </w:tbl>
    <w:p w14:paraId="18380509" w14:textId="77777777" w:rsidR="002D7F99" w:rsidRDefault="002D7F99" w:rsidP="002D7F99">
      <w:pPr>
        <w:pStyle w:val="BodyText"/>
      </w:pPr>
      <w:r w:rsidRPr="00FC7E77">
        <w:t xml:space="preserve">Scenario 2a </w:t>
      </w:r>
      <w:r>
        <w:t>assumes that wealthy cohorts receive a larger share of total inheritances. This</w:t>
      </w:r>
      <w:r w:rsidRPr="00FC7E77" w:rsidDel="000D4AA9">
        <w:t xml:space="preserve"> </w:t>
      </w:r>
      <w:r>
        <w:t xml:space="preserve">could be due to an increase in </w:t>
      </w:r>
      <w:r w:rsidRPr="00FC7E77">
        <w:t>intergenerational wealth persistence</w:t>
      </w:r>
      <w:r>
        <w:t xml:space="preserve"> before inheritances</w:t>
      </w:r>
      <w:r w:rsidRPr="00FC7E77">
        <w:t xml:space="preserve"> </w:t>
      </w:r>
      <w:r>
        <w:t>and/or an increase in inequality in inheritances left by parents (box 3.1). Scenarios 2b and 2c change the behavioural responses to inheritances via saving.</w:t>
      </w:r>
    </w:p>
    <w:p w14:paraId="3825E324" w14:textId="05D8D5C5" w:rsidR="002D7F99" w:rsidRPr="00FC7E77" w:rsidRDefault="002D7F99" w:rsidP="002D7F99">
      <w:pPr>
        <w:pStyle w:val="BodyText"/>
      </w:pPr>
      <w:r>
        <w:t xml:space="preserve">These scenarios have little effect on the size of total wealth and the distribution of wealth across age groups. However, instead of reducing wealth inequality as per the base scenario, in these scenarios wealth transfers </w:t>
      </w:r>
      <w:r w:rsidR="00D26B11">
        <w:t xml:space="preserve">tend to </w:t>
      </w:r>
      <w:r>
        <w:t xml:space="preserve">increase relative wealth inequality </w:t>
      </w:r>
      <w:r w:rsidR="00D26B11">
        <w:t xml:space="preserve">over the projection period </w:t>
      </w:r>
      <w:r>
        <w:t>(</w:t>
      </w:r>
      <w:r w:rsidRPr="00FC7E77">
        <w:t>figure 3.8</w:t>
      </w:r>
      <w:r>
        <w:t>)</w:t>
      </w:r>
      <w:r w:rsidRPr="00FC7E77">
        <w:t>.</w:t>
      </w:r>
    </w:p>
    <w:p w14:paraId="2087B0C0" w14:textId="77777777" w:rsidR="002D7F99" w:rsidRDefault="002D7F99" w:rsidP="002D7F99">
      <w:pPr>
        <w:pStyle w:val="BodyText"/>
      </w:pPr>
      <w:r>
        <w:t xml:space="preserve">In scenario 2a, where the wealthy receive much larger inheritances than in the base scenario, wealth transfers are initially equalising for millennials, as they are of an age where they are largely receiving relatively small gifts. When they reach an age at which they are more likely to be receiving inheritances, wealth transfers begin to increase relative wealth inequality. A similar effect is seen in scenario 2b where the wealthy are assumed to save more of their inheritance than the less wealthy. </w:t>
      </w:r>
    </w:p>
    <w:p w14:paraId="4B7F7A2A" w14:textId="2E618B79" w:rsidR="002D7F99" w:rsidRDefault="002D7F99" w:rsidP="002D7F99">
      <w:pPr>
        <w:pStyle w:val="BodyText"/>
      </w:pPr>
      <w:r>
        <w:t>In contrast, in scenario 2c, where it is assumed that the less wealthy save less of their income before receiving an inheritance, the disequalising effects on the distribution of wealth for millennials are more obvious in the earlier years of the projection. When millennials reach an age at which they are more likely to receive inheritances, the effects on wealth inequality are reversed as they revert to the same assumptions under the base scenario (where their saving rates return to normal and where lower wealth people receive larger inheritances relative to their existing wealth than do higher wealth people).</w:t>
      </w:r>
    </w:p>
    <w:p w14:paraId="3B03C952" w14:textId="13DE59DC" w:rsidR="006E0ED6" w:rsidRPr="00146382" w:rsidRDefault="006E0ED6" w:rsidP="006E0ED6">
      <w:pPr>
        <w:pStyle w:val="FigureTableHeading"/>
      </w:pPr>
      <w:r>
        <w:lastRenderedPageBreak/>
        <w:t xml:space="preserve">Figure </w:t>
      </w:r>
      <w:r w:rsidR="00B2270C">
        <w:fldChar w:fldCharType="begin"/>
      </w:r>
      <w:r w:rsidR="00B2270C">
        <w:instrText xml:space="preserve"> STYLEREF 1 \s </w:instrText>
      </w:r>
      <w:r w:rsidR="00B2270C">
        <w:fldChar w:fldCharType="separate"/>
      </w:r>
      <w:r w:rsidR="00F3386D">
        <w:rPr>
          <w:noProof/>
        </w:rPr>
        <w:t>3</w:t>
      </w:r>
      <w:r w:rsidR="00B2270C">
        <w:rPr>
          <w:noProof/>
        </w:rPr>
        <w:fldChar w:fldCharType="end"/>
      </w:r>
      <w:r>
        <w:t>.</w:t>
      </w:r>
      <w:r w:rsidR="00B2270C">
        <w:fldChar w:fldCharType="begin"/>
      </w:r>
      <w:r w:rsidR="00B2270C">
        <w:instrText xml:space="preserve"> SEQ Figure \* ARABIC \s 1 </w:instrText>
      </w:r>
      <w:r w:rsidR="00B2270C">
        <w:fldChar w:fldCharType="separate"/>
      </w:r>
      <w:r w:rsidR="00F3386D">
        <w:rPr>
          <w:noProof/>
        </w:rPr>
        <w:t>8</w:t>
      </w:r>
      <w:r w:rsidR="00B2270C">
        <w:rPr>
          <w:noProof/>
        </w:rPr>
        <w:fldChar w:fldCharType="end"/>
      </w:r>
      <w:r>
        <w:rPr>
          <w:noProof/>
        </w:rPr>
        <w:t xml:space="preserve"> </w:t>
      </w:r>
      <w:r>
        <w:t xml:space="preserve">– </w:t>
      </w:r>
      <w:r w:rsidRPr="00805FE7">
        <w:t>Wealth transfers increase wealth inequality when they benefit the wealthy by a greater extent than under the base scenario</w:t>
      </w:r>
    </w:p>
    <w:p w14:paraId="1B4F1CA4" w14:textId="77777777" w:rsidR="006E0ED6" w:rsidRPr="008713C9" w:rsidRDefault="006E0ED6" w:rsidP="006E0ED6">
      <w:pPr>
        <w:pStyle w:val="FigureTableSubheading"/>
        <w:keepLines/>
        <w:rPr>
          <w:spacing w:val="-4"/>
          <w:sz w:val="18"/>
          <w:szCs w:val="16"/>
        </w:rPr>
      </w:pPr>
      <w:r w:rsidRPr="008713C9">
        <w:rPr>
          <w:spacing w:val="-4"/>
          <w:sz w:val="18"/>
          <w:szCs w:val="16"/>
        </w:rPr>
        <w:t>Projected change in equality due to wealth transfers (reduction in Gini coefficient, 100 point scale)</w:t>
      </w:r>
      <w:r w:rsidRPr="008713C9">
        <w:rPr>
          <w:b/>
          <w:spacing w:val="-4"/>
          <w:sz w:val="18"/>
          <w:szCs w:val="16"/>
          <w:vertAlign w:val="superscript"/>
        </w:rPr>
        <w:t>a</w:t>
      </w:r>
    </w:p>
    <w:p w14:paraId="450A8EDA" w14:textId="77777777" w:rsidR="006E0ED6" w:rsidRPr="005550A0" w:rsidRDefault="006E0ED6" w:rsidP="006E0ED6">
      <w:pPr>
        <w:pStyle w:val="BodyText"/>
      </w:pPr>
      <w:r w:rsidRPr="00817D72">
        <w:rPr>
          <w:noProof/>
        </w:rPr>
        <w:drawing>
          <wp:inline distT="0" distB="0" distL="0" distR="0" wp14:anchorId="7C1449E4" wp14:editId="3B4C87DD">
            <wp:extent cx="6120130" cy="3612515"/>
            <wp:effectExtent l="0" t="0" r="0" b="6985"/>
            <wp:docPr id="87" name="Picture 87" descr="Figure 3.8. This chart shows the cumulative change in the Gini coefficient for millennials and Gen X due to wealth transfers, under the base scenario and alternate wealth transfer behaviour scenarios. While some scenarios result in less equality, the effect on the Gini is less than the effect of a one percentage point change in the housing rate of return by 2050.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3.8. This chart shows the cumulative change in the Gini coefficient for millennials and Gen X due to wealth transfers, under the base scenario and alternate wealth transfer behaviour scenarios. While some scenarios result in less equality, the effect on the Gini is less than the effect of a one percentage point change in the housing rate of return by 2050. More details are contained in the text surrounding this figur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3612515"/>
                    </a:xfrm>
                    <a:prstGeom prst="rect">
                      <a:avLst/>
                    </a:prstGeom>
                    <a:noFill/>
                    <a:ln>
                      <a:noFill/>
                    </a:ln>
                  </pic:spPr>
                </pic:pic>
              </a:graphicData>
            </a:graphic>
          </wp:inline>
        </w:drawing>
      </w:r>
    </w:p>
    <w:p w14:paraId="411721C7" w14:textId="09FA0A64" w:rsidR="006E0ED6" w:rsidRDefault="006E0ED6" w:rsidP="006E0ED6">
      <w:pPr>
        <w:pStyle w:val="Note"/>
        <w:keepLines/>
      </w:pPr>
      <w:r w:rsidRPr="00180E66">
        <w:rPr>
          <w:b/>
          <w:bCs/>
        </w:rPr>
        <w:t>a.</w:t>
      </w:r>
      <w:r>
        <w:t xml:space="preserve"> </w:t>
      </w:r>
      <w:r w:rsidRPr="00AF1787">
        <w:t>Shaded areas indicate the increase in relative wealth equality when the housing rate of return falls from 5 to 4</w:t>
      </w:r>
      <w:r w:rsidR="008E1EE7">
        <w:t> </w:t>
      </w:r>
      <w:r w:rsidRPr="00AF1787">
        <w:t>per</w:t>
      </w:r>
      <w:r w:rsidR="008E1EE7">
        <w:t> </w:t>
      </w:r>
      <w:r w:rsidRPr="00AF1787">
        <w:t>cent, and the decrease in relative wealth equality when the housing rate of return increases from 3 to 4</w:t>
      </w:r>
      <w:r w:rsidR="008E1EE7">
        <w:t> </w:t>
      </w:r>
      <w:r w:rsidRPr="00AF1787">
        <w:t>per</w:t>
      </w:r>
      <w:r w:rsidR="008E1EE7">
        <w:t> </w:t>
      </w:r>
      <w:r w:rsidRPr="00AF1787">
        <w:t>cent.</w:t>
      </w:r>
    </w:p>
    <w:p w14:paraId="2F77AE4E" w14:textId="77777777" w:rsidR="006E0ED6" w:rsidRDefault="006E0ED6" w:rsidP="006E0ED6">
      <w:pPr>
        <w:pStyle w:val="Source"/>
      </w:pPr>
      <w:r w:rsidRPr="00696447">
        <w:t xml:space="preserve">Source: </w:t>
      </w:r>
      <w:r w:rsidRPr="00BD66FA">
        <w:t>Productivity Commission estimates from cohort simulation model.</w:t>
      </w:r>
    </w:p>
    <w:p w14:paraId="0D4A0871" w14:textId="03964C38" w:rsidR="00E67901" w:rsidRDefault="00E67901" w:rsidP="00E67901">
      <w:pPr>
        <w:pStyle w:val="BodyText"/>
      </w:pPr>
      <w:r>
        <w:t xml:space="preserve">These scenarios illustrate how, in contrast to the actual observed outcomes over the past 20 years, wealth transfers might increase relative wealth inequality in the future. While plausible, it is difficult to say how likely it is that the behaviour modelled in these scenarios, and the observed outcomes, will actually occur. </w:t>
      </w:r>
    </w:p>
    <w:p w14:paraId="67E566A3" w14:textId="19FE01E1" w:rsidR="00E67901" w:rsidRDefault="00E67901" w:rsidP="00E67901">
      <w:pPr>
        <w:pStyle w:val="BodyText"/>
      </w:pPr>
      <w:r>
        <w:t>In addition to the fact that forecasting is inherently uncertain, there is a lack of data, particularly Australian data, with which to precisely define behaviour let alone to underpin accurate predictions. For example, as discussed in chapter 2, variation in saving behaviour associated with wealth transfers across people with different wealth holdings is highly uncertain. Similarly, there are no Australian studies, and few international ones, on how anticipation of an inheritance affects consumption and savings behaviour (section 3.1).</w:t>
      </w:r>
    </w:p>
    <w:p w14:paraId="0E855299" w14:textId="0591E985" w:rsidR="00E67901" w:rsidRDefault="00E67901" w:rsidP="00E67901">
      <w:pPr>
        <w:pStyle w:val="BodyText"/>
      </w:pPr>
      <w:r>
        <w:t>If intergenerational wealth persistence or wealth inequality among older generations increases</w:t>
      </w:r>
      <w:r w:rsidR="00EA394B">
        <w:t xml:space="preserve"> in the future</w:t>
      </w:r>
      <w:r>
        <w:t>, there could be greater potential for the wealthy to receive a larger share of total inheritances. This would depend on a range of factors, such as future returns on assets, and future drivers of intergenerational wealth persistence (chapter 2).</w:t>
      </w:r>
    </w:p>
    <w:p w14:paraId="118C07EB" w14:textId="7170A70B" w:rsidR="00E67901" w:rsidRPr="00942C44" w:rsidRDefault="00E67901" w:rsidP="00E67901">
      <w:pPr>
        <w:pStyle w:val="BodyText"/>
        <w:rPr>
          <w:spacing w:val="-4"/>
        </w:rPr>
      </w:pPr>
      <w:r w:rsidRPr="00942C44">
        <w:rPr>
          <w:spacing w:val="-4"/>
        </w:rPr>
        <w:t>But even if the situations illustrated by these scenarios were to eventuate, the projections suggest that the size of the wealth transfer effects will not be large. The scenario outcomes were of a similar magnitude to the change in relative wealth inequality in the base scenario, and smaller than a one percentage point change in the rate of return on housing (the average annual rate of return to housing was 7 per cent over the past 30 years).</w:t>
      </w:r>
    </w:p>
    <w:p w14:paraId="34AC1DEB" w14:textId="77777777" w:rsidR="006E0ED6" w:rsidRDefault="006E0ED6" w:rsidP="006E0ED6">
      <w:pPr>
        <w:pStyle w:val="Heading3"/>
      </w:pPr>
      <w:r>
        <w:lastRenderedPageBreak/>
        <w:t>The equalising effect of wealth transfers is robust to other reasonable changes in assumptions</w:t>
      </w:r>
    </w:p>
    <w:p w14:paraId="4A048A06" w14:textId="77777777" w:rsidR="006E0ED6" w:rsidRDefault="006E0ED6" w:rsidP="006E0ED6">
      <w:pPr>
        <w:pStyle w:val="BodyText"/>
      </w:pPr>
      <w:r>
        <w:t>A number of other changes to the assumptions in the base scenario were examined, including additional changes to wealth transfer behaviour, wealth drawdown behaviour and housing</w:t>
      </w:r>
      <w:r>
        <w:noBreakHyphen/>
        <w:t>related parameters. Some of these changes</w:t>
      </w:r>
      <w:r w:rsidDel="005C7D96">
        <w:t xml:space="preserve"> </w:t>
      </w:r>
      <w:r>
        <w:t>affect the projected size of wealth and transfers in the model, but typically to a much smaller extent than in the scenarios with changes to assumptions on rates of return discussed earlier. In all scenarios, older people are projected to hold a larger share of total wealth. Wealth transfers are also projected to reduce relative wealth inequality within generations in the long run, though immediate timing effects (section 3.3) were amplified in some scenarios.</w:t>
      </w:r>
    </w:p>
    <w:p w14:paraId="2B2FF73A" w14:textId="77777777" w:rsidR="006E0ED6" w:rsidRPr="00601F54" w:rsidRDefault="006E0ED6" w:rsidP="006E0ED6">
      <w:pPr>
        <w:pStyle w:val="BodyText"/>
      </w:pPr>
      <w:r>
        <w:t xml:space="preserve">The results of these scenarios are presented and discussed further in </w:t>
      </w:r>
      <w:r w:rsidRPr="005C7D96">
        <w:t>appendix</w:t>
      </w:r>
      <w:r w:rsidRPr="00601F54">
        <w:t> </w:t>
      </w:r>
      <w:r w:rsidRPr="00B87E3A">
        <w:t>C</w:t>
      </w:r>
      <w:r w:rsidRPr="005C7D96">
        <w:t>.</w:t>
      </w:r>
    </w:p>
    <w:p w14:paraId="6A2C26E3" w14:textId="77777777" w:rsidR="006E0ED6" w:rsidRDefault="006E0ED6" w:rsidP="00D208A3">
      <w:pPr>
        <w:pStyle w:val="Heading2"/>
      </w:pPr>
      <w:bookmarkStart w:id="57" w:name="_Toc87543966"/>
      <w:r>
        <w:t>Modelling conclusions and discussion</w:t>
      </w:r>
      <w:bookmarkEnd w:id="57"/>
    </w:p>
    <w:p w14:paraId="3ADCC2DC" w14:textId="77777777" w:rsidR="006E0ED6" w:rsidRDefault="006E0ED6" w:rsidP="006E0ED6">
      <w:pPr>
        <w:pStyle w:val="BodyText"/>
      </w:pPr>
      <w:r>
        <w:t xml:space="preserve">The results of the base scenario projection suggest that while wealth transfers between generations are projected to grow over time, they are expected to have a moderating, but small, effect on relative wealth inequality when compared with a situation where there are no wealth transfers. </w:t>
      </w:r>
    </w:p>
    <w:p w14:paraId="422C3715" w14:textId="77777777" w:rsidR="006E0ED6" w:rsidRDefault="006E0ED6" w:rsidP="006E0ED6">
      <w:pPr>
        <w:pStyle w:val="BodyText"/>
      </w:pPr>
      <w:bookmarkStart w:id="58" w:name="_Hlk82783530"/>
      <w:r>
        <w:t xml:space="preserve">Consistent with theory, scenario analysis shows that wealth transfers increase relative wealth inequality </w:t>
      </w:r>
      <w:r w:rsidDel="002D7C81">
        <w:t xml:space="preserve">when </w:t>
      </w:r>
      <w:r>
        <w:t>wealthier people are assumed to receive even larger inheritances, or when they save even more of their inheritances compared with less wealthy people. These assumptions directly increase the extent to which wealth transfers help the wealthy accumulate relatively more wealth.</w:t>
      </w:r>
      <w:bookmarkEnd w:id="58"/>
      <w:r>
        <w:t xml:space="preserve"> Nevertheless, the projected effects on the distribution of wealth remain small.</w:t>
      </w:r>
    </w:p>
    <w:p w14:paraId="3549ED35" w14:textId="77777777" w:rsidR="006E0ED6" w:rsidRDefault="006E0ED6" w:rsidP="006E0ED6">
      <w:pPr>
        <w:pStyle w:val="BodyText"/>
      </w:pPr>
      <w:r>
        <w:t>The equalising effect of wealth transfers</w:t>
      </w:r>
      <w:r w:rsidDel="00601F54">
        <w:t xml:space="preserve"> </w:t>
      </w:r>
      <w:r>
        <w:t>is expected to hold when making comparisons between wealth transfer recipients based on socio</w:t>
      </w:r>
      <w:r>
        <w:noBreakHyphen/>
        <w:t>demographic cohorts of the population that were not considered in the model, unless there are vast differences in how much of a wealth transfer is saved</w:t>
      </w:r>
      <w:r w:rsidDel="006E785F">
        <w:t xml:space="preserve"> </w:t>
      </w:r>
      <w:r>
        <w:t>between the different cohorts. For example, women historically have less retirement savings than men, and the size of inheritances received is unlikely to vary by gender. Hence in the model, women would receive inheritances that are a larger share of their existing wealth than men (the higher wealth group prior to receiving an inheritance). Assuming men and women use their inheritance to accumulate wealth at similar rates, inheritances would be found to moderate relative inequality.</w:t>
      </w:r>
    </w:p>
    <w:p w14:paraId="701DD627" w14:textId="77777777" w:rsidR="006E0ED6" w:rsidRDefault="006E0ED6" w:rsidP="006E0ED6">
      <w:pPr>
        <w:pStyle w:val="BodyText"/>
      </w:pPr>
      <w:r>
        <w:t>The modelling also suggests that wealth will become more concentrated among older age groups. These effects are only slightly dampened by changes to assumptions that increase the rate at which older people draw down on their wealth, or that increase gifting rates (appendix C). Historically high returns on housing before the start of the model simulation, as well as wealth that is assumed to be inherited from partners in old age, are large drivers of this result.</w:t>
      </w:r>
    </w:p>
    <w:p w14:paraId="1B4B2A5B" w14:textId="656E9C78" w:rsidR="006E0ED6" w:rsidRDefault="006E0ED6" w:rsidP="006A08B2">
      <w:pPr>
        <w:pStyle w:val="Boxspace"/>
        <w:sectPr w:rsidR="006E0ED6" w:rsidSect="001625EC">
          <w:headerReference w:type="even" r:id="rId111"/>
          <w:type w:val="oddPage"/>
          <w:pgSz w:w="11906" w:h="16838" w:code="9"/>
          <w:pgMar w:top="1134" w:right="1134" w:bottom="1134" w:left="1134" w:header="794" w:footer="510" w:gutter="0"/>
          <w:cols w:space="708"/>
          <w:docGrid w:linePitch="360"/>
        </w:sectPr>
      </w:pPr>
      <w:r w:rsidRPr="003B31BC">
        <w:rPr>
          <w:spacing w:val="-4"/>
        </w:rPr>
        <w:t xml:space="preserve">While the ‘bank of mum and dad’ may be an increasing source of intergenerational wealth transfers (chapter 1), the model was not designed to examine their effects and there is a lack of data to inform this. </w:t>
      </w:r>
      <w:bookmarkStart w:id="59" w:name="_Hlk83824862"/>
      <w:r w:rsidRPr="003B31BC">
        <w:rPr>
          <w:spacing w:val="-4"/>
        </w:rPr>
        <w:t xml:space="preserve">Drawing on Nekoei and Seim’s </w:t>
      </w:r>
      <w:r w:rsidRPr="003B31BC">
        <w:rPr>
          <w:spacing w:val="-4"/>
        </w:rPr>
        <w:fldChar w:fldCharType="begin"/>
      </w:r>
      <w:r w:rsidR="0047772E">
        <w:rPr>
          <w:spacing w:val="-4"/>
        </w:rPr>
        <w:instrText xml:space="preserve"> ADDIN ZOTERO_ITEM CSL_CITATION {"citationID":"2zToRkt4","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rsidRPr="003B31BC">
        <w:rPr>
          <w:spacing w:val="-4"/>
        </w:rPr>
        <w:fldChar w:fldCharType="separate"/>
      </w:r>
      <w:r w:rsidRPr="003B31BC">
        <w:rPr>
          <w:spacing w:val="-4"/>
        </w:rPr>
        <w:t>(2019)</w:t>
      </w:r>
      <w:r w:rsidRPr="003B31BC">
        <w:rPr>
          <w:spacing w:val="-4"/>
        </w:rPr>
        <w:fldChar w:fldCharType="end"/>
      </w:r>
      <w:r w:rsidRPr="003B31BC">
        <w:rPr>
          <w:spacing w:val="-4"/>
        </w:rPr>
        <w:t xml:space="preserve"> framework (box 3.1), the short</w:t>
      </w:r>
      <w:r w:rsidRPr="003B31BC">
        <w:rPr>
          <w:spacing w:val="-4"/>
        </w:rPr>
        <w:noBreakHyphen/>
        <w:t xml:space="preserve">run effect would depend on the degree of intergenerational wealth persistence (which is relatively low in Australia </w:t>
      </w:r>
      <w:r w:rsidR="00314A7B">
        <w:rPr>
          <w:spacing w:val="-4"/>
        </w:rPr>
        <w:t xml:space="preserve">— </w:t>
      </w:r>
      <w:r w:rsidRPr="003B31BC">
        <w:rPr>
          <w:spacing w:val="-4"/>
        </w:rPr>
        <w:t>chapter 2), the relative size of gifts given by wealthier parents and the existing wealth distribution among child generations. In the long run, because these types of transfers are used to accumulate wealth in housing, it may contribute to greater intergenerational wealth persistence if the wealthiest parents provide the largest ‘bank of mum and dad’ transfers. Such transfers could also have broader effects on future house prices and affordability that could affect wealth inequality.</w:t>
      </w:r>
      <w:bookmarkEnd w:id="59"/>
    </w:p>
    <w:p w14:paraId="29D27B7D" w14:textId="51B0E4D6" w:rsidR="00942C44" w:rsidRDefault="00942C44" w:rsidP="004A3EF3">
      <w:pPr>
        <w:pStyle w:val="Heading1-Section-fullpage"/>
        <w:framePr w:wrap="around"/>
      </w:pPr>
      <w:bookmarkStart w:id="60" w:name="_Toc87543967"/>
      <w:r w:rsidRPr="00942C44">
        <w:lastRenderedPageBreak/>
        <w:t>Appendices</w:t>
      </w:r>
      <w:bookmarkEnd w:id="60"/>
    </w:p>
    <w:p w14:paraId="32B779FD" w14:textId="77777777" w:rsidR="009D71C3" w:rsidRPr="001128AA" w:rsidRDefault="009D71C3" w:rsidP="00FD082B">
      <w:pPr>
        <w:pStyle w:val="BodyText"/>
        <w:spacing w:before="0"/>
      </w:pPr>
    </w:p>
    <w:p w14:paraId="1D533A08" w14:textId="498FF504" w:rsidR="009D71C3" w:rsidRPr="001128AA" w:rsidRDefault="009D71C3" w:rsidP="001128AA">
      <w:pPr>
        <w:pStyle w:val="BodyText"/>
        <w:sectPr w:rsidR="009D71C3" w:rsidRPr="001128AA" w:rsidSect="001625EC">
          <w:headerReference w:type="even" r:id="rId112"/>
          <w:headerReference w:type="default" r:id="rId113"/>
          <w:footerReference w:type="even" r:id="rId114"/>
          <w:footerReference w:type="default" r:id="rId115"/>
          <w:type w:val="oddPage"/>
          <w:pgSz w:w="11906" w:h="16838" w:code="9"/>
          <w:pgMar w:top="1134" w:right="1134" w:bottom="1134" w:left="1134" w:header="794" w:footer="510" w:gutter="0"/>
          <w:cols w:space="708"/>
          <w:docGrid w:linePitch="360"/>
        </w:sectPr>
      </w:pPr>
    </w:p>
    <w:p w14:paraId="6CF618CB" w14:textId="2CFCAD17" w:rsidR="00767353" w:rsidRDefault="00767353" w:rsidP="00132C71">
      <w:pPr>
        <w:pStyle w:val="Heading-Appendix"/>
        <w:numPr>
          <w:ilvl w:val="0"/>
          <w:numId w:val="9"/>
        </w:numPr>
      </w:pPr>
      <w:bookmarkStart w:id="61" w:name="_Toc87543968"/>
      <w:r>
        <w:lastRenderedPageBreak/>
        <w:t>Australian wealth data and estimating inheritance outflows</w:t>
      </w:r>
      <w:bookmarkEnd w:id="61"/>
    </w:p>
    <w:p w14:paraId="382202C2" w14:textId="77777777" w:rsidR="00767353" w:rsidRDefault="00767353" w:rsidP="00767353">
      <w:pPr>
        <w:pStyle w:val="BodyText"/>
      </w:pPr>
      <w:r>
        <w:t xml:space="preserve">Chapter 1 estimated the value of annual wealth transfers in the form of inheritances and inter vivos gifts (gifts). This appendix describes additional detail about the datasets and the assumptions underpinning the estimates presented in chapter 1. Section A.1 analyses the three main data sources that provide information about household wealth in Australia to understand why they report different estimates of total household wealth, including a description of how the wealth of aged care residents was estimated. Section A.2 provides additional detail about the probate system and how estates are distributed. Section A.3 describes the process used to apportion household wealth from the Household, Income and Labour Dynamics in Australia (HILDA) survey to individual members of the household. Section A.4 provides additional detail about how the estimates of the outflow value of inheritances were constructed. </w:t>
      </w:r>
    </w:p>
    <w:p w14:paraId="0BD08C3E" w14:textId="77777777" w:rsidR="00767353" w:rsidRDefault="00767353" w:rsidP="00132C71">
      <w:pPr>
        <w:pStyle w:val="Heading2-Appendix"/>
        <w:numPr>
          <w:ilvl w:val="1"/>
          <w:numId w:val="9"/>
        </w:numPr>
      </w:pPr>
      <w:r w:rsidRPr="00C756F8">
        <w:t>Comparison of HILDA, SIH and National Accounts aggregate wealth estimates</w:t>
      </w:r>
    </w:p>
    <w:p w14:paraId="5AA0F01A" w14:textId="0C3CA9A9" w:rsidR="00767353" w:rsidRDefault="00767353" w:rsidP="00767353">
      <w:pPr>
        <w:pStyle w:val="BodyText"/>
      </w:pPr>
      <w:r>
        <w:t>Household wealth is the sum of households’ financial and non</w:t>
      </w:r>
      <w:r>
        <w:noBreakHyphen/>
        <w:t>financial assets minus their liabilities. There are three main sources that report aggregate household wealth data in Australia:</w:t>
      </w:r>
    </w:p>
    <w:p w14:paraId="6B27FD85" w14:textId="5F1D1AAE" w:rsidR="00767353" w:rsidRPr="008D0800" w:rsidRDefault="00767353" w:rsidP="00767353">
      <w:pPr>
        <w:pStyle w:val="ListBullet"/>
      </w:pPr>
      <w:r>
        <w:t xml:space="preserve">the ABS quarterly National Accounts, which provides the most comprehensive information about aggregate household sector wealth (the National Accounts measure the wealth held by the household sector collectively, but it is not an </w:t>
      </w:r>
      <w:r w:rsidRPr="008D0800">
        <w:t>aggregation of, and neither is it apportioned to, the individual or the household level, hence the need for survey data)</w:t>
      </w:r>
    </w:p>
    <w:p w14:paraId="7835BC9E" w14:textId="66F8F630" w:rsidR="00767353" w:rsidRPr="008D0800" w:rsidRDefault="00767353" w:rsidP="00767353">
      <w:pPr>
        <w:pStyle w:val="ListBullet"/>
      </w:pPr>
      <w:r w:rsidRPr="008D0800">
        <w:t>the two</w:t>
      </w:r>
      <w:r w:rsidRPr="008D0800">
        <w:noBreakHyphen/>
        <w:t>yearly cross</w:t>
      </w:r>
      <w:r w:rsidRPr="008D0800">
        <w:noBreakHyphen/>
        <w:t>sectional Survey of Income and Housing (SIH)</w:t>
      </w:r>
    </w:p>
    <w:p w14:paraId="4091E96B" w14:textId="77777777" w:rsidR="00767353" w:rsidRPr="008D0800" w:rsidRDefault="00767353" w:rsidP="00767353">
      <w:pPr>
        <w:pStyle w:val="ListBullet"/>
      </w:pPr>
      <w:r w:rsidRPr="008D0800">
        <w:t>the annual longitudinal HILDA survey.</w:t>
      </w:r>
    </w:p>
    <w:p w14:paraId="38B476A1" w14:textId="4A8EC972" w:rsidR="00767353" w:rsidRDefault="00767353" w:rsidP="00767353">
      <w:pPr>
        <w:pStyle w:val="BodyText"/>
      </w:pPr>
      <w:r>
        <w:t>Figure A.1 presents a time series of the value of household wealth for each of these data sources. The gap between HILDA and the National Accounts has expanded from about 9 per cent in 2002 to 15</w:t>
      </w:r>
      <w:r w:rsidR="00EB3C4F">
        <w:t> </w:t>
      </w:r>
      <w:r>
        <w:t>per</w:t>
      </w:r>
      <w:r w:rsidR="00EB3C4F">
        <w:t> </w:t>
      </w:r>
      <w:r>
        <w:t>cent in 2018. In 2018, the National Accounts estimate of the value of household sector wealth was $10.4</w:t>
      </w:r>
      <w:r w:rsidR="00EB3C4F">
        <w:t> </w:t>
      </w:r>
      <w:r>
        <w:t>trillion. The SIH estimate was $9.6</w:t>
      </w:r>
      <w:r w:rsidR="00EB3C4F">
        <w:t> </w:t>
      </w:r>
      <w:r>
        <w:t>trillion (2017</w:t>
      </w:r>
      <w:r>
        <w:noBreakHyphen/>
        <w:t>18) and the HILDA estimate was $8.9</w:t>
      </w:r>
      <w:r w:rsidR="00EB3C4F">
        <w:t> </w:t>
      </w:r>
      <w:r>
        <w:t xml:space="preserve">trillion. </w:t>
      </w:r>
    </w:p>
    <w:p w14:paraId="7E37C046" w14:textId="50204FDD" w:rsidR="00767353" w:rsidRDefault="00767353" w:rsidP="00767353">
      <w:pPr>
        <w:pStyle w:val="BodyText"/>
      </w:pPr>
      <w:r>
        <w:t>Key identifiable causes of the differences between each of the estimates, including in the reference population and scope and measurement</w:t>
      </w:r>
      <w:r w:rsidR="002F3F29">
        <w:t>, are discussed below</w:t>
      </w:r>
      <w:r>
        <w:t xml:space="preserve">. </w:t>
      </w:r>
    </w:p>
    <w:p w14:paraId="3BD829B4" w14:textId="6D0FFBB0"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4666AE">
        <w:t>1</w:t>
      </w:r>
      <w:r>
        <w:rPr>
          <w:noProof/>
        </w:rPr>
        <w:t xml:space="preserve"> </w:t>
      </w:r>
      <w:r>
        <w:t>– Household wealth has steadily increased</w:t>
      </w:r>
    </w:p>
    <w:p w14:paraId="6EC4A3FF" w14:textId="1635521A" w:rsidR="00767353" w:rsidRPr="005550A0" w:rsidRDefault="009600BC" w:rsidP="00767353">
      <w:pPr>
        <w:pStyle w:val="BodyText"/>
      </w:pPr>
      <w:r w:rsidRPr="009600BC">
        <w:rPr>
          <w:noProof/>
        </w:rPr>
        <w:drawing>
          <wp:inline distT="0" distB="0" distL="0" distR="0" wp14:anchorId="37470E83" wp14:editId="42D2AD9F">
            <wp:extent cx="6120130" cy="2875280"/>
            <wp:effectExtent l="0" t="0" r="0" b="0"/>
            <wp:docPr id="175" name="Picture 175" descr="Figure A.1. This chart shows estimates of household wealth from HILDA, the National Accounts and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Figure A.1. This chart shows estimates of household wealth from HILDA, the National Accounts and the SIH. More details are contained in the text surrounding this figur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08D46407" w14:textId="122FA611" w:rsidR="00767353" w:rsidRPr="001B4204" w:rsidRDefault="00767353" w:rsidP="00767353">
      <w:pPr>
        <w:pStyle w:val="Source"/>
        <w:rPr>
          <w:spacing w:val="-6"/>
        </w:rPr>
      </w:pPr>
      <w:r w:rsidRPr="001B4204">
        <w:rPr>
          <w:spacing w:val="-6"/>
        </w:rPr>
        <w:t>Source: Productivity Commission estimates using ABS (</w:t>
      </w:r>
      <w:r w:rsidRPr="001B4204">
        <w:rPr>
          <w:i/>
          <w:iCs/>
          <w:spacing w:val="-6"/>
        </w:rPr>
        <w:t>Australian National Accounts: Finance and Wealth, June 2021,</w:t>
      </w:r>
      <w:r w:rsidRPr="001B4204">
        <w:rPr>
          <w:spacing w:val="-6"/>
        </w:rPr>
        <w:t xml:space="preserve"> Cat. no. 5232.0); ABS (</w:t>
      </w:r>
      <w:r w:rsidRPr="001B4204">
        <w:rPr>
          <w:i/>
          <w:iCs/>
          <w:spacing w:val="-6"/>
        </w:rPr>
        <w:t>Consumer Price Index, Australia, June 2021,</w:t>
      </w:r>
      <w:r w:rsidRPr="001B4204">
        <w:rPr>
          <w:spacing w:val="-6"/>
        </w:rPr>
        <w:t xml:space="preserve"> Cat. no. 6401.0); ABS (</w:t>
      </w:r>
      <w:r w:rsidRPr="001B4204">
        <w:rPr>
          <w:i/>
          <w:iCs/>
          <w:spacing w:val="-6"/>
        </w:rPr>
        <w:t>Microdata: Income and Housing, 2017</w:t>
      </w:r>
      <w:r w:rsidRPr="001B4204">
        <w:rPr>
          <w:i/>
          <w:iCs/>
          <w:spacing w:val="-6"/>
        </w:rPr>
        <w:noBreakHyphen/>
        <w:t>18,</w:t>
      </w:r>
      <w:r w:rsidRPr="001B4204">
        <w:rPr>
          <w:spacing w:val="-6"/>
        </w:rPr>
        <w:t xml:space="preserve"> Cat. no. 6523.0); ABS SIH Basic confidentialised unit record files for 2003</w:t>
      </w:r>
      <w:r w:rsidRPr="001B4204">
        <w:rPr>
          <w:spacing w:val="-6"/>
        </w:rPr>
        <w:noBreakHyphen/>
        <w:t>04 to 2017</w:t>
      </w:r>
      <w:r w:rsidRPr="001B4204" w:rsidDel="00CB1DB5">
        <w:rPr>
          <w:spacing w:val="-6"/>
        </w:rPr>
        <w:noBreakHyphen/>
      </w:r>
      <w:r w:rsidRPr="001B4204">
        <w:rPr>
          <w:spacing w:val="-6"/>
        </w:rPr>
        <w:t>18; HILDA Restricted Release 19.</w:t>
      </w:r>
    </w:p>
    <w:p w14:paraId="570E13B8" w14:textId="77777777" w:rsidR="00767353" w:rsidRDefault="00767353" w:rsidP="00767353">
      <w:pPr>
        <w:pStyle w:val="Heading3"/>
      </w:pPr>
      <w:r>
        <w:t>Differences in the reference population</w:t>
      </w:r>
    </w:p>
    <w:p w14:paraId="52175601" w14:textId="562E2F51" w:rsidR="00767353" w:rsidRDefault="00767353" w:rsidP="00767353">
      <w:pPr>
        <w:pStyle w:val="BodyText"/>
      </w:pPr>
      <w:r>
        <w:t xml:space="preserve">The measure of household wealth included in the National Accounts is the broadest of the three data sources, covering ‘all resident households, defined as small groups of persons who share accommodation, pool some or all of their income and wealth and collectively consume goods and services, principally housing and food’ </w:t>
      </w:r>
      <w:r>
        <w:fldChar w:fldCharType="begin"/>
      </w:r>
      <w:r w:rsidR="0047772E">
        <w:instrText xml:space="preserve"> ADDIN ZOTERO_ITEM CSL_CITATION {"citationID":"6PWwzklE","properties":{"formattedCitation":"(ABS\\uc0\\u160{}2015, p.\\uc0\\u160{}65)","plainCitation":"(ABS 2015, p. 65)","noteIndex":0},"citationItems":[{"id":1766,"uris":["http://zotero.org/groups/2714158/items/VHJ6L7L7"],"uri":["http://zotero.org/groups/2714158/items/VHJ6L7L7"],"itemData":{"id":1766,"type":"report","number":"Cat. no. 5216.0","title":"Australian System of National Accounts - Concepts, Sources and Methods","URL":"https://www.ausstats.abs.gov.au/ausstats/subscriber.nsf/0/C5ACA29422243B56CA257F7D00177D09/$File/52160_2015_.pdf","author":[{"literal":"Australian Bureau of Statistics"}],"translator":[{"literal":"ABS"}],"accessed":{"date-parts":[["2021",4,7]]},"issued":{"date-parts":[["2015"]]}},"locator":"65"}],"schema":"https://github.com/citation-style-language/schema/raw/master/csl-citation.json"} </w:instrText>
      </w:r>
      <w:r>
        <w:fldChar w:fldCharType="separate"/>
      </w:r>
      <w:r w:rsidRPr="004251ED">
        <w:rPr>
          <w:szCs w:val="24"/>
        </w:rPr>
        <w:t>(ABS 2015, p. 65)</w:t>
      </w:r>
      <w:r>
        <w:fldChar w:fldCharType="end"/>
      </w:r>
      <w:r>
        <w:t xml:space="preserve">. </w:t>
      </w:r>
    </w:p>
    <w:p w14:paraId="644B4E3C" w14:textId="1D371FB7" w:rsidR="00767353" w:rsidRDefault="00767353" w:rsidP="00767353">
      <w:pPr>
        <w:pStyle w:val="BodyText"/>
      </w:pPr>
      <w:r>
        <w:t>The reference population of the SIH is</w:t>
      </w:r>
      <w:r w:rsidRPr="002F5EA5">
        <w:t xml:space="preserve"> </w:t>
      </w:r>
      <w:r>
        <w:t>‘</w:t>
      </w:r>
      <w:r w:rsidRPr="002F5EA5">
        <w:t>usual residents of private dwellings in urban and rural areas of Australia (excluding Very Remote areas), covering about 97% of the people living in Australia</w:t>
      </w:r>
      <w:r>
        <w:t xml:space="preserve">’ </w:t>
      </w:r>
      <w:r>
        <w:fldChar w:fldCharType="begin"/>
      </w:r>
      <w:r w:rsidR="0047772E">
        <w:instrText xml:space="preserve"> ADDIN ZOTERO_ITEM CSL_CITATION {"citationID":"dT5SBCK4","properties":{"formattedCitation":"(ABS\\uc0\\u160{}2019c)","plainCitation":"(ABS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fldChar w:fldCharType="separate"/>
      </w:r>
      <w:r w:rsidR="007A60F8" w:rsidRPr="007A60F8">
        <w:rPr>
          <w:rFonts w:ascii="Arial" w:hAnsi="Arial" w:cs="Arial"/>
          <w:szCs w:val="24"/>
        </w:rPr>
        <w:t>(ABS 2019c)</w:t>
      </w:r>
      <w:r>
        <w:fldChar w:fldCharType="end"/>
      </w:r>
      <w:r>
        <w:t>.</w:t>
      </w:r>
    </w:p>
    <w:p w14:paraId="380546E3" w14:textId="77777777" w:rsidR="00767353" w:rsidRDefault="00767353" w:rsidP="00767353">
      <w:pPr>
        <w:pStyle w:val="BodyText"/>
      </w:pPr>
      <w:r>
        <w:t>There are several groups excluded from this definition:</w:t>
      </w:r>
    </w:p>
    <w:p w14:paraId="3D7D4C4E" w14:textId="375C99E5" w:rsidR="00767353" w:rsidRPr="008D0800" w:rsidRDefault="00767353" w:rsidP="00767353">
      <w:pPr>
        <w:pStyle w:val="ListBullet"/>
      </w:pPr>
      <w:r>
        <w:t xml:space="preserve">residents </w:t>
      </w:r>
      <w:r w:rsidRPr="008D0800">
        <w:t>of non</w:t>
      </w:r>
      <w:r w:rsidRPr="008D0800">
        <w:noBreakHyphen/>
        <w:t>private dwellings, for example, boarding schools, aged care facilities, hospitals and hotels</w:t>
      </w:r>
    </w:p>
    <w:p w14:paraId="0AE51E03" w14:textId="315AE7D8" w:rsidR="00767353" w:rsidRPr="008D0800" w:rsidRDefault="00767353" w:rsidP="00767353">
      <w:pPr>
        <w:pStyle w:val="ListBullet"/>
      </w:pPr>
      <w:r w:rsidRPr="008D0800">
        <w:t>households that contain members of non</w:t>
      </w:r>
      <w:r w:rsidRPr="008D0800">
        <w:noBreakHyphen/>
        <w:t>Australian defence forces</w:t>
      </w:r>
    </w:p>
    <w:p w14:paraId="12BD0C1E" w14:textId="77777777" w:rsidR="00767353" w:rsidRPr="008D0800" w:rsidRDefault="00767353" w:rsidP="00767353">
      <w:pPr>
        <w:pStyle w:val="ListBullet"/>
      </w:pPr>
      <w:r w:rsidRPr="008D0800">
        <w:t>households that contain diplomatic personnel of foreign governments</w:t>
      </w:r>
    </w:p>
    <w:p w14:paraId="7986A91F" w14:textId="77777777" w:rsidR="00767353" w:rsidRDefault="00767353" w:rsidP="00767353">
      <w:pPr>
        <w:pStyle w:val="ListBullet"/>
      </w:pPr>
      <w:r w:rsidRPr="008D0800">
        <w:t>households</w:t>
      </w:r>
      <w:r>
        <w:t xml:space="preserve"> in areas defined as very remote.</w:t>
      </w:r>
    </w:p>
    <w:p w14:paraId="3E12FC61" w14:textId="77777777" w:rsidR="00767353" w:rsidRDefault="00767353" w:rsidP="00767353">
      <w:pPr>
        <w:pStyle w:val="BodyText"/>
      </w:pPr>
      <w:r>
        <w:t xml:space="preserve">The lack of coverage of aged care residents combined with a lack of data on inheritances received, meant that the SIH was not viable as the primary dataset for this report. </w:t>
      </w:r>
    </w:p>
    <w:p w14:paraId="7968E14A" w14:textId="7FB3E9A2" w:rsidR="00767353" w:rsidRDefault="00767353" w:rsidP="00767353">
      <w:pPr>
        <w:pStyle w:val="BodyText"/>
      </w:pPr>
      <w:r>
        <w:t>The wave one reference population of the HILDA survey covered all members of private dwellings in Australia. Similar to the SIH, households containing members of non</w:t>
      </w:r>
      <w:r>
        <w:noBreakHyphen/>
        <w:t>Australian defence forces and diplomatic personnel of overseas governments were excluded. Overseas residents, that is, those staying in Australia for less than one year, were also excluded. Residents of institutions, such as hospitals and prisons, and other non</w:t>
      </w:r>
      <w:r>
        <w:noBreakHyphen/>
        <w:t>private dwellings, such as hotels, were</w:t>
      </w:r>
      <w:r w:rsidR="00092ECF">
        <w:t xml:space="preserve"> also</w:t>
      </w:r>
      <w:r>
        <w:t xml:space="preserve"> excluded. In contrast to the SIH, residents of boarding schools and university colleges were considered part of the reference population in HILDA. In subsequent waves HILDA has followed respondents into institutions, for example, residential aged care.</w:t>
      </w:r>
    </w:p>
    <w:p w14:paraId="4797BBBC" w14:textId="77777777" w:rsidR="00767353" w:rsidRDefault="00767353" w:rsidP="00767353">
      <w:pPr>
        <w:pStyle w:val="Heading4"/>
      </w:pPr>
      <w:r>
        <w:lastRenderedPageBreak/>
        <w:t>Aged care residents are underrepresented in the HILDA dataset</w:t>
      </w:r>
    </w:p>
    <w:p w14:paraId="2309EBD9" w14:textId="5768AF82" w:rsidR="00767353" w:rsidRDefault="00767353" w:rsidP="00767353">
      <w:pPr>
        <w:pStyle w:val="BodyText"/>
      </w:pPr>
      <w:r>
        <w:t>Aged care residents are underrepresented in HILDA (figure</w:t>
      </w:r>
      <w:r w:rsidR="00B34E41">
        <w:t> </w:t>
      </w:r>
      <w:r>
        <w:t xml:space="preserve">A.2), and although interviews are sought with respondents in residential aged care, their responses are weighted to zero </w:t>
      </w:r>
      <w:r>
        <w:fldChar w:fldCharType="begin"/>
      </w:r>
      <w:r w:rsidR="0047772E">
        <w:instrText xml:space="preserve"> ADDIN ZOTERO_ITEM CSL_CITATION {"citationID":"pf6uDK3g","properties":{"formattedCitation":"(Summerfield et al.\\uc0\\u160{}2020, p.\\uc0\\u160{}135)","plainCitation":"(Summerfield et al. 2020, p. 135)","noteIndex":0},"citationItems":[{"id":1764,"uris":["http://zotero.org/groups/2714158/items/NMEBIEUX"],"uri":["http://zotero.org/groups/2714158/items/NMEBIEUX"],"itemData":{"id":1764,"type":"report","language":"en","page":"233","publisher":"Melbourne Institute: Applied Economic and Social Research, University of Melbourne","source":"Zotero","title":"HILDA User Manual Release 19","author":[{"family":"Summerfield","given":"Michelle"},{"family":"Garrard","given":"Brooke"},{"family":"Hahn","given":"Markus"},{"family":"Jin","given":"Yihua"},{"family":"Kamath","given":"Roopa"},{"family":"Macalalad","given":"Ninette"},{"family":"Watson","given":"Nicole"},{"family":"Wilkins","given":"Roger"},{"family":"Wooden","given":"Mark"}],"accessed":{"date-parts":[["2021",3,22]]},"issued":{"date-parts":[["2020"]]}},"locator":"135"}],"schema":"https://github.com/citation-style-language/schema/raw/master/csl-citation.json"} </w:instrText>
      </w:r>
      <w:r>
        <w:fldChar w:fldCharType="separate"/>
      </w:r>
      <w:r w:rsidRPr="006B0772">
        <w:rPr>
          <w:szCs w:val="24"/>
        </w:rPr>
        <w:t>(Summerfield et al. 2020, p. 135)</w:t>
      </w:r>
      <w:r>
        <w:fldChar w:fldCharType="end"/>
      </w:r>
      <w:r>
        <w:t xml:space="preserve">. </w:t>
      </w:r>
    </w:p>
    <w:p w14:paraId="4EA9A16C" w14:textId="6CFC0053" w:rsidR="00767353" w:rsidRPr="00023B05" w:rsidRDefault="00127952" w:rsidP="00767353">
      <w:pPr>
        <w:pStyle w:val="BodyText"/>
      </w:pPr>
      <w:r>
        <w:t>B</w:t>
      </w:r>
      <w:r w:rsidR="00767353">
        <w:t xml:space="preserve">ecause more than one third of Australians die in aged care </w:t>
      </w:r>
      <w:r w:rsidR="003136DF">
        <w:t xml:space="preserve">facilities </w:t>
      </w:r>
      <w:r w:rsidR="00767353">
        <w:t>(chapter 1)</w:t>
      </w:r>
      <w:r w:rsidR="00C11473">
        <w:t xml:space="preserve">, </w:t>
      </w:r>
      <w:r w:rsidR="00767353">
        <w:t xml:space="preserve">the HILDA survey </w:t>
      </w:r>
      <w:r w:rsidR="00767353" w:rsidRPr="00023B05">
        <w:t>weights were re</w:t>
      </w:r>
      <w:r w:rsidR="00767353" w:rsidRPr="00023B05">
        <w:noBreakHyphen/>
        <w:t xml:space="preserve">calculated to include </w:t>
      </w:r>
      <w:r w:rsidR="003136DF">
        <w:t xml:space="preserve">these people </w:t>
      </w:r>
      <w:r w:rsidR="00767353" w:rsidRPr="00023B05">
        <w:t>in the estimates of the value of inheritances transferred between generations each year.</w:t>
      </w:r>
    </w:p>
    <w:p w14:paraId="5CA291E9" w14:textId="7EEC1E54"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4666AE">
        <w:t>2</w:t>
      </w:r>
      <w:r>
        <w:rPr>
          <w:noProof/>
        </w:rPr>
        <w:t xml:space="preserve"> </w:t>
      </w:r>
      <w:r>
        <w:t>– People living in residential aged care are underrepresented in HILDA</w:t>
      </w:r>
      <w:r w:rsidRPr="00EB29CC">
        <w:rPr>
          <w:b/>
          <w:bCs/>
          <w:vertAlign w:val="superscript"/>
        </w:rPr>
        <w:t>a</w:t>
      </w:r>
    </w:p>
    <w:p w14:paraId="63C48424" w14:textId="5F624A2D" w:rsidR="00767353" w:rsidRPr="005550A0" w:rsidRDefault="0022710B" w:rsidP="00767353">
      <w:pPr>
        <w:pStyle w:val="BodyText"/>
      </w:pPr>
      <w:r w:rsidRPr="0022710B">
        <w:rPr>
          <w:noProof/>
        </w:rPr>
        <w:drawing>
          <wp:inline distT="0" distB="0" distL="0" distR="0" wp14:anchorId="28E49D9E" wp14:editId="67FABA1B">
            <wp:extent cx="6120130" cy="2875915"/>
            <wp:effectExtent l="0" t="0" r="0" b="0"/>
            <wp:docPr id="24" name="Picture 24" descr="Figure A.2. This chart shows the percentage of the population living in residential aged care, estimated from HILDA, from HILDA excluding the top-up sample in 2011, and from the AIHW. HILDA estimates are much lower than AIHW estim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A.2. This chart shows the percentage of the population living in residential aged care, estimated from HILDA, from HILDA excluding the top-up sample in 2011, and from the AIHW. HILDA estimates are much lower than AIHW estimates.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050E3385" w14:textId="77777777" w:rsidR="00767353" w:rsidRDefault="00767353" w:rsidP="00767353">
      <w:pPr>
        <w:pStyle w:val="Note"/>
        <w:keepLines/>
      </w:pPr>
      <w:r w:rsidRPr="00180E66">
        <w:rPr>
          <w:b/>
          <w:bCs/>
        </w:rPr>
        <w:t>a.</w:t>
      </w:r>
      <w:r>
        <w:t xml:space="preserve"> Unweighted percentage of HILDA sample in residential aged care.</w:t>
      </w:r>
    </w:p>
    <w:p w14:paraId="0CDB3203" w14:textId="370FD17C" w:rsidR="00767353" w:rsidRPr="00514B25" w:rsidRDefault="00767353" w:rsidP="00767353">
      <w:pPr>
        <w:pStyle w:val="Source"/>
        <w:rPr>
          <w:spacing w:val="-4"/>
        </w:rPr>
      </w:pPr>
      <w:r w:rsidRPr="00514B25">
        <w:rPr>
          <w:spacing w:val="-4"/>
        </w:rPr>
        <w:t>Source: Productivity Commission estimates using ABS (</w:t>
      </w:r>
      <w:r w:rsidRPr="00514B25">
        <w:rPr>
          <w:i/>
          <w:iCs/>
          <w:spacing w:val="-4"/>
        </w:rPr>
        <w:t>Australian Demographic Statistics, March 2021,</w:t>
      </w:r>
      <w:r w:rsidRPr="00514B25">
        <w:rPr>
          <w:spacing w:val="-4"/>
        </w:rPr>
        <w:t xml:space="preserve"> Cat. no. 3101.0); AIHW </w:t>
      </w:r>
      <w:r w:rsidR="004D5533">
        <w:rPr>
          <w:spacing w:val="-4"/>
        </w:rPr>
        <w:fldChar w:fldCharType="begin"/>
      </w:r>
      <w:r w:rsidR="0047772E">
        <w:rPr>
          <w:spacing w:val="-4"/>
        </w:rPr>
        <w:instrText xml:space="preserve"> ADDIN ZOTERO_ITEM CSL_CITATION {"citationID":"zEoJGMrL","properties":{"formattedCitation":"(2021c)","plainCitation":"(2021c)","noteIndex":0},"citationItems":[{"id":3234,"uris":["http://zotero.org/groups/2714158/items/Z3SRUG2D"],"uri":["http://zotero.org/groups/2714158/items/Z3SRUG2D"],"itemData":{"id":3234,"type":"webpage","abstract":"Australia’s aged care system offers a variety of services which cater to the needs of diverse populations. This topic explores the age, sex, location, and backgrounds of people using aged care.","container-title":"GEN Aged Care Data","language":"en","title":"People Using Aged Care","URL":"https://www.gen-agedcaredata.gov.au/Topics/People-using-aged-care","author":[{"literal":"Australian Institute of Health and Welfare"}],"translator":[{"literal":"AIHW"}],"accessed":{"date-parts":[["2021",11,15]]},"issued":{"date-parts":[["2021"]]}},"suppress-author":true}],"schema":"https://github.com/citation-style-language/schema/raw/master/csl-citation.json"} </w:instrText>
      </w:r>
      <w:r w:rsidR="004D5533">
        <w:rPr>
          <w:spacing w:val="-4"/>
        </w:rPr>
        <w:fldChar w:fldCharType="separate"/>
      </w:r>
      <w:r w:rsidR="0047772E" w:rsidRPr="0047772E">
        <w:rPr>
          <w:rFonts w:ascii="Arial" w:hAnsi="Arial" w:cs="Arial"/>
        </w:rPr>
        <w:t>(2021c)</w:t>
      </w:r>
      <w:r w:rsidR="004D5533">
        <w:rPr>
          <w:spacing w:val="-4"/>
        </w:rPr>
        <w:fldChar w:fldCharType="end"/>
      </w:r>
      <w:r w:rsidRPr="00514B25">
        <w:rPr>
          <w:spacing w:val="-4"/>
        </w:rPr>
        <w:t>; HILDA Restricted Release 19.</w:t>
      </w:r>
    </w:p>
    <w:p w14:paraId="501A5583" w14:textId="182FABB5" w:rsidR="00767353" w:rsidRDefault="00767353" w:rsidP="0085006F">
      <w:pPr>
        <w:pStyle w:val="Heading5"/>
      </w:pPr>
      <w:r>
        <w:t>How the weights have been re</w:t>
      </w:r>
      <w:r>
        <w:noBreakHyphen/>
        <w:t>calculated to include aged care residents</w:t>
      </w:r>
    </w:p>
    <w:p w14:paraId="1D4F53D1" w14:textId="50984A15" w:rsidR="00767353" w:rsidRPr="00D165B9" w:rsidRDefault="00767353" w:rsidP="00767353">
      <w:pPr>
        <w:pStyle w:val="BodyText"/>
      </w:pPr>
      <w:r w:rsidRPr="00D165B9">
        <w:t>The weight assigned to an individual in the year prior to them moving into a non</w:t>
      </w:r>
      <w:r w:rsidRPr="00D165B9">
        <w:noBreakHyphen/>
        <w:t>private dwelling was used as a proxy for their weight while they lived in a non</w:t>
      </w:r>
      <w:r>
        <w:noBreakHyphen/>
      </w:r>
      <w:r w:rsidRPr="00D165B9">
        <w:t>private dwelling.</w:t>
      </w:r>
      <w:r w:rsidRPr="00947FA4">
        <w:rPr>
          <w:rStyle w:val="FootnoteReference"/>
        </w:rPr>
        <w:footnoteReference w:id="45"/>
      </w:r>
      <w:r w:rsidRPr="00D165B9">
        <w:t xml:space="preserve"> This approach was applied to people living in a residential aged care facility and then their weight was scaled to match the proportion of people living in residential aged care facilities across Australia (figure</w:t>
      </w:r>
      <w:r w:rsidR="00B34E41">
        <w:t> </w:t>
      </w:r>
      <w:r w:rsidRPr="00D165B9">
        <w:t>A.1).</w:t>
      </w:r>
    </w:p>
    <w:p w14:paraId="074F2882" w14:textId="77777777" w:rsidR="00767353" w:rsidRDefault="00767353" w:rsidP="0085006F">
      <w:pPr>
        <w:pStyle w:val="Heading5"/>
      </w:pPr>
      <w:r>
        <w:t>Some aged care residents’ wealth is not properly recorded by the HILDA survey</w:t>
      </w:r>
    </w:p>
    <w:p w14:paraId="02D1C3D2" w14:textId="76859EC2" w:rsidR="00767353" w:rsidRPr="00DA1A0B" w:rsidRDefault="00767353" w:rsidP="00767353">
      <w:pPr>
        <w:pStyle w:val="BodyText"/>
      </w:pPr>
      <w:r>
        <w:t>Data from the Aged Care Financing Authority shows that about</w:t>
      </w:r>
      <w:r w:rsidRPr="00DA1A0B">
        <w:t xml:space="preserve"> half of aged care residents fund their accommodation </w:t>
      </w:r>
      <w:r>
        <w:t xml:space="preserve">(either wholly or in part) using a </w:t>
      </w:r>
      <w:r w:rsidRPr="00DA1A0B">
        <w:t>refundable accommodation deposit (RAD)</w:t>
      </w:r>
      <w:r>
        <w:t>,</w:t>
      </w:r>
      <w:r w:rsidRPr="00DA1A0B">
        <w:t xml:space="preserve"> </w:t>
      </w:r>
      <w:r>
        <w:t xml:space="preserve">which is </w:t>
      </w:r>
      <w:r w:rsidRPr="00DA1A0B">
        <w:t>refunded</w:t>
      </w:r>
      <w:r>
        <w:t xml:space="preserve"> (with any ongoing aged care fees deducted)</w:t>
      </w:r>
      <w:r w:rsidRPr="00DA1A0B">
        <w:t xml:space="preserve"> when the resident leaves aged care (usually due to death</w:t>
      </w:r>
      <w:r>
        <w:t>, in which case the refund becomes part of the deceased person’s estate</w:t>
      </w:r>
      <w:r w:rsidRPr="00DA1A0B">
        <w:t xml:space="preserve">) </w:t>
      </w:r>
      <w:r w:rsidRPr="00DA1A0B">
        <w:fldChar w:fldCharType="begin"/>
      </w:r>
      <w:r w:rsidR="0047772E">
        <w:instrText xml:space="preserve"> ADDIN ZOTERO_ITEM CSL_CITATION {"citationID":"a3jlbVYB","properties":{"formattedCitation":"(ACFA\\uc0\\u160{}2021)","plainCitation":"(ACFA 2021)","noteIndex":0},"citationItems":[{"id":1784,"uris":["http://zotero.org/groups/2714158/items/IYYVPNUV"],"uri":["http://zotero.org/groups/2714158/items/IYYVPNUV"],"itemData":{"id":1784,"type":"report","title":"Review of the Current and Future Role of Refundable Accommodation Deposits in Aged Care","author":[{"literal":"Aged Care Financing Authority"}],"translator":[{"literal":"ACFA"}],"accessed":{"date-parts":[["2021",3,25]]},"issued":{"date-parts":[["2021",3,24]]}}}],"schema":"https://github.com/citation-style-language/schema/raw/master/csl-citation.json"} </w:instrText>
      </w:r>
      <w:r w:rsidRPr="00DA1A0B">
        <w:fldChar w:fldCharType="separate"/>
      </w:r>
      <w:r w:rsidRPr="00DA1A0B">
        <w:t>(ACFA 2021)</w:t>
      </w:r>
      <w:r w:rsidRPr="00DA1A0B">
        <w:fldChar w:fldCharType="end"/>
      </w:r>
      <w:r w:rsidRPr="00DA1A0B">
        <w:t>.</w:t>
      </w:r>
      <w:r>
        <w:t xml:space="preserve"> </w:t>
      </w:r>
      <w:r w:rsidRPr="00B02A18">
        <w:t>The average value of a RAD in 20</w:t>
      </w:r>
      <w:r w:rsidRPr="003A19C3">
        <w:t>18</w:t>
      </w:r>
      <w:r>
        <w:noBreakHyphen/>
      </w:r>
      <w:r w:rsidRPr="003A19C3">
        <w:t>19</w:t>
      </w:r>
      <w:r w:rsidRPr="00B02A18">
        <w:t xml:space="preserve"> was $</w:t>
      </w:r>
      <w:r w:rsidRPr="003A19C3">
        <w:t>318</w:t>
      </w:r>
      <w:r>
        <w:t> </w:t>
      </w:r>
      <w:r w:rsidRPr="00B02A18">
        <w:t>000</w:t>
      </w:r>
      <w:r>
        <w:t xml:space="preserve"> </w:t>
      </w:r>
      <w:r>
        <w:fldChar w:fldCharType="begin"/>
      </w:r>
      <w:r w:rsidR="0047772E">
        <w:instrText xml:space="preserve"> ADDIN ZOTERO_ITEM CSL_CITATION {"citationID":"mkzlgMHz","properties":{"formattedCitation":"(ACFA\\uc0\\u160{}2020a, p.\\uc0\\u160{}137)","plainCitation":"(ACFA 2020a, p. 137)","noteIndex":0},"citationItems":[{"id":3161,"uris":["http://zotero.org/groups/2714158/items/WDTBNWBW"],"uri":["http://zotero.org/groups/2714158/items/WDTBNWBW"],"itemData":{"id":3161,"type":"report","number":"8","title":"Eighth report on the Funding and Financing of the Aged Care Industry","author":[{"literal":"Aged Care Financing Authority"}],"translator":[{"literal":"ACFA"}],"accessed":{"date-parts":[["2021",9,2]]},"issued":{"date-parts":[["2020",7]]}},"locator":"137"}],"schema":"https://github.com/citation-style-language/schema/raw/master/csl-citation.json"} </w:instrText>
      </w:r>
      <w:r>
        <w:fldChar w:fldCharType="separate"/>
      </w:r>
      <w:r w:rsidR="007A60F8" w:rsidRPr="007A60F8">
        <w:rPr>
          <w:rFonts w:ascii="Arial" w:hAnsi="Arial" w:cs="Arial"/>
          <w:szCs w:val="24"/>
        </w:rPr>
        <w:t>(ACFA 2020a, p. 137)</w:t>
      </w:r>
      <w:r>
        <w:fldChar w:fldCharType="end"/>
      </w:r>
      <w:r>
        <w:t>.</w:t>
      </w:r>
    </w:p>
    <w:p w14:paraId="4451F26E" w14:textId="77777777" w:rsidR="00767353" w:rsidRDefault="00767353" w:rsidP="00767353">
      <w:pPr>
        <w:pStyle w:val="BodyText"/>
      </w:pPr>
      <w:r>
        <w:lastRenderedPageBreak/>
        <w:t xml:space="preserve">However, there is no specific question in the HILDA survey </w:t>
      </w:r>
      <w:r w:rsidRPr="00DA1A0B">
        <w:t>that asks about RADs</w:t>
      </w:r>
      <w:r>
        <w:t xml:space="preserve">, and hence, in addition to being underrepresented, the wealth of aged care residents with RADs may also be under reported. </w:t>
      </w:r>
    </w:p>
    <w:p w14:paraId="16CE4713" w14:textId="77777777" w:rsidR="00767353" w:rsidRPr="00A01679" w:rsidRDefault="00767353" w:rsidP="00767353">
      <w:pPr>
        <w:pStyle w:val="BodyText"/>
        <w:rPr>
          <w:spacing w:val="-4"/>
        </w:rPr>
      </w:pPr>
      <w:r w:rsidRPr="00A01679">
        <w:rPr>
          <w:spacing w:val="-4"/>
        </w:rPr>
        <w:t>To test whether wealth is being under reported to the HILDA survey, the following model was used to estimate</w:t>
      </w:r>
      <w:r w:rsidRPr="00A01679" w:rsidDel="00CF7F5A">
        <w:rPr>
          <w:spacing w:val="-4"/>
        </w:rPr>
        <w:t xml:space="preserve"> </w:t>
      </w:r>
      <w:r w:rsidRPr="00A01679">
        <w:rPr>
          <w:spacing w:val="-4"/>
        </w:rPr>
        <w:t>whether people who enter aged care have significantly less wealth than those who do not, other things equal.</w:t>
      </w:r>
    </w:p>
    <w:p w14:paraId="0289579B" w14:textId="77777777" w:rsidR="00767353" w:rsidRPr="004B103C" w:rsidRDefault="00767353" w:rsidP="00767353">
      <w:pPr>
        <w:pStyle w:val="BodyText"/>
        <w:rPr>
          <w:iCs/>
        </w:rPr>
      </w:pPr>
      <m:oMathPara>
        <m:oMath>
          <m:r>
            <w:rPr>
              <w:rFonts w:ascii="Cambria Math" w:hAnsi="Cambria Math"/>
            </w:rPr>
            <m:t>Wealt</m:t>
          </m:r>
          <m:sSub>
            <m:sSubPr>
              <m:ctrlPr>
                <w:rPr>
                  <w:rFonts w:ascii="Cambria Math" w:hAnsi="Cambria Math"/>
                  <w:i/>
                </w:rPr>
              </m:ctrlPr>
            </m:sSubPr>
            <m:e>
              <m:r>
                <w:rPr>
                  <w:rFonts w:ascii="Cambria Math" w:hAnsi="Cambria Math"/>
                </w:rPr>
                <m:t>h</m:t>
              </m:r>
            </m:e>
            <m:sub>
              <m:r>
                <w:rPr>
                  <w:rFonts w:ascii="Cambria Math" w:hAnsi="Cambria Math"/>
                </w:rPr>
                <m:t>i,t</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r>
            <w:rPr>
              <w:rFonts w:ascii="Cambria Math" w:hAnsi="Cambria Math"/>
            </w:rPr>
            <m:t>AgedCar</m:t>
          </m:r>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Wealt</m:t>
          </m:r>
          <m:sSub>
            <m:sSubPr>
              <m:ctrlPr>
                <w:rPr>
                  <w:rFonts w:ascii="Cambria Math" w:hAnsi="Cambria Math"/>
                  <w:i/>
                </w:rPr>
              </m:ctrlPr>
            </m:sSubPr>
            <m:e>
              <m:r>
                <w:rPr>
                  <w:rFonts w:ascii="Cambria Math" w:hAnsi="Cambria Math"/>
                </w:rPr>
                <m:t>h</m:t>
              </m:r>
            </m:e>
            <m:sub>
              <m:r>
                <w:rPr>
                  <w:rFonts w:ascii="Cambria Math" w:hAnsi="Cambria Math"/>
                </w:rPr>
                <m:t>i,t-4</m:t>
              </m:r>
            </m:sub>
          </m:sSub>
          <m:r>
            <w:rPr>
              <w:rFonts w:ascii="Cambria Math" w:hAnsi="Cambria Math"/>
            </w:rPr>
            <m:t>+</m:t>
          </m:r>
          <m:sSubSup>
            <m:sSubSupPr>
              <m:ctrlPr>
                <w:rPr>
                  <w:rFonts w:ascii="Cambria Math" w:hAnsi="Cambria Math"/>
                  <w:i/>
                  <w:iCs/>
                </w:rPr>
              </m:ctrlPr>
            </m:sSubSupPr>
            <m:e>
              <m:r>
                <m:rPr>
                  <m:sty m:val="bi"/>
                </m:rPr>
                <w:rPr>
                  <w:rFonts w:ascii="Cambria Math" w:hAnsi="Cambria Math"/>
                </w:rPr>
                <m:t>x</m:t>
              </m:r>
            </m:e>
            <m:sub>
              <m:r>
                <w:rPr>
                  <w:rFonts w:ascii="Cambria Math" w:hAnsi="Cambria Math"/>
                </w:rPr>
                <m:t>i,t</m:t>
              </m:r>
            </m:sub>
            <m:sup>
              <m:r>
                <w:rPr>
                  <w:rFonts w:ascii="Cambria Math" w:hAnsi="Cambria Math"/>
                </w:rPr>
                <m:t>'</m:t>
              </m:r>
            </m:sup>
          </m:sSubSup>
          <m:r>
            <m:rPr>
              <m:sty m:val="bi"/>
            </m:rPr>
            <w:rPr>
              <w:rFonts w:ascii="Cambria Math" w:hAnsi="Cambria Math"/>
            </w:rPr>
            <m:t>β+</m:t>
          </m:r>
          <m:sSub>
            <m:sSubPr>
              <m:ctrlPr>
                <w:rPr>
                  <w:rFonts w:ascii="Cambria Math" w:hAnsi="Cambria Math"/>
                  <w:i/>
                  <w:iCs/>
                </w:rPr>
              </m:ctrlPr>
            </m:sSubPr>
            <m:e>
              <m:r>
                <w:rPr>
                  <w:rFonts w:ascii="Cambria Math" w:hAnsi="Cambria Math"/>
                </w:rPr>
                <m:t>ε</m:t>
              </m:r>
            </m:e>
            <m:sub>
              <m:r>
                <w:rPr>
                  <w:rFonts w:ascii="Cambria Math" w:hAnsi="Cambria Math"/>
                </w:rPr>
                <m:t>i</m:t>
              </m:r>
            </m:sub>
          </m:sSub>
        </m:oMath>
      </m:oMathPara>
    </w:p>
    <w:p w14:paraId="69F29585" w14:textId="77777777" w:rsidR="00767353" w:rsidRDefault="00767353" w:rsidP="00767353">
      <w:pPr>
        <w:pStyle w:val="BodyText"/>
        <w:rPr>
          <w:iCs/>
        </w:rPr>
      </w:pPr>
      <w:r>
        <w:rPr>
          <w:iCs/>
        </w:rPr>
        <w:t>Where:</w:t>
      </w:r>
    </w:p>
    <w:p w14:paraId="1A5F02B6" w14:textId="58EF9182" w:rsidR="00767353" w:rsidRPr="001B13BD" w:rsidRDefault="00767353" w:rsidP="00767353">
      <w:pPr>
        <w:pStyle w:val="ListBullet"/>
      </w:pPr>
      <m:oMath>
        <m:r>
          <w:rPr>
            <w:rFonts w:ascii="Cambria Math" w:hAnsi="Cambria Math"/>
          </w:rPr>
          <m:t>Wealt</m:t>
        </m:r>
        <m:sSub>
          <m:sSubPr>
            <m:ctrlPr>
              <w:rPr>
                <w:rFonts w:ascii="Cambria Math" w:hAnsi="Cambria Math"/>
              </w:rPr>
            </m:ctrlPr>
          </m:sSubPr>
          <m:e>
            <m:r>
              <w:rPr>
                <w:rFonts w:ascii="Cambria Math" w:hAnsi="Cambria Math"/>
              </w:rPr>
              <m:t>h</m:t>
            </m:r>
          </m:e>
          <m:sub>
            <m:r>
              <w:rPr>
                <w:rFonts w:ascii="Cambria Math" w:hAnsi="Cambria Math"/>
              </w:rPr>
              <m:t>i,t</m:t>
            </m:r>
          </m:sub>
        </m:sSub>
      </m:oMath>
      <w:r>
        <w:t xml:space="preserve"> is the wealth of person </w:t>
      </w:r>
      <w:r>
        <w:rPr>
          <w:i/>
          <w:iCs/>
        </w:rPr>
        <w:t>i</w:t>
      </w:r>
      <w:r>
        <w:t xml:space="preserve"> at year </w:t>
      </w:r>
      <m:oMath>
        <m:r>
          <w:rPr>
            <w:rFonts w:ascii="Cambria Math" w:hAnsi="Cambria Math"/>
          </w:rPr>
          <m:t>t</m:t>
        </m:r>
      </m:oMath>
      <w:r w:rsidRPr="001B13BD">
        <w:t>,</w:t>
      </w:r>
      <w:r w:rsidRPr="00D165B9">
        <w:t>in 2018</w:t>
      </w:r>
      <w:r w:rsidR="00B34E41">
        <w:t> </w:t>
      </w:r>
      <w:r w:rsidRPr="00D165B9">
        <w:t>dollars</w:t>
      </w:r>
      <w:r w:rsidRPr="001B13BD">
        <w:t>.</w:t>
      </w:r>
    </w:p>
    <w:p w14:paraId="49F7C01B" w14:textId="77777777" w:rsidR="00767353" w:rsidRPr="007F4885" w:rsidRDefault="00767353" w:rsidP="00767353">
      <w:pPr>
        <w:pStyle w:val="ListBullet"/>
        <w:rPr>
          <w:b/>
          <w:bCs/>
        </w:rPr>
      </w:pPr>
      <m:oMath>
        <m:r>
          <w:rPr>
            <w:rFonts w:ascii="Cambria Math" w:hAnsi="Cambria Math"/>
          </w:rPr>
          <m:t>AgedCar</m:t>
        </m:r>
        <m:sSub>
          <m:sSubPr>
            <m:ctrlPr>
              <w:rPr>
                <w:rFonts w:ascii="Cambria Math" w:hAnsi="Cambria Math"/>
                <w:i/>
              </w:rPr>
            </m:ctrlPr>
          </m:sSubPr>
          <m:e>
            <m:r>
              <w:rPr>
                <w:rFonts w:ascii="Cambria Math" w:hAnsi="Cambria Math"/>
              </w:rPr>
              <m:t>e</m:t>
            </m:r>
          </m:e>
          <m:sub>
            <m:r>
              <w:rPr>
                <w:rFonts w:ascii="Cambria Math" w:hAnsi="Cambria Math"/>
              </w:rPr>
              <m:t>i,t</m:t>
            </m:r>
          </m:sub>
        </m:sSub>
      </m:oMath>
      <w:r>
        <w:rPr>
          <w:i/>
        </w:rPr>
        <w:t xml:space="preserve"> </w:t>
      </w:r>
      <w:r>
        <w:t xml:space="preserve">is an indicator variable equal to one if person </w:t>
      </w:r>
      <m:oMath>
        <m:r>
          <w:rPr>
            <w:rFonts w:ascii="Cambria Math" w:hAnsi="Cambria Math"/>
          </w:rPr>
          <m:t>i</m:t>
        </m:r>
      </m:oMath>
      <w:r>
        <w:t xml:space="preserve"> moved into a residential aged care facility between year </w:t>
      </w:r>
      <m:oMath>
        <m:r>
          <w:rPr>
            <w:rFonts w:ascii="Cambria Math" w:hAnsi="Cambria Math"/>
          </w:rPr>
          <m:t>t</m:t>
        </m:r>
      </m:oMath>
      <w:r>
        <w:t xml:space="preserve"> and year </w:t>
      </w:r>
      <m:oMath>
        <m:r>
          <w:rPr>
            <w:rFonts w:ascii="Cambria Math" w:hAnsi="Cambria Math"/>
          </w:rPr>
          <m:t>t-4</m:t>
        </m:r>
      </m:oMath>
      <w:r>
        <w:t xml:space="preserve">, or zero otherwise. </w:t>
      </w:r>
    </w:p>
    <w:p w14:paraId="4091AA4B" w14:textId="6436A433" w:rsidR="00767353" w:rsidRPr="0001247B" w:rsidRDefault="00B2270C" w:rsidP="00767353">
      <w:pPr>
        <w:pStyle w:val="ListBullet"/>
        <w:rPr>
          <w:b/>
        </w:rPr>
      </w:pPr>
      <m:oMath>
        <m:sSub>
          <m:sSubPr>
            <m:ctrlPr>
              <w:rPr>
                <w:rFonts w:ascii="Cambria Math" w:hAnsi="Cambria Math"/>
                <w:i/>
              </w:rPr>
            </m:ctrlPr>
          </m:sSubPr>
          <m:e>
            <m:r>
              <m:rPr>
                <m:sty m:val="bi"/>
              </m:rPr>
              <w:rPr>
                <w:rFonts w:ascii="Cambria Math" w:hAnsi="Cambria Math"/>
              </w:rPr>
              <m:t>x</m:t>
            </m:r>
            <m:ctrlPr>
              <w:rPr>
                <w:rFonts w:ascii="Cambria Math" w:hAnsi="Cambria Math"/>
                <w:b/>
                <w:bCs/>
                <w:i/>
              </w:rPr>
            </m:ctrlPr>
          </m:e>
          <m:sub>
            <m:r>
              <w:rPr>
                <w:rFonts w:ascii="Cambria Math" w:hAnsi="Cambria Math"/>
              </w:rPr>
              <m:t>i,t</m:t>
            </m:r>
          </m:sub>
        </m:sSub>
      </m:oMath>
      <w:r w:rsidR="00767353">
        <w:t xml:space="preserve"> is a vector of explanatory variables including income received since year </w:t>
      </w:r>
      <m:oMath>
        <m:r>
          <w:rPr>
            <w:rFonts w:ascii="Cambria Math" w:hAnsi="Cambria Math"/>
          </w:rPr>
          <m:t>t-4</m:t>
        </m:r>
      </m:oMath>
      <w:r w:rsidR="00767353">
        <w:t>, the duration of a person’s stay in residential aged care, their age, age squared, self</w:t>
      </w:r>
      <w:r w:rsidR="00767353">
        <w:noBreakHyphen/>
        <w:t>reported health status (from 1–5, coded as a continuous variable), and dummy variables for gender, relationship (couple) status, and the year.</w:t>
      </w:r>
    </w:p>
    <w:p w14:paraId="2F3EDAF6" w14:textId="77777777" w:rsidR="00767353" w:rsidRDefault="00767353" w:rsidP="00767353">
      <w:pPr>
        <w:pStyle w:val="BodyText"/>
      </w:pPr>
      <w:r>
        <w:t xml:space="preserve">Ordinary least squares estimation yielded </w:t>
      </w:r>
      <m:oMath>
        <m:acc>
          <m:accPr>
            <m:ctrlPr>
              <w:rPr>
                <w:rFonts w:ascii="Cambria Math" w:hAnsi="Cambria Math"/>
                <w:i/>
                <w:iCs/>
              </w:rPr>
            </m:ctrlPr>
          </m:accPr>
          <m:e>
            <m:sSub>
              <m:sSubPr>
                <m:ctrlPr>
                  <w:rPr>
                    <w:rFonts w:ascii="Cambria Math" w:hAnsi="Cambria Math"/>
                    <w:i/>
                    <w:iCs/>
                  </w:rPr>
                </m:ctrlPr>
              </m:sSubPr>
              <m:e>
                <m:r>
                  <w:rPr>
                    <w:rFonts w:ascii="Cambria Math" w:hAnsi="Cambria Math"/>
                  </w:rPr>
                  <m:t>β</m:t>
                </m:r>
              </m:e>
              <m:sub>
                <m:r>
                  <w:rPr>
                    <w:rFonts w:ascii="Cambria Math" w:hAnsi="Cambria Math"/>
                  </w:rPr>
                  <m:t>1</m:t>
                </m:r>
              </m:sub>
            </m:sSub>
          </m:e>
        </m:acc>
        <m:r>
          <w:rPr>
            <w:rFonts w:ascii="Cambria Math" w:hAnsi="Cambria Math"/>
          </w:rPr>
          <m:t>=-200 835</m:t>
        </m:r>
      </m:oMath>
      <w:r>
        <w:rPr>
          <w:iCs/>
        </w:rPr>
        <w:t>, which suggests that moving into an aged care facility was associated with a reduction to wealth of about $200 000 after controlling for income, time spent in aged care</w:t>
      </w:r>
      <w:r w:rsidRPr="00E0656E">
        <w:rPr>
          <w:rStyle w:val="FootnoteReference"/>
        </w:rPr>
        <w:footnoteReference w:id="46"/>
      </w:r>
      <w:r>
        <w:rPr>
          <w:iCs/>
        </w:rPr>
        <w:t>, age, health status, gender and marital status. The estimate was statistically significant at the 1 per cent level of significance. The coefficients on the other variables were also highly statistically significant, with the exception of the relationship status variable. Each of their signs was consistent with expectations, with the exception of the gender variable.</w:t>
      </w:r>
    </w:p>
    <w:p w14:paraId="1962CF6F" w14:textId="2B933205" w:rsidR="00767353" w:rsidRPr="00671D1C" w:rsidRDefault="00767353" w:rsidP="00767353">
      <w:pPr>
        <w:pStyle w:val="BodyText"/>
        <w:rPr>
          <w:b/>
          <w:bCs/>
        </w:rPr>
      </w:pPr>
      <w:r>
        <w:t>Including those who did not fund their care using a RAD, the average RAD per new aged care resident over 2002–2018 was about $110 000.</w:t>
      </w:r>
      <w:r w:rsidRPr="00E0656E">
        <w:rPr>
          <w:rStyle w:val="FootnoteReference"/>
        </w:rPr>
        <w:footnoteReference w:id="47"/>
      </w:r>
      <w:r>
        <w:t xml:space="preserve"> Therefore, even allowing for substantial bias in the estimate </w:t>
      </w:r>
      <m:oMath>
        <m:acc>
          <m:accPr>
            <m:ctrlPr>
              <w:rPr>
                <w:rFonts w:ascii="Cambria Math" w:hAnsi="Cambria Math"/>
                <w:i/>
                <w:iCs/>
              </w:rPr>
            </m:ctrlPr>
          </m:accPr>
          <m:e>
            <m:sSub>
              <m:sSubPr>
                <m:ctrlPr>
                  <w:rPr>
                    <w:rFonts w:ascii="Cambria Math" w:hAnsi="Cambria Math"/>
                    <w:i/>
                    <w:iCs/>
                  </w:rPr>
                </m:ctrlPr>
              </m:sSubPr>
              <m:e>
                <m:r>
                  <w:rPr>
                    <w:rFonts w:ascii="Cambria Math" w:hAnsi="Cambria Math"/>
                  </w:rPr>
                  <m:t>β</m:t>
                </m:r>
              </m:e>
              <m:sub>
                <m:r>
                  <w:rPr>
                    <w:rFonts w:ascii="Cambria Math" w:hAnsi="Cambria Math"/>
                  </w:rPr>
                  <m:t>1</m:t>
                </m:r>
              </m:sub>
            </m:sSub>
          </m:e>
        </m:acc>
        <m:r>
          <w:rPr>
            <w:rFonts w:ascii="Cambria Math" w:hAnsi="Cambria Math"/>
          </w:rPr>
          <m:t xml:space="preserve"> </m:t>
        </m:r>
      </m:oMath>
      <w:r>
        <w:rPr>
          <w:iCs/>
        </w:rPr>
        <w:t xml:space="preserve">(perhaps due to an omitted variable that was positively correlated with moving into aged care and negatively correlated with wealth accumulation), </w:t>
      </w:r>
      <w:r>
        <w:t xml:space="preserve">these results are consistent with the HILDA survey not capturing residents’ RADs and hence underestimating their wealth. </w:t>
      </w:r>
    </w:p>
    <w:p w14:paraId="7EBC9469" w14:textId="425A5CE3" w:rsidR="00767353" w:rsidRDefault="00767353" w:rsidP="00767353">
      <w:pPr>
        <w:pStyle w:val="BodyText"/>
      </w:pPr>
      <w:r w:rsidRPr="00DA1A0B">
        <w:t>Consequently, the value of RADs that are returned to individuals’ estates each year</w:t>
      </w:r>
      <w:r>
        <w:t xml:space="preserve"> was estimated, using information from Aged Care Financing Authority and </w:t>
      </w:r>
      <w:r w:rsidR="00280DB8">
        <w:t xml:space="preserve">the </w:t>
      </w:r>
      <w:r>
        <w:t>Australian Institute of Health and Welfare,</w:t>
      </w:r>
      <w:r w:rsidRPr="00DA1A0B">
        <w:t xml:space="preserve"> and added </w:t>
      </w:r>
      <w:r>
        <w:t xml:space="preserve">to the </w:t>
      </w:r>
      <w:r w:rsidRPr="00DA1A0B">
        <w:t xml:space="preserve">value </w:t>
      </w:r>
      <w:r>
        <w:t>of</w:t>
      </w:r>
      <w:r w:rsidRPr="00DA1A0B">
        <w:t xml:space="preserve"> </w:t>
      </w:r>
      <w:r>
        <w:t xml:space="preserve">estimates for </w:t>
      </w:r>
      <w:r w:rsidRPr="00DA1A0B">
        <w:t>total wealth at death.</w:t>
      </w:r>
      <w:r>
        <w:t xml:space="preserve"> </w:t>
      </w:r>
    </w:p>
    <w:p w14:paraId="23967E1A" w14:textId="5B537DD6" w:rsidR="00767353" w:rsidRPr="008D0800" w:rsidRDefault="00767353" w:rsidP="00767353">
      <w:pPr>
        <w:pStyle w:val="BodyText"/>
        <w:rPr>
          <w:spacing w:val="-4"/>
        </w:rPr>
      </w:pPr>
      <w:r w:rsidRPr="008D0800">
        <w:rPr>
          <w:spacing w:val="-4"/>
        </w:rPr>
        <w:t>This involved a two</w:t>
      </w:r>
      <w:r w:rsidRPr="008D0800">
        <w:rPr>
          <w:spacing w:val="-4"/>
        </w:rPr>
        <w:noBreakHyphen/>
        <w:t>step process. First, the total stock of RADs in a given year was scaled by the proportion of residents who left residential aged care due to either death or hospitalisation that year. Of people who left aged care in 2018, 85</w:t>
      </w:r>
      <w:r w:rsidR="00B34E41">
        <w:rPr>
          <w:spacing w:val="-4"/>
        </w:rPr>
        <w:t> </w:t>
      </w:r>
      <w:r w:rsidRPr="008D0800">
        <w:rPr>
          <w:spacing w:val="-4"/>
        </w:rPr>
        <w:t>per</w:t>
      </w:r>
      <w:r w:rsidR="00B34E41">
        <w:rPr>
          <w:spacing w:val="-4"/>
        </w:rPr>
        <w:t> </w:t>
      </w:r>
      <w:r w:rsidRPr="008D0800">
        <w:rPr>
          <w:spacing w:val="-4"/>
        </w:rPr>
        <w:t xml:space="preserve">cent of them did so due to either death or hospitalisation </w:t>
      </w:r>
      <w:r w:rsidRPr="008D0800">
        <w:rPr>
          <w:spacing w:val="-4"/>
        </w:rPr>
        <w:fldChar w:fldCharType="begin"/>
      </w:r>
      <w:r w:rsidR="0047772E">
        <w:rPr>
          <w:spacing w:val="-4"/>
        </w:rPr>
        <w:instrText xml:space="preserve"> ADDIN ZOTERO_ITEM CSL_CITATION {"citationID":"9dOvMJo2","properties":{"formattedCitation":"(Productivity Commission estimates using AIHW\\uc0\\u160{}2021b)","plainCitation":"(Productivity Commission estimates using AIHW 2021b)","noteIndex":0},"citationItems":[{"id":1757,"uris":["http://zotero.org/groups/2714158/items/HWGSNZRW"],"uri":["http://zotero.org/groups/2714158/items/HWGSNZRW"],"itemData":{"id":1757,"type":"webpage","abstract":"Just as people enter aged care services, they also leave. In this section, learn about how, why and when people leave aged care services.","container-title":"GEN Aged Care Data","language":"en","title":"People Leaving Aged Care","URL":"https://www.gen-agedcaredata.gov.au/Topics/People-leaving-aged-care","author":[{"family":"Australian Institute of Health and Welfare","given":""}],"translator":[{"literal":"AIHW"}],"accessed":{"date-parts":[["2021",4,1]]},"issued":{"date-parts":[["2021"]]}},"prefix":"Productivity Commission estimates using"}],"schema":"https://github.com/citation-style-language/schema/raw/master/csl-citation.json"} </w:instrText>
      </w:r>
      <w:r w:rsidRPr="008D0800">
        <w:rPr>
          <w:spacing w:val="-4"/>
        </w:rPr>
        <w:fldChar w:fldCharType="separate"/>
      </w:r>
      <w:r w:rsidR="007A60F8" w:rsidRPr="007A60F8">
        <w:rPr>
          <w:rFonts w:ascii="Arial" w:hAnsi="Arial" w:cs="Arial"/>
          <w:szCs w:val="24"/>
        </w:rPr>
        <w:t>(Productivity Commission estimates using AIHW 2021b)</w:t>
      </w:r>
      <w:r w:rsidRPr="008D0800">
        <w:rPr>
          <w:spacing w:val="-4"/>
        </w:rPr>
        <w:fldChar w:fldCharType="end"/>
      </w:r>
      <w:r w:rsidRPr="008D0800">
        <w:rPr>
          <w:spacing w:val="-4"/>
        </w:rPr>
        <w:t xml:space="preserve">. Second, the scaled stock of RADs was divided by the average length of stay in residential aged care to produce an estimate of the value returned to the estates of residents who died that year. Among residents who left aged care due to either death or hospitalisation, the average stay length was two years and eight months. Hence, of the $28.9 billion stock of RADs, an estimated $9.2 billion was returned to the estates of residents who died in 2018 </w:t>
      </w:r>
      <w:r w:rsidRPr="008D0800">
        <w:rPr>
          <w:spacing w:val="-4"/>
        </w:rPr>
        <w:fldChar w:fldCharType="begin"/>
      </w:r>
      <w:r w:rsidR="0047772E">
        <w:rPr>
          <w:spacing w:val="-4"/>
        </w:rPr>
        <w:instrText xml:space="preserve"> ADDIN ZOTERO_ITEM CSL_CITATION {"citationID":"2r9SvZq8","properties":{"formattedCitation":"(Productivity Commission estimates using ACFA\\uc0\\u160{}2021; AIHW\\uc0\\u160{}2021b)","plainCitation":"(Productivity Commission estimates using ACFA 2021; AIHW 2021b)","noteIndex":0},"citationItems":[{"id":1784,"uris":["http://zotero.org/groups/2714158/items/IYYVPNUV"],"uri":["http://zotero.org/groups/2714158/items/IYYVPNUV"],"itemData":{"id":1784,"type":"report","title":"Review of the Current and Future Role of Refundable Accommodation Deposits in Aged Care","author":[{"literal":"Aged Care Financing Authority"}],"translator":[{"literal":"ACFA"}],"accessed":{"date-parts":[["2021",3,25]]},"issued":{"date-parts":[["2021",3,24]]}},"prefix":"Productivity Commission estimates using"},{"id":1757,"uris":["http://zotero.org/groups/2714158/items/HWGSNZRW"],"uri":["http://zotero.org/groups/2714158/items/HWGSNZRW"],"itemData":{"id":1757,"type":"webpage","abstract":"Just as people enter aged care services, they also leave. In this section, learn about how, why and when people leave aged care services.","container-title":"GEN Aged Care Data","language":"en","title":"People Leaving Aged Care","URL":"https://www.gen-agedcaredata.gov.au/Topics/People-leaving-aged-care","author":[{"family":"Australian Institute of Health and Welfare","given":""}],"translator":[{"literal":"AIHW"}],"accessed":{"date-parts":[["2021",4,1]]},"issued":{"date-parts":[["2021"]]}}}],"schema":"https://github.com/citation-style-language/schema/raw/master/csl-citation.json"} </w:instrText>
      </w:r>
      <w:r w:rsidRPr="008D0800">
        <w:rPr>
          <w:spacing w:val="-4"/>
        </w:rPr>
        <w:fldChar w:fldCharType="separate"/>
      </w:r>
      <w:r w:rsidR="007A60F8" w:rsidRPr="007A60F8">
        <w:rPr>
          <w:rFonts w:ascii="Arial" w:hAnsi="Arial" w:cs="Arial"/>
          <w:szCs w:val="24"/>
        </w:rPr>
        <w:t>(Productivity Commission estimates using ACFA 2021; AIHW 2021b)</w:t>
      </w:r>
      <w:r w:rsidRPr="008D0800">
        <w:rPr>
          <w:spacing w:val="-4"/>
        </w:rPr>
        <w:fldChar w:fldCharType="end"/>
      </w:r>
      <w:r w:rsidRPr="008D0800">
        <w:rPr>
          <w:spacing w:val="-4"/>
        </w:rPr>
        <w:t>.</w:t>
      </w:r>
    </w:p>
    <w:p w14:paraId="5F706BF5" w14:textId="77777777" w:rsidR="00767353" w:rsidRPr="00D1117D" w:rsidRDefault="00767353" w:rsidP="00767353">
      <w:pPr>
        <w:pStyle w:val="Heading3"/>
      </w:pPr>
      <w:r w:rsidRPr="00D1117D">
        <w:lastRenderedPageBreak/>
        <w:t>Scope and measurement differences</w:t>
      </w:r>
    </w:p>
    <w:p w14:paraId="76EA7EE7" w14:textId="6B3DAC7C" w:rsidR="00767353" w:rsidRPr="00F87AD1" w:rsidRDefault="00767353" w:rsidP="00767353">
      <w:pPr>
        <w:pStyle w:val="BodyText"/>
        <w:rPr>
          <w:spacing w:val="-2"/>
        </w:rPr>
      </w:pPr>
      <w:r w:rsidRPr="00F87AD1">
        <w:rPr>
          <w:spacing w:val="-2"/>
        </w:rPr>
        <w:t xml:space="preserve">The exclusion of aged care residents from population aggregates and under reported refundable accommodation deposit wealth explain a small part of the gap (about $66 billion) between HILDA and the </w:t>
      </w:r>
      <w:r w:rsidR="00A121AA">
        <w:rPr>
          <w:spacing w:val="-2"/>
        </w:rPr>
        <w:t>National Accounts</w:t>
      </w:r>
      <w:r w:rsidRPr="00F87AD1">
        <w:rPr>
          <w:spacing w:val="-2"/>
        </w:rPr>
        <w:t>.</w:t>
      </w:r>
      <w:r w:rsidRPr="0059379B">
        <w:rPr>
          <w:rStyle w:val="FootnoteReference"/>
        </w:rPr>
        <w:footnoteReference w:id="48"/>
      </w:r>
    </w:p>
    <w:p w14:paraId="1D134926" w14:textId="77777777" w:rsidR="00767353" w:rsidRPr="001A41CF" w:rsidRDefault="00767353" w:rsidP="00767353">
      <w:pPr>
        <w:pStyle w:val="BodyText"/>
      </w:pPr>
      <w:r w:rsidRPr="001A41CF">
        <w:t>The remaining gap is likely a function of scope and measurement differences as summarised in box 1.4 and with additional information below about:</w:t>
      </w:r>
    </w:p>
    <w:p w14:paraId="07E9F992" w14:textId="77777777" w:rsidR="00767353" w:rsidRPr="001A41CF" w:rsidRDefault="00767353" w:rsidP="00767353">
      <w:pPr>
        <w:pStyle w:val="ListBullet"/>
      </w:pPr>
      <w:r w:rsidRPr="001A41CF">
        <w:t>property assets</w:t>
      </w:r>
    </w:p>
    <w:p w14:paraId="36180372" w14:textId="77777777" w:rsidR="00767353" w:rsidRPr="001A41CF" w:rsidRDefault="00767353" w:rsidP="00767353">
      <w:pPr>
        <w:pStyle w:val="ListBullet"/>
      </w:pPr>
      <w:r w:rsidRPr="001A41CF">
        <w:t>consumer durables</w:t>
      </w:r>
    </w:p>
    <w:p w14:paraId="52490919" w14:textId="77777777" w:rsidR="00767353" w:rsidRPr="001A41CF" w:rsidRDefault="00767353" w:rsidP="00767353">
      <w:pPr>
        <w:pStyle w:val="ListBullet"/>
      </w:pPr>
      <w:r w:rsidRPr="001A41CF">
        <w:t>financial assets</w:t>
      </w:r>
    </w:p>
    <w:p w14:paraId="56EEF85F" w14:textId="77777777" w:rsidR="00767353" w:rsidRPr="001A41CF" w:rsidRDefault="00767353" w:rsidP="00767353">
      <w:pPr>
        <w:pStyle w:val="ListBullet"/>
      </w:pPr>
      <w:r w:rsidRPr="001A41CF">
        <w:t>superannuation</w:t>
      </w:r>
    </w:p>
    <w:p w14:paraId="28BB2AC2" w14:textId="77777777" w:rsidR="00767353" w:rsidRPr="001A41CF" w:rsidRDefault="00767353" w:rsidP="00767353">
      <w:pPr>
        <w:pStyle w:val="ListBullet"/>
      </w:pPr>
      <w:r w:rsidRPr="001A41CF">
        <w:t>other financial assets</w:t>
      </w:r>
    </w:p>
    <w:p w14:paraId="2F640A93" w14:textId="77777777" w:rsidR="00767353" w:rsidRPr="001A41CF" w:rsidRDefault="00767353" w:rsidP="00767353">
      <w:pPr>
        <w:pStyle w:val="ListBullet"/>
      </w:pPr>
      <w:r w:rsidRPr="001A41CF">
        <w:t>liabilities.</w:t>
      </w:r>
    </w:p>
    <w:p w14:paraId="2BF688CA" w14:textId="77777777" w:rsidR="00767353" w:rsidRDefault="00767353" w:rsidP="00767353">
      <w:pPr>
        <w:pStyle w:val="Heading4"/>
      </w:pPr>
      <w:r>
        <w:t>Property assets</w:t>
      </w:r>
    </w:p>
    <w:p w14:paraId="2BEA69A0" w14:textId="2FA8E0E1" w:rsidR="00767353" w:rsidRDefault="00767353" w:rsidP="00767353">
      <w:pPr>
        <w:pStyle w:val="BodyText"/>
      </w:pPr>
      <w:r>
        <w:t>Non</w:t>
      </w:r>
      <w:r>
        <w:noBreakHyphen/>
        <w:t>financial assets make up about 60 per cent of households’ assets and real estate is the largest asset holding for most households (figure A.3). The National Accounts estimate of the value of residential property in 2018 was $6.6 trillion and the estimate of all property owned by households was $7.1 trillion. The 2017</w:t>
      </w:r>
      <w:r>
        <w:noBreakHyphen/>
        <w:t>18 SIH estimate was $6.1 trillion for residential property and $</w:t>
      </w:r>
      <w:r w:rsidRPr="007E7B55">
        <w:t>6</w:t>
      </w:r>
      <w:r>
        <w:t>.3 tr</w:t>
      </w:r>
      <w:r w:rsidRPr="007E7B55">
        <w:t>illion</w:t>
      </w:r>
      <w:r>
        <w:t xml:space="preserve"> for all property owned by households. The HILDA estimate for all property owned by households was $6.4 trillion in 2018.</w:t>
      </w:r>
    </w:p>
    <w:p w14:paraId="5AE2FA76" w14:textId="77777777" w:rsidR="00767353" w:rsidRPr="00BD1E9A" w:rsidRDefault="00767353" w:rsidP="00767353">
      <w:pPr>
        <w:pStyle w:val="BodyText"/>
        <w:rPr>
          <w:spacing w:val="-4"/>
        </w:rPr>
      </w:pPr>
      <w:r w:rsidRPr="00BD1E9A">
        <w:rPr>
          <w:spacing w:val="-4"/>
        </w:rPr>
        <w:t xml:space="preserve">The National Accounts household wealth measure includes residential property and commercial and rural land owned by the household sector. The value is calculated as the number of dwellings owned multiplied by the mean sales price. The sales price measure is the seasonally adjusted mean sale price of properties transferred each quarter and is weighted according to state or territory and whether the household is in a capital city. </w:t>
      </w:r>
    </w:p>
    <w:p w14:paraId="50AF6AD1" w14:textId="77777777" w:rsidR="00767353" w:rsidRDefault="00767353" w:rsidP="00767353">
      <w:pPr>
        <w:pStyle w:val="BodyText"/>
      </w:pPr>
      <w:r>
        <w:t xml:space="preserve">The SIH asks respondents what they would expect to receive if they were to sell their property at the time of interview. </w:t>
      </w:r>
    </w:p>
    <w:p w14:paraId="74A1A79E" w14:textId="78383648" w:rsidR="00767353" w:rsidRDefault="00767353" w:rsidP="00767353">
      <w:pPr>
        <w:pStyle w:val="BodyText"/>
      </w:pPr>
      <w:r>
        <w:t xml:space="preserve">The HILDA measure is the subjective judgement of households about their property assets </w:t>
      </w:r>
      <w:r>
        <w:fldChar w:fldCharType="begin"/>
      </w:r>
      <w:r w:rsidR="0047772E">
        <w:instrText xml:space="preserve"> ADDIN ZOTERO_ITEM CSL_CITATION {"citationID":"ZYo2qY8i","properties":{"formattedCitation":"(Bloxham and Betts\\uc0\\u160{}2009)","plainCitation":"(Bloxham and Betts 2009)","noteIndex":0},"citationItems":[{"id":1639,"uris":["http://zotero.org/groups/2714158/items/7KEEI76X"],"uri":["http://zotero.org/groups/2714158/items/7KEEI76X"],"itemData":{"id":1639,"type":"article-journal","container-title":"Australian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Australia","volume":"42","author":[{"family":"Bloxham","given":"Paul"},{"family":"Betts","given":"Thomas"}],"issued":{"date-parts":[["2009"]]}}}],"schema":"https://github.com/citation-style-language/schema/raw/master/csl-citation.json"} </w:instrText>
      </w:r>
      <w:r>
        <w:fldChar w:fldCharType="separate"/>
      </w:r>
      <w:r w:rsidRPr="005342E2">
        <w:rPr>
          <w:szCs w:val="24"/>
        </w:rPr>
        <w:t>(Bloxham and Betts 2009)</w:t>
      </w:r>
      <w:r>
        <w:fldChar w:fldCharType="end"/>
      </w:r>
      <w:r>
        <w:t xml:space="preserve">. </w:t>
      </w:r>
    </w:p>
    <w:p w14:paraId="78A8547A" w14:textId="06802FB4" w:rsidR="00767353" w:rsidRPr="00620ACD" w:rsidRDefault="00767353" w:rsidP="00767353">
      <w:pPr>
        <w:pStyle w:val="BodyText"/>
      </w:pPr>
      <w:r w:rsidRPr="00023B05">
        <w:t>Capitalised real estate transaction costs, such as stamp duty, legal fees and real estate commissions, are included in the National Accounts but not in HILDA or the SIH. These costs were worth an estimated $241 billion in 2017</w:t>
      </w:r>
      <w:r w:rsidRPr="00023B05">
        <w:noBreakHyphen/>
        <w:t>18</w:t>
      </w:r>
      <w:r w:rsidRPr="00D807EC">
        <w:t xml:space="preserve"> </w:t>
      </w:r>
      <w:r w:rsidRPr="00D807EC">
        <w:fldChar w:fldCharType="begin"/>
      </w:r>
      <w:r w:rsidR="0047772E">
        <w:instrText xml:space="preserve"> ADDIN ZOTERO_ITEM CSL_CITATION {"citationID":"OIYhjYtM","properties":{"formattedCitation":"(ABS\\uc0\\u160{}2019c)","plainCitation":"(ABS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rsidRPr="00D807EC">
        <w:fldChar w:fldCharType="separate"/>
      </w:r>
      <w:r w:rsidR="007A60F8" w:rsidRPr="007A60F8">
        <w:rPr>
          <w:rFonts w:ascii="Arial" w:hAnsi="Arial" w:cs="Arial"/>
          <w:szCs w:val="24"/>
        </w:rPr>
        <w:t>(ABS 2019c)</w:t>
      </w:r>
      <w:r w:rsidRPr="00D807EC">
        <w:fldChar w:fldCharType="end"/>
      </w:r>
      <w:r w:rsidRPr="003C4486">
        <w:t xml:space="preserve">. </w:t>
      </w:r>
    </w:p>
    <w:p w14:paraId="6CBDC4BA" w14:textId="1A025EE0"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4666AE">
        <w:t>3</w:t>
      </w:r>
      <w:r>
        <w:rPr>
          <w:noProof/>
        </w:rPr>
        <w:t xml:space="preserve"> </w:t>
      </w:r>
      <w:r>
        <w:t>– Value of property assets</w:t>
      </w:r>
    </w:p>
    <w:p w14:paraId="47310FE0" w14:textId="73D92F3A" w:rsidR="00767353" w:rsidRPr="005550A0" w:rsidRDefault="00A95786" w:rsidP="00767353">
      <w:pPr>
        <w:pStyle w:val="BodyText"/>
      </w:pPr>
      <w:r w:rsidRPr="00A95786">
        <w:rPr>
          <w:noProof/>
        </w:rPr>
        <w:drawing>
          <wp:inline distT="0" distB="0" distL="0" distR="0" wp14:anchorId="5C025536" wp14:editId="2D5C0D42">
            <wp:extent cx="6120130" cy="2875280"/>
            <wp:effectExtent l="0" t="0" r="0" b="1270"/>
            <wp:docPr id="177" name="Picture 177" descr="Figure A.3. The chart shows the value of property assets estimated from HILDA, the National Accounts and the SIH, compared against aggregate wealth in each dataset. In each dataset, the primary place of residence and other residential property make up the largest share of total property.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Figure A.3. The chart shows the value of property assets estimated from HILDA, the National Accounts and the SIH, compared against aggregate wealth in each dataset. In each dataset, the primary place of residence and other residential property make up the largest share of total property. More details are contained in the text surrounding this figur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403AEB67" w14:textId="2852D3D6" w:rsidR="00767353" w:rsidRDefault="00767353" w:rsidP="00767353">
      <w:pPr>
        <w:pStyle w:val="Source"/>
      </w:pPr>
      <w:r w:rsidRPr="00696447">
        <w:t xml:space="preserve">Source: </w:t>
      </w:r>
      <w:r w:rsidRPr="0050309F">
        <w:t>Productivity Commission estimates using ABS (</w:t>
      </w:r>
      <w:r w:rsidRPr="00712CCC">
        <w:rPr>
          <w:i/>
          <w:iCs/>
        </w:rPr>
        <w:t>Australian National Accounts: Finance and Wealth</w:t>
      </w:r>
      <w:r w:rsidRPr="00D807EC">
        <w:rPr>
          <w:i/>
          <w:iCs/>
        </w:rPr>
        <w:t>, June 2021,</w:t>
      </w:r>
      <w:r w:rsidRPr="00712CCC">
        <w:t xml:space="preserve"> Cat. no. 5232.0</w:t>
      </w:r>
      <w:r>
        <w:t>);</w:t>
      </w:r>
      <w:r w:rsidRPr="0050309F">
        <w:t xml:space="preserve"> ABS SIH Basic confidentialised unit record files for </w:t>
      </w:r>
      <w:r>
        <w:t>2017</w:t>
      </w:r>
      <w:r>
        <w:noBreakHyphen/>
        <w:t>18</w:t>
      </w:r>
      <w:r w:rsidRPr="0050309F">
        <w:t xml:space="preserve">; </w:t>
      </w:r>
      <w:r>
        <w:t>HILDA Restricted Release</w:t>
      </w:r>
      <w:r w:rsidRPr="000B5645">
        <w:t xml:space="preserve"> 19</w:t>
      </w:r>
      <w:r>
        <w:t>.</w:t>
      </w:r>
    </w:p>
    <w:p w14:paraId="2F659EE4" w14:textId="77777777" w:rsidR="00767353" w:rsidRDefault="00767353" w:rsidP="00767353">
      <w:pPr>
        <w:pStyle w:val="Heading4"/>
      </w:pPr>
      <w:r>
        <w:t>Consumer durables</w:t>
      </w:r>
    </w:p>
    <w:p w14:paraId="688D6DD0" w14:textId="0C8D0B24" w:rsidR="00767353" w:rsidRDefault="00767353" w:rsidP="00767353">
      <w:pPr>
        <w:pStyle w:val="BodyText"/>
      </w:pPr>
      <w:r>
        <w:t>Each of the three measures of household wealth treat consumer durables very differently. In 2018 the National Accounts estimate of consumer durables was $387 billion. The value of vehicles in the SIH was $248 billion for 2017</w:t>
      </w:r>
      <w:r>
        <w:noBreakHyphen/>
        <w:t>18 and the value of other household contents was $643 billion. The largest component of consumer durables in the HILDA measure is vehicles, which were valued at $294 billion in 2018. The combined value for all consumer durables in HILDA was $333 billion (figure A.4).</w:t>
      </w:r>
    </w:p>
    <w:p w14:paraId="14BAAE5D" w14:textId="373FCB7F" w:rsidR="00767353" w:rsidRDefault="00767353" w:rsidP="00767353">
      <w:pPr>
        <w:pStyle w:val="BodyText"/>
      </w:pPr>
      <w:r>
        <w:t>Consumer durables are not included in the National Accounts measure of household wealth but are included as a memorandum item. Consumer durables include motor vehicles and household furnishings and equipment. The</w:t>
      </w:r>
      <w:r w:rsidR="001F34FE">
        <w:t xml:space="preserve"> value of consumer durables in the National Accounts is based on </w:t>
      </w:r>
      <w:r w:rsidR="00095406">
        <w:t>actual value (</w:t>
      </w:r>
      <w:r>
        <w:t>depreciat</w:t>
      </w:r>
      <w:r w:rsidR="00095406">
        <w:t>ed from new)</w:t>
      </w:r>
      <w:r>
        <w:t xml:space="preserve">. </w:t>
      </w:r>
    </w:p>
    <w:p w14:paraId="58BFEB8B" w14:textId="094CE80B" w:rsidR="00767353" w:rsidRPr="008D0800" w:rsidRDefault="00767353" w:rsidP="00767353">
      <w:pPr>
        <w:pStyle w:val="BodyText"/>
        <w:rPr>
          <w:spacing w:val="-4"/>
        </w:rPr>
      </w:pPr>
      <w:r w:rsidRPr="008D0800">
        <w:rPr>
          <w:spacing w:val="-4"/>
        </w:rPr>
        <w:t xml:space="preserve">In addition to the components considered by the National Accounts, the SIH measure of consumer durables also includes collectibles </w:t>
      </w:r>
      <w:r w:rsidRPr="008D0800">
        <w:rPr>
          <w:spacing w:val="-4"/>
        </w:rPr>
        <w:fldChar w:fldCharType="begin"/>
      </w:r>
      <w:r w:rsidR="0047772E">
        <w:rPr>
          <w:spacing w:val="-4"/>
        </w:rPr>
        <w:instrText xml:space="preserve"> ADDIN ZOTERO_ITEM CSL_CITATION {"citationID":"K72OcHYF","properties":{"formattedCitation":"(Bloxham and Betts\\uc0\\u160{}2009)","plainCitation":"(Bloxham and Betts 2009)","noteIndex":0},"citationItems":[{"id":1639,"uris":["http://zotero.org/groups/2714158/items/7KEEI76X"],"uri":["http://zotero.org/groups/2714158/items/7KEEI76X"],"itemData":{"id":1639,"type":"article-journal","container-title":"Australian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Australia","volume":"42","author":[{"family":"Bloxham","given":"Paul"},{"family":"Betts","given":"Thomas"}],"issued":{"date-parts":[["2009"]]}}}],"schema":"https://github.com/citation-style-language/schema/raw/master/csl-citation.json"} </w:instrText>
      </w:r>
      <w:r w:rsidRPr="008D0800">
        <w:rPr>
          <w:spacing w:val="-4"/>
        </w:rPr>
        <w:fldChar w:fldCharType="separate"/>
      </w:r>
      <w:r w:rsidRPr="008D0800">
        <w:rPr>
          <w:spacing w:val="-4"/>
          <w:szCs w:val="24"/>
        </w:rPr>
        <w:t>(Bloxham and Betts 2009)</w:t>
      </w:r>
      <w:r w:rsidRPr="008D0800">
        <w:rPr>
          <w:spacing w:val="-4"/>
        </w:rPr>
        <w:fldChar w:fldCharType="end"/>
      </w:r>
      <w:r w:rsidRPr="008D0800">
        <w:rPr>
          <w:spacing w:val="-4"/>
        </w:rPr>
        <w:t xml:space="preserve">. It also differs from the National Accounts measure because it is calculated using the insured value of the goods, which is typically a ‘new for old’ valuation </w:t>
      </w:r>
      <w:r w:rsidRPr="008D0800">
        <w:rPr>
          <w:spacing w:val="-4"/>
        </w:rPr>
        <w:fldChar w:fldCharType="begin"/>
      </w:r>
      <w:r w:rsidR="0047772E">
        <w:rPr>
          <w:spacing w:val="-4"/>
        </w:rPr>
        <w:instrText xml:space="preserve"> ADDIN ZOTERO_ITEM CSL_CITATION {"citationID":"bvHeP1xu","properties":{"formattedCitation":"(ABS\\uc0\\u160{}2019b)","plainCitation":"(ABS 2019b)","noteIndex":0},"citationItems":[{"id":1790,"uris":["http://zotero.org/groups/2714158/items/AQ2CNMJY"],"uri":["http://zotero.org/groups/2714158/items/AQ2CNMJY"],"itemData":{"id":1790,"type":"webpage","abstract":"This is a summary from publication Wealth or Net Worth which contains key figures, key points and notes from the publication.","language":"en","title":"Main Features - Wealth or Net Worth","URL":"https://www.abs.gov.au/ausstats/abs@.nsf/Lookup/by%20Subject/6553.0~2017-18~Main%20Features~Wealth%20or%20Net%20Worth~3","author":[{"literal":"Australian Bureau of Statistics"}],"translator":[{"literal":"ABS"}],"accessed":{"date-parts":[["2021",3,22]]},"issued":{"date-parts":[["2019",7,12]]}}}],"schema":"https://github.com/citation-style-language/schema/raw/master/csl-citation.json"} </w:instrText>
      </w:r>
      <w:r w:rsidRPr="008D0800">
        <w:rPr>
          <w:spacing w:val="-4"/>
        </w:rPr>
        <w:fldChar w:fldCharType="separate"/>
      </w:r>
      <w:r w:rsidR="007A60F8" w:rsidRPr="007A60F8">
        <w:rPr>
          <w:rFonts w:ascii="Arial" w:hAnsi="Arial" w:cs="Arial"/>
          <w:szCs w:val="24"/>
        </w:rPr>
        <w:t>(ABS 2019b)</w:t>
      </w:r>
      <w:r w:rsidRPr="008D0800">
        <w:rPr>
          <w:spacing w:val="-4"/>
        </w:rPr>
        <w:fldChar w:fldCharType="end"/>
      </w:r>
      <w:r w:rsidRPr="008D0800">
        <w:rPr>
          <w:spacing w:val="-4"/>
        </w:rPr>
        <w:t xml:space="preserve">. </w:t>
      </w:r>
    </w:p>
    <w:p w14:paraId="55BC1175" w14:textId="77777777" w:rsidR="00767353" w:rsidRPr="00A01679" w:rsidRDefault="00767353" w:rsidP="00767353">
      <w:pPr>
        <w:pStyle w:val="BodyText"/>
        <w:rPr>
          <w:spacing w:val="-4"/>
        </w:rPr>
      </w:pPr>
      <w:r w:rsidRPr="00A01679">
        <w:rPr>
          <w:spacing w:val="-4"/>
        </w:rPr>
        <w:t xml:space="preserve">The HILDA measure includes only vehicles and collectibles and is the subjective value reported by households. </w:t>
      </w:r>
    </w:p>
    <w:p w14:paraId="2AF686CD" w14:textId="25D4A4B0"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4666AE">
        <w:t>4</w:t>
      </w:r>
      <w:r>
        <w:rPr>
          <w:noProof/>
        </w:rPr>
        <w:t xml:space="preserve"> </w:t>
      </w:r>
      <w:r>
        <w:t>– Value of consumer durables</w:t>
      </w:r>
    </w:p>
    <w:p w14:paraId="4E9E4362" w14:textId="2E2331FF" w:rsidR="00767353" w:rsidRPr="005550A0" w:rsidRDefault="00A95786" w:rsidP="00767353">
      <w:pPr>
        <w:pStyle w:val="BodyText"/>
      </w:pPr>
      <w:r w:rsidRPr="00A95786">
        <w:rPr>
          <w:noProof/>
        </w:rPr>
        <w:drawing>
          <wp:inline distT="0" distB="0" distL="0" distR="0" wp14:anchorId="24AA6724" wp14:editId="2D8E7F60">
            <wp:extent cx="6120130" cy="2875280"/>
            <wp:effectExtent l="0" t="0" r="0" b="1270"/>
            <wp:docPr id="178" name="Picture 178" descr="Figure A.4. This chart shows the value of consumer durables estimated from HILDA, the National Accounts and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Figure A.4. This chart shows the value of consumer durables estimated from HILDA, the National Accounts and the SIH. More details are contained in the text surrounding this figur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288BE96F" w14:textId="58B2E4AC" w:rsidR="00767353" w:rsidRDefault="00767353" w:rsidP="00767353">
      <w:pPr>
        <w:pStyle w:val="Source"/>
      </w:pPr>
      <w:r w:rsidRPr="00696447">
        <w:t xml:space="preserve">Source: </w:t>
      </w:r>
      <w:r w:rsidRPr="0050309F">
        <w:t>Productivity Commission estimates using ABS (</w:t>
      </w:r>
      <w:r w:rsidRPr="00712CCC">
        <w:rPr>
          <w:i/>
          <w:iCs/>
        </w:rPr>
        <w:t>Australian National Accounts: Finance and Wealth</w:t>
      </w:r>
      <w:r w:rsidRPr="00383479">
        <w:rPr>
          <w:i/>
          <w:iCs/>
        </w:rPr>
        <w:t>, June 2021,</w:t>
      </w:r>
      <w:r w:rsidRPr="00712CCC">
        <w:t xml:space="preserve"> Cat. no. 5232.0</w:t>
      </w:r>
      <w:r>
        <w:t xml:space="preserve">); </w:t>
      </w:r>
      <w:r w:rsidRPr="0050309F">
        <w:t xml:space="preserve">ABS SIH Basic confidentialised unit record files for </w:t>
      </w:r>
      <w:r>
        <w:t>2017</w:t>
      </w:r>
      <w:r>
        <w:noBreakHyphen/>
        <w:t>18</w:t>
      </w:r>
      <w:r w:rsidRPr="0050309F">
        <w:t xml:space="preserve">; </w:t>
      </w:r>
      <w:r w:rsidRPr="000B5645">
        <w:t>HILDA</w:t>
      </w:r>
      <w:r>
        <w:t xml:space="preserve"> Restricted Release</w:t>
      </w:r>
      <w:r w:rsidRPr="000B5645">
        <w:t xml:space="preserve"> 19</w:t>
      </w:r>
      <w:r>
        <w:t>.</w:t>
      </w:r>
    </w:p>
    <w:p w14:paraId="1A871135" w14:textId="77777777" w:rsidR="00767353" w:rsidRDefault="00767353" w:rsidP="00767353">
      <w:pPr>
        <w:pStyle w:val="Heading4"/>
      </w:pPr>
      <w:r>
        <w:t>Financial assets</w:t>
      </w:r>
    </w:p>
    <w:p w14:paraId="4AABD57A" w14:textId="785655B4" w:rsidR="00767353" w:rsidRDefault="00767353" w:rsidP="00767353">
      <w:pPr>
        <w:pStyle w:val="BodyText"/>
      </w:pPr>
      <w:r>
        <w:t>Financial assets make up about 40 per cent of household assets. The National Accounts valued financial assets at $5.2 trillion in 2018 while the SIH estimate was about $3.8 trillion (2017</w:t>
      </w:r>
      <w:r>
        <w:noBreakHyphen/>
        <w:t>18) and the HILDA estimate was about $3.7 trillion (figure</w:t>
      </w:r>
      <w:r w:rsidR="00CB1DB5">
        <w:t> </w:t>
      </w:r>
      <w:r>
        <w:t>A.5).</w:t>
      </w:r>
    </w:p>
    <w:p w14:paraId="3D297E24" w14:textId="7119EEB2" w:rsidR="00767353" w:rsidRDefault="00767353" w:rsidP="00767353">
      <w:pPr>
        <w:pStyle w:val="BodyText"/>
      </w:pPr>
      <w:r>
        <w:t xml:space="preserve">The National Accounts measure of financial assets relies upon the </w:t>
      </w:r>
      <w:r>
        <w:rPr>
          <w:i/>
          <w:iCs/>
        </w:rPr>
        <w:t>Survey of Financial Information</w:t>
      </w:r>
      <w:r>
        <w:t xml:space="preserve"> and the </w:t>
      </w:r>
      <w:r>
        <w:rPr>
          <w:i/>
          <w:iCs/>
        </w:rPr>
        <w:t>Survey of International Investment</w:t>
      </w:r>
      <w:r>
        <w:t xml:space="preserve">. The data from the two surveys is combined with RBA and Australian Prudential Regularity Authority data </w:t>
      </w:r>
      <w:r>
        <w:fldChar w:fldCharType="begin"/>
      </w:r>
      <w:r w:rsidR="0047772E">
        <w:instrText xml:space="preserve"> ADDIN ZOTERO_ITEM CSL_CITATION {"citationID":"0HB5EPAi","properties":{"formattedCitation":"(Bloxham and Betts\\uc0\\u160{}2009)","plainCitation":"(Bloxham and Betts 2009)","noteIndex":0},"citationItems":[{"id":1639,"uris":["http://zotero.org/groups/2714158/items/7KEEI76X"],"uri":["http://zotero.org/groups/2714158/items/7KEEI76X"],"itemData":{"id":1639,"type":"article-journal","container-title":"Australian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Australia","volume":"42","author":[{"family":"Bloxham","given":"Paul"},{"family":"Betts","given":"Thomas"}],"issued":{"date-parts":[["2009"]]}}}],"schema":"https://github.com/citation-style-language/schema/raw/master/csl-citation.json"} </w:instrText>
      </w:r>
      <w:r>
        <w:fldChar w:fldCharType="separate"/>
      </w:r>
      <w:r w:rsidRPr="004140A8">
        <w:rPr>
          <w:szCs w:val="24"/>
        </w:rPr>
        <w:t>(Bloxham and Betts 2009)</w:t>
      </w:r>
      <w:r>
        <w:fldChar w:fldCharType="end"/>
      </w:r>
      <w:r>
        <w:t>. The estimates of financial assets in the SIH and HILDA are self</w:t>
      </w:r>
      <w:r>
        <w:noBreakHyphen/>
        <w:t xml:space="preserve">reported. </w:t>
      </w:r>
    </w:p>
    <w:p w14:paraId="7BD8F63A" w14:textId="17277DEB" w:rsidR="00767353" w:rsidRPr="00A01679" w:rsidRDefault="00767353" w:rsidP="00767353">
      <w:pPr>
        <w:pStyle w:val="BodyText"/>
      </w:pPr>
      <w:r w:rsidRPr="00A01679">
        <w:t>One difference in scope relates to unincorporated enterprises and not</w:t>
      </w:r>
      <w:r w:rsidRPr="00A01679">
        <w:noBreakHyphen/>
        <w:t>for</w:t>
      </w:r>
      <w:r w:rsidRPr="00A01679">
        <w:noBreakHyphen/>
        <w:t xml:space="preserve">profit institutions serving households (NPISHs), such as charities. The National Accounts measure includes both unincorporated enterprises and NPISHs in household wealth. The SIH and HILDA both exclude the asset holdings of unincorporated enterprises and NPISHs from their measures of household wealth </w:t>
      </w:r>
      <w:r w:rsidRPr="00A01679">
        <w:fldChar w:fldCharType="begin"/>
      </w:r>
      <w:r w:rsidR="0047772E">
        <w:instrText xml:space="preserve"> ADDIN ZOTERO_ITEM CSL_CITATION {"citationID":"I4HAubZ1","properties":{"formattedCitation":"(Bloxham and Betts\\uc0\\u160{}2009)","plainCitation":"(Bloxham and Betts 2009)","noteIndex":0},"citationItems":[{"id":1639,"uris":["http://zotero.org/groups/2714158/items/7KEEI76X"],"uri":["http://zotero.org/groups/2714158/items/7KEEI76X"],"itemData":{"id":1639,"type":"article-journal","container-title":"Australian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Australia","volume":"42","author":[{"family":"Bloxham","given":"Paul"},{"family":"Betts","given":"Thomas"}],"issued":{"date-parts":[["2009"]]}}}],"schema":"https://github.com/citation-style-language/schema/raw/master/csl-citation.json"} </w:instrText>
      </w:r>
      <w:r w:rsidRPr="00A01679">
        <w:fldChar w:fldCharType="separate"/>
      </w:r>
      <w:r w:rsidRPr="00A01679">
        <w:t>(Bloxham and Betts 2009)</w:t>
      </w:r>
      <w:r w:rsidRPr="00A01679">
        <w:fldChar w:fldCharType="end"/>
      </w:r>
      <w:r w:rsidRPr="00A01679">
        <w:t>. Only the bank deposits of NPISHs are quantifiable and were worth $23 billion in 2017</w:t>
      </w:r>
      <w:r w:rsidRPr="00A01679">
        <w:noBreakHyphen/>
        <w:t xml:space="preserve">18 </w:t>
      </w:r>
      <w:r w:rsidRPr="00A01679">
        <w:fldChar w:fldCharType="begin"/>
      </w:r>
      <w:r w:rsidR="0047772E">
        <w:instrText xml:space="preserve"> ADDIN ZOTERO_ITEM CSL_CITATION {"citationID":"JLGbceSR","properties":{"formattedCitation":"(ABS\\uc0\\u160{}2019c)","plainCitation":"(ABS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rsidRPr="00A01679">
        <w:fldChar w:fldCharType="separate"/>
      </w:r>
      <w:r w:rsidR="007A60F8" w:rsidRPr="007A60F8">
        <w:rPr>
          <w:rFonts w:ascii="Arial" w:hAnsi="Arial" w:cs="Arial"/>
          <w:szCs w:val="24"/>
        </w:rPr>
        <w:t>(ABS 2019c)</w:t>
      </w:r>
      <w:r w:rsidRPr="00A01679">
        <w:fldChar w:fldCharType="end"/>
      </w:r>
      <w:r w:rsidRPr="00A01679">
        <w:t>.</w:t>
      </w:r>
    </w:p>
    <w:p w14:paraId="4D6B1664" w14:textId="56E388BB"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5E6456">
        <w:t>5</w:t>
      </w:r>
      <w:r>
        <w:rPr>
          <w:noProof/>
        </w:rPr>
        <w:t xml:space="preserve"> </w:t>
      </w:r>
      <w:r>
        <w:t>– Value of financial assets</w:t>
      </w:r>
    </w:p>
    <w:p w14:paraId="2046D5F8" w14:textId="177A6FEA" w:rsidR="00767353" w:rsidRPr="005550A0" w:rsidRDefault="00A95786" w:rsidP="00767353">
      <w:pPr>
        <w:pStyle w:val="BodyText"/>
      </w:pPr>
      <w:r w:rsidRPr="00A95786">
        <w:rPr>
          <w:noProof/>
        </w:rPr>
        <w:drawing>
          <wp:inline distT="0" distB="0" distL="0" distR="0" wp14:anchorId="51F120A4" wp14:editId="15D2899D">
            <wp:extent cx="6120130" cy="2875280"/>
            <wp:effectExtent l="0" t="0" r="0" b="1270"/>
            <wp:docPr id="180" name="Picture 180" descr="Figure A.5. This chart shows the value of financial assets estimated from HILDA, the National Accounts and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Figure A.5. This chart shows the value of financial assets estimated from HILDA, the National Accounts and the SIH. More details are contained in the text surrounding this figur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588B4430" w14:textId="45BEEB67" w:rsidR="00767353" w:rsidRDefault="00767353" w:rsidP="00767353">
      <w:pPr>
        <w:pStyle w:val="Source"/>
      </w:pPr>
      <w:r w:rsidRPr="00696447">
        <w:t xml:space="preserve">Source: </w:t>
      </w:r>
      <w:r w:rsidRPr="0050309F">
        <w:t>Productivity Commission estimates using ABS (</w:t>
      </w:r>
      <w:r w:rsidRPr="00712CCC">
        <w:rPr>
          <w:i/>
          <w:iCs/>
        </w:rPr>
        <w:t>Australian National Accounts: Finance and Wealth</w:t>
      </w:r>
      <w:r w:rsidRPr="00383479">
        <w:rPr>
          <w:i/>
          <w:iCs/>
        </w:rPr>
        <w:t>, June 2021,</w:t>
      </w:r>
      <w:r w:rsidRPr="00712CCC">
        <w:t xml:space="preserve"> Cat. no. 5232.0</w:t>
      </w:r>
      <w:r>
        <w:t>);</w:t>
      </w:r>
      <w:r w:rsidRPr="0050309F">
        <w:t xml:space="preserve"> ABS SIH Basic confidentialised unit record files for </w:t>
      </w:r>
      <w:r>
        <w:t>2017</w:t>
      </w:r>
      <w:r>
        <w:noBreakHyphen/>
        <w:t>18</w:t>
      </w:r>
      <w:r w:rsidRPr="0050309F">
        <w:t xml:space="preserve">; </w:t>
      </w:r>
      <w:r>
        <w:t>HILDA Restricted Release</w:t>
      </w:r>
      <w:r w:rsidRPr="000B5645">
        <w:t xml:space="preserve"> 19</w:t>
      </w:r>
      <w:r>
        <w:t>.</w:t>
      </w:r>
    </w:p>
    <w:p w14:paraId="71C3CF02" w14:textId="77777777" w:rsidR="00767353" w:rsidRDefault="00767353" w:rsidP="00767353">
      <w:pPr>
        <w:pStyle w:val="Heading4"/>
      </w:pPr>
      <w:r>
        <w:t>Superannuation</w:t>
      </w:r>
    </w:p>
    <w:p w14:paraId="7FE97D4E" w14:textId="07667CC1" w:rsidR="00767353" w:rsidRDefault="00767353" w:rsidP="00767353">
      <w:pPr>
        <w:pStyle w:val="BodyText"/>
      </w:pPr>
      <w:r>
        <w:t>The National Accounts estimate of superannuation was $2.8 trillion in 2018. The SIH estimate was about $2 trillion (2017</w:t>
      </w:r>
      <w:r>
        <w:noBreakHyphen/>
        <w:t>18) and the HILDA estimate was $2.3 trillion (figure A.6). Unfunded superannuation claims — as measured by the National Accounts — were worth $448 billion in 2017</w:t>
      </w:r>
      <w:r>
        <w:noBreakHyphen/>
        <w:t xml:space="preserve">18 </w:t>
      </w:r>
      <w:r>
        <w:rPr>
          <w:b/>
        </w:rPr>
        <w:fldChar w:fldCharType="begin"/>
      </w:r>
      <w:r w:rsidR="0047772E">
        <w:instrText xml:space="preserve"> ADDIN ZOTERO_ITEM CSL_CITATION {"citationID":"alV09B7W","properties":{"formattedCitation":"(ABS\\uc0\\u160{}2019c)","plainCitation":"(ABS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rPr>
          <w:b/>
        </w:rPr>
        <w:fldChar w:fldCharType="separate"/>
      </w:r>
      <w:r w:rsidR="007A60F8" w:rsidRPr="007A60F8">
        <w:rPr>
          <w:rFonts w:ascii="Arial" w:hAnsi="Arial" w:cs="Arial"/>
          <w:szCs w:val="24"/>
        </w:rPr>
        <w:t>(ABS 2019c)</w:t>
      </w:r>
      <w:r>
        <w:rPr>
          <w:b/>
        </w:rPr>
        <w:fldChar w:fldCharType="end"/>
      </w:r>
      <w:r>
        <w:t>.</w:t>
      </w:r>
    </w:p>
    <w:p w14:paraId="3B7903A9" w14:textId="35EE6570" w:rsidR="00767353" w:rsidRDefault="00767353" w:rsidP="00767353">
      <w:pPr>
        <w:pStyle w:val="BodyText"/>
      </w:pPr>
      <w:r>
        <w:t>The National Accounts measure is the only one that explicitly captures the value of unfunded superannuation assets tied to defined benefit schemes.</w:t>
      </w:r>
      <w:r w:rsidRPr="005A346B">
        <w:t xml:space="preserve"> It is not clear to what extent defined benefit schemes are captured in HILDA or the SIH. Respondents are asked to self</w:t>
      </w:r>
      <w:r>
        <w:noBreakHyphen/>
      </w:r>
      <w:r w:rsidRPr="005A346B">
        <w:t>report their superannuation balances, but those on a defined benefit scheme may receive an annuity or a lump</w:t>
      </w:r>
      <w:r>
        <w:noBreakHyphen/>
      </w:r>
      <w:r w:rsidRPr="005A346B">
        <w:t>sum payment. It is not clear how defined benefit scheme recipients are answering this question. For example, respondents may report the net present value of the annuity they expect to receive or the total value they would receive if they were to retire today</w:t>
      </w:r>
      <w:r>
        <w:t xml:space="preserve">. </w:t>
      </w:r>
    </w:p>
    <w:p w14:paraId="2C8E3AA5" w14:textId="6DCB1D26" w:rsidR="00767353" w:rsidRDefault="00767353" w:rsidP="00767353">
      <w:pPr>
        <w:pStyle w:val="BodyText"/>
      </w:pPr>
      <w:r>
        <w:t>The SIH treats self</w:t>
      </w:r>
      <w:r>
        <w:noBreakHyphen/>
        <w:t>managed super funds as equities, whereas HILDA and the National Accounts consider the holdings of self</w:t>
      </w:r>
      <w:r>
        <w:noBreakHyphen/>
        <w:t xml:space="preserve">managed super funds as part of superannuation assets </w:t>
      </w:r>
      <w:r>
        <w:fldChar w:fldCharType="begin"/>
      </w:r>
      <w:r w:rsidR="0047772E">
        <w:instrText xml:space="preserve"> ADDIN ZOTERO_ITEM CSL_CITATION {"citationID":"SBGd6XPd","properties":{"formattedCitation":"(Bloxham and Betts\\uc0\\u160{}2009)","plainCitation":"(Bloxham and Betts 2009)","noteIndex":0},"citationItems":[{"id":1639,"uris":["http://zotero.org/groups/2714158/items/7KEEI76X"],"uri":["http://zotero.org/groups/2714158/items/7KEEI76X"],"itemData":{"id":1639,"type":"article-journal","container-title":"Australian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Australia","volume":"42","author":[{"family":"Bloxham","given":"Paul"},{"family":"Betts","given":"Thomas"}],"issued":{"date-parts":[["2009"]]}}}],"schema":"https://github.com/citation-style-language/schema/raw/master/csl-citation.json"} </w:instrText>
      </w:r>
      <w:r>
        <w:fldChar w:fldCharType="separate"/>
      </w:r>
      <w:r w:rsidRPr="0043457F">
        <w:rPr>
          <w:szCs w:val="24"/>
        </w:rPr>
        <w:t>(Bloxham and Betts 2009)</w:t>
      </w:r>
      <w:r>
        <w:fldChar w:fldCharType="end"/>
      </w:r>
      <w:r>
        <w:t xml:space="preserve">. </w:t>
      </w:r>
    </w:p>
    <w:p w14:paraId="676C9405" w14:textId="3A8F3609"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5E6456">
        <w:t>6</w:t>
      </w:r>
      <w:r>
        <w:rPr>
          <w:noProof/>
        </w:rPr>
        <w:t xml:space="preserve"> </w:t>
      </w:r>
      <w:r>
        <w:t>– Value of superannuation</w:t>
      </w:r>
    </w:p>
    <w:p w14:paraId="4B7779FA" w14:textId="170EB0CD" w:rsidR="00767353" w:rsidRPr="005550A0" w:rsidRDefault="00A95786" w:rsidP="00767353">
      <w:pPr>
        <w:pStyle w:val="BodyText"/>
      </w:pPr>
      <w:r w:rsidRPr="00A95786">
        <w:rPr>
          <w:noProof/>
        </w:rPr>
        <w:drawing>
          <wp:inline distT="0" distB="0" distL="0" distR="0" wp14:anchorId="407E3DA5" wp14:editId="7B1C783B">
            <wp:extent cx="6120130" cy="2875280"/>
            <wp:effectExtent l="0" t="0" r="0" b="1270"/>
            <wp:docPr id="181" name="Picture 181" descr="Figure A.6. This chart shows the value of superannuation estimated from HILDA, the National Accounts and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Figure A.6. This chart shows the value of superannuation estimated from HILDA, the National Accounts and the SIH. More details are contained in the text surrounding this figur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418F56D1" w14:textId="57512F03" w:rsidR="00767353" w:rsidRDefault="00767353" w:rsidP="00767353">
      <w:pPr>
        <w:pStyle w:val="Source"/>
      </w:pPr>
      <w:r w:rsidRPr="00696447">
        <w:t xml:space="preserve">Source: </w:t>
      </w:r>
      <w:r w:rsidRPr="0050309F">
        <w:t>Productivity Commission estimates using ABS (</w:t>
      </w:r>
      <w:r w:rsidRPr="00712CCC">
        <w:rPr>
          <w:i/>
          <w:iCs/>
        </w:rPr>
        <w:t>Australian National Accounts: Finance and Wealth</w:t>
      </w:r>
      <w:r w:rsidRPr="00383479">
        <w:rPr>
          <w:i/>
          <w:iCs/>
        </w:rPr>
        <w:t>, June 2021,</w:t>
      </w:r>
      <w:r w:rsidRPr="00712CCC">
        <w:t xml:space="preserve"> Cat. no. 5232.0</w:t>
      </w:r>
      <w:r>
        <w:t>);</w:t>
      </w:r>
      <w:r w:rsidRPr="0050309F">
        <w:t xml:space="preserve"> ABS SIH Basic confidentialised unit record files for </w:t>
      </w:r>
      <w:r>
        <w:t>2017</w:t>
      </w:r>
      <w:r>
        <w:noBreakHyphen/>
        <w:t>18</w:t>
      </w:r>
      <w:r w:rsidRPr="0050309F">
        <w:t xml:space="preserve">; </w:t>
      </w:r>
      <w:r>
        <w:t>HILDA Restricted Release</w:t>
      </w:r>
      <w:r w:rsidRPr="000B5645">
        <w:t xml:space="preserve"> 19</w:t>
      </w:r>
      <w:r>
        <w:t>.</w:t>
      </w:r>
    </w:p>
    <w:p w14:paraId="33027874" w14:textId="77777777" w:rsidR="00767353" w:rsidRDefault="00767353" w:rsidP="00767353">
      <w:pPr>
        <w:pStyle w:val="Heading4"/>
      </w:pPr>
      <w:r>
        <w:t>Other financial assets</w:t>
      </w:r>
    </w:p>
    <w:p w14:paraId="00D3BC88" w14:textId="1B957319" w:rsidR="00767353" w:rsidRDefault="00767353" w:rsidP="00767353">
      <w:pPr>
        <w:pStyle w:val="BodyText"/>
      </w:pPr>
      <w:r>
        <w:t>The National Accounts estimate of households’ holdings of currency and deposits was $1.1 trillion in 2018, while the SIH estimate was $643 billion (2017</w:t>
      </w:r>
      <w:r>
        <w:noBreakHyphen/>
        <w:t xml:space="preserve">18) and the HILDA estimate was $662 billion. It is likely that households under report their holdings of currency and deposits </w:t>
      </w:r>
      <w:r>
        <w:fldChar w:fldCharType="begin"/>
      </w:r>
      <w:r w:rsidR="0047772E">
        <w:instrText xml:space="preserve"> ADDIN ZOTERO_ITEM CSL_CITATION {"citationID":"tS8arecp","properties":{"formattedCitation":"(Bloxham and Betts\\uc0\\u160{}2009)","plainCitation":"(Bloxham and Betts 2009)","noteIndex":0},"citationItems":[{"id":1639,"uris":["http://zotero.org/groups/2714158/items/7KEEI76X"],"uri":["http://zotero.org/groups/2714158/items/7KEEI76X"],"itemData":{"id":1639,"type":"article-journal","container-title":"Australian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Australia","volume":"42","author":[{"family":"Bloxham","given":"Paul"},{"family":"Betts","given":"Thomas"}],"issued":{"date-parts":[["2009"]]}}}],"schema":"https://github.com/citation-style-language/schema/raw/master/csl-citation.json"} </w:instrText>
      </w:r>
      <w:r>
        <w:fldChar w:fldCharType="separate"/>
      </w:r>
      <w:r w:rsidRPr="00F90500">
        <w:rPr>
          <w:szCs w:val="24"/>
        </w:rPr>
        <w:t>(Bloxham and Betts 2009)</w:t>
      </w:r>
      <w:r>
        <w:fldChar w:fldCharType="end"/>
      </w:r>
    </w:p>
    <w:p w14:paraId="55F45E55" w14:textId="52059D3D" w:rsidR="00767353" w:rsidRPr="005A4B3A" w:rsidRDefault="00767353" w:rsidP="00767353">
      <w:pPr>
        <w:pStyle w:val="BodyText"/>
        <w:rPr>
          <w:spacing w:val="-2"/>
        </w:rPr>
      </w:pPr>
      <w:r w:rsidRPr="005A4B3A">
        <w:rPr>
          <w:spacing w:val="-2"/>
        </w:rPr>
        <w:t>The National Accounts measure of household wealth allocate assets held in private trusts according to the underlying asset class. The SIH and HILDA measures have a separate trust asset class. Assets held in cash management trusts would likely be included in the separate trust asset class for the survey measures. The SIH estimate of trusts in 2017</w:t>
      </w:r>
      <w:r w:rsidRPr="005A4B3A">
        <w:rPr>
          <w:spacing w:val="-2"/>
        </w:rPr>
        <w:noBreakHyphen/>
        <w:t>18 ($450 billion) was more than twice the size of the HILDA estimate ($186 billion).</w:t>
      </w:r>
    </w:p>
    <w:p w14:paraId="1AD3D42D" w14:textId="0DFB8A5A" w:rsidR="00767353" w:rsidRPr="005A4B3A" w:rsidRDefault="00767353" w:rsidP="00767353">
      <w:pPr>
        <w:pStyle w:val="BodyText"/>
        <w:rPr>
          <w:spacing w:val="-2"/>
        </w:rPr>
      </w:pPr>
      <w:r w:rsidRPr="005A4B3A">
        <w:rPr>
          <w:spacing w:val="-2"/>
        </w:rPr>
        <w:t xml:space="preserve">The three data sources differ in their treatment of equity in unlisted companies. The HILDA measure is the only one to include that type of equity as part of household wealth </w:t>
      </w:r>
      <w:r w:rsidRPr="005A4B3A">
        <w:rPr>
          <w:spacing w:val="-2"/>
        </w:rPr>
        <w:fldChar w:fldCharType="begin"/>
      </w:r>
      <w:r w:rsidR="0047772E">
        <w:rPr>
          <w:spacing w:val="-2"/>
        </w:rPr>
        <w:instrText xml:space="preserve"> ADDIN ZOTERO_ITEM CSL_CITATION {"citationID":"3qHPRTBL","properties":{"formattedCitation":"(Bloxham and Betts\\uc0\\u160{}2009)","plainCitation":"(Bloxham and Betts 2009)","noteIndex":0},"citationItems":[{"id":1639,"uris":["http://zotero.org/groups/2714158/items/7KEEI76X"],"uri":["http://zotero.org/groups/2714158/items/7KEEI76X"],"itemData":{"id":1639,"type":"article-journal","container-title":"Australian Economic Review","DOI":"https://doi.org/10.1111/j.1467-8462.2009.00551.x","ISSN":"1467-8462","issue":"2","language":"en","page":"217-231","source":"Wiley Online Library","title":"Measures of household wealth for Australia","volume":"42","author":[{"family":"Bloxham","given":"Paul"},{"family":"Betts","given":"Thomas"}],"issued":{"date-parts":[["2009"]]}}}],"schema":"https://github.com/citation-style-language/schema/raw/master/csl-citation.json"} </w:instrText>
      </w:r>
      <w:r w:rsidRPr="005A4B3A">
        <w:rPr>
          <w:spacing w:val="-2"/>
        </w:rPr>
        <w:fldChar w:fldCharType="separate"/>
      </w:r>
      <w:r w:rsidRPr="005A4B3A">
        <w:rPr>
          <w:spacing w:val="-2"/>
          <w:szCs w:val="24"/>
        </w:rPr>
        <w:t>(Bloxham and Betts 2009)</w:t>
      </w:r>
      <w:r w:rsidRPr="005A4B3A">
        <w:rPr>
          <w:spacing w:val="-2"/>
        </w:rPr>
        <w:fldChar w:fldCharType="end"/>
      </w:r>
      <w:r w:rsidRPr="005A4B3A">
        <w:rPr>
          <w:spacing w:val="-2"/>
        </w:rPr>
        <w:t>. It is also unclear the extent to which HILDA captures the technical reserves of insurance and general life insurance companies, which are included in the National Accounts. In 2017</w:t>
      </w:r>
      <w:r w:rsidRPr="005A4B3A">
        <w:rPr>
          <w:spacing w:val="-2"/>
        </w:rPr>
        <w:noBreakHyphen/>
        <w:t xml:space="preserve">18 these reserves were worth $172 billion </w:t>
      </w:r>
      <w:r w:rsidRPr="005A4B3A">
        <w:rPr>
          <w:spacing w:val="-2"/>
        </w:rPr>
        <w:fldChar w:fldCharType="begin"/>
      </w:r>
      <w:r w:rsidR="0047772E">
        <w:rPr>
          <w:spacing w:val="-2"/>
        </w:rPr>
        <w:instrText xml:space="preserve"> ADDIN ZOTERO_ITEM CSL_CITATION {"citationID":"gGnhnNt3","properties":{"formattedCitation":"(ABS\\uc0\\u160{}2019c)","plainCitation":"(ABS 2019c)","noteIndex":0},"citationItems":[{"id":3197,"uris":["http://zotero.org/groups/2714158/items/22IYUWAX"],"uri":["http://zotero.org/groups/2714158/items/22IYUWAX"],"itemData":{"id":3197,"type":"webpage","language":"en","title":"Survey of Income and Housing, User Guide, Australia, 2017-18","URL":"https://www.abs.gov.au/ausstats/abs@.nsf/Lookup/by%20Subject/6553.0~2017-18~Main%20Features~Wealth%20Comparison~32","author":[{"literal":"Australian Bureau of Statistics"}],"translator":[{"literal":"ABS"}],"accessed":{"date-parts":[["2021",9,16]]},"issued":{"date-parts":[["2019",7,12]]}}}],"schema":"https://github.com/citation-style-language/schema/raw/master/csl-citation.json"} </w:instrText>
      </w:r>
      <w:r w:rsidRPr="005A4B3A">
        <w:rPr>
          <w:spacing w:val="-2"/>
        </w:rPr>
        <w:fldChar w:fldCharType="separate"/>
      </w:r>
      <w:r w:rsidR="007A60F8" w:rsidRPr="007A60F8">
        <w:rPr>
          <w:rFonts w:ascii="Arial" w:hAnsi="Arial" w:cs="Arial"/>
          <w:szCs w:val="24"/>
        </w:rPr>
        <w:t>(ABS 2019c)</w:t>
      </w:r>
      <w:r w:rsidRPr="005A4B3A">
        <w:rPr>
          <w:spacing w:val="-2"/>
        </w:rPr>
        <w:fldChar w:fldCharType="end"/>
      </w:r>
      <w:r w:rsidRPr="005A4B3A">
        <w:rPr>
          <w:spacing w:val="-2"/>
        </w:rPr>
        <w:t>. These reserves are not explicitly captured by the SIH.</w:t>
      </w:r>
    </w:p>
    <w:p w14:paraId="4B7F7380" w14:textId="77777777" w:rsidR="00767353" w:rsidRDefault="00767353" w:rsidP="00767353">
      <w:pPr>
        <w:pStyle w:val="Heading4"/>
      </w:pPr>
      <w:r>
        <w:t>Liabilities</w:t>
      </w:r>
    </w:p>
    <w:p w14:paraId="737ED555" w14:textId="6E45D348" w:rsidR="00767353" w:rsidRDefault="00767353" w:rsidP="00767353">
      <w:pPr>
        <w:pStyle w:val="BodyText"/>
      </w:pPr>
      <w:r>
        <w:t>The National Accounts estimate of the value of liabilities was $2.4 trillion in 2018. The SIH estimate was $1.7 trillion (2017</w:t>
      </w:r>
      <w:r>
        <w:noBreakHyphen/>
        <w:t>18) and the HILDA estimate was $1.9 trillion (figure A.7).</w:t>
      </w:r>
    </w:p>
    <w:p w14:paraId="63CB03EE" w14:textId="77777777" w:rsidR="00767353" w:rsidRDefault="00767353" w:rsidP="00767353">
      <w:pPr>
        <w:pStyle w:val="BodyText"/>
      </w:pPr>
      <w:r>
        <w:t xml:space="preserve">The National Accounts measure of household debt includes loans to unincorporated enterprises and NPISHs. It also includes Higher Education Contribution Scheme and Higher Education Loan Program debt, tax payable and bills of exchange. </w:t>
      </w:r>
    </w:p>
    <w:p w14:paraId="7E62AA95" w14:textId="77777777" w:rsidR="00767353" w:rsidRDefault="00767353" w:rsidP="00767353">
      <w:pPr>
        <w:pStyle w:val="BodyText"/>
      </w:pPr>
      <w:r>
        <w:t xml:space="preserve">The SIH and HILDA measures include property loans, Higher Education Contribution Scheme and Higher Education Loan Program debt, credit card debt, loans for vehicles, investment loans, and other loans. Debts of unincorporated businesses owned by households are excluded. </w:t>
      </w:r>
    </w:p>
    <w:p w14:paraId="2A371044" w14:textId="749D8E53" w:rsidR="00767353" w:rsidRPr="00A01679" w:rsidRDefault="00767353" w:rsidP="00767353">
      <w:pPr>
        <w:pStyle w:val="BodyText"/>
        <w:rPr>
          <w:spacing w:val="-4"/>
        </w:rPr>
      </w:pPr>
      <w:r w:rsidRPr="00A01679">
        <w:rPr>
          <w:spacing w:val="-4"/>
        </w:rPr>
        <w:lastRenderedPageBreak/>
        <w:t xml:space="preserve">The National Accounts measure returns the highest value for household debt due to the inclusion of loans to unincorporated enterprises and NPISHs, households under reporting their property debt </w:t>
      </w:r>
      <w:r w:rsidR="003F2631">
        <w:rPr>
          <w:spacing w:val="-4"/>
        </w:rPr>
        <w:t xml:space="preserve">in surveys </w:t>
      </w:r>
      <w:r w:rsidRPr="00A01679">
        <w:rPr>
          <w:spacing w:val="-4"/>
        </w:rPr>
        <w:t>and differences in the way that credit card debt is measured. The survey measures rely on self</w:t>
      </w:r>
      <w:r w:rsidRPr="00A01679">
        <w:rPr>
          <w:spacing w:val="-4"/>
        </w:rPr>
        <w:noBreakHyphen/>
        <w:t xml:space="preserve">reported values and respondents who regularly pay off their credit card debt each month tend to report zero credit card debt whereas the National Accounts record credit card liabilities owed on a given day </w:t>
      </w:r>
      <w:r w:rsidRPr="00A01679">
        <w:rPr>
          <w:spacing w:val="-4"/>
        </w:rPr>
        <w:fldChar w:fldCharType="begin"/>
      </w:r>
      <w:r w:rsidR="0047772E">
        <w:rPr>
          <w:spacing w:val="-4"/>
        </w:rPr>
        <w:instrText xml:space="preserve"> ADDIN ZOTERO_ITEM CSL_CITATION {"citationID":"j4iStTsI","properties":{"formattedCitation":"(Headey, Warren and Wooden\\uc0\\u160{}2008)","plainCitation":"(Headey, Warren and Wooden 2008)","noteIndex":0},"citationItems":[{"id":1894,"uris":["http://zotero.org/groups/2714158/items/RNGWITH5"],"uri":["http://zotero.org/groups/2714158/items/RNGWITH5"],"itemData":{"id":1894,"type":"report","genre":"Social Policy Research Paper","number":"33","publisher":"Department of Families, Housing, Community Services and Indigenous Affairs","title":"The Structure and Distribution of Household Wealth in Australia: Cohort Differences and Retirement Issues","author":[{"family":"Headey","given":"B."},{"family":"Warren","given":"D."},{"family":"Wooden","given":"M."}],"accessed":{"date-parts":[["2021",5,13]]},"issued":{"date-parts":[["2008"]]}}}],"schema":"https://github.com/citation-style-language/schema/raw/master/csl-citation.json"} </w:instrText>
      </w:r>
      <w:r w:rsidRPr="00A01679">
        <w:rPr>
          <w:spacing w:val="-4"/>
        </w:rPr>
        <w:fldChar w:fldCharType="separate"/>
      </w:r>
      <w:r w:rsidRPr="00A01679">
        <w:rPr>
          <w:spacing w:val="-4"/>
          <w:szCs w:val="24"/>
        </w:rPr>
        <w:t>(Headey, Warren and Wooden 2008)</w:t>
      </w:r>
      <w:r w:rsidRPr="00A01679">
        <w:rPr>
          <w:spacing w:val="-4"/>
        </w:rPr>
        <w:fldChar w:fldCharType="end"/>
      </w:r>
      <w:r w:rsidRPr="00A01679">
        <w:rPr>
          <w:spacing w:val="-4"/>
        </w:rPr>
        <w:t xml:space="preserve">. </w:t>
      </w:r>
    </w:p>
    <w:p w14:paraId="1D77B72E" w14:textId="0A09B1A0"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5E6456">
        <w:t>7</w:t>
      </w:r>
      <w:r>
        <w:rPr>
          <w:noProof/>
        </w:rPr>
        <w:t xml:space="preserve"> </w:t>
      </w:r>
      <w:r>
        <w:t>– Value of liabilities</w:t>
      </w:r>
    </w:p>
    <w:p w14:paraId="14BB1536" w14:textId="67192617" w:rsidR="00767353" w:rsidRPr="005550A0" w:rsidRDefault="00ED1734" w:rsidP="00767353">
      <w:pPr>
        <w:pStyle w:val="BodyText"/>
      </w:pPr>
      <w:r w:rsidRPr="00ED1734">
        <w:rPr>
          <w:noProof/>
        </w:rPr>
        <w:drawing>
          <wp:inline distT="0" distB="0" distL="0" distR="0" wp14:anchorId="17863400" wp14:editId="75B7020A">
            <wp:extent cx="6120130" cy="2875280"/>
            <wp:effectExtent l="0" t="0" r="0" b="1270"/>
            <wp:docPr id="182" name="Picture 182" descr="Figure A.7. This chart shows the value of liabilities estimated from HILDA, the National Accounts and the SI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Figure A.7. This chart shows the value of liabilities estimated from HILDA, the National Accounts and the SIH. More details are contained in the text surrounding this figur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6829869E" w14:textId="602699A3" w:rsidR="00767353" w:rsidRDefault="00767353" w:rsidP="00767353">
      <w:pPr>
        <w:pStyle w:val="Source"/>
      </w:pPr>
      <w:r w:rsidRPr="00696447">
        <w:t xml:space="preserve">Source: </w:t>
      </w:r>
      <w:r w:rsidRPr="0050309F">
        <w:t>Productivity Commission estimates using ABS (</w:t>
      </w:r>
      <w:r w:rsidRPr="00712CCC">
        <w:rPr>
          <w:i/>
          <w:iCs/>
        </w:rPr>
        <w:t>Australian National Accounts: Finance and Wealth</w:t>
      </w:r>
      <w:r w:rsidRPr="00383479">
        <w:rPr>
          <w:i/>
          <w:iCs/>
        </w:rPr>
        <w:t>, June 2021,</w:t>
      </w:r>
      <w:r w:rsidRPr="00712CCC">
        <w:t xml:space="preserve"> Cat. no. 5232.0</w:t>
      </w:r>
      <w:r>
        <w:t>);</w:t>
      </w:r>
      <w:r w:rsidRPr="0050309F">
        <w:t xml:space="preserve"> ABS SIH Basic confidentialised unit record files for </w:t>
      </w:r>
      <w:r>
        <w:t>2017</w:t>
      </w:r>
      <w:r>
        <w:noBreakHyphen/>
        <w:t>18</w:t>
      </w:r>
      <w:r w:rsidRPr="0050309F">
        <w:t xml:space="preserve">; </w:t>
      </w:r>
      <w:r>
        <w:t>HILDA Restricted Release</w:t>
      </w:r>
      <w:r w:rsidRPr="000B5645">
        <w:t xml:space="preserve"> 19</w:t>
      </w:r>
      <w:r>
        <w:t>.</w:t>
      </w:r>
    </w:p>
    <w:p w14:paraId="1C1E389D" w14:textId="77777777" w:rsidR="00767353" w:rsidRDefault="00767353" w:rsidP="00132C71">
      <w:pPr>
        <w:pStyle w:val="Heading2-Appendix"/>
        <w:numPr>
          <w:ilvl w:val="1"/>
          <w:numId w:val="9"/>
        </w:numPr>
      </w:pPr>
      <w:r>
        <w:t>Analysis of probate records</w:t>
      </w:r>
    </w:p>
    <w:p w14:paraId="4E6E9103" w14:textId="77777777" w:rsidR="00767353" w:rsidRPr="006A389E" w:rsidRDefault="00767353" w:rsidP="00767353">
      <w:pPr>
        <w:pStyle w:val="Heading3"/>
      </w:pPr>
      <w:r w:rsidRPr="006A389E">
        <w:t>Who does and does not go through probate?</w:t>
      </w:r>
    </w:p>
    <w:p w14:paraId="02BDFFDA" w14:textId="77777777" w:rsidR="00767353" w:rsidRDefault="00767353" w:rsidP="00767353">
      <w:pPr>
        <w:pStyle w:val="BodyText"/>
      </w:pPr>
      <w:r>
        <w:t xml:space="preserve">A grant of probate certifies a will and allows the executor to administer the estate. </w:t>
      </w:r>
    </w:p>
    <w:p w14:paraId="4E0D06EA" w14:textId="3F60DE55" w:rsidR="00767353" w:rsidRDefault="00767353" w:rsidP="00767353">
      <w:pPr>
        <w:pStyle w:val="BodyText"/>
      </w:pPr>
      <w:r>
        <w:t xml:space="preserve">Not all estates require a grant of probate. When a person dies, and all their assets are held as ‘joint tenants’, the assets are automatically transferred to the joint owner if they are living. However, if the assets are held as ‘tenants in common’ — where each owner owns a specified proportion of the asset — then they may require a grant of probate. Probate is also not required when individuals have transferred assets prior to their death into a trust or when the deceased person’s assets are of low value </w:t>
      </w:r>
      <w:r>
        <w:fldChar w:fldCharType="begin"/>
      </w:r>
      <w:r w:rsidR="0047772E">
        <w:instrText xml:space="preserve"> ADDIN ZOTERO_ITEM CSL_CITATION {"citationID":"CBKphHYk","properties":{"formattedCitation":"(Baker\\uc0\\u160{}2014)","plainCitation":"(Baker 2014)","noteIndex":0},"citationItems":[{"id":1588,"uris":["http://zotero.org/groups/2714158/items/4BCZGUEK"],"uri":["http://zotero.org/groups/2714158/items/4BCZGUEK"],"itemData":{"id":1588,"type":"report","event-place":"Melbourne","publisher":"Asia-Pacific Centre for Social Investment and Philanthropy, Swinburne University of Technology","publisher-place":"Melbourne","title":"Encouraging Charitable Bequests by Australians","URL":"https://www.swinburne.edu.au/media/swinburneeduau/research/research-centres/csis/documents/Encouraging-Charitable-Gifts-by-Australians-Baker.pdf","author":[{"family":"Baker","given":"C."}],"accessed":{"date-parts":[["2021",1,19]]},"issued":{"date-parts":[["2014",2]]}}}],"schema":"https://github.com/citation-style-language/schema/raw/master/csl-citation.json"} </w:instrText>
      </w:r>
      <w:r>
        <w:fldChar w:fldCharType="separate"/>
      </w:r>
      <w:r w:rsidRPr="00457020">
        <w:rPr>
          <w:szCs w:val="24"/>
        </w:rPr>
        <w:t>(Baker 2014)</w:t>
      </w:r>
      <w:r>
        <w:fldChar w:fldCharType="end"/>
      </w:r>
      <w:r>
        <w:t>. The Commission understands that while the amounts vary, a grant of probate tends not to be required when the estate does not contain real estate and the value of each bank account and equity investment is less than about $50 000.</w:t>
      </w:r>
    </w:p>
    <w:p w14:paraId="64CF2C1B" w14:textId="77777777" w:rsidR="00767353" w:rsidRDefault="00767353" w:rsidP="00767353">
      <w:pPr>
        <w:pStyle w:val="Heading3"/>
      </w:pPr>
      <w:r>
        <w:t>How estates are distributed</w:t>
      </w:r>
    </w:p>
    <w:p w14:paraId="7ADBE444" w14:textId="77777777" w:rsidR="00767353" w:rsidRDefault="00767353" w:rsidP="00767353">
      <w:pPr>
        <w:pStyle w:val="BodyText"/>
      </w:pPr>
      <w:r>
        <w:t xml:space="preserve">Probate records contain information about how the estate was distributed. This information can be used to estimate the value that is immediately transferred to younger generations. </w:t>
      </w:r>
    </w:p>
    <w:p w14:paraId="60D10A73" w14:textId="5DC2B629" w:rsidR="00767353" w:rsidRDefault="00767353" w:rsidP="00767353">
      <w:pPr>
        <w:pStyle w:val="BodyText"/>
      </w:pPr>
      <w:r>
        <w:t xml:space="preserve">Wood, Griffiths and Emslie </w:t>
      </w:r>
      <w:r>
        <w:fldChar w:fldCharType="begin"/>
      </w:r>
      <w:r w:rsidR="0047772E">
        <w:instrText xml:space="preserve"> ADDIN ZOTERO_ITEM CSL_CITATION {"citationID":"yMVmiezw","properties":{"formattedCitation":"(2019)","plainCitation":"(2019)","noteIndex":0},"citationItems":[{"id":1565,"uris":["http://zotero.org/groups/2714158/items/DGH2PIV8"],"uri":["http://zotero.org/groups/2714158/items/DGH2PIV8"],"itemData":{"id":1565,"type":"report","number":"2019-07","publisher":"Grattan Institute","title":"Generation Gap: Ensuring a Fair Go for Younger Australians","author":[{"family":"Wood","given":"Danielle"},{"family":"Griffiths","given":"Kate"},{"family":"Emslie","given":"Owain"}],"accessed":{"date-parts":[["2021",2,1]]},"issued":{"date-parts":[["2019",8]]}},"suppress-author":true}],"schema":"https://github.com/citation-style-language/schema/raw/master/csl-citation.json"} </w:instrText>
      </w:r>
      <w:r>
        <w:fldChar w:fldCharType="separate"/>
      </w:r>
      <w:r w:rsidRPr="003C5051">
        <w:t>(2019)</w:t>
      </w:r>
      <w:r>
        <w:fldChar w:fldCharType="end"/>
      </w:r>
      <w:r>
        <w:t xml:space="preserve"> analysed a sample of 526</w:t>
      </w:r>
      <w:r w:rsidR="008E7D98">
        <w:t> </w:t>
      </w:r>
      <w:r>
        <w:t>probate files that were processed in Victoria in 2016. The sample contained 109</w:t>
      </w:r>
      <w:r w:rsidR="008E7D98">
        <w:t> </w:t>
      </w:r>
      <w:r>
        <w:t>first estates (estates of the first spouse to die) and 417</w:t>
      </w:r>
      <w:r w:rsidR="008E7D98">
        <w:t> </w:t>
      </w:r>
      <w:r>
        <w:t xml:space="preserve">final estates (estates for which there is no surviving spouse). </w:t>
      </w:r>
    </w:p>
    <w:p w14:paraId="4E8AC075" w14:textId="77777777" w:rsidR="00767353" w:rsidRPr="005A4B3A" w:rsidRDefault="00767353" w:rsidP="00767353">
      <w:pPr>
        <w:pStyle w:val="BodyText"/>
        <w:rPr>
          <w:spacing w:val="-2"/>
        </w:rPr>
      </w:pPr>
      <w:r w:rsidRPr="005A4B3A">
        <w:rPr>
          <w:spacing w:val="-2"/>
        </w:rPr>
        <w:lastRenderedPageBreak/>
        <w:t>About 25 per cent of first estates required probate. First estates that consist only of jointly owned assets do not require probate because the assets are automatically transferred to the surviving owner(s). About 18 per cent of the value of first estates that required a grant of probate was distributed to younger generations.</w:t>
      </w:r>
    </w:p>
    <w:p w14:paraId="3C062ACF" w14:textId="5613136B" w:rsidR="00767353" w:rsidRDefault="00767353" w:rsidP="00767353">
      <w:pPr>
        <w:pStyle w:val="BodyText"/>
      </w:pPr>
      <w:r>
        <w:t>About 65 per cent of final estates required probate. Final estates that do not require probate tend to be low</w:t>
      </w:r>
      <w:r>
        <w:noBreakHyphen/>
        <w:t>value. About 85 per cent of the value of final estates that required a grant of probate was distributed to younger generations.</w:t>
      </w:r>
    </w:p>
    <w:p w14:paraId="53A52D07" w14:textId="33F7F2D7" w:rsidR="00767353" w:rsidRDefault="00767353" w:rsidP="00767353">
      <w:pPr>
        <w:pStyle w:val="BodyText"/>
      </w:pPr>
      <w:r>
        <w:t>In constructing the estimates of inheritance outflows, two assumptions were made about the distribution of estates that did not require a grant of probate. It was assumed that first estates that did not require probate were transferred in their entirety to the surviving spouse. It was assumed that final estates that did not require probate were distributed in the same way as those that did require probate. Overall, across the five HILDA wealth modules, roughly 51</w:t>
      </w:r>
      <w:r w:rsidR="008E7D98">
        <w:t> </w:t>
      </w:r>
      <w:r>
        <w:t>per</w:t>
      </w:r>
      <w:r w:rsidR="008E7D98">
        <w:t> </w:t>
      </w:r>
      <w:r>
        <w:t>cent of the value of wealth at death was immediately transferred to younger generations.</w:t>
      </w:r>
      <w:r w:rsidRPr="00E0656E">
        <w:rPr>
          <w:rStyle w:val="FootnoteReference"/>
        </w:rPr>
        <w:footnoteReference w:id="49"/>
      </w:r>
    </w:p>
    <w:p w14:paraId="02BD399E" w14:textId="77777777" w:rsidR="00767353" w:rsidRPr="00D266F4" w:rsidRDefault="00767353" w:rsidP="00132C71">
      <w:pPr>
        <w:pStyle w:val="Heading2-Appendix"/>
        <w:numPr>
          <w:ilvl w:val="1"/>
          <w:numId w:val="9"/>
        </w:numPr>
      </w:pPr>
      <w:r>
        <w:t>Apportioning household wealth to individuals</w:t>
      </w:r>
    </w:p>
    <w:p w14:paraId="30580E3C" w14:textId="4EACE22F" w:rsidR="00767353" w:rsidRPr="005A4B3A" w:rsidRDefault="00767353" w:rsidP="00767353">
      <w:pPr>
        <w:pStyle w:val="BodyText"/>
        <w:rPr>
          <w:spacing w:val="-2"/>
        </w:rPr>
      </w:pPr>
      <w:r w:rsidRPr="005A4B3A">
        <w:rPr>
          <w:spacing w:val="-2"/>
        </w:rPr>
        <w:t>Most forms of wealth are reported to the HILDA survey at the household level, but some of the analysis in this study has required estimates of individual wealth holdings</w:t>
      </w:r>
      <w:r w:rsidR="002D5488">
        <w:rPr>
          <w:spacing w:val="-2"/>
        </w:rPr>
        <w:t xml:space="preserve"> —</w:t>
      </w:r>
      <w:r w:rsidR="00AF1671">
        <w:rPr>
          <w:spacing w:val="-2"/>
        </w:rPr>
        <w:t xml:space="preserve"> for example, estimating the value of total wealth at death, which was used to estimate the outflow value of inheritances that are transferred intergenerationally (chapter 1)</w:t>
      </w:r>
      <w:r w:rsidRPr="005A4B3A">
        <w:rPr>
          <w:spacing w:val="-2"/>
        </w:rPr>
        <w:t>. To permit this analysis, household wealth items were apportioned to individuals. This section explains how the wealth was apportioned for each asset class.</w:t>
      </w:r>
      <w:r w:rsidR="00067F40">
        <w:rPr>
          <w:spacing w:val="-2"/>
        </w:rPr>
        <w:t xml:space="preserve"> It is a different process to estimating equivalised wealth.</w:t>
      </w:r>
    </w:p>
    <w:p w14:paraId="3D26D13E" w14:textId="77777777" w:rsidR="00767353" w:rsidRDefault="00767353" w:rsidP="00767353">
      <w:pPr>
        <w:pStyle w:val="ListBullet"/>
      </w:pPr>
      <w:r w:rsidRPr="00A71132">
        <w:rPr>
          <w:i/>
        </w:rPr>
        <w:t>Children’s bank accounts</w:t>
      </w:r>
      <w:r>
        <w:t xml:space="preserve"> were apportioned equally among the children living in the household (those less than 15 years of age).</w:t>
      </w:r>
    </w:p>
    <w:p w14:paraId="1535FFE8" w14:textId="68C9FDDE" w:rsidR="00767353" w:rsidRDefault="00767353" w:rsidP="00767353">
      <w:pPr>
        <w:pStyle w:val="ListBullet"/>
      </w:pPr>
      <w:r w:rsidRPr="00A71132">
        <w:rPr>
          <w:i/>
        </w:rPr>
        <w:t xml:space="preserve">Cash investments </w:t>
      </w:r>
      <w:r>
        <w:t>were allocated in proportion to each household member’s share of income (sources of income are collected at the individual level) from interest earned (only interest exceeding $100</w:t>
      </w:r>
      <w:r w:rsidR="008E7D98">
        <w:t> </w:t>
      </w:r>
      <w:r>
        <w:t>per</w:t>
      </w:r>
      <w:r w:rsidR="008E7D98">
        <w:t> </w:t>
      </w:r>
      <w:r>
        <w:t>annum is reported) from banks and other financial institutions, bonds, debentures, cash management trusts, family or private trusts, or loans. For households that do not report any such income, cash investments were allocated equally among household members who are not children under 15, dependent students, or non</w:t>
      </w:r>
      <w:r>
        <w:noBreakHyphen/>
        <w:t>dependent children.</w:t>
      </w:r>
    </w:p>
    <w:p w14:paraId="53A72C97" w14:textId="71972DFC" w:rsidR="00767353" w:rsidRDefault="00767353" w:rsidP="00767353">
      <w:pPr>
        <w:pStyle w:val="ListBullet"/>
      </w:pPr>
      <w:r w:rsidRPr="00A71132">
        <w:rPr>
          <w:i/>
        </w:rPr>
        <w:t>Equity investments</w:t>
      </w:r>
      <w:r w:rsidRPr="00FE5A7C">
        <w:t xml:space="preserve"> </w:t>
      </w:r>
      <w:r>
        <w:t>we</w:t>
      </w:r>
      <w:r w:rsidRPr="00FE5A7C">
        <w:t xml:space="preserve">re allocated in proportion to each household member’s share of income from dividends earned from company shares, managed funds or property trusts. For households that do not report any such income, equity investments </w:t>
      </w:r>
      <w:r>
        <w:t>we</w:t>
      </w:r>
      <w:r w:rsidRPr="00FE5A7C">
        <w:t>re allocated according to each household member’s share of total dividends and royalties (a broader category</w:t>
      </w:r>
      <w:r>
        <w:t xml:space="preserve"> that may include income from other investments</w:t>
      </w:r>
      <w:r w:rsidRPr="00FE5A7C">
        <w:t xml:space="preserve">, but one that is more widely available as missing values are </w:t>
      </w:r>
      <w:r w:rsidRPr="005A4B3A">
        <w:t>imputed</w:t>
      </w:r>
      <w:r w:rsidRPr="00FE5A7C">
        <w:t xml:space="preserve">). For households for which neither of these variables are available, equity investments </w:t>
      </w:r>
      <w:r>
        <w:t>we</w:t>
      </w:r>
      <w:r w:rsidRPr="00FE5A7C">
        <w:t>re allocated equally among household members who are not children under</w:t>
      </w:r>
      <w:r w:rsidR="008E7D98">
        <w:t> </w:t>
      </w:r>
      <w:r w:rsidRPr="00FE5A7C">
        <w:t>15, dependent students or non</w:t>
      </w:r>
      <w:r>
        <w:noBreakHyphen/>
      </w:r>
      <w:r w:rsidRPr="00FE5A7C">
        <w:t>dependent children.</w:t>
      </w:r>
    </w:p>
    <w:p w14:paraId="4F66775E" w14:textId="1006ACE6" w:rsidR="00767353" w:rsidRDefault="00767353" w:rsidP="00767353">
      <w:pPr>
        <w:pStyle w:val="ListBullet"/>
      </w:pPr>
      <w:r w:rsidRPr="00A71132">
        <w:rPr>
          <w:i/>
        </w:rPr>
        <w:t>Place of residence</w:t>
      </w:r>
      <w:r>
        <w:rPr>
          <w:i/>
        </w:rPr>
        <w:noBreakHyphen/>
      </w:r>
      <w:r w:rsidRPr="00A71132">
        <w:rPr>
          <w:i/>
        </w:rPr>
        <w:t>related assets and debts</w:t>
      </w:r>
      <w:r>
        <w:t xml:space="preserve"> were allocated among household members who were flagged as owning a share of the place of residence according to weights constructed using a variation on the regression method proposed by the United Nations National Transfer Accounts project </w:t>
      </w:r>
      <w:r>
        <w:fldChar w:fldCharType="begin"/>
      </w:r>
      <w:r w:rsidR="0047772E">
        <w:instrText xml:space="preserve"> ADDIN ZOTERO_ITEM CSL_CITATION {"citationID":"MCLf7Ams","properties":{"formattedCitation":"(UN\\uc0\\u160{}2013, p.\\uc0\\u160{}98)","plainCitation":"(UN 2013, p. 98)","noteIndex":0},"citationItems":[{"id":3216,"uris":["http://zotero.org/groups/2714158/items/V8LYMH9L"],"uri":["http://zotero.org/groups/2714158/items/V8LYMH9L"],"itemData":{"id":3216,"type":"report","title":"National Transfer Accounts Manual: Measuring and Analysing the Generational Economy","author":[{"family":"United Nations","given":""}],"translator":[{"family":"UN","given":""}],"accessed":{"date-parts":[["2021",10,13]]},"issued":{"date-parts":[["2013"]]}},"locator":"98"}],"schema":"https://github.com/citation-style-language/schema/raw/master/csl-citation.json"} </w:instrText>
      </w:r>
      <w:r>
        <w:fldChar w:fldCharType="separate"/>
      </w:r>
      <w:r w:rsidRPr="00691FC3">
        <w:rPr>
          <w:szCs w:val="24"/>
        </w:rPr>
        <w:t>(UN 2013, p. 98)</w:t>
      </w:r>
      <w:r>
        <w:fldChar w:fldCharType="end"/>
      </w:r>
      <w:r>
        <w:t>. A ‘correction’ was then made such that in cases where both members of a couple were flagged as owning a share of the place of residence, their shares were equal.</w:t>
      </w:r>
    </w:p>
    <w:p w14:paraId="28FE3B2C" w14:textId="5E84E87E" w:rsidR="00767353" w:rsidRDefault="00767353" w:rsidP="00767353">
      <w:pPr>
        <w:pStyle w:val="ListBullet"/>
      </w:pPr>
      <w:r w:rsidRPr="00A71132">
        <w:rPr>
          <w:i/>
        </w:rPr>
        <w:t>Other property</w:t>
      </w:r>
      <w:r>
        <w:rPr>
          <w:i/>
        </w:rPr>
        <w:noBreakHyphen/>
      </w:r>
      <w:r w:rsidRPr="00A71132">
        <w:rPr>
          <w:i/>
        </w:rPr>
        <w:t>related assets and debts</w:t>
      </w:r>
      <w:r>
        <w:t xml:space="preserve"> were allocated among household members who were flagged as owning a share of an investment property in proportion to their share of income from rent. For households </w:t>
      </w:r>
      <w:r>
        <w:lastRenderedPageBreak/>
        <w:t>that did not report any income from rent, other property</w:t>
      </w:r>
      <w:r>
        <w:noBreakHyphen/>
        <w:t>related assets and debts were allocated equally among household members that were flagged as owning a share of an investment property.</w:t>
      </w:r>
    </w:p>
    <w:p w14:paraId="3C30E1A6" w14:textId="49F09901" w:rsidR="00767353" w:rsidRDefault="00767353" w:rsidP="00767353">
      <w:pPr>
        <w:pStyle w:val="ListBullet"/>
      </w:pPr>
      <w:r w:rsidRPr="00A71132">
        <w:rPr>
          <w:i/>
        </w:rPr>
        <w:t xml:space="preserve">Business assets and debts </w:t>
      </w:r>
      <w:r w:rsidRPr="00A71132">
        <w:t>we</w:t>
      </w:r>
      <w:r w:rsidRPr="00A01F9A">
        <w:t>re</w:t>
      </w:r>
      <w:r w:rsidRPr="00190EB8">
        <w:t xml:space="preserve"> </w:t>
      </w:r>
      <w:r>
        <w:t>allocated in proportion to the average of each household member’s share of income from dividends from incorporated businesses (that is, dividends from non</w:t>
      </w:r>
      <w:r>
        <w:noBreakHyphen/>
        <w:t>listed businesses) and share of income from unincorporated businesses.</w:t>
      </w:r>
      <w:r w:rsidRPr="00E0656E">
        <w:rPr>
          <w:rStyle w:val="FootnoteReference"/>
        </w:rPr>
        <w:footnoteReference w:id="50"/>
      </w:r>
      <w:r>
        <w:t xml:space="preserve"> For households for which neither of these variables were available, business assets and debts were allocated in proportion to each household member’s share of income from owned incorporated businesses (for example, wage/salary income from working for an incorporated business that they owned). For households for which none of these variables were available, business assets and debts were allocated equally among household members who were not children under 15, dependent students or non</w:t>
      </w:r>
      <w:r>
        <w:noBreakHyphen/>
        <w:t>dependent children.</w:t>
      </w:r>
    </w:p>
    <w:p w14:paraId="3A4D6EE7" w14:textId="3D53CA5A" w:rsidR="00767353" w:rsidRPr="005A4B3A" w:rsidRDefault="00767353" w:rsidP="00767353">
      <w:pPr>
        <w:pStyle w:val="ListBullet"/>
        <w:rPr>
          <w:spacing w:val="-4"/>
        </w:rPr>
      </w:pPr>
      <w:r w:rsidRPr="005A4B3A">
        <w:rPr>
          <w:i/>
          <w:spacing w:val="-4"/>
        </w:rPr>
        <w:t>Trust funds, life insurance, collectibles, vehicles</w:t>
      </w:r>
      <w:r w:rsidRPr="005A4B3A">
        <w:rPr>
          <w:i/>
          <w:iCs/>
          <w:spacing w:val="-4"/>
        </w:rPr>
        <w:t xml:space="preserve"> and</w:t>
      </w:r>
      <w:r w:rsidRPr="005A4B3A">
        <w:rPr>
          <w:i/>
          <w:spacing w:val="-4"/>
        </w:rPr>
        <w:t xml:space="preserve"> overdue household bills</w:t>
      </w:r>
      <w:r w:rsidRPr="005A4B3A">
        <w:rPr>
          <w:spacing w:val="-4"/>
        </w:rPr>
        <w:t xml:space="preserve"> were allocated equally among household members who were not children under 15, dependent students, or non</w:t>
      </w:r>
      <w:r w:rsidRPr="005A4B3A">
        <w:rPr>
          <w:spacing w:val="-4"/>
        </w:rPr>
        <w:noBreakHyphen/>
        <w:t>dependent children.</w:t>
      </w:r>
    </w:p>
    <w:p w14:paraId="47A46657" w14:textId="77777777" w:rsidR="00767353" w:rsidRDefault="00767353" w:rsidP="00132C71">
      <w:pPr>
        <w:pStyle w:val="Heading2-Appendix"/>
        <w:numPr>
          <w:ilvl w:val="1"/>
          <w:numId w:val="9"/>
        </w:numPr>
      </w:pPr>
      <w:r>
        <w:t>Further detail on construction of outflow measures</w:t>
      </w:r>
    </w:p>
    <w:p w14:paraId="08F6E9F5" w14:textId="77777777" w:rsidR="00767353" w:rsidRPr="00335DD9" w:rsidRDefault="00767353" w:rsidP="00767353">
      <w:pPr>
        <w:pStyle w:val="BodyText"/>
      </w:pPr>
      <w:r w:rsidRPr="00335DD9">
        <w:t>This section details the construction of the outflow estimate of inheritances based on the HILDA dataset as presented in chapter 1. It also presents an additional estimate derived from the HILDA dataset. The key difference between the two estimates is the way that the probability of death is calculated. The first survey method uses expected deaths in the population (the number of deaths that would occur in the HILDA sample each year based on the total number of deaths that occurred in Australia that year) and the second method uses the actual deaths that have been recorded in the HILDA dataset. This section also details the construction of the outflow estimate of inheritances based primarily on administrative datasets.</w:t>
      </w:r>
    </w:p>
    <w:p w14:paraId="037A0106" w14:textId="77777777" w:rsidR="00767353" w:rsidRPr="00335DD9" w:rsidRDefault="00767353" w:rsidP="00767353">
      <w:pPr>
        <w:pStyle w:val="Heading3"/>
      </w:pPr>
      <w:r w:rsidRPr="00335DD9">
        <w:t>Outflow estimate based on expected deaths</w:t>
      </w:r>
    </w:p>
    <w:p w14:paraId="7A85EC50" w14:textId="77777777" w:rsidR="00767353" w:rsidRDefault="00767353" w:rsidP="00767353">
      <w:pPr>
        <w:pStyle w:val="BodyText"/>
      </w:pPr>
      <w:r>
        <w:t xml:space="preserve">Two steps were required to derive an estimate of inheritance outflows each year based on expected deaths. </w:t>
      </w:r>
    </w:p>
    <w:p w14:paraId="7EC7AE8C" w14:textId="77777777" w:rsidR="00767353" w:rsidRDefault="00767353" w:rsidP="00767353">
      <w:pPr>
        <w:pStyle w:val="BodyText"/>
      </w:pPr>
      <w:r>
        <w:t>First, the wealth held by each person in the HILDA dataset was multiplied by the probability that they died in that year and then scaled to match the total number of deaths reported in Australia. This calculation produced an estimate of total wealth at death. A person’s probability of death was allowed to vary by their gender, single year of age and marital status — the most refined data available from the ABS. The HILDA wealth data was adjusted to include aged care residents’ refundable accommodation deposits, which are a large source of wealth that is not adequately captured by the HILDA survey (section A.1).</w:t>
      </w:r>
    </w:p>
    <w:p w14:paraId="4D8029DE" w14:textId="77777777" w:rsidR="00767353" w:rsidRPr="00821FEF" w:rsidRDefault="00767353" w:rsidP="00767353">
      <w:pPr>
        <w:pStyle w:val="BodyText"/>
      </w:pPr>
      <w:r>
        <w:t>Second, total wealth at death was adjusted in line with the flows in box 1.5 in chapter 1 (apportioning wealth to the next generation based on past outcomes observed in probate data) to leave only an estimate of the share expected to be immediately transferred to younger generations.</w:t>
      </w:r>
    </w:p>
    <w:p w14:paraId="48D310F9" w14:textId="77777777" w:rsidR="00767353" w:rsidRPr="00335DD9" w:rsidRDefault="00767353" w:rsidP="00767353">
      <w:pPr>
        <w:pStyle w:val="Heading3"/>
      </w:pPr>
      <w:r w:rsidRPr="00335DD9">
        <w:t>Outflow estimate based on actual deaths</w:t>
      </w:r>
    </w:p>
    <w:p w14:paraId="643F0CCD" w14:textId="77777777" w:rsidR="00767353" w:rsidRDefault="00767353" w:rsidP="00767353">
      <w:pPr>
        <w:pStyle w:val="BodyText"/>
      </w:pPr>
      <w:r>
        <w:t xml:space="preserve">The outflow estimate based on actual deaths recorded in HILDA also required two steps. </w:t>
      </w:r>
    </w:p>
    <w:p w14:paraId="61DB0756" w14:textId="77777777" w:rsidR="00767353" w:rsidRPr="00AA3A51" w:rsidRDefault="00767353" w:rsidP="00767353">
      <w:pPr>
        <w:pStyle w:val="BodyText"/>
        <w:rPr>
          <w:spacing w:val="-4"/>
        </w:rPr>
      </w:pPr>
      <w:r w:rsidRPr="00AA3A51">
        <w:rPr>
          <w:spacing w:val="-4"/>
        </w:rPr>
        <w:t xml:space="preserve">First, the wealth held by people in the HILDA dataset who are known to have died in the year after their wealth was recorded was scaled to reflect the number of deaths in Australia in the year that they died. This calculation </w:t>
      </w:r>
      <w:r w:rsidRPr="00AA3A51">
        <w:rPr>
          <w:spacing w:val="-4"/>
        </w:rPr>
        <w:lastRenderedPageBreak/>
        <w:t>produced an estimate of total wealth at death. Like the estimate based on expected deaths, the HILDA wealth data was adjusted to include aged care residents’ refundable accommodation deposits (section A.1).</w:t>
      </w:r>
    </w:p>
    <w:p w14:paraId="2AB5598B" w14:textId="77777777" w:rsidR="00767353" w:rsidRDefault="00767353" w:rsidP="00767353">
      <w:pPr>
        <w:pStyle w:val="BodyText"/>
      </w:pPr>
      <w:r>
        <w:t>Consistent with the estimate based on expected deaths, total wealth at death was then adjusted in line with the flows in box 1.5 in chapter 1 to produce an estimate of the share expected to be immediately transferred to younger generations.</w:t>
      </w:r>
    </w:p>
    <w:p w14:paraId="0A38E12C" w14:textId="77777777" w:rsidR="00767353" w:rsidRPr="00023B05" w:rsidRDefault="00767353" w:rsidP="00767353">
      <w:pPr>
        <w:pStyle w:val="Heading3"/>
      </w:pPr>
      <w:r w:rsidRPr="00023B05">
        <w:t>Expected and actual deaths comparison</w:t>
      </w:r>
    </w:p>
    <w:p w14:paraId="432306E3" w14:textId="36313BB9" w:rsidR="00767353" w:rsidRDefault="00767353" w:rsidP="00767353">
      <w:pPr>
        <w:pStyle w:val="BodyText"/>
      </w:pPr>
      <w:r>
        <w:t>The ‘expected deaths’ estimate is the more precise, as it draws on information from the entire HILDA sample (because anyone might die in the following year). By contrast, the ‘actual deaths’ estimate draws on only information about surveyed respondents who die in the following year — about 100</w:t>
      </w:r>
      <w:r w:rsidR="008E7D98">
        <w:t> </w:t>
      </w:r>
      <w:r>
        <w:t>respondents each year. For this reason, there is greater variation over time in the actual deaths estimate than in the expected deaths estimate (figure</w:t>
      </w:r>
      <w:r w:rsidR="008E7D98">
        <w:t> </w:t>
      </w:r>
      <w:r>
        <w:t>A.8).</w:t>
      </w:r>
    </w:p>
    <w:p w14:paraId="31CC0B42" w14:textId="7F514FED"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5E6456">
        <w:t>8</w:t>
      </w:r>
      <w:r>
        <w:rPr>
          <w:noProof/>
        </w:rPr>
        <w:t xml:space="preserve"> </w:t>
      </w:r>
      <w:r>
        <w:t>– Inheritance outflows based on expected deaths are more precise</w:t>
      </w:r>
    </w:p>
    <w:p w14:paraId="7BD89FD1" w14:textId="2F05FB3B" w:rsidR="00767353" w:rsidRPr="005550A0" w:rsidRDefault="00ED1734" w:rsidP="00767353">
      <w:pPr>
        <w:pStyle w:val="BodyText"/>
      </w:pPr>
      <w:r w:rsidRPr="00ED1734">
        <w:rPr>
          <w:noProof/>
        </w:rPr>
        <w:drawing>
          <wp:inline distT="0" distB="0" distL="0" distR="0" wp14:anchorId="321C5EDF" wp14:editId="7CE9172E">
            <wp:extent cx="6120130" cy="2875280"/>
            <wp:effectExtent l="0" t="0" r="0" b="0"/>
            <wp:docPr id="183" name="Picture 183" descr="Figure A.8. This chart shows the estimated value of expected deaths from 2002 to 2018 and actual deaths from 2003 to 2015.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Figure A.8. This chart shows the estimated value of expected deaths from 2002 to 2018 and actual deaths from 2003 to 2015. More details are contained in the text surrounding this figur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407801A6" w14:textId="4101EADA" w:rsidR="00767353" w:rsidRDefault="00767353" w:rsidP="00767353">
      <w:pPr>
        <w:pStyle w:val="Source"/>
      </w:pPr>
      <w:r w:rsidRPr="00696447">
        <w:t xml:space="preserve">Source: </w:t>
      </w:r>
      <w:r>
        <w:t>Productivity Commission estimates based on HILDA Restricted Release</w:t>
      </w:r>
      <w:r w:rsidR="008E7D98">
        <w:t> </w:t>
      </w:r>
      <w:r>
        <w:t>19.</w:t>
      </w:r>
    </w:p>
    <w:p w14:paraId="56E4065C" w14:textId="400D5E5B" w:rsidR="00767353" w:rsidRPr="00F73D09" w:rsidRDefault="00767353" w:rsidP="00767353">
      <w:pPr>
        <w:pStyle w:val="BodyText"/>
        <w:rPr>
          <w:spacing w:val="-4"/>
        </w:rPr>
      </w:pPr>
      <w:r w:rsidRPr="00F73D09">
        <w:rPr>
          <w:spacing w:val="-4"/>
        </w:rPr>
        <w:t>Further, roughly 20</w:t>
      </w:r>
      <w:r w:rsidR="008E7D98">
        <w:rPr>
          <w:spacing w:val="-4"/>
        </w:rPr>
        <w:t> </w:t>
      </w:r>
      <w:r w:rsidRPr="00F73D09">
        <w:rPr>
          <w:spacing w:val="-4"/>
        </w:rPr>
        <w:t>per</w:t>
      </w:r>
      <w:r w:rsidR="008E7D98">
        <w:rPr>
          <w:spacing w:val="-4"/>
        </w:rPr>
        <w:t> </w:t>
      </w:r>
      <w:r w:rsidRPr="00F73D09">
        <w:rPr>
          <w:spacing w:val="-4"/>
        </w:rPr>
        <w:t>cent of the deaths in HILDA were not captured during the survey — a type of survey error. When HILDA was matched to the National Death Index in 2014 a total of 1238</w:t>
      </w:r>
      <w:r w:rsidR="008E7D98">
        <w:rPr>
          <w:spacing w:val="-4"/>
        </w:rPr>
        <w:t> </w:t>
      </w:r>
      <w:r w:rsidRPr="00F73D09">
        <w:rPr>
          <w:spacing w:val="-4"/>
        </w:rPr>
        <w:t>deaths had already been identified through survey fieldwork and the matching process uncovered a further 304</w:t>
      </w:r>
      <w:r w:rsidR="008E7D98">
        <w:rPr>
          <w:spacing w:val="-4"/>
        </w:rPr>
        <w:t> </w:t>
      </w:r>
      <w:r w:rsidRPr="00F73D09">
        <w:rPr>
          <w:spacing w:val="-4"/>
        </w:rPr>
        <w:t>deaths, which represented a 25</w:t>
      </w:r>
      <w:r w:rsidR="008E7D98">
        <w:rPr>
          <w:spacing w:val="-4"/>
        </w:rPr>
        <w:t> </w:t>
      </w:r>
      <w:r w:rsidRPr="00F73D09">
        <w:rPr>
          <w:spacing w:val="-4"/>
        </w:rPr>
        <w:t>per</w:t>
      </w:r>
      <w:r w:rsidR="008E7D98">
        <w:rPr>
          <w:spacing w:val="-4"/>
        </w:rPr>
        <w:t> </w:t>
      </w:r>
      <w:r w:rsidRPr="00F73D09">
        <w:rPr>
          <w:spacing w:val="-4"/>
        </w:rPr>
        <w:t>cent increase in the number of deaths recorded. A correlation between whether a death was uncovered by fieldwork or not and the wealth of that individual would cause a bias in the inheritance outflow estimate based on actual deaths for 2015 because the matching process only matched deaths up until 2013.</w:t>
      </w:r>
    </w:p>
    <w:p w14:paraId="04D4D516" w14:textId="407CFC52" w:rsidR="00767353" w:rsidRDefault="00767353" w:rsidP="00767353">
      <w:pPr>
        <w:pStyle w:val="BodyText"/>
      </w:pPr>
      <w:r>
        <w:t xml:space="preserve">However, the expected deaths estimate is also subject to statistical bias. The expected deaths estimate would have an upward bias (the estimates are too high) if people typically decumulated their wealth in the few months prior to death (perhaps due to higher medical expenses), but the findings of </w:t>
      </w:r>
      <w:r w:rsidRPr="007C4E36">
        <w:t xml:space="preserve">Wu et al. </w:t>
      </w:r>
      <w:r>
        <w:fldChar w:fldCharType="begin"/>
      </w:r>
      <w:r w:rsidR="0047772E">
        <w:instrText xml:space="preserve"> ADDIN ZOTERO_ITEM CSL_CITATION {"citationID":"NtlZk2M8","properties":{"formattedCitation":"(2015)","plainCitation":"(2015)","noteIndex":0},"citationItems":[{"id":1791,"uris":["http://zotero.org/groups/2714158/items/NFJCISXU"],"uri":["http://zotero.org/groups/2714158/items/NFJCISXU"],"itemData":{"id":1791,"type":"report","event-place":"Sydney","genre":"Working Paper Series","language":"en","number":"2015-17","publisher":"ARC Centre of Excellence in Population Ageing Research","publisher-place":"Sydney","source":"papers.ssrn.com","title":"Age Pensioner Profiles: A Longitudinal Study of Income, Assets and Decumulation","author":[{"family":"Wu","given":"Shang"},{"family":"Asher","given":"Anthony"},{"family":"Meyricke","given":"Ramona"},{"family":"Thorp","given":"Susan"}],"accessed":{"date-parts":[["2021",3,24]]},"issued":{"date-parts":[["2015"]]}},"suppress-author":true}],"schema":"https://github.com/citation-style-language/schema/raw/master/csl-citation.json"} </w:instrText>
      </w:r>
      <w:r>
        <w:fldChar w:fldCharType="separate"/>
      </w:r>
      <w:r w:rsidRPr="004775BE">
        <w:t>(2015)</w:t>
      </w:r>
      <w:r>
        <w:fldChar w:fldCharType="end"/>
      </w:r>
      <w:r>
        <w:t xml:space="preserve"> suggest that this is not the case. </w:t>
      </w:r>
    </w:p>
    <w:p w14:paraId="73FF626A" w14:textId="77777777" w:rsidR="00767353" w:rsidRDefault="00767353" w:rsidP="00767353">
      <w:pPr>
        <w:pStyle w:val="BodyText"/>
      </w:pPr>
      <w:r>
        <w:t xml:space="preserve">The expected deaths estimate relies on the assumption that, after controlling for age, gender and marital status, </w:t>
      </w:r>
      <w:r w:rsidRPr="007C4E36">
        <w:t>wealth is not correlated with</w:t>
      </w:r>
      <w:r>
        <w:t xml:space="preserve"> forecasted </w:t>
      </w:r>
      <w:r w:rsidRPr="007C4E36">
        <w:t>probability of death</w:t>
      </w:r>
      <w:r>
        <w:t xml:space="preserve">. This assumption probably also leads to some upward bias in the expected deaths estimate, as our tests find that widowed or otherwise single people </w:t>
      </w:r>
      <w:r>
        <w:lastRenderedPageBreak/>
        <w:t>of the same age and gender who die are probably somewhat poorer than those who do not, although the evidence is not conclusive.</w:t>
      </w:r>
    </w:p>
    <w:p w14:paraId="276F69E8" w14:textId="77777777" w:rsidR="00767353" w:rsidRDefault="00767353" w:rsidP="00767353">
      <w:pPr>
        <w:pStyle w:val="BodyText"/>
      </w:pPr>
      <w:r>
        <w:t>To test the hypothesis that wealth was correlated with forecast probability of death, the following equation was estimated.</w:t>
      </w:r>
    </w:p>
    <w:p w14:paraId="783EA43F" w14:textId="7F625A9C" w:rsidR="00767353" w:rsidRPr="00335DD9" w:rsidRDefault="006B1B97" w:rsidP="00767353">
      <w:pPr>
        <w:pStyle w:val="BodyText"/>
      </w:pPr>
      <m:oMathPara>
        <m:oMath>
          <m:r>
            <w:rPr>
              <w:rFonts w:ascii="Cambria Math" w:hAnsi="Cambria Math"/>
            </w:rPr>
            <m:t>Wealt</m:t>
          </m:r>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Mal</m:t>
          </m:r>
          <m:sSub>
            <m:sSubPr>
              <m:ctrlPr>
                <w:rPr>
                  <w:rFonts w:ascii="Cambria Math" w:hAnsi="Cambria Math"/>
                </w:rPr>
              </m:ctrlPr>
            </m:sSubPr>
            <m:e>
              <m:r>
                <w:rPr>
                  <w:rFonts w:ascii="Cambria Math" w:hAnsi="Cambria Math"/>
                </w:rPr>
                <m:t>e</m:t>
              </m:r>
            </m:e>
            <m:sub>
              <m:r>
                <w:rPr>
                  <w:rFonts w:ascii="Cambria Math" w:hAnsi="Cambria Math"/>
                </w:rPr>
                <m:t>i</m:t>
              </m:r>
            </m:sub>
          </m:sSub>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=14</m:t>
              </m:r>
            </m:sub>
            <m:sup>
              <m:r>
                <m:rPr>
                  <m:sty m:val="p"/>
                </m:rPr>
                <w:rPr>
                  <w:rFonts w:ascii="Cambria Math" w:hAnsi="Cambria Math"/>
                </w:rPr>
                <m:t>99</m:t>
              </m:r>
            </m:sup>
            <m:e>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Ag</m:t>
              </m:r>
              <m:sSub>
                <m:sSubPr>
                  <m:ctrlPr>
                    <w:rPr>
                      <w:rFonts w:ascii="Cambria Math" w:hAnsi="Cambria Math"/>
                    </w:rPr>
                  </m:ctrlPr>
                </m:sSubPr>
                <m:e>
                  <m:r>
                    <w:rPr>
                      <w:rFonts w:ascii="Cambria Math" w:hAnsi="Cambria Math"/>
                    </w:rPr>
                    <m:t>e</m:t>
                  </m:r>
                </m:e>
                <m:sub>
                  <m:r>
                    <w:rPr>
                      <w:rFonts w:ascii="Cambria Math" w:hAnsi="Cambria Math"/>
                    </w:rPr>
                    <m:t>i,j</m:t>
                  </m:r>
                </m:sub>
              </m:sSub>
            </m:e>
          </m:nary>
          <m:r>
            <m:rPr>
              <m:sty m:val="p"/>
            </m:rPr>
            <w:rPr>
              <w:rFonts w:ascii="Cambria Math" w:hAnsi="Cambria Math"/>
            </w:rPr>
            <m:t>+</m:t>
          </m:r>
          <m:r>
            <w:rPr>
              <w:rFonts w:ascii="Cambria Math" w:hAnsi="Cambria Math"/>
            </w:rPr>
            <m:t>Femal</m:t>
          </m:r>
          <m:sSub>
            <m:sSubPr>
              <m:ctrlPr>
                <w:rPr>
                  <w:rFonts w:ascii="Cambria Math" w:hAnsi="Cambria Math"/>
                </w:rPr>
              </m:ctrlPr>
            </m:sSubPr>
            <m:e>
              <m:r>
                <w:rPr>
                  <w:rFonts w:ascii="Cambria Math" w:hAnsi="Cambria Math"/>
                </w:rPr>
                <m:t>e</m:t>
              </m:r>
            </m:e>
            <m:sub>
              <m:r>
                <w:rPr>
                  <w:rFonts w:ascii="Cambria Math" w:hAnsi="Cambria Math"/>
                </w:rPr>
                <m:t>i</m:t>
              </m:r>
            </m:sub>
          </m:sSub>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=14</m:t>
              </m:r>
            </m:sub>
            <m:sup>
              <m:r>
                <m:rPr>
                  <m:sty m:val="p"/>
                </m:rPr>
                <w:rPr>
                  <w:rFonts w:ascii="Cambria Math" w:hAnsi="Cambria Math"/>
                </w:rPr>
                <m:t>99</m:t>
              </m:r>
            </m:sup>
            <m:e>
              <m:sSub>
                <m:sSubPr>
                  <m:ctrlPr>
                    <w:rPr>
                      <w:rFonts w:ascii="Cambria Math" w:hAnsi="Cambria Math"/>
                      <w:i/>
                    </w:rPr>
                  </m:ctrlPr>
                </m:sSubPr>
                <m:e>
                  <m:r>
                    <w:rPr>
                      <w:rFonts w:ascii="Cambria Math" w:hAnsi="Cambria Math"/>
                    </w:rPr>
                    <m:t>γ</m:t>
                  </m:r>
                </m:e>
                <m:sub>
                  <m:r>
                    <w:rPr>
                      <w:rFonts w:ascii="Cambria Math" w:hAnsi="Cambria Math"/>
                    </w:rPr>
                    <m:t>j</m:t>
                  </m:r>
                </m:sub>
              </m:sSub>
              <m:r>
                <w:rPr>
                  <w:rFonts w:ascii="Cambria Math" w:hAnsi="Cambria Math"/>
                </w:rPr>
                <m:t>Ag</m:t>
              </m:r>
              <m:sSub>
                <m:sSubPr>
                  <m:ctrlPr>
                    <w:rPr>
                      <w:rFonts w:ascii="Cambria Math" w:hAnsi="Cambria Math"/>
                    </w:rPr>
                  </m:ctrlPr>
                </m:sSubPr>
                <m:e>
                  <m:r>
                    <w:rPr>
                      <w:rFonts w:ascii="Cambria Math" w:hAnsi="Cambria Math"/>
                    </w:rPr>
                    <m:t>e</m:t>
                  </m:r>
                </m:e>
                <m:sub>
                  <m:r>
                    <w:rPr>
                      <w:rFonts w:ascii="Cambria Math" w:hAnsi="Cambria Math"/>
                    </w:rPr>
                    <m:t>i,j</m:t>
                  </m:r>
                </m:sub>
              </m:sSub>
            </m:e>
          </m:nary>
          <m:r>
            <m:rPr>
              <m:sty m:val="p"/>
            </m:rPr>
            <w:rPr>
              <w:rFonts w:ascii="Cambria Math" w:hAnsi="Cambria Math"/>
            </w:rPr>
            <m:t>+</m:t>
          </m:r>
          <m:r>
            <w:rPr>
              <w:rFonts w:ascii="Cambria Math" w:hAnsi="Cambria Math"/>
            </w:rPr>
            <m:t>δDie</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m:t>
              </m:r>
            </m:sub>
          </m:sSub>
        </m:oMath>
      </m:oMathPara>
    </w:p>
    <w:p w14:paraId="16300338" w14:textId="77777777" w:rsidR="00767353" w:rsidRDefault="00767353" w:rsidP="00767353">
      <w:pPr>
        <w:pStyle w:val="BodyText"/>
      </w:pPr>
      <w:r>
        <w:t>Where:</w:t>
      </w:r>
    </w:p>
    <w:p w14:paraId="4AF83869" w14:textId="77777777" w:rsidR="00767353" w:rsidRPr="00335DD9" w:rsidRDefault="00767353" w:rsidP="00767353">
      <w:pPr>
        <w:pStyle w:val="ListBullet"/>
      </w:pPr>
      <m:oMath>
        <m:r>
          <w:rPr>
            <w:rFonts w:ascii="Cambria Math" w:hAnsi="Cambria Math"/>
          </w:rPr>
          <m:t>Wealt</m:t>
        </m:r>
        <m:sSub>
          <m:sSubPr>
            <m:ctrlPr>
              <w:rPr>
                <w:rFonts w:ascii="Cambria Math" w:hAnsi="Cambria Math"/>
              </w:rPr>
            </m:ctrlPr>
          </m:sSubPr>
          <m:e>
            <m:r>
              <w:rPr>
                <w:rFonts w:ascii="Cambria Math" w:hAnsi="Cambria Math"/>
              </w:rPr>
              <m:t>h</m:t>
            </m:r>
          </m:e>
          <m:sub>
            <m:r>
              <w:rPr>
                <w:rFonts w:ascii="Cambria Math" w:hAnsi="Cambria Math"/>
              </w:rPr>
              <m:t>i</m:t>
            </m:r>
          </m:sub>
        </m:sSub>
      </m:oMath>
      <w:r w:rsidRPr="00335DD9">
        <w:t xml:space="preserve"> is the wealth of person </w:t>
      </w:r>
      <m:oMath>
        <m:r>
          <w:rPr>
            <w:rFonts w:ascii="Cambria Math" w:hAnsi="Cambria Math"/>
          </w:rPr>
          <m:t>i</m:t>
        </m:r>
      </m:oMath>
      <w:r w:rsidRPr="00335DD9">
        <w:t xml:space="preserve"> in the most recent wave that it was recorded.</w:t>
      </w:r>
    </w:p>
    <w:p w14:paraId="2F98EF69" w14:textId="77777777" w:rsidR="00767353" w:rsidRPr="00DD08A3" w:rsidRDefault="00767353" w:rsidP="00767353">
      <w:pPr>
        <w:pStyle w:val="ListBullet"/>
      </w:pPr>
      <m:oMath>
        <m:r>
          <w:rPr>
            <w:rFonts w:ascii="Cambria Math" w:hAnsi="Cambria Math"/>
          </w:rPr>
          <m:t>Mal</m:t>
        </m:r>
        <m:sSub>
          <m:sSubPr>
            <m:ctrlPr>
              <w:rPr>
                <w:rFonts w:ascii="Cambria Math" w:hAnsi="Cambria Math"/>
              </w:rPr>
            </m:ctrlPr>
          </m:sSubPr>
          <m:e>
            <m:r>
              <w:rPr>
                <w:rFonts w:ascii="Cambria Math" w:hAnsi="Cambria Math"/>
              </w:rPr>
              <m:t>e</m:t>
            </m:r>
          </m:e>
          <m:sub>
            <m:r>
              <w:rPr>
                <w:rFonts w:ascii="Cambria Math" w:hAnsi="Cambria Math"/>
              </w:rPr>
              <m:t>i</m:t>
            </m:r>
          </m:sub>
        </m:sSub>
      </m:oMath>
      <w:r w:rsidRPr="00DD08A3">
        <w:t xml:space="preserve"> and </w:t>
      </w:r>
      <m:oMath>
        <m:r>
          <w:rPr>
            <w:rFonts w:ascii="Cambria Math" w:hAnsi="Cambria Math"/>
          </w:rPr>
          <m:t>Femal</m:t>
        </m:r>
        <m:sSub>
          <m:sSubPr>
            <m:ctrlPr>
              <w:rPr>
                <w:rFonts w:ascii="Cambria Math" w:hAnsi="Cambria Math"/>
              </w:rPr>
            </m:ctrlPr>
          </m:sSubPr>
          <m:e>
            <m:r>
              <w:rPr>
                <w:rFonts w:ascii="Cambria Math" w:hAnsi="Cambria Math"/>
              </w:rPr>
              <m:t>e</m:t>
            </m:r>
          </m:e>
          <m:sub>
            <m:r>
              <w:rPr>
                <w:rFonts w:ascii="Cambria Math" w:hAnsi="Cambria Math"/>
              </w:rPr>
              <m:t>i</m:t>
            </m:r>
          </m:sub>
        </m:sSub>
      </m:oMath>
      <w:r w:rsidRPr="00DD08A3">
        <w:t xml:space="preserve"> are indicator variables for sex.</w:t>
      </w:r>
    </w:p>
    <w:p w14:paraId="19254BC4" w14:textId="64700496" w:rsidR="00767353" w:rsidRPr="00DD08A3" w:rsidRDefault="00B2270C" w:rsidP="00767353">
      <w:pPr>
        <w:pStyle w:val="ListBullet"/>
      </w:pP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=14</m:t>
            </m:r>
          </m:sub>
          <m:sup>
            <m:r>
              <m:rPr>
                <m:sty m:val="p"/>
              </m:rPr>
              <w:rPr>
                <w:rFonts w:ascii="Cambria Math" w:hAnsi="Cambria Math"/>
              </w:rPr>
              <m:t>99</m:t>
            </m:r>
          </m:sup>
          <m:e>
            <m:r>
              <w:rPr>
                <w:rFonts w:ascii="Cambria Math" w:hAnsi="Cambria Math"/>
              </w:rPr>
              <m:t>Ag</m:t>
            </m:r>
            <m:sSub>
              <m:sSubPr>
                <m:ctrlPr>
                  <w:rPr>
                    <w:rFonts w:ascii="Cambria Math" w:hAnsi="Cambria Math"/>
                  </w:rPr>
                </m:ctrlPr>
              </m:sSubPr>
              <m:e>
                <m:r>
                  <w:rPr>
                    <w:rFonts w:ascii="Cambria Math" w:hAnsi="Cambria Math"/>
                  </w:rPr>
                  <m:t>e</m:t>
                </m:r>
              </m:e>
              <m:sub>
                <m:r>
                  <w:rPr>
                    <w:rFonts w:ascii="Cambria Math" w:hAnsi="Cambria Math"/>
                  </w:rPr>
                  <m:t>i,j</m:t>
                </m:r>
              </m:sub>
            </m:sSub>
          </m:e>
        </m:nary>
      </m:oMath>
      <w:r w:rsidR="00767353" w:rsidRPr="00DD08A3">
        <w:t xml:space="preserve"> is a collection of 86</w:t>
      </w:r>
      <w:r w:rsidR="008E7D98">
        <w:t> </w:t>
      </w:r>
      <w:r w:rsidR="00767353" w:rsidRPr="00DD08A3">
        <w:t>indicator variables for every age between 14 and 99 — the youngest and oldest age recorded in the relevant sample.</w:t>
      </w:r>
    </w:p>
    <w:p w14:paraId="46D84FA8" w14:textId="77777777" w:rsidR="00767353" w:rsidRPr="00335DD9" w:rsidRDefault="00767353" w:rsidP="00767353">
      <w:pPr>
        <w:pStyle w:val="ListBullet"/>
      </w:pPr>
      <m:oMath>
        <m:r>
          <w:rPr>
            <w:rFonts w:ascii="Cambria Math" w:hAnsi="Cambria Math"/>
          </w:rPr>
          <m:t>Die</m:t>
        </m:r>
        <m:sSub>
          <m:sSubPr>
            <m:ctrlPr>
              <w:rPr>
                <w:rFonts w:ascii="Cambria Math" w:hAnsi="Cambria Math"/>
              </w:rPr>
            </m:ctrlPr>
          </m:sSubPr>
          <m:e>
            <m:r>
              <w:rPr>
                <w:rFonts w:ascii="Cambria Math" w:hAnsi="Cambria Math"/>
              </w:rPr>
              <m:t>d</m:t>
            </m:r>
          </m:e>
          <m:sub>
            <m:r>
              <w:rPr>
                <w:rFonts w:ascii="Cambria Math" w:hAnsi="Cambria Math"/>
              </w:rPr>
              <m:t>i</m:t>
            </m:r>
          </m:sub>
        </m:sSub>
      </m:oMath>
      <w:r w:rsidRPr="00DD08A3">
        <w:t xml:space="preserve"> is an indicator variable for whether person </w:t>
      </w:r>
      <m:oMath>
        <m:r>
          <w:rPr>
            <w:rFonts w:ascii="Cambria Math" w:hAnsi="Cambria Math"/>
          </w:rPr>
          <m:t>i</m:t>
        </m:r>
      </m:oMath>
      <w:r w:rsidRPr="00335DD9">
        <w:t xml:space="preserve"> died that year — using actual deaths recorded in the HILDA dataset.</w:t>
      </w:r>
    </w:p>
    <w:p w14:paraId="7374B55F" w14:textId="70E72D77" w:rsidR="00767353" w:rsidRDefault="00767353" w:rsidP="00767353">
      <w:pPr>
        <w:pStyle w:val="BodyText"/>
      </w:pPr>
      <w:r>
        <w:t>The regression was restricted to single persons because they are responsible for most wealth that is transferred between generations.</w:t>
      </w:r>
      <w:r w:rsidRPr="00E0656E">
        <w:rPr>
          <w:rStyle w:val="FootnoteReference"/>
        </w:rPr>
        <w:footnoteReference w:id="51"/>
      </w:r>
      <w:r>
        <w:t xml:space="preserve"> The regression produced a large negative relationship between death and wealth. Someone who died had, on average, $72 000, or almost 40 per cent, less wealth than someone who did not. However, the result was not statistically significant (table</w:t>
      </w:r>
      <w:r w:rsidR="008E7D98">
        <w:t> </w:t>
      </w:r>
      <w:r>
        <w:t>A.1).</w:t>
      </w:r>
    </w:p>
    <w:p w14:paraId="5F5EF971" w14:textId="1F888A91" w:rsidR="00767353" w:rsidRDefault="00767353" w:rsidP="00767353">
      <w:pPr>
        <w:pStyle w:val="FigureTableHeading"/>
        <w:spacing w:after="120"/>
      </w:pPr>
      <w:r>
        <w:t xml:space="preserve">Table </w:t>
      </w:r>
      <w:r w:rsidR="00B2270C">
        <w:fldChar w:fldCharType="begin"/>
      </w:r>
      <w:r w:rsidR="00B2270C">
        <w:instrText xml:space="preserve"> STYLEREF  \s Heading-Appendix </w:instrText>
      </w:r>
      <w:r w:rsidR="00B2270C">
        <w:fldChar w:fldCharType="separate"/>
      </w:r>
      <w:r w:rsidR="00F3386D">
        <w:rPr>
          <w:noProof/>
        </w:rPr>
        <w:t>A</w:t>
      </w:r>
      <w:r w:rsidR="00B2270C">
        <w:rPr>
          <w:noProof/>
        </w:rPr>
        <w:fldChar w:fldCharType="end"/>
      </w:r>
      <w:r>
        <w:t>.</w:t>
      </w:r>
      <w:r w:rsidR="005E6456">
        <w:t>1</w:t>
      </w:r>
      <w:r>
        <w:rPr>
          <w:noProof/>
        </w:rPr>
        <w:t xml:space="preserve"> – </w:t>
      </w:r>
      <w:r>
        <w:t>People who die tend to have less wealth than their peers, but the relationship is not statistically significant</w:t>
      </w:r>
      <w:r w:rsidRPr="00EC0C27">
        <w:rPr>
          <w:vertAlign w:val="superscript"/>
        </w:rPr>
        <w:t>a,b</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4821"/>
        <w:gridCol w:w="4817"/>
      </w:tblGrid>
      <w:tr w:rsidR="00767353" w:rsidRPr="00445C88" w14:paraId="3BA32066" w14:textId="77777777" w:rsidTr="00604051">
        <w:trPr>
          <w:tblHeader/>
        </w:trPr>
        <w:tc>
          <w:tcPr>
            <w:tcW w:w="2501" w:type="pct"/>
            <w:tcBorders>
              <w:bottom w:val="single" w:sz="4" w:space="0" w:color="B3B3B3"/>
            </w:tcBorders>
            <w:shd w:val="clear" w:color="auto" w:fill="auto"/>
            <w:tcMar>
              <w:top w:w="28" w:type="dxa"/>
            </w:tcMar>
          </w:tcPr>
          <w:p w14:paraId="59944EAC" w14:textId="77777777" w:rsidR="00767353" w:rsidRPr="00445C88" w:rsidRDefault="00767353" w:rsidP="00604051">
            <w:pPr>
              <w:pStyle w:val="TableColumnHeading"/>
              <w:spacing w:before="45" w:after="45"/>
              <w:ind w:left="57" w:right="108"/>
              <w:jc w:val="left"/>
              <w:rPr>
                <w:rFonts w:ascii="Arial (Body)" w:hAnsi="Arial (Body)"/>
                <w:b/>
                <w:i w:val="0"/>
                <w:color w:val="265A9A"/>
              </w:rPr>
            </w:pPr>
            <w:r w:rsidRPr="00445C88">
              <w:rPr>
                <w:rFonts w:ascii="Arial (Body)" w:hAnsi="Arial (Body)"/>
                <w:b/>
                <w:i w:val="0"/>
                <w:color w:val="265A9A"/>
              </w:rPr>
              <w:t>Explanatory variable</w:t>
            </w:r>
          </w:p>
        </w:tc>
        <w:tc>
          <w:tcPr>
            <w:tcW w:w="2499" w:type="pct"/>
            <w:tcBorders>
              <w:bottom w:val="single" w:sz="4" w:space="0" w:color="B3B3B3"/>
            </w:tcBorders>
            <w:shd w:val="clear" w:color="auto" w:fill="auto"/>
          </w:tcPr>
          <w:p w14:paraId="299B0888" w14:textId="77777777" w:rsidR="00767353" w:rsidRPr="00445C88" w:rsidRDefault="00767353" w:rsidP="00604051">
            <w:pPr>
              <w:pStyle w:val="TableColumnHeading"/>
              <w:spacing w:before="45" w:after="45"/>
              <w:ind w:left="57" w:right="108"/>
              <w:rPr>
                <w:rFonts w:ascii="Arial (Body)" w:hAnsi="Arial (Body)"/>
                <w:b/>
                <w:i w:val="0"/>
                <w:color w:val="265A9A"/>
              </w:rPr>
            </w:pPr>
            <w:r w:rsidRPr="00445C88">
              <w:rPr>
                <w:rFonts w:ascii="Arial (Body)" w:hAnsi="Arial (Body)"/>
                <w:b/>
                <w:i w:val="0"/>
                <w:color w:val="265A9A"/>
              </w:rPr>
              <w:t>Estimated coefficient</w:t>
            </w:r>
          </w:p>
        </w:tc>
      </w:tr>
      <w:tr w:rsidR="00767353" w:rsidRPr="00445C88" w14:paraId="777F3C33" w14:textId="77777777" w:rsidTr="00604051">
        <w:tc>
          <w:tcPr>
            <w:tcW w:w="2501" w:type="pct"/>
            <w:tcBorders>
              <w:top w:val="single" w:sz="4" w:space="0" w:color="B3B3B3"/>
              <w:bottom w:val="nil"/>
            </w:tcBorders>
            <w:shd w:val="clear" w:color="auto" w:fill="F1F1F1"/>
          </w:tcPr>
          <w:p w14:paraId="7C1EBE78" w14:textId="77777777" w:rsidR="00767353" w:rsidRPr="00F15C0E" w:rsidRDefault="00767353" w:rsidP="00604051">
            <w:pPr>
              <w:pStyle w:val="TableUnitsRow"/>
              <w:spacing w:before="45" w:after="45"/>
              <w:ind w:left="57" w:right="108"/>
              <w:jc w:val="left"/>
              <w:rPr>
                <w:rFonts w:asciiTheme="minorHAnsi" w:hAnsiTheme="minorHAnsi" w:cstheme="minorHAnsi"/>
                <w:bCs/>
              </w:rPr>
            </w:pPr>
            <m:oMathPara>
              <m:oMathParaPr>
                <m:jc m:val="left"/>
              </m:oMathParaPr>
              <m:oMath>
                <m:r>
                  <m:rPr>
                    <m:sty m:val="p"/>
                  </m:rPr>
                  <w:rPr>
                    <w:rFonts w:ascii="Cambria Math" w:hAnsi="Cambria Math" w:cstheme="minorHAnsi"/>
                  </w:rPr>
                  <m:t>Constant</m:t>
                </m:r>
              </m:oMath>
            </m:oMathPara>
          </w:p>
        </w:tc>
        <w:tc>
          <w:tcPr>
            <w:tcW w:w="2499" w:type="pct"/>
            <w:tcBorders>
              <w:top w:val="single" w:sz="4" w:space="0" w:color="B3B3B3"/>
              <w:bottom w:val="nil"/>
            </w:tcBorders>
            <w:shd w:val="clear" w:color="auto" w:fill="F1F1F1"/>
          </w:tcPr>
          <w:p w14:paraId="427E047E" w14:textId="77777777" w:rsidR="00767353" w:rsidRPr="00445C88" w:rsidRDefault="00767353" w:rsidP="00604051">
            <w:pPr>
              <w:pStyle w:val="TableUnitsRow"/>
              <w:spacing w:before="45" w:after="45"/>
              <w:ind w:left="57" w:right="108"/>
              <w:rPr>
                <w:rFonts w:ascii="Arial (Body)" w:hAnsi="Arial (Body)"/>
                <w:bCs/>
                <w:color w:val="000000"/>
              </w:rPr>
            </w:pPr>
            <w:r w:rsidRPr="00445C88">
              <w:rPr>
                <w:rFonts w:ascii="Arial (Body)" w:hAnsi="Arial (Body)"/>
                <w:bCs/>
                <w:color w:val="000000"/>
              </w:rPr>
              <w:t>192 755***</w:t>
            </w:r>
          </w:p>
        </w:tc>
      </w:tr>
      <w:tr w:rsidR="00767353" w:rsidRPr="00445C88" w14:paraId="4D5D3379" w14:textId="77777777" w:rsidTr="00604051">
        <w:tc>
          <w:tcPr>
            <w:tcW w:w="2501" w:type="pct"/>
            <w:tcBorders>
              <w:top w:val="nil"/>
              <w:bottom w:val="nil"/>
            </w:tcBorders>
            <w:shd w:val="clear" w:color="auto" w:fill="auto"/>
          </w:tcPr>
          <w:p w14:paraId="673555FA" w14:textId="77777777" w:rsidR="00767353" w:rsidRPr="00F15C0E" w:rsidRDefault="00767353" w:rsidP="00604051">
            <w:pPr>
              <w:pStyle w:val="TableBodyText"/>
              <w:spacing w:before="45" w:after="45"/>
              <w:ind w:left="57" w:right="108"/>
              <w:jc w:val="left"/>
              <w:rPr>
                <w:rFonts w:asciiTheme="minorHAnsi" w:hAnsiTheme="minorHAnsi" w:cstheme="minorHAnsi"/>
                <w:bCs/>
              </w:rPr>
            </w:pPr>
          </w:p>
        </w:tc>
        <w:tc>
          <w:tcPr>
            <w:tcW w:w="2499" w:type="pct"/>
            <w:tcBorders>
              <w:top w:val="nil"/>
              <w:bottom w:val="nil"/>
            </w:tcBorders>
            <w:shd w:val="clear" w:color="auto" w:fill="auto"/>
          </w:tcPr>
          <w:p w14:paraId="043055EE" w14:textId="77777777" w:rsidR="00767353" w:rsidRPr="00445C88" w:rsidRDefault="00767353" w:rsidP="00604051">
            <w:pPr>
              <w:pStyle w:val="TableBodyText"/>
              <w:spacing w:before="45" w:after="45"/>
              <w:ind w:left="57" w:right="108"/>
              <w:rPr>
                <w:rFonts w:ascii="Arial (Body)" w:hAnsi="Arial (Body)"/>
                <w:color w:val="000000"/>
              </w:rPr>
            </w:pPr>
            <w:r w:rsidRPr="00445C88">
              <w:rPr>
                <w:rFonts w:ascii="Arial (Body)" w:hAnsi="Arial (Body)"/>
                <w:color w:val="000000"/>
              </w:rPr>
              <w:t>(75 054.8)</w:t>
            </w:r>
          </w:p>
        </w:tc>
      </w:tr>
      <w:tr w:rsidR="00767353" w:rsidRPr="00445C88" w14:paraId="595F0743" w14:textId="77777777" w:rsidTr="00604051">
        <w:tc>
          <w:tcPr>
            <w:tcW w:w="2501" w:type="pct"/>
            <w:tcBorders>
              <w:top w:val="nil"/>
              <w:bottom w:val="nil"/>
            </w:tcBorders>
            <w:shd w:val="clear" w:color="auto" w:fill="F1F1F1"/>
          </w:tcPr>
          <w:p w14:paraId="0B8C82A6" w14:textId="77777777" w:rsidR="00767353" w:rsidRPr="00F15C0E" w:rsidRDefault="00767353" w:rsidP="00604051">
            <w:pPr>
              <w:pStyle w:val="TableBodyText"/>
              <w:spacing w:before="45" w:after="45"/>
              <w:ind w:left="57" w:right="108"/>
              <w:jc w:val="left"/>
              <w:rPr>
                <w:rFonts w:asciiTheme="minorHAnsi" w:hAnsiTheme="minorHAnsi" w:cstheme="minorHAnsi"/>
                <w:bCs/>
              </w:rPr>
            </w:pPr>
            <m:oMathPara>
              <m:oMathParaPr>
                <m:jc m:val="left"/>
              </m:oMathParaPr>
              <m:oMath>
                <m:r>
                  <m:rPr>
                    <m:sty m:val="p"/>
                  </m:rPr>
                  <w:rPr>
                    <w:rFonts w:ascii="Cambria Math" w:hAnsi="Cambria Math" w:cstheme="minorHAnsi"/>
                  </w:rPr>
                  <m:t>Died</m:t>
                </m:r>
              </m:oMath>
            </m:oMathPara>
          </w:p>
        </w:tc>
        <w:tc>
          <w:tcPr>
            <w:tcW w:w="2499" w:type="pct"/>
            <w:tcBorders>
              <w:top w:val="nil"/>
              <w:bottom w:val="nil"/>
            </w:tcBorders>
            <w:shd w:val="clear" w:color="auto" w:fill="F1F1F1"/>
          </w:tcPr>
          <w:p w14:paraId="287CDE0B" w14:textId="77777777" w:rsidR="00767353" w:rsidRPr="00445C88" w:rsidRDefault="00767353" w:rsidP="00604051">
            <w:pPr>
              <w:pStyle w:val="TableBodyText"/>
              <w:spacing w:before="45" w:after="45"/>
              <w:ind w:left="57" w:right="108"/>
              <w:rPr>
                <w:rFonts w:ascii="Arial (Body)" w:hAnsi="Arial (Body)"/>
                <w:color w:val="000000"/>
              </w:rPr>
            </w:pPr>
            <w:r w:rsidRPr="00445C88">
              <w:rPr>
                <w:rFonts w:ascii="Arial (Body)" w:hAnsi="Arial (Body)"/>
                <w:bCs/>
                <w:color w:val="000000"/>
              </w:rPr>
              <w:noBreakHyphen/>
              <w:t>71 643.6</w:t>
            </w:r>
          </w:p>
        </w:tc>
      </w:tr>
      <w:tr w:rsidR="00767353" w:rsidRPr="00445C88" w14:paraId="605A560D" w14:textId="77777777" w:rsidTr="00604051">
        <w:tc>
          <w:tcPr>
            <w:tcW w:w="2501" w:type="pct"/>
            <w:tcBorders>
              <w:top w:val="nil"/>
            </w:tcBorders>
            <w:shd w:val="clear" w:color="auto" w:fill="auto"/>
          </w:tcPr>
          <w:p w14:paraId="2DA6892E" w14:textId="77777777" w:rsidR="00767353" w:rsidRPr="00445C88" w:rsidRDefault="00767353" w:rsidP="00604051">
            <w:pPr>
              <w:pStyle w:val="TableBodyText"/>
              <w:spacing w:before="45" w:after="45"/>
              <w:ind w:left="57" w:right="108"/>
              <w:jc w:val="left"/>
              <w:rPr>
                <w:rFonts w:ascii="Arial (Body)" w:hAnsi="Arial (Body)"/>
                <w:b/>
                <w:color w:val="265A9A"/>
              </w:rPr>
            </w:pPr>
          </w:p>
        </w:tc>
        <w:tc>
          <w:tcPr>
            <w:tcW w:w="2499" w:type="pct"/>
            <w:tcBorders>
              <w:top w:val="nil"/>
            </w:tcBorders>
            <w:shd w:val="clear" w:color="auto" w:fill="auto"/>
          </w:tcPr>
          <w:p w14:paraId="68E97C81" w14:textId="77777777" w:rsidR="00767353" w:rsidRPr="00445C88" w:rsidRDefault="00767353" w:rsidP="00604051">
            <w:pPr>
              <w:pStyle w:val="TableBodyText"/>
              <w:spacing w:before="45" w:after="45"/>
              <w:ind w:left="57" w:right="108"/>
              <w:rPr>
                <w:rFonts w:ascii="Arial (Body)" w:hAnsi="Arial (Body)"/>
                <w:color w:val="000000"/>
              </w:rPr>
            </w:pPr>
            <w:r w:rsidRPr="00445C88">
              <w:rPr>
                <w:rFonts w:ascii="Arial (Body)" w:hAnsi="Arial (Body)"/>
                <w:color w:val="000000"/>
              </w:rPr>
              <w:t>(55 147.61)</w:t>
            </w:r>
          </w:p>
        </w:tc>
      </w:tr>
    </w:tbl>
    <w:p w14:paraId="04A40DDD" w14:textId="77777777" w:rsidR="00767353" w:rsidRDefault="00767353" w:rsidP="00767353">
      <w:pPr>
        <w:pStyle w:val="Note"/>
      </w:pPr>
      <w:r w:rsidRPr="00C36914">
        <w:rPr>
          <w:b/>
          <w:bCs/>
        </w:rPr>
        <w:t>a.</w:t>
      </w:r>
      <w:r w:rsidRPr="00C36914">
        <w:t xml:space="preserve"> </w:t>
      </w:r>
      <w:r>
        <w:t>Coefficients on age and gender interaction terms are not shown.</w:t>
      </w:r>
      <w:r w:rsidRPr="00B9062F">
        <w:rPr>
          <w:rStyle w:val="NoteLabel"/>
          <w:bCs/>
        </w:rPr>
        <w:t xml:space="preserve"> </w:t>
      </w:r>
      <w:r>
        <w:rPr>
          <w:rStyle w:val="NoteLabel"/>
          <w:bCs/>
        </w:rPr>
        <w:t>b</w:t>
      </w:r>
      <w:r>
        <w:t xml:space="preserve"> *** indicates significance at the 1 per cent level of significance.</w:t>
      </w:r>
    </w:p>
    <w:p w14:paraId="24B4824C" w14:textId="77777777" w:rsidR="00767353" w:rsidRPr="00DA5869" w:rsidRDefault="00767353" w:rsidP="00767353">
      <w:pPr>
        <w:pStyle w:val="Heading3"/>
        <w:rPr>
          <w:spacing w:val="-6"/>
        </w:rPr>
      </w:pPr>
      <w:r w:rsidRPr="00DA5869">
        <w:rPr>
          <w:spacing w:val="-6"/>
        </w:rPr>
        <w:t>Intergenerational outflow estimate based on administrative datasets</w:t>
      </w:r>
    </w:p>
    <w:p w14:paraId="3BF75B20" w14:textId="77777777" w:rsidR="00767353" w:rsidRPr="00366C4A" w:rsidRDefault="00767353" w:rsidP="00767353">
      <w:pPr>
        <w:pStyle w:val="BodyText"/>
      </w:pPr>
      <w:r>
        <w:t>Three steps were required to produce an intergenerational</w:t>
      </w:r>
      <w:r w:rsidRPr="00366C4A">
        <w:t xml:space="preserve"> </w:t>
      </w:r>
      <w:r>
        <w:t>outflow estimate based primarily on administrative datasets</w:t>
      </w:r>
      <w:r w:rsidRPr="00366C4A">
        <w:t>.</w:t>
      </w:r>
    </w:p>
    <w:p w14:paraId="1B6FB956" w14:textId="77777777" w:rsidR="00767353" w:rsidRPr="00366C4A" w:rsidRDefault="00767353" w:rsidP="00767353">
      <w:pPr>
        <w:pStyle w:val="BodyText"/>
      </w:pPr>
      <w:r>
        <w:t>First, p</w:t>
      </w:r>
      <w:r w:rsidRPr="00366C4A">
        <w:t xml:space="preserve">robate records from 2012 and 2016 were used to calculate the mean estate value. The mean estate was multiplied by the number of probate applications in that year to produce an estimate of the total value of wealth transferred through the probate system. </w:t>
      </w:r>
      <w:r>
        <w:t>T</w:t>
      </w:r>
      <w:r w:rsidRPr="00366C4A">
        <w:t>he value that was immediately transferred to younger generations</w:t>
      </w:r>
      <w:r>
        <w:t xml:space="preserve"> was calculated in line with box 1.5 in chapter 1</w:t>
      </w:r>
      <w:r w:rsidRPr="00366C4A">
        <w:t>.</w:t>
      </w:r>
    </w:p>
    <w:p w14:paraId="2825E27F" w14:textId="44E3903B" w:rsidR="00767353" w:rsidRDefault="00767353" w:rsidP="00767353">
      <w:pPr>
        <w:pStyle w:val="BodyText"/>
      </w:pPr>
      <w:r w:rsidRPr="00366C4A">
        <w:t>S</w:t>
      </w:r>
      <w:r>
        <w:t>econd, because s</w:t>
      </w:r>
      <w:r w:rsidRPr="00366C4A">
        <w:t xml:space="preserve">uperannuation assets are not usually distributed through the probate system, estimates of superannuation death benefits based on the ALife dataset were used to supplement the probate files. The ALife dataset </w:t>
      </w:r>
      <w:r>
        <w:t xml:space="preserve">contains </w:t>
      </w:r>
      <w:r w:rsidRPr="00366C4A">
        <w:t>a random sample of 10</w:t>
      </w:r>
      <w:r w:rsidR="008E7D98">
        <w:t> </w:t>
      </w:r>
      <w:r w:rsidRPr="00366C4A">
        <w:t>per</w:t>
      </w:r>
      <w:r w:rsidR="008E7D98">
        <w:t> </w:t>
      </w:r>
      <w:r w:rsidRPr="00366C4A">
        <w:t xml:space="preserve">cent of </w:t>
      </w:r>
      <w:r>
        <w:t>annual longitudinally linked individual tax and superannuation records reported to the Australian Tax Office</w:t>
      </w:r>
      <w:r w:rsidRPr="00366C4A">
        <w:t xml:space="preserve">. </w:t>
      </w:r>
      <w:r>
        <w:t xml:space="preserve">For those records ALife provides information </w:t>
      </w:r>
      <w:r>
        <w:lastRenderedPageBreak/>
        <w:t xml:space="preserve">about superannuation balance and contribution information from all Member Contribution Statements and Self Managed Superannuation Fund annual returns </w:t>
      </w:r>
      <w:r>
        <w:fldChar w:fldCharType="begin"/>
      </w:r>
      <w:r w:rsidR="0047772E">
        <w:instrText xml:space="preserve"> ADDIN ZOTERO_ITEM CSL_CITATION {"citationID":"C7dFxfbQ","properties":{"formattedCitation":"(Polidano et al.\\uc0\\u160{}2020)","plainCitation":"(Polidano et al. 2020)","noteIndex":0},"citationItems":[{"id":1701,"uris":["http://zotero.org/groups/2714158/items/UBKSUJHQ"],"uri":["http://zotero.org/groups/2714158/items/UBKSUJHQ"],"itemData":{"id":1701,"type":"report","genre":"TTPI Working Paper","number":"2/2020","publisher":"Tax and Transfer Policy Institute","title":"The ATO Longitudinal Information Files (ALife): A New Resource for Retirement Policy Research","author":[{"family":"Polidano","given":"Cain"},{"family":"Carter","given":"Andrew"},{"family":"Chan","given":"Marc"},{"family":"Chigavazira","given":"Abraham"},{"family":"To","given":"Hang"},{"family":"Holland","given":"Justin"},{"family":"Nguyen","given":"Son"},{"family":"Vu","given":"Ha"},{"family":"Wilkins","given":"Roger"}],"accessed":{"date-parts":[["2021",4,21]]},"issued":{"date-parts":[["2020"]]}}}],"schema":"https://github.com/citation-style-language/schema/raw/master/csl-citation.json"} </w:instrText>
      </w:r>
      <w:r>
        <w:fldChar w:fldCharType="separate"/>
      </w:r>
      <w:r w:rsidRPr="00E13357">
        <w:rPr>
          <w:szCs w:val="24"/>
        </w:rPr>
        <w:t>(Polidano et al. 2020)</w:t>
      </w:r>
      <w:r>
        <w:fldChar w:fldCharType="end"/>
      </w:r>
      <w:r>
        <w:t xml:space="preserve">. </w:t>
      </w:r>
    </w:p>
    <w:p w14:paraId="506EFC33" w14:textId="77777777" w:rsidR="00767353" w:rsidRDefault="00767353" w:rsidP="00767353">
      <w:pPr>
        <w:pStyle w:val="BodyText"/>
      </w:pPr>
      <w:r>
        <w:t>Third, because n</w:t>
      </w:r>
      <w:r w:rsidRPr="00366C4A">
        <w:t>ot all deaths result in a probate application</w:t>
      </w:r>
      <w:r>
        <w:t>, an estimate of the value of estates that do not go through the probate system was required</w:t>
      </w:r>
      <w:r w:rsidRPr="00366C4A">
        <w:t>.</w:t>
      </w:r>
    </w:p>
    <w:p w14:paraId="4CCE171B" w14:textId="77777777" w:rsidR="00767353" w:rsidRDefault="00767353" w:rsidP="00767353">
      <w:pPr>
        <w:pStyle w:val="Heading3"/>
      </w:pPr>
      <w:r>
        <w:t>Further detail on calculation of superannuation death benefits based on the ALife dataset</w:t>
      </w:r>
    </w:p>
    <w:p w14:paraId="195933D6" w14:textId="64CB8967" w:rsidR="00767353" w:rsidRDefault="00767353" w:rsidP="00767353">
      <w:pPr>
        <w:pStyle w:val="BodyText"/>
      </w:pPr>
      <w:r>
        <w:t>Using the ALife dataset, t</w:t>
      </w:r>
      <w:r w:rsidRPr="00366C4A">
        <w:t xml:space="preserve">he total value of death benefits each year </w:t>
      </w:r>
      <w:r>
        <w:t>($6.9</w:t>
      </w:r>
      <w:r w:rsidR="008E7D98">
        <w:t> </w:t>
      </w:r>
      <w:r>
        <w:t xml:space="preserve">billion in 2016) </w:t>
      </w:r>
      <w:r w:rsidRPr="00366C4A">
        <w:t>was calculated and then apportioned to single</w:t>
      </w:r>
      <w:r>
        <w:noBreakHyphen/>
      </w:r>
      <w:r w:rsidRPr="00366C4A">
        <w:t xml:space="preserve">persons and members of a couple. </w:t>
      </w:r>
      <w:r>
        <w:t xml:space="preserve">The ALife dataset contains a spouse flag that identifies whether a member of the sample has a partner, but it is not recorded for all members of the sample. For those with a missing spouse flag, death benefits were split using the distribution of superannuation assets between singles and couples found in the HILDA dataset. </w:t>
      </w:r>
    </w:p>
    <w:p w14:paraId="0E266818" w14:textId="5642CACC" w:rsidR="00767353" w:rsidRDefault="00767353" w:rsidP="00767353">
      <w:pPr>
        <w:pStyle w:val="BodyText"/>
      </w:pPr>
      <w:r w:rsidRPr="00366C4A">
        <w:t xml:space="preserve">The value of death benefits that are transferred between generations </w:t>
      </w:r>
      <w:r>
        <w:t>($2.2</w:t>
      </w:r>
      <w:r w:rsidR="008E7D98">
        <w:t> </w:t>
      </w:r>
      <w:r>
        <w:t xml:space="preserve">billion in 2016) </w:t>
      </w:r>
      <w:r w:rsidRPr="00366C4A">
        <w:t xml:space="preserve">was added to the </w:t>
      </w:r>
      <w:r>
        <w:t xml:space="preserve">estimate for the </w:t>
      </w:r>
      <w:r w:rsidRPr="00366C4A">
        <w:t xml:space="preserve">value of wealth transferred </w:t>
      </w:r>
      <w:r>
        <w:t>between generations based on</w:t>
      </w:r>
      <w:r w:rsidRPr="00366C4A">
        <w:t xml:space="preserve"> probate files.</w:t>
      </w:r>
      <w:r>
        <w:t xml:space="preserve"> </w:t>
      </w:r>
    </w:p>
    <w:p w14:paraId="727421E7" w14:textId="77777777" w:rsidR="00767353" w:rsidRPr="00AF494D" w:rsidRDefault="00767353" w:rsidP="00767353">
      <w:pPr>
        <w:pStyle w:val="Heading3"/>
      </w:pPr>
      <w:r w:rsidRPr="00AF494D">
        <w:t>Estimating the value of estates that do not go through the probate system</w:t>
      </w:r>
    </w:p>
    <w:p w14:paraId="6C459C2B" w14:textId="77777777" w:rsidR="00767353" w:rsidRDefault="00767353" w:rsidP="00767353">
      <w:pPr>
        <w:pStyle w:val="BodyText"/>
      </w:pPr>
      <w:r>
        <w:t>As discussed above, f</w:t>
      </w:r>
      <w:r w:rsidRPr="00366C4A">
        <w:t xml:space="preserve">irst estates </w:t>
      </w:r>
      <w:r>
        <w:t>and low value estates tend not to require probate</w:t>
      </w:r>
      <w:r w:rsidRPr="00366C4A">
        <w:t>. It was assumed that first estates that did not go through probate were transferred completely to the surviving partner.</w:t>
      </w:r>
      <w:r w:rsidRPr="00D72F0A">
        <w:t xml:space="preserve"> </w:t>
      </w:r>
      <w:r>
        <w:t>Hence, their value did not need to be estimated to produce an estimate of the value that is immediately transferred to younger generations.</w:t>
      </w:r>
      <w:r w:rsidRPr="00366C4A">
        <w:t xml:space="preserve"> </w:t>
      </w:r>
    </w:p>
    <w:p w14:paraId="45850433" w14:textId="15BB9900" w:rsidR="00767353" w:rsidRDefault="00767353" w:rsidP="00767353">
      <w:pPr>
        <w:pStyle w:val="BodyText"/>
      </w:pPr>
      <w:r w:rsidRPr="00366C4A">
        <w:t>It was assumed that the distribution of final estates that did not go through probate followed the pattern of those that did (85</w:t>
      </w:r>
      <w:r w:rsidR="008E7D98">
        <w:t> </w:t>
      </w:r>
      <w:r w:rsidRPr="00366C4A">
        <w:t>per</w:t>
      </w:r>
      <w:r w:rsidR="008E7D98">
        <w:t> </w:t>
      </w:r>
      <w:r w:rsidRPr="00366C4A">
        <w:t>cent transferred immediately to younger generations).</w:t>
      </w:r>
      <w:r>
        <w:t xml:space="preserve"> The value of these estates was estimated using HILDA by identifying single persons who did not own real estate and did not have bank accounts or equity investments exceeding $50 000. The value of wealth at death was then estimated using the same approach as the outflow estimate based on expected deaths (by multiplying their wealth by the probability that they died in that year). </w:t>
      </w:r>
    </w:p>
    <w:p w14:paraId="1AFEE5A2" w14:textId="77777777" w:rsidR="00767353" w:rsidRDefault="00767353" w:rsidP="00767353">
      <w:pPr>
        <w:pStyle w:val="BodyText"/>
        <w:sectPr w:rsidR="00767353" w:rsidSect="00767353">
          <w:headerReference w:type="even" r:id="rId124"/>
          <w:headerReference w:type="default" r:id="rId125"/>
          <w:footerReference w:type="even" r:id="rId126"/>
          <w:footerReference w:type="default" r:id="rId127"/>
          <w:type w:val="oddPage"/>
          <w:pgSz w:w="11906" w:h="16838" w:code="9"/>
          <w:pgMar w:top="1134" w:right="1134" w:bottom="1134" w:left="1134" w:header="794" w:footer="510" w:gutter="0"/>
          <w:cols w:space="708"/>
          <w:docGrid w:linePitch="360"/>
        </w:sectPr>
      </w:pPr>
      <w:r>
        <w:t>The value of wealth at death was then adjusted in line with the patterns observed in probate data (box 1.5 in chapter 1) to produce an estimate of the value transferred immediately to younger generations, which was about $590 million in 2012 and $550 million in 2016.</w:t>
      </w:r>
    </w:p>
    <w:p w14:paraId="3FBC27CE" w14:textId="77777777" w:rsidR="00767353" w:rsidRDefault="00767353" w:rsidP="00132C71">
      <w:pPr>
        <w:pStyle w:val="Heading-Appendix"/>
        <w:numPr>
          <w:ilvl w:val="0"/>
          <w:numId w:val="9"/>
        </w:numPr>
      </w:pPr>
      <w:bookmarkStart w:id="62" w:name="_Toc87543969"/>
      <w:r>
        <w:lastRenderedPageBreak/>
        <w:t>Estimating the effects of wealth transfers on wealth inequality and mobility</w:t>
      </w:r>
      <w:bookmarkEnd w:id="62"/>
    </w:p>
    <w:p w14:paraId="304FED44" w14:textId="77777777" w:rsidR="00767353" w:rsidRDefault="00767353" w:rsidP="0038557A">
      <w:pPr>
        <w:pStyle w:val="Heading2-Appendix"/>
      </w:pPr>
      <w:r>
        <w:t>Estimating intergenerational wealth persistence and the contribution of inheritances</w:t>
      </w:r>
    </w:p>
    <w:p w14:paraId="054E24F8" w14:textId="77777777" w:rsidR="00767353" w:rsidRPr="005E3E4C" w:rsidRDefault="00767353" w:rsidP="00767353">
      <w:pPr>
        <w:pStyle w:val="BodyText"/>
        <w:rPr>
          <w:spacing w:val="-2"/>
        </w:rPr>
      </w:pPr>
      <w:r w:rsidRPr="005E3E4C">
        <w:rPr>
          <w:spacing w:val="-2"/>
        </w:rPr>
        <w:t>Chapter 2 states that 36 per cent of intergenerational wealth persistence (IWP) among Australians aged 64–74 in 2018 can be attributed to inheritances.</w:t>
      </w:r>
    </w:p>
    <w:p w14:paraId="21ECFAB7" w14:textId="77777777" w:rsidR="00767353" w:rsidRPr="005E2A1A" w:rsidRDefault="00767353" w:rsidP="00767353">
      <w:pPr>
        <w:pStyle w:val="BodyText"/>
      </w:pPr>
      <w:r>
        <w:t>To produce that estimate, IWP between the child cohort in question and their parents is first estimated. The approach taken is novel, as the data needed for the standard approach are not available.</w:t>
      </w:r>
      <w:r w:rsidRPr="001F567E">
        <w:rPr>
          <w:rStyle w:val="FootnoteReference"/>
        </w:rPr>
        <w:footnoteReference w:id="52"/>
      </w:r>
      <w:r>
        <w:t xml:space="preserve"> The standard approach is to identify a representative group of parent–child pairs in a dataset, measure the household wealth (referred to as ‘wealth’ throughout section B.1) of each parent and child when as close as possible in age, and estimate the percentile rank–percentile rank correlation. But with the Household Income and Labour Dynamics in Australia (HILDA) dataset, it is usually only possible to identify parent–child pairs if the children are too young to have received an inheritance.</w:t>
      </w:r>
      <w:r w:rsidRPr="001F567E">
        <w:rPr>
          <w:rStyle w:val="FootnoteReference"/>
        </w:rPr>
        <w:footnoteReference w:id="53"/>
      </w:r>
    </w:p>
    <w:p w14:paraId="1B5AEFF0" w14:textId="6EA5B7BE" w:rsidR="00767353" w:rsidRDefault="00767353" w:rsidP="00767353">
      <w:pPr>
        <w:pStyle w:val="BodyText"/>
      </w:pPr>
      <w:r>
        <w:t>The approach used here is to identify a cohort of children in the HILDA dataset whose second parent to die (hereafter ‘second parent’) died between 2001 and 2017 and impute their parents’ 2002 wealth according to the size of the inheritance that the children received. 2002 is chosen as it is the earliest year for which the wealth data used in this imputation are available. A percentile rank</w:t>
      </w:r>
      <w:r w:rsidR="00242801">
        <w:t xml:space="preserve"> </w:t>
      </w:r>
      <w:r>
        <w:t>–</w:t>
      </w:r>
      <w:r w:rsidR="00242801">
        <w:t xml:space="preserve"> </w:t>
      </w:r>
      <w:r>
        <w:t>percentile rank correlation between each child’s household wealth and their parents’ household wealth is then estimated.</w:t>
      </w:r>
    </w:p>
    <w:p w14:paraId="0AB3792C" w14:textId="38D08889" w:rsidR="00767353" w:rsidRDefault="00767353" w:rsidP="00767353">
      <w:pPr>
        <w:pStyle w:val="BodyText"/>
      </w:pPr>
      <w:r>
        <w:t xml:space="preserve">This IWP estimate suffers too much attenuation bias (bias toward zero) from error in the measurement of parent wealth to be compared with estimates from other countries. For this reason, it is not presented in chapter 2. But it </w:t>
      </w:r>
      <w:r w:rsidR="00632E76">
        <w:t>is</w:t>
      </w:r>
      <w:r>
        <w:t xml:space="preserve"> used to construct an unbiased estimate of the share of IWP that is due to inheritances.</w:t>
      </w:r>
    </w:p>
    <w:p w14:paraId="7E56B985" w14:textId="77777777" w:rsidR="00502951" w:rsidRDefault="00F8176A" w:rsidP="00767353">
      <w:pPr>
        <w:pStyle w:val="BodyText"/>
      </w:pPr>
      <w:r>
        <w:t>This section proceeds as follows.</w:t>
      </w:r>
    </w:p>
    <w:p w14:paraId="025B882F" w14:textId="58F2BC5D" w:rsidR="00502951" w:rsidRDefault="003F40C2" w:rsidP="00502951">
      <w:pPr>
        <w:pStyle w:val="ListBullet"/>
      </w:pPr>
      <w:r>
        <w:t xml:space="preserve">The </w:t>
      </w:r>
      <w:r w:rsidR="005C6F17">
        <w:t>next</w:t>
      </w:r>
      <w:r>
        <w:t xml:space="preserve"> subsection outlines the process for imputing </w:t>
      </w:r>
      <w:r w:rsidR="001916C2">
        <w:t>the parents’</w:t>
      </w:r>
      <w:r w:rsidR="000363EE">
        <w:t> </w:t>
      </w:r>
      <w:r w:rsidR="001916C2">
        <w:t>2002 wealth in four steps</w:t>
      </w:r>
      <w:r w:rsidR="00502951">
        <w:t>.</w:t>
      </w:r>
    </w:p>
    <w:p w14:paraId="29436112" w14:textId="05CFBCE7" w:rsidR="00E850FE" w:rsidRDefault="00502951" w:rsidP="00502951">
      <w:pPr>
        <w:pStyle w:val="ListBullet2"/>
      </w:pPr>
      <w:r>
        <w:t>S</w:t>
      </w:r>
      <w:r w:rsidR="00DC6D5B">
        <w:t>tep</w:t>
      </w:r>
      <w:r w:rsidR="00BE3280">
        <w:t> </w:t>
      </w:r>
      <w:r w:rsidR="00DC6D5B">
        <w:t>1</w:t>
      </w:r>
      <w:r w:rsidR="00B94DC0">
        <w:t>:</w:t>
      </w:r>
      <w:r w:rsidR="00910064">
        <w:t xml:space="preserve"> parents’ wealth at death is estimated based on the </w:t>
      </w:r>
      <w:r w:rsidR="00C81A6A">
        <w:t>inheritances they left to their children</w:t>
      </w:r>
      <w:r w:rsidR="00B777AF">
        <w:t>.</w:t>
      </w:r>
    </w:p>
    <w:p w14:paraId="72C3CD1E" w14:textId="049BFBDD" w:rsidR="00502951" w:rsidRDefault="00502951" w:rsidP="00502951">
      <w:pPr>
        <w:pStyle w:val="ListBullet2"/>
      </w:pPr>
      <w:r>
        <w:lastRenderedPageBreak/>
        <w:t>Step</w:t>
      </w:r>
      <w:r w:rsidR="00BE3280">
        <w:t> </w:t>
      </w:r>
      <w:r>
        <w:t>2</w:t>
      </w:r>
      <w:r w:rsidR="00B94DC0">
        <w:t>:</w:t>
      </w:r>
      <w:r w:rsidR="00AC52C7">
        <w:t xml:space="preserve"> parents’ wealth at </w:t>
      </w:r>
      <w:r w:rsidR="00FB4097">
        <w:t>death is estimated based on their demographic characteristics</w:t>
      </w:r>
      <w:r w:rsidR="007774E6">
        <w:t>.</w:t>
      </w:r>
    </w:p>
    <w:p w14:paraId="2B1F7FAC" w14:textId="7D77C904" w:rsidR="00FB4097" w:rsidRDefault="00FB4097" w:rsidP="00502951">
      <w:pPr>
        <w:pStyle w:val="ListBullet2"/>
      </w:pPr>
      <w:r>
        <w:t>Step</w:t>
      </w:r>
      <w:r w:rsidR="00BE3280">
        <w:t> </w:t>
      </w:r>
      <w:r>
        <w:t>3</w:t>
      </w:r>
      <w:r w:rsidR="00B94DC0">
        <w:t>:</w:t>
      </w:r>
      <w:r>
        <w:t xml:space="preserve"> the estimated derived in step</w:t>
      </w:r>
      <w:r w:rsidR="00BE3280">
        <w:t> </w:t>
      </w:r>
      <w:r>
        <w:t xml:space="preserve">2 is used to </w:t>
      </w:r>
      <w:r w:rsidR="00281276">
        <w:t>adjust and verify the estimate derived in step</w:t>
      </w:r>
      <w:r w:rsidR="00BE3280">
        <w:t> </w:t>
      </w:r>
      <w:r w:rsidR="00281276">
        <w:t>1</w:t>
      </w:r>
      <w:r w:rsidR="007774E6">
        <w:t>.</w:t>
      </w:r>
    </w:p>
    <w:p w14:paraId="75E54CCC" w14:textId="33D6E25F" w:rsidR="00535895" w:rsidRDefault="00535895" w:rsidP="00502951">
      <w:pPr>
        <w:pStyle w:val="ListBullet2"/>
      </w:pPr>
      <w:r>
        <w:t>Step</w:t>
      </w:r>
      <w:r w:rsidR="00BE3280">
        <w:t> </w:t>
      </w:r>
      <w:r>
        <w:t>4</w:t>
      </w:r>
      <w:r w:rsidR="00B94DC0">
        <w:t>:</w:t>
      </w:r>
      <w:r>
        <w:t xml:space="preserve"> </w:t>
      </w:r>
      <w:r w:rsidR="0084185E">
        <w:t>the adjusted version of the step</w:t>
      </w:r>
      <w:r w:rsidR="00BE3280">
        <w:t> </w:t>
      </w:r>
      <w:r w:rsidR="0084185E">
        <w:t xml:space="preserve">1 </w:t>
      </w:r>
      <w:r w:rsidR="00061B9E">
        <w:t xml:space="preserve">estimate is used to estimate </w:t>
      </w:r>
      <w:r w:rsidR="00BE3280">
        <w:t xml:space="preserve">the </w:t>
      </w:r>
      <w:r w:rsidR="00061B9E">
        <w:t>parents</w:t>
      </w:r>
      <w:r w:rsidR="007774E6">
        <w:t>’</w:t>
      </w:r>
      <w:r w:rsidR="00BE3280">
        <w:t> </w:t>
      </w:r>
      <w:r w:rsidR="007774E6">
        <w:t>2002 wealth.</w:t>
      </w:r>
    </w:p>
    <w:p w14:paraId="01ACEF41" w14:textId="04A9F55F" w:rsidR="007774E6" w:rsidRDefault="007774E6" w:rsidP="007774E6">
      <w:pPr>
        <w:pStyle w:val="ListBullet"/>
      </w:pPr>
      <w:r>
        <w:t>The following subsection</w:t>
      </w:r>
      <w:r w:rsidR="003848AE">
        <w:t xml:space="preserve"> estimates IWP for the cohort in question.</w:t>
      </w:r>
    </w:p>
    <w:p w14:paraId="40363C7D" w14:textId="2F912641" w:rsidR="003848AE" w:rsidRDefault="003848AE" w:rsidP="00D81539">
      <w:pPr>
        <w:pStyle w:val="ListBullet"/>
      </w:pPr>
      <w:r>
        <w:t xml:space="preserve">The following subsection </w:t>
      </w:r>
      <w:r w:rsidR="00632E76">
        <w:t xml:space="preserve">the share of IWP </w:t>
      </w:r>
      <w:r w:rsidR="00002FFA">
        <w:t xml:space="preserve">for the cohort in question </w:t>
      </w:r>
      <w:r w:rsidR="00632E76">
        <w:t>that is due to inheritances.</w:t>
      </w:r>
    </w:p>
    <w:p w14:paraId="223C3C31" w14:textId="77777777" w:rsidR="00767353" w:rsidRDefault="00767353" w:rsidP="00767353">
      <w:pPr>
        <w:pStyle w:val="Heading3"/>
      </w:pPr>
      <w:r>
        <w:t>Imputation of parent wealth</w:t>
      </w:r>
    </w:p>
    <w:p w14:paraId="6B80A27A" w14:textId="00FC99D8" w:rsidR="00C05468" w:rsidRDefault="00631E74" w:rsidP="00910C09">
      <w:pPr>
        <w:pStyle w:val="Heading4"/>
      </w:pPr>
      <w:r>
        <w:t xml:space="preserve">Step 1: </w:t>
      </w:r>
      <w:r w:rsidR="00C05468">
        <w:t>Inheritance</w:t>
      </w:r>
      <w:r w:rsidR="00C05468">
        <w:noBreakHyphen/>
        <w:t>based estimate</w:t>
      </w:r>
    </w:p>
    <w:p w14:paraId="7BDDE7E8" w14:textId="77777777" w:rsidR="00767353" w:rsidRDefault="00767353" w:rsidP="00767353">
      <w:pPr>
        <w:pStyle w:val="BodyText"/>
      </w:pPr>
      <w:r>
        <w:t>The child cohort (hereafter ‘children’) is chosen to be children aged 64–74 in 2018, as children of this age were the most likely to have had their second parent die between 2001 and 2017 — this was the case for about 50 per cent of this cohort (figure B.1).</w:t>
      </w:r>
      <w:r>
        <w:rPr>
          <w:rStyle w:val="FootnoteReference"/>
        </w:rPr>
        <w:footnoteReference w:id="54"/>
      </w:r>
      <w:r>
        <w:t xml:space="preserve"> Children whose parents had separated (about 10 per cent) and children whose second parent to die had a new partner at time of death (about 2 per cent) were excluded, as imputation of parent wealth is particularly unreliable in these instances. </w:t>
      </w:r>
    </w:p>
    <w:p w14:paraId="0B16B3C2" w14:textId="196C34EE"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5E6456">
        <w:t>1</w:t>
      </w:r>
      <w:r>
        <w:rPr>
          <w:noProof/>
        </w:rPr>
        <w:t xml:space="preserve"> </w:t>
      </w:r>
      <w:r>
        <w:t>– Choice of child cohort</w:t>
      </w:r>
    </w:p>
    <w:p w14:paraId="00FAD25A" w14:textId="77777777" w:rsidR="00767353" w:rsidRPr="00D81539" w:rsidRDefault="00767353" w:rsidP="00767353">
      <w:pPr>
        <w:pStyle w:val="FigureTableSubheading"/>
        <w:keepLines/>
        <w:rPr>
          <w:sz w:val="18"/>
          <w:szCs w:val="16"/>
        </w:rPr>
      </w:pPr>
      <w:r w:rsidRPr="00D81539">
        <w:rPr>
          <w:sz w:val="18"/>
          <w:szCs w:val="16"/>
        </w:rPr>
        <w:t>Share of people whose second parent to die died between 2001 and 2017, by single year of age</w:t>
      </w:r>
    </w:p>
    <w:p w14:paraId="31647501" w14:textId="7AF2AFBA" w:rsidR="00767353" w:rsidRPr="005550A0" w:rsidRDefault="00B41164" w:rsidP="00767353">
      <w:pPr>
        <w:pStyle w:val="BodyText"/>
      </w:pPr>
      <w:r w:rsidRPr="00B41164">
        <w:rPr>
          <w:noProof/>
        </w:rPr>
        <w:drawing>
          <wp:inline distT="0" distB="0" distL="0" distR="0" wp14:anchorId="3CFE76E5" wp14:editId="70F11666">
            <wp:extent cx="6120130" cy="2877185"/>
            <wp:effectExtent l="0" t="0" r="0" b="0"/>
            <wp:docPr id="157" name="Picture 157" descr="Figure B.1. This chart shows the share of people whose second parent to die died between 2001 and 2017, by single year of age in 2018.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Figure B.1. This chart shows the share of people whose second parent to die died between 2001 and 2017, by single year of age in 2018. More details are contained in the text surrounding this figur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5E96494" w14:textId="77777777" w:rsidR="00767353" w:rsidRDefault="00767353" w:rsidP="00767353">
      <w:pPr>
        <w:pStyle w:val="Source"/>
      </w:pPr>
      <w:r w:rsidRPr="00696447">
        <w:t xml:space="preserve">Source: </w:t>
      </w:r>
      <w:r>
        <w:t>Productivity Commission estimates based on HILDA Restricted Release 19.</w:t>
      </w:r>
    </w:p>
    <w:p w14:paraId="15C47678" w14:textId="77777777" w:rsidR="00767353" w:rsidRDefault="00767353" w:rsidP="00767353">
      <w:pPr>
        <w:pStyle w:val="BodyText"/>
      </w:pPr>
      <w:r>
        <w:t>Next, the second parent’s wealth at death is imputed according to the following assumptions:</w:t>
      </w:r>
    </w:p>
    <w:p w14:paraId="2D019CA8" w14:textId="69F81F2E" w:rsidR="00767353" w:rsidRDefault="00767353" w:rsidP="00767353">
      <w:pPr>
        <w:pStyle w:val="ListBullet"/>
      </w:pPr>
      <w:r w:rsidRPr="007D137F">
        <w:t>The first parent to die bequeaths their entire estate to their partner, or, if any of the estate is bequeathed to the children it is bequeathed in equal shares.</w:t>
      </w:r>
      <w:r>
        <w:t xml:space="preserve"> A study of Victorian probate records found that in 83 per cent of cases the first parent to die bequeathed their estate ‘primarily’ to their partner, in 7 per cent of cases the estimate was ‘primarily’ bequeathed to the children </w:t>
      </w:r>
      <w:r w:rsidRPr="00F11C79">
        <w:t>in</w:t>
      </w:r>
      <w:r>
        <w:t xml:space="preserve"> equal shares, and in a further </w:t>
      </w:r>
      <w:r>
        <w:lastRenderedPageBreak/>
        <w:t xml:space="preserve">7 per cent of cases there were more complex distributions that usually involved a combination of spouse and children </w:t>
      </w:r>
      <w:r>
        <w:fldChar w:fldCharType="begin"/>
      </w:r>
      <w:r w:rsidR="0047772E">
        <w:instrText xml:space="preserve"> ADDIN ZOTERO_ITEM CSL_CITATION {"citationID":"gmJrmif1","properties":{"formattedCitation":"(Baker and Gilding\\uc0\\u160{}2011, p.\\uc0\\u160{}282)","plainCitation":"(Baker and Gilding 2011, p. 282)","noteIndex":0},"citationItems":[{"id":1676,"uris":["http://zotero.org/groups/2714158/items/HKZZ4V5Z"],"uri":["http://zotero.org/groups/2714158/items/HKZZ4V5Z"],"itemData":{"id":1676,"type":"article-journal","container-title":"Australian Journal of Social Issues","issue":"3","page":"273–289","source":"Google Scholar","title":"Inheritance in Australia: family and charitable distributions from personal estates","title-short":"Inheritance in Australia","volume":"46","author":[{"family":"Baker","given":"Christopher"},{"family":"Gilding","given":"Michael"}],"issued":{"date-parts":[["2011"]]}},"locator":"282"}],"schema":"https://github.com/citation-style-language/schema/raw/master/csl-citation.json"} </w:instrText>
      </w:r>
      <w:r>
        <w:fldChar w:fldCharType="separate"/>
      </w:r>
      <w:r w:rsidRPr="000C5850">
        <w:rPr>
          <w:szCs w:val="24"/>
        </w:rPr>
        <w:t>(Baker and Gilding 2011, p. 282)</w:t>
      </w:r>
      <w:r>
        <w:fldChar w:fldCharType="end"/>
      </w:r>
      <w:r>
        <w:t>.</w:t>
      </w:r>
    </w:p>
    <w:p w14:paraId="31E3A250" w14:textId="7F035F46" w:rsidR="00767353" w:rsidRPr="00064308" w:rsidRDefault="00767353" w:rsidP="00767353">
      <w:pPr>
        <w:pStyle w:val="ListBullet"/>
      </w:pPr>
      <w:r w:rsidRPr="006102AB">
        <w:t>The second parent to die bequeaths their estate to their children in equal shares.</w:t>
      </w:r>
      <w:r w:rsidRPr="00064308">
        <w:t xml:space="preserve"> The same Victorian study found that in 88 per cent of relevant cases over 90 per cent of the estate was bequeathed in this way, while a study of probate records from all around Australia found that in 71 per cent of relevant cases children were the ‘primary’ beneficiaries in equal share </w:t>
      </w:r>
      <w:r w:rsidRPr="00064308">
        <w:fldChar w:fldCharType="begin"/>
      </w:r>
      <w:r w:rsidR="0047772E">
        <w:instrText xml:space="preserve"> ADDIN ZOTERO_ITEM CSL_CITATION {"citationID":"i0cEFXUW","properties":{"formattedCitation":"(Baker\\uc0\\u160{}2014, p.\\uc0\\u160{}50; Baker and Gilding\\uc0\\u160{}2011, p.\\uc0\\u160{}282)","plainCitation":"(Baker 2014, p. 50; Baker and Gilding 2011, p. 282)","noteIndex":0},"citationItems":[{"id":1588,"uris":["http://zotero.org/groups/2714158/items/4BCZGUEK"],"uri":["http://zotero.org/groups/2714158/items/4BCZGUEK"],"itemData":{"id":1588,"type":"report","event-place":"Melbourne","publisher":"Asia-Pacific Centre for Social Investment and Philanthropy, Swinburne University of Technology","publisher-place":"Melbourne","title":"Encouraging Charitable Bequests by Australians","URL":"https://www.swinburne.edu.au/media/swinburneeduau/research/research-centres/csis/documents/Encouraging-Charitable-Gifts-by-Australians-Baker.pdf","author":[{"family":"Baker","given":"C."}],"accessed":{"date-parts":[["2021",1,19]]},"issued":{"date-parts":[["2014",2]]}},"locator":"50"},{"id":1676,"uris":["http://zotero.org/groups/2714158/items/HKZZ4V5Z"],"uri":["http://zotero.org/groups/2714158/items/HKZZ4V5Z"],"itemData":{"id":1676,"type":"article-journal","container-title":"Australian Journal of Social Issues","issue":"3","page":"273–289","source":"Google Scholar","title":"Inheritance in Australia: family and charitable distributions from personal estates","title-short":"Inheritance in Australia","volume":"46","author":[{"family":"Baker","given":"Christopher"},{"family":"Gilding","given":"Michael"}],"issued":{"date-parts":[["2011"]]}},"locator":"282"}],"schema":"https://github.com/citation-style-language/schema/raw/master/csl-citation.json"} </w:instrText>
      </w:r>
      <w:r w:rsidRPr="00064308">
        <w:fldChar w:fldCharType="separate"/>
      </w:r>
      <w:r w:rsidRPr="00064308">
        <w:rPr>
          <w:szCs w:val="24"/>
        </w:rPr>
        <w:t>(Baker 2014, p. 50; Baker and Gilding 2011, p. 282)</w:t>
      </w:r>
      <w:r w:rsidRPr="00064308">
        <w:fldChar w:fldCharType="end"/>
      </w:r>
      <w:r w:rsidRPr="00064308">
        <w:t xml:space="preserve">. Moreover, in many of the </w:t>
      </w:r>
      <w:r w:rsidRPr="00F11C79">
        <w:t>remaining</w:t>
      </w:r>
      <w:r w:rsidRPr="00064308">
        <w:t xml:space="preserve"> cases the distribution was still among children but on unequal terms — 5 per cent in the Victorian study described above and 16 per cent in the Australian study. These cases contribute noise but not necessarily bias to the imputation process.</w:t>
      </w:r>
    </w:p>
    <w:p w14:paraId="04D6A345" w14:textId="77777777" w:rsidR="00767353" w:rsidRDefault="00767353" w:rsidP="00767353">
      <w:pPr>
        <w:pStyle w:val="BodyText"/>
      </w:pPr>
      <w:r>
        <w:t>Hereafter, this is referred to as the ‘inheritance</w:t>
      </w:r>
      <w:r>
        <w:noBreakHyphen/>
        <w:t>based estimate’ of the second parents’ wealth at death.</w:t>
      </w:r>
    </w:p>
    <w:p w14:paraId="39423721" w14:textId="77777777" w:rsidR="00767353" w:rsidRDefault="00767353" w:rsidP="00767353">
      <w:pPr>
        <w:pStyle w:val="BodyText"/>
      </w:pPr>
      <w:r>
        <w:t>A problem is that, even allowing three years after the second parents’ death for the inheritance to be received, only 43 per cent of children reported receiving an inheritance. Were the above assumptions true, this would imply that the second parent of 57 per cent of the children died with negative or negligible wealth, but only about 1–2 per cent of people die with zero or negative wealth (chapter 1). And the issue cannot be fully explained by small inheritances being consumed by death</w:t>
      </w:r>
      <w:r>
        <w:noBreakHyphen/>
        <w:t>related expenses (funerals, cleaning, etc.) as only 15–20 per cent of people die with less than $10 000.</w:t>
      </w:r>
    </w:p>
    <w:p w14:paraId="3C49B525" w14:textId="77777777" w:rsidR="00767353" w:rsidRDefault="00767353" w:rsidP="00767353">
      <w:pPr>
        <w:pStyle w:val="BodyText"/>
      </w:pPr>
      <w:r>
        <w:t>Therefore, it is almost certainly the case that there is substantial non</w:t>
      </w:r>
      <w:r>
        <w:noBreakHyphen/>
        <w:t>reporting of inheritances to the HILDA survey. This is problematic if the non</w:t>
      </w:r>
      <w:r>
        <w:noBreakHyphen/>
        <w:t>reporting is non</w:t>
      </w:r>
      <w:r>
        <w:noBreakHyphen/>
        <w:t>random.</w:t>
      </w:r>
    </w:p>
    <w:p w14:paraId="6C83ED81" w14:textId="5859B79C" w:rsidR="000A5213" w:rsidRDefault="00631E74" w:rsidP="00910C09">
      <w:pPr>
        <w:pStyle w:val="Heading4"/>
      </w:pPr>
      <w:r>
        <w:t xml:space="preserve">Step 2: </w:t>
      </w:r>
      <w:r w:rsidR="00C05468">
        <w:t>Demography</w:t>
      </w:r>
      <w:r w:rsidR="00C05468">
        <w:noBreakHyphen/>
        <w:t>based estimate</w:t>
      </w:r>
    </w:p>
    <w:p w14:paraId="72B72335" w14:textId="50371741" w:rsidR="00767353" w:rsidRDefault="00767353" w:rsidP="00767353">
      <w:pPr>
        <w:pStyle w:val="BodyText"/>
      </w:pPr>
      <w:r>
        <w:t>To better understand the non</w:t>
      </w:r>
      <w:r>
        <w:noBreakHyphen/>
        <w:t>reporting, the wealth at death of the second parent to die is also estimated based on information reported by children about their parents — their year of birth, education, and country of birth — to generate an independent estimate of parent wealth that can be compared to the inheritance</w:t>
      </w:r>
      <w:r>
        <w:noBreakHyphen/>
        <w:t>based estimate. To do this, a group of HILDA survey respondents most similar to the parent cohort (single widows or widowers) is isolated, and data about them is used to estimate the following model (using least squares weighted by the appropriate survey weights):</w:t>
      </w:r>
    </w:p>
    <w:p w14:paraId="76CE8F21" w14:textId="77777777" w:rsidR="00767353" w:rsidRDefault="00767353" w:rsidP="00767353">
      <w:pPr>
        <w:pStyle w:val="BodyText"/>
      </w:pPr>
      <m:oMathPara>
        <m:oMath>
          <m:r>
            <w:rPr>
              <w:rFonts w:ascii="Cambria Math" w:hAnsi="Cambria Math"/>
            </w:rPr>
            <m:t xml:space="preserve">Individual </m:t>
          </m:r>
          <m:sSub>
            <m:sSubPr>
              <m:ctrlPr>
                <w:rPr>
                  <w:rFonts w:ascii="Cambria Math" w:hAnsi="Cambria Math"/>
                  <w:i/>
                </w:rPr>
              </m:ctrlPr>
            </m:sSubPr>
            <m:e>
              <m:r>
                <w:rPr>
                  <w:rFonts w:ascii="Cambria Math" w:hAnsi="Cambria Math"/>
                </w:rPr>
                <m:t>wealth</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sSub>
            <m:sSubPr>
              <m:ctrlPr>
                <w:rPr>
                  <w:rFonts w:ascii="Cambria Math" w:hAnsi="Cambria Math"/>
                  <w:bCs/>
                  <w:i/>
                </w:rPr>
              </m:ctrlPr>
            </m:sSubPr>
            <m:e>
              <m:r>
                <w:rPr>
                  <w:rFonts w:ascii="Cambria Math" w:hAnsi="Cambria Math"/>
                </w:rPr>
                <m:t>Wave</m:t>
              </m:r>
            </m:e>
            <m:sub>
              <m:r>
                <w:rPr>
                  <w:rFonts w:ascii="Cambria Math" w:hAnsi="Cambria Math"/>
                </w:rPr>
                <m:t>i</m:t>
              </m:r>
            </m:sub>
          </m:sSub>
          <m:r>
            <m:rPr>
              <m:sty m:val="bi"/>
            </m:rPr>
            <w:rPr>
              <w:rFonts w:ascii="Cambria Math" w:hAnsi="Cambria Math"/>
            </w:rPr>
            <m:t>+</m:t>
          </m:r>
          <m:sSubSup>
            <m:sSubSupPr>
              <m:ctrlPr>
                <w:rPr>
                  <w:rFonts w:ascii="Cambria Math" w:hAnsi="Cambria Math"/>
                  <w:i/>
                  <w:iCs/>
                </w:rPr>
              </m:ctrlPr>
            </m:sSubSupPr>
            <m:e>
              <m:r>
                <m:rPr>
                  <m:sty m:val="bi"/>
                </m:rPr>
                <w:rPr>
                  <w:rFonts w:ascii="Cambria Math" w:hAnsi="Cambria Math"/>
                </w:rPr>
                <m:t>x</m:t>
              </m:r>
            </m:e>
            <m:sub>
              <m:r>
                <w:rPr>
                  <w:rFonts w:ascii="Cambria Math" w:hAnsi="Cambria Math"/>
                </w:rPr>
                <m:t>i</m:t>
              </m:r>
            </m:sub>
            <m:sup>
              <m:r>
                <w:rPr>
                  <w:rFonts w:ascii="Cambria Math" w:hAnsi="Cambria Math"/>
                </w:rPr>
                <m:t>'</m:t>
              </m:r>
            </m:sup>
          </m:sSubSup>
          <m:r>
            <m:rPr>
              <m:sty m:val="bi"/>
            </m:rPr>
            <w:rPr>
              <w:rFonts w:ascii="Cambria Math" w:hAnsi="Cambria Math"/>
            </w:rPr>
            <m:t>β+</m:t>
          </m:r>
          <m:sSub>
            <m:sSubPr>
              <m:ctrlPr>
                <w:rPr>
                  <w:rFonts w:ascii="Cambria Math" w:hAnsi="Cambria Math"/>
                  <w:i/>
                  <w:iCs/>
                </w:rPr>
              </m:ctrlPr>
            </m:sSubPr>
            <m:e>
              <m:r>
                <w:rPr>
                  <w:rFonts w:ascii="Cambria Math" w:hAnsi="Cambria Math"/>
                </w:rPr>
                <m:t>ε</m:t>
              </m:r>
            </m:e>
            <m:sub>
              <m:r>
                <w:rPr>
                  <w:rFonts w:ascii="Cambria Math" w:hAnsi="Cambria Math"/>
                </w:rPr>
                <m:t>i</m:t>
              </m:r>
            </m:sub>
          </m:sSub>
        </m:oMath>
      </m:oMathPara>
    </w:p>
    <w:p w14:paraId="6D55CDF6" w14:textId="77777777" w:rsidR="00767353" w:rsidRDefault="00767353" w:rsidP="00767353">
      <w:pPr>
        <w:pStyle w:val="BodyText"/>
      </w:pPr>
      <w:r>
        <w:t>Where:</w:t>
      </w:r>
    </w:p>
    <w:p w14:paraId="0FCB42A4" w14:textId="77777777" w:rsidR="00767353" w:rsidRDefault="00767353" w:rsidP="00767353">
      <w:pPr>
        <w:pStyle w:val="ListBullet"/>
      </w:pPr>
      <m:oMath>
        <m:r>
          <w:rPr>
            <w:rFonts w:ascii="Cambria Math" w:hAnsi="Cambria Math"/>
          </w:rPr>
          <m:t xml:space="preserve">Individual </m:t>
        </m:r>
        <m:sSub>
          <m:sSubPr>
            <m:ctrlPr>
              <w:rPr>
                <w:rFonts w:ascii="Cambria Math" w:hAnsi="Cambria Math"/>
                <w:i/>
              </w:rPr>
            </m:ctrlPr>
          </m:sSubPr>
          <m:e>
            <m:r>
              <w:rPr>
                <w:rFonts w:ascii="Cambria Math" w:hAnsi="Cambria Math"/>
              </w:rPr>
              <m:t>wealth</m:t>
            </m:r>
          </m:e>
          <m:sub>
            <m:r>
              <w:rPr>
                <w:rFonts w:ascii="Cambria Math" w:hAnsi="Cambria Math"/>
              </w:rPr>
              <m:t>i</m:t>
            </m:r>
          </m:sub>
        </m:sSub>
      </m:oMath>
      <w:r>
        <w:t xml:space="preserve"> is the individual wealth of person </w:t>
      </w:r>
      <m:oMath>
        <m:r>
          <w:rPr>
            <w:rFonts w:ascii="Cambria Math" w:hAnsi="Cambria Math"/>
          </w:rPr>
          <m:t>i</m:t>
        </m:r>
      </m:oMath>
      <w:r>
        <w:t xml:space="preserve"> in the last wave at which it was recorded</w:t>
      </w:r>
    </w:p>
    <w:p w14:paraId="03C85331" w14:textId="77777777" w:rsidR="00767353" w:rsidRDefault="00B2270C" w:rsidP="00767353">
      <w:pPr>
        <w:pStyle w:val="ListBullet"/>
      </w:pPr>
      <m:oMath>
        <m:sSub>
          <m:sSubPr>
            <m:ctrlPr>
              <w:rPr>
                <w:rFonts w:ascii="Cambria Math" w:hAnsi="Cambria Math"/>
                <w:bCs/>
                <w:i/>
              </w:rPr>
            </m:ctrlPr>
          </m:sSubPr>
          <m:e>
            <m:r>
              <w:rPr>
                <w:rFonts w:ascii="Cambria Math" w:hAnsi="Cambria Math"/>
              </w:rPr>
              <m:t>Wave</m:t>
            </m:r>
          </m:e>
          <m:sub>
            <m:r>
              <w:rPr>
                <w:rFonts w:ascii="Cambria Math" w:hAnsi="Cambria Math"/>
              </w:rPr>
              <m:t>i</m:t>
            </m:r>
          </m:sub>
        </m:sSub>
      </m:oMath>
      <w:r w:rsidR="00767353">
        <w:rPr>
          <w:bCs/>
        </w:rPr>
        <w:t xml:space="preserve"> is the wave of the HILDA survey at which </w:t>
      </w:r>
      <m:oMath>
        <m:r>
          <w:rPr>
            <w:rFonts w:ascii="Cambria Math" w:hAnsi="Cambria Math"/>
          </w:rPr>
          <m:t xml:space="preserve">Individual </m:t>
        </m:r>
        <m:sSub>
          <m:sSubPr>
            <m:ctrlPr>
              <w:rPr>
                <w:rFonts w:ascii="Cambria Math" w:hAnsi="Cambria Math"/>
                <w:i/>
              </w:rPr>
            </m:ctrlPr>
          </m:sSubPr>
          <m:e>
            <m:r>
              <w:rPr>
                <w:rFonts w:ascii="Cambria Math" w:hAnsi="Cambria Math"/>
              </w:rPr>
              <m:t>wealth</m:t>
            </m:r>
          </m:e>
          <m:sub>
            <m:r>
              <w:rPr>
                <w:rFonts w:ascii="Cambria Math" w:hAnsi="Cambria Math"/>
              </w:rPr>
              <m:t>i</m:t>
            </m:r>
          </m:sub>
        </m:sSub>
      </m:oMath>
      <w:r w:rsidR="00767353">
        <w:t xml:space="preserve"> was recorded. This is wave 18 (corresponding with 2018) in about three quarters of cases — the last year for which wealth data are available — meaning that about one quarter of the sample has died or ceased completing the survey. </w:t>
      </w:r>
    </w:p>
    <w:p w14:paraId="372C2876" w14:textId="77777777" w:rsidR="00767353" w:rsidRPr="00115ED4" w:rsidRDefault="00B2270C" w:rsidP="00767353">
      <w:pPr>
        <w:pStyle w:val="ListBullet"/>
        <w:rPr>
          <w:spacing w:val="-2"/>
        </w:rPr>
      </w:pPr>
      <m:oMath>
        <m:sSub>
          <m:sSubPr>
            <m:ctrlPr>
              <w:rPr>
                <w:rFonts w:ascii="Cambria Math" w:hAnsi="Cambria Math"/>
                <w:b/>
                <w:bCs/>
                <w:i/>
                <w:spacing w:val="-2"/>
              </w:rPr>
            </m:ctrlPr>
          </m:sSubPr>
          <m:e>
            <m:r>
              <m:rPr>
                <m:sty m:val="bi"/>
              </m:rPr>
              <w:rPr>
                <w:rFonts w:ascii="Cambria Math" w:hAnsi="Cambria Math"/>
                <w:spacing w:val="-2"/>
              </w:rPr>
              <m:t>x</m:t>
            </m:r>
          </m:e>
          <m:sub>
            <m:r>
              <w:rPr>
                <w:rFonts w:ascii="Cambria Math" w:hAnsi="Cambria Math"/>
                <w:spacing w:val="-2"/>
              </w:rPr>
              <m:t>i</m:t>
            </m:r>
          </m:sub>
        </m:sSub>
      </m:oMath>
      <w:r w:rsidR="00767353" w:rsidRPr="00115ED4">
        <w:rPr>
          <w:spacing w:val="-2"/>
        </w:rPr>
        <w:t xml:space="preserve"> is a vector the year of birth, level of education and country of birth of the person in question and their former spouse. These are coded to delineate between men and women, rather than the person in question and their former spouse, so that they correspond with information about the child’s mother and father.</w:t>
      </w:r>
    </w:p>
    <w:p w14:paraId="34191068" w14:textId="77777777" w:rsidR="00767353" w:rsidRDefault="00767353" w:rsidP="00767353">
      <w:pPr>
        <w:pStyle w:val="BodyText"/>
      </w:pPr>
      <w:r>
        <w:t>Hereafter, this group of HILDA survey respondents is referred to as the ‘broad comparison group’ (</w:t>
      </w:r>
      <m:oMath>
        <m:r>
          <w:rPr>
            <w:rFonts w:ascii="Cambria Math" w:hAnsi="Cambria Math"/>
          </w:rPr>
          <m:t>n=487</m:t>
        </m:r>
      </m:oMath>
      <w:r>
        <w:t>), and the subset of the group who have at least one child the same age as the child cohort is referred to as the ‘narrow comparison group’ (</w:t>
      </w:r>
      <m:oMath>
        <m:r>
          <w:rPr>
            <w:rFonts w:ascii="Cambria Math" w:hAnsi="Cambria Math"/>
          </w:rPr>
          <m:t>n=111</m:t>
        </m:r>
      </m:oMath>
      <w:r>
        <w:t>).</w:t>
      </w:r>
    </w:p>
    <w:p w14:paraId="409741F1" w14:textId="77777777" w:rsidR="00767353" w:rsidRDefault="00767353" w:rsidP="00767353">
      <w:pPr>
        <w:pStyle w:val="BodyText"/>
      </w:pPr>
      <w:r>
        <w:t xml:space="preserve">Table B.1 contains the results (reference category: widows/widowers who completed high school to grade 12, did not attend university and were born in Australia and whose former partner also had these characteristics). The sign of each variable is as expected, with the exception of </w:t>
      </w:r>
      <m:oMath>
        <m:sSub>
          <m:sSubPr>
            <m:ctrlPr>
              <w:rPr>
                <w:rFonts w:ascii="Cambria Math" w:hAnsi="Cambria Math"/>
                <w:i/>
              </w:rPr>
            </m:ctrlPr>
          </m:sSubPr>
          <m:e>
            <m:r>
              <w:rPr>
                <w:rFonts w:ascii="Cambria Math" w:hAnsi="Cambria Math"/>
              </w:rPr>
              <m:t>Mothe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highest schooling –grade 10</m:t>
            </m:r>
          </m:e>
          <m:sub>
            <m:r>
              <w:rPr>
                <w:rFonts w:ascii="Cambria Math" w:hAnsi="Cambria Math"/>
              </w:rPr>
              <m:t>i</m:t>
            </m:r>
          </m:sub>
        </m:sSub>
      </m:oMath>
      <w:r>
        <w:t xml:space="preserve">.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equals </w:t>
      </w:r>
      <m:oMath>
        <m:r>
          <w:rPr>
            <w:rFonts w:ascii="Cambria Math" w:hAnsi="Cambria Math"/>
          </w:rPr>
          <m:t>0.17</m:t>
        </m:r>
      </m:oMath>
      <w:r>
        <w:t xml:space="preserve">, meaning that the model explains 17 per cent of the variation in </w:t>
      </w:r>
      <m:oMath>
        <m:r>
          <w:rPr>
            <w:rFonts w:ascii="Cambria Math" w:hAnsi="Cambria Math"/>
          </w:rPr>
          <m:t xml:space="preserve">Individual </m:t>
        </m:r>
        <m:sSub>
          <m:sSubPr>
            <m:ctrlPr>
              <w:rPr>
                <w:rFonts w:ascii="Cambria Math" w:hAnsi="Cambria Math"/>
                <w:i/>
              </w:rPr>
            </m:ctrlPr>
          </m:sSubPr>
          <m:e>
            <m:r>
              <w:rPr>
                <w:rFonts w:ascii="Cambria Math" w:hAnsi="Cambria Math"/>
              </w:rPr>
              <m:t>wealth</m:t>
            </m:r>
          </m:e>
          <m:sub>
            <m:r>
              <w:rPr>
                <w:rFonts w:ascii="Cambria Math" w:hAnsi="Cambria Math"/>
              </w:rPr>
              <m:t>i</m:t>
            </m:r>
          </m:sub>
        </m:sSub>
      </m:oMath>
      <w:r>
        <w:t>.</w:t>
      </w:r>
    </w:p>
    <w:p w14:paraId="05C9A46E" w14:textId="4D5F6C11"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5E6456">
        <w:t>1</w:t>
      </w:r>
      <w:r>
        <w:rPr>
          <w:noProof/>
        </w:rPr>
        <w:t xml:space="preserve"> – </w:t>
      </w:r>
      <w:r>
        <w:t>Effects of demography on parents’ wealth</w:t>
      </w:r>
      <w:r w:rsidRPr="00EC0C27">
        <w:rPr>
          <w:vertAlign w:val="superscript"/>
        </w:rPr>
        <w:t>a,b</w:t>
      </w:r>
      <w:r>
        <w:rPr>
          <w:vertAlign w:val="superscript"/>
        </w:rPr>
        <w:t>,c</w:t>
      </w:r>
    </w:p>
    <w:p w14:paraId="23B5B654" w14:textId="77777777" w:rsidR="00767353" w:rsidRPr="00D81539" w:rsidRDefault="00767353" w:rsidP="00767353">
      <w:pPr>
        <w:pStyle w:val="FigureTableSubheading"/>
        <w:rPr>
          <w:rFonts w:eastAsiaTheme="minorEastAsia"/>
          <w:sz w:val="22"/>
        </w:rPr>
      </w:pPr>
      <w:r w:rsidRPr="00D81539">
        <w:rPr>
          <w:sz w:val="18"/>
          <w:szCs w:val="16"/>
        </w:rPr>
        <w:t xml:space="preserve">Dependent variable: </w:t>
      </w:r>
      <m:oMath>
        <m:sSub>
          <m:sSubPr>
            <m:ctrlPr>
              <w:rPr>
                <w:rFonts w:ascii="Cambria Math" w:hAnsi="Cambria Math"/>
                <w:i/>
                <w:sz w:val="22"/>
              </w:rPr>
            </m:ctrlPr>
          </m:sSubPr>
          <m:e>
            <m:r>
              <w:rPr>
                <w:rFonts w:ascii="Cambria Math" w:hAnsi="Cambria Math"/>
                <w:sz w:val="18"/>
                <w:szCs w:val="16"/>
              </w:rPr>
              <m:t>Wealth</m:t>
            </m:r>
          </m:e>
          <m:sub>
            <m:r>
              <w:rPr>
                <w:rFonts w:ascii="Cambria Math" w:hAnsi="Cambria Math"/>
                <w:sz w:val="18"/>
                <w:szCs w:val="16"/>
              </w:rPr>
              <m:t>i</m:t>
            </m:r>
          </m:sub>
        </m:sSub>
      </m:oMath>
    </w:p>
    <w:tbl>
      <w:tblPr>
        <w:tblW w:w="4999"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6745"/>
        <w:gridCol w:w="2891"/>
      </w:tblGrid>
      <w:tr w:rsidR="00767353" w:rsidRPr="00064308" w14:paraId="1D8EB94E" w14:textId="77777777" w:rsidTr="00604051">
        <w:trPr>
          <w:tblHeader/>
        </w:trPr>
        <w:tc>
          <w:tcPr>
            <w:tcW w:w="3500" w:type="pct"/>
            <w:tcBorders>
              <w:bottom w:val="single" w:sz="4" w:space="0" w:color="B3B3B3"/>
            </w:tcBorders>
            <w:shd w:val="clear" w:color="auto" w:fill="auto"/>
            <w:tcMar>
              <w:top w:w="28" w:type="dxa"/>
            </w:tcMar>
          </w:tcPr>
          <w:p w14:paraId="0D2067FF" w14:textId="77777777" w:rsidR="00767353" w:rsidRPr="00064308" w:rsidRDefault="00767353" w:rsidP="00604051">
            <w:pPr>
              <w:pStyle w:val="TableColumnHeading"/>
              <w:spacing w:before="45" w:after="45"/>
              <w:ind w:left="57" w:right="108"/>
              <w:jc w:val="left"/>
              <w:rPr>
                <w:rFonts w:ascii="Arial (Body)" w:hAnsi="Arial (Body)"/>
                <w:b/>
                <w:i w:val="0"/>
                <w:color w:val="265A9A"/>
              </w:rPr>
            </w:pPr>
            <w:r w:rsidRPr="00064308">
              <w:rPr>
                <w:rFonts w:ascii="Arial (Body)" w:hAnsi="Arial (Body)"/>
                <w:b/>
                <w:i w:val="0"/>
                <w:color w:val="265A9A"/>
              </w:rPr>
              <w:t>Explanatory variable</w:t>
            </w:r>
          </w:p>
        </w:tc>
        <w:tc>
          <w:tcPr>
            <w:tcW w:w="1500" w:type="pct"/>
            <w:tcBorders>
              <w:bottom w:val="single" w:sz="4" w:space="0" w:color="B3B3B3"/>
            </w:tcBorders>
            <w:shd w:val="clear" w:color="auto" w:fill="auto"/>
            <w:tcMar>
              <w:top w:w="28" w:type="dxa"/>
            </w:tcMar>
          </w:tcPr>
          <w:p w14:paraId="2F424CF2" w14:textId="77777777" w:rsidR="00767353" w:rsidRPr="00064308" w:rsidRDefault="00767353" w:rsidP="00604051">
            <w:pPr>
              <w:pStyle w:val="TableColumnHeading"/>
              <w:spacing w:before="45" w:after="45"/>
              <w:ind w:left="57" w:right="108"/>
              <w:rPr>
                <w:rFonts w:ascii="Arial (Body)" w:hAnsi="Arial (Body)"/>
                <w:b/>
                <w:i w:val="0"/>
                <w:color w:val="265A9A"/>
              </w:rPr>
            </w:pPr>
            <w:r w:rsidRPr="00064308">
              <w:rPr>
                <w:rFonts w:ascii="Arial (Body)" w:hAnsi="Arial (Body)"/>
                <w:b/>
                <w:i w:val="0"/>
                <w:color w:val="265A9A"/>
              </w:rPr>
              <w:t>Estimated coefficient</w:t>
            </w:r>
          </w:p>
        </w:tc>
      </w:tr>
      <w:tr w:rsidR="00767353" w:rsidRPr="00064308" w14:paraId="7D5EC326" w14:textId="77777777" w:rsidTr="00604051">
        <w:tc>
          <w:tcPr>
            <w:tcW w:w="3500" w:type="pct"/>
            <w:tcBorders>
              <w:top w:val="single" w:sz="4" w:space="0" w:color="B3B3B3"/>
              <w:bottom w:val="nil"/>
            </w:tcBorders>
            <w:shd w:val="clear" w:color="auto" w:fill="F1F1F1"/>
          </w:tcPr>
          <w:p w14:paraId="0767B391"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Father</m:t>
                  </m:r>
                  <m:r>
                    <m:rPr>
                      <m:sty m:val="p"/>
                    </m:rPr>
                    <w:rPr>
                      <w:rFonts w:ascii="Cambria Math" w:hAnsi="Cambria Math"/>
                    </w:rPr>
                    <m:t>'</m:t>
                  </m:r>
                  <m:r>
                    <w:rPr>
                      <w:rFonts w:ascii="Cambria Math" w:hAnsi="Cambria Math"/>
                    </w:rPr>
                    <m:t>s</m:t>
                  </m:r>
                  <m:r>
                    <m:rPr>
                      <m:sty m:val="p"/>
                    </m:rPr>
                    <w:rPr>
                      <w:rFonts w:ascii="Cambria Math" w:hAnsi="Cambria Math"/>
                    </w:rPr>
                    <m:t xml:space="preserve"> </m:t>
                  </m:r>
                  <m:r>
                    <w:rPr>
                      <w:rFonts w:ascii="Cambria Math" w:hAnsi="Cambria Math"/>
                    </w:rPr>
                    <m:t>year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birth</m:t>
                  </m:r>
                </m:e>
                <m:sub>
                  <m:r>
                    <w:rPr>
                      <w:rFonts w:ascii="Cambria Math" w:hAnsi="Cambria Math"/>
                    </w:rPr>
                    <m:t>i</m:t>
                  </m:r>
                </m:sub>
              </m:sSub>
            </m:oMath>
            <w:r w:rsidR="00767353" w:rsidRPr="0040445D">
              <w:rPr>
                <w:rFonts w:ascii="Arial (Body)" w:hAnsi="Arial (Body)"/>
                <w:bCs/>
              </w:rPr>
              <w:t xml:space="preserve"> </w:t>
            </w:r>
          </w:p>
        </w:tc>
        <w:tc>
          <w:tcPr>
            <w:tcW w:w="1500" w:type="pct"/>
            <w:tcBorders>
              <w:top w:val="single" w:sz="4" w:space="0" w:color="B3B3B3"/>
              <w:bottom w:val="nil"/>
            </w:tcBorders>
            <w:shd w:val="clear" w:color="auto" w:fill="F1F1F1"/>
          </w:tcPr>
          <w:p w14:paraId="30606711"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t>2 349 136.9***</w:t>
            </w:r>
          </w:p>
        </w:tc>
      </w:tr>
      <w:tr w:rsidR="00767353" w:rsidRPr="00064308" w14:paraId="707B5B09" w14:textId="77777777" w:rsidTr="00604051">
        <w:tc>
          <w:tcPr>
            <w:tcW w:w="3500" w:type="pct"/>
            <w:tcBorders>
              <w:top w:val="nil"/>
              <w:bottom w:val="nil"/>
            </w:tcBorders>
            <w:shd w:val="clear" w:color="auto" w:fill="auto"/>
          </w:tcPr>
          <w:p w14:paraId="3771900D"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1AB01752"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(705 763.6)</w:t>
            </w:r>
          </w:p>
        </w:tc>
      </w:tr>
      <w:tr w:rsidR="00767353" w:rsidRPr="00064308" w14:paraId="4FA18C4D" w14:textId="77777777" w:rsidTr="00604051">
        <w:tc>
          <w:tcPr>
            <w:tcW w:w="3500" w:type="pct"/>
            <w:tcBorders>
              <w:bottom w:val="nil"/>
            </w:tcBorders>
            <w:shd w:val="clear" w:color="auto" w:fill="F1F1F1"/>
          </w:tcPr>
          <w:p w14:paraId="47605597" w14:textId="77777777" w:rsidR="00767353" w:rsidRPr="0040445D" w:rsidRDefault="00B2270C" w:rsidP="00604051">
            <w:pPr>
              <w:pStyle w:val="TableBodyText"/>
              <w:spacing w:before="45" w:after="45"/>
              <w:ind w:left="57" w:right="108"/>
              <w:jc w:val="left"/>
              <w:rPr>
                <w:rFonts w:ascii="Arial (Body)" w:hAnsi="Arial (Body)"/>
                <w:bCs/>
              </w:rPr>
            </w:pPr>
            <m:oMath>
              <m:sSubSup>
                <m:sSubSupPr>
                  <m:ctrlPr>
                    <w:rPr>
                      <w:rFonts w:ascii="Cambria Math" w:hAnsi="Cambria Math"/>
                      <w:bCs/>
                    </w:rPr>
                  </m:ctrlPr>
                </m:sSubSupPr>
                <m:e>
                  <m:r>
                    <w:rPr>
                      <w:rFonts w:ascii="Cambria Math" w:hAnsi="Cambria Math"/>
                    </w:rPr>
                    <m:t>Father</m:t>
                  </m:r>
                  <m:r>
                    <m:rPr>
                      <m:sty m:val="p"/>
                    </m:rPr>
                    <w:rPr>
                      <w:rFonts w:ascii="Cambria Math" w:hAnsi="Cambria Math"/>
                    </w:rPr>
                    <m:t>'</m:t>
                  </m:r>
                  <m:r>
                    <w:rPr>
                      <w:rFonts w:ascii="Cambria Math" w:hAnsi="Cambria Math"/>
                    </w:rPr>
                    <m:t>s</m:t>
                  </m:r>
                  <m:r>
                    <m:rPr>
                      <m:sty m:val="p"/>
                    </m:rPr>
                    <w:rPr>
                      <w:rFonts w:ascii="Cambria Math" w:hAnsi="Cambria Math"/>
                    </w:rPr>
                    <m:t xml:space="preserve"> </m:t>
                  </m:r>
                  <m:r>
                    <w:rPr>
                      <w:rFonts w:ascii="Cambria Math" w:hAnsi="Cambria Math"/>
                    </w:rPr>
                    <m:t>year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birth</m:t>
                  </m:r>
                </m:e>
                <m:sub>
                  <m:r>
                    <w:rPr>
                      <w:rFonts w:ascii="Cambria Math" w:hAnsi="Cambria Math"/>
                    </w:rPr>
                    <m:t>i</m:t>
                  </m:r>
                </m:sub>
                <m:sup>
                  <m:r>
                    <m:rPr>
                      <m:sty m:val="p"/>
                    </m:rPr>
                    <w:rPr>
                      <w:rFonts w:ascii="Cambria Math" w:hAnsi="Cambria Math"/>
                    </w:rPr>
                    <m:t>2</m:t>
                  </m:r>
                </m:sup>
              </m:sSubSup>
            </m:oMath>
            <w:r w:rsidR="00767353" w:rsidRPr="0040445D">
              <w:rPr>
                <w:rFonts w:ascii="Arial (Body)" w:hAnsi="Arial (Body)"/>
                <w:bCs/>
              </w:rPr>
              <w:t xml:space="preserve"> </w:t>
            </w:r>
          </w:p>
        </w:tc>
        <w:tc>
          <w:tcPr>
            <w:tcW w:w="1500" w:type="pct"/>
            <w:tcBorders>
              <w:bottom w:val="nil"/>
            </w:tcBorders>
            <w:shd w:val="clear" w:color="auto" w:fill="F1F1F1"/>
          </w:tcPr>
          <w:p w14:paraId="55C05C4B"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604.7***</w:t>
            </w:r>
          </w:p>
        </w:tc>
      </w:tr>
      <w:tr w:rsidR="00767353" w:rsidRPr="00064308" w14:paraId="3B8A83F8" w14:textId="77777777" w:rsidTr="00604051">
        <w:tc>
          <w:tcPr>
            <w:tcW w:w="3500" w:type="pct"/>
            <w:tcBorders>
              <w:top w:val="nil"/>
              <w:bottom w:val="nil"/>
            </w:tcBorders>
            <w:shd w:val="clear" w:color="auto" w:fill="auto"/>
          </w:tcPr>
          <w:p w14:paraId="039044C3"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50AA97B3"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(181.6)</w:t>
            </w:r>
          </w:p>
        </w:tc>
      </w:tr>
      <w:tr w:rsidR="00767353" w:rsidRPr="00064308" w14:paraId="72810864" w14:textId="77777777" w:rsidTr="00604051">
        <w:tc>
          <w:tcPr>
            <w:tcW w:w="3500" w:type="pct"/>
            <w:tcBorders>
              <w:bottom w:val="nil"/>
            </w:tcBorders>
            <w:shd w:val="clear" w:color="auto" w:fill="F1F1F1"/>
          </w:tcPr>
          <w:p w14:paraId="4BF5A80B"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Wave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survey</m:t>
                  </m:r>
                </m:e>
                <m:sub>
                  <m:r>
                    <w:rPr>
                      <w:rFonts w:ascii="Cambria Math" w:hAnsi="Cambria Math"/>
                    </w:rPr>
                    <m:t>i</m:t>
                  </m:r>
                </m:sub>
              </m:sSub>
            </m:oMath>
            <w:r w:rsidR="00767353" w:rsidRPr="0040445D">
              <w:rPr>
                <w:rFonts w:ascii="Arial (Body)" w:hAnsi="Arial (Body)"/>
                <w:bCs/>
              </w:rPr>
              <w:t xml:space="preserve"> </w:t>
            </w:r>
          </w:p>
        </w:tc>
        <w:tc>
          <w:tcPr>
            <w:tcW w:w="1500" w:type="pct"/>
            <w:tcBorders>
              <w:bottom w:val="nil"/>
            </w:tcBorders>
            <w:shd w:val="clear" w:color="auto" w:fill="F1F1F1"/>
          </w:tcPr>
          <w:p w14:paraId="2A3C9DDE"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t>25 046.4**</w:t>
            </w:r>
          </w:p>
        </w:tc>
      </w:tr>
      <w:tr w:rsidR="00767353" w:rsidRPr="00064308" w14:paraId="08E084C5" w14:textId="77777777" w:rsidTr="00604051">
        <w:tc>
          <w:tcPr>
            <w:tcW w:w="3500" w:type="pct"/>
            <w:tcBorders>
              <w:top w:val="nil"/>
              <w:bottom w:val="nil"/>
            </w:tcBorders>
            <w:shd w:val="clear" w:color="auto" w:fill="auto"/>
          </w:tcPr>
          <w:p w14:paraId="5B2BCDC0"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3A812E78"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(10 370.6)</w:t>
            </w:r>
          </w:p>
        </w:tc>
      </w:tr>
      <w:tr w:rsidR="00767353" w:rsidRPr="00064308" w14:paraId="6A73CAB8" w14:textId="77777777" w:rsidTr="00604051">
        <w:tc>
          <w:tcPr>
            <w:tcW w:w="3500" w:type="pct"/>
            <w:tcBorders>
              <w:bottom w:val="nil"/>
            </w:tcBorders>
            <w:shd w:val="clear" w:color="auto" w:fill="F1F1F1"/>
          </w:tcPr>
          <w:p w14:paraId="28521E82" w14:textId="77777777" w:rsidR="00767353" w:rsidRPr="0040445D" w:rsidRDefault="00B2270C" w:rsidP="00604051">
            <w:pPr>
              <w:pStyle w:val="TableBodyText"/>
              <w:spacing w:before="45" w:after="45"/>
              <w:ind w:left="57" w:right="108"/>
              <w:jc w:val="left"/>
              <w:rPr>
                <w:rStyle w:val="NoteLabel"/>
                <w:rFonts w:ascii="Arial (Body)" w:eastAsiaTheme="majorEastAsia" w:hAnsi="Arial (Body)" w:hint="eastAsia"/>
                <w:bCs/>
              </w:rPr>
            </w:pPr>
            <m:oMath>
              <m:sSub>
                <m:sSubPr>
                  <m:ctrlPr>
                    <w:rPr>
                      <w:rFonts w:ascii="Cambria Math" w:hAnsi="Cambria Math"/>
                      <w:bCs/>
                    </w:rPr>
                  </m:ctrlPr>
                </m:sSubPr>
                <m:e>
                  <m:r>
                    <w:rPr>
                      <w:rFonts w:ascii="Cambria Math" w:hAnsi="Cambria Math"/>
                    </w:rPr>
                    <m:t>Fathe</m:t>
                  </m:r>
                  <m:sSup>
                    <m:sSupPr>
                      <m:ctrlPr>
                        <w:rPr>
                          <w:rFonts w:ascii="Cambria Math" w:hAnsi="Cambria Math"/>
                          <w:bCs/>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highest</m:t>
                  </m:r>
                  <m:r>
                    <m:rPr>
                      <m:sty m:val="p"/>
                    </m:rPr>
                    <w:rPr>
                      <w:rFonts w:ascii="Cambria Math" w:hAnsi="Cambria Math"/>
                    </w:rPr>
                    <m:t xml:space="preserve"> </m:t>
                  </m:r>
                  <m:r>
                    <w:rPr>
                      <w:rFonts w:ascii="Cambria Math" w:hAnsi="Cambria Math"/>
                    </w:rPr>
                    <m:t>schooling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grade</m:t>
                  </m:r>
                  <m:r>
                    <m:rPr>
                      <m:sty m:val="p"/>
                    </m:rPr>
                    <w:rPr>
                      <w:rFonts w:ascii="Cambria Math" w:hAnsi="Cambria Math"/>
                    </w:rPr>
                    <m:t> 10</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716929C1"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131 386.1</w:t>
            </w:r>
          </w:p>
        </w:tc>
      </w:tr>
      <w:tr w:rsidR="00767353" w:rsidRPr="00064308" w14:paraId="03C57262" w14:textId="77777777" w:rsidTr="00604051">
        <w:tc>
          <w:tcPr>
            <w:tcW w:w="3500" w:type="pct"/>
            <w:tcBorders>
              <w:top w:val="nil"/>
              <w:bottom w:val="nil"/>
            </w:tcBorders>
            <w:shd w:val="clear" w:color="auto" w:fill="auto"/>
          </w:tcPr>
          <w:p w14:paraId="7734ED8D"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448A2BF7"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(193 016.8)</w:t>
            </w:r>
          </w:p>
        </w:tc>
      </w:tr>
      <w:tr w:rsidR="00767353" w:rsidRPr="00064308" w14:paraId="76261EDF" w14:textId="77777777" w:rsidTr="00604051">
        <w:tc>
          <w:tcPr>
            <w:tcW w:w="3500" w:type="pct"/>
            <w:tcBorders>
              <w:bottom w:val="nil"/>
            </w:tcBorders>
            <w:shd w:val="clear" w:color="auto" w:fill="F1F1F1"/>
          </w:tcPr>
          <w:p w14:paraId="48C1D04D"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Fathe</m:t>
                  </m:r>
                  <m:sSup>
                    <m:sSupPr>
                      <m:ctrlPr>
                        <w:rPr>
                          <w:rFonts w:ascii="Cambria Math" w:hAnsi="Cambria Math"/>
                          <w:bCs/>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highest</m:t>
                  </m:r>
                  <m:r>
                    <m:rPr>
                      <m:sty m:val="p"/>
                    </m:rPr>
                    <w:rPr>
                      <w:rFonts w:ascii="Cambria Math" w:hAnsi="Cambria Math"/>
                    </w:rPr>
                    <m:t xml:space="preserve"> </m:t>
                  </m:r>
                  <m:r>
                    <w:rPr>
                      <w:rFonts w:ascii="Cambria Math" w:hAnsi="Cambria Math"/>
                    </w:rPr>
                    <m:t>schooling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highschool</m:t>
                  </m:r>
                  <m:r>
                    <m:rPr>
                      <m:sty m:val="p"/>
                    </m:rPr>
                    <w:rPr>
                      <w:rFonts w:ascii="Cambria Math" w:hAnsi="Cambria Math"/>
                    </w:rPr>
                    <m:t xml:space="preserve">, </m:t>
                  </m:r>
                  <m:r>
                    <w:rPr>
                      <w:rFonts w:ascii="Cambria Math" w:hAnsi="Cambria Math"/>
                    </w:rPr>
                    <m:t>but</m:t>
                  </m:r>
                  <m:r>
                    <m:rPr>
                      <m:sty m:val="p"/>
                    </m:rPr>
                    <w:rPr>
                      <w:rFonts w:ascii="Cambria Math" w:hAnsi="Cambria Math"/>
                    </w:rPr>
                    <m:t xml:space="preserve"> </m:t>
                  </m:r>
                  <m:r>
                    <w:rPr>
                      <w:rFonts w:ascii="Cambria Math" w:hAnsi="Cambria Math"/>
                    </w:rPr>
                    <m:t>grade</m:t>
                  </m:r>
                  <m:r>
                    <m:rPr>
                      <m:sty m:val="p"/>
                    </m:rPr>
                    <w:rPr>
                      <w:rFonts w:ascii="Cambria Math" w:hAnsi="Cambria Math"/>
                    </w:rPr>
                    <m:t xml:space="preserve"> 10 </m:t>
                  </m:r>
                  <m:r>
                    <w:rPr>
                      <w:rFonts w:ascii="Cambria Math" w:hAnsi="Cambria Math"/>
                    </w:rPr>
                    <m:t>or</m:t>
                  </m:r>
                  <m:r>
                    <m:rPr>
                      <m:sty m:val="p"/>
                    </m:rPr>
                    <w:rPr>
                      <w:rFonts w:ascii="Cambria Math" w:hAnsi="Cambria Math"/>
                    </w:rPr>
                    <m:t xml:space="preserve"> </m:t>
                  </m:r>
                  <m:r>
                    <w:rPr>
                      <w:rFonts w:ascii="Cambria Math" w:hAnsi="Cambria Math"/>
                    </w:rPr>
                    <m:t>lower</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4E60E460"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327 890.4**</w:t>
            </w:r>
          </w:p>
        </w:tc>
      </w:tr>
      <w:tr w:rsidR="00767353" w:rsidRPr="00064308" w14:paraId="2C299D5F" w14:textId="77777777" w:rsidTr="00604051">
        <w:tc>
          <w:tcPr>
            <w:tcW w:w="3500" w:type="pct"/>
            <w:tcBorders>
              <w:top w:val="nil"/>
              <w:bottom w:val="nil"/>
            </w:tcBorders>
            <w:shd w:val="clear" w:color="auto" w:fill="auto"/>
          </w:tcPr>
          <w:p w14:paraId="2F7B55B6"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2993F4F8"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(161 676.5)</w:t>
            </w:r>
          </w:p>
        </w:tc>
      </w:tr>
      <w:tr w:rsidR="00767353" w:rsidRPr="00064308" w14:paraId="0B250EAE" w14:textId="77777777" w:rsidTr="00604051">
        <w:tc>
          <w:tcPr>
            <w:tcW w:w="3500" w:type="pct"/>
            <w:tcBorders>
              <w:bottom w:val="nil"/>
            </w:tcBorders>
            <w:shd w:val="clear" w:color="auto" w:fill="F1F1F1"/>
          </w:tcPr>
          <w:p w14:paraId="5386FFBB"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Fathe</m:t>
                  </m:r>
                  <m:sSup>
                    <m:sSupPr>
                      <m:ctrlPr>
                        <w:rPr>
                          <w:rFonts w:ascii="Cambria Math" w:hAnsi="Cambria Math"/>
                          <w:bCs/>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highest</m:t>
                  </m:r>
                  <m:r>
                    <m:rPr>
                      <m:sty m:val="p"/>
                    </m:rPr>
                    <w:rPr>
                      <w:rFonts w:ascii="Cambria Math" w:hAnsi="Cambria Math"/>
                    </w:rPr>
                    <m:t xml:space="preserve"> </m:t>
                  </m:r>
                  <m:r>
                    <w:rPr>
                      <w:rFonts w:ascii="Cambria Math" w:hAnsi="Cambria Math"/>
                    </w:rPr>
                    <m:t>schooling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primary</m:t>
                  </m:r>
                  <m:r>
                    <m:rPr>
                      <m:sty m:val="p"/>
                    </m:rPr>
                    <w:rPr>
                      <w:rFonts w:ascii="Cambria Math" w:hAnsi="Cambria Math"/>
                    </w:rPr>
                    <m:t xml:space="preserve"> </m:t>
                  </m:r>
                  <m:r>
                    <w:rPr>
                      <w:rFonts w:ascii="Cambria Math" w:hAnsi="Cambria Math"/>
                    </w:rPr>
                    <m:t>school</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special</m:t>
                  </m:r>
                  <m:r>
                    <m:rPr>
                      <m:sty m:val="p"/>
                    </m:rPr>
                    <w:rPr>
                      <w:rFonts w:ascii="Cambria Math" w:hAnsi="Cambria Math"/>
                    </w:rPr>
                    <m:t xml:space="preserve"> </m:t>
                  </m:r>
                  <m:r>
                    <w:rPr>
                      <w:rFonts w:ascii="Cambria Math" w:hAnsi="Cambria Math"/>
                    </w:rPr>
                    <m:t>needs</m:t>
                  </m:r>
                  <m:r>
                    <m:rPr>
                      <m:sty m:val="p"/>
                    </m:rPr>
                    <w:rPr>
                      <w:rFonts w:ascii="Cambria Math" w:hAnsi="Cambria Math"/>
                    </w:rPr>
                    <m:t xml:space="preserve"> </m:t>
                  </m:r>
                  <m:r>
                    <w:rPr>
                      <w:rFonts w:ascii="Cambria Math" w:hAnsi="Cambria Math"/>
                    </w:rPr>
                    <m:t>school</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vertAlign w:val="superscript"/>
              </w:rPr>
              <w:t>b</w:t>
            </w:r>
          </w:p>
        </w:tc>
        <w:tc>
          <w:tcPr>
            <w:tcW w:w="1500" w:type="pct"/>
            <w:tcBorders>
              <w:bottom w:val="nil"/>
            </w:tcBorders>
            <w:shd w:val="clear" w:color="auto" w:fill="F1F1F1"/>
          </w:tcPr>
          <w:p w14:paraId="7D0D87F0"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242 186.2</w:t>
            </w:r>
          </w:p>
        </w:tc>
      </w:tr>
      <w:tr w:rsidR="00767353" w:rsidRPr="00064308" w14:paraId="2B5A32B3" w14:textId="77777777" w:rsidTr="00604051">
        <w:tc>
          <w:tcPr>
            <w:tcW w:w="3500" w:type="pct"/>
            <w:tcBorders>
              <w:top w:val="nil"/>
              <w:bottom w:val="nil"/>
            </w:tcBorders>
            <w:shd w:val="clear" w:color="auto" w:fill="auto"/>
          </w:tcPr>
          <w:p w14:paraId="27B0F2DE"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4A61F754"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(171 652.4)</w:t>
            </w:r>
          </w:p>
        </w:tc>
      </w:tr>
      <w:tr w:rsidR="00767353" w:rsidRPr="00064308" w14:paraId="6406E03F" w14:textId="77777777" w:rsidTr="00604051">
        <w:tc>
          <w:tcPr>
            <w:tcW w:w="3500" w:type="pct"/>
            <w:tcBorders>
              <w:bottom w:val="nil"/>
            </w:tcBorders>
            <w:shd w:val="clear" w:color="auto" w:fill="F1F1F1"/>
          </w:tcPr>
          <w:p w14:paraId="3E57C70F"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Mothe</m:t>
                  </m:r>
                  <m:sSup>
                    <m:sSupPr>
                      <m:ctrlPr>
                        <w:rPr>
                          <w:rFonts w:ascii="Cambria Math" w:hAnsi="Cambria Math"/>
                          <w:bCs/>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highest</m:t>
                  </m:r>
                  <m:r>
                    <m:rPr>
                      <m:sty m:val="p"/>
                    </m:rPr>
                    <w:rPr>
                      <w:rFonts w:ascii="Cambria Math" w:hAnsi="Cambria Math"/>
                    </w:rPr>
                    <m:t xml:space="preserve"> </m:t>
                  </m:r>
                  <m:r>
                    <w:rPr>
                      <w:rFonts w:ascii="Cambria Math" w:hAnsi="Cambria Math"/>
                    </w:rPr>
                    <m:t>schooling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grade</m:t>
                  </m:r>
                  <m:r>
                    <m:rPr>
                      <m:sty m:val="p"/>
                    </m:rPr>
                    <w:rPr>
                      <w:rFonts w:ascii="Cambria Math" w:hAnsi="Cambria Math"/>
                    </w:rPr>
                    <m:t> 10</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487C4F9C"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t>20 590.9</w:t>
            </w:r>
          </w:p>
        </w:tc>
      </w:tr>
      <w:tr w:rsidR="00767353" w:rsidRPr="00064308" w14:paraId="5313C345" w14:textId="77777777" w:rsidTr="00604051">
        <w:tc>
          <w:tcPr>
            <w:tcW w:w="3500" w:type="pct"/>
            <w:tcBorders>
              <w:top w:val="nil"/>
              <w:bottom w:val="nil"/>
            </w:tcBorders>
            <w:shd w:val="clear" w:color="auto" w:fill="auto"/>
          </w:tcPr>
          <w:p w14:paraId="76D5C326"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01AC8916"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(255 941.1)</w:t>
            </w:r>
          </w:p>
        </w:tc>
      </w:tr>
      <w:tr w:rsidR="00767353" w:rsidRPr="00064308" w14:paraId="44A346FF" w14:textId="77777777" w:rsidTr="00604051">
        <w:tc>
          <w:tcPr>
            <w:tcW w:w="3500" w:type="pct"/>
            <w:tcBorders>
              <w:bottom w:val="nil"/>
            </w:tcBorders>
            <w:shd w:val="clear" w:color="auto" w:fill="F1F1F1"/>
          </w:tcPr>
          <w:p w14:paraId="38370357"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Mothe</m:t>
                  </m:r>
                  <m:sSup>
                    <m:sSupPr>
                      <m:ctrlPr>
                        <w:rPr>
                          <w:rFonts w:ascii="Cambria Math" w:hAnsi="Cambria Math"/>
                          <w:bCs/>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highest</m:t>
                  </m:r>
                  <m:r>
                    <m:rPr>
                      <m:sty m:val="p"/>
                    </m:rPr>
                    <w:rPr>
                      <w:rFonts w:ascii="Cambria Math" w:hAnsi="Cambria Math"/>
                    </w:rPr>
                    <m:t xml:space="preserve"> </m:t>
                  </m:r>
                  <m:r>
                    <w:rPr>
                      <w:rFonts w:ascii="Cambria Math" w:hAnsi="Cambria Math"/>
                    </w:rPr>
                    <m:t>schooling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highschool</m:t>
                  </m:r>
                  <m:r>
                    <m:rPr>
                      <m:sty m:val="p"/>
                    </m:rPr>
                    <w:rPr>
                      <w:rFonts w:ascii="Cambria Math" w:hAnsi="Cambria Math"/>
                    </w:rPr>
                    <m:t xml:space="preserve">, </m:t>
                  </m:r>
                  <m:r>
                    <w:rPr>
                      <w:rFonts w:ascii="Cambria Math" w:hAnsi="Cambria Math"/>
                    </w:rPr>
                    <m:t>but</m:t>
                  </m:r>
                  <m:r>
                    <m:rPr>
                      <m:sty m:val="p"/>
                    </m:rPr>
                    <w:rPr>
                      <w:rFonts w:ascii="Cambria Math" w:hAnsi="Cambria Math"/>
                    </w:rPr>
                    <m:t xml:space="preserve"> </m:t>
                  </m:r>
                  <m:r>
                    <w:rPr>
                      <w:rFonts w:ascii="Cambria Math" w:hAnsi="Cambria Math"/>
                    </w:rPr>
                    <m:t>grade</m:t>
                  </m:r>
                  <m:r>
                    <m:rPr>
                      <m:sty m:val="p"/>
                    </m:rPr>
                    <w:rPr>
                      <w:rFonts w:ascii="Cambria Math" w:hAnsi="Cambria Math"/>
                    </w:rPr>
                    <m:t xml:space="preserve"> 10 </m:t>
                  </m:r>
                  <m:r>
                    <w:rPr>
                      <w:rFonts w:ascii="Cambria Math" w:hAnsi="Cambria Math"/>
                    </w:rPr>
                    <m:t>or</m:t>
                  </m:r>
                  <m:r>
                    <m:rPr>
                      <m:sty m:val="p"/>
                    </m:rPr>
                    <w:rPr>
                      <w:rFonts w:ascii="Cambria Math" w:hAnsi="Cambria Math"/>
                    </w:rPr>
                    <m:t xml:space="preserve"> </m:t>
                  </m:r>
                  <m:r>
                    <w:rPr>
                      <w:rFonts w:ascii="Cambria Math" w:hAnsi="Cambria Math"/>
                    </w:rPr>
                    <m:t>lower</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3187DFD9"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136 557.8</w:t>
            </w:r>
          </w:p>
        </w:tc>
      </w:tr>
      <w:tr w:rsidR="00767353" w:rsidRPr="00064308" w14:paraId="4C50FBC6" w14:textId="77777777" w:rsidTr="00604051">
        <w:tc>
          <w:tcPr>
            <w:tcW w:w="3500" w:type="pct"/>
            <w:tcBorders>
              <w:top w:val="nil"/>
              <w:bottom w:val="nil"/>
            </w:tcBorders>
            <w:shd w:val="clear" w:color="auto" w:fill="auto"/>
          </w:tcPr>
          <w:p w14:paraId="46E78332"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3AA0F7D8"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(110 830.0)</w:t>
            </w:r>
          </w:p>
        </w:tc>
      </w:tr>
      <w:tr w:rsidR="00767353" w:rsidRPr="00064308" w14:paraId="44A41B0E" w14:textId="77777777" w:rsidTr="00604051">
        <w:tc>
          <w:tcPr>
            <w:tcW w:w="3500" w:type="pct"/>
            <w:tcBorders>
              <w:bottom w:val="nil"/>
            </w:tcBorders>
            <w:shd w:val="clear" w:color="auto" w:fill="F1F1F1"/>
          </w:tcPr>
          <w:p w14:paraId="59D7C0C2"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Mothe</m:t>
                  </m:r>
                  <m:sSup>
                    <m:sSupPr>
                      <m:ctrlPr>
                        <w:rPr>
                          <w:rFonts w:ascii="Cambria Math" w:hAnsi="Cambria Math"/>
                          <w:bCs/>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highest</m:t>
                  </m:r>
                  <m:r>
                    <m:rPr>
                      <m:sty m:val="p"/>
                    </m:rPr>
                    <w:rPr>
                      <w:rFonts w:ascii="Cambria Math" w:hAnsi="Cambria Math"/>
                    </w:rPr>
                    <m:t xml:space="preserve"> </m:t>
                  </m:r>
                  <m:r>
                    <w:rPr>
                      <w:rFonts w:ascii="Cambria Math" w:hAnsi="Cambria Math"/>
                    </w:rPr>
                    <m:t>schooling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primary</m:t>
                  </m:r>
                  <m:r>
                    <m:rPr>
                      <m:sty m:val="p"/>
                    </m:rPr>
                    <w:rPr>
                      <w:rFonts w:ascii="Cambria Math" w:hAnsi="Cambria Math"/>
                    </w:rPr>
                    <m:t xml:space="preserve"> </m:t>
                  </m:r>
                  <m:r>
                    <w:rPr>
                      <w:rFonts w:ascii="Cambria Math" w:hAnsi="Cambria Math"/>
                    </w:rPr>
                    <m:t>school</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special</m:t>
                  </m:r>
                  <m:r>
                    <m:rPr>
                      <m:sty m:val="p"/>
                    </m:rPr>
                    <w:rPr>
                      <w:rFonts w:ascii="Cambria Math" w:hAnsi="Cambria Math"/>
                    </w:rPr>
                    <m:t xml:space="preserve"> </m:t>
                  </m:r>
                  <m:r>
                    <w:rPr>
                      <w:rFonts w:ascii="Cambria Math" w:hAnsi="Cambria Math"/>
                    </w:rPr>
                    <m:t>needs</m:t>
                  </m:r>
                  <m:r>
                    <m:rPr>
                      <m:sty m:val="p"/>
                    </m:rPr>
                    <w:rPr>
                      <w:rFonts w:ascii="Cambria Math" w:hAnsi="Cambria Math"/>
                    </w:rPr>
                    <m:t xml:space="preserve"> </m:t>
                  </m:r>
                  <m:r>
                    <w:rPr>
                      <w:rFonts w:ascii="Cambria Math" w:hAnsi="Cambria Math"/>
                    </w:rPr>
                    <m:t>school</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450AA68C"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217 497.3*</w:t>
            </w:r>
          </w:p>
        </w:tc>
      </w:tr>
      <w:tr w:rsidR="00767353" w:rsidRPr="00064308" w14:paraId="159ECC6B" w14:textId="77777777" w:rsidTr="00604051">
        <w:tc>
          <w:tcPr>
            <w:tcW w:w="3500" w:type="pct"/>
            <w:tcBorders>
              <w:top w:val="nil"/>
              <w:bottom w:val="nil"/>
            </w:tcBorders>
            <w:shd w:val="clear" w:color="auto" w:fill="auto"/>
          </w:tcPr>
          <w:p w14:paraId="66AECBE3"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5AD0C191"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(129 451.9)</w:t>
            </w:r>
          </w:p>
        </w:tc>
      </w:tr>
      <w:tr w:rsidR="00767353" w:rsidRPr="00064308" w14:paraId="5CC64BF8" w14:textId="77777777" w:rsidTr="00604051">
        <w:tc>
          <w:tcPr>
            <w:tcW w:w="3500" w:type="pct"/>
            <w:tcBorders>
              <w:bottom w:val="nil"/>
            </w:tcBorders>
            <w:shd w:val="clear" w:color="auto" w:fill="F1F1F1"/>
          </w:tcPr>
          <w:p w14:paraId="0814D833"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Father</m:t>
                  </m:r>
                  <m:r>
                    <m:rPr>
                      <m:sty m:val="p"/>
                    </m:rPr>
                    <w:rPr>
                      <w:rFonts w:ascii="Cambria Math" w:hAnsi="Cambria Math"/>
                    </w:rPr>
                    <m:t xml:space="preserve"> </m:t>
                  </m:r>
                  <m:r>
                    <w:rPr>
                      <w:rFonts w:ascii="Cambria Math" w:hAnsi="Cambria Math"/>
                    </w:rPr>
                    <m:t>attended</m:t>
                  </m:r>
                  <m:r>
                    <m:rPr>
                      <m:sty m:val="p"/>
                    </m:rPr>
                    <w:rPr>
                      <w:rFonts w:ascii="Cambria Math" w:hAnsi="Cambria Math"/>
                    </w:rPr>
                    <m:t xml:space="preserve"> </m:t>
                  </m:r>
                  <m:r>
                    <w:rPr>
                      <w:rFonts w:ascii="Cambria Math" w:hAnsi="Cambria Math"/>
                    </w:rPr>
                    <m:t>university</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22B6E044"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t>557 968.6***</w:t>
            </w:r>
          </w:p>
        </w:tc>
      </w:tr>
      <w:tr w:rsidR="00767353" w:rsidRPr="00064308" w14:paraId="3C3B1596" w14:textId="77777777" w:rsidTr="00604051">
        <w:tc>
          <w:tcPr>
            <w:tcW w:w="3500" w:type="pct"/>
            <w:tcBorders>
              <w:top w:val="nil"/>
              <w:bottom w:val="nil"/>
            </w:tcBorders>
            <w:shd w:val="clear" w:color="auto" w:fill="auto"/>
          </w:tcPr>
          <w:p w14:paraId="3E5D5CEF"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1EC30F9F"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(185 565.7)</w:t>
            </w:r>
          </w:p>
        </w:tc>
      </w:tr>
      <w:tr w:rsidR="00767353" w:rsidRPr="00064308" w14:paraId="66E920CD" w14:textId="77777777" w:rsidTr="00604051">
        <w:tc>
          <w:tcPr>
            <w:tcW w:w="3500" w:type="pct"/>
            <w:tcBorders>
              <w:bottom w:val="nil"/>
            </w:tcBorders>
            <w:shd w:val="clear" w:color="auto" w:fill="F1F1F1"/>
          </w:tcPr>
          <w:p w14:paraId="41B7F8A1"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Mother</m:t>
                  </m:r>
                  <m:r>
                    <m:rPr>
                      <m:sty m:val="p"/>
                    </m:rPr>
                    <w:rPr>
                      <w:rFonts w:ascii="Cambria Math" w:hAnsi="Cambria Math"/>
                    </w:rPr>
                    <m:t xml:space="preserve"> </m:t>
                  </m:r>
                  <m:r>
                    <w:rPr>
                      <w:rFonts w:ascii="Cambria Math" w:hAnsi="Cambria Math"/>
                    </w:rPr>
                    <m:t>attended</m:t>
                  </m:r>
                  <m:r>
                    <m:rPr>
                      <m:sty m:val="p"/>
                    </m:rPr>
                    <w:rPr>
                      <w:rFonts w:ascii="Cambria Math" w:hAnsi="Cambria Math"/>
                    </w:rPr>
                    <m:t xml:space="preserve"> </m:t>
                  </m:r>
                  <m:r>
                    <w:rPr>
                      <w:rFonts w:ascii="Cambria Math" w:hAnsi="Cambria Math"/>
                    </w:rPr>
                    <m:t>university</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49CA09DC"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t>406 534.4**</w:t>
            </w:r>
          </w:p>
        </w:tc>
      </w:tr>
      <w:tr w:rsidR="00767353" w:rsidRPr="00064308" w14:paraId="132E0095" w14:textId="77777777" w:rsidTr="00604051">
        <w:tc>
          <w:tcPr>
            <w:tcW w:w="3500" w:type="pct"/>
            <w:tcBorders>
              <w:top w:val="nil"/>
              <w:bottom w:val="nil"/>
            </w:tcBorders>
            <w:shd w:val="clear" w:color="auto" w:fill="auto"/>
          </w:tcPr>
          <w:p w14:paraId="189C372F"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3BFDD054"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(163 642.0)</w:t>
            </w:r>
          </w:p>
        </w:tc>
      </w:tr>
      <w:tr w:rsidR="00767353" w:rsidRPr="00064308" w14:paraId="3F4045FC" w14:textId="77777777" w:rsidTr="00604051">
        <w:tc>
          <w:tcPr>
            <w:tcW w:w="3500" w:type="pct"/>
            <w:tcBorders>
              <w:bottom w:val="nil"/>
            </w:tcBorders>
            <w:shd w:val="clear" w:color="auto" w:fill="F1F1F1"/>
          </w:tcPr>
          <w:p w14:paraId="66D91457"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Father</m:t>
                  </m:r>
                  <m:r>
                    <m:rPr>
                      <m:sty m:val="p"/>
                    </m:rPr>
                    <w:rPr>
                      <w:rFonts w:ascii="Cambria Math" w:hAnsi="Cambria Math"/>
                    </w:rPr>
                    <m:t xml:space="preserve"> </m:t>
                  </m:r>
                  <m:r>
                    <w:rPr>
                      <w:rFonts w:ascii="Cambria Math" w:hAnsi="Cambria Math"/>
                    </w:rPr>
                    <m:t>born</m:t>
                  </m:r>
                  <m:r>
                    <m:rPr>
                      <m:sty m:val="p"/>
                    </m:rPr>
                    <w:rPr>
                      <w:rFonts w:ascii="Cambria Math" w:hAnsi="Cambria Math"/>
                    </w:rPr>
                    <m:t xml:space="preserve"> </m:t>
                  </m:r>
                  <m:r>
                    <w:rPr>
                      <w:rFonts w:ascii="Cambria Math" w:hAnsi="Cambria Math"/>
                    </w:rPr>
                    <m:t>overseas</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an</m:t>
                  </m:r>
                  <m:r>
                    <m:rPr>
                      <m:sty m:val="p"/>
                    </m:rPr>
                    <w:rPr>
                      <w:rFonts w:ascii="Cambria Math" w:hAnsi="Cambria Math"/>
                    </w:rPr>
                    <m:t xml:space="preserve"> </m:t>
                  </m:r>
                  <m:r>
                    <w:rPr>
                      <w:rFonts w:ascii="Cambria Math" w:hAnsi="Cambria Math"/>
                    </w:rPr>
                    <m:t>English</m:t>
                  </m:r>
                  <m:r>
                    <m:rPr>
                      <m:sty m:val="p"/>
                    </m:rPr>
                    <w:rPr>
                      <w:rFonts w:ascii="Cambria Math" w:hAnsi="Cambria Math"/>
                    </w:rPr>
                    <m:t xml:space="preserve"> </m:t>
                  </m:r>
                  <m:r>
                    <w:rPr>
                      <w:rFonts w:ascii="Cambria Math" w:hAnsi="Cambria Math"/>
                    </w:rPr>
                    <m:t>speaking</m:t>
                  </m:r>
                  <m:r>
                    <m:rPr>
                      <m:sty m:val="p"/>
                    </m:rPr>
                    <w:rPr>
                      <w:rFonts w:ascii="Cambria Math" w:hAnsi="Cambria Math"/>
                    </w:rPr>
                    <m:t xml:space="preserve"> </m:t>
                  </m:r>
                  <m:r>
                    <w:rPr>
                      <w:rFonts w:ascii="Cambria Math" w:hAnsi="Cambria Math"/>
                    </w:rPr>
                    <m:t>country</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30EE40FF"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251 839.7*</w:t>
            </w:r>
          </w:p>
        </w:tc>
      </w:tr>
      <w:tr w:rsidR="00767353" w:rsidRPr="00064308" w14:paraId="10204199" w14:textId="77777777" w:rsidTr="00604051">
        <w:tc>
          <w:tcPr>
            <w:tcW w:w="3500" w:type="pct"/>
            <w:tcBorders>
              <w:top w:val="nil"/>
              <w:bottom w:val="nil"/>
            </w:tcBorders>
            <w:shd w:val="clear" w:color="auto" w:fill="auto"/>
          </w:tcPr>
          <w:p w14:paraId="1FC9BC1A"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1941E5F9"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(129 207.6)</w:t>
            </w:r>
          </w:p>
        </w:tc>
      </w:tr>
      <w:tr w:rsidR="00767353" w:rsidRPr="00064308" w14:paraId="5286EE89" w14:textId="77777777" w:rsidTr="00604051">
        <w:tc>
          <w:tcPr>
            <w:tcW w:w="3500" w:type="pct"/>
            <w:tcBorders>
              <w:bottom w:val="nil"/>
            </w:tcBorders>
            <w:shd w:val="clear" w:color="auto" w:fill="F1F1F1"/>
          </w:tcPr>
          <w:p w14:paraId="408150A4"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Father</m:t>
                  </m:r>
                  <m:r>
                    <m:rPr>
                      <m:sty m:val="p"/>
                    </m:rPr>
                    <w:rPr>
                      <w:rFonts w:ascii="Cambria Math" w:hAnsi="Cambria Math"/>
                    </w:rPr>
                    <m:t xml:space="preserve"> </m:t>
                  </m:r>
                  <m:r>
                    <w:rPr>
                      <w:rFonts w:ascii="Cambria Math" w:hAnsi="Cambria Math"/>
                    </w:rPr>
                    <m:t>born</m:t>
                  </m:r>
                  <m:r>
                    <m:rPr>
                      <m:sty m:val="p"/>
                    </m:rPr>
                    <w:rPr>
                      <w:rFonts w:ascii="Cambria Math" w:hAnsi="Cambria Math"/>
                    </w:rPr>
                    <m:t xml:space="preserve"> </m:t>
                  </m:r>
                  <m:r>
                    <w:rPr>
                      <w:rFonts w:ascii="Cambria Math" w:hAnsi="Cambria Math"/>
                    </w:rPr>
                    <m:t>overseas</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non</m:t>
                  </m:r>
                  <m:r>
                    <m:rPr>
                      <m:sty m:val="p"/>
                    </m:rPr>
                    <w:rPr>
                      <w:rFonts w:ascii="Cambria Math" w:hAnsi="Cambria Math"/>
                    </w:rPr>
                    <m:t xml:space="preserve"> </m:t>
                  </m:r>
                  <m:r>
                    <w:rPr>
                      <w:rFonts w:ascii="Cambria Math" w:hAnsi="Cambria Math"/>
                    </w:rPr>
                    <m:t>English</m:t>
                  </m:r>
                  <m:r>
                    <m:rPr>
                      <m:sty m:val="p"/>
                    </m:rPr>
                    <w:rPr>
                      <w:rFonts w:ascii="Cambria Math" w:hAnsi="Cambria Math"/>
                    </w:rPr>
                    <m:t xml:space="preserve"> </m:t>
                  </m:r>
                  <m:r>
                    <w:rPr>
                      <w:rFonts w:ascii="Cambria Math" w:hAnsi="Cambria Math"/>
                    </w:rPr>
                    <m:t>speaking</m:t>
                  </m:r>
                  <m:r>
                    <m:rPr>
                      <m:sty m:val="p"/>
                    </m:rPr>
                    <w:rPr>
                      <w:rFonts w:ascii="Cambria Math" w:hAnsi="Cambria Math"/>
                    </w:rPr>
                    <m:t xml:space="preserve">  </m:t>
                  </m:r>
                  <m:r>
                    <w:rPr>
                      <w:rFonts w:ascii="Cambria Math" w:hAnsi="Cambria Math"/>
                    </w:rPr>
                    <m:t>country</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3BFF770C"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347 141.4***</w:t>
            </w:r>
          </w:p>
        </w:tc>
      </w:tr>
      <w:tr w:rsidR="00767353" w:rsidRPr="00064308" w14:paraId="1ED83DB1" w14:textId="77777777" w:rsidTr="00604051">
        <w:tc>
          <w:tcPr>
            <w:tcW w:w="3500" w:type="pct"/>
            <w:tcBorders>
              <w:top w:val="nil"/>
              <w:bottom w:val="nil"/>
            </w:tcBorders>
            <w:shd w:val="clear" w:color="auto" w:fill="auto"/>
          </w:tcPr>
          <w:p w14:paraId="1D79DC2E"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6700A574"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(130 004.4)</w:t>
            </w:r>
          </w:p>
        </w:tc>
      </w:tr>
      <w:tr w:rsidR="00767353" w:rsidRPr="00064308" w14:paraId="09E511B9" w14:textId="77777777" w:rsidTr="00604051">
        <w:tc>
          <w:tcPr>
            <w:tcW w:w="3500" w:type="pct"/>
            <w:tcBorders>
              <w:bottom w:val="nil"/>
            </w:tcBorders>
            <w:shd w:val="clear" w:color="auto" w:fill="F1F1F1"/>
          </w:tcPr>
          <w:p w14:paraId="68C36E03" w14:textId="77777777" w:rsidR="00767353" w:rsidRPr="0040445D" w:rsidRDefault="00B2270C" w:rsidP="00604051">
            <w:pPr>
              <w:pStyle w:val="TableBodyText"/>
              <w:spacing w:before="45" w:after="45"/>
              <w:ind w:left="57" w:right="108"/>
              <w:jc w:val="left"/>
              <w:rPr>
                <w:rFonts w:ascii="Arial (Body)" w:hAnsi="Arial (Body)"/>
                <w:bCs/>
              </w:rPr>
            </w:pPr>
            <m:oMath>
              <m:sSub>
                <m:sSubPr>
                  <m:ctrlPr>
                    <w:rPr>
                      <w:rFonts w:ascii="Cambria Math" w:hAnsi="Cambria Math"/>
                      <w:bCs/>
                    </w:rPr>
                  </m:ctrlPr>
                </m:sSubPr>
                <m:e>
                  <m:r>
                    <w:rPr>
                      <w:rFonts w:ascii="Cambria Math" w:hAnsi="Cambria Math"/>
                    </w:rPr>
                    <m:t>Has</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least</m:t>
                  </m:r>
                  <m:r>
                    <m:rPr>
                      <m:sty m:val="p"/>
                    </m:rPr>
                    <w:rPr>
                      <w:rFonts w:ascii="Cambria Math" w:hAnsi="Cambria Math"/>
                    </w:rPr>
                    <m:t xml:space="preserve"> </m:t>
                  </m:r>
                  <m:r>
                    <w:rPr>
                      <w:rFonts w:ascii="Cambria Math" w:hAnsi="Cambria Math"/>
                    </w:rPr>
                    <m:t>one</m:t>
                  </m:r>
                  <m:r>
                    <m:rPr>
                      <m:sty m:val="p"/>
                    </m:rPr>
                    <w:rPr>
                      <w:rFonts w:ascii="Cambria Math" w:hAnsi="Cambria Math"/>
                    </w:rPr>
                    <m:t xml:space="preserve"> </m:t>
                  </m:r>
                  <m:r>
                    <w:rPr>
                      <w:rFonts w:ascii="Cambria Math" w:hAnsi="Cambria Math"/>
                    </w:rPr>
                    <m:t>child</m:t>
                  </m:r>
                  <m:r>
                    <m:rPr>
                      <m:sty m:val="p"/>
                    </m:rPr>
                    <w:rPr>
                      <w:rFonts w:ascii="Cambria Math" w:hAnsi="Cambria Math"/>
                    </w:rPr>
                    <m:t xml:space="preserve"> </m:t>
                  </m:r>
                  <m:r>
                    <w:rPr>
                      <w:rFonts w:ascii="Cambria Math" w:hAnsi="Cambria Math"/>
                    </w:rPr>
                    <m:t>born</m:t>
                  </m:r>
                  <m:r>
                    <m:rPr>
                      <m:sty m:val="p"/>
                    </m:rPr>
                    <w:rPr>
                      <w:rFonts w:ascii="Cambria Math" w:hAnsi="Cambria Math"/>
                    </w:rPr>
                    <m:t xml:space="preserve"> </m:t>
                  </m:r>
                  <m:r>
                    <w:rPr>
                      <w:rFonts w:ascii="Cambria Math" w:hAnsi="Cambria Math"/>
                    </w:rPr>
                    <m:t>between</m:t>
                  </m:r>
                  <m:r>
                    <m:rPr>
                      <m:sty m:val="p"/>
                    </m:rPr>
                    <w:rPr>
                      <w:rFonts w:ascii="Cambria Math" w:hAnsi="Cambria Math"/>
                    </w:rPr>
                    <m:t xml:space="preserve"> 1944 </m:t>
                  </m:r>
                  <m:r>
                    <w:rPr>
                      <w:rFonts w:ascii="Cambria Math" w:hAnsi="Cambria Math"/>
                    </w:rPr>
                    <m:t>and</m:t>
                  </m:r>
                  <m:r>
                    <m:rPr>
                      <m:sty m:val="p"/>
                    </m:rPr>
                    <w:rPr>
                      <w:rFonts w:ascii="Cambria Math" w:hAnsi="Cambria Math"/>
                    </w:rPr>
                    <m:t xml:space="preserve"> 1954</m:t>
                  </m:r>
                </m:e>
                <m:sub>
                  <m:r>
                    <w:rPr>
                      <w:rFonts w:ascii="Cambria Math" w:hAnsi="Cambria Math"/>
                    </w:rPr>
                    <m:t>i</m:t>
                  </m:r>
                </m:sub>
              </m:sSub>
            </m:oMath>
            <w:r w:rsidR="00767353" w:rsidRPr="0040445D">
              <w:rPr>
                <w:rFonts w:ascii="Arial (Body)" w:hAnsi="Arial (Body)"/>
                <w:bCs/>
              </w:rPr>
              <w:t xml:space="preserve"> </w:t>
            </w:r>
            <w:r w:rsidR="00767353" w:rsidRPr="00FF36C4">
              <w:rPr>
                <w:rStyle w:val="BodyTextChar"/>
                <w:rFonts w:eastAsiaTheme="majorEastAsia"/>
                <w:b/>
                <w:bCs/>
                <w:vertAlign w:val="superscript"/>
              </w:rPr>
              <w:t>b</w:t>
            </w:r>
          </w:p>
        </w:tc>
        <w:tc>
          <w:tcPr>
            <w:tcW w:w="1500" w:type="pct"/>
            <w:tcBorders>
              <w:bottom w:val="nil"/>
            </w:tcBorders>
            <w:shd w:val="clear" w:color="auto" w:fill="F1F1F1"/>
          </w:tcPr>
          <w:p w14:paraId="2C606A91"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t>33 452.1</w:t>
            </w:r>
          </w:p>
        </w:tc>
      </w:tr>
      <w:tr w:rsidR="00767353" w:rsidRPr="00064308" w14:paraId="6CF5BF33" w14:textId="77777777" w:rsidTr="00604051">
        <w:tc>
          <w:tcPr>
            <w:tcW w:w="3500" w:type="pct"/>
            <w:tcBorders>
              <w:top w:val="nil"/>
              <w:bottom w:val="nil"/>
            </w:tcBorders>
            <w:shd w:val="clear" w:color="auto" w:fill="auto"/>
          </w:tcPr>
          <w:p w14:paraId="33E59FE7" w14:textId="77777777" w:rsidR="00767353" w:rsidRPr="0040445D" w:rsidRDefault="00767353" w:rsidP="00604051">
            <w:pPr>
              <w:pStyle w:val="TableBodyText"/>
              <w:spacing w:before="45" w:after="45"/>
              <w:ind w:left="57" w:right="108"/>
              <w:jc w:val="left"/>
              <w:rPr>
                <w:rFonts w:ascii="Arial (Body)" w:hAnsi="Arial (Body)"/>
                <w:bCs/>
              </w:rPr>
            </w:pPr>
          </w:p>
        </w:tc>
        <w:tc>
          <w:tcPr>
            <w:tcW w:w="1500" w:type="pct"/>
            <w:tcBorders>
              <w:top w:val="nil"/>
              <w:bottom w:val="nil"/>
            </w:tcBorders>
            <w:shd w:val="clear" w:color="auto" w:fill="auto"/>
          </w:tcPr>
          <w:p w14:paraId="0B343584"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(111 782.1)</w:t>
            </w:r>
          </w:p>
        </w:tc>
      </w:tr>
      <w:tr w:rsidR="00767353" w:rsidRPr="00064308" w14:paraId="62E4511F" w14:textId="77777777" w:rsidTr="00604051">
        <w:tc>
          <w:tcPr>
            <w:tcW w:w="3500" w:type="pct"/>
            <w:tcBorders>
              <w:bottom w:val="nil"/>
            </w:tcBorders>
            <w:shd w:val="clear" w:color="auto" w:fill="F1F1F1"/>
          </w:tcPr>
          <w:p w14:paraId="2AB4F4D9" w14:textId="77777777" w:rsidR="00767353" w:rsidRPr="0040445D" w:rsidRDefault="00767353" w:rsidP="00604051">
            <w:pPr>
              <w:pStyle w:val="TableBodyText"/>
              <w:spacing w:before="45" w:after="45"/>
              <w:ind w:left="57" w:right="108"/>
              <w:jc w:val="left"/>
              <w:rPr>
                <w:rFonts w:ascii="Arial (Body)" w:hAnsi="Arial (Body)"/>
                <w:bCs/>
              </w:rPr>
            </w:pPr>
            <m:oMath>
              <m:r>
                <w:rPr>
                  <w:rFonts w:ascii="Cambria Math" w:hAnsi="Cambria Math"/>
                  <w:szCs w:val="14"/>
                </w:rPr>
                <m:t>Constant</m:t>
              </m:r>
            </m:oMath>
            <w:r w:rsidRPr="0040445D">
              <w:rPr>
                <w:rFonts w:ascii="Arial (Body)" w:hAnsi="Arial (Body)"/>
                <w:bCs/>
                <w:szCs w:val="14"/>
              </w:rPr>
              <w:t xml:space="preserve"> </w:t>
            </w:r>
          </w:p>
        </w:tc>
        <w:tc>
          <w:tcPr>
            <w:tcW w:w="1500" w:type="pct"/>
            <w:tcBorders>
              <w:bottom w:val="nil"/>
            </w:tcBorders>
            <w:shd w:val="clear" w:color="auto" w:fill="F1F1F1"/>
          </w:tcPr>
          <w:p w14:paraId="7B220344" w14:textId="77777777" w:rsidR="00767353" w:rsidRPr="00064308" w:rsidRDefault="00767353" w:rsidP="00604051">
            <w:pPr>
              <w:pStyle w:val="TableBodyText"/>
              <w:spacing w:before="45" w:after="45"/>
              <w:ind w:left="57" w:right="108"/>
              <w:rPr>
                <w:rFonts w:ascii="Arial (Body)" w:hAnsi="Arial (Body)"/>
                <w:bCs/>
                <w:color w:val="000000"/>
              </w:rPr>
            </w:pPr>
            <w:r w:rsidRPr="00064308">
              <w:rPr>
                <w:rFonts w:ascii="Arial (Body)" w:hAnsi="Arial (Body)"/>
                <w:bCs/>
                <w:color w:val="000000"/>
              </w:rPr>
              <w:noBreakHyphen/>
              <w:t>2 280 790 000***</w:t>
            </w:r>
          </w:p>
        </w:tc>
      </w:tr>
      <w:tr w:rsidR="00767353" w:rsidRPr="00064308" w14:paraId="333F4001" w14:textId="77777777" w:rsidTr="00604051">
        <w:tc>
          <w:tcPr>
            <w:tcW w:w="3500" w:type="pct"/>
            <w:tcBorders>
              <w:top w:val="nil"/>
              <w:bottom w:val="nil"/>
            </w:tcBorders>
            <w:shd w:val="clear" w:color="auto" w:fill="auto"/>
          </w:tcPr>
          <w:p w14:paraId="6C08F132" w14:textId="77777777" w:rsidR="00767353" w:rsidRPr="0040445D" w:rsidRDefault="00767353" w:rsidP="00604051">
            <w:pPr>
              <w:pStyle w:val="TableBodyText"/>
              <w:spacing w:before="45" w:after="45"/>
              <w:ind w:left="57" w:right="108"/>
              <w:jc w:val="left"/>
              <w:rPr>
                <w:rFonts w:ascii="Arial (Body)" w:hAnsi="Arial (Body)"/>
                <w:b/>
              </w:rPr>
            </w:pPr>
          </w:p>
        </w:tc>
        <w:tc>
          <w:tcPr>
            <w:tcW w:w="1500" w:type="pct"/>
            <w:tcBorders>
              <w:top w:val="nil"/>
              <w:bottom w:val="nil"/>
            </w:tcBorders>
            <w:shd w:val="clear" w:color="auto" w:fill="auto"/>
          </w:tcPr>
          <w:p w14:paraId="2E19EA53"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(685 563 712.4)</w:t>
            </w:r>
          </w:p>
        </w:tc>
      </w:tr>
      <w:tr w:rsidR="00767353" w:rsidRPr="00064308" w14:paraId="4470071E" w14:textId="77777777" w:rsidTr="00604051">
        <w:tc>
          <w:tcPr>
            <w:tcW w:w="3500" w:type="pct"/>
            <w:tcBorders>
              <w:bottom w:val="single" w:sz="4" w:space="0" w:color="B3B3B3"/>
            </w:tcBorders>
            <w:shd w:val="clear" w:color="auto" w:fill="F1F1F1"/>
          </w:tcPr>
          <w:p w14:paraId="1C8735A4" w14:textId="77777777" w:rsidR="00767353" w:rsidRPr="00AC375F" w:rsidRDefault="00767353" w:rsidP="00604051">
            <w:pPr>
              <w:pStyle w:val="TableBodyText"/>
              <w:spacing w:before="45" w:after="45"/>
              <w:ind w:left="57" w:right="108"/>
              <w:jc w:val="left"/>
              <w:rPr>
                <w:rFonts w:ascii="Arial (Body)" w:hAnsi="Arial (Body)"/>
                <w:bCs/>
              </w:rPr>
            </w:pPr>
            <w:r w:rsidRPr="00AC375F">
              <w:rPr>
                <w:rFonts w:ascii="Arial (Body)" w:hAnsi="Arial (Body)"/>
                <w:bCs/>
              </w:rPr>
              <w:t xml:space="preserve">Number of observations </w:t>
            </w:r>
          </w:p>
        </w:tc>
        <w:tc>
          <w:tcPr>
            <w:tcW w:w="1500" w:type="pct"/>
            <w:tcBorders>
              <w:bottom w:val="single" w:sz="4" w:space="0" w:color="B3B3B3"/>
            </w:tcBorders>
            <w:shd w:val="clear" w:color="auto" w:fill="F1F1F1"/>
          </w:tcPr>
          <w:p w14:paraId="0A218ECD" w14:textId="77777777" w:rsidR="00767353" w:rsidRPr="00064308" w:rsidRDefault="00767353" w:rsidP="00604051">
            <w:pPr>
              <w:pStyle w:val="TableBodyText"/>
              <w:spacing w:before="45" w:after="45"/>
              <w:ind w:left="57" w:right="108"/>
              <w:rPr>
                <w:rFonts w:ascii="Arial (Body)" w:hAnsi="Arial (Body)"/>
                <w:color w:val="000000"/>
              </w:rPr>
            </w:pPr>
            <w:r w:rsidRPr="00064308">
              <w:rPr>
                <w:rFonts w:ascii="Arial (Body)" w:hAnsi="Arial (Body)"/>
                <w:color w:val="000000"/>
              </w:rPr>
              <w:t>487</w:t>
            </w:r>
          </w:p>
        </w:tc>
      </w:tr>
    </w:tbl>
    <w:p w14:paraId="18CDF007" w14:textId="5D13816C" w:rsidR="00767353" w:rsidRDefault="00767353" w:rsidP="00767353">
      <w:pPr>
        <w:pStyle w:val="Note"/>
      </w:pPr>
      <w:r w:rsidRPr="00C36914">
        <w:rPr>
          <w:b/>
          <w:bCs/>
        </w:rPr>
        <w:t>a.</w:t>
      </w:r>
      <w:r w:rsidRPr="00C36914">
        <w:t xml:space="preserve"> </w:t>
      </w:r>
      <w:r w:rsidRPr="00064308">
        <w:t xml:space="preserve">* indicates statistical significance at the 10 per cent level of significance, ** indicates significance at the 5 per cent level of significance, and *** indicates significance at the 1 per cent level of significance. </w:t>
      </w:r>
      <w:r w:rsidRPr="00064308">
        <w:rPr>
          <w:b/>
        </w:rPr>
        <w:t>b</w:t>
      </w:r>
      <w:r w:rsidR="005E6456">
        <w:rPr>
          <w:b/>
        </w:rPr>
        <w:t>.</w:t>
      </w:r>
      <w:r w:rsidRPr="00064308">
        <w:t xml:space="preserve"> 1/0 dummy variables, where 1 indicates ‘true’. </w:t>
      </w:r>
      <w:r w:rsidRPr="00064308">
        <w:rPr>
          <w:b/>
        </w:rPr>
        <w:t>c</w:t>
      </w:r>
      <w:r w:rsidRPr="00064308">
        <w:t xml:space="preserve"> The following variables were excluded because they were found to be highly statistically insignificant: </w:t>
      </w:r>
      <m:oMath>
        <m:sSub>
          <m:sSubPr>
            <m:ctrlPr>
              <w:rPr>
                <w:rFonts w:ascii="Cambria Math" w:hAnsi="Cambria Math"/>
                <w:i/>
              </w:rPr>
            </m:ctrlPr>
          </m:sSubPr>
          <m:e>
            <m:r>
              <w:rPr>
                <w:rFonts w:ascii="Cambria Math" w:hAnsi="Cambria Math"/>
              </w:rPr>
              <m:t>Mother's year of birth</m:t>
            </m:r>
          </m:e>
          <m:sub>
            <m:r>
              <w:rPr>
                <w:rFonts w:ascii="Cambria Math" w:hAnsi="Cambria Math"/>
              </w:rPr>
              <m:t>i</m:t>
            </m:r>
          </m:sub>
        </m:sSub>
      </m:oMath>
      <w:r w:rsidRPr="00064308">
        <w:t xml:space="preserve">, </w:t>
      </w:r>
      <m:oMath>
        <m:sSubSup>
          <m:sSubSupPr>
            <m:ctrlPr>
              <w:rPr>
                <w:rFonts w:ascii="Cambria Math" w:hAnsi="Cambria Math"/>
                <w:i/>
              </w:rPr>
            </m:ctrlPr>
          </m:sSubSupPr>
          <m:e>
            <m:r>
              <w:rPr>
                <w:rFonts w:ascii="Cambria Math" w:hAnsi="Cambria Math"/>
              </w:rPr>
              <m:t>Mother's year of birth</m:t>
            </m:r>
          </m:e>
          <m:sub>
            <m:r>
              <w:rPr>
                <w:rFonts w:ascii="Cambria Math" w:hAnsi="Cambria Math"/>
              </w:rPr>
              <m:t>i</m:t>
            </m:r>
          </m:sub>
          <m:sup>
            <m:r>
              <w:rPr>
                <w:rFonts w:ascii="Cambria Math" w:hAnsi="Cambria Math"/>
              </w:rPr>
              <m:t>2</m:t>
            </m:r>
          </m:sup>
        </m:sSubSup>
      </m:oMath>
      <w:r w:rsidRPr="00064308">
        <w:t xml:space="preserve">, </w:t>
      </w:r>
      <m:oMath>
        <m:sSub>
          <m:sSubPr>
            <m:ctrlPr>
              <w:rPr>
                <w:rFonts w:ascii="Cambria Math" w:hAnsi="Cambria Math"/>
                <w:i/>
              </w:rPr>
            </m:ctrlPr>
          </m:sSubPr>
          <m:e>
            <m:r>
              <w:rPr>
                <w:rFonts w:ascii="Cambria Math" w:hAnsi="Cambria Math"/>
              </w:rPr>
              <m:t>Mother born overseas in an English speaking country</m:t>
            </m:r>
          </m:e>
          <m:sub>
            <m:r>
              <w:rPr>
                <w:rFonts w:ascii="Cambria Math" w:hAnsi="Cambria Math"/>
              </w:rPr>
              <m:t>i</m:t>
            </m:r>
          </m:sub>
        </m:sSub>
      </m:oMath>
      <w:r w:rsidRPr="00064308">
        <w:t xml:space="preserve"> </w:t>
      </w:r>
      <m:oMath>
        <m:sSub>
          <m:sSubPr>
            <m:ctrlPr>
              <w:rPr>
                <w:rFonts w:ascii="Cambria Math" w:hAnsi="Cambria Math"/>
                <w:i/>
              </w:rPr>
            </m:ctrlPr>
          </m:sSubPr>
          <m:e>
            <m:r>
              <w:rPr>
                <w:rFonts w:ascii="Cambria Math" w:hAnsi="Cambria Math"/>
              </w:rPr>
              <m:t>Mother born overseas in a non English speaking country</m:t>
            </m:r>
          </m:e>
          <m:sub>
            <m:r>
              <w:rPr>
                <w:rFonts w:ascii="Cambria Math" w:hAnsi="Cambria Math"/>
              </w:rPr>
              <m:t>i</m:t>
            </m:r>
          </m:sub>
        </m:sSub>
      </m:oMath>
      <w:r w:rsidRPr="00064308">
        <w:t>.</w:t>
      </w:r>
    </w:p>
    <w:p w14:paraId="2F7E0620" w14:textId="77777777" w:rsidR="00767353" w:rsidRDefault="00767353" w:rsidP="00767353">
      <w:pPr>
        <w:pStyle w:val="Source"/>
      </w:pPr>
      <w:r w:rsidRPr="00696447">
        <w:t xml:space="preserve">Source: </w:t>
      </w:r>
      <w:r>
        <w:t>Productivity Commission estimates based on HILDA Restricted Release 19.</w:t>
      </w:r>
    </w:p>
    <w:p w14:paraId="10BDBB57" w14:textId="77777777" w:rsidR="00767353" w:rsidRDefault="00767353" w:rsidP="00767353">
      <w:pPr>
        <w:pStyle w:val="BodyText"/>
      </w:pPr>
      <w:r>
        <w:t xml:space="preserve">Using this model, the wealth at death of each child’s second parent to die is estimated by applying the coefficients from table B.1 to the corresponding data the children reported about their parents. Hence, a new estimate of parents’ wealth at death independent of the inheritance the child reported receiving is generated. </w:t>
      </w:r>
      <w:r>
        <w:lastRenderedPageBreak/>
        <w:t>Hereafter, this new estimate is referred to as the ‘demography</w:t>
      </w:r>
      <w:r>
        <w:noBreakHyphen/>
        <w:t>based estimate’ as opposed to the ‘inheritance</w:t>
      </w:r>
      <w:r>
        <w:noBreakHyphen/>
        <w:t>based estimate’ defined above.</w:t>
      </w:r>
    </w:p>
    <w:p w14:paraId="697365CC" w14:textId="2706D43E" w:rsidR="00137587" w:rsidRDefault="00631E74" w:rsidP="00910C09">
      <w:pPr>
        <w:pStyle w:val="Heading4"/>
      </w:pPr>
      <w:r>
        <w:t xml:space="preserve">Step 3: </w:t>
      </w:r>
      <w:r w:rsidR="00DF6A17">
        <w:t>Derivation of representative sample</w:t>
      </w:r>
      <w:r w:rsidR="009268D6">
        <w:t>s</w:t>
      </w:r>
    </w:p>
    <w:p w14:paraId="59C8B78B" w14:textId="77777777" w:rsidR="00767353" w:rsidRDefault="00767353" w:rsidP="00767353">
      <w:pPr>
        <w:pStyle w:val="BodyText"/>
      </w:pPr>
      <w:r>
        <w:t>The demography</w:t>
      </w:r>
      <w:r>
        <w:noBreakHyphen/>
        <w:t>based and inheritance</w:t>
      </w:r>
      <w:r>
        <w:noBreakHyphen/>
        <w:t>based estimates of parents’ wealth at death are then compared to test possible explanations for the non</w:t>
      </w:r>
      <w:r>
        <w:noBreakHyphen/>
        <w:t>reporting. Probit regressions of the following form are estimated to test whether the non</w:t>
      </w:r>
      <w:r>
        <w:noBreakHyphen/>
        <w:t>reporting is correlated with the demography</w:t>
      </w:r>
      <w:r>
        <w:noBreakHyphen/>
        <w:t>based estimate of parent wealth at death:</w:t>
      </w:r>
    </w:p>
    <w:p w14:paraId="04363F85" w14:textId="77777777" w:rsidR="00767353" w:rsidRPr="0013784F" w:rsidRDefault="00767353" w:rsidP="00767353">
      <w:pPr>
        <w:pStyle w:val="BodyText"/>
        <w:rPr>
          <w:i/>
        </w:rPr>
      </w:pPr>
      <m:oMathPara>
        <m:oMath>
          <m:r>
            <m:rPr>
              <m:sty m:val="p"/>
            </m:rPr>
            <w:rPr>
              <w:rFonts w:ascii="Cambria Math" w:hAnsi="Cambria Math"/>
            </w:rPr>
            <m:t>Pr</m:t>
          </m:r>
          <m:d>
            <m:dPr>
              <m:endChr m:val="|"/>
              <m:ctrlPr>
                <w:rPr>
                  <w:rFonts w:ascii="Cambria Math" w:hAnsi="Cambria Math"/>
                  <w:iCs/>
                </w:rPr>
              </m:ctrlPr>
            </m:dPr>
            <m:e>
              <m:sSub>
                <m:sSubPr>
                  <m:ctrlPr>
                    <w:rPr>
                      <w:rFonts w:ascii="Cambria Math" w:hAnsi="Cambria Math"/>
                      <w:i/>
                    </w:rPr>
                  </m:ctrlPr>
                </m:sSubPr>
                <m:e>
                  <m:r>
                    <w:rPr>
                      <w:rFonts w:ascii="Cambria Math" w:hAnsi="Cambria Math"/>
                    </w:rPr>
                    <m:t>Inheritance reported</m:t>
                  </m:r>
                </m:e>
                <m:sub>
                  <m:r>
                    <w:rPr>
                      <w:rFonts w:ascii="Cambria Math" w:hAnsi="Cambria Math"/>
                    </w:rPr>
                    <m:t>i</m:t>
                  </m:r>
                </m:sub>
              </m:sSub>
              <m:r>
                <w:rPr>
                  <w:rFonts w:ascii="Cambria Math" w:hAnsi="Cambria Math"/>
                </w:rPr>
                <m:t>=1</m:t>
              </m:r>
              <m:ctrlPr>
                <w:rPr>
                  <w:rFonts w:ascii="Cambria Math" w:hAnsi="Cambria Math"/>
                  <w:i/>
                </w:rPr>
              </m:ctrlPr>
            </m:e>
          </m:d>
          <m:sSub>
            <m:sSubPr>
              <m:ctrlPr>
                <w:rPr>
                  <w:rFonts w:ascii="Cambria Math" w:hAnsi="Cambria Math"/>
                  <w:i/>
                </w:rPr>
              </m:ctrlPr>
            </m:sSubPr>
            <m:e>
              <m:r>
                <w:rPr>
                  <w:rFonts w:ascii="Cambria Math" w:hAnsi="Cambria Math"/>
                </w:rPr>
                <m:t>Parent wealth (demography estimate)</m:t>
              </m:r>
            </m:e>
            <m:sub>
              <m:r>
                <w:rPr>
                  <w:rFonts w:ascii="Cambria Math" w:hAnsi="Cambria Math"/>
                </w:rPr>
                <m:t>i</m:t>
              </m:r>
            </m:sub>
          </m:sSub>
          <m:r>
            <w:rPr>
              <w:rFonts w:ascii="Cambria Math" w:hAnsi="Cambria Math"/>
            </w:rPr>
            <m:t xml:space="preserve">)= </m:t>
          </m:r>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Parent wealth (demography estimate)</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ε</m:t>
                  </m:r>
                </m:e>
                <m:sub>
                  <m:r>
                    <w:rPr>
                      <w:rFonts w:ascii="Cambria Math" w:hAnsi="Cambria Math"/>
                    </w:rPr>
                    <m:t>i</m:t>
                  </m:r>
                </m:sub>
              </m:sSub>
            </m:e>
          </m:d>
        </m:oMath>
      </m:oMathPara>
    </w:p>
    <w:p w14:paraId="302F73A3" w14:textId="77777777" w:rsidR="00767353" w:rsidRDefault="00767353" w:rsidP="00767353">
      <w:pPr>
        <w:pStyle w:val="BodyText"/>
      </w:pPr>
      <w:r>
        <w:t>Where:</w:t>
      </w:r>
    </w:p>
    <w:p w14:paraId="2773EF09" w14:textId="77777777" w:rsidR="00767353" w:rsidRDefault="00B2270C" w:rsidP="00767353">
      <w:pPr>
        <w:pStyle w:val="ListBullet"/>
      </w:pPr>
      <m:oMath>
        <m:sSub>
          <m:sSubPr>
            <m:ctrlPr>
              <w:rPr>
                <w:rFonts w:ascii="Cambria Math" w:hAnsi="Cambria Math"/>
              </w:rPr>
            </m:ctrlPr>
          </m:sSubPr>
          <m:e>
            <m:r>
              <w:rPr>
                <w:rFonts w:ascii="Cambria Math" w:hAnsi="Cambria Math"/>
              </w:rPr>
              <m:t>Inheritance</m:t>
            </m:r>
            <m:r>
              <m:rPr>
                <m:sty m:val="p"/>
              </m:rPr>
              <w:rPr>
                <w:rFonts w:ascii="Cambria Math" w:hAnsi="Cambria Math"/>
              </w:rPr>
              <m:t xml:space="preserve"> </m:t>
            </m:r>
            <m:r>
              <w:rPr>
                <w:rFonts w:ascii="Cambria Math" w:hAnsi="Cambria Math"/>
              </w:rPr>
              <m:t>reported</m:t>
            </m:r>
          </m:e>
          <m:sub>
            <m:r>
              <w:rPr>
                <w:rFonts w:ascii="Cambria Math" w:hAnsi="Cambria Math"/>
              </w:rPr>
              <m:t>i</m:t>
            </m:r>
          </m:sub>
        </m:sSub>
      </m:oMath>
      <w:r w:rsidR="00767353">
        <w:t xml:space="preserve"> equals </w:t>
      </w:r>
      <m:oMath>
        <m:r>
          <w:rPr>
            <w:rFonts w:ascii="Cambria Math" w:hAnsi="Cambria Math"/>
          </w:rPr>
          <m:t>1</m:t>
        </m:r>
      </m:oMath>
      <w:r w:rsidR="00767353">
        <w:t xml:space="preserve"> if child </w:t>
      </w:r>
      <m:oMath>
        <m:r>
          <w:rPr>
            <w:rFonts w:ascii="Cambria Math" w:hAnsi="Cambria Math"/>
          </w:rPr>
          <m:t>i</m:t>
        </m:r>
      </m:oMath>
      <w:r w:rsidR="00767353">
        <w:t xml:space="preserve"> reports receiving an inheritance and </w:t>
      </w:r>
      <m:oMath>
        <m:r>
          <w:rPr>
            <w:rFonts w:ascii="Cambria Math" w:hAnsi="Cambria Math"/>
          </w:rPr>
          <m:t>0</m:t>
        </m:r>
      </m:oMath>
      <w:r w:rsidR="00767353">
        <w:t xml:space="preserve"> otherwise</w:t>
      </w:r>
    </w:p>
    <w:p w14:paraId="25A5F64D" w14:textId="77777777" w:rsidR="00767353" w:rsidRDefault="00B2270C" w:rsidP="00767353">
      <w:pPr>
        <w:pStyle w:val="ListBullet"/>
      </w:pPr>
      <m:oMath>
        <m:sSub>
          <m:sSubPr>
            <m:ctrlPr>
              <w:rPr>
                <w:rFonts w:ascii="Cambria Math" w:hAnsi="Cambria Math"/>
                <w:i/>
              </w:rPr>
            </m:ctrlPr>
          </m:sSubPr>
          <m:e>
            <m:r>
              <w:rPr>
                <w:rFonts w:ascii="Cambria Math" w:hAnsi="Cambria Math"/>
              </w:rPr>
              <m:t>Parent wealth (demography estimate)</m:t>
            </m:r>
          </m:e>
          <m:sub>
            <m:r>
              <w:rPr>
                <w:rFonts w:ascii="Cambria Math" w:hAnsi="Cambria Math"/>
              </w:rPr>
              <m:t>i</m:t>
            </m:r>
          </m:sub>
        </m:sSub>
      </m:oMath>
      <w:r w:rsidR="00767353">
        <w:t xml:space="preserve"> is the demography</w:t>
      </w:r>
      <w:r w:rsidR="00767353">
        <w:noBreakHyphen/>
        <w:t xml:space="preserve">based estimate of the wealth at death of child </w:t>
      </w:r>
      <m:oMath>
        <m:r>
          <w:rPr>
            <w:rFonts w:ascii="Cambria Math" w:hAnsi="Cambria Math"/>
          </w:rPr>
          <m:t>i</m:t>
        </m:r>
      </m:oMath>
      <w:r w:rsidR="00767353">
        <w:t>’s second parent to die</w:t>
      </w:r>
    </w:p>
    <w:p w14:paraId="6AE6AD21" w14:textId="77777777" w:rsidR="00767353" w:rsidRDefault="00767353" w:rsidP="00767353">
      <w:pPr>
        <w:pStyle w:val="ListBullet"/>
      </w:pPr>
      <m:oMath>
        <m:r>
          <m:rPr>
            <m:sty m:val="p"/>
          </m:rPr>
          <w:rPr>
            <w:rFonts w:ascii="Cambria Math" w:hAnsi="Cambria Math"/>
          </w:rPr>
          <m:t>Φ</m:t>
        </m:r>
      </m:oMath>
      <w:r>
        <w:t xml:space="preserve"> is the cumulative distribution function of the standard normal distribution</w:t>
      </w:r>
    </w:p>
    <w:p w14:paraId="2E8CBDEE" w14:textId="272251C0" w:rsidR="00767353" w:rsidRDefault="00767353" w:rsidP="00767353">
      <w:pPr>
        <w:pStyle w:val="BodyText"/>
      </w:pPr>
      <w:r>
        <w:t xml:space="preserve">The results are shown in table B.2. Model 1 (estimated using all observations) </w:t>
      </w:r>
      <w:r w:rsidR="0015201E">
        <w:t xml:space="preserve">and </w:t>
      </w:r>
      <w:r>
        <w:t>suggest that children whose parents are estimated to be wealthier at death according to the demography</w:t>
      </w:r>
      <w:r>
        <w:noBreakHyphen/>
        <w:t>based estimate were more likely to report receiving an inheritance. Hence, when all observations are considered, the non</w:t>
      </w:r>
      <w:r>
        <w:noBreakHyphen/>
        <w:t>reporting of inheritances is non</w:t>
      </w:r>
      <w:r>
        <w:noBreakHyphen/>
        <w:t>random.</w:t>
      </w:r>
    </w:p>
    <w:p w14:paraId="685F1F83" w14:textId="77777777" w:rsidR="00767353" w:rsidRDefault="00767353" w:rsidP="00767353">
      <w:pPr>
        <w:pStyle w:val="BodyText"/>
      </w:pPr>
      <w:r>
        <w:t>However, when the sample is split into those whose parents were expected (by the demography</w:t>
      </w:r>
      <w:r>
        <w:noBreakHyphen/>
        <w:t>based estimate) to have negative or zero wealth at death (model 2) and those whose parents were expected to have positive wealth at death (model 3) the results differ. Model 2 suggests that there was non</w:t>
      </w:r>
      <w:r>
        <w:noBreakHyphen/>
        <w:t>random non</w:t>
      </w:r>
      <w:r>
        <w:noBreakHyphen/>
        <w:t>reporting among those whose parents were expected to have negative or zero wealth at death according to the demography</w:t>
      </w:r>
      <w:r>
        <w:noBreakHyphen/>
        <w:t>based estimate, but model 3 suggests there is insufficient evidence to support this conclusion among those whose parents were expected to have positive wealth at death according to the demography</w:t>
      </w:r>
      <w:r>
        <w:noBreakHyphen/>
        <w:t>based estimate.</w:t>
      </w:r>
      <w:r w:rsidRPr="001F567E">
        <w:rPr>
          <w:rStyle w:val="FootnoteReference"/>
        </w:rPr>
        <w:footnoteReference w:id="55"/>
      </w:r>
      <w:r>
        <w:t xml:space="preserve"> This is intuitive — some non</w:t>
      </w:r>
      <w:r>
        <w:noBreakHyphen/>
        <w:t>reporting may be because the inheritance was small and consumed entirely by death</w:t>
      </w:r>
      <w:r>
        <w:noBreakHyphen/>
        <w:t>related expenses. Of course, these tests are not especially high</w:t>
      </w:r>
      <w:r>
        <w:noBreakHyphen/>
        <w:t>powered since the demography</w:t>
      </w:r>
      <w:r>
        <w:noBreakHyphen/>
        <w:t>based estimate is imperfect.</w:t>
      </w:r>
    </w:p>
    <w:p w14:paraId="2448CC71" w14:textId="050DA28A" w:rsidR="00767353" w:rsidRDefault="00767353" w:rsidP="00767353">
      <w:pPr>
        <w:pStyle w:val="BodyText"/>
      </w:pPr>
      <w:r>
        <w:t>Assuming that the non</w:t>
      </w:r>
      <w:r>
        <w:noBreakHyphen/>
        <w:t>random non</w:t>
      </w:r>
      <w:r>
        <w:noBreakHyphen/>
        <w:t>reporting of inheritances is confined to people who received little or no inheritance following the death of their second parent, an approximately representative sample of parent–child pairs about which there is sufficient information to estimate IWP can be derived. The sample comprises all children who reported receiving an inheritance, plus the group of children who did not report receiving an inheritance for whom it was most likely (based on the demography</w:t>
      </w:r>
      <w:r>
        <w:noBreakHyphen/>
        <w:t>based estimate) that their second parent to die had sufficiently little wealth at death to not leave an inheritance once death</w:t>
      </w:r>
      <w:r>
        <w:noBreakHyphen/>
        <w:t>related expenses were paid. With little guide to how large this ‘no inheritance’ group ought to be other than the 1–2 per cent and 15</w:t>
      </w:r>
      <w:r w:rsidR="00BB458E">
        <w:noBreakHyphen/>
      </w:r>
      <w:r>
        <w:t xml:space="preserve">20 per cent proportions outlined above, a central estimate of 10 per cent was adopted with 2 per cent and 20 per cent as robustness tests. Hereafter, the sample derived from the central estimate is referred to as the ‘main sample’, the sample derived from the 2 per cent assumption is referred to as </w:t>
      </w:r>
      <w:r w:rsidR="0063541D">
        <w:t xml:space="preserve">the </w:t>
      </w:r>
      <w:r>
        <w:t xml:space="preserve">‘small sample’, and the sample derived from the 20 per cent assumption is referred to as </w:t>
      </w:r>
      <w:r w:rsidR="0063541D">
        <w:t xml:space="preserve">the </w:t>
      </w:r>
      <w:r>
        <w:t>‘large sample’.</w:t>
      </w:r>
    </w:p>
    <w:p w14:paraId="17D7DB74" w14:textId="036EA61C" w:rsidR="00767353" w:rsidRDefault="00767353" w:rsidP="00767353">
      <w:pPr>
        <w:pStyle w:val="BodyText"/>
      </w:pPr>
      <w:r>
        <w:lastRenderedPageBreak/>
        <w:t>As a check that this approach isolated the source of the non</w:t>
      </w:r>
      <w:r>
        <w:noBreakHyphen/>
        <w:t>random non</w:t>
      </w:r>
      <w:r>
        <w:noBreakHyphen/>
        <w:t>reporting, model 1 from table B.2 is re</w:t>
      </w:r>
      <w:r>
        <w:noBreakHyphen/>
        <w:t>estimated with the ‘no inheritance’ groups removed (table B.2, models 4–6). The results suggest that some non</w:t>
      </w:r>
      <w:r>
        <w:noBreakHyphen/>
        <w:t>random non</w:t>
      </w:r>
      <w:r>
        <w:noBreakHyphen/>
        <w:t>reporting remains when only 2 per cent of the sample comprises people who likely did not actually receive an inheritance (model 4), but not if 10 per cent or 20 per cent of the sample comprises people who likely did not actually receive an inheritance (models 5 and 6). Thus, for the main and large samples</w:t>
      </w:r>
      <w:r w:rsidR="00EA23A7">
        <w:t>,</w:t>
      </w:r>
      <w:r>
        <w:t xml:space="preserve"> the hypothesis that the non</w:t>
      </w:r>
      <w:r>
        <w:noBreakHyphen/>
        <w:t>reporting is random is not rejected.</w:t>
      </w:r>
    </w:p>
    <w:p w14:paraId="4F0AA0CB" w14:textId="0045FB8F" w:rsidR="00767353" w:rsidRDefault="00767353" w:rsidP="00767353">
      <w:pPr>
        <w:pStyle w:val="FigureTableHeading"/>
      </w:pPr>
      <w:r>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5E6456">
        <w:t>2</w:t>
      </w:r>
      <w:r>
        <w:rPr>
          <w:noProof/>
        </w:rPr>
        <w:t xml:space="preserve"> – </w:t>
      </w:r>
      <w:r>
        <w:t>Tests for whether non</w:t>
      </w:r>
      <w:r>
        <w:noBreakHyphen/>
        <w:t>reporting of inheritances is correlated with parents’ estimated wealth</w:t>
      </w:r>
      <w:r w:rsidRPr="00EC0C27">
        <w:rPr>
          <w:vertAlign w:val="superscript"/>
        </w:rPr>
        <w:t>a,b</w:t>
      </w:r>
      <w:r>
        <w:rPr>
          <w:vertAlign w:val="superscript"/>
        </w:rPr>
        <w:t>,c</w:t>
      </w:r>
      <w:r w:rsidR="00871D49">
        <w:rPr>
          <w:vertAlign w:val="superscript"/>
        </w:rPr>
        <w:t>,d</w:t>
      </w:r>
    </w:p>
    <w:p w14:paraId="65C779AA" w14:textId="77777777" w:rsidR="00767353" w:rsidRPr="00D81539" w:rsidRDefault="00767353" w:rsidP="00767353">
      <w:pPr>
        <w:pStyle w:val="FigureTableSubheading"/>
        <w:rPr>
          <w:rFonts w:eastAsiaTheme="minorEastAsia"/>
          <w:sz w:val="18"/>
          <w:szCs w:val="16"/>
        </w:rPr>
      </w:pPr>
      <w:r w:rsidRPr="00D81539">
        <w:rPr>
          <w:sz w:val="18"/>
          <w:szCs w:val="16"/>
        </w:rPr>
        <w:t xml:space="preserve">Dependent variable: </w:t>
      </w:r>
      <m:oMath>
        <m:r>
          <m:rPr>
            <m:sty m:val="p"/>
          </m:rPr>
          <w:rPr>
            <w:rFonts w:ascii="Cambria Math" w:hAnsi="Cambria Math"/>
            <w:sz w:val="18"/>
            <w:szCs w:val="16"/>
          </w:rPr>
          <m:t>Pr</m:t>
        </m:r>
        <m:d>
          <m:dPr>
            <m:endChr m:val="|"/>
            <m:ctrlPr>
              <w:rPr>
                <w:rFonts w:ascii="Cambria Math" w:hAnsi="Cambria Math"/>
                <w:sz w:val="18"/>
                <w:szCs w:val="16"/>
              </w:rPr>
            </m:ctrlPr>
          </m:dPr>
          <m:e>
            <m:sSub>
              <m:sSubPr>
                <m:ctrlPr>
                  <w:rPr>
                    <w:rFonts w:ascii="Cambria Math" w:hAnsi="Cambria Math"/>
                    <w:i/>
                    <w:sz w:val="18"/>
                    <w:szCs w:val="16"/>
                  </w:rPr>
                </m:ctrlPr>
              </m:sSubPr>
              <m:e>
                <m:r>
                  <w:rPr>
                    <w:rFonts w:ascii="Cambria Math" w:hAnsi="Cambria Math"/>
                    <w:sz w:val="18"/>
                    <w:szCs w:val="16"/>
                  </w:rPr>
                  <m:t>Inheritance reported</m:t>
                </m:r>
              </m:e>
              <m:sub>
                <m:r>
                  <w:rPr>
                    <w:rFonts w:ascii="Cambria Math" w:hAnsi="Cambria Math"/>
                    <w:sz w:val="18"/>
                    <w:szCs w:val="16"/>
                  </w:rPr>
                  <m:t>i</m:t>
                </m:r>
              </m:sub>
            </m:sSub>
            <m:r>
              <w:rPr>
                <w:rFonts w:ascii="Cambria Math" w:hAnsi="Cambria Math"/>
                <w:sz w:val="18"/>
                <w:szCs w:val="16"/>
              </w:rPr>
              <m:t>=1</m:t>
            </m:r>
            <m:ctrlPr>
              <w:rPr>
                <w:rFonts w:ascii="Cambria Math" w:hAnsi="Cambria Math"/>
                <w:i/>
                <w:sz w:val="18"/>
                <w:szCs w:val="16"/>
              </w:rPr>
            </m:ctrlPr>
          </m:e>
        </m:d>
        <m:sSub>
          <m:sSubPr>
            <m:ctrlPr>
              <w:rPr>
                <w:rFonts w:ascii="Cambria Math" w:hAnsi="Cambria Math"/>
                <w:i/>
                <w:sz w:val="18"/>
                <w:szCs w:val="16"/>
              </w:rPr>
            </m:ctrlPr>
          </m:sSubPr>
          <m:e>
            <m:r>
              <w:rPr>
                <w:rFonts w:ascii="Cambria Math" w:hAnsi="Cambria Math"/>
                <w:sz w:val="18"/>
                <w:szCs w:val="16"/>
              </w:rPr>
              <m:t>Parent wealth (demography estimate)</m:t>
            </m:r>
          </m:e>
          <m:sub>
            <m:r>
              <w:rPr>
                <w:rFonts w:ascii="Cambria Math" w:hAnsi="Cambria Math"/>
                <w:sz w:val="18"/>
                <w:szCs w:val="16"/>
              </w:rPr>
              <m:t>i</m:t>
            </m:r>
          </m:sub>
        </m:sSub>
        <m:r>
          <w:rPr>
            <w:rFonts w:ascii="Cambria Math" w:hAnsi="Cambria Math"/>
            <w:sz w:val="18"/>
            <w:szCs w:val="16"/>
          </w:rPr>
          <m:t>)</m:t>
        </m:r>
      </m:oMath>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07"/>
        <w:gridCol w:w="1313"/>
        <w:gridCol w:w="1184"/>
        <w:gridCol w:w="1184"/>
        <w:gridCol w:w="1184"/>
        <w:gridCol w:w="1184"/>
        <w:gridCol w:w="1182"/>
      </w:tblGrid>
      <w:tr w:rsidR="00767353" w:rsidRPr="007E2AF2" w14:paraId="071E7D3C" w14:textId="77777777" w:rsidTr="00604051">
        <w:trPr>
          <w:tblHeader/>
        </w:trPr>
        <w:tc>
          <w:tcPr>
            <w:tcW w:w="1249" w:type="pct"/>
            <w:tcBorders>
              <w:bottom w:val="single" w:sz="4" w:space="0" w:color="B3B3B3"/>
            </w:tcBorders>
            <w:shd w:val="clear" w:color="000000" w:fill="auto"/>
            <w:tcMar>
              <w:top w:w="28" w:type="dxa"/>
            </w:tcMar>
          </w:tcPr>
          <w:p w14:paraId="30935A82" w14:textId="77777777" w:rsidR="00767353" w:rsidRPr="007E2AF2" w:rsidRDefault="00767353" w:rsidP="00604051">
            <w:pPr>
              <w:pStyle w:val="TableColumnHeading"/>
              <w:spacing w:before="45" w:after="45"/>
              <w:ind w:left="57" w:right="108"/>
              <w:jc w:val="left"/>
              <w:rPr>
                <w:rFonts w:ascii="Arial (Body)" w:hAnsi="Arial (Body)"/>
                <w:b/>
                <w:i w:val="0"/>
                <w:color w:val="265A9A"/>
              </w:rPr>
            </w:pPr>
          </w:p>
        </w:tc>
        <w:tc>
          <w:tcPr>
            <w:tcW w:w="681" w:type="pct"/>
            <w:tcBorders>
              <w:bottom w:val="single" w:sz="4" w:space="0" w:color="B3B3B3"/>
            </w:tcBorders>
            <w:shd w:val="clear" w:color="000000" w:fill="auto"/>
          </w:tcPr>
          <w:p w14:paraId="2003E859"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Model 1</w:t>
            </w:r>
          </w:p>
        </w:tc>
        <w:tc>
          <w:tcPr>
            <w:tcW w:w="614" w:type="pct"/>
            <w:tcBorders>
              <w:bottom w:val="single" w:sz="4" w:space="0" w:color="B3B3B3"/>
            </w:tcBorders>
            <w:shd w:val="clear" w:color="000000" w:fill="auto"/>
          </w:tcPr>
          <w:p w14:paraId="50F55DDF"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Model 2</w:t>
            </w:r>
          </w:p>
        </w:tc>
        <w:tc>
          <w:tcPr>
            <w:tcW w:w="614" w:type="pct"/>
            <w:tcBorders>
              <w:bottom w:val="single" w:sz="4" w:space="0" w:color="B3B3B3"/>
            </w:tcBorders>
            <w:shd w:val="clear" w:color="000000" w:fill="auto"/>
            <w:tcMar>
              <w:top w:w="28" w:type="dxa"/>
            </w:tcMar>
          </w:tcPr>
          <w:p w14:paraId="701F0F0C"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Model 3</w:t>
            </w:r>
          </w:p>
        </w:tc>
        <w:tc>
          <w:tcPr>
            <w:tcW w:w="614" w:type="pct"/>
            <w:tcBorders>
              <w:bottom w:val="single" w:sz="4" w:space="0" w:color="B3B3B3"/>
            </w:tcBorders>
            <w:shd w:val="clear" w:color="000000" w:fill="auto"/>
          </w:tcPr>
          <w:p w14:paraId="729133CC"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Model 4</w:t>
            </w:r>
          </w:p>
        </w:tc>
        <w:tc>
          <w:tcPr>
            <w:tcW w:w="614" w:type="pct"/>
            <w:tcBorders>
              <w:bottom w:val="single" w:sz="4" w:space="0" w:color="B3B3B3"/>
            </w:tcBorders>
            <w:shd w:val="clear" w:color="000000" w:fill="auto"/>
          </w:tcPr>
          <w:p w14:paraId="477CFD70"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Model 5</w:t>
            </w:r>
          </w:p>
        </w:tc>
        <w:tc>
          <w:tcPr>
            <w:tcW w:w="613" w:type="pct"/>
            <w:tcBorders>
              <w:bottom w:val="single" w:sz="4" w:space="0" w:color="B3B3B3"/>
            </w:tcBorders>
            <w:shd w:val="clear" w:color="000000" w:fill="auto"/>
            <w:tcMar>
              <w:top w:w="28" w:type="dxa"/>
            </w:tcMar>
          </w:tcPr>
          <w:p w14:paraId="211393EC"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Model 6</w:t>
            </w:r>
          </w:p>
        </w:tc>
      </w:tr>
      <w:tr w:rsidR="00767353" w:rsidRPr="007E2AF2" w14:paraId="52B812D7" w14:textId="77777777" w:rsidTr="00604051">
        <w:tc>
          <w:tcPr>
            <w:tcW w:w="1249" w:type="pct"/>
            <w:tcBorders>
              <w:top w:val="single" w:sz="4" w:space="0" w:color="B3B3B3"/>
              <w:bottom w:val="nil"/>
            </w:tcBorders>
            <w:shd w:val="clear" w:color="000000" w:fill="F1F1F1"/>
          </w:tcPr>
          <w:p w14:paraId="37B718A0" w14:textId="77777777" w:rsidR="00767353" w:rsidRPr="007E2AF2" w:rsidRDefault="00767353" w:rsidP="00604051">
            <w:pPr>
              <w:pStyle w:val="TableUnitsRow"/>
              <w:spacing w:before="45" w:after="45"/>
              <w:ind w:left="57" w:right="108"/>
              <w:jc w:val="left"/>
              <w:rPr>
                <w:rFonts w:ascii="Arial (Body)" w:hAnsi="Arial (Body)"/>
                <w:bCs/>
              </w:rPr>
            </w:pPr>
          </w:p>
        </w:tc>
        <w:tc>
          <w:tcPr>
            <w:tcW w:w="681" w:type="pct"/>
            <w:tcBorders>
              <w:top w:val="single" w:sz="4" w:space="0" w:color="B3B3B3"/>
              <w:bottom w:val="nil"/>
            </w:tcBorders>
            <w:shd w:val="clear" w:color="000000" w:fill="F1F1F1"/>
          </w:tcPr>
          <w:p w14:paraId="063883F3"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olor w:val="000000"/>
              </w:rPr>
              <w:t>All observations</w:t>
            </w:r>
          </w:p>
        </w:tc>
        <w:tc>
          <w:tcPr>
            <w:tcW w:w="614" w:type="pct"/>
            <w:tcBorders>
              <w:top w:val="single" w:sz="4" w:space="0" w:color="B3B3B3"/>
              <w:bottom w:val="nil"/>
            </w:tcBorders>
            <w:shd w:val="clear" w:color="000000" w:fill="F1F1F1"/>
          </w:tcPr>
          <w:p w14:paraId="412AC23E" w14:textId="77777777" w:rsidR="00767353" w:rsidRPr="007E2AF2" w:rsidRDefault="00B2270C" w:rsidP="00604051">
            <w:pPr>
              <w:pStyle w:val="TableUnitsRow"/>
              <w:spacing w:before="45" w:after="45"/>
              <w:ind w:left="57" w:right="108"/>
              <w:rPr>
                <w:rFonts w:ascii="Arial (Body)" w:hAnsi="Arial (Body)"/>
                <w:color w:val="000000"/>
              </w:rPr>
            </w:pPr>
            <m:oMathPara>
              <m:oMath>
                <m:sSub>
                  <m:sSubPr>
                    <m:ctrlPr>
                      <w:rPr>
                        <w:rFonts w:ascii="Cambria Math" w:hAnsi="Cambria Math"/>
                        <w:color w:val="000000"/>
                      </w:rPr>
                    </m:ctrlPr>
                  </m:sSubPr>
                  <m:e>
                    <m:r>
                      <w:rPr>
                        <w:rFonts w:ascii="Cambria Math" w:hAnsi="Cambria Math"/>
                        <w:color w:val="000000"/>
                      </w:rPr>
                      <m:t>PWDE</m:t>
                    </m:r>
                  </m:e>
                  <m:sub>
                    <m:r>
                      <w:rPr>
                        <w:rFonts w:ascii="Cambria Math" w:hAnsi="Cambria Math"/>
                        <w:color w:val="000000"/>
                      </w:rPr>
                      <m:t>i</m:t>
                    </m:r>
                  </m:sub>
                </m:sSub>
                <m:r>
                  <m:rPr>
                    <m:sty m:val="p"/>
                  </m:rPr>
                  <w:rPr>
                    <w:rFonts w:ascii="Cambria Math" w:hAnsi="Cambria Math"/>
                    <w:color w:val="000000"/>
                  </w:rPr>
                  <m:t>≤0</m:t>
                </m:r>
              </m:oMath>
            </m:oMathPara>
          </w:p>
        </w:tc>
        <w:tc>
          <w:tcPr>
            <w:tcW w:w="614" w:type="pct"/>
            <w:tcBorders>
              <w:top w:val="single" w:sz="4" w:space="0" w:color="B3B3B3"/>
              <w:bottom w:val="nil"/>
            </w:tcBorders>
            <w:shd w:val="clear" w:color="000000" w:fill="F1F1F1"/>
          </w:tcPr>
          <w:p w14:paraId="206A8A82" w14:textId="77777777" w:rsidR="00767353" w:rsidRPr="007E2AF2" w:rsidRDefault="00B2270C" w:rsidP="00604051">
            <w:pPr>
              <w:pStyle w:val="TableUnitsRow"/>
              <w:spacing w:before="45" w:after="45"/>
              <w:ind w:left="57" w:right="108"/>
              <w:rPr>
                <w:rFonts w:ascii="Arial (Body)" w:hAnsi="Arial (Body)"/>
                <w:color w:val="000000"/>
              </w:rPr>
            </w:pPr>
            <m:oMathPara>
              <m:oMath>
                <m:sSub>
                  <m:sSubPr>
                    <m:ctrlPr>
                      <w:rPr>
                        <w:rFonts w:ascii="Cambria Math" w:hAnsi="Cambria Math"/>
                        <w:color w:val="000000"/>
                      </w:rPr>
                    </m:ctrlPr>
                  </m:sSubPr>
                  <m:e>
                    <m:r>
                      <w:rPr>
                        <w:rFonts w:ascii="Cambria Math" w:hAnsi="Cambria Math"/>
                        <w:color w:val="000000"/>
                      </w:rPr>
                      <m:t>PWDE</m:t>
                    </m:r>
                  </m:e>
                  <m:sub>
                    <m:r>
                      <w:rPr>
                        <w:rFonts w:ascii="Cambria Math" w:hAnsi="Cambria Math"/>
                        <w:color w:val="000000"/>
                      </w:rPr>
                      <m:t>i</m:t>
                    </m:r>
                  </m:sub>
                </m:sSub>
                <m:r>
                  <m:rPr>
                    <m:sty m:val="p"/>
                  </m:rPr>
                  <w:rPr>
                    <w:rFonts w:ascii="Cambria Math" w:hAnsi="Cambria Math"/>
                    <w:color w:val="000000"/>
                  </w:rPr>
                  <m:t>&gt;0</m:t>
                </m:r>
              </m:oMath>
            </m:oMathPara>
          </w:p>
        </w:tc>
        <w:tc>
          <w:tcPr>
            <w:tcW w:w="614" w:type="pct"/>
            <w:tcBorders>
              <w:top w:val="single" w:sz="4" w:space="0" w:color="B3B3B3"/>
              <w:bottom w:val="nil"/>
            </w:tcBorders>
            <w:shd w:val="clear" w:color="000000" w:fill="F1F1F1"/>
          </w:tcPr>
          <w:p w14:paraId="325069BB" w14:textId="1A0B4109" w:rsidR="00767353" w:rsidRPr="007E2AF2" w:rsidRDefault="00767353" w:rsidP="00604051">
            <w:pPr>
              <w:pStyle w:val="TableUnitsRow"/>
              <w:spacing w:before="45" w:after="45"/>
              <w:ind w:left="57" w:right="108"/>
              <w:rPr>
                <w:rFonts w:ascii="Arial (Body)" w:hAnsi="Arial (Body)" w:cstheme="minorHAnsi"/>
                <w:iCs/>
                <w:color w:val="000000"/>
              </w:rPr>
            </w:pPr>
            <w:r w:rsidRPr="007E2AF2">
              <w:rPr>
                <w:rFonts w:ascii="Arial (Body)" w:hAnsi="Arial (Body)" w:cstheme="minorHAnsi"/>
                <w:color w:val="000000"/>
              </w:rPr>
              <w:t>Excluding lowest 5 observatio</w:t>
            </w:r>
            <w:r w:rsidR="001C54FE">
              <w:rPr>
                <w:rFonts w:ascii="Arial (Body)" w:hAnsi="Arial (Body)" w:cstheme="minorHAnsi"/>
                <w:color w:val="000000"/>
              </w:rPr>
              <w:t>n</w:t>
            </w:r>
            <w:r w:rsidR="00BD0CAC">
              <w:rPr>
                <w:rFonts w:ascii="Arial (Body)" w:hAnsi="Arial (Body)" w:cstheme="minorHAnsi"/>
                <w:color w:val="000000"/>
              </w:rPr>
              <w:t>-</w:t>
            </w:r>
            <w:r w:rsidRPr="007E2AF2">
              <w:rPr>
                <w:rFonts w:ascii="Arial (Body)" w:hAnsi="Arial (Body)" w:cstheme="minorHAnsi"/>
                <w:color w:val="000000"/>
              </w:rPr>
              <w:t xml:space="preserve">s of </w:t>
            </w:r>
            <m:oMath>
              <m:sSub>
                <m:sSubPr>
                  <m:ctrlPr>
                    <w:rPr>
                      <w:rFonts w:ascii="Cambria Math" w:hAnsi="Cambria Math" w:cstheme="minorHAnsi"/>
                      <w:color w:val="000000"/>
                    </w:rPr>
                  </m:ctrlPr>
                </m:sSubPr>
                <m:e>
                  <m:r>
                    <w:rPr>
                      <w:rFonts w:ascii="Cambria Math" w:hAnsi="Cambria Math" w:cstheme="minorHAnsi"/>
                      <w:color w:val="000000"/>
                    </w:rPr>
                    <m:t>PWDE</m:t>
                  </m:r>
                </m:e>
                <m:sub>
                  <m:r>
                    <w:rPr>
                      <w:rFonts w:ascii="Cambria Math" w:hAnsi="Cambria Math" w:cstheme="minorHAnsi"/>
                      <w:color w:val="000000"/>
                    </w:rPr>
                    <m:t>i</m:t>
                  </m:r>
                </m:sub>
              </m:sSub>
            </m:oMath>
            <w:r w:rsidRPr="007E2AF2">
              <w:rPr>
                <w:rFonts w:ascii="Arial (Body)" w:hAnsi="Arial (Body)" w:cstheme="minorHAnsi"/>
                <w:color w:val="000000"/>
              </w:rPr>
              <w:t xml:space="preserve"> for which an  inheritance was reported  </w:t>
            </w:r>
          </w:p>
        </w:tc>
        <w:tc>
          <w:tcPr>
            <w:tcW w:w="614" w:type="pct"/>
            <w:tcBorders>
              <w:top w:val="single" w:sz="4" w:space="0" w:color="B3B3B3"/>
              <w:bottom w:val="nil"/>
            </w:tcBorders>
            <w:shd w:val="clear" w:color="000000" w:fill="F1F1F1"/>
          </w:tcPr>
          <w:p w14:paraId="51F4EFDE"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stheme="minorHAnsi"/>
                <w:color w:val="000000"/>
              </w:rPr>
              <w:t xml:space="preserve">Excluding lowest 27 observation-s of </w:t>
            </w:r>
            <m:oMath>
              <m:sSub>
                <m:sSubPr>
                  <m:ctrlPr>
                    <w:rPr>
                      <w:rFonts w:ascii="Cambria Math" w:hAnsi="Cambria Math" w:cstheme="minorHAnsi"/>
                      <w:color w:val="000000"/>
                    </w:rPr>
                  </m:ctrlPr>
                </m:sSubPr>
                <m:e>
                  <m:r>
                    <w:rPr>
                      <w:rFonts w:ascii="Cambria Math" w:hAnsi="Cambria Math" w:cstheme="minorHAnsi"/>
                      <w:color w:val="000000"/>
                    </w:rPr>
                    <m:t>PWDE</m:t>
                  </m:r>
                </m:e>
                <m:sub>
                  <m:r>
                    <w:rPr>
                      <w:rFonts w:ascii="Cambria Math" w:hAnsi="Cambria Math" w:cstheme="minorHAnsi"/>
                      <w:color w:val="000000"/>
                    </w:rPr>
                    <m:t>i</m:t>
                  </m:r>
                </m:sub>
              </m:sSub>
            </m:oMath>
            <w:r w:rsidRPr="007E2AF2">
              <w:rPr>
                <w:rFonts w:ascii="Arial (Body)" w:hAnsi="Arial (Body)" w:cstheme="minorHAnsi"/>
                <w:color w:val="000000"/>
              </w:rPr>
              <w:t xml:space="preserve"> for which an  inheritance was reported  </w:t>
            </w:r>
          </w:p>
        </w:tc>
        <w:tc>
          <w:tcPr>
            <w:tcW w:w="613" w:type="pct"/>
            <w:tcBorders>
              <w:top w:val="single" w:sz="4" w:space="0" w:color="B3B3B3"/>
              <w:bottom w:val="nil"/>
            </w:tcBorders>
            <w:shd w:val="clear" w:color="000000" w:fill="F1F1F1"/>
          </w:tcPr>
          <w:p w14:paraId="3CA2F5AF"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stheme="minorHAnsi"/>
                <w:color w:val="000000"/>
              </w:rPr>
              <w:t xml:space="preserve">Excluding lowest 61 observation-s of </w:t>
            </w:r>
            <m:oMath>
              <m:sSub>
                <m:sSubPr>
                  <m:ctrlPr>
                    <w:rPr>
                      <w:rFonts w:ascii="Cambria Math" w:hAnsi="Cambria Math" w:cstheme="minorHAnsi"/>
                      <w:color w:val="000000"/>
                    </w:rPr>
                  </m:ctrlPr>
                </m:sSubPr>
                <m:e>
                  <m:r>
                    <w:rPr>
                      <w:rFonts w:ascii="Cambria Math" w:hAnsi="Cambria Math" w:cstheme="minorHAnsi"/>
                      <w:color w:val="000000"/>
                    </w:rPr>
                    <m:t>PWDE</m:t>
                  </m:r>
                </m:e>
                <m:sub>
                  <m:r>
                    <w:rPr>
                      <w:rFonts w:ascii="Cambria Math" w:hAnsi="Cambria Math" w:cstheme="minorHAnsi"/>
                      <w:color w:val="000000"/>
                    </w:rPr>
                    <m:t>i</m:t>
                  </m:r>
                </m:sub>
              </m:sSub>
            </m:oMath>
            <w:r w:rsidRPr="007E2AF2">
              <w:rPr>
                <w:rFonts w:ascii="Arial (Body)" w:hAnsi="Arial (Body)" w:cstheme="minorHAnsi"/>
                <w:color w:val="000000"/>
              </w:rPr>
              <w:t xml:space="preserve"> for which an  inheritance was reported  </w:t>
            </w:r>
          </w:p>
        </w:tc>
      </w:tr>
      <w:tr w:rsidR="00767353" w:rsidRPr="007E2AF2" w14:paraId="3AE7E893" w14:textId="77777777" w:rsidTr="00604051">
        <w:tc>
          <w:tcPr>
            <w:tcW w:w="1249" w:type="pct"/>
            <w:tcBorders>
              <w:top w:val="nil"/>
              <w:bottom w:val="nil"/>
            </w:tcBorders>
            <w:shd w:val="clear" w:color="000000" w:fill="auto"/>
          </w:tcPr>
          <w:p w14:paraId="7AB79AE4" w14:textId="77777777" w:rsidR="00767353" w:rsidRPr="007E2AF2"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eqArr>
                      <m:eqArrPr>
                        <m:ctrlPr>
                          <w:rPr>
                            <w:rFonts w:ascii="Cambria Math" w:hAnsi="Cambria Math"/>
                            <w:bCs/>
                          </w:rPr>
                        </m:ctrlPr>
                      </m:eqArrPr>
                      <m:e>
                        <m:r>
                          <w:rPr>
                            <w:rFonts w:ascii="Cambria Math" w:hAnsi="Cambria Math"/>
                          </w:rPr>
                          <m:t>Parent</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e>
                      <m:e>
                        <m:r>
                          <m:rPr>
                            <m:sty m:val="p"/>
                          </m:rPr>
                          <w:rPr>
                            <w:rFonts w:ascii="Cambria Math" w:hAnsi="Cambria Math"/>
                          </w:rPr>
                          <m:t>(</m:t>
                        </m:r>
                        <m:r>
                          <w:rPr>
                            <w:rFonts w:ascii="Cambria Math" w:hAnsi="Cambria Math"/>
                          </w:rPr>
                          <m:t>demography</m:t>
                        </m:r>
                        <m:r>
                          <m:rPr>
                            <m:sty m:val="p"/>
                          </m:rPr>
                          <w:rPr>
                            <w:rFonts w:ascii="Cambria Math" w:hAnsi="Cambria Math"/>
                          </w:rPr>
                          <m:t xml:space="preserve"> </m:t>
                        </m:r>
                        <m:r>
                          <w:rPr>
                            <w:rFonts w:ascii="Cambria Math" w:hAnsi="Cambria Math"/>
                          </w:rPr>
                          <m:t>estimate</m:t>
                        </m:r>
                        <m:r>
                          <m:rPr>
                            <m:sty m:val="p"/>
                          </m:rPr>
                          <w:rPr>
                            <w:rFonts w:ascii="Cambria Math" w:hAnsi="Cambria Math"/>
                          </w:rPr>
                          <m:t>)</m:t>
                        </m:r>
                      </m:e>
                    </m:eqArr>
                  </m:e>
                  <m:sub>
                    <m:r>
                      <w:rPr>
                        <w:rFonts w:ascii="Cambria Math" w:hAnsi="Cambria Math"/>
                      </w:rPr>
                      <m:t>i</m:t>
                    </m:r>
                  </m:sub>
                </m:sSub>
              </m:oMath>
            </m:oMathPara>
          </w:p>
        </w:tc>
        <w:tc>
          <w:tcPr>
            <w:tcW w:w="681" w:type="pct"/>
            <w:tcBorders>
              <w:top w:val="nil"/>
              <w:bottom w:val="nil"/>
            </w:tcBorders>
            <w:shd w:val="clear" w:color="000000" w:fill="auto"/>
          </w:tcPr>
          <w:p w14:paraId="70BE2665" w14:textId="77777777" w:rsidR="00767353" w:rsidRPr="007E2AF2" w:rsidRDefault="00767353" w:rsidP="00604051">
            <w:pPr>
              <w:pStyle w:val="TableBodyText"/>
              <w:spacing w:before="45" w:after="45"/>
              <w:ind w:left="57" w:right="108"/>
              <w:rPr>
                <w:rFonts w:ascii="Arial (Body)" w:hAnsi="Arial (Body)"/>
                <w:bCs/>
                <w:color w:val="000000"/>
              </w:rPr>
            </w:pPr>
            <w:r w:rsidRPr="007E2AF2">
              <w:rPr>
                <w:rFonts w:ascii="Arial (Body)" w:hAnsi="Arial (Body)"/>
                <w:bCs/>
                <w:color w:val="000000"/>
              </w:rPr>
              <w:t>0.00043***</w:t>
            </w:r>
          </w:p>
        </w:tc>
        <w:tc>
          <w:tcPr>
            <w:tcW w:w="614" w:type="pct"/>
            <w:tcBorders>
              <w:top w:val="nil"/>
              <w:bottom w:val="nil"/>
            </w:tcBorders>
            <w:shd w:val="clear" w:color="000000" w:fill="auto"/>
          </w:tcPr>
          <w:p w14:paraId="49D3DD69" w14:textId="77777777" w:rsidR="00767353" w:rsidRPr="007E2AF2" w:rsidRDefault="00767353" w:rsidP="00604051">
            <w:pPr>
              <w:pStyle w:val="TableBodyText"/>
              <w:spacing w:before="45" w:after="45"/>
              <w:ind w:left="57" w:right="108"/>
              <w:rPr>
                <w:rFonts w:ascii="Arial (Body)" w:hAnsi="Arial (Body)"/>
                <w:bCs/>
                <w:color w:val="000000"/>
              </w:rPr>
            </w:pPr>
            <w:r w:rsidRPr="007E2AF2">
              <w:rPr>
                <w:rFonts w:ascii="Arial (Body)" w:hAnsi="Arial (Body)"/>
                <w:bCs/>
                <w:color w:val="000000"/>
              </w:rPr>
              <w:t>0.00122*</w:t>
            </w:r>
          </w:p>
        </w:tc>
        <w:tc>
          <w:tcPr>
            <w:tcW w:w="614" w:type="pct"/>
            <w:tcBorders>
              <w:top w:val="nil"/>
              <w:bottom w:val="nil"/>
            </w:tcBorders>
            <w:shd w:val="clear" w:color="000000" w:fill="auto"/>
          </w:tcPr>
          <w:p w14:paraId="5FE1F490" w14:textId="77777777" w:rsidR="00767353" w:rsidRPr="007E2AF2" w:rsidRDefault="00767353" w:rsidP="00604051">
            <w:pPr>
              <w:pStyle w:val="TableBodyText"/>
              <w:spacing w:before="45" w:after="45"/>
              <w:ind w:left="57" w:right="108"/>
              <w:rPr>
                <w:rFonts w:ascii="Arial (Body)" w:hAnsi="Arial (Body)"/>
                <w:bCs/>
                <w:color w:val="000000"/>
              </w:rPr>
            </w:pPr>
            <w:r w:rsidRPr="007E2AF2">
              <w:rPr>
                <w:rFonts w:ascii="Arial (Body)" w:hAnsi="Arial (Body)"/>
                <w:bCs/>
                <w:color w:val="000000"/>
              </w:rPr>
              <w:t>0.0001445</w:t>
            </w:r>
          </w:p>
        </w:tc>
        <w:tc>
          <w:tcPr>
            <w:tcW w:w="614" w:type="pct"/>
            <w:tcBorders>
              <w:top w:val="nil"/>
              <w:bottom w:val="nil"/>
            </w:tcBorders>
            <w:shd w:val="clear" w:color="000000" w:fill="auto"/>
          </w:tcPr>
          <w:p w14:paraId="7A7015F8" w14:textId="77777777" w:rsidR="00767353" w:rsidRPr="007E2AF2" w:rsidRDefault="00767353" w:rsidP="00604051">
            <w:pPr>
              <w:pStyle w:val="TableBodyText"/>
              <w:spacing w:before="45" w:after="45"/>
              <w:ind w:left="57" w:right="108"/>
              <w:rPr>
                <w:rFonts w:ascii="Arial (Body)" w:hAnsi="Arial (Body)"/>
                <w:bCs/>
                <w:color w:val="000000"/>
              </w:rPr>
            </w:pPr>
            <w:r w:rsidRPr="007E2AF2">
              <w:rPr>
                <w:rFonts w:ascii="Arial (Body)" w:hAnsi="Arial (Body)"/>
                <w:bCs/>
                <w:color w:val="000000"/>
              </w:rPr>
              <w:t>0.000375**</w:t>
            </w:r>
          </w:p>
        </w:tc>
        <w:tc>
          <w:tcPr>
            <w:tcW w:w="614" w:type="pct"/>
            <w:tcBorders>
              <w:top w:val="nil"/>
              <w:bottom w:val="nil"/>
            </w:tcBorders>
            <w:shd w:val="clear" w:color="000000" w:fill="auto"/>
          </w:tcPr>
          <w:p w14:paraId="3907CD3F" w14:textId="77777777" w:rsidR="00767353" w:rsidRPr="007E2AF2" w:rsidRDefault="00767353" w:rsidP="00604051">
            <w:pPr>
              <w:pStyle w:val="TableBodyText"/>
              <w:spacing w:before="45" w:after="45"/>
              <w:ind w:left="57" w:right="108"/>
              <w:rPr>
                <w:rFonts w:ascii="Arial (Body)" w:hAnsi="Arial (Body)"/>
                <w:bCs/>
                <w:color w:val="000000"/>
              </w:rPr>
            </w:pPr>
            <w:r w:rsidRPr="007E2AF2">
              <w:rPr>
                <w:rFonts w:ascii="Arial (Body)" w:hAnsi="Arial (Body)"/>
                <w:bCs/>
                <w:color w:val="000000"/>
              </w:rPr>
              <w:t>0.000131</w:t>
            </w:r>
          </w:p>
        </w:tc>
        <w:tc>
          <w:tcPr>
            <w:tcW w:w="613" w:type="pct"/>
            <w:tcBorders>
              <w:top w:val="nil"/>
              <w:bottom w:val="nil"/>
            </w:tcBorders>
            <w:shd w:val="clear" w:color="000000" w:fill="auto"/>
          </w:tcPr>
          <w:p w14:paraId="7B59B0FE" w14:textId="77777777" w:rsidR="00767353" w:rsidRPr="007E2AF2" w:rsidRDefault="00767353" w:rsidP="00604051">
            <w:pPr>
              <w:pStyle w:val="TableBodyText"/>
              <w:spacing w:before="45" w:after="45"/>
              <w:ind w:left="57" w:right="108"/>
              <w:rPr>
                <w:rFonts w:ascii="Arial (Body)" w:hAnsi="Arial (Body)"/>
                <w:bCs/>
                <w:color w:val="000000"/>
              </w:rPr>
            </w:pPr>
            <w:r w:rsidRPr="007E2AF2">
              <w:rPr>
                <w:rFonts w:ascii="Arial (Body)" w:hAnsi="Arial (Body)"/>
                <w:bCs/>
                <w:color w:val="000000"/>
              </w:rPr>
              <w:noBreakHyphen/>
              <w:t>0.0002471</w:t>
            </w:r>
          </w:p>
        </w:tc>
      </w:tr>
      <w:tr w:rsidR="00767353" w:rsidRPr="007E2AF2" w14:paraId="5FCE2D74" w14:textId="77777777" w:rsidTr="00604051">
        <w:tc>
          <w:tcPr>
            <w:tcW w:w="1249" w:type="pct"/>
            <w:tcBorders>
              <w:bottom w:val="nil"/>
            </w:tcBorders>
            <w:shd w:val="clear" w:color="000000" w:fill="F1F1F1"/>
          </w:tcPr>
          <w:p w14:paraId="6DD2233F" w14:textId="77777777" w:rsidR="00767353" w:rsidRPr="007E2AF2" w:rsidRDefault="00767353" w:rsidP="00604051">
            <w:pPr>
              <w:pStyle w:val="TableBodyText"/>
              <w:spacing w:before="45" w:after="45"/>
              <w:ind w:left="57" w:right="108"/>
              <w:jc w:val="left"/>
              <w:rPr>
                <w:rFonts w:ascii="Arial (Body)" w:hAnsi="Arial (Body)"/>
                <w:b/>
                <w:color w:val="265A9A"/>
              </w:rPr>
            </w:pPr>
          </w:p>
        </w:tc>
        <w:tc>
          <w:tcPr>
            <w:tcW w:w="681" w:type="pct"/>
            <w:tcBorders>
              <w:bottom w:val="nil"/>
            </w:tcBorders>
            <w:shd w:val="clear" w:color="000000" w:fill="F1F1F1"/>
          </w:tcPr>
          <w:p w14:paraId="319F0B8B"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(0.000148)</w:t>
            </w:r>
          </w:p>
        </w:tc>
        <w:tc>
          <w:tcPr>
            <w:tcW w:w="614" w:type="pct"/>
            <w:tcBorders>
              <w:bottom w:val="nil"/>
            </w:tcBorders>
            <w:shd w:val="clear" w:color="000000" w:fill="F1F1F1"/>
          </w:tcPr>
          <w:p w14:paraId="3D8A9D73"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(0.000663)</w:t>
            </w:r>
          </w:p>
        </w:tc>
        <w:tc>
          <w:tcPr>
            <w:tcW w:w="614" w:type="pct"/>
            <w:tcBorders>
              <w:bottom w:val="nil"/>
            </w:tcBorders>
            <w:shd w:val="clear" w:color="000000" w:fill="F1F1F1"/>
          </w:tcPr>
          <w:p w14:paraId="09C72956"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(0.000219)</w:t>
            </w:r>
          </w:p>
        </w:tc>
        <w:tc>
          <w:tcPr>
            <w:tcW w:w="614" w:type="pct"/>
            <w:tcBorders>
              <w:bottom w:val="nil"/>
            </w:tcBorders>
            <w:shd w:val="clear" w:color="000000" w:fill="F1F1F1"/>
          </w:tcPr>
          <w:p w14:paraId="38897294"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(0.000151)</w:t>
            </w:r>
          </w:p>
        </w:tc>
        <w:tc>
          <w:tcPr>
            <w:tcW w:w="614" w:type="pct"/>
            <w:tcBorders>
              <w:bottom w:val="nil"/>
            </w:tcBorders>
            <w:shd w:val="clear" w:color="000000" w:fill="F1F1F1"/>
          </w:tcPr>
          <w:p w14:paraId="0BFD634C"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(0.000161)</w:t>
            </w:r>
          </w:p>
        </w:tc>
        <w:tc>
          <w:tcPr>
            <w:tcW w:w="613" w:type="pct"/>
            <w:tcBorders>
              <w:bottom w:val="nil"/>
            </w:tcBorders>
            <w:shd w:val="clear" w:color="000000" w:fill="F1F1F1"/>
          </w:tcPr>
          <w:p w14:paraId="12D711AF"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(.0001733)</w:t>
            </w:r>
          </w:p>
        </w:tc>
      </w:tr>
      <w:tr w:rsidR="00767353" w:rsidRPr="007E2AF2" w14:paraId="3F534763" w14:textId="77777777" w:rsidTr="00604051">
        <w:tc>
          <w:tcPr>
            <w:tcW w:w="1249" w:type="pct"/>
            <w:tcBorders>
              <w:top w:val="nil"/>
            </w:tcBorders>
            <w:shd w:val="clear" w:color="000000" w:fill="auto"/>
          </w:tcPr>
          <w:p w14:paraId="03B2B4E7" w14:textId="77777777" w:rsidR="00767353" w:rsidRPr="007E2AF2" w:rsidRDefault="00767353" w:rsidP="00604051">
            <w:pPr>
              <w:pStyle w:val="TableBodyText"/>
              <w:spacing w:before="45" w:after="45"/>
              <w:ind w:left="57" w:right="108"/>
              <w:jc w:val="left"/>
              <w:rPr>
                <w:rFonts w:ascii="Arial (Body)" w:hAnsi="Arial (Body)"/>
                <w:bCs/>
                <w:color w:val="265A9A"/>
              </w:rPr>
            </w:pPr>
            <w:r w:rsidRPr="007E2AF2">
              <w:rPr>
                <w:rFonts w:ascii="Arial (Body)" w:hAnsi="Arial (Body)"/>
                <w:bCs/>
              </w:rPr>
              <w:t>Number of observations</w:t>
            </w:r>
          </w:p>
        </w:tc>
        <w:tc>
          <w:tcPr>
            <w:tcW w:w="681" w:type="pct"/>
            <w:tcBorders>
              <w:top w:val="nil"/>
            </w:tcBorders>
            <w:shd w:val="clear" w:color="000000" w:fill="auto"/>
          </w:tcPr>
          <w:p w14:paraId="79D2BBC2"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485</w:t>
            </w:r>
          </w:p>
        </w:tc>
        <w:tc>
          <w:tcPr>
            <w:tcW w:w="614" w:type="pct"/>
            <w:tcBorders>
              <w:top w:val="nil"/>
            </w:tcBorders>
            <w:shd w:val="clear" w:color="000000" w:fill="auto"/>
          </w:tcPr>
          <w:p w14:paraId="247A0A5F"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133</w:t>
            </w:r>
          </w:p>
        </w:tc>
        <w:tc>
          <w:tcPr>
            <w:tcW w:w="614" w:type="pct"/>
            <w:tcBorders>
              <w:top w:val="nil"/>
            </w:tcBorders>
            <w:shd w:val="clear" w:color="000000" w:fill="auto"/>
          </w:tcPr>
          <w:p w14:paraId="78ECB2F4"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352</w:t>
            </w:r>
          </w:p>
        </w:tc>
        <w:tc>
          <w:tcPr>
            <w:tcW w:w="614" w:type="pct"/>
            <w:tcBorders>
              <w:top w:val="nil"/>
            </w:tcBorders>
            <w:shd w:val="clear" w:color="000000" w:fill="auto"/>
          </w:tcPr>
          <w:p w14:paraId="2B9A2FAE"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480</w:t>
            </w:r>
          </w:p>
        </w:tc>
        <w:tc>
          <w:tcPr>
            <w:tcW w:w="614" w:type="pct"/>
            <w:tcBorders>
              <w:top w:val="nil"/>
            </w:tcBorders>
            <w:shd w:val="clear" w:color="000000" w:fill="auto"/>
          </w:tcPr>
          <w:p w14:paraId="5523F58F"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458</w:t>
            </w:r>
          </w:p>
        </w:tc>
        <w:tc>
          <w:tcPr>
            <w:tcW w:w="613" w:type="pct"/>
            <w:tcBorders>
              <w:top w:val="nil"/>
            </w:tcBorders>
            <w:shd w:val="clear" w:color="000000" w:fill="auto"/>
          </w:tcPr>
          <w:p w14:paraId="5F905680"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424</w:t>
            </w:r>
          </w:p>
        </w:tc>
      </w:tr>
    </w:tbl>
    <w:p w14:paraId="78E68777" w14:textId="3E777243" w:rsidR="00767353" w:rsidRPr="00B440B8" w:rsidRDefault="00767353" w:rsidP="00767353">
      <w:pPr>
        <w:pStyle w:val="Note"/>
        <w:rPr>
          <w:bCs/>
          <w:spacing w:val="-2"/>
        </w:rPr>
      </w:pPr>
      <w:r w:rsidRPr="007E2AF2">
        <w:rPr>
          <w:b/>
          <w:bCs/>
          <w:spacing w:val="-2"/>
        </w:rPr>
        <w:t>a.</w:t>
      </w:r>
      <w:r w:rsidRPr="007E2AF2">
        <w:rPr>
          <w:spacing w:val="-2"/>
        </w:rPr>
        <w:t xml:space="preserve"> </w:t>
      </w:r>
      <m:oMath>
        <m:sSub>
          <m:sSubPr>
            <m:ctrlPr>
              <w:rPr>
                <w:rFonts w:ascii="Cambria Math" w:hAnsi="Cambria Math"/>
                <w:i/>
                <w:spacing w:val="-2"/>
              </w:rPr>
            </m:ctrlPr>
          </m:sSubPr>
          <m:e>
            <m:r>
              <w:rPr>
                <w:rFonts w:ascii="Cambria Math" w:hAnsi="Cambria Math"/>
                <w:spacing w:val="-2"/>
              </w:rPr>
              <m:t>PWDE</m:t>
            </m:r>
          </m:e>
          <m:sub>
            <m:r>
              <w:rPr>
                <w:rFonts w:ascii="Cambria Math" w:hAnsi="Cambria Math"/>
                <w:spacing w:val="-2"/>
              </w:rPr>
              <m:t>i</m:t>
            </m:r>
          </m:sub>
        </m:sSub>
      </m:oMath>
      <w:r w:rsidRPr="007E2AF2">
        <w:rPr>
          <w:spacing w:val="-2"/>
        </w:rPr>
        <w:t xml:space="preserve"> is </w:t>
      </w:r>
      <m:oMath>
        <m:sSub>
          <m:sSubPr>
            <m:ctrlPr>
              <w:rPr>
                <w:rFonts w:ascii="Cambria Math" w:hAnsi="Cambria Math"/>
                <w:i/>
                <w:spacing w:val="-2"/>
              </w:rPr>
            </m:ctrlPr>
          </m:sSubPr>
          <m:e>
            <m:r>
              <w:rPr>
                <w:rFonts w:ascii="Cambria Math" w:hAnsi="Cambria Math"/>
                <w:spacing w:val="-2"/>
              </w:rPr>
              <m:t>Parent wealth (demography estimate)</m:t>
            </m:r>
          </m:e>
          <m:sub>
            <m:r>
              <w:rPr>
                <w:rFonts w:ascii="Cambria Math" w:hAnsi="Cambria Math"/>
                <w:spacing w:val="-2"/>
              </w:rPr>
              <m:t>i</m:t>
            </m:r>
          </m:sub>
        </m:sSub>
      </m:oMath>
      <w:r w:rsidRPr="007E2AF2">
        <w:rPr>
          <w:spacing w:val="-2"/>
        </w:rPr>
        <w:t xml:space="preserve">. </w:t>
      </w:r>
      <w:r w:rsidRPr="007E2AF2">
        <w:rPr>
          <w:b/>
        </w:rPr>
        <w:t>b</w:t>
      </w:r>
      <w:r>
        <w:rPr>
          <w:b/>
        </w:rPr>
        <w:t>.</w:t>
      </w:r>
      <w:r w:rsidRPr="007E2AF2">
        <w:rPr>
          <w:spacing w:val="-2"/>
        </w:rPr>
        <w:t xml:space="preserve"> * indicates statistical significance at the 10 per cent level of significance, ** indicates significance at the 5 per cent level of significance, and *** indicates significance at the 1 per cent level of significance. </w:t>
      </w:r>
      <w:r w:rsidRPr="007E2AF2">
        <w:rPr>
          <w:b/>
        </w:rPr>
        <w:t>c</w:t>
      </w:r>
      <w:r>
        <w:rPr>
          <w:b/>
        </w:rPr>
        <w:t>.</w:t>
      </w:r>
      <w:r w:rsidRPr="007E2AF2">
        <w:rPr>
          <w:spacing w:val="-2"/>
        </w:rPr>
        <w:t xml:space="preserve"> For models 4–6, the number of excluded observations is consistent with the ‘no inheritance’ group in the small, main and large samples, respectively. The small sample comprises 243 observations with a reported inheritance and 5 observations with no inheritance, the main sample 243 and 27, and the large sample 243 and 61.</w:t>
      </w:r>
      <w:r w:rsidR="00871D49">
        <w:rPr>
          <w:spacing w:val="-2"/>
        </w:rPr>
        <w:t xml:space="preserve"> </w:t>
      </w:r>
      <w:r w:rsidR="009E0F9C">
        <w:rPr>
          <w:b/>
        </w:rPr>
        <w:t>d</w:t>
      </w:r>
      <w:r w:rsidR="00871D49">
        <w:rPr>
          <w:b/>
        </w:rPr>
        <w:t>.</w:t>
      </w:r>
      <w:r w:rsidR="00B440B8">
        <w:rPr>
          <w:bCs/>
        </w:rPr>
        <w:t xml:space="preserve"> </w:t>
      </w:r>
      <w:r w:rsidR="001C54FE">
        <w:rPr>
          <w:bCs/>
        </w:rPr>
        <w:t>All r</w:t>
      </w:r>
      <w:r w:rsidR="00B440B8">
        <w:rPr>
          <w:bCs/>
        </w:rPr>
        <w:t>esults</w:t>
      </w:r>
      <w:r w:rsidR="001C54FE">
        <w:rPr>
          <w:bCs/>
        </w:rPr>
        <w:t xml:space="preserve"> have been</w:t>
      </w:r>
      <w:r w:rsidR="00B440B8">
        <w:rPr>
          <w:bCs/>
        </w:rPr>
        <w:t xml:space="preserve"> </w:t>
      </w:r>
      <w:r w:rsidR="00913751">
        <w:rPr>
          <w:bCs/>
        </w:rPr>
        <w:t>scaled by</w:t>
      </w:r>
      <w:r w:rsidR="001C54FE">
        <w:rPr>
          <w:bCs/>
        </w:rPr>
        <w:t> </w:t>
      </w:r>
      <w:r w:rsidR="00913751">
        <w:rPr>
          <w:bCs/>
        </w:rPr>
        <w:t>1000</w:t>
      </w:r>
      <w:r w:rsidR="001C54FE">
        <w:rPr>
          <w:bCs/>
        </w:rPr>
        <w:t xml:space="preserve"> for ease of presentation.</w:t>
      </w:r>
    </w:p>
    <w:p w14:paraId="3EE7CCA7" w14:textId="77777777" w:rsidR="00767353" w:rsidRDefault="00767353" w:rsidP="00767353">
      <w:pPr>
        <w:pStyle w:val="Source"/>
      </w:pPr>
      <w:r w:rsidRPr="00696447">
        <w:t xml:space="preserve">Source: </w:t>
      </w:r>
      <w:r>
        <w:t>Productivity Commission estimates based on HILDA Restricted Release 19.</w:t>
      </w:r>
    </w:p>
    <w:p w14:paraId="5DA2F636" w14:textId="77777777" w:rsidR="00767353" w:rsidRPr="003B5105" w:rsidRDefault="00767353" w:rsidP="00767353">
      <w:pPr>
        <w:pStyle w:val="BodyText"/>
        <w:rPr>
          <w:spacing w:val="-2"/>
        </w:rPr>
      </w:pPr>
      <w:r w:rsidRPr="003B5105">
        <w:rPr>
          <w:spacing w:val="-2"/>
        </w:rPr>
        <w:t>Table B.3 compares the inheritance</w:t>
      </w:r>
      <w:r w:rsidRPr="003B5105">
        <w:rPr>
          <w:spacing w:val="-2"/>
        </w:rPr>
        <w:noBreakHyphen/>
        <w:t>based estimate of parent wealth from these three prospective samples with the narrow comparison group. Each has been reweighted to balance the distribution over the years in which wealth was measured/imputed to allow for greater comparability. The inheritance</w:t>
      </w:r>
      <w:r w:rsidRPr="003B5105">
        <w:rPr>
          <w:spacing w:val="-2"/>
        </w:rPr>
        <w:noBreakHyphen/>
        <w:t>based estimate of the parents’ wealth is 91–115 per cent of the wealth of the comparison group at the mean and 49–70 per cent at the median (table B.3). While an imperfect comparison, this likely suggests that there is substantial error in the inheritance</w:t>
      </w:r>
      <w:r w:rsidRPr="003B5105">
        <w:rPr>
          <w:spacing w:val="-2"/>
        </w:rPr>
        <w:noBreakHyphen/>
        <w:t xml:space="preserve">based estimate. However, as shown later, this does not necessarily lead to bias in the estimate of the share of IWP that is attributed to inheritances. </w:t>
      </w:r>
    </w:p>
    <w:p w14:paraId="4FCC63C3" w14:textId="2DE3B4B0"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5E6456">
        <w:t>3</w:t>
      </w:r>
      <w:r>
        <w:rPr>
          <w:noProof/>
        </w:rPr>
        <w:t xml:space="preserve"> – </w:t>
      </w:r>
      <w:r>
        <w:t>Comparison of inheritance</w:t>
      </w:r>
      <w:r>
        <w:noBreakHyphen/>
        <w:t>based estimate of second parent wealth at death with observed value among narrow comparison group</w:t>
      </w:r>
      <w:r w:rsidRPr="00EC0C27">
        <w:rPr>
          <w:vertAlign w:val="superscript"/>
        </w:rPr>
        <w:t>a</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301"/>
        <w:gridCol w:w="1212"/>
        <w:gridCol w:w="1299"/>
        <w:gridCol w:w="1212"/>
        <w:gridCol w:w="1201"/>
        <w:gridCol w:w="1212"/>
        <w:gridCol w:w="1201"/>
      </w:tblGrid>
      <w:tr w:rsidR="00767353" w:rsidRPr="007E2AF2" w14:paraId="22A2441E" w14:textId="77777777" w:rsidTr="00604051">
        <w:trPr>
          <w:tblHeader/>
        </w:trPr>
        <w:tc>
          <w:tcPr>
            <w:tcW w:w="1193" w:type="pct"/>
            <w:tcBorders>
              <w:bottom w:val="nil"/>
            </w:tcBorders>
            <w:shd w:val="clear" w:color="auto" w:fill="auto"/>
            <w:tcMar>
              <w:top w:w="28" w:type="dxa"/>
            </w:tcMar>
          </w:tcPr>
          <w:p w14:paraId="6F1C0A20" w14:textId="77777777" w:rsidR="00767353" w:rsidRPr="007E2AF2" w:rsidRDefault="00767353" w:rsidP="00604051">
            <w:pPr>
              <w:pStyle w:val="TableColumnHeading"/>
              <w:spacing w:before="45" w:after="45"/>
              <w:ind w:left="57" w:right="108"/>
              <w:jc w:val="left"/>
              <w:rPr>
                <w:rFonts w:ascii="Arial (Body)" w:hAnsi="Arial (Body)"/>
                <w:b/>
                <w:i w:val="0"/>
                <w:color w:val="265A9A"/>
              </w:rPr>
            </w:pPr>
          </w:p>
        </w:tc>
        <w:tc>
          <w:tcPr>
            <w:tcW w:w="1303" w:type="pct"/>
            <w:gridSpan w:val="2"/>
            <w:tcBorders>
              <w:bottom w:val="nil"/>
            </w:tcBorders>
            <w:shd w:val="clear" w:color="auto" w:fill="auto"/>
          </w:tcPr>
          <w:p w14:paraId="21BD691C"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Small sample</w:t>
            </w:r>
          </w:p>
        </w:tc>
        <w:tc>
          <w:tcPr>
            <w:tcW w:w="1252" w:type="pct"/>
            <w:gridSpan w:val="2"/>
            <w:tcBorders>
              <w:bottom w:val="nil"/>
            </w:tcBorders>
            <w:shd w:val="clear" w:color="auto" w:fill="auto"/>
          </w:tcPr>
          <w:p w14:paraId="7A7617D5"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Main sample</w:t>
            </w:r>
          </w:p>
        </w:tc>
        <w:tc>
          <w:tcPr>
            <w:tcW w:w="1252" w:type="pct"/>
            <w:gridSpan w:val="2"/>
            <w:tcBorders>
              <w:bottom w:val="nil"/>
            </w:tcBorders>
            <w:shd w:val="clear" w:color="auto" w:fill="auto"/>
            <w:tcMar>
              <w:top w:w="28" w:type="dxa"/>
            </w:tcMar>
          </w:tcPr>
          <w:p w14:paraId="1F7D3D38" w14:textId="77777777" w:rsidR="00767353" w:rsidRPr="007E2AF2" w:rsidRDefault="00767353" w:rsidP="00604051">
            <w:pPr>
              <w:pStyle w:val="TableColumnHeading"/>
              <w:spacing w:before="45" w:after="45"/>
              <w:ind w:left="57" w:right="108"/>
              <w:rPr>
                <w:rFonts w:ascii="Arial (Body)" w:hAnsi="Arial (Body)"/>
                <w:b/>
                <w:i w:val="0"/>
                <w:color w:val="265A9A"/>
              </w:rPr>
            </w:pPr>
            <w:r w:rsidRPr="007E2AF2">
              <w:rPr>
                <w:rFonts w:ascii="Arial (Body)" w:hAnsi="Arial (Body)"/>
                <w:b/>
                <w:i w:val="0"/>
                <w:color w:val="265A9A"/>
              </w:rPr>
              <w:t>Large sample</w:t>
            </w:r>
          </w:p>
        </w:tc>
      </w:tr>
      <w:tr w:rsidR="00767353" w:rsidRPr="007E2AF2" w14:paraId="43C03799" w14:textId="77777777" w:rsidTr="00604051">
        <w:tc>
          <w:tcPr>
            <w:tcW w:w="1193" w:type="pct"/>
            <w:tcBorders>
              <w:top w:val="nil"/>
              <w:bottom w:val="single" w:sz="4" w:space="0" w:color="B3B3B3"/>
            </w:tcBorders>
            <w:shd w:val="clear" w:color="auto" w:fill="auto"/>
          </w:tcPr>
          <w:p w14:paraId="461C0445" w14:textId="77777777" w:rsidR="00767353" w:rsidRPr="007E2AF2" w:rsidRDefault="00767353" w:rsidP="00604051">
            <w:pPr>
              <w:pStyle w:val="TableBodyText"/>
              <w:spacing w:before="45" w:after="45"/>
              <w:ind w:left="57" w:right="108"/>
              <w:jc w:val="left"/>
              <w:rPr>
                <w:rFonts w:ascii="Arial (Body)" w:hAnsi="Arial (Body)"/>
                <w:b/>
                <w:color w:val="265A9A"/>
              </w:rPr>
            </w:pPr>
          </w:p>
        </w:tc>
        <w:tc>
          <w:tcPr>
            <w:tcW w:w="629" w:type="pct"/>
            <w:tcBorders>
              <w:top w:val="nil"/>
              <w:bottom w:val="single" w:sz="4" w:space="0" w:color="B3B3B3"/>
            </w:tcBorders>
            <w:shd w:val="clear" w:color="auto" w:fill="auto"/>
          </w:tcPr>
          <w:p w14:paraId="3BDCAEF2" w14:textId="77777777" w:rsidR="00767353" w:rsidRPr="007E2AF2" w:rsidRDefault="00767353" w:rsidP="00604051">
            <w:pPr>
              <w:pStyle w:val="TableColumnHeading"/>
              <w:spacing w:before="45" w:after="45"/>
              <w:ind w:left="57" w:right="108"/>
              <w:rPr>
                <w:rFonts w:ascii="Arial (Body)" w:hAnsi="Arial (Body)"/>
                <w:i w:val="0"/>
                <w:color w:val="000000"/>
              </w:rPr>
            </w:pPr>
            <w:r w:rsidRPr="007E2AF2">
              <w:rPr>
                <w:rFonts w:ascii="Arial (Body)" w:hAnsi="Arial (Body)"/>
                <w:i w:val="0"/>
                <w:color w:val="000000"/>
              </w:rPr>
              <w:t>Inheritance</w:t>
            </w:r>
            <w:r w:rsidRPr="007E2AF2">
              <w:rPr>
                <w:rFonts w:ascii="Arial (Body)" w:hAnsi="Arial (Body)"/>
                <w:i w:val="0"/>
                <w:color w:val="000000"/>
              </w:rPr>
              <w:noBreakHyphen/>
            </w:r>
            <w:r>
              <w:rPr>
                <w:rFonts w:ascii="Arial (Body)" w:hAnsi="Arial (Body)"/>
                <w:i w:val="0"/>
                <w:color w:val="000000"/>
              </w:rPr>
              <w:br/>
            </w:r>
            <w:r w:rsidRPr="007E2AF2">
              <w:rPr>
                <w:rFonts w:ascii="Arial (Body)" w:hAnsi="Arial (Body)"/>
                <w:i w:val="0"/>
                <w:color w:val="000000"/>
              </w:rPr>
              <w:t xml:space="preserve">based estimate </w:t>
            </w:r>
          </w:p>
        </w:tc>
        <w:tc>
          <w:tcPr>
            <w:tcW w:w="674" w:type="pct"/>
            <w:tcBorders>
              <w:top w:val="nil"/>
              <w:bottom w:val="single" w:sz="4" w:space="0" w:color="B3B3B3"/>
            </w:tcBorders>
            <w:shd w:val="clear" w:color="auto" w:fill="auto"/>
          </w:tcPr>
          <w:p w14:paraId="1C3058A0" w14:textId="77777777" w:rsidR="00767353" w:rsidRPr="007E2AF2" w:rsidRDefault="00767353" w:rsidP="00604051">
            <w:pPr>
              <w:pStyle w:val="TableColumnHeading"/>
              <w:spacing w:before="45" w:after="45"/>
              <w:ind w:left="57" w:right="108"/>
              <w:rPr>
                <w:rFonts w:ascii="Arial (Body)" w:hAnsi="Arial (Body)"/>
                <w:i w:val="0"/>
                <w:color w:val="000000"/>
              </w:rPr>
            </w:pPr>
            <w:r w:rsidRPr="007E2AF2">
              <w:rPr>
                <w:rFonts w:ascii="Arial (Body)" w:hAnsi="Arial (Body)"/>
                <w:i w:val="0"/>
                <w:color w:val="000000"/>
              </w:rPr>
              <w:t>Observed wealth for narrow comparison group</w:t>
            </w:r>
          </w:p>
        </w:tc>
        <w:tc>
          <w:tcPr>
            <w:tcW w:w="629" w:type="pct"/>
            <w:tcBorders>
              <w:top w:val="nil"/>
              <w:bottom w:val="single" w:sz="4" w:space="0" w:color="B3B3B3"/>
            </w:tcBorders>
            <w:shd w:val="clear" w:color="auto" w:fill="auto"/>
          </w:tcPr>
          <w:p w14:paraId="05C4BC62" w14:textId="77777777" w:rsidR="00767353" w:rsidRPr="007E2AF2" w:rsidRDefault="00767353" w:rsidP="00604051">
            <w:pPr>
              <w:pStyle w:val="TableColumnHeading"/>
              <w:spacing w:before="45" w:after="45"/>
              <w:ind w:left="57" w:right="108"/>
              <w:rPr>
                <w:rFonts w:ascii="Arial (Body)" w:hAnsi="Arial (Body)"/>
                <w:i w:val="0"/>
                <w:color w:val="000000"/>
              </w:rPr>
            </w:pPr>
            <w:r w:rsidRPr="007E2AF2">
              <w:rPr>
                <w:rFonts w:ascii="Arial (Body)" w:hAnsi="Arial (Body)"/>
                <w:i w:val="0"/>
                <w:color w:val="000000"/>
              </w:rPr>
              <w:t>Inheritance</w:t>
            </w:r>
            <w:r w:rsidRPr="007E2AF2">
              <w:rPr>
                <w:rFonts w:ascii="Arial (Body)" w:hAnsi="Arial (Body)"/>
                <w:i w:val="0"/>
                <w:color w:val="000000"/>
              </w:rPr>
              <w:noBreakHyphen/>
            </w:r>
            <w:r>
              <w:rPr>
                <w:rFonts w:ascii="Arial (Body)" w:hAnsi="Arial (Body)"/>
                <w:i w:val="0"/>
                <w:color w:val="000000"/>
              </w:rPr>
              <w:br/>
            </w:r>
            <w:r w:rsidRPr="007E2AF2">
              <w:rPr>
                <w:rFonts w:ascii="Arial (Body)" w:hAnsi="Arial (Body)"/>
                <w:i w:val="0"/>
                <w:color w:val="000000"/>
              </w:rPr>
              <w:t xml:space="preserve">based estimate </w:t>
            </w:r>
          </w:p>
        </w:tc>
        <w:tc>
          <w:tcPr>
            <w:tcW w:w="623" w:type="pct"/>
            <w:tcBorders>
              <w:top w:val="nil"/>
              <w:bottom w:val="single" w:sz="4" w:space="0" w:color="B3B3B3"/>
            </w:tcBorders>
            <w:shd w:val="clear" w:color="auto" w:fill="auto"/>
          </w:tcPr>
          <w:p w14:paraId="677BAF4D" w14:textId="77777777" w:rsidR="00767353" w:rsidRPr="007E2AF2" w:rsidRDefault="00767353" w:rsidP="00604051">
            <w:pPr>
              <w:pStyle w:val="TableColumnHeading"/>
              <w:spacing w:before="45" w:after="45"/>
              <w:ind w:left="57" w:right="108"/>
              <w:rPr>
                <w:rFonts w:ascii="Arial (Body)" w:hAnsi="Arial (Body)"/>
                <w:i w:val="0"/>
                <w:color w:val="000000"/>
              </w:rPr>
            </w:pPr>
            <w:r w:rsidRPr="007E2AF2">
              <w:rPr>
                <w:rFonts w:ascii="Arial (Body)" w:hAnsi="Arial (Body)"/>
                <w:i w:val="0"/>
                <w:color w:val="000000"/>
              </w:rPr>
              <w:t>Observed wealth for narrow comparison group</w:t>
            </w:r>
          </w:p>
        </w:tc>
        <w:tc>
          <w:tcPr>
            <w:tcW w:w="629" w:type="pct"/>
            <w:tcBorders>
              <w:top w:val="nil"/>
              <w:bottom w:val="single" w:sz="4" w:space="0" w:color="B3B3B3"/>
            </w:tcBorders>
            <w:shd w:val="clear" w:color="auto" w:fill="auto"/>
          </w:tcPr>
          <w:p w14:paraId="0F01038E" w14:textId="77777777" w:rsidR="00767353" w:rsidRPr="007E2AF2" w:rsidRDefault="00767353" w:rsidP="00604051">
            <w:pPr>
              <w:pStyle w:val="TableColumnHeading"/>
              <w:spacing w:before="45" w:after="45"/>
              <w:ind w:left="57" w:right="108"/>
              <w:rPr>
                <w:rFonts w:ascii="Arial (Body)" w:hAnsi="Arial (Body)"/>
                <w:i w:val="0"/>
                <w:color w:val="000000"/>
              </w:rPr>
            </w:pPr>
            <w:r w:rsidRPr="007E2AF2">
              <w:rPr>
                <w:rFonts w:ascii="Arial (Body)" w:hAnsi="Arial (Body)"/>
                <w:i w:val="0"/>
                <w:color w:val="000000"/>
              </w:rPr>
              <w:t>Inheritance</w:t>
            </w:r>
            <w:r>
              <w:rPr>
                <w:rFonts w:ascii="Arial (Body)" w:hAnsi="Arial (Body)"/>
                <w:i w:val="0"/>
                <w:color w:val="000000"/>
              </w:rPr>
              <w:t>-</w:t>
            </w:r>
            <w:r>
              <w:rPr>
                <w:rFonts w:ascii="Arial (Body)" w:hAnsi="Arial (Body)"/>
                <w:i w:val="0"/>
                <w:color w:val="000000"/>
              </w:rPr>
              <w:br/>
            </w:r>
            <w:r w:rsidRPr="007E2AF2">
              <w:rPr>
                <w:rFonts w:ascii="Arial (Body)" w:hAnsi="Arial (Body)"/>
                <w:i w:val="0"/>
                <w:color w:val="000000"/>
              </w:rPr>
              <w:t xml:space="preserve">based estimate </w:t>
            </w:r>
          </w:p>
        </w:tc>
        <w:tc>
          <w:tcPr>
            <w:tcW w:w="623" w:type="pct"/>
            <w:tcBorders>
              <w:top w:val="nil"/>
              <w:bottom w:val="single" w:sz="4" w:space="0" w:color="B3B3B3"/>
            </w:tcBorders>
            <w:shd w:val="clear" w:color="auto" w:fill="auto"/>
          </w:tcPr>
          <w:p w14:paraId="34F20540" w14:textId="77777777" w:rsidR="00767353" w:rsidRPr="007E2AF2" w:rsidRDefault="00767353" w:rsidP="00604051">
            <w:pPr>
              <w:pStyle w:val="TableColumnHeading"/>
              <w:spacing w:before="45" w:after="45"/>
              <w:ind w:left="57" w:right="108"/>
              <w:rPr>
                <w:rFonts w:ascii="Arial (Body)" w:hAnsi="Arial (Body)"/>
                <w:i w:val="0"/>
                <w:color w:val="000000"/>
              </w:rPr>
            </w:pPr>
            <w:r w:rsidRPr="007E2AF2">
              <w:rPr>
                <w:rFonts w:ascii="Arial (Body)" w:hAnsi="Arial (Body)"/>
                <w:i w:val="0"/>
                <w:color w:val="000000"/>
              </w:rPr>
              <w:t>Observed wealth for narrow comparison group</w:t>
            </w:r>
          </w:p>
        </w:tc>
      </w:tr>
      <w:tr w:rsidR="00767353" w:rsidRPr="007E2AF2" w14:paraId="31EBF111" w14:textId="77777777" w:rsidTr="00604051">
        <w:tc>
          <w:tcPr>
            <w:tcW w:w="1193" w:type="pct"/>
            <w:tcBorders>
              <w:top w:val="single" w:sz="4" w:space="0" w:color="B3B3B3"/>
              <w:bottom w:val="nil"/>
            </w:tcBorders>
            <w:shd w:val="clear" w:color="auto" w:fill="auto"/>
          </w:tcPr>
          <w:p w14:paraId="4021D022" w14:textId="77777777" w:rsidR="00767353" w:rsidRPr="007E2AF2" w:rsidRDefault="00767353" w:rsidP="00604051">
            <w:pPr>
              <w:pStyle w:val="TableUnitsRow"/>
              <w:spacing w:before="45" w:after="45"/>
              <w:ind w:left="57" w:right="108"/>
              <w:jc w:val="left"/>
              <w:rPr>
                <w:rFonts w:ascii="Arial (Body)" w:hAnsi="Arial (Body)"/>
                <w:b/>
                <w:color w:val="265A9A"/>
              </w:rPr>
            </w:pPr>
          </w:p>
        </w:tc>
        <w:tc>
          <w:tcPr>
            <w:tcW w:w="629" w:type="pct"/>
            <w:tcBorders>
              <w:top w:val="single" w:sz="4" w:space="0" w:color="B3B3B3"/>
              <w:bottom w:val="nil"/>
            </w:tcBorders>
            <w:shd w:val="clear" w:color="auto" w:fill="auto"/>
          </w:tcPr>
          <w:p w14:paraId="6C3A833D"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olor w:val="000000"/>
              </w:rPr>
              <w:t>$</w:t>
            </w:r>
          </w:p>
        </w:tc>
        <w:tc>
          <w:tcPr>
            <w:tcW w:w="674" w:type="pct"/>
            <w:tcBorders>
              <w:top w:val="single" w:sz="4" w:space="0" w:color="B3B3B3"/>
              <w:bottom w:val="nil"/>
            </w:tcBorders>
            <w:shd w:val="clear" w:color="auto" w:fill="auto"/>
          </w:tcPr>
          <w:p w14:paraId="1BC9A1AA"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olor w:val="000000"/>
              </w:rPr>
              <w:t>$</w:t>
            </w:r>
          </w:p>
        </w:tc>
        <w:tc>
          <w:tcPr>
            <w:tcW w:w="629" w:type="pct"/>
            <w:tcBorders>
              <w:top w:val="single" w:sz="4" w:space="0" w:color="B3B3B3"/>
              <w:bottom w:val="nil"/>
            </w:tcBorders>
            <w:shd w:val="clear" w:color="auto" w:fill="auto"/>
          </w:tcPr>
          <w:p w14:paraId="214BBCD1"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olor w:val="000000"/>
              </w:rPr>
              <w:t>$</w:t>
            </w:r>
          </w:p>
        </w:tc>
        <w:tc>
          <w:tcPr>
            <w:tcW w:w="623" w:type="pct"/>
            <w:tcBorders>
              <w:top w:val="single" w:sz="4" w:space="0" w:color="B3B3B3"/>
              <w:bottom w:val="nil"/>
            </w:tcBorders>
            <w:shd w:val="clear" w:color="auto" w:fill="auto"/>
          </w:tcPr>
          <w:p w14:paraId="71977165"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olor w:val="000000"/>
              </w:rPr>
              <w:t>$</w:t>
            </w:r>
          </w:p>
        </w:tc>
        <w:tc>
          <w:tcPr>
            <w:tcW w:w="629" w:type="pct"/>
            <w:tcBorders>
              <w:top w:val="single" w:sz="4" w:space="0" w:color="B3B3B3"/>
              <w:bottom w:val="nil"/>
            </w:tcBorders>
            <w:shd w:val="clear" w:color="auto" w:fill="auto"/>
          </w:tcPr>
          <w:p w14:paraId="59E616DE"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olor w:val="000000"/>
              </w:rPr>
              <w:t>$</w:t>
            </w:r>
          </w:p>
        </w:tc>
        <w:tc>
          <w:tcPr>
            <w:tcW w:w="623" w:type="pct"/>
            <w:tcBorders>
              <w:top w:val="single" w:sz="4" w:space="0" w:color="B3B3B3"/>
              <w:bottom w:val="nil"/>
            </w:tcBorders>
            <w:shd w:val="clear" w:color="auto" w:fill="auto"/>
          </w:tcPr>
          <w:p w14:paraId="6B082121" w14:textId="77777777" w:rsidR="00767353" w:rsidRPr="007E2AF2" w:rsidRDefault="00767353" w:rsidP="00604051">
            <w:pPr>
              <w:pStyle w:val="TableUnitsRow"/>
              <w:spacing w:before="45" w:after="45"/>
              <w:ind w:left="57" w:right="108"/>
              <w:rPr>
                <w:rFonts w:ascii="Arial (Body)" w:hAnsi="Arial (Body)"/>
                <w:color w:val="000000"/>
              </w:rPr>
            </w:pPr>
            <w:r w:rsidRPr="007E2AF2">
              <w:rPr>
                <w:rFonts w:ascii="Arial (Body)" w:hAnsi="Arial (Body)"/>
                <w:color w:val="000000"/>
              </w:rPr>
              <w:t>$</w:t>
            </w:r>
          </w:p>
        </w:tc>
      </w:tr>
      <w:tr w:rsidR="00767353" w:rsidRPr="007E2AF2" w14:paraId="5D5EBAED" w14:textId="77777777" w:rsidTr="00604051">
        <w:tc>
          <w:tcPr>
            <w:tcW w:w="1193" w:type="pct"/>
            <w:tcBorders>
              <w:bottom w:val="nil"/>
            </w:tcBorders>
            <w:shd w:val="clear" w:color="auto" w:fill="F1F1F1"/>
          </w:tcPr>
          <w:p w14:paraId="438BD93D" w14:textId="77777777" w:rsidR="00767353" w:rsidRPr="00FF36C4" w:rsidRDefault="00767353" w:rsidP="00604051">
            <w:pPr>
              <w:pStyle w:val="TableBodyText"/>
              <w:spacing w:before="45" w:after="45"/>
              <w:ind w:left="57" w:right="108"/>
              <w:jc w:val="left"/>
              <w:rPr>
                <w:rFonts w:ascii="Arial (Body)" w:hAnsi="Arial (Body)"/>
                <w:bCs/>
              </w:rPr>
            </w:pPr>
            <w:r w:rsidRPr="00FF36C4">
              <w:rPr>
                <w:rFonts w:ascii="Arial (Body)" w:hAnsi="Arial (Body)"/>
                <w:bCs/>
              </w:rPr>
              <w:t>Minimum</w:t>
            </w:r>
          </w:p>
        </w:tc>
        <w:tc>
          <w:tcPr>
            <w:tcW w:w="629" w:type="pct"/>
            <w:tcBorders>
              <w:bottom w:val="nil"/>
            </w:tcBorders>
            <w:shd w:val="clear" w:color="auto" w:fill="F1F1F1"/>
          </w:tcPr>
          <w:p w14:paraId="6719DE9C"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w:t>
            </w:r>
          </w:p>
        </w:tc>
        <w:tc>
          <w:tcPr>
            <w:tcW w:w="674" w:type="pct"/>
            <w:tcBorders>
              <w:bottom w:val="nil"/>
            </w:tcBorders>
            <w:shd w:val="clear" w:color="auto" w:fill="F1F1F1"/>
          </w:tcPr>
          <w:p w14:paraId="667E04A0"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2 000</w:t>
            </w:r>
          </w:p>
        </w:tc>
        <w:tc>
          <w:tcPr>
            <w:tcW w:w="629" w:type="pct"/>
            <w:tcBorders>
              <w:bottom w:val="nil"/>
            </w:tcBorders>
            <w:shd w:val="clear" w:color="auto" w:fill="F1F1F1"/>
          </w:tcPr>
          <w:p w14:paraId="0B8454EE"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w:t>
            </w:r>
          </w:p>
        </w:tc>
        <w:tc>
          <w:tcPr>
            <w:tcW w:w="623" w:type="pct"/>
            <w:tcBorders>
              <w:bottom w:val="nil"/>
            </w:tcBorders>
            <w:shd w:val="clear" w:color="auto" w:fill="F1F1F1"/>
          </w:tcPr>
          <w:p w14:paraId="6EBAEA07"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2 000</w:t>
            </w:r>
          </w:p>
        </w:tc>
        <w:tc>
          <w:tcPr>
            <w:tcW w:w="629" w:type="pct"/>
            <w:tcBorders>
              <w:bottom w:val="nil"/>
            </w:tcBorders>
            <w:shd w:val="clear" w:color="auto" w:fill="F1F1F1"/>
          </w:tcPr>
          <w:p w14:paraId="13B0F7E5"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0</w:t>
            </w:r>
          </w:p>
        </w:tc>
        <w:tc>
          <w:tcPr>
            <w:tcW w:w="623" w:type="pct"/>
            <w:tcBorders>
              <w:bottom w:val="nil"/>
            </w:tcBorders>
            <w:shd w:val="clear" w:color="auto" w:fill="F1F1F1"/>
          </w:tcPr>
          <w:p w14:paraId="0722CEA8"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2 000</w:t>
            </w:r>
          </w:p>
        </w:tc>
      </w:tr>
      <w:tr w:rsidR="00767353" w:rsidRPr="007E2AF2" w14:paraId="65CCD2A8" w14:textId="77777777" w:rsidTr="00604051">
        <w:tc>
          <w:tcPr>
            <w:tcW w:w="1193" w:type="pct"/>
            <w:tcBorders>
              <w:top w:val="nil"/>
              <w:bottom w:val="nil"/>
            </w:tcBorders>
            <w:shd w:val="clear" w:color="auto" w:fill="auto"/>
          </w:tcPr>
          <w:p w14:paraId="16360345" w14:textId="77777777" w:rsidR="00767353" w:rsidRPr="00FF36C4" w:rsidRDefault="00767353" w:rsidP="00604051">
            <w:pPr>
              <w:pStyle w:val="TableBodyText"/>
              <w:spacing w:before="45" w:after="45"/>
              <w:ind w:left="57" w:right="108"/>
              <w:jc w:val="left"/>
              <w:rPr>
                <w:rFonts w:ascii="Arial (Body)" w:hAnsi="Arial (Body)"/>
                <w:bCs/>
              </w:rPr>
            </w:pPr>
            <w:r w:rsidRPr="00FF36C4">
              <w:rPr>
                <w:rFonts w:ascii="Arial (Body)" w:hAnsi="Arial (Body)"/>
                <w:bCs/>
              </w:rPr>
              <w:t>Quartile 1</w:t>
            </w:r>
          </w:p>
        </w:tc>
        <w:tc>
          <w:tcPr>
            <w:tcW w:w="629" w:type="pct"/>
            <w:tcBorders>
              <w:top w:val="nil"/>
              <w:bottom w:val="nil"/>
            </w:tcBorders>
            <w:shd w:val="clear" w:color="auto" w:fill="auto"/>
          </w:tcPr>
          <w:p w14:paraId="31283A7F"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120 000</w:t>
            </w:r>
          </w:p>
        </w:tc>
        <w:tc>
          <w:tcPr>
            <w:tcW w:w="674" w:type="pct"/>
            <w:tcBorders>
              <w:top w:val="nil"/>
              <w:bottom w:val="nil"/>
            </w:tcBorders>
            <w:shd w:val="clear" w:color="auto" w:fill="auto"/>
          </w:tcPr>
          <w:p w14:paraId="6F58D81A"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216 000</w:t>
            </w:r>
          </w:p>
        </w:tc>
        <w:tc>
          <w:tcPr>
            <w:tcW w:w="629" w:type="pct"/>
            <w:tcBorders>
              <w:top w:val="nil"/>
              <w:bottom w:val="nil"/>
            </w:tcBorders>
            <w:shd w:val="clear" w:color="auto" w:fill="auto"/>
          </w:tcPr>
          <w:p w14:paraId="3E673F9A"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80 000</w:t>
            </w:r>
          </w:p>
        </w:tc>
        <w:tc>
          <w:tcPr>
            <w:tcW w:w="623" w:type="pct"/>
            <w:tcBorders>
              <w:top w:val="nil"/>
              <w:bottom w:val="nil"/>
            </w:tcBorders>
            <w:shd w:val="clear" w:color="auto" w:fill="auto"/>
          </w:tcPr>
          <w:p w14:paraId="19FFCEFD"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216 000</w:t>
            </w:r>
          </w:p>
        </w:tc>
        <w:tc>
          <w:tcPr>
            <w:tcW w:w="629" w:type="pct"/>
            <w:tcBorders>
              <w:top w:val="nil"/>
              <w:bottom w:val="nil"/>
            </w:tcBorders>
            <w:shd w:val="clear" w:color="auto" w:fill="auto"/>
          </w:tcPr>
          <w:p w14:paraId="05B483CD"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6 000</w:t>
            </w:r>
          </w:p>
        </w:tc>
        <w:tc>
          <w:tcPr>
            <w:tcW w:w="623" w:type="pct"/>
            <w:tcBorders>
              <w:top w:val="nil"/>
              <w:bottom w:val="nil"/>
            </w:tcBorders>
            <w:shd w:val="clear" w:color="auto" w:fill="auto"/>
          </w:tcPr>
          <w:p w14:paraId="7930F250"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216 000</w:t>
            </w:r>
          </w:p>
        </w:tc>
      </w:tr>
      <w:tr w:rsidR="00767353" w:rsidRPr="007E2AF2" w14:paraId="41DCECC0" w14:textId="77777777" w:rsidTr="00604051">
        <w:tc>
          <w:tcPr>
            <w:tcW w:w="1193" w:type="pct"/>
            <w:tcBorders>
              <w:bottom w:val="nil"/>
            </w:tcBorders>
            <w:shd w:val="clear" w:color="auto" w:fill="F1F1F1"/>
          </w:tcPr>
          <w:p w14:paraId="7DBA70F0" w14:textId="77777777" w:rsidR="00767353" w:rsidRPr="00FF36C4" w:rsidRDefault="00767353" w:rsidP="00604051">
            <w:pPr>
              <w:pStyle w:val="TableBodyText"/>
              <w:spacing w:before="45" w:after="45"/>
              <w:ind w:left="57" w:right="108"/>
              <w:jc w:val="left"/>
              <w:rPr>
                <w:rFonts w:ascii="Arial (Body)" w:hAnsi="Arial (Body)"/>
                <w:bCs/>
              </w:rPr>
            </w:pPr>
            <w:r w:rsidRPr="00FF36C4">
              <w:rPr>
                <w:rFonts w:ascii="Arial (Body)" w:hAnsi="Arial (Body)"/>
                <w:bCs/>
              </w:rPr>
              <w:t>Median</w:t>
            </w:r>
          </w:p>
        </w:tc>
        <w:tc>
          <w:tcPr>
            <w:tcW w:w="629" w:type="pct"/>
            <w:tcBorders>
              <w:bottom w:val="nil"/>
            </w:tcBorders>
            <w:shd w:val="clear" w:color="auto" w:fill="F1F1F1"/>
          </w:tcPr>
          <w:p w14:paraId="748B9554"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312 000</w:t>
            </w:r>
          </w:p>
        </w:tc>
        <w:tc>
          <w:tcPr>
            <w:tcW w:w="674" w:type="pct"/>
            <w:tcBorders>
              <w:bottom w:val="nil"/>
            </w:tcBorders>
            <w:shd w:val="clear" w:color="auto" w:fill="F1F1F1"/>
          </w:tcPr>
          <w:p w14:paraId="29ECB852"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443 000</w:t>
            </w:r>
          </w:p>
        </w:tc>
        <w:tc>
          <w:tcPr>
            <w:tcW w:w="629" w:type="pct"/>
            <w:tcBorders>
              <w:bottom w:val="nil"/>
            </w:tcBorders>
            <w:shd w:val="clear" w:color="auto" w:fill="F1F1F1"/>
          </w:tcPr>
          <w:p w14:paraId="7967DE8D"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253 000</w:t>
            </w:r>
          </w:p>
        </w:tc>
        <w:tc>
          <w:tcPr>
            <w:tcW w:w="623" w:type="pct"/>
            <w:tcBorders>
              <w:bottom w:val="nil"/>
            </w:tcBorders>
            <w:shd w:val="clear" w:color="auto" w:fill="F1F1F1"/>
          </w:tcPr>
          <w:p w14:paraId="20D1D357"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411 000</w:t>
            </w:r>
          </w:p>
        </w:tc>
        <w:tc>
          <w:tcPr>
            <w:tcW w:w="629" w:type="pct"/>
            <w:tcBorders>
              <w:bottom w:val="nil"/>
            </w:tcBorders>
            <w:shd w:val="clear" w:color="auto" w:fill="F1F1F1"/>
          </w:tcPr>
          <w:p w14:paraId="2CA57DDC"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200 000</w:t>
            </w:r>
          </w:p>
        </w:tc>
        <w:tc>
          <w:tcPr>
            <w:tcW w:w="623" w:type="pct"/>
            <w:tcBorders>
              <w:bottom w:val="nil"/>
            </w:tcBorders>
            <w:shd w:val="clear" w:color="auto" w:fill="F1F1F1"/>
          </w:tcPr>
          <w:p w14:paraId="63DA1ED0"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411 000</w:t>
            </w:r>
          </w:p>
        </w:tc>
      </w:tr>
      <w:tr w:rsidR="00767353" w:rsidRPr="007E2AF2" w14:paraId="46F0E090" w14:textId="77777777" w:rsidTr="00604051">
        <w:tc>
          <w:tcPr>
            <w:tcW w:w="1193" w:type="pct"/>
            <w:tcBorders>
              <w:top w:val="nil"/>
              <w:bottom w:val="nil"/>
            </w:tcBorders>
            <w:shd w:val="clear" w:color="auto" w:fill="auto"/>
          </w:tcPr>
          <w:p w14:paraId="53735DC3" w14:textId="77777777" w:rsidR="00767353" w:rsidRPr="00FF36C4" w:rsidRDefault="00767353" w:rsidP="00604051">
            <w:pPr>
              <w:pStyle w:val="TableBodyText"/>
              <w:spacing w:before="45" w:after="45"/>
              <w:ind w:left="57" w:right="108"/>
              <w:jc w:val="left"/>
              <w:rPr>
                <w:rFonts w:ascii="Arial (Body)" w:hAnsi="Arial (Body)"/>
                <w:bCs/>
              </w:rPr>
            </w:pPr>
            <w:r w:rsidRPr="00FF36C4">
              <w:rPr>
                <w:rFonts w:ascii="Arial (Body)" w:hAnsi="Arial (Body)"/>
                <w:bCs/>
              </w:rPr>
              <w:t>Quartile 3</w:t>
            </w:r>
          </w:p>
        </w:tc>
        <w:tc>
          <w:tcPr>
            <w:tcW w:w="629" w:type="pct"/>
            <w:tcBorders>
              <w:top w:val="nil"/>
              <w:bottom w:val="nil"/>
            </w:tcBorders>
            <w:shd w:val="clear" w:color="auto" w:fill="auto"/>
          </w:tcPr>
          <w:p w14:paraId="0BE0DDC8"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600 000</w:t>
            </w:r>
          </w:p>
        </w:tc>
        <w:tc>
          <w:tcPr>
            <w:tcW w:w="674" w:type="pct"/>
            <w:tcBorders>
              <w:top w:val="nil"/>
              <w:bottom w:val="nil"/>
            </w:tcBorders>
            <w:shd w:val="clear" w:color="auto" w:fill="auto"/>
          </w:tcPr>
          <w:p w14:paraId="4CA8F043"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636 000</w:t>
            </w:r>
          </w:p>
        </w:tc>
        <w:tc>
          <w:tcPr>
            <w:tcW w:w="629" w:type="pct"/>
            <w:tcBorders>
              <w:top w:val="nil"/>
              <w:bottom w:val="nil"/>
            </w:tcBorders>
            <w:shd w:val="clear" w:color="auto" w:fill="auto"/>
          </w:tcPr>
          <w:p w14:paraId="0816136F"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598 000</w:t>
            </w:r>
          </w:p>
        </w:tc>
        <w:tc>
          <w:tcPr>
            <w:tcW w:w="623" w:type="pct"/>
            <w:tcBorders>
              <w:top w:val="nil"/>
              <w:bottom w:val="nil"/>
            </w:tcBorders>
            <w:shd w:val="clear" w:color="auto" w:fill="auto"/>
          </w:tcPr>
          <w:p w14:paraId="51F43BAD"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636 000</w:t>
            </w:r>
          </w:p>
        </w:tc>
        <w:tc>
          <w:tcPr>
            <w:tcW w:w="629" w:type="pct"/>
            <w:tcBorders>
              <w:top w:val="nil"/>
              <w:bottom w:val="nil"/>
            </w:tcBorders>
            <w:shd w:val="clear" w:color="auto" w:fill="auto"/>
          </w:tcPr>
          <w:p w14:paraId="21A23816"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525 000</w:t>
            </w:r>
          </w:p>
        </w:tc>
        <w:tc>
          <w:tcPr>
            <w:tcW w:w="623" w:type="pct"/>
            <w:tcBorders>
              <w:top w:val="nil"/>
              <w:bottom w:val="nil"/>
            </w:tcBorders>
            <w:shd w:val="clear" w:color="auto" w:fill="auto"/>
          </w:tcPr>
          <w:p w14:paraId="674E6E78"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636 000</w:t>
            </w:r>
          </w:p>
        </w:tc>
      </w:tr>
      <w:tr w:rsidR="00767353" w:rsidRPr="007E2AF2" w14:paraId="380C805F" w14:textId="77777777" w:rsidTr="00604051">
        <w:tc>
          <w:tcPr>
            <w:tcW w:w="1193" w:type="pct"/>
            <w:tcBorders>
              <w:bottom w:val="nil"/>
            </w:tcBorders>
            <w:shd w:val="clear" w:color="auto" w:fill="F1F1F1"/>
          </w:tcPr>
          <w:p w14:paraId="21E3CE87" w14:textId="77777777" w:rsidR="00767353" w:rsidRPr="00FF36C4" w:rsidRDefault="00767353" w:rsidP="00604051">
            <w:pPr>
              <w:pStyle w:val="TableBodyText"/>
              <w:spacing w:before="45" w:after="45"/>
              <w:ind w:left="57" w:right="108"/>
              <w:jc w:val="left"/>
              <w:rPr>
                <w:rFonts w:ascii="Arial (Body)" w:hAnsi="Arial (Body)"/>
                <w:bCs/>
              </w:rPr>
            </w:pPr>
            <w:r w:rsidRPr="00FF36C4">
              <w:rPr>
                <w:rFonts w:ascii="Arial (Body)" w:hAnsi="Arial (Body)"/>
                <w:bCs/>
              </w:rPr>
              <w:t>Maximum</w:t>
            </w:r>
          </w:p>
        </w:tc>
        <w:tc>
          <w:tcPr>
            <w:tcW w:w="629" w:type="pct"/>
            <w:tcBorders>
              <w:bottom w:val="nil"/>
            </w:tcBorders>
            <w:shd w:val="clear" w:color="auto" w:fill="F1F1F1"/>
          </w:tcPr>
          <w:p w14:paraId="3B76DF32"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10 000 000</w:t>
            </w:r>
          </w:p>
        </w:tc>
        <w:tc>
          <w:tcPr>
            <w:tcW w:w="674" w:type="pct"/>
            <w:tcBorders>
              <w:bottom w:val="nil"/>
            </w:tcBorders>
            <w:shd w:val="clear" w:color="auto" w:fill="F1F1F1"/>
          </w:tcPr>
          <w:p w14:paraId="5A5D45F2"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1 786 000</w:t>
            </w:r>
          </w:p>
        </w:tc>
        <w:tc>
          <w:tcPr>
            <w:tcW w:w="629" w:type="pct"/>
            <w:tcBorders>
              <w:bottom w:val="nil"/>
            </w:tcBorders>
            <w:shd w:val="clear" w:color="auto" w:fill="F1F1F1"/>
          </w:tcPr>
          <w:p w14:paraId="47514B60"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10 000 000</w:t>
            </w:r>
          </w:p>
        </w:tc>
        <w:tc>
          <w:tcPr>
            <w:tcW w:w="623" w:type="pct"/>
            <w:tcBorders>
              <w:bottom w:val="nil"/>
            </w:tcBorders>
            <w:shd w:val="clear" w:color="auto" w:fill="F1F1F1"/>
          </w:tcPr>
          <w:p w14:paraId="14C58263"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1 786 000</w:t>
            </w:r>
          </w:p>
        </w:tc>
        <w:tc>
          <w:tcPr>
            <w:tcW w:w="629" w:type="pct"/>
            <w:tcBorders>
              <w:bottom w:val="nil"/>
            </w:tcBorders>
            <w:shd w:val="clear" w:color="auto" w:fill="F1F1F1"/>
          </w:tcPr>
          <w:p w14:paraId="7827C1A4"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10 000 000</w:t>
            </w:r>
          </w:p>
        </w:tc>
        <w:tc>
          <w:tcPr>
            <w:tcW w:w="623" w:type="pct"/>
            <w:tcBorders>
              <w:bottom w:val="nil"/>
            </w:tcBorders>
            <w:shd w:val="clear" w:color="auto" w:fill="F1F1F1"/>
          </w:tcPr>
          <w:p w14:paraId="283C9AD4"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1 786 000</w:t>
            </w:r>
          </w:p>
        </w:tc>
      </w:tr>
      <w:tr w:rsidR="00767353" w:rsidRPr="007E2AF2" w14:paraId="39782AA2" w14:textId="77777777" w:rsidTr="00604051">
        <w:tc>
          <w:tcPr>
            <w:tcW w:w="1193" w:type="pct"/>
            <w:tcBorders>
              <w:top w:val="nil"/>
              <w:bottom w:val="nil"/>
            </w:tcBorders>
            <w:shd w:val="clear" w:color="auto" w:fill="auto"/>
          </w:tcPr>
          <w:p w14:paraId="52A58FAE" w14:textId="77777777" w:rsidR="00767353" w:rsidRPr="00FF36C4" w:rsidRDefault="00767353" w:rsidP="00604051">
            <w:pPr>
              <w:pStyle w:val="TableBodyText"/>
              <w:spacing w:before="45" w:after="45"/>
              <w:ind w:left="57" w:right="108"/>
              <w:jc w:val="left"/>
              <w:rPr>
                <w:rFonts w:ascii="Arial (Body)" w:hAnsi="Arial (Body)"/>
                <w:bCs/>
              </w:rPr>
            </w:pPr>
            <w:r w:rsidRPr="00FF36C4">
              <w:rPr>
                <w:rFonts w:ascii="Arial (Body)" w:hAnsi="Arial (Body)"/>
                <w:bCs/>
              </w:rPr>
              <w:t>Mean</w:t>
            </w:r>
          </w:p>
        </w:tc>
        <w:tc>
          <w:tcPr>
            <w:tcW w:w="629" w:type="pct"/>
            <w:tcBorders>
              <w:top w:val="nil"/>
              <w:bottom w:val="nil"/>
            </w:tcBorders>
            <w:shd w:val="clear" w:color="auto" w:fill="auto"/>
          </w:tcPr>
          <w:p w14:paraId="3485F7E1"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543 000</w:t>
            </w:r>
          </w:p>
        </w:tc>
        <w:tc>
          <w:tcPr>
            <w:tcW w:w="674" w:type="pct"/>
            <w:tcBorders>
              <w:top w:val="nil"/>
              <w:bottom w:val="nil"/>
            </w:tcBorders>
            <w:shd w:val="clear" w:color="auto" w:fill="auto"/>
          </w:tcPr>
          <w:p w14:paraId="12833B46"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471 000</w:t>
            </w:r>
          </w:p>
        </w:tc>
        <w:tc>
          <w:tcPr>
            <w:tcW w:w="629" w:type="pct"/>
            <w:tcBorders>
              <w:top w:val="nil"/>
              <w:bottom w:val="nil"/>
            </w:tcBorders>
            <w:shd w:val="clear" w:color="auto" w:fill="auto"/>
          </w:tcPr>
          <w:p w14:paraId="4F859950"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487 000</w:t>
            </w:r>
          </w:p>
        </w:tc>
        <w:tc>
          <w:tcPr>
            <w:tcW w:w="623" w:type="pct"/>
            <w:tcBorders>
              <w:top w:val="nil"/>
              <w:bottom w:val="nil"/>
            </w:tcBorders>
            <w:shd w:val="clear" w:color="auto" w:fill="auto"/>
          </w:tcPr>
          <w:p w14:paraId="53576455"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469 000</w:t>
            </w:r>
          </w:p>
        </w:tc>
        <w:tc>
          <w:tcPr>
            <w:tcW w:w="629" w:type="pct"/>
            <w:tcBorders>
              <w:top w:val="nil"/>
              <w:bottom w:val="nil"/>
            </w:tcBorders>
            <w:shd w:val="clear" w:color="auto" w:fill="auto"/>
          </w:tcPr>
          <w:p w14:paraId="5AB0FBA7"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422 000</w:t>
            </w:r>
          </w:p>
        </w:tc>
        <w:tc>
          <w:tcPr>
            <w:tcW w:w="623" w:type="pct"/>
            <w:tcBorders>
              <w:top w:val="nil"/>
              <w:bottom w:val="nil"/>
            </w:tcBorders>
            <w:shd w:val="clear" w:color="auto" w:fill="auto"/>
          </w:tcPr>
          <w:p w14:paraId="52B3094A"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465 000</w:t>
            </w:r>
          </w:p>
        </w:tc>
      </w:tr>
      <w:tr w:rsidR="00767353" w:rsidRPr="007E2AF2" w14:paraId="702A65A8" w14:textId="77777777" w:rsidTr="00604051">
        <w:tc>
          <w:tcPr>
            <w:tcW w:w="1193" w:type="pct"/>
            <w:tcBorders>
              <w:bottom w:val="single" w:sz="4" w:space="0" w:color="B3B3B3"/>
            </w:tcBorders>
            <w:shd w:val="clear" w:color="auto" w:fill="F1F1F1"/>
          </w:tcPr>
          <w:p w14:paraId="52085F05" w14:textId="77777777" w:rsidR="00767353" w:rsidRPr="00FF36C4" w:rsidRDefault="00767353" w:rsidP="00604051">
            <w:pPr>
              <w:pStyle w:val="TableBodyText"/>
              <w:spacing w:before="45" w:after="45"/>
              <w:ind w:left="57" w:right="108"/>
              <w:jc w:val="left"/>
              <w:rPr>
                <w:rFonts w:ascii="Arial (Body)" w:hAnsi="Arial (Body)"/>
                <w:bCs/>
              </w:rPr>
            </w:pPr>
            <w:r w:rsidRPr="00FF36C4">
              <w:rPr>
                <w:rFonts w:ascii="Arial (Body)" w:hAnsi="Arial (Body)"/>
                <w:bCs/>
              </w:rPr>
              <w:t>Number of observations</w:t>
            </w:r>
          </w:p>
        </w:tc>
        <w:tc>
          <w:tcPr>
            <w:tcW w:w="629" w:type="pct"/>
            <w:tcBorders>
              <w:bottom w:val="single" w:sz="4" w:space="0" w:color="B3B3B3"/>
            </w:tcBorders>
            <w:shd w:val="clear" w:color="auto" w:fill="F1F1F1"/>
          </w:tcPr>
          <w:p w14:paraId="26321850"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248</w:t>
            </w:r>
          </w:p>
        </w:tc>
        <w:tc>
          <w:tcPr>
            <w:tcW w:w="674" w:type="pct"/>
            <w:tcBorders>
              <w:bottom w:val="single" w:sz="4" w:space="0" w:color="B3B3B3"/>
            </w:tcBorders>
            <w:shd w:val="clear" w:color="auto" w:fill="F1F1F1"/>
          </w:tcPr>
          <w:p w14:paraId="6ADB7234" w14:textId="77777777" w:rsidR="00767353" w:rsidRPr="007E2AF2" w:rsidRDefault="00767353" w:rsidP="00604051">
            <w:pPr>
              <w:pStyle w:val="TableBodyText"/>
              <w:spacing w:before="45" w:after="45"/>
              <w:ind w:left="57" w:right="108"/>
              <w:rPr>
                <w:rStyle w:val="NoteLabel"/>
                <w:rFonts w:ascii="Arial (Body)" w:eastAsiaTheme="majorEastAsia" w:hAnsi="Arial (Body)" w:hint="eastAsia"/>
                <w:b w:val="0"/>
                <w:color w:val="000000"/>
              </w:rPr>
            </w:pPr>
            <w:r w:rsidRPr="007E2AF2">
              <w:rPr>
                <w:rFonts w:ascii="Arial (Body)" w:hAnsi="Arial (Body)"/>
                <w:color w:val="000000"/>
              </w:rPr>
              <w:t>60</w:t>
            </w:r>
            <w:r w:rsidRPr="007E2AF2">
              <w:rPr>
                <w:b/>
                <w:bCs/>
                <w:vertAlign w:val="superscript"/>
              </w:rPr>
              <w:t>a</w:t>
            </w:r>
          </w:p>
        </w:tc>
        <w:tc>
          <w:tcPr>
            <w:tcW w:w="629" w:type="pct"/>
            <w:tcBorders>
              <w:bottom w:val="single" w:sz="4" w:space="0" w:color="B3B3B3"/>
            </w:tcBorders>
            <w:shd w:val="clear" w:color="auto" w:fill="F1F1F1"/>
          </w:tcPr>
          <w:p w14:paraId="7FB9171E"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270</w:t>
            </w:r>
          </w:p>
        </w:tc>
        <w:tc>
          <w:tcPr>
            <w:tcW w:w="623" w:type="pct"/>
            <w:tcBorders>
              <w:bottom w:val="single" w:sz="4" w:space="0" w:color="B3B3B3"/>
            </w:tcBorders>
            <w:shd w:val="clear" w:color="auto" w:fill="F1F1F1"/>
          </w:tcPr>
          <w:p w14:paraId="7AB8DF31"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60</w:t>
            </w:r>
            <w:r w:rsidRPr="007E2AF2">
              <w:rPr>
                <w:rFonts w:ascii="Arial (Body)" w:hAnsi="Arial (Body)"/>
                <w:b/>
                <w:bCs/>
                <w:color w:val="000000"/>
                <w:vertAlign w:val="superscript"/>
              </w:rPr>
              <w:t>a</w:t>
            </w:r>
          </w:p>
        </w:tc>
        <w:tc>
          <w:tcPr>
            <w:tcW w:w="629" w:type="pct"/>
            <w:tcBorders>
              <w:bottom w:val="single" w:sz="4" w:space="0" w:color="B3B3B3"/>
            </w:tcBorders>
            <w:shd w:val="clear" w:color="auto" w:fill="F1F1F1"/>
          </w:tcPr>
          <w:p w14:paraId="21576066"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304</w:t>
            </w:r>
          </w:p>
        </w:tc>
        <w:tc>
          <w:tcPr>
            <w:tcW w:w="623" w:type="pct"/>
            <w:tcBorders>
              <w:bottom w:val="single" w:sz="4" w:space="0" w:color="B3B3B3"/>
            </w:tcBorders>
            <w:shd w:val="clear" w:color="auto" w:fill="F1F1F1"/>
          </w:tcPr>
          <w:p w14:paraId="3019FDCD" w14:textId="77777777" w:rsidR="00767353" w:rsidRPr="007E2AF2" w:rsidRDefault="00767353" w:rsidP="00604051">
            <w:pPr>
              <w:pStyle w:val="TableBodyText"/>
              <w:spacing w:before="45" w:after="45"/>
              <w:ind w:left="57" w:right="108"/>
              <w:rPr>
                <w:rFonts w:ascii="Arial (Body)" w:hAnsi="Arial (Body)"/>
                <w:color w:val="000000"/>
              </w:rPr>
            </w:pPr>
            <w:r w:rsidRPr="007E2AF2">
              <w:rPr>
                <w:rFonts w:ascii="Arial (Body)" w:hAnsi="Arial (Body)"/>
                <w:color w:val="000000"/>
              </w:rPr>
              <w:t>60</w:t>
            </w:r>
            <w:r w:rsidRPr="007E2AF2">
              <w:rPr>
                <w:rFonts w:ascii="Arial (Body)" w:hAnsi="Arial (Body)"/>
                <w:b/>
                <w:bCs/>
                <w:color w:val="000000"/>
                <w:vertAlign w:val="superscript"/>
              </w:rPr>
              <w:t>a</w:t>
            </w:r>
          </w:p>
        </w:tc>
      </w:tr>
    </w:tbl>
    <w:p w14:paraId="258AC31D" w14:textId="77777777" w:rsidR="00767353" w:rsidRDefault="00767353" w:rsidP="00767353">
      <w:pPr>
        <w:pStyle w:val="Note"/>
      </w:pPr>
      <w:r w:rsidRPr="00C36914">
        <w:rPr>
          <w:b/>
          <w:bCs/>
        </w:rPr>
        <w:t>a.</w:t>
      </w:r>
      <w:r w:rsidRPr="00C36914">
        <w:t xml:space="preserve"> </w:t>
      </w:r>
      <w:r w:rsidRPr="007E2AF2">
        <w:t>Of the 113 available observations, 53 were from 2018. As all inheritance based estimates are from prior to 2018, these observation were excluded from the comparison.</w:t>
      </w:r>
    </w:p>
    <w:p w14:paraId="576BE45C" w14:textId="77777777" w:rsidR="00767353" w:rsidRDefault="00767353" w:rsidP="00767353">
      <w:pPr>
        <w:pStyle w:val="Source"/>
      </w:pPr>
      <w:r w:rsidRPr="00696447">
        <w:t xml:space="preserve">Source: </w:t>
      </w:r>
      <w:r>
        <w:t>Productivity Commission estimates based on HILDA Restricted Release 19.</w:t>
      </w:r>
    </w:p>
    <w:p w14:paraId="1D1221E3" w14:textId="54C9F92C" w:rsidR="00890201" w:rsidRDefault="00890201" w:rsidP="00910C09">
      <w:pPr>
        <w:pStyle w:val="Heading4"/>
      </w:pPr>
      <w:r>
        <w:t>Step 4: Backdating</w:t>
      </w:r>
      <w:r w:rsidR="00F53759">
        <w:t xml:space="preserve"> of parent wealth to 2002</w:t>
      </w:r>
    </w:p>
    <w:p w14:paraId="6124796F" w14:textId="7A0B42E4" w:rsidR="00767353" w:rsidRDefault="00767353" w:rsidP="00767353">
      <w:pPr>
        <w:pStyle w:val="BodyText"/>
        <w:keepNext/>
      </w:pPr>
      <w:r>
        <w:t>Finally, the inheritance</w:t>
      </w:r>
      <w:r>
        <w:noBreakHyphen/>
        <w:t>based estimate is backdated to 2002, so that the parents can be ranked by their wealth at death. To do so, the following random effects model is estimated on a panel derived from the narrow comparison group:</w:t>
      </w:r>
      <w:r w:rsidRPr="001F567E">
        <w:rPr>
          <w:rStyle w:val="FootnoteReference"/>
        </w:rPr>
        <w:footnoteReference w:id="56"/>
      </w:r>
      <w:r>
        <w:t xml:space="preserve"> </w:t>
      </w:r>
      <w:r w:rsidRPr="001F567E">
        <w:rPr>
          <w:rStyle w:val="FootnoteReference"/>
        </w:rPr>
        <w:footnoteReference w:id="57"/>
      </w:r>
      <w:r>
        <w:t xml:space="preserve"> </w:t>
      </w:r>
      <w:r w:rsidRPr="001F567E">
        <w:rPr>
          <w:rStyle w:val="FootnoteReference"/>
        </w:rPr>
        <w:footnoteReference w:id="58"/>
      </w:r>
    </w:p>
    <w:p w14:paraId="4F537343" w14:textId="77777777" w:rsidR="00767353" w:rsidRPr="003A1529" w:rsidRDefault="00767353" w:rsidP="00767353">
      <w:pPr>
        <w:pStyle w:val="BodyText"/>
        <w:rPr>
          <w:iCs/>
        </w:rPr>
      </w:pPr>
      <m:oMathPara>
        <m:oMath>
          <m:r>
            <m:rPr>
              <m:sty m:val="p"/>
            </m:rPr>
            <w:rPr>
              <w:rFonts w:ascii="Cambria Math" w:hAnsi="Cambria Math"/>
            </w:rPr>
            <m:t>log</m:t>
          </m:r>
          <m:d>
            <m:dPr>
              <m:ctrlPr>
                <w:rPr>
                  <w:rFonts w:ascii="Cambria Math" w:hAnsi="Cambria Math"/>
                  <w:i/>
                </w:rPr>
              </m:ctrlPr>
            </m:dPr>
            <m:e>
              <m:r>
                <w:rPr>
                  <w:rFonts w:ascii="Cambria Math" w:hAnsi="Cambria Math"/>
                </w:rPr>
                <m:t xml:space="preserve">Couple </m:t>
              </m:r>
              <m:sSub>
                <m:sSubPr>
                  <m:ctrlPr>
                    <w:rPr>
                      <w:rFonts w:ascii="Cambria Math" w:hAnsi="Cambria Math"/>
                      <w:i/>
                    </w:rPr>
                  </m:ctrlPr>
                </m:sSubPr>
                <m:e>
                  <m:r>
                    <w:rPr>
                      <w:rFonts w:ascii="Cambria Math" w:hAnsi="Cambria Math"/>
                    </w:rPr>
                    <m:t>wealth</m:t>
                  </m:r>
                </m:e>
                <m:sub>
                  <m:r>
                    <w:rPr>
                      <w:rFonts w:ascii="Cambria Math" w:hAnsi="Cambria Math"/>
                    </w:rPr>
                    <m:t>i,t</m:t>
                  </m:r>
                </m:sub>
              </m:sSub>
            </m:e>
          </m:d>
          <m:r>
            <w:rPr>
              <w:rFonts w:ascii="Cambria Math" w:hAnsi="Cambria Math"/>
            </w:rPr>
            <m:t xml:space="preserve">= </m:t>
          </m:r>
          <m:sSub>
            <m:sSubPr>
              <m:ctrlPr>
                <w:rPr>
                  <w:rFonts w:ascii="Cambria Math" w:hAnsi="Cambria Math"/>
                  <w:i/>
                  <w:iCs/>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sSub>
            <m:sSubPr>
              <m:ctrlPr>
                <w:rPr>
                  <w:rFonts w:ascii="Cambria Math" w:hAnsi="Cambria Math"/>
                  <w:bCs/>
                  <w:i/>
                </w:rPr>
              </m:ctrlPr>
            </m:sSubPr>
            <m:e>
              <m:r>
                <w:rPr>
                  <w:rFonts w:ascii="Cambria Math" w:hAnsi="Cambria Math"/>
                </w:rPr>
                <m:t>Wave</m:t>
              </m:r>
            </m:e>
            <m:sub>
              <m:r>
                <w:rPr>
                  <w:rFonts w:ascii="Cambria Math" w:hAnsi="Cambria Math"/>
                </w:rPr>
                <m:t>i,t</m:t>
              </m:r>
            </m:sub>
          </m:sSub>
          <m:r>
            <m:rPr>
              <m:sty m:val="bi"/>
            </m:rPr>
            <w:rPr>
              <w:rFonts w:ascii="Cambria Math" w:hAnsi="Cambria Math"/>
            </w:rPr>
            <m:t>+</m:t>
          </m:r>
          <m:sSub>
            <m:sSubPr>
              <m:ctrlPr>
                <w:rPr>
                  <w:rFonts w:ascii="Cambria Math" w:hAnsi="Cambria Math"/>
                  <w:i/>
                </w:rPr>
              </m:ctrlPr>
            </m:sSubPr>
            <m:e>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Father born overseas (English speaking country)</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iCs/>
                    </w:rPr>
                  </m:ctrlPr>
                </m:sSubPr>
                <m:e>
                  <m:r>
                    <w:rPr>
                      <w:rFonts w:ascii="Cambria Math" w:hAnsi="Cambria Math"/>
                    </w:rPr>
                    <m:t>β</m:t>
                  </m:r>
                </m:e>
                <m:sub>
                  <m:r>
                    <w:rPr>
                      <w:rFonts w:ascii="Cambria Math" w:hAnsi="Cambria Math"/>
                    </w:rPr>
                    <m:t>3</m:t>
                  </m:r>
                </m:sub>
              </m:sSub>
              <m:r>
                <w:rPr>
                  <w:rFonts w:ascii="Cambria Math" w:hAnsi="Cambria Math"/>
                </w:rPr>
                <m:t>Father born overseas (other country)</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i</m:t>
              </m:r>
            </m:sub>
          </m:sSub>
          <m:r>
            <m:rPr>
              <m:sty m:val="p"/>
            </m:rPr>
            <w:rPr>
              <w:rFonts w:ascii="Cambria Math"/>
            </w:rPr>
            <m:t>+</m:t>
          </m:r>
          <m:sSub>
            <m:sSubPr>
              <m:ctrlPr>
                <w:rPr>
                  <w:rFonts w:ascii="Cambria Math" w:hAnsi="Cambria Math"/>
                  <w:i/>
                  <w:iCs/>
                </w:rPr>
              </m:ctrlPr>
            </m:sSubPr>
            <m:e>
              <m:r>
                <w:rPr>
                  <w:rFonts w:ascii="Cambria Math" w:hAnsi="Cambria Math"/>
                </w:rPr>
                <m:t>ε</m:t>
              </m:r>
            </m:e>
            <m:sub>
              <m:r>
                <w:rPr>
                  <w:rFonts w:ascii="Cambria Math" w:hAnsi="Cambria Math"/>
                </w:rPr>
                <m:t>i,t</m:t>
              </m:r>
            </m:sub>
          </m:sSub>
        </m:oMath>
      </m:oMathPara>
    </w:p>
    <w:p w14:paraId="4F79A64F" w14:textId="77777777" w:rsidR="00767353" w:rsidRDefault="00767353" w:rsidP="00767353">
      <w:pPr>
        <w:pStyle w:val="BodyText"/>
        <w:keepNext/>
      </w:pPr>
      <w:r>
        <w:t>Where:</w:t>
      </w:r>
    </w:p>
    <w:p w14:paraId="08EDFDCB" w14:textId="77777777" w:rsidR="00767353" w:rsidRPr="00115ED4" w:rsidRDefault="00767353" w:rsidP="00767353">
      <w:pPr>
        <w:pStyle w:val="ListBullet"/>
        <w:rPr>
          <w:spacing w:val="-2"/>
        </w:rPr>
      </w:pPr>
      <m:oMath>
        <m:r>
          <m:rPr>
            <m:sty m:val="p"/>
          </m:rPr>
          <w:rPr>
            <w:rFonts w:ascii="Cambria Math" w:hAnsi="Cambria Math"/>
            <w:spacing w:val="-2"/>
          </w:rPr>
          <m:t>log</m:t>
        </m:r>
        <m:d>
          <m:dPr>
            <m:ctrlPr>
              <w:rPr>
                <w:rFonts w:ascii="Cambria Math" w:hAnsi="Cambria Math"/>
                <w:i/>
                <w:spacing w:val="-2"/>
              </w:rPr>
            </m:ctrlPr>
          </m:dPr>
          <m:e>
            <m:r>
              <w:rPr>
                <w:rFonts w:ascii="Cambria Math" w:hAnsi="Cambria Math"/>
                <w:spacing w:val="-2"/>
              </w:rPr>
              <m:t xml:space="preserve">Couple </m:t>
            </m:r>
            <m:sSub>
              <m:sSubPr>
                <m:ctrlPr>
                  <w:rPr>
                    <w:rFonts w:ascii="Cambria Math" w:hAnsi="Cambria Math"/>
                    <w:i/>
                    <w:spacing w:val="-2"/>
                  </w:rPr>
                </m:ctrlPr>
              </m:sSubPr>
              <m:e>
                <m:r>
                  <w:rPr>
                    <w:rFonts w:ascii="Cambria Math" w:hAnsi="Cambria Math"/>
                    <w:spacing w:val="-2"/>
                  </w:rPr>
                  <m:t>wealth</m:t>
                </m:r>
              </m:e>
              <m:sub>
                <m:r>
                  <w:rPr>
                    <w:rFonts w:ascii="Cambria Math" w:hAnsi="Cambria Math"/>
                    <w:spacing w:val="-2"/>
                  </w:rPr>
                  <m:t>i,t</m:t>
                </m:r>
              </m:sub>
            </m:sSub>
          </m:e>
        </m:d>
      </m:oMath>
      <w:r w:rsidRPr="00115ED4">
        <w:rPr>
          <w:spacing w:val="-2"/>
        </w:rPr>
        <w:t xml:space="preserve"> is the natural log of individual </w:t>
      </w:r>
      <m:oMath>
        <m:r>
          <w:rPr>
            <w:rFonts w:ascii="Cambria Math" w:hAnsi="Cambria Math"/>
            <w:spacing w:val="-2"/>
          </w:rPr>
          <m:t>i</m:t>
        </m:r>
      </m:oMath>
      <w:r w:rsidRPr="00115ED4">
        <w:rPr>
          <w:spacing w:val="-2"/>
        </w:rPr>
        <w:t>’s wealth plus the wealth of their partner when still alive</w:t>
      </w:r>
    </w:p>
    <w:p w14:paraId="2D2E0719" w14:textId="793AF82B" w:rsidR="00767353" w:rsidRDefault="00B2270C" w:rsidP="00767353">
      <w:pPr>
        <w:pStyle w:val="ListBullet"/>
      </w:pP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00767353">
        <w:t xml:space="preserve"> is an individual</w:t>
      </w:r>
      <w:r w:rsidR="00767353">
        <w:noBreakHyphen/>
        <w:t xml:space="preserve">specific </w:t>
      </w:r>
      <w:r w:rsidR="00337641">
        <w:t xml:space="preserve">random </w:t>
      </w:r>
      <w:r w:rsidR="00767353">
        <w:t>effect that is assumed to be uncorrelated with all covariates.</w:t>
      </w:r>
    </w:p>
    <w:p w14:paraId="59D32651" w14:textId="77777777" w:rsidR="00767353" w:rsidRDefault="00767353" w:rsidP="00767353">
      <w:pPr>
        <w:pStyle w:val="ListBullet"/>
      </w:pPr>
      <w:r>
        <w:t>other variables are as previous defined.</w:t>
      </w:r>
    </w:p>
    <w:p w14:paraId="1471E245" w14:textId="77777777" w:rsidR="00767353" w:rsidRDefault="00B2270C" w:rsidP="00767353">
      <w:pPr>
        <w:pStyle w:val="BodyText"/>
      </w:pPr>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r>
          <w:rPr>
            <w:rFonts w:ascii="Cambria Math" w:hAnsi="Cambria Math"/>
          </w:rPr>
          <m:t>= 0.019</m:t>
        </m:r>
      </m:oMath>
      <w:r w:rsidR="00767353">
        <w:t xml:space="preserve"> (statistically significant at the 10 per cent level of significance), implying that, other things equal, average growth in </w:t>
      </w:r>
      <m:oMath>
        <m:r>
          <w:rPr>
            <w:rFonts w:ascii="Cambria Math" w:hAnsi="Cambria Math"/>
          </w:rPr>
          <m:t xml:space="preserve">Couple </m:t>
        </m:r>
        <m:sSub>
          <m:sSubPr>
            <m:ctrlPr>
              <w:rPr>
                <w:rFonts w:ascii="Cambria Math" w:hAnsi="Cambria Math"/>
                <w:i/>
              </w:rPr>
            </m:ctrlPr>
          </m:sSubPr>
          <m:e>
            <m:r>
              <w:rPr>
                <w:rFonts w:ascii="Cambria Math" w:hAnsi="Cambria Math"/>
              </w:rPr>
              <m:t>wealth</m:t>
            </m:r>
          </m:e>
          <m:sub>
            <m:r>
              <w:rPr>
                <w:rFonts w:ascii="Cambria Math" w:hAnsi="Cambria Math"/>
              </w:rPr>
              <m:t>i,t</m:t>
            </m:r>
          </m:sub>
        </m:sSub>
      </m:oMath>
      <w:r w:rsidR="00767353">
        <w:t xml:space="preserve"> was about 2 per cent per annum for the panel derived from the narrow comparison group. This parameter was used to deflate the inheritance</w:t>
      </w:r>
      <w:r w:rsidR="00767353">
        <w:noBreakHyphen/>
        <w:t>based estimates to their 2002 values.</w:t>
      </w:r>
    </w:p>
    <w:p w14:paraId="700239AB" w14:textId="77777777" w:rsidR="00767353" w:rsidRDefault="00767353" w:rsidP="00767353">
      <w:pPr>
        <w:pStyle w:val="Heading3"/>
      </w:pPr>
      <w:r>
        <w:lastRenderedPageBreak/>
        <w:t>Estimation of intergenerational wealth persistence</w:t>
      </w:r>
    </w:p>
    <w:p w14:paraId="206B55B3" w14:textId="77777777" w:rsidR="00767353" w:rsidRPr="0065027F" w:rsidRDefault="00767353" w:rsidP="00767353">
      <w:pPr>
        <w:pStyle w:val="BodyText"/>
      </w:pPr>
      <w:r>
        <w:t>Figure B.2 shows that there is a positive relationship between imputed 2002 parent wealth and 2018 child wealth, which implies that wealth is persistent to some extent.</w:t>
      </w:r>
    </w:p>
    <w:p w14:paraId="50C3822D" w14:textId="36086901"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5E6456">
        <w:t>2</w:t>
      </w:r>
      <w:r>
        <w:rPr>
          <w:noProof/>
        </w:rPr>
        <w:t xml:space="preserve"> </w:t>
      </w:r>
      <w:r>
        <w:t>– Relationship between parent wealth and child wealth</w:t>
      </w:r>
      <w:r w:rsidRPr="00066CF5">
        <w:rPr>
          <w:vertAlign w:val="superscript"/>
        </w:rPr>
        <w:t>a</w:t>
      </w:r>
    </w:p>
    <w:p w14:paraId="7765E37E" w14:textId="0CC2343B" w:rsidR="00767353" w:rsidRPr="005550A0" w:rsidRDefault="00B41726" w:rsidP="00767353">
      <w:pPr>
        <w:pStyle w:val="BodyText"/>
      </w:pPr>
      <w:r>
        <w:rPr>
          <w:noProof/>
        </w:rPr>
        <w:drawing>
          <wp:inline distT="0" distB="0" distL="0" distR="0" wp14:anchorId="51DB8639" wp14:editId="3A8ECD9B">
            <wp:extent cx="6120130" cy="2874645"/>
            <wp:effectExtent l="0" t="0" r="0" b="1905"/>
            <wp:docPr id="184" name="Graphic 184" descr="Figure B.2. This chart is a box and whisker plot. It shows the distribution of the child’s household wealth in 2018 over percentiles among each quintile of the parents’ household wealth in 2002.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phic 184" descr="Figure B.2. This chart is a box and whisker plot. It shows the distribution of the child’s household wealth in 2018 over percentiles among each quintile of the parents’ household wealth in 2002. More details are contained in the text surrounding this figure."/>
                    <pic:cNvPicPr/>
                  </pic:nvPicPr>
                  <pic:blipFill>
                    <a:blip r:embed="rId129">
                      <a:extLst>
                        <a:ext uri="{96DAC541-7B7A-43D3-8B79-37D633B846F1}">
                          <asvg:svgBlip xmlns:asvg="http://schemas.microsoft.com/office/drawing/2016/SVG/main" r:embed="rId130"/>
                        </a:ext>
                      </a:extLst>
                    </a:blip>
                    <a:stretch>
                      <a:fillRect/>
                    </a:stretch>
                  </pic:blipFill>
                  <pic:spPr>
                    <a:xfrm>
                      <a:off x="0" y="0"/>
                      <a:ext cx="6120130" cy="2874645"/>
                    </a:xfrm>
                    <a:prstGeom prst="rect">
                      <a:avLst/>
                    </a:prstGeom>
                  </pic:spPr>
                </pic:pic>
              </a:graphicData>
            </a:graphic>
          </wp:inline>
        </w:drawing>
      </w:r>
    </w:p>
    <w:p w14:paraId="1AD54F3D" w14:textId="77777777" w:rsidR="00767353" w:rsidRDefault="00767353" w:rsidP="00767353">
      <w:pPr>
        <w:pStyle w:val="Note"/>
        <w:keepLines/>
      </w:pPr>
      <w:r w:rsidRPr="00180E66">
        <w:rPr>
          <w:b/>
          <w:bCs/>
        </w:rPr>
        <w:t>a.</w:t>
      </w:r>
      <w:r>
        <w:t xml:space="preserve"> Based on the main sample.</w:t>
      </w:r>
    </w:p>
    <w:p w14:paraId="044D9162" w14:textId="77777777" w:rsidR="00767353" w:rsidRDefault="00767353" w:rsidP="00767353">
      <w:pPr>
        <w:pStyle w:val="Source"/>
      </w:pPr>
      <w:r w:rsidRPr="00696447">
        <w:t xml:space="preserve">Source: </w:t>
      </w:r>
      <w:r>
        <w:t>Productivity Commission estimates based on HILDA Restricted Release 19.</w:t>
      </w:r>
    </w:p>
    <w:p w14:paraId="2ECF1540" w14:textId="77777777" w:rsidR="00767353" w:rsidRDefault="00767353" w:rsidP="00767353">
      <w:pPr>
        <w:pStyle w:val="BodyText"/>
      </w:pPr>
      <w:r>
        <w:t>This relationship is captured by the following percentile rank – percentile rank regression, the standard measure of IWP, estimated using least squares weighted by the appropriate survey weights:</w:t>
      </w:r>
      <w:r w:rsidRPr="001F567E">
        <w:rPr>
          <w:rStyle w:val="FootnoteReference"/>
        </w:rPr>
        <w:footnoteReference w:id="59"/>
      </w:r>
    </w:p>
    <w:p w14:paraId="596EF803" w14:textId="77777777" w:rsidR="00767353" w:rsidRPr="00FD7297" w:rsidRDefault="00B2270C" w:rsidP="00767353">
      <w:pPr>
        <w:pStyle w:val="BodyText"/>
      </w:pPr>
      <m:oMathPara>
        <m:oMath>
          <m:sSub>
            <m:sSubPr>
              <m:ctrlPr>
                <w:rPr>
                  <w:rFonts w:ascii="Cambria Math" w:hAnsi="Cambria Math"/>
                  <w:i/>
                </w:rPr>
              </m:ctrlPr>
            </m:sSubPr>
            <m:e>
              <m:r>
                <w:rPr>
                  <w:rFonts w:ascii="Cambria Math" w:hAnsi="Cambria Math"/>
                </w:rPr>
                <m:t>Child wealth (rank)</m:t>
              </m:r>
            </m:e>
            <m:sub>
              <m:r>
                <w:rPr>
                  <w:rFonts w:ascii="Cambria Math" w:hAnsi="Cambria Math"/>
                </w:rPr>
                <m:t>i, 2018</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Imputed parent wealth (rank)</m:t>
              </m:r>
            </m:e>
            <m:sub>
              <m:r>
                <w:rPr>
                  <w:rFonts w:ascii="Cambria Math" w:hAnsi="Cambria Math"/>
                </w:rPr>
                <m:t>i, 2002</m:t>
              </m:r>
            </m:sub>
          </m:sSub>
          <m:r>
            <w:rPr>
              <w:rFonts w:ascii="Cambria Math" w:hAnsi="Cambria Math"/>
            </w:rPr>
            <m:t xml:space="preserve">+ </m:t>
          </m:r>
          <m:sSubSup>
            <m:sSubSupPr>
              <m:ctrlPr>
                <w:rPr>
                  <w:rFonts w:ascii="Cambria Math" w:hAnsi="Cambria Math"/>
                  <w:i/>
                  <w:iCs/>
                </w:rPr>
              </m:ctrlPr>
            </m:sSubSupPr>
            <m:e>
              <m:r>
                <m:rPr>
                  <m:sty m:val="bi"/>
                </m:rPr>
                <w:rPr>
                  <w:rFonts w:ascii="Cambria Math" w:hAnsi="Cambria Math"/>
                </w:rPr>
                <m:t>x</m:t>
              </m:r>
            </m:e>
            <m:sub>
              <m:r>
                <w:rPr>
                  <w:rFonts w:ascii="Cambria Math" w:hAnsi="Cambria Math"/>
                </w:rPr>
                <m:t>i</m:t>
              </m:r>
            </m:sub>
            <m:sup>
              <m:r>
                <w:rPr>
                  <w:rFonts w:ascii="Cambria Math" w:hAnsi="Cambria Math"/>
                </w:rPr>
                <m:t>'</m:t>
              </m:r>
            </m:sup>
          </m:sSubSup>
          <m:r>
            <m:rPr>
              <m:sty m:val="bi"/>
            </m:rPr>
            <w:rPr>
              <w:rFonts w:ascii="Cambria Math" w:hAnsi="Cambria Math"/>
            </w:rPr>
            <m:t>β</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14:paraId="112D7B09" w14:textId="4E34F330" w:rsidR="00767353" w:rsidRDefault="00767353" w:rsidP="00767353">
      <w:pPr>
        <w:pStyle w:val="BodyText"/>
      </w:pPr>
      <w:r>
        <w:t xml:space="preserve">Where </w:t>
      </w:r>
      <m:oMath>
        <m:sSub>
          <m:sSubPr>
            <m:ctrlPr>
              <w:rPr>
                <w:rFonts w:ascii="Cambria Math" w:hAnsi="Cambria Math"/>
                <w:i/>
              </w:rPr>
            </m:ctrlPr>
          </m:sSubPr>
          <m:e>
            <m:r>
              <m:rPr>
                <m:sty m:val="bi"/>
              </m:rPr>
              <w:rPr>
                <w:rFonts w:ascii="Cambria Math" w:hAnsi="Cambria Math"/>
              </w:rPr>
              <m:t>x</m:t>
            </m:r>
          </m:e>
          <m:sub>
            <m:r>
              <w:rPr>
                <w:rFonts w:ascii="Cambria Math" w:hAnsi="Cambria Math"/>
              </w:rPr>
              <m:t>i</m:t>
            </m:r>
          </m:sub>
        </m:sSub>
      </m:oMath>
      <w:r>
        <w:t xml:space="preserve"> is a vector of age controls (age of child and each parent in linear and squared terms). (This is to control for within</w:t>
      </w:r>
      <w:r>
        <w:noBreakHyphen/>
        <w:t xml:space="preserve">cohort differences in parent and child age, and is a common approach in studies of IWP </w:t>
      </w:r>
      <w:r>
        <w:fldChar w:fldCharType="begin"/>
      </w:r>
      <w:r w:rsidR="0047772E">
        <w:instrText xml:space="preserve"> ADDIN ZOTERO_ITEM CSL_CITATION {"citationID":"Id4UVIiX","properties":{"formattedCitation":"(see, for example, Siminski and Yu\\uc0\\u160{}2021)","plainCitation":"(see, for example, Siminski and Yu 2021)","noteIndex":0},"citationItems":[{"id":3149,"uris":["http://zotero.org/groups/2714158/items/XZZV9CNS"],"uri":["http://zotero.org/groups/2714158/items/XZZV9CNS"],"itemData":{"id":3149,"type":"report","publisher":"IZA Discussion Paper","title":"The Correlation of Wealth Between Parents and Children in Australia","author":[{"family":"Siminski","given":"Peter"},{"family":"Yu","given":"Sin Hung"}],"issued":{"date-parts":[["2021"]]}},"prefix":"see, for example, "}],"schema":"https://github.com/citation-style-language/schema/raw/master/csl-citation.json"} </w:instrText>
      </w:r>
      <w:r>
        <w:fldChar w:fldCharType="separate"/>
      </w:r>
      <w:r w:rsidRPr="00926104">
        <w:rPr>
          <w:szCs w:val="24"/>
        </w:rPr>
        <w:t>(see, for example, Siminski and Yu 2021)</w:t>
      </w:r>
      <w:r>
        <w:fldChar w:fldCharType="end"/>
      </w:r>
      <w:r>
        <w:t>.)</w:t>
      </w:r>
    </w:p>
    <w:p w14:paraId="18D5C9FC" w14:textId="77777777" w:rsidR="00767353" w:rsidRDefault="00767353" w:rsidP="00767353">
      <w:pPr>
        <w:pStyle w:val="BodyText"/>
      </w:pPr>
      <w:r>
        <w:t xml:space="preserve">This yields </w:t>
      </w:r>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r>
          <w:rPr>
            <w:rFonts w:ascii="Cambria Math" w:hAnsi="Cambria Math"/>
          </w:rPr>
          <m:t>=0.26</m:t>
        </m:r>
      </m:oMath>
      <w:r>
        <w:t xml:space="preserve"> for the main sample, </w:t>
      </w:r>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r>
          <w:rPr>
            <w:rFonts w:ascii="Cambria Math" w:hAnsi="Cambria Math"/>
          </w:rPr>
          <m:t>=0.24</m:t>
        </m:r>
      </m:oMath>
      <w:r>
        <w:t xml:space="preserve"> for the small sample and </w:t>
      </w:r>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r>
          <w:rPr>
            <w:rFonts w:ascii="Cambria Math" w:hAnsi="Cambria Math"/>
          </w:rPr>
          <m:t>=0.30</m:t>
        </m:r>
      </m:oMath>
      <w:r>
        <w:t xml:space="preserve"> for the large sample.</w:t>
      </w:r>
    </w:p>
    <w:p w14:paraId="5CB2877C" w14:textId="77777777" w:rsidR="00767353" w:rsidRDefault="00767353" w:rsidP="00767353">
      <w:pPr>
        <w:pStyle w:val="BodyText"/>
      </w:pPr>
      <w:r>
        <w:t>Given the age of the child cohort, these estimates are low, both by international standards and when compared with the only other estimate for Australia of 0.49 among children aged 40–65 (chapter 2, figure 2.10). This is likely because of attenuation bias due to the substantial error in the measurement of parent wealth, rather than because IWP is genuinely low among this cohort. For this reason, these estimates are not included in the discussion of IWP in chapter 2.</w:t>
      </w:r>
    </w:p>
    <w:p w14:paraId="48049011" w14:textId="77777777" w:rsidR="00767353" w:rsidRDefault="00767353" w:rsidP="00767353">
      <w:pPr>
        <w:pStyle w:val="Heading3"/>
      </w:pPr>
      <w:r>
        <w:lastRenderedPageBreak/>
        <w:t>Attribution of intergenerational wealth persistence to inheritances</w:t>
      </w:r>
    </w:p>
    <w:p w14:paraId="7217A4DA" w14:textId="77777777" w:rsidR="00767353" w:rsidRDefault="00767353" w:rsidP="00767353">
      <w:pPr>
        <w:pStyle w:val="BodyText"/>
      </w:pPr>
      <w:r>
        <w:t>This estimate of IWP can be used, however, to construct an unbiased estimate of the share of IWP attributable to inheritances provided that the error in the measurement of parent wealth is not correlated with child wealth (other than via parent wealth).</w:t>
      </w:r>
    </w:p>
    <w:p w14:paraId="101C46BE" w14:textId="77777777" w:rsidR="00767353" w:rsidRDefault="00767353" w:rsidP="00767353">
      <w:pPr>
        <w:pStyle w:val="BodyText"/>
      </w:pPr>
      <w:r>
        <w:t xml:space="preserve">To see why, note first that the share of IWP attributable to inheritances is defined to be </w:t>
      </w:r>
      <m:oMath>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3</m:t>
                </m:r>
              </m:sub>
            </m:sSub>
          </m:num>
          <m:den>
            <m:sSub>
              <m:sSubPr>
                <m:ctrlPr>
                  <w:rPr>
                    <w:rFonts w:ascii="Cambria Math" w:hAnsi="Cambria Math"/>
                    <w:i/>
                  </w:rPr>
                </m:ctrlPr>
              </m:sSubPr>
              <m:e>
                <m:r>
                  <w:rPr>
                    <w:rFonts w:ascii="Cambria Math" w:hAnsi="Cambria Math"/>
                  </w:rPr>
                  <m:t>β</m:t>
                </m:r>
              </m:e>
              <m:sub>
                <m:r>
                  <w:rPr>
                    <w:rFonts w:ascii="Cambria Math" w:hAnsi="Cambria Math"/>
                  </w:rPr>
                  <m:t>1</m:t>
                </m:r>
              </m:sub>
            </m:sSub>
          </m:den>
        </m:f>
        <m:r>
          <w:rPr>
            <w:rFonts w:ascii="Cambria Math" w:hAnsi="Cambria Math"/>
          </w:rPr>
          <m:t xml:space="preserve"> </m:t>
        </m:r>
      </m:oMath>
      <w:r>
        <w:t xml:space="preserve"> from the following models:</w:t>
      </w:r>
      <w:r w:rsidRPr="001F567E">
        <w:rPr>
          <w:rStyle w:val="FootnoteReference"/>
        </w:rPr>
        <w:footnoteReference w:id="60"/>
      </w:r>
    </w:p>
    <w:p w14:paraId="27D2B121" w14:textId="2BC1D533" w:rsidR="00767353" w:rsidRPr="00FD7297" w:rsidRDefault="00B2270C" w:rsidP="00767353">
      <w:pPr>
        <w:pStyle w:val="BodyText"/>
      </w:pPr>
      <m:oMathPara>
        <m:oMath>
          <m:sSub>
            <m:sSubPr>
              <m:ctrlPr>
                <w:rPr>
                  <w:rFonts w:ascii="Cambria Math" w:hAnsi="Cambria Math"/>
                  <w:i/>
                </w:rPr>
              </m:ctrlPr>
            </m:sSubPr>
            <m:e>
              <m:r>
                <w:rPr>
                  <w:rFonts w:ascii="Cambria Math" w:hAnsi="Cambria Math"/>
                </w:rPr>
                <m:t>Child wealth (rank)</m:t>
              </m:r>
            </m:e>
            <m:sub>
              <m:r>
                <w:rPr>
                  <w:rFonts w:ascii="Cambria Math" w:hAnsi="Cambria Math"/>
                </w:rPr>
                <m:t>i, 2018</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Parent wealth (rank)</m:t>
              </m:r>
            </m:e>
            <m:sub>
              <m:r>
                <w:rPr>
                  <w:rFonts w:ascii="Cambria Math" w:hAnsi="Cambria Math"/>
                </w:rPr>
                <m:t>i, 2002</m:t>
              </m:r>
            </m:sub>
          </m:sSub>
          <m:r>
            <w:rPr>
              <w:rFonts w:ascii="Cambria Math" w:hAnsi="Cambria Math"/>
            </w:rPr>
            <m:t>+</m:t>
          </m:r>
          <m:sSubSup>
            <m:sSubSupPr>
              <m:ctrlPr>
                <w:rPr>
                  <w:rFonts w:ascii="Cambria Math" w:hAnsi="Cambria Math"/>
                  <w:i/>
                  <w:iCs/>
                </w:rPr>
              </m:ctrlPr>
            </m:sSubSupPr>
            <m:e>
              <m:r>
                <m:rPr>
                  <m:sty m:val="bi"/>
                </m:rPr>
                <w:rPr>
                  <w:rFonts w:ascii="Cambria Math" w:hAnsi="Cambria Math"/>
                </w:rPr>
                <m:t>x</m:t>
              </m:r>
            </m:e>
            <m:sub>
              <m:r>
                <w:rPr>
                  <w:rFonts w:ascii="Cambria Math" w:hAnsi="Cambria Math"/>
                </w:rPr>
                <m:t>i</m:t>
              </m:r>
            </m:sub>
            <m:sup>
              <m:r>
                <w:rPr>
                  <w:rFonts w:ascii="Cambria Math" w:hAnsi="Cambria Math"/>
                </w:rPr>
                <m:t>'</m:t>
              </m:r>
            </m:sup>
          </m:sSubSup>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14:paraId="58E20B1D" w14:textId="461CCEE2" w:rsidR="00767353" w:rsidRPr="009742C7" w:rsidRDefault="00B2270C" w:rsidP="00767353">
      <w:pPr>
        <w:pStyle w:val="BodyText"/>
      </w:pPr>
      <m:oMathPara>
        <m:oMath>
          <m:sSub>
            <m:sSubPr>
              <m:ctrlPr>
                <w:rPr>
                  <w:rFonts w:ascii="Cambria Math" w:hAnsi="Cambria Math"/>
                  <w:i/>
                </w:rPr>
              </m:ctrlPr>
            </m:sSubPr>
            <m:e>
              <m:r>
                <w:rPr>
                  <w:rFonts w:ascii="Cambria Math" w:hAnsi="Cambria Math"/>
                </w:rPr>
                <m:t>Child wealth excluding inheritances (rank)</m:t>
              </m:r>
            </m:e>
            <m:sub>
              <m:r>
                <w:rPr>
                  <w:rFonts w:ascii="Cambria Math" w:hAnsi="Cambria Math"/>
                </w:rPr>
                <m:t>i, 2018</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Parent wealth (rank)</m:t>
              </m:r>
            </m:e>
            <m:sub>
              <m:r>
                <w:rPr>
                  <w:rFonts w:ascii="Cambria Math" w:hAnsi="Cambria Math"/>
                </w:rPr>
                <m:t>i, 2002</m:t>
              </m:r>
            </m:sub>
          </m:sSub>
          <m:r>
            <w:rPr>
              <w:rFonts w:ascii="Cambria Math" w:hAnsi="Cambria Math"/>
            </w:rPr>
            <m:t>+</m:t>
          </m:r>
          <m:sSubSup>
            <m:sSubSupPr>
              <m:ctrlPr>
                <w:rPr>
                  <w:rFonts w:ascii="Cambria Math" w:hAnsi="Cambria Math"/>
                  <w:i/>
                  <w:iCs/>
                </w:rPr>
              </m:ctrlPr>
            </m:sSubSupPr>
            <m:e>
              <m:r>
                <m:rPr>
                  <m:sty m:val="bi"/>
                </m:rPr>
                <w:rPr>
                  <w:rFonts w:ascii="Cambria Math" w:hAnsi="Cambria Math"/>
                </w:rPr>
                <m:t>x</m:t>
              </m:r>
            </m:e>
            <m:sub>
              <m:r>
                <w:rPr>
                  <w:rFonts w:ascii="Cambria Math" w:hAnsi="Cambria Math"/>
                </w:rPr>
                <m:t>i</m:t>
              </m:r>
            </m:sub>
            <m:sup>
              <m:r>
                <w:rPr>
                  <w:rFonts w:ascii="Cambria Math" w:hAnsi="Cambria Math"/>
                </w:rPr>
                <m:t>'</m:t>
              </m:r>
            </m:sup>
          </m:sSubSup>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oMath>
      </m:oMathPara>
    </w:p>
    <w:p w14:paraId="72D1465A" w14:textId="77777777" w:rsidR="00767353" w:rsidRDefault="00767353" w:rsidP="00767353">
      <w:pPr>
        <w:pStyle w:val="BodyText"/>
      </w:pPr>
      <w:r>
        <w:t xml:space="preserve">Where </w:t>
      </w:r>
      <m:oMath>
        <m:sSub>
          <m:sSubPr>
            <m:ctrlPr>
              <w:rPr>
                <w:rFonts w:ascii="Cambria Math" w:hAnsi="Cambria Math"/>
                <w:i/>
              </w:rPr>
            </m:ctrlPr>
          </m:sSubPr>
          <m:e>
            <m:r>
              <w:rPr>
                <w:rFonts w:ascii="Cambria Math" w:hAnsi="Cambria Math"/>
              </w:rPr>
              <m:t>Child wealth excluding inheritances (rank)</m:t>
            </m:r>
          </m:e>
          <m:sub>
            <m:r>
              <w:rPr>
                <w:rFonts w:ascii="Cambria Math" w:hAnsi="Cambria Math"/>
              </w:rPr>
              <m:t>i, 2018</m:t>
            </m:r>
          </m:sub>
        </m:sSub>
      </m:oMath>
      <w:r>
        <w:t xml:space="preserve"> is the counterfactual percentile ranking of child wealth in 2018 if inheritances had unexpectedly not been received. </w:t>
      </w:r>
    </w:p>
    <w:p w14:paraId="6184DD55" w14:textId="77777777" w:rsidR="00767353" w:rsidRPr="00FC5528" w:rsidRDefault="00767353" w:rsidP="00767353">
      <w:pPr>
        <w:pStyle w:val="BodyText"/>
      </w:pPr>
      <w:r>
        <w:t xml:space="preserve">With our data, however, </w:t>
      </w:r>
      <m:oMath>
        <m:sSub>
          <m:sSubPr>
            <m:ctrlPr>
              <w:rPr>
                <w:rFonts w:ascii="Cambria Math" w:hAnsi="Cambria Math"/>
                <w:i/>
              </w:rPr>
            </m:ctrlPr>
          </m:sSubPr>
          <m:e>
            <m:r>
              <w:rPr>
                <w:rFonts w:ascii="Cambria Math" w:hAnsi="Cambria Math"/>
              </w:rPr>
              <m:t>Parent wealth (rank)</m:t>
            </m:r>
          </m:e>
          <m:sub>
            <m:r>
              <w:rPr>
                <w:rFonts w:ascii="Cambria Math" w:hAnsi="Cambria Math"/>
              </w:rPr>
              <m:t>i, 2002</m:t>
            </m:r>
          </m:sub>
        </m:sSub>
      </m:oMath>
      <w:r>
        <w:t xml:space="preserve"> has been imputed with error, such that </w:t>
      </w:r>
      <m:oMath>
        <m:sSub>
          <m:sSubPr>
            <m:ctrlPr>
              <w:rPr>
                <w:rFonts w:ascii="Cambria Math" w:hAnsi="Cambria Math"/>
                <w:i/>
              </w:rPr>
            </m:ctrlPr>
          </m:sSubPr>
          <m:e>
            <m:r>
              <w:rPr>
                <w:rFonts w:ascii="Cambria Math" w:hAnsi="Cambria Math"/>
              </w:rPr>
              <m:t>Imputed parent wealth (rank)</m:t>
            </m:r>
          </m:e>
          <m:sub>
            <m:r>
              <w:rPr>
                <w:rFonts w:ascii="Cambria Math" w:hAnsi="Cambria Math"/>
              </w:rPr>
              <m:t>i, 2002</m:t>
            </m:r>
          </m:sub>
        </m:sSub>
        <m:r>
          <w:rPr>
            <w:rFonts w:ascii="Cambria Math" w:hAnsi="Cambria Math"/>
          </w:rPr>
          <m:t xml:space="preserve">= </m:t>
        </m:r>
        <m:sSub>
          <m:sSubPr>
            <m:ctrlPr>
              <w:rPr>
                <w:rFonts w:ascii="Cambria Math" w:hAnsi="Cambria Math"/>
                <w:i/>
              </w:rPr>
            </m:ctrlPr>
          </m:sSubPr>
          <m:e>
            <m:r>
              <w:rPr>
                <w:rFonts w:ascii="Cambria Math" w:hAnsi="Cambria Math"/>
              </w:rPr>
              <m:t>Parent wealth (rank)</m:t>
            </m:r>
          </m:e>
          <m:sub>
            <m:r>
              <w:rPr>
                <w:rFonts w:ascii="Cambria Math" w:hAnsi="Cambria Math"/>
              </w:rPr>
              <m:t>i, 2002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oMath>
      <w:r>
        <w:t>.</w:t>
      </w:r>
    </w:p>
    <w:p w14:paraId="412C02C9" w14:textId="1A6E596A" w:rsidR="00767353" w:rsidRDefault="00767353" w:rsidP="00767353">
      <w:pPr>
        <w:pStyle w:val="BodyText"/>
      </w:pPr>
      <w:r>
        <w:t xml:space="preserve">As proven in box B.1, the only conditions necessary to ensure that least squares estimation of the above equations with </w:t>
      </w:r>
      <m:oMath>
        <m:sSub>
          <m:sSubPr>
            <m:ctrlPr>
              <w:rPr>
                <w:rFonts w:ascii="Cambria Math" w:hAnsi="Cambria Math"/>
                <w:i/>
              </w:rPr>
            </m:ctrlPr>
          </m:sSubPr>
          <m:e>
            <m:r>
              <w:rPr>
                <w:rFonts w:ascii="Cambria Math" w:hAnsi="Cambria Math"/>
              </w:rPr>
              <m:t>Imputed parent wealth (rank)</m:t>
            </m:r>
          </m:e>
          <m:sub>
            <m:r>
              <w:rPr>
                <w:rFonts w:ascii="Cambria Math" w:hAnsi="Cambria Math"/>
              </w:rPr>
              <m:t>i, 2002</m:t>
            </m:r>
          </m:sub>
        </m:sSub>
      </m:oMath>
      <w:r>
        <w:t xml:space="preserve"> substituted for </w:t>
      </w:r>
      <m:oMath>
        <m:sSub>
          <m:sSubPr>
            <m:ctrlPr>
              <w:rPr>
                <w:rFonts w:ascii="Cambria Math" w:hAnsi="Cambria Math"/>
                <w:i/>
              </w:rPr>
            </m:ctrlPr>
          </m:sSubPr>
          <m:e>
            <m:r>
              <w:rPr>
                <w:rFonts w:ascii="Cambria Math" w:hAnsi="Cambria Math"/>
              </w:rPr>
              <m:t>Parent wealth (rank)</m:t>
            </m:r>
          </m:e>
          <m:sub>
            <m:r>
              <w:rPr>
                <w:rFonts w:ascii="Cambria Math" w:hAnsi="Cambria Math"/>
              </w:rPr>
              <m:t>i, 2002</m:t>
            </m:r>
          </m:sub>
        </m:sSub>
      </m:oMath>
      <w:r>
        <w:t xml:space="preserve"> will produce an unbiased estimate of </w:t>
      </w:r>
      <m:oMath>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3</m:t>
                </m:r>
              </m:sub>
            </m:sSub>
          </m:num>
          <m:den>
            <m:sSub>
              <m:sSubPr>
                <m:ctrlPr>
                  <w:rPr>
                    <w:rFonts w:ascii="Cambria Math" w:hAnsi="Cambria Math"/>
                    <w:i/>
                  </w:rPr>
                </m:ctrlPr>
              </m:sSubPr>
              <m:e>
                <m:r>
                  <w:rPr>
                    <w:rFonts w:ascii="Cambria Math" w:hAnsi="Cambria Math"/>
                  </w:rPr>
                  <m:t>β</m:t>
                </m:r>
              </m:e>
              <m:sub>
                <m:r>
                  <w:rPr>
                    <w:rFonts w:ascii="Cambria Math" w:hAnsi="Cambria Math"/>
                  </w:rPr>
                  <m:t>1</m:t>
                </m:r>
              </m:sub>
            </m:sSub>
          </m:den>
        </m:f>
      </m:oMath>
      <w:r>
        <w:t xml:space="preserve"> are that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t xml:space="preserve"> is not correlated with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t xml:space="preserve"> or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t xml:space="preserve">. In practice, this means that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t xml:space="preserve"> may be correlated with </w:t>
      </w:r>
      <m:oMath>
        <m:sSub>
          <m:sSubPr>
            <m:ctrlPr>
              <w:rPr>
                <w:rFonts w:ascii="Cambria Math" w:hAnsi="Cambria Math"/>
                <w:i/>
              </w:rPr>
            </m:ctrlPr>
          </m:sSubPr>
          <m:e>
            <m:r>
              <w:rPr>
                <w:rFonts w:ascii="Cambria Math" w:hAnsi="Cambria Math"/>
              </w:rPr>
              <m:t>Parent wealth (rank)</m:t>
            </m:r>
          </m:e>
          <m:sub>
            <m:r>
              <w:rPr>
                <w:rFonts w:ascii="Cambria Math" w:hAnsi="Cambria Math"/>
              </w:rPr>
              <m:t>i, 2002</m:t>
            </m:r>
          </m:sub>
        </m:sSub>
      </m:oMath>
      <w:r>
        <w:t xml:space="preserve"> but correlated with </w:t>
      </w:r>
      <m:oMath>
        <m:sSub>
          <m:sSubPr>
            <m:ctrlPr>
              <w:rPr>
                <w:rFonts w:ascii="Cambria Math" w:hAnsi="Cambria Math"/>
                <w:i/>
              </w:rPr>
            </m:ctrlPr>
          </m:sSubPr>
          <m:e>
            <m:r>
              <w:rPr>
                <w:rFonts w:ascii="Cambria Math" w:hAnsi="Cambria Math"/>
              </w:rPr>
              <m:t>Child wealth (rank)</m:t>
            </m:r>
          </m:e>
          <m:sub>
            <m:r>
              <w:rPr>
                <w:rFonts w:ascii="Cambria Math" w:hAnsi="Cambria Math"/>
              </w:rPr>
              <m:t>i, 2018</m:t>
            </m:r>
          </m:sub>
        </m:sSub>
      </m:oMath>
      <w:r>
        <w:t xml:space="preserve"> and </w:t>
      </w:r>
      <m:oMath>
        <m:sSub>
          <m:sSubPr>
            <m:ctrlPr>
              <w:rPr>
                <w:rFonts w:ascii="Cambria Math" w:hAnsi="Cambria Math"/>
                <w:i/>
              </w:rPr>
            </m:ctrlPr>
          </m:sSubPr>
          <m:e>
            <m:r>
              <w:rPr>
                <w:rFonts w:ascii="Cambria Math" w:hAnsi="Cambria Math"/>
              </w:rPr>
              <m:t>Child wealth excluding inheritances (rank)</m:t>
            </m:r>
          </m:e>
          <m:sub>
            <m:r>
              <w:rPr>
                <w:rFonts w:ascii="Cambria Math" w:hAnsi="Cambria Math"/>
              </w:rPr>
              <m:t>i, 2018</m:t>
            </m:r>
          </m:sub>
        </m:sSub>
      </m:oMath>
      <w:r>
        <w:t xml:space="preserve"> </w:t>
      </w:r>
      <w:r w:rsidRPr="00F26300">
        <w:rPr>
          <w:i/>
          <w:iCs/>
        </w:rPr>
        <w:t>only</w:t>
      </w:r>
      <w:r>
        <w:t xml:space="preserve"> via </w:t>
      </w:r>
      <m:oMath>
        <m:sSub>
          <m:sSubPr>
            <m:ctrlPr>
              <w:rPr>
                <w:rFonts w:ascii="Cambria Math" w:hAnsi="Cambria Math"/>
                <w:i/>
              </w:rPr>
            </m:ctrlPr>
          </m:sSubPr>
          <m:e>
            <m:r>
              <w:rPr>
                <w:rFonts w:ascii="Cambria Math" w:hAnsi="Cambria Math"/>
              </w:rPr>
              <m:t>Parent wealth (rank)</m:t>
            </m:r>
          </m:e>
          <m:sub>
            <m:r>
              <w:rPr>
                <w:rFonts w:ascii="Cambria Math" w:hAnsi="Cambria Math"/>
              </w:rPr>
              <m:t>i, 2002</m:t>
            </m:r>
          </m:sub>
        </m:sSub>
      </m:oMath>
      <w:r>
        <w:t xml:space="preserve"> (i.e. uncorrelated </w:t>
      </w:r>
      <w:r w:rsidR="006457E9">
        <w:t xml:space="preserve">with </w:t>
      </w:r>
      <m:oMath>
        <m:sSub>
          <m:sSubPr>
            <m:ctrlPr>
              <w:rPr>
                <w:rFonts w:ascii="Cambria Math" w:hAnsi="Cambria Math"/>
                <w:i/>
              </w:rPr>
            </m:ctrlPr>
          </m:sSubPr>
          <m:e>
            <m:r>
              <w:rPr>
                <w:rFonts w:ascii="Cambria Math" w:hAnsi="Cambria Math"/>
              </w:rPr>
              <m:t>Child wealth (rank)</m:t>
            </m:r>
          </m:e>
          <m:sub>
            <m:r>
              <w:rPr>
                <w:rFonts w:ascii="Cambria Math" w:hAnsi="Cambria Math"/>
              </w:rPr>
              <m:t>i, 2018</m:t>
            </m:r>
          </m:sub>
        </m:sSub>
      </m:oMath>
      <w:r w:rsidR="006457E9">
        <w:t xml:space="preserve"> and </w:t>
      </w:r>
      <m:oMath>
        <m:sSub>
          <m:sSubPr>
            <m:ctrlPr>
              <w:rPr>
                <w:rFonts w:ascii="Cambria Math" w:hAnsi="Cambria Math"/>
                <w:i/>
              </w:rPr>
            </m:ctrlPr>
          </m:sSubPr>
          <m:e>
            <m:r>
              <w:rPr>
                <w:rFonts w:ascii="Cambria Math" w:hAnsi="Cambria Math"/>
              </w:rPr>
              <m:t>Child wealth excluding inheritances (rank)</m:t>
            </m:r>
          </m:e>
          <m:sub>
            <m:r>
              <w:rPr>
                <w:rFonts w:ascii="Cambria Math" w:hAnsi="Cambria Math"/>
              </w:rPr>
              <m:t>i, 2018</m:t>
            </m:r>
          </m:sub>
        </m:sSub>
      </m:oMath>
      <w:r>
        <w:rPr>
          <w:rFonts w:eastAsiaTheme="minorEastAsia"/>
        </w:rPr>
        <w:t xml:space="preserve"> </w:t>
      </w:r>
      <w:r>
        <w:t xml:space="preserve">conditional on </w:t>
      </w:r>
      <m:oMath>
        <m:sSub>
          <m:sSubPr>
            <m:ctrlPr>
              <w:rPr>
                <w:rFonts w:ascii="Cambria Math" w:hAnsi="Cambria Math"/>
                <w:i/>
              </w:rPr>
            </m:ctrlPr>
          </m:sSubPr>
          <m:e>
            <m:r>
              <w:rPr>
                <w:rFonts w:ascii="Cambria Math" w:hAnsi="Cambria Math"/>
              </w:rPr>
              <m:t>Parent wealth (rank)</m:t>
            </m:r>
          </m:e>
          <m:sub>
            <m:r>
              <w:rPr>
                <w:rFonts w:ascii="Cambria Math" w:hAnsi="Cambria Math"/>
              </w:rPr>
              <m:t>i, 2002</m:t>
            </m:r>
          </m:sub>
        </m:sSub>
      </m:oMath>
      <w:r>
        <w:t>).</w:t>
      </w:r>
    </w:p>
    <w:p w14:paraId="5073AAFE" w14:textId="77777777" w:rsidR="00767353" w:rsidRDefault="00767353" w:rsidP="00767353">
      <w:pPr>
        <w:pStyle w:val="BodyText"/>
      </w:pPr>
      <w:r>
        <w:t>Unfortunately, it is not possible to rigorously test whether these conditions hold, but they are consistent with evidence presented earlier. The findings of table B.2 do not imply any violation of the conditions for the main and large samples, because the null hypothesis, that the observations excluded from the main and large samples because of non</w:t>
      </w:r>
      <w:r>
        <w:noBreakHyphen/>
        <w:t xml:space="preserve">reporting of inheritances are randomly excluded, is not rejected. Likewise, the statistics presented in table B.3 can be reconciled with a permissible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t xml:space="preserve">, because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t xml:space="preserve"> may be correlated with </w:t>
      </w:r>
      <m:oMath>
        <m:sSub>
          <m:sSubPr>
            <m:ctrlPr>
              <w:rPr>
                <w:rFonts w:ascii="Cambria Math" w:hAnsi="Cambria Math"/>
                <w:i/>
              </w:rPr>
            </m:ctrlPr>
          </m:sSubPr>
          <m:e>
            <m:r>
              <w:rPr>
                <w:rFonts w:ascii="Cambria Math" w:hAnsi="Cambria Math"/>
              </w:rPr>
              <m:t>Parent wealth (rank)</m:t>
            </m:r>
          </m:e>
          <m:sub>
            <m:r>
              <w:rPr>
                <w:rFonts w:ascii="Cambria Math" w:hAnsi="Cambria Math"/>
              </w:rPr>
              <m:t>i, 2002</m:t>
            </m:r>
          </m:sub>
        </m:sSub>
      </m:oMath>
      <w:r>
        <w:t xml:space="preserve"> and need not be mean zero.</w:t>
      </w:r>
    </w:p>
    <w:p w14:paraId="0073A12D" w14:textId="77777777" w:rsidR="00767353" w:rsidRDefault="00767353" w:rsidP="00767353">
      <w:pPr>
        <w:pStyle w:val="BodyText"/>
      </w:pPr>
    </w:p>
    <w:tbl>
      <w:tblPr>
        <w:tblStyle w:val="Boxtable"/>
        <w:tblW w:w="5000" w:type="pct"/>
        <w:tblLook w:val="04A0" w:firstRow="1" w:lastRow="0" w:firstColumn="1" w:lastColumn="0" w:noHBand="0" w:noVBand="1"/>
      </w:tblPr>
      <w:tblGrid>
        <w:gridCol w:w="9638"/>
      </w:tblGrid>
      <w:tr w:rsidR="00767353" w14:paraId="2D32B49C" w14:textId="77777777" w:rsidTr="00604051">
        <w:trPr>
          <w:tblHeader/>
        </w:trPr>
        <w:tc>
          <w:tcPr>
            <w:tcW w:w="9638" w:type="dxa"/>
            <w:tcMar>
              <w:top w:w="170" w:type="dxa"/>
              <w:left w:w="170" w:type="dxa"/>
              <w:bottom w:w="113" w:type="dxa"/>
              <w:right w:w="170" w:type="dxa"/>
            </w:tcMar>
            <w:hideMark/>
          </w:tcPr>
          <w:p w14:paraId="6EFAF916" w14:textId="57545D65" w:rsidR="00767353" w:rsidRDefault="00767353" w:rsidP="00604051">
            <w:pPr>
              <w:pStyle w:val="BoxHeading1"/>
            </w:pPr>
            <w:r>
              <w:lastRenderedPageBreak/>
              <w:t xml:space="preserve">Box </w:t>
            </w:r>
            <w:fldSimple w:instr=" STYLEREF  \s Heading-Appendix ">
              <w:r w:rsidR="00F3386D">
                <w:rPr>
                  <w:noProof/>
                </w:rPr>
                <w:t>B</w:t>
              </w:r>
            </w:fldSimple>
            <w:r>
              <w:t>.</w:t>
            </w:r>
            <w:r w:rsidR="0038557A">
              <w:t>1</w:t>
            </w:r>
            <w:r>
              <w:t xml:space="preserve"> – Proof that the share of IWP attributed to inheritances is unbiased if </w:t>
            </w:r>
            <m:oMath>
              <m:sSub>
                <m:sSubPr>
                  <m:ctrlPr>
                    <w:rPr>
                      <w:rFonts w:ascii="Cambria Math" w:hAnsi="Cambria Math"/>
                      <w:i/>
                    </w:rPr>
                  </m:ctrlPr>
                </m:sSubPr>
                <m:e>
                  <m:r>
                    <m:rPr>
                      <m:sty m:val="bi"/>
                    </m:rPr>
                    <w:rPr>
                      <w:rFonts w:ascii="Cambria Math" w:hAnsi="Cambria Math"/>
                    </w:rPr>
                    <m:t>μ</m:t>
                  </m:r>
                </m:e>
                <m:sub>
                  <m:r>
                    <m:rPr>
                      <m:sty m:val="bi"/>
                    </m:rPr>
                    <w:rPr>
                      <w:rFonts w:ascii="Cambria Math" w:hAnsi="Cambria Math"/>
                    </w:rPr>
                    <m:t>i</m:t>
                  </m:r>
                </m:sub>
              </m:sSub>
            </m:oMath>
            <w:r>
              <w:t xml:space="preserve"> is not correlated with </w:t>
            </w:r>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i</m:t>
                  </m:r>
                </m:sub>
              </m:sSub>
            </m:oMath>
            <w:r>
              <w:t xml:space="preserve"> or </w:t>
            </w:r>
            <m:oMath>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oMath>
          </w:p>
        </w:tc>
      </w:tr>
      <w:tr w:rsidR="00767353" w14:paraId="6D4FE9E6" w14:textId="77777777" w:rsidTr="00604051">
        <w:tc>
          <w:tcPr>
            <w:tcW w:w="9638" w:type="dxa"/>
            <w:tcMar>
              <w:top w:w="28" w:type="dxa"/>
              <w:left w:w="170" w:type="dxa"/>
              <w:bottom w:w="170" w:type="dxa"/>
              <w:right w:w="170" w:type="dxa"/>
            </w:tcMar>
            <w:hideMark/>
          </w:tcPr>
          <w:p w14:paraId="0D478E2E" w14:textId="77777777" w:rsidR="00767353" w:rsidRPr="00302907" w:rsidRDefault="00767353" w:rsidP="00604051">
            <w:pPr>
              <w:pStyle w:val="BoxHeading1"/>
            </w:pPr>
            <w:r w:rsidRPr="00302907">
              <w:t>Claim</w:t>
            </w:r>
          </w:p>
          <w:p w14:paraId="0D263575" w14:textId="77777777" w:rsidR="00767353" w:rsidRDefault="00767353" w:rsidP="00604051">
            <w:pPr>
              <w:pStyle w:val="BodyText"/>
            </w:pPr>
            <w:r>
              <w:t xml:space="preserve">Suppose that the error in the measurement of parent wealth is of the form </w:t>
            </w:r>
            <m:oMath>
              <m:sSub>
                <m:sSubPr>
                  <m:ctrlPr>
                    <w:rPr>
                      <w:rFonts w:ascii="Cambria Math" w:hAnsi="Cambria Math"/>
                    </w:rPr>
                  </m:ctrlPr>
                </m:sSubPr>
                <m:e>
                  <m:r>
                    <w:rPr>
                      <w:rFonts w:ascii="Cambria Math" w:hAnsi="Cambria Math"/>
                    </w:rPr>
                    <m:t>Imputed</m:t>
                  </m:r>
                  <m:r>
                    <m:rPr>
                      <m:sty m:val="p"/>
                    </m:rPr>
                    <w:rPr>
                      <w:rFonts w:ascii="Cambria Math" w:hAnsi="Cambria Math"/>
                    </w:rPr>
                    <m:t xml:space="preserve"> </m:t>
                  </m:r>
                  <m:r>
                    <w:rPr>
                      <w:rFonts w:ascii="Cambria Math" w:hAnsi="Cambria Math"/>
                    </w:rPr>
                    <m:t>parent</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r>
                    <w:rPr>
                      <w:rFonts w:ascii="Cambria Math" w:hAnsi="Cambria Math"/>
                    </w:rPr>
                    <m:t>rank</m:t>
                  </m:r>
                  <m:r>
                    <m:rPr>
                      <m:sty m:val="p"/>
                    </m:rPr>
                    <w:rPr>
                      <w:rFonts w:ascii="Cambria Math" w:hAnsi="Cambria Math"/>
                    </w:rPr>
                    <m:t>)</m:t>
                  </m:r>
                </m:e>
                <m:sub>
                  <m:r>
                    <w:rPr>
                      <w:rFonts w:ascii="Cambria Math" w:hAnsi="Cambria Math"/>
                    </w:rPr>
                    <m:t>i</m:t>
                  </m:r>
                  <m:r>
                    <m:rPr>
                      <m:sty m:val="p"/>
                    </m:rPr>
                    <w:rPr>
                      <w:rFonts w:ascii="Cambria Math" w:hAnsi="Cambria Math"/>
                    </w:rPr>
                    <m:t>, 2002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Parent</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r>
                    <w:rPr>
                      <w:rFonts w:ascii="Cambria Math" w:hAnsi="Cambria Math"/>
                    </w:rPr>
                    <m:t>rank</m:t>
                  </m:r>
                  <m:r>
                    <m:rPr>
                      <m:sty m:val="p"/>
                    </m:rPr>
                    <w:rPr>
                      <w:rFonts w:ascii="Cambria Math" w:hAnsi="Cambria Math"/>
                    </w:rPr>
                    <m:t>)</m:t>
                  </m:r>
                </m:e>
                <m:sub>
                  <m:r>
                    <w:rPr>
                      <w:rFonts w:ascii="Cambria Math" w:hAnsi="Cambria Math"/>
                    </w:rPr>
                    <m:t>i</m:t>
                  </m:r>
                  <m:r>
                    <m:rPr>
                      <m:sty m:val="p"/>
                    </m:rPr>
                    <w:rPr>
                      <w:rFonts w:ascii="Cambria Math" w:hAnsi="Cambria Math"/>
                    </w:rPr>
                    <m:t>, 2002</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m:t>
                  </m:r>
                </m:sub>
              </m:sSub>
            </m:oMath>
            <w:r>
              <w:t xml:space="preserve"> where </w:t>
            </w:r>
            <m:oMath>
              <m:sSub>
                <m:sSubPr>
                  <m:ctrlPr>
                    <w:rPr>
                      <w:rFonts w:ascii="Cambria Math" w:hAnsi="Cambria Math"/>
                    </w:rPr>
                  </m:ctrlPr>
                </m:sSubPr>
                <m:e>
                  <m:r>
                    <w:rPr>
                      <w:rFonts w:ascii="Cambria Math" w:hAnsi="Cambria Math"/>
                    </w:rPr>
                    <m:t>μ</m:t>
                  </m:r>
                </m:e>
                <m:sub>
                  <m:r>
                    <w:rPr>
                      <w:rFonts w:ascii="Cambria Math" w:hAnsi="Cambria Math"/>
                    </w:rPr>
                    <m:t>i</m:t>
                  </m:r>
                </m:sub>
              </m:sSub>
            </m:oMath>
            <w:r>
              <w:t xml:space="preserve"> is not correlated with </w:t>
            </w:r>
            <m:oMath>
              <m:sSub>
                <m:sSubPr>
                  <m:ctrlPr>
                    <w:rPr>
                      <w:rFonts w:ascii="Cambria Math" w:hAnsi="Cambria Math"/>
                    </w:rPr>
                  </m:ctrlPr>
                </m:sSubPr>
                <m:e>
                  <m:r>
                    <w:rPr>
                      <w:rFonts w:ascii="Cambria Math" w:hAnsi="Cambria Math"/>
                    </w:rPr>
                    <m:t>ε</m:t>
                  </m:r>
                </m:e>
                <m:sub>
                  <m:r>
                    <w:rPr>
                      <w:rFonts w:ascii="Cambria Math" w:hAnsi="Cambria Math"/>
                    </w:rPr>
                    <m:t>i</m:t>
                  </m:r>
                </m:sub>
              </m:sSub>
            </m:oMath>
            <w:r>
              <w:t xml:space="preserve"> or </w:t>
            </w:r>
            <m:oMath>
              <m:sSub>
                <m:sSubPr>
                  <m:ctrlPr>
                    <w:rPr>
                      <w:rFonts w:ascii="Cambria Math" w:hAnsi="Cambria Math"/>
                    </w:rPr>
                  </m:ctrlPr>
                </m:sSubPr>
                <m:e>
                  <m:r>
                    <w:rPr>
                      <w:rFonts w:ascii="Cambria Math" w:hAnsi="Cambria Math"/>
                    </w:rPr>
                    <m:t>δ</m:t>
                  </m:r>
                </m:e>
                <m:sub>
                  <m:r>
                    <w:rPr>
                      <w:rFonts w:ascii="Cambria Math" w:hAnsi="Cambria Math"/>
                    </w:rPr>
                    <m:t>i</m:t>
                  </m:r>
                </m:sub>
              </m:sSub>
            </m:oMath>
            <w:r>
              <w:t xml:space="preserve"> (the error terms in the equations that estimate </w:t>
            </w:r>
            <m:oMath>
              <m:sSub>
                <m:sSubPr>
                  <m:ctrlPr>
                    <w:rPr>
                      <w:rFonts w:ascii="Cambria Math" w:hAnsi="Cambria Math"/>
                      <w:sz w:val="24"/>
                    </w:rPr>
                  </m:ctrlPr>
                </m:sSubPr>
                <m:e>
                  <m:r>
                    <w:rPr>
                      <w:rFonts w:ascii="Cambria Math" w:hAnsi="Cambria Math"/>
                    </w:rPr>
                    <m:t>β</m:t>
                  </m:r>
                </m:e>
                <m:sub>
                  <m:r>
                    <m:rPr>
                      <m:sty m:val="p"/>
                    </m:rPr>
                    <w:rPr>
                      <w:rFonts w:ascii="Cambria Math" w:hAnsi="Cambria Math"/>
                    </w:rPr>
                    <m:t>1</m:t>
                  </m:r>
                </m:sub>
              </m:sSub>
            </m:oMath>
            <w:r>
              <w:t xml:space="preserve"> and </w:t>
            </w:r>
            <m:oMath>
              <m:sSub>
                <m:sSubPr>
                  <m:ctrlPr>
                    <w:rPr>
                      <w:rFonts w:ascii="Cambria Math" w:hAnsi="Cambria Math"/>
                      <w:sz w:val="24"/>
                    </w:rPr>
                  </m:ctrlPr>
                </m:sSubPr>
                <m:e>
                  <m:r>
                    <w:rPr>
                      <w:rFonts w:ascii="Cambria Math" w:hAnsi="Cambria Math"/>
                    </w:rPr>
                    <m:t>β</m:t>
                  </m:r>
                </m:e>
                <m:sub>
                  <m:r>
                    <m:rPr>
                      <m:sty m:val="p"/>
                    </m:rPr>
                    <w:rPr>
                      <w:rFonts w:ascii="Cambria Math" w:hAnsi="Cambria Math"/>
                      <w:sz w:val="24"/>
                    </w:rPr>
                    <m:t>3</m:t>
                  </m:r>
                </m:sub>
              </m:sSub>
            </m:oMath>
            <w:r w:rsidRPr="001F5613">
              <w:rPr>
                <w:szCs w:val="16"/>
              </w:rPr>
              <w:t>)</w:t>
            </w:r>
            <w:r>
              <w:rPr>
                <w:szCs w:val="16"/>
              </w:rPr>
              <w:t>. Then</w:t>
            </w:r>
            <w:r>
              <w:t xml:space="preserve"> the share of IWP attributed to inheritances </w:t>
            </w:r>
            <m:oMath>
              <m:r>
                <m:rPr>
                  <m:sty m:val="p"/>
                </m:rPr>
                <w:rPr>
                  <w:rFonts w:ascii="Cambria Math" w:hAnsi="Cambria Math"/>
                </w:rPr>
                <m:t>1-</m:t>
              </m:r>
              <m:f>
                <m:fPr>
                  <m:type m:val="lin"/>
                  <m:ctrlPr>
                    <w:rPr>
                      <w:rFonts w:ascii="Cambria Math" w:hAnsi="Cambria Math"/>
                      <w:sz w:val="24"/>
                    </w:rPr>
                  </m:ctrlPr>
                </m:fPr>
                <m:num>
                  <m:acc>
                    <m:accPr>
                      <m:ctrlPr>
                        <w:rPr>
                          <w:rFonts w:ascii="Cambria Math" w:hAnsi="Cambria Math"/>
                          <w:sz w:val="24"/>
                        </w:rPr>
                      </m:ctrlPr>
                    </m:accPr>
                    <m:e>
                      <m:sSub>
                        <m:sSubPr>
                          <m:ctrlPr>
                            <w:rPr>
                              <w:rFonts w:ascii="Cambria Math" w:hAnsi="Cambria Math"/>
                              <w:sz w:val="24"/>
                            </w:rPr>
                          </m:ctrlPr>
                        </m:sSubPr>
                        <m:e>
                          <m:r>
                            <w:rPr>
                              <w:rFonts w:ascii="Cambria Math" w:hAnsi="Cambria Math"/>
                            </w:rPr>
                            <m:t>β</m:t>
                          </m:r>
                        </m:e>
                        <m:sub>
                          <m:r>
                            <m:rPr>
                              <m:sty m:val="p"/>
                            </m:rPr>
                            <w:rPr>
                              <w:rFonts w:ascii="Cambria Math" w:hAnsi="Cambria Math"/>
                            </w:rPr>
                            <m:t>3</m:t>
                          </m:r>
                        </m:sub>
                      </m:sSub>
                    </m:e>
                  </m:acc>
                </m:num>
                <m:den>
                  <m:acc>
                    <m:accPr>
                      <m:ctrlPr>
                        <w:rPr>
                          <w:rFonts w:ascii="Cambria Math" w:hAnsi="Cambria Math"/>
                          <w:sz w:val="24"/>
                        </w:rPr>
                      </m:ctrlPr>
                    </m:accPr>
                    <m:e>
                      <m:sSub>
                        <m:sSubPr>
                          <m:ctrlPr>
                            <w:rPr>
                              <w:rFonts w:ascii="Cambria Math" w:hAnsi="Cambria Math"/>
                              <w:sz w:val="24"/>
                            </w:rPr>
                          </m:ctrlPr>
                        </m:sSubPr>
                        <m:e>
                          <m:r>
                            <w:rPr>
                              <w:rFonts w:ascii="Cambria Math" w:hAnsi="Cambria Math"/>
                            </w:rPr>
                            <m:t>β</m:t>
                          </m:r>
                        </m:e>
                        <m:sub>
                          <m:r>
                            <m:rPr>
                              <m:sty m:val="p"/>
                            </m:rPr>
                            <w:rPr>
                              <w:rFonts w:ascii="Cambria Math" w:hAnsi="Cambria Math"/>
                            </w:rPr>
                            <m:t>1</m:t>
                          </m:r>
                        </m:sub>
                      </m:sSub>
                    </m:e>
                  </m:acc>
                </m:den>
              </m:f>
            </m:oMath>
            <w:r w:rsidRPr="001A15D9">
              <w:t xml:space="preserve"> </w:t>
            </w:r>
            <w:r>
              <w:t>is unbiased.</w:t>
            </w:r>
          </w:p>
          <w:p w14:paraId="0DDD8C91" w14:textId="77777777" w:rsidR="00767353" w:rsidRPr="00302907" w:rsidRDefault="00767353" w:rsidP="00604051">
            <w:pPr>
              <w:pStyle w:val="BoxHeading1"/>
            </w:pPr>
            <w:r w:rsidRPr="00302907">
              <w:t>Proof</w:t>
            </w:r>
          </w:p>
          <w:p w14:paraId="07665FF6" w14:textId="77777777" w:rsidR="00767353" w:rsidRDefault="00767353" w:rsidP="00604051">
            <w:pPr>
              <w:pStyle w:val="BodyText"/>
            </w:pPr>
            <w:r>
              <w:t xml:space="preserve">Define the equations that estimate </w:t>
            </w:r>
            <m:oMath>
              <m:sSub>
                <m:sSubPr>
                  <m:ctrlPr>
                    <w:rPr>
                      <w:rFonts w:ascii="Cambria Math" w:hAnsi="Cambria Math"/>
                      <w:sz w:val="24"/>
                    </w:rPr>
                  </m:ctrlPr>
                </m:sSubPr>
                <m:e>
                  <m:r>
                    <w:rPr>
                      <w:rFonts w:ascii="Cambria Math" w:hAnsi="Cambria Math"/>
                    </w:rPr>
                    <m:t>β</m:t>
                  </m:r>
                </m:e>
                <m:sub>
                  <m:r>
                    <m:rPr>
                      <m:sty m:val="p"/>
                    </m:rPr>
                    <w:rPr>
                      <w:rFonts w:ascii="Cambria Math" w:hAnsi="Cambria Math"/>
                    </w:rPr>
                    <m:t>1</m:t>
                  </m:r>
                </m:sub>
              </m:sSub>
            </m:oMath>
            <w:r>
              <w:t xml:space="preserve"> and </w:t>
            </w:r>
            <m:oMath>
              <m:sSub>
                <m:sSubPr>
                  <m:ctrlPr>
                    <w:rPr>
                      <w:rFonts w:ascii="Cambria Math" w:hAnsi="Cambria Math"/>
                      <w:sz w:val="24"/>
                    </w:rPr>
                  </m:ctrlPr>
                </m:sSubPr>
                <m:e>
                  <m:r>
                    <w:rPr>
                      <w:rFonts w:ascii="Cambria Math" w:hAnsi="Cambria Math"/>
                    </w:rPr>
                    <m:t>β</m:t>
                  </m:r>
                </m:e>
                <m:sub>
                  <m:r>
                    <m:rPr>
                      <m:sty m:val="p"/>
                    </m:rPr>
                    <w:rPr>
                      <w:rFonts w:ascii="Cambria Math" w:hAnsi="Cambria Math"/>
                      <w:sz w:val="24"/>
                    </w:rPr>
                    <m:t>3</m:t>
                  </m:r>
                </m:sub>
              </m:sSub>
            </m:oMath>
            <w:r>
              <w:t xml:space="preserve"> as:</w:t>
            </w:r>
          </w:p>
          <w:p w14:paraId="7D7C0634" w14:textId="5BE0DAD1" w:rsidR="00767353" w:rsidRPr="00FD7297" w:rsidRDefault="00B2270C" w:rsidP="00604051">
            <w:pPr>
              <w:pStyle w:val="BodyText"/>
            </w:pPr>
            <m:oMathPara>
              <m:oMath>
                <m:sSub>
                  <m:sSubPr>
                    <m:ctrlPr>
                      <w:rPr>
                        <w:rFonts w:ascii="Cambria Math" w:hAnsi="Cambria Math"/>
                        <w:b/>
                        <w:bCs/>
                      </w:rPr>
                    </m:ctrlPr>
                  </m:sSubPr>
                  <m:e>
                    <m:r>
                      <m:rPr>
                        <m:sty m:val="bi"/>
                      </m:rPr>
                      <w:rPr>
                        <w:rFonts w:ascii="Cambria Math" w:hAnsi="Cambria Math"/>
                      </w:rPr>
                      <m:t>Child</m:t>
                    </m:r>
                    <m:r>
                      <m:rPr>
                        <m:sty m:val="b"/>
                      </m:rPr>
                      <w:rPr>
                        <w:rFonts w:ascii="Cambria Math" w:hAnsi="Cambria Math"/>
                      </w:rPr>
                      <m:t xml:space="preserve"> </m:t>
                    </m:r>
                    <m:r>
                      <m:rPr>
                        <m:sty m:val="bi"/>
                      </m:rPr>
                      <w:rPr>
                        <w:rFonts w:ascii="Cambria Math" w:hAnsi="Cambria Math"/>
                      </w:rPr>
                      <m:t>wealth</m:t>
                    </m:r>
                    <m:r>
                      <m:rPr>
                        <m:sty m:val="b"/>
                      </m:rPr>
                      <w:rPr>
                        <w:rFonts w:ascii="Cambria Math" w:hAnsi="Cambria Math"/>
                      </w:rPr>
                      <m:t xml:space="preserve"> (</m:t>
                    </m:r>
                    <m:r>
                      <m:rPr>
                        <m:sty m:val="bi"/>
                      </m:rPr>
                      <w:rPr>
                        <w:rFonts w:ascii="Cambria Math" w:hAnsi="Cambria Math"/>
                      </w:rPr>
                      <m:t>rank</m:t>
                    </m:r>
                    <m:r>
                      <m:rPr>
                        <m:sty m:val="b"/>
                      </m:rPr>
                      <w:rPr>
                        <w:rFonts w:ascii="Cambria Math" w:hAnsi="Cambria Math"/>
                      </w:rPr>
                      <m:t>)</m:t>
                    </m:r>
                  </m:e>
                  <m:sub>
                    <m:r>
                      <m:rPr>
                        <m:sty m:val="b"/>
                      </m:rPr>
                      <w:rPr>
                        <w:rFonts w:ascii="Cambria Math" w:hAnsi="Cambria Math"/>
                      </w:rPr>
                      <m:t>2018</m:t>
                    </m:r>
                  </m:sub>
                </m:sSub>
                <m:r>
                  <m:rPr>
                    <m:sty m:val="p"/>
                  </m:rPr>
                  <w:rPr>
                    <w:rFonts w:ascii="Cambria Math" w:hAnsi="Cambria Math"/>
                  </w:rPr>
                  <m:t>=</m:t>
                </m:r>
                <m:r>
                  <m:rPr>
                    <m:sty m:val="bi"/>
                  </m:rPr>
                  <w:rPr>
                    <w:rFonts w:ascii="Cambria Math" w:hAnsi="Cambria Math"/>
                  </w:rPr>
                  <m:t>X</m:t>
                </m:r>
                <m:sSub>
                  <m:sSubPr>
                    <m:ctrlPr>
                      <w:rPr>
                        <w:rFonts w:ascii="Cambria Math" w:hAnsi="Cambria Math"/>
                        <w:b/>
                      </w:rPr>
                    </m:ctrlPr>
                  </m:sSubPr>
                  <m:e>
                    <m:r>
                      <m:rPr>
                        <m:sty m:val="bi"/>
                      </m:rPr>
                      <w:rPr>
                        <w:rFonts w:ascii="Cambria Math" w:hAnsi="Cambria Math"/>
                      </w:rPr>
                      <m:t>β</m:t>
                    </m:r>
                  </m:e>
                  <m:sub>
                    <m:r>
                      <m:rPr>
                        <m:sty m:val="b"/>
                      </m:rPr>
                      <w:rPr>
                        <w:rFonts w:ascii="Cambria Math" w:hAnsi="Cambria Math"/>
                      </w:rPr>
                      <m:t>4</m:t>
                    </m:r>
                  </m:sub>
                </m:sSub>
                <m:r>
                  <m:rPr>
                    <m:sty m:val="p"/>
                  </m:rPr>
                  <w:rPr>
                    <w:rFonts w:ascii="Cambria Math" w:hAnsi="Cambria Math"/>
                  </w:rPr>
                  <m:t>+</m:t>
                </m:r>
                <m:r>
                  <m:rPr>
                    <m:sty m:val="bi"/>
                  </m:rPr>
                  <w:rPr>
                    <w:rFonts w:ascii="Cambria Math" w:hAnsi="Cambria Math"/>
                  </w:rPr>
                  <m:t>ε</m:t>
                </m:r>
              </m:oMath>
            </m:oMathPara>
          </w:p>
          <w:p w14:paraId="1A06EEAE" w14:textId="5C376807" w:rsidR="00767353" w:rsidRPr="009742C7" w:rsidRDefault="00B2270C" w:rsidP="00604051">
            <w:pPr>
              <w:pStyle w:val="BodyText"/>
            </w:pPr>
            <m:oMathPara>
              <m:oMath>
                <m:sSub>
                  <m:sSubPr>
                    <m:ctrlPr>
                      <w:rPr>
                        <w:rFonts w:ascii="Cambria Math" w:hAnsi="Cambria Math"/>
                        <w:b/>
                        <w:bCs/>
                      </w:rPr>
                    </m:ctrlPr>
                  </m:sSubPr>
                  <m:e>
                    <m:r>
                      <m:rPr>
                        <m:sty m:val="bi"/>
                      </m:rPr>
                      <w:rPr>
                        <w:rFonts w:ascii="Cambria Math" w:hAnsi="Cambria Math"/>
                      </w:rPr>
                      <m:t>Child</m:t>
                    </m:r>
                    <m:r>
                      <m:rPr>
                        <m:sty m:val="b"/>
                      </m:rPr>
                      <w:rPr>
                        <w:rFonts w:ascii="Cambria Math" w:hAnsi="Cambria Math"/>
                      </w:rPr>
                      <m:t xml:space="preserve"> </m:t>
                    </m:r>
                    <m:r>
                      <m:rPr>
                        <m:sty m:val="bi"/>
                      </m:rPr>
                      <w:rPr>
                        <w:rFonts w:ascii="Cambria Math" w:hAnsi="Cambria Math"/>
                      </w:rPr>
                      <m:t>wealth</m:t>
                    </m:r>
                    <m:r>
                      <m:rPr>
                        <m:sty m:val="b"/>
                      </m:rPr>
                      <w:rPr>
                        <w:rFonts w:ascii="Cambria Math" w:hAnsi="Cambria Math"/>
                      </w:rPr>
                      <m:t xml:space="preserve"> </m:t>
                    </m:r>
                    <m:r>
                      <m:rPr>
                        <m:sty m:val="bi"/>
                      </m:rPr>
                      <w:rPr>
                        <w:rFonts w:ascii="Cambria Math" w:hAnsi="Cambria Math"/>
                      </w:rPr>
                      <m:t>excluding</m:t>
                    </m:r>
                    <m:r>
                      <m:rPr>
                        <m:sty m:val="b"/>
                      </m:rPr>
                      <w:rPr>
                        <w:rFonts w:ascii="Cambria Math" w:hAnsi="Cambria Math"/>
                      </w:rPr>
                      <m:t xml:space="preserve"> </m:t>
                    </m:r>
                    <m:r>
                      <m:rPr>
                        <m:sty m:val="bi"/>
                      </m:rPr>
                      <w:rPr>
                        <w:rFonts w:ascii="Cambria Math" w:hAnsi="Cambria Math"/>
                      </w:rPr>
                      <m:t>inheritances</m:t>
                    </m:r>
                    <m:r>
                      <m:rPr>
                        <m:sty m:val="b"/>
                      </m:rPr>
                      <w:rPr>
                        <w:rFonts w:ascii="Cambria Math" w:hAnsi="Cambria Math"/>
                      </w:rPr>
                      <m:t xml:space="preserve"> (</m:t>
                    </m:r>
                    <m:r>
                      <m:rPr>
                        <m:sty m:val="bi"/>
                      </m:rPr>
                      <w:rPr>
                        <w:rFonts w:ascii="Cambria Math" w:hAnsi="Cambria Math"/>
                      </w:rPr>
                      <m:t>rank</m:t>
                    </m:r>
                    <m:r>
                      <m:rPr>
                        <m:sty m:val="b"/>
                      </m:rPr>
                      <w:rPr>
                        <w:rFonts w:ascii="Cambria Math" w:hAnsi="Cambria Math"/>
                      </w:rPr>
                      <m:t>)</m:t>
                    </m:r>
                  </m:e>
                  <m:sub>
                    <m:r>
                      <m:rPr>
                        <m:sty m:val="b"/>
                      </m:rPr>
                      <w:rPr>
                        <w:rFonts w:ascii="Cambria Math" w:hAnsi="Cambria Math"/>
                      </w:rPr>
                      <m:t>2018</m:t>
                    </m:r>
                  </m:sub>
                </m:sSub>
                <m:r>
                  <m:rPr>
                    <m:sty m:val="p"/>
                  </m:rPr>
                  <w:rPr>
                    <w:rFonts w:ascii="Cambria Math" w:hAnsi="Cambria Math"/>
                  </w:rPr>
                  <m:t>=</m:t>
                </m:r>
                <m:r>
                  <m:rPr>
                    <m:sty m:val="bi"/>
                  </m:rPr>
                  <w:rPr>
                    <w:rFonts w:ascii="Cambria Math" w:hAnsi="Cambria Math"/>
                  </w:rPr>
                  <m:t>X</m:t>
                </m:r>
                <m:sSub>
                  <m:sSubPr>
                    <m:ctrlPr>
                      <w:rPr>
                        <w:rFonts w:ascii="Cambria Math" w:hAnsi="Cambria Math"/>
                        <w:b/>
                      </w:rPr>
                    </m:ctrlPr>
                  </m:sSubPr>
                  <m:e>
                    <m:r>
                      <m:rPr>
                        <m:sty m:val="bi"/>
                      </m:rPr>
                      <w:rPr>
                        <w:rFonts w:ascii="Cambria Math" w:hAnsi="Cambria Math"/>
                      </w:rPr>
                      <m:t>β</m:t>
                    </m:r>
                  </m:e>
                  <m:sub>
                    <m:r>
                      <m:rPr>
                        <m:sty m:val="b"/>
                      </m:rPr>
                      <w:rPr>
                        <w:rFonts w:ascii="Cambria Math" w:hAnsi="Cambria Math"/>
                      </w:rPr>
                      <m:t>5</m:t>
                    </m:r>
                  </m:sub>
                </m:sSub>
                <m:r>
                  <m:rPr>
                    <m:sty m:val="p"/>
                  </m:rPr>
                  <w:rPr>
                    <w:rFonts w:ascii="Cambria Math" w:hAnsi="Cambria Math"/>
                  </w:rPr>
                  <m:t>+</m:t>
                </m:r>
                <m:r>
                  <m:rPr>
                    <m:sty m:val="bi"/>
                  </m:rPr>
                  <w:rPr>
                    <w:rFonts w:ascii="Cambria Math" w:hAnsi="Cambria Math"/>
                  </w:rPr>
                  <m:t>δ</m:t>
                </m:r>
              </m:oMath>
            </m:oMathPara>
          </w:p>
          <w:p w14:paraId="16FF515F" w14:textId="0981E5AD" w:rsidR="00767353" w:rsidRDefault="00767353" w:rsidP="00604051">
            <w:pPr>
              <w:pStyle w:val="BodyText"/>
            </w:pPr>
            <w:r>
              <w:t xml:space="preserve">such that </w:t>
            </w:r>
            <m:oMath>
              <m:sSub>
                <m:sSubPr>
                  <m:ctrlPr>
                    <w:rPr>
                      <w:rFonts w:ascii="Cambria Math" w:hAnsi="Cambria Math"/>
                    </w:rPr>
                  </m:ctrlPr>
                </m:sSubPr>
                <m:e>
                  <m:r>
                    <m:rPr>
                      <m:sty m:val="bi"/>
                    </m:rPr>
                    <w:rPr>
                      <w:rFonts w:ascii="Cambria Math" w:hAnsi="Cambria Math"/>
                    </w:rPr>
                    <m:t>β</m:t>
                  </m:r>
                </m:e>
                <m:sub>
                  <m:r>
                    <m:rPr>
                      <m:sty m:val="p"/>
                    </m:rPr>
                    <w:rPr>
                      <w:rFonts w:ascii="Cambria Math" w:hAnsi="Cambria Math"/>
                    </w:rPr>
                    <m:t>4</m:t>
                  </m:r>
                </m:sub>
              </m:sSub>
            </m:oMath>
            <w:r>
              <w:t xml:space="preserve"> absorbs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oMath>
            <w:r>
              <w:t xml:space="preserve"> and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t xml:space="preserve">, </w:t>
            </w:r>
            <m:oMath>
              <m:sSub>
                <m:sSubPr>
                  <m:ctrlPr>
                    <w:rPr>
                      <w:rFonts w:ascii="Cambria Math" w:hAnsi="Cambria Math"/>
                    </w:rPr>
                  </m:ctrlPr>
                </m:sSubPr>
                <m:e>
                  <m:r>
                    <m:rPr>
                      <m:sty m:val="bi"/>
                    </m:rPr>
                    <w:rPr>
                      <w:rFonts w:ascii="Cambria Math" w:hAnsi="Cambria Math"/>
                    </w:rPr>
                    <m:t>β</m:t>
                  </m:r>
                </m:e>
                <m:sub>
                  <m:r>
                    <m:rPr>
                      <m:sty m:val="p"/>
                    </m:rPr>
                    <w:rPr>
                      <w:rFonts w:ascii="Cambria Math" w:hAnsi="Cambria Math"/>
                    </w:rPr>
                    <m:t>5</m:t>
                  </m:r>
                </m:sub>
              </m:sSub>
            </m:oMath>
            <w:r>
              <w:t xml:space="preserve"> absorbs </w:t>
            </w:r>
            <m:oMath>
              <m:sSub>
                <m:sSubPr>
                  <m:ctrlPr>
                    <w:rPr>
                      <w:rFonts w:ascii="Cambria Math" w:hAnsi="Cambria Math"/>
                    </w:rPr>
                  </m:ctrlPr>
                </m:sSubPr>
                <m:e>
                  <m:r>
                    <w:rPr>
                      <w:rFonts w:ascii="Cambria Math" w:hAnsi="Cambria Math"/>
                    </w:rPr>
                    <m:t>β</m:t>
                  </m:r>
                </m:e>
                <m:sub>
                  <m:r>
                    <m:rPr>
                      <m:sty m:val="p"/>
                    </m:rPr>
                    <w:rPr>
                      <w:rFonts w:ascii="Cambria Math" w:hAnsi="Cambria Math"/>
                    </w:rPr>
                    <m:t>2</m:t>
                  </m:r>
                </m:sub>
              </m:sSub>
            </m:oMath>
            <w:r>
              <w:t xml:space="preserve"> and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oMath>
            <w:r>
              <w:t xml:space="preserve">, </w:t>
            </w:r>
            <m:oMath>
              <m:r>
                <m:rPr>
                  <m:sty m:val="bi"/>
                </m:rPr>
                <w:rPr>
                  <w:rFonts w:ascii="Cambria Math" w:hAnsi="Cambria Math"/>
                </w:rPr>
                <m:t>X</m:t>
              </m:r>
            </m:oMath>
            <w:r>
              <w:t xml:space="preserve"> absorbs </w:t>
            </w:r>
            <m:oMath>
              <m:sSub>
                <m:sSubPr>
                  <m:ctrlPr>
                    <w:rPr>
                      <w:rFonts w:ascii="Cambria Math" w:hAnsi="Cambria Math"/>
                    </w:rPr>
                  </m:ctrlPr>
                </m:sSubPr>
                <m:e>
                  <m:r>
                    <w:rPr>
                      <w:rFonts w:ascii="Cambria Math" w:hAnsi="Cambria Math"/>
                    </w:rPr>
                    <m:t>Parent</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r>
                    <w:rPr>
                      <w:rFonts w:ascii="Cambria Math" w:hAnsi="Cambria Math"/>
                    </w:rPr>
                    <m:t>rank</m:t>
                  </m:r>
                  <m:r>
                    <m:rPr>
                      <m:sty m:val="p"/>
                    </m:rPr>
                    <w:rPr>
                      <w:rFonts w:ascii="Cambria Math" w:hAnsi="Cambria Math"/>
                    </w:rPr>
                    <m:t>)</m:t>
                  </m:r>
                </m:e>
                <m:sub>
                  <m:r>
                    <m:rPr>
                      <m:sty m:val="p"/>
                    </m:rPr>
                    <w:rPr>
                      <w:rFonts w:ascii="Cambria Math" w:hAnsi="Cambria Math"/>
                    </w:rPr>
                    <m:t>2002</m:t>
                  </m:r>
                </m:sub>
              </m:sSub>
            </m:oMath>
            <w:r>
              <w:t xml:space="preserve"> and </w:t>
            </w:r>
            <m:oMath>
              <m:r>
                <m:rPr>
                  <m:sty m:val="p"/>
                </m:rPr>
                <w:rPr>
                  <w:rFonts w:ascii="Cambria Math" w:hAnsi="Cambria Math"/>
                </w:rPr>
                <m:t>1</m:t>
              </m:r>
            </m:oMath>
            <w:r>
              <w:t xml:space="preserve"> (corresponding with the constant term), and each term is in vector or matrix form (hence the </w:t>
            </w:r>
            <m:oMath>
              <m:r>
                <w:rPr>
                  <w:rFonts w:ascii="Cambria Math" w:hAnsi="Cambria Math"/>
                </w:rPr>
                <m:t>i</m:t>
              </m:r>
            </m:oMath>
            <w:r>
              <w:t xml:space="preserve"> subscripts are dropped and all terms are bolded). </w:t>
            </w:r>
            <m:oMath>
              <m:sSub>
                <m:sSubPr>
                  <m:ctrlPr>
                    <w:rPr>
                      <w:rFonts w:ascii="Cambria Math" w:hAnsi="Cambria Math"/>
                    </w:rPr>
                  </m:ctrlPr>
                </m:sSubPr>
                <m:e>
                  <m:r>
                    <m:rPr>
                      <m:sty m:val="bi"/>
                    </m:rPr>
                    <w:rPr>
                      <w:rFonts w:ascii="Cambria Math" w:hAnsi="Cambria Math"/>
                    </w:rPr>
                    <m:t>β</m:t>
                  </m:r>
                </m:e>
                <m:sub>
                  <m:r>
                    <m:rPr>
                      <m:sty m:val="p"/>
                    </m:rPr>
                    <w:rPr>
                      <w:rFonts w:ascii="Cambria Math" w:hAnsi="Cambria Math"/>
                    </w:rPr>
                    <m:t>4</m:t>
                  </m:r>
                </m:sub>
              </m:sSub>
            </m:oMath>
            <w:r>
              <w:t xml:space="preserve"> and </w:t>
            </w:r>
            <m:oMath>
              <m:sSub>
                <m:sSubPr>
                  <m:ctrlPr>
                    <w:rPr>
                      <w:rFonts w:ascii="Cambria Math" w:hAnsi="Cambria Math"/>
                    </w:rPr>
                  </m:ctrlPr>
                </m:sSubPr>
                <m:e>
                  <m:r>
                    <m:rPr>
                      <m:sty m:val="bi"/>
                    </m:rPr>
                    <w:rPr>
                      <w:rFonts w:ascii="Cambria Math" w:hAnsi="Cambria Math"/>
                    </w:rPr>
                    <m:t>β</m:t>
                  </m:r>
                </m:e>
                <m:sub>
                  <m:r>
                    <m:rPr>
                      <m:sty m:val="p"/>
                    </m:rPr>
                    <w:rPr>
                      <w:rFonts w:ascii="Cambria Math" w:hAnsi="Cambria Math"/>
                    </w:rPr>
                    <m:t>5</m:t>
                  </m:r>
                </m:sub>
              </m:sSub>
            </m:oMath>
            <w:r>
              <w:t xml:space="preserve"> are </w:t>
            </w:r>
            <m:oMath>
              <m:r>
                <w:rPr>
                  <w:rFonts w:ascii="Cambria Math" w:hAnsi="Cambria Math"/>
                </w:rPr>
                <m:t>x</m:t>
              </m:r>
              <m:r>
                <m:rPr>
                  <m:sty m:val="p"/>
                </m:rPr>
                <w:rPr>
                  <w:rFonts w:ascii="Cambria Math" w:hAnsi="Cambria Math"/>
                </w:rPr>
                <m:t>×1</m:t>
              </m:r>
            </m:oMath>
            <w:r>
              <w:t xml:space="preserve"> vectors, </w:t>
            </w:r>
            <m:oMath>
              <m:sSub>
                <m:sSubPr>
                  <m:ctrlPr>
                    <w:rPr>
                      <w:rFonts w:ascii="Cambria Math" w:hAnsi="Cambria Math"/>
                      <w:b/>
                      <w:bCs/>
                    </w:rPr>
                  </m:ctrlPr>
                </m:sSubPr>
                <m:e>
                  <m:r>
                    <m:rPr>
                      <m:sty m:val="bi"/>
                    </m:rPr>
                    <w:rPr>
                      <w:rFonts w:ascii="Cambria Math" w:hAnsi="Cambria Math"/>
                    </w:rPr>
                    <m:t>Child</m:t>
                  </m:r>
                  <m:r>
                    <m:rPr>
                      <m:sty m:val="b"/>
                    </m:rPr>
                    <w:rPr>
                      <w:rFonts w:ascii="Cambria Math" w:hAnsi="Cambria Math"/>
                    </w:rPr>
                    <m:t xml:space="preserve"> </m:t>
                  </m:r>
                  <m:r>
                    <m:rPr>
                      <m:sty m:val="bi"/>
                    </m:rPr>
                    <w:rPr>
                      <w:rFonts w:ascii="Cambria Math" w:hAnsi="Cambria Math"/>
                    </w:rPr>
                    <m:t>wealth</m:t>
                  </m:r>
                  <m:r>
                    <m:rPr>
                      <m:sty m:val="b"/>
                    </m:rPr>
                    <w:rPr>
                      <w:rFonts w:ascii="Cambria Math" w:hAnsi="Cambria Math"/>
                    </w:rPr>
                    <m:t xml:space="preserve"> (</m:t>
                  </m:r>
                  <m:r>
                    <m:rPr>
                      <m:sty m:val="bi"/>
                    </m:rPr>
                    <w:rPr>
                      <w:rFonts w:ascii="Cambria Math" w:hAnsi="Cambria Math"/>
                    </w:rPr>
                    <m:t>rank</m:t>
                  </m:r>
                  <m:r>
                    <m:rPr>
                      <m:sty m:val="b"/>
                    </m:rPr>
                    <w:rPr>
                      <w:rFonts w:ascii="Cambria Math" w:hAnsi="Cambria Math"/>
                    </w:rPr>
                    <m:t>)</m:t>
                  </m:r>
                </m:e>
                <m:sub>
                  <m:r>
                    <m:rPr>
                      <m:sty m:val="b"/>
                    </m:rPr>
                    <w:rPr>
                      <w:rFonts w:ascii="Cambria Math" w:hAnsi="Cambria Math"/>
                    </w:rPr>
                    <m:t>2018</m:t>
                  </m:r>
                </m:sub>
              </m:sSub>
            </m:oMath>
            <w:r>
              <w:t xml:space="preserve">, </w:t>
            </w:r>
            <m:oMath>
              <m:sSub>
                <m:sSubPr>
                  <m:ctrlPr>
                    <w:rPr>
                      <w:rFonts w:ascii="Cambria Math" w:hAnsi="Cambria Math"/>
                      <w:b/>
                      <w:bCs/>
                    </w:rPr>
                  </m:ctrlPr>
                </m:sSubPr>
                <m:e>
                  <m:r>
                    <m:rPr>
                      <m:sty m:val="bi"/>
                    </m:rPr>
                    <w:rPr>
                      <w:rFonts w:ascii="Cambria Math" w:hAnsi="Cambria Math"/>
                    </w:rPr>
                    <m:t>Child</m:t>
                  </m:r>
                  <m:r>
                    <m:rPr>
                      <m:sty m:val="b"/>
                    </m:rPr>
                    <w:rPr>
                      <w:rFonts w:ascii="Cambria Math" w:hAnsi="Cambria Math"/>
                    </w:rPr>
                    <m:t xml:space="preserve"> </m:t>
                  </m:r>
                  <m:r>
                    <m:rPr>
                      <m:sty m:val="bi"/>
                    </m:rPr>
                    <w:rPr>
                      <w:rFonts w:ascii="Cambria Math" w:hAnsi="Cambria Math"/>
                    </w:rPr>
                    <m:t>wealth</m:t>
                  </m:r>
                  <m:r>
                    <m:rPr>
                      <m:sty m:val="b"/>
                    </m:rPr>
                    <w:rPr>
                      <w:rFonts w:ascii="Cambria Math" w:hAnsi="Cambria Math"/>
                    </w:rPr>
                    <m:t xml:space="preserve"> </m:t>
                  </m:r>
                  <m:r>
                    <m:rPr>
                      <m:sty m:val="bi"/>
                    </m:rPr>
                    <w:rPr>
                      <w:rFonts w:ascii="Cambria Math" w:hAnsi="Cambria Math"/>
                    </w:rPr>
                    <m:t>excluding</m:t>
                  </m:r>
                  <m:r>
                    <m:rPr>
                      <m:sty m:val="b"/>
                    </m:rPr>
                    <w:rPr>
                      <w:rFonts w:ascii="Cambria Math" w:hAnsi="Cambria Math"/>
                    </w:rPr>
                    <m:t xml:space="preserve"> </m:t>
                  </m:r>
                  <m:r>
                    <m:rPr>
                      <m:sty m:val="bi"/>
                    </m:rPr>
                    <w:rPr>
                      <w:rFonts w:ascii="Cambria Math" w:hAnsi="Cambria Math"/>
                    </w:rPr>
                    <m:t>inheritances</m:t>
                  </m:r>
                  <m:r>
                    <m:rPr>
                      <m:sty m:val="b"/>
                    </m:rPr>
                    <w:rPr>
                      <w:rFonts w:ascii="Cambria Math" w:hAnsi="Cambria Math"/>
                    </w:rPr>
                    <m:t xml:space="preserve"> (</m:t>
                  </m:r>
                  <m:r>
                    <m:rPr>
                      <m:sty m:val="bi"/>
                    </m:rPr>
                    <w:rPr>
                      <w:rFonts w:ascii="Cambria Math" w:hAnsi="Cambria Math"/>
                    </w:rPr>
                    <m:t>rank</m:t>
                  </m:r>
                  <m:r>
                    <m:rPr>
                      <m:sty m:val="b"/>
                    </m:rPr>
                    <w:rPr>
                      <w:rFonts w:ascii="Cambria Math" w:hAnsi="Cambria Math"/>
                    </w:rPr>
                    <m:t>)</m:t>
                  </m:r>
                </m:e>
                <m:sub>
                  <m:r>
                    <m:rPr>
                      <m:sty m:val="b"/>
                    </m:rPr>
                    <w:rPr>
                      <w:rFonts w:ascii="Cambria Math" w:hAnsi="Cambria Math"/>
                    </w:rPr>
                    <m:t>2018</m:t>
                  </m:r>
                </m:sub>
              </m:sSub>
            </m:oMath>
            <w:r>
              <w:t xml:space="preserve">, </w:t>
            </w:r>
            <m:oMath>
              <m:r>
                <m:rPr>
                  <m:sty m:val="bi"/>
                </m:rPr>
                <w:rPr>
                  <w:rFonts w:ascii="Cambria Math" w:hAnsi="Cambria Math"/>
                </w:rPr>
                <m:t>ε</m:t>
              </m:r>
            </m:oMath>
            <w:r>
              <w:t xml:space="preserve"> and </w:t>
            </w:r>
            <m:oMath>
              <m:r>
                <m:rPr>
                  <m:sty m:val="bi"/>
                </m:rPr>
                <w:rPr>
                  <w:rFonts w:ascii="Cambria Math" w:hAnsi="Cambria Math"/>
                </w:rPr>
                <m:t>δ</m:t>
              </m:r>
            </m:oMath>
            <w:r>
              <w:t xml:space="preserve"> are </w:t>
            </w:r>
            <m:oMath>
              <m:r>
                <w:rPr>
                  <w:rFonts w:ascii="Cambria Math" w:hAnsi="Cambria Math"/>
                </w:rPr>
                <m:t>n</m:t>
              </m:r>
              <m:r>
                <m:rPr>
                  <m:sty m:val="p"/>
                </m:rPr>
                <w:rPr>
                  <w:rFonts w:ascii="Cambria Math" w:hAnsi="Cambria Math"/>
                </w:rPr>
                <m:t>×1</m:t>
              </m:r>
            </m:oMath>
            <w:r>
              <w:t xml:space="preserve"> vectors, and </w:t>
            </w:r>
            <m:oMath>
              <m:r>
                <m:rPr>
                  <m:sty m:val="bi"/>
                </m:rPr>
                <w:rPr>
                  <w:rFonts w:ascii="Cambria Math" w:hAnsi="Cambria Math"/>
                </w:rPr>
                <m:t>X</m:t>
              </m:r>
            </m:oMath>
            <w:r>
              <w:t xml:space="preserve"> is an </w:t>
            </w:r>
            <m:oMath>
              <m:r>
                <w:rPr>
                  <w:rFonts w:ascii="Cambria Math" w:hAnsi="Cambria Math"/>
                </w:rPr>
                <m:t>n</m:t>
              </m:r>
              <m:r>
                <m:rPr>
                  <m:sty m:val="p"/>
                </m:rPr>
                <w:rPr>
                  <w:rFonts w:ascii="Cambria Math" w:hAnsi="Cambria Math"/>
                </w:rPr>
                <m:t>×</m:t>
              </m:r>
              <m:r>
                <w:rPr>
                  <w:rFonts w:ascii="Cambria Math" w:hAnsi="Cambria Math"/>
                </w:rPr>
                <m:t>x</m:t>
              </m:r>
            </m:oMath>
            <w:r>
              <w:t xml:space="preserve"> matrix, where </w:t>
            </w:r>
            <m:oMath>
              <m:r>
                <w:rPr>
                  <w:rFonts w:ascii="Cambria Math" w:hAnsi="Cambria Math"/>
                </w:rPr>
                <m:t>n</m:t>
              </m:r>
            </m:oMath>
            <w:r>
              <w:t xml:space="preserve"> is the number of observations and </w:t>
            </w:r>
            <m:oMath>
              <m:r>
                <w:rPr>
                  <w:rFonts w:ascii="Cambria Math" w:hAnsi="Cambria Math"/>
                </w:rPr>
                <m:t>x</m:t>
              </m:r>
            </m:oMath>
            <w:r>
              <w:t xml:space="preserve"> is the number of explanatory variables. Order the vectors and matrices such that the first row of </w:t>
            </w:r>
            <m:oMath>
              <m:sSub>
                <m:sSubPr>
                  <m:ctrlPr>
                    <w:rPr>
                      <w:rFonts w:ascii="Cambria Math" w:hAnsi="Cambria Math"/>
                    </w:rPr>
                  </m:ctrlPr>
                </m:sSubPr>
                <m:e>
                  <m:r>
                    <m:rPr>
                      <m:sty m:val="bi"/>
                    </m:rPr>
                    <w:rPr>
                      <w:rFonts w:ascii="Cambria Math" w:hAnsi="Cambria Math"/>
                    </w:rPr>
                    <m:t>β</m:t>
                  </m:r>
                </m:e>
                <m:sub>
                  <m:r>
                    <m:rPr>
                      <m:sty m:val="p"/>
                    </m:rPr>
                    <w:rPr>
                      <w:rFonts w:ascii="Cambria Math" w:hAnsi="Cambria Math"/>
                    </w:rPr>
                    <m:t>4</m:t>
                  </m:r>
                </m:sub>
              </m:sSub>
            </m:oMath>
            <w:r>
              <w:t xml:space="preserve"> and </w:t>
            </w:r>
            <m:oMath>
              <m:sSub>
                <m:sSubPr>
                  <m:ctrlPr>
                    <w:rPr>
                      <w:rFonts w:ascii="Cambria Math" w:hAnsi="Cambria Math"/>
                    </w:rPr>
                  </m:ctrlPr>
                </m:sSubPr>
                <m:e>
                  <m:r>
                    <m:rPr>
                      <m:sty m:val="bi"/>
                    </m:rPr>
                    <w:rPr>
                      <w:rFonts w:ascii="Cambria Math" w:hAnsi="Cambria Math"/>
                    </w:rPr>
                    <m:t>β</m:t>
                  </m:r>
                </m:e>
                <m:sub>
                  <m:r>
                    <m:rPr>
                      <m:sty m:val="p"/>
                    </m:rPr>
                    <w:rPr>
                      <w:rFonts w:ascii="Cambria Math" w:hAnsi="Cambria Math"/>
                    </w:rPr>
                    <m:t>5</m:t>
                  </m:r>
                </m:sub>
              </m:sSub>
            </m:oMath>
            <w:r>
              <w:t xml:space="preserve"> correspond with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oMath>
            <w:r>
              <w:t xml:space="preserve"> (respectively), and the first column of </w:t>
            </w:r>
            <m:oMath>
              <m:r>
                <m:rPr>
                  <m:sty m:val="bi"/>
                </m:rPr>
                <w:rPr>
                  <w:rFonts w:ascii="Cambria Math" w:hAnsi="Cambria Math"/>
                </w:rPr>
                <m:t>X</m:t>
              </m:r>
            </m:oMath>
            <w:r>
              <w:t xml:space="preserve"> corresponds with </w:t>
            </w:r>
            <m:oMath>
              <m:sSub>
                <m:sSubPr>
                  <m:ctrlPr>
                    <w:rPr>
                      <w:rFonts w:ascii="Cambria Math" w:hAnsi="Cambria Math"/>
                      <w:b/>
                      <w:bCs/>
                    </w:rPr>
                  </m:ctrlPr>
                </m:sSubPr>
                <m:e>
                  <m:r>
                    <m:rPr>
                      <m:sty m:val="bi"/>
                    </m:rPr>
                    <w:rPr>
                      <w:rFonts w:ascii="Cambria Math" w:hAnsi="Cambria Math"/>
                    </w:rPr>
                    <m:t>Parent</m:t>
                  </m:r>
                  <m:r>
                    <m:rPr>
                      <m:sty m:val="b"/>
                    </m:rPr>
                    <w:rPr>
                      <w:rFonts w:ascii="Cambria Math" w:hAnsi="Cambria Math"/>
                    </w:rPr>
                    <m:t xml:space="preserve"> </m:t>
                  </m:r>
                  <m:r>
                    <m:rPr>
                      <m:sty m:val="bi"/>
                    </m:rPr>
                    <w:rPr>
                      <w:rFonts w:ascii="Cambria Math" w:hAnsi="Cambria Math"/>
                    </w:rPr>
                    <m:t>wealth</m:t>
                  </m:r>
                  <m:r>
                    <m:rPr>
                      <m:sty m:val="b"/>
                    </m:rPr>
                    <w:rPr>
                      <w:rFonts w:ascii="Cambria Math" w:hAnsi="Cambria Math"/>
                    </w:rPr>
                    <m:t xml:space="preserve"> (</m:t>
                  </m:r>
                  <m:r>
                    <m:rPr>
                      <m:sty m:val="bi"/>
                    </m:rPr>
                    <w:rPr>
                      <w:rFonts w:ascii="Cambria Math" w:hAnsi="Cambria Math"/>
                    </w:rPr>
                    <m:t>rank</m:t>
                  </m:r>
                  <m:r>
                    <m:rPr>
                      <m:sty m:val="b"/>
                    </m:rPr>
                    <w:rPr>
                      <w:rFonts w:ascii="Cambria Math" w:hAnsi="Cambria Math"/>
                    </w:rPr>
                    <m:t>)</m:t>
                  </m:r>
                </m:e>
                <m:sub>
                  <m:r>
                    <m:rPr>
                      <m:sty m:val="b"/>
                    </m:rPr>
                    <w:rPr>
                      <w:rFonts w:ascii="Cambria Math" w:hAnsi="Cambria Math"/>
                    </w:rPr>
                    <m:t>2002</m:t>
                  </m:r>
                </m:sub>
              </m:sSub>
            </m:oMath>
            <w:r>
              <w:t>. With this setup, Bound et al. </w:t>
            </w:r>
            <w:r>
              <w:fldChar w:fldCharType="begin"/>
            </w:r>
            <w:r w:rsidR="0047772E">
              <w:instrText xml:space="preserve"> ADDIN ZOTERO_ITEM CSL_CITATION {"citationID":"vazIslbR","properties":{"formattedCitation":"(1994, pp.\\uc0\\u160{}348\\uc0\\u8211{}350)","plainCitation":"(1994, pp. 348–350)","noteIndex":0},"citationItems":[{"id":3011,"uris":["http://zotero.org/groups/2714158/items/429UJCRL"],"uri":["http://zotero.org/groups/2714158/items/429UJCRL"],"itemData":{"id":3011,"type":"article-journal","container-title":"Journal of Labor Economics","issue":"3","note":"publisher: University of Chicago Press","page":"345–368","source":"Google Scholar","title":"Evidence on the validity of cross-sectional and longitudinal labor market data","volume":"12","author":[{"family":"Bound","given":"John"},{"family":"Brown","given":"Charles"},{"family":"Duncan","given":"Greg J."},{"family":"Rodgers","given":"Willard L."}],"issued":{"date-parts":[["1994"]]}},"locator":"348-350","suppress-author":true}],"schema":"https://github.com/citation-style-language/schema/raw/master/csl-citation.json"} </w:instrText>
            </w:r>
            <w:r>
              <w:fldChar w:fldCharType="separate"/>
            </w:r>
            <w:r w:rsidRPr="00F31738">
              <w:rPr>
                <w:rFonts w:cs="Arial"/>
                <w:szCs w:val="24"/>
              </w:rPr>
              <w:t>(1994, pp. 348–350)</w:t>
            </w:r>
            <w:r>
              <w:fldChar w:fldCharType="end"/>
            </w:r>
            <w:r>
              <w:t xml:space="preserve"> shows that, if the measurement error is of the assumed form, the biases to the least squares estimates </w:t>
            </w:r>
            <m:oMath>
              <m:acc>
                <m:accPr>
                  <m:ctrlPr>
                    <w:rPr>
                      <w:rFonts w:ascii="Cambria Math" w:hAnsi="Cambria Math"/>
                    </w:rPr>
                  </m:ctrlPr>
                </m:accPr>
                <m:e>
                  <m:sSub>
                    <m:sSubPr>
                      <m:ctrlPr>
                        <w:rPr>
                          <w:rFonts w:ascii="Cambria Math" w:hAnsi="Cambria Math"/>
                        </w:rPr>
                      </m:ctrlPr>
                    </m:sSubPr>
                    <m:e>
                      <m:r>
                        <m:rPr>
                          <m:sty m:val="bi"/>
                        </m:rPr>
                        <w:rPr>
                          <w:rFonts w:ascii="Cambria Math" w:hAnsi="Cambria Math"/>
                        </w:rPr>
                        <m:t>β</m:t>
                      </m:r>
                    </m:e>
                    <m:sub>
                      <m:r>
                        <m:rPr>
                          <m:sty m:val="p"/>
                        </m:rPr>
                        <w:rPr>
                          <w:rFonts w:ascii="Cambria Math" w:hAnsi="Cambria Math"/>
                        </w:rPr>
                        <m:t>4</m:t>
                      </m:r>
                    </m:sub>
                  </m:sSub>
                </m:e>
              </m:acc>
            </m:oMath>
            <w:r>
              <w:t xml:space="preserve"> and </w:t>
            </w:r>
            <m:oMath>
              <m:acc>
                <m:accPr>
                  <m:ctrlPr>
                    <w:rPr>
                      <w:rFonts w:ascii="Cambria Math" w:hAnsi="Cambria Math"/>
                    </w:rPr>
                  </m:ctrlPr>
                </m:accPr>
                <m:e>
                  <m:sSub>
                    <m:sSubPr>
                      <m:ctrlPr>
                        <w:rPr>
                          <w:rFonts w:ascii="Cambria Math" w:hAnsi="Cambria Math"/>
                        </w:rPr>
                      </m:ctrlPr>
                    </m:sSubPr>
                    <m:e>
                      <m:r>
                        <m:rPr>
                          <m:sty m:val="bi"/>
                        </m:rPr>
                        <w:rPr>
                          <w:rFonts w:ascii="Cambria Math" w:hAnsi="Cambria Math"/>
                        </w:rPr>
                        <m:t>β</m:t>
                      </m:r>
                    </m:e>
                    <m:sub>
                      <m:r>
                        <m:rPr>
                          <m:sty m:val="p"/>
                        </m:rPr>
                        <w:rPr>
                          <w:rFonts w:ascii="Cambria Math" w:hAnsi="Cambria Math"/>
                        </w:rPr>
                        <m:t>5</m:t>
                      </m:r>
                    </m:sub>
                  </m:sSub>
                </m:e>
              </m:acc>
            </m:oMath>
            <w:r>
              <w:t xml:space="preserve"> are:</w:t>
            </w:r>
          </w:p>
          <w:p w14:paraId="5BE159EA" w14:textId="6802423D" w:rsidR="00767353" w:rsidRPr="00DB6112" w:rsidRDefault="00767353" w:rsidP="00604051">
            <w:pPr>
              <w:pStyle w:val="BodyText"/>
              <w:rPr>
                <w:b/>
                <w:bCs/>
              </w:rPr>
            </w:pPr>
            <m:oMathPara>
              <m:oMath>
                <m:r>
                  <m:rPr>
                    <m:sty m:val="p"/>
                  </m:rPr>
                  <w:rPr>
                    <w:rFonts w:ascii="Cambria Math" w:hAnsi="Cambria Math"/>
                  </w:rPr>
                  <m:t xml:space="preserve">plim </m:t>
                </m:r>
                <m:d>
                  <m:dPr>
                    <m:ctrlPr>
                      <w:rPr>
                        <w:rFonts w:ascii="Cambria Math" w:hAnsi="Cambria Math"/>
                      </w:rPr>
                    </m:ctrlPr>
                  </m:dPr>
                  <m:e>
                    <m:acc>
                      <m:accPr>
                        <m:ctrlPr>
                          <w:rPr>
                            <w:rFonts w:ascii="Cambria Math" w:hAnsi="Cambria Math"/>
                          </w:rPr>
                        </m:ctrlPr>
                      </m:accPr>
                      <m:e>
                        <m:sSub>
                          <m:sSubPr>
                            <m:ctrlPr>
                              <w:rPr>
                                <w:rFonts w:ascii="Cambria Math" w:hAnsi="Cambria Math"/>
                              </w:rPr>
                            </m:ctrlPr>
                          </m:sSubPr>
                          <m:e>
                            <m:r>
                              <m:rPr>
                                <m:sty m:val="bi"/>
                              </m:rPr>
                              <w:rPr>
                                <w:rFonts w:ascii="Cambria Math" w:hAnsi="Cambria Math"/>
                              </w:rPr>
                              <m:t>β</m:t>
                            </m:r>
                          </m:e>
                          <m:sub>
                            <m:r>
                              <m:rPr>
                                <m:sty m:val="p"/>
                              </m:rPr>
                              <w:rPr>
                                <w:rFonts w:ascii="Cambria Math" w:hAnsi="Cambria Math"/>
                              </w:rPr>
                              <m:t>4</m:t>
                            </m:r>
                          </m:sub>
                        </m:sSub>
                      </m:e>
                    </m:acc>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β</m:t>
                        </m:r>
                      </m:e>
                      <m:sub>
                        <m:r>
                          <m:rPr>
                            <m:sty m:val="p"/>
                          </m:rPr>
                          <w:rPr>
                            <w:rFonts w:ascii="Cambria Math" w:hAnsi="Cambria Math"/>
                          </w:rPr>
                          <m:t>4</m:t>
                        </m:r>
                      </m:sub>
                    </m:sSub>
                  </m:e>
                </m:d>
                <m:r>
                  <m:rPr>
                    <m:sty m:val="p"/>
                  </m:rPr>
                  <w:rPr>
                    <w:rFonts w:ascii="Cambria Math" w:hAnsi="Cambria Math"/>
                  </w:rPr>
                  <m:t>=plim</m:t>
                </m:r>
                <m:d>
                  <m:dPr>
                    <m:ctrlPr>
                      <w:rPr>
                        <w:rFonts w:ascii="Cambria Math" w:hAnsi="Cambria Math"/>
                        <w:b/>
                        <w:bCs/>
                      </w:rPr>
                    </m:ctrlPr>
                  </m:dPr>
                  <m:e>
                    <m:sSup>
                      <m:sSupPr>
                        <m:ctrlPr>
                          <w:rPr>
                            <w:rFonts w:ascii="Cambria Math" w:hAnsi="Cambria Math"/>
                            <w:b/>
                            <w:bCs/>
                          </w:rPr>
                        </m:ctrlPr>
                      </m:sSupPr>
                      <m:e>
                        <m:d>
                          <m:dPr>
                            <m:ctrlPr>
                              <w:rPr>
                                <w:rFonts w:ascii="Cambria Math" w:hAnsi="Cambria Math"/>
                                <w:b/>
                                <w:bCs/>
                              </w:rPr>
                            </m:ctrlPr>
                          </m:dPr>
                          <m:e>
                            <m:r>
                              <m:rPr>
                                <m:sty m:val="bi"/>
                              </m:rPr>
                              <w:rPr>
                                <w:rFonts w:ascii="Cambria Math" w:hAnsi="Cambria Math"/>
                              </w:rPr>
                              <m:t>X</m:t>
                            </m:r>
                            <m:r>
                              <m:rPr>
                                <m:sty m:val="b"/>
                              </m:rPr>
                              <w:rPr>
                                <w:rFonts w:ascii="Cambria Math" w:hAnsi="Cambria Math"/>
                              </w:rPr>
                              <m:t>'</m:t>
                            </m:r>
                            <m:r>
                              <m:rPr>
                                <m:sty m:val="bi"/>
                              </m:rPr>
                              <w:rPr>
                                <w:rFonts w:ascii="Cambria Math" w:hAnsi="Cambria Math"/>
                              </w:rPr>
                              <m:t>X</m:t>
                            </m:r>
                          </m:e>
                        </m:d>
                      </m:e>
                      <m:sup>
                        <m:r>
                          <m:rPr>
                            <m:sty m:val="p"/>
                          </m:rPr>
                          <w:rPr>
                            <w:rFonts w:ascii="Cambria Math" w:hAnsi="Cambria Math"/>
                          </w:rPr>
                          <m:t>-1</m:t>
                        </m:r>
                      </m:sup>
                    </m:sSup>
                    <m:sSup>
                      <m:sSupPr>
                        <m:ctrlPr>
                          <w:rPr>
                            <w:rFonts w:ascii="Cambria Math" w:hAnsi="Cambria Math"/>
                            <w:b/>
                            <w:bCs/>
                          </w:rPr>
                        </m:ctrlPr>
                      </m:sSupPr>
                      <m:e>
                        <m:r>
                          <m:rPr>
                            <m:sty m:val="bi"/>
                          </m:rPr>
                          <w:rPr>
                            <w:rFonts w:ascii="Cambria Math" w:hAnsi="Cambria Math"/>
                          </w:rPr>
                          <m:t>X</m:t>
                        </m:r>
                      </m:e>
                      <m:sup>
                        <m:r>
                          <m:rPr>
                            <m:sty m:val="b"/>
                          </m:rPr>
                          <w:rPr>
                            <w:rFonts w:ascii="Cambria Math" w:hAnsi="Cambria Math"/>
                          </w:rPr>
                          <m:t>'</m:t>
                        </m:r>
                      </m:sup>
                    </m:sSup>
                    <m:d>
                      <m:dPr>
                        <m:ctrlPr>
                          <w:rPr>
                            <w:rFonts w:ascii="Cambria Math" w:hAnsi="Cambria Math"/>
                            <w:b/>
                            <w:bCs/>
                          </w:rPr>
                        </m:ctrlPr>
                      </m:dPr>
                      <m:e>
                        <m:r>
                          <m:rPr>
                            <m:sty m:val="b"/>
                          </m:rPr>
                          <w:rPr>
                            <w:rFonts w:ascii="Cambria Math" w:hAnsi="Cambria Math"/>
                          </w:rPr>
                          <m:t>-</m:t>
                        </m:r>
                        <m:r>
                          <m:rPr>
                            <m:sty m:val="bi"/>
                          </m:rPr>
                          <w:rPr>
                            <w:rFonts w:ascii="Cambria Math" w:hAnsi="Cambria Math"/>
                          </w:rPr>
                          <m:t>M</m:t>
                        </m:r>
                        <m:sSub>
                          <m:sSubPr>
                            <m:ctrlPr>
                              <w:rPr>
                                <w:rFonts w:ascii="Cambria Math" w:hAnsi="Cambria Math"/>
                                <w:b/>
                                <w:bCs/>
                              </w:rPr>
                            </m:ctrlPr>
                          </m:sSubPr>
                          <m:e>
                            <m:r>
                              <m:rPr>
                                <m:sty m:val="bi"/>
                              </m:rPr>
                              <w:rPr>
                                <w:rFonts w:ascii="Cambria Math" w:hAnsi="Cambria Math"/>
                              </w:rPr>
                              <m:t>β</m:t>
                            </m:r>
                          </m:e>
                          <m:sub>
                            <m:r>
                              <m:rPr>
                                <m:sty m:val="b"/>
                              </m:rPr>
                              <w:rPr>
                                <w:rFonts w:ascii="Cambria Math" w:hAnsi="Cambria Math"/>
                              </w:rPr>
                              <m:t>4</m:t>
                            </m:r>
                          </m:sub>
                        </m:sSub>
                      </m:e>
                    </m:d>
                  </m:e>
                </m:d>
              </m:oMath>
            </m:oMathPara>
          </w:p>
          <w:p w14:paraId="6F434CE2" w14:textId="642585F3" w:rsidR="00767353" w:rsidRPr="001F774C" w:rsidRDefault="00767353" w:rsidP="00604051">
            <w:pPr>
              <w:pStyle w:val="BodyText"/>
              <w:rPr>
                <w:b/>
                <w:bCs/>
              </w:rPr>
            </w:pPr>
            <m:oMathPara>
              <m:oMath>
                <m:r>
                  <m:rPr>
                    <m:sty m:val="p"/>
                  </m:rPr>
                  <w:rPr>
                    <w:rFonts w:ascii="Cambria Math" w:hAnsi="Cambria Math"/>
                  </w:rPr>
                  <m:t xml:space="preserve">plim </m:t>
                </m:r>
                <m:d>
                  <m:dPr>
                    <m:ctrlPr>
                      <w:rPr>
                        <w:rFonts w:ascii="Cambria Math" w:hAnsi="Cambria Math"/>
                      </w:rPr>
                    </m:ctrlPr>
                  </m:dPr>
                  <m:e>
                    <m:acc>
                      <m:accPr>
                        <m:ctrlPr>
                          <w:rPr>
                            <w:rFonts w:ascii="Cambria Math" w:hAnsi="Cambria Math"/>
                          </w:rPr>
                        </m:ctrlPr>
                      </m:accPr>
                      <m:e>
                        <m:sSub>
                          <m:sSubPr>
                            <m:ctrlPr>
                              <w:rPr>
                                <w:rFonts w:ascii="Cambria Math" w:hAnsi="Cambria Math"/>
                              </w:rPr>
                            </m:ctrlPr>
                          </m:sSubPr>
                          <m:e>
                            <m:r>
                              <m:rPr>
                                <m:sty m:val="bi"/>
                              </m:rPr>
                              <w:rPr>
                                <w:rFonts w:ascii="Cambria Math" w:hAnsi="Cambria Math"/>
                              </w:rPr>
                              <m:t>β</m:t>
                            </m:r>
                          </m:e>
                          <m:sub>
                            <m:r>
                              <m:rPr>
                                <m:sty m:val="p"/>
                              </m:rPr>
                              <w:rPr>
                                <w:rFonts w:ascii="Cambria Math" w:hAnsi="Cambria Math"/>
                              </w:rPr>
                              <m:t>5</m:t>
                            </m:r>
                          </m:sub>
                        </m:sSub>
                      </m:e>
                    </m:acc>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β</m:t>
                        </m:r>
                      </m:e>
                      <m:sub>
                        <m:r>
                          <m:rPr>
                            <m:sty m:val="p"/>
                          </m:rPr>
                          <w:rPr>
                            <w:rFonts w:ascii="Cambria Math" w:hAnsi="Cambria Math"/>
                          </w:rPr>
                          <m:t>5</m:t>
                        </m:r>
                      </m:sub>
                    </m:sSub>
                  </m:e>
                </m:d>
                <m:r>
                  <m:rPr>
                    <m:sty m:val="p"/>
                  </m:rPr>
                  <w:rPr>
                    <w:rFonts w:ascii="Cambria Math" w:hAnsi="Cambria Math"/>
                  </w:rPr>
                  <m:t>=plim</m:t>
                </m:r>
                <m:d>
                  <m:dPr>
                    <m:ctrlPr>
                      <w:rPr>
                        <w:rFonts w:ascii="Cambria Math" w:hAnsi="Cambria Math"/>
                        <w:b/>
                        <w:bCs/>
                      </w:rPr>
                    </m:ctrlPr>
                  </m:dPr>
                  <m:e>
                    <m:sSup>
                      <m:sSupPr>
                        <m:ctrlPr>
                          <w:rPr>
                            <w:rFonts w:ascii="Cambria Math" w:hAnsi="Cambria Math"/>
                            <w:b/>
                            <w:bCs/>
                          </w:rPr>
                        </m:ctrlPr>
                      </m:sSupPr>
                      <m:e>
                        <m:d>
                          <m:dPr>
                            <m:ctrlPr>
                              <w:rPr>
                                <w:rFonts w:ascii="Cambria Math" w:hAnsi="Cambria Math"/>
                                <w:b/>
                                <w:bCs/>
                              </w:rPr>
                            </m:ctrlPr>
                          </m:dPr>
                          <m:e>
                            <m:sSup>
                              <m:sSupPr>
                                <m:ctrlPr>
                                  <w:rPr>
                                    <w:rFonts w:ascii="Cambria Math" w:hAnsi="Cambria Math"/>
                                    <w:b/>
                                    <w:bCs/>
                                  </w:rPr>
                                </m:ctrlPr>
                              </m:sSupPr>
                              <m:e>
                                <m:r>
                                  <m:rPr>
                                    <m:sty m:val="bi"/>
                                  </m:rPr>
                                  <w:rPr>
                                    <w:rFonts w:ascii="Cambria Math" w:hAnsi="Cambria Math"/>
                                  </w:rPr>
                                  <m:t>X</m:t>
                                </m:r>
                              </m:e>
                              <m:sup>
                                <m:r>
                                  <m:rPr>
                                    <m:sty m:val="b"/>
                                  </m:rPr>
                                  <w:rPr>
                                    <w:rFonts w:ascii="Cambria Math" w:hAnsi="Cambria Math"/>
                                  </w:rPr>
                                  <m:t>'</m:t>
                                </m:r>
                              </m:sup>
                            </m:sSup>
                            <m:r>
                              <m:rPr>
                                <m:sty m:val="bi"/>
                              </m:rPr>
                              <w:rPr>
                                <w:rFonts w:ascii="Cambria Math" w:hAnsi="Cambria Math"/>
                              </w:rPr>
                              <m:t>X</m:t>
                            </m:r>
                          </m:e>
                        </m:d>
                      </m:e>
                      <m:sup>
                        <m:r>
                          <m:rPr>
                            <m:sty m:val="p"/>
                          </m:rPr>
                          <w:rPr>
                            <w:rFonts w:ascii="Cambria Math" w:hAnsi="Cambria Math"/>
                          </w:rPr>
                          <m:t>-1</m:t>
                        </m:r>
                      </m:sup>
                    </m:sSup>
                    <m:sSup>
                      <m:sSupPr>
                        <m:ctrlPr>
                          <w:rPr>
                            <w:rFonts w:ascii="Cambria Math" w:hAnsi="Cambria Math"/>
                            <w:b/>
                            <w:bCs/>
                          </w:rPr>
                        </m:ctrlPr>
                      </m:sSupPr>
                      <m:e>
                        <m:r>
                          <m:rPr>
                            <m:sty m:val="bi"/>
                          </m:rPr>
                          <w:rPr>
                            <w:rFonts w:ascii="Cambria Math" w:hAnsi="Cambria Math"/>
                          </w:rPr>
                          <m:t>X</m:t>
                        </m:r>
                      </m:e>
                      <m:sup>
                        <m:r>
                          <m:rPr>
                            <m:sty m:val="b"/>
                          </m:rPr>
                          <w:rPr>
                            <w:rFonts w:ascii="Cambria Math" w:hAnsi="Cambria Math"/>
                          </w:rPr>
                          <m:t>'</m:t>
                        </m:r>
                      </m:sup>
                    </m:sSup>
                    <m:d>
                      <m:dPr>
                        <m:ctrlPr>
                          <w:rPr>
                            <w:rFonts w:ascii="Cambria Math" w:hAnsi="Cambria Math"/>
                            <w:b/>
                            <w:bCs/>
                          </w:rPr>
                        </m:ctrlPr>
                      </m:dPr>
                      <m:e>
                        <m:r>
                          <m:rPr>
                            <m:sty m:val="b"/>
                          </m:rPr>
                          <w:rPr>
                            <w:rFonts w:ascii="Cambria Math" w:hAnsi="Cambria Math"/>
                          </w:rPr>
                          <m:t>-</m:t>
                        </m:r>
                        <m:r>
                          <m:rPr>
                            <m:sty m:val="bi"/>
                          </m:rPr>
                          <w:rPr>
                            <w:rFonts w:ascii="Cambria Math" w:hAnsi="Cambria Math"/>
                          </w:rPr>
                          <m:t>M</m:t>
                        </m:r>
                        <m:sSub>
                          <m:sSubPr>
                            <m:ctrlPr>
                              <w:rPr>
                                <w:rFonts w:ascii="Cambria Math" w:hAnsi="Cambria Math"/>
                                <w:b/>
                                <w:bCs/>
                              </w:rPr>
                            </m:ctrlPr>
                          </m:sSubPr>
                          <m:e>
                            <m:r>
                              <m:rPr>
                                <m:sty m:val="bi"/>
                              </m:rPr>
                              <w:rPr>
                                <w:rFonts w:ascii="Cambria Math" w:hAnsi="Cambria Math"/>
                              </w:rPr>
                              <m:t>β</m:t>
                            </m:r>
                          </m:e>
                          <m:sub>
                            <m:r>
                              <m:rPr>
                                <m:sty m:val="b"/>
                              </m:rPr>
                              <w:rPr>
                                <w:rFonts w:ascii="Cambria Math" w:hAnsi="Cambria Math"/>
                              </w:rPr>
                              <m:t>5</m:t>
                            </m:r>
                          </m:sub>
                        </m:sSub>
                      </m:e>
                    </m:d>
                  </m:e>
                </m:d>
              </m:oMath>
            </m:oMathPara>
          </w:p>
          <w:p w14:paraId="03E96301" w14:textId="5CB5460F" w:rsidR="00767353" w:rsidRDefault="00767353" w:rsidP="00604051">
            <w:pPr>
              <w:pStyle w:val="BodyText"/>
            </w:pPr>
            <w:r>
              <w:t xml:space="preserve">where </w:t>
            </w:r>
            <m:oMath>
              <m:r>
                <m:rPr>
                  <m:sty m:val="bi"/>
                </m:rPr>
                <w:rPr>
                  <w:rFonts w:ascii="Cambria Math" w:hAnsi="Cambria Math"/>
                </w:rPr>
                <m:t>M</m:t>
              </m:r>
            </m:oMath>
            <w:r>
              <w:t xml:space="preserve"> (an </w:t>
            </w:r>
            <m:oMath>
              <m:r>
                <w:rPr>
                  <w:rFonts w:ascii="Cambria Math" w:hAnsi="Cambria Math"/>
                </w:rPr>
                <m:t>n</m:t>
              </m:r>
              <m:r>
                <m:rPr>
                  <m:sty m:val="p"/>
                </m:rPr>
                <w:rPr>
                  <w:rFonts w:ascii="Cambria Math" w:hAnsi="Cambria Math"/>
                </w:rPr>
                <m:t>×</m:t>
              </m:r>
              <m:r>
                <w:rPr>
                  <w:rFonts w:ascii="Cambria Math" w:hAnsi="Cambria Math"/>
                </w:rPr>
                <m:t>x</m:t>
              </m:r>
            </m:oMath>
            <w:r>
              <w:t xml:space="preserve"> matrix) is the error in the measurement of </w:t>
            </w:r>
            <m:oMath>
              <m:r>
                <m:rPr>
                  <m:sty m:val="bi"/>
                </m:rPr>
                <w:rPr>
                  <w:rFonts w:ascii="Cambria Math" w:hAnsi="Cambria Math"/>
                </w:rPr>
                <m:t>X</m:t>
              </m:r>
            </m:oMath>
            <w:r>
              <w:t xml:space="preserve">. All but the first column of </w:t>
            </w:r>
            <m:oMath>
              <m:r>
                <m:rPr>
                  <m:sty m:val="bi"/>
                </m:rPr>
                <w:rPr>
                  <w:rFonts w:ascii="Cambria Math" w:hAnsi="Cambria Math"/>
                </w:rPr>
                <m:t>M</m:t>
              </m:r>
            </m:oMath>
            <w:r w:rsidRPr="001F774C">
              <w:t xml:space="preserve"> </w:t>
            </w:r>
            <w:r>
              <w:t xml:space="preserve">contains zeros, as there is measurement error only in </w:t>
            </w:r>
            <m:oMath>
              <m:sSub>
                <m:sSubPr>
                  <m:ctrlPr>
                    <w:rPr>
                      <w:rFonts w:ascii="Cambria Math" w:hAnsi="Cambria Math"/>
                      <w:b/>
                      <w:bCs/>
                    </w:rPr>
                  </m:ctrlPr>
                </m:sSubPr>
                <m:e>
                  <m:r>
                    <m:rPr>
                      <m:sty m:val="bi"/>
                    </m:rPr>
                    <w:rPr>
                      <w:rFonts w:ascii="Cambria Math" w:hAnsi="Cambria Math"/>
                    </w:rPr>
                    <m:t>Parent</m:t>
                  </m:r>
                  <m:r>
                    <m:rPr>
                      <m:sty m:val="b"/>
                    </m:rPr>
                    <w:rPr>
                      <w:rFonts w:ascii="Cambria Math" w:hAnsi="Cambria Math"/>
                    </w:rPr>
                    <m:t xml:space="preserve"> </m:t>
                  </m:r>
                  <m:r>
                    <m:rPr>
                      <m:sty m:val="bi"/>
                    </m:rPr>
                    <w:rPr>
                      <w:rFonts w:ascii="Cambria Math" w:hAnsi="Cambria Math"/>
                    </w:rPr>
                    <m:t>wealth</m:t>
                  </m:r>
                  <m:r>
                    <m:rPr>
                      <m:sty m:val="b"/>
                    </m:rPr>
                    <w:rPr>
                      <w:rFonts w:ascii="Cambria Math" w:hAnsi="Cambria Math"/>
                    </w:rPr>
                    <m:t xml:space="preserve"> (</m:t>
                  </m:r>
                  <m:r>
                    <m:rPr>
                      <m:sty m:val="bi"/>
                    </m:rPr>
                    <w:rPr>
                      <w:rFonts w:ascii="Cambria Math" w:hAnsi="Cambria Math"/>
                    </w:rPr>
                    <m:t>rank</m:t>
                  </m:r>
                  <m:r>
                    <m:rPr>
                      <m:sty m:val="b"/>
                    </m:rPr>
                    <w:rPr>
                      <w:rFonts w:ascii="Cambria Math" w:hAnsi="Cambria Math"/>
                    </w:rPr>
                    <m:t>)</m:t>
                  </m:r>
                </m:e>
                <m:sub>
                  <m:r>
                    <m:rPr>
                      <m:sty m:val="b"/>
                    </m:rPr>
                    <w:rPr>
                      <w:rFonts w:ascii="Cambria Math" w:hAnsi="Cambria Math"/>
                    </w:rPr>
                    <m:t>2002</m:t>
                  </m:r>
                </m:sub>
              </m:sSub>
            </m:oMath>
            <w:r>
              <w:t xml:space="preserve">, so </w:t>
            </w:r>
            <m:oMath>
              <m:r>
                <m:rPr>
                  <m:sty m:val="b"/>
                </m:rPr>
                <w:rPr>
                  <w:rFonts w:ascii="Cambria Math" w:hAnsi="Cambria Math"/>
                </w:rPr>
                <m:t>-</m:t>
              </m:r>
              <m:r>
                <m:rPr>
                  <m:sty m:val="bi"/>
                </m:rPr>
                <w:rPr>
                  <w:rFonts w:ascii="Cambria Math" w:hAnsi="Cambria Math"/>
                </w:rPr>
                <m:t>M</m:t>
              </m:r>
              <m:sSub>
                <m:sSubPr>
                  <m:ctrlPr>
                    <w:rPr>
                      <w:rFonts w:ascii="Cambria Math" w:hAnsi="Cambria Math"/>
                      <w:b/>
                      <w:bCs/>
                    </w:rPr>
                  </m:ctrlPr>
                </m:sSubPr>
                <m:e>
                  <m:r>
                    <m:rPr>
                      <m:sty m:val="bi"/>
                    </m:rPr>
                    <w:rPr>
                      <w:rFonts w:ascii="Cambria Math" w:hAnsi="Cambria Math"/>
                    </w:rPr>
                    <m:t>β</m:t>
                  </m:r>
                </m:e>
                <m:sub>
                  <m:r>
                    <m:rPr>
                      <m:sty m:val="b"/>
                    </m:rPr>
                    <w:rPr>
                      <w:rFonts w:ascii="Cambria Math" w:hAnsi="Cambria Math"/>
                    </w:rPr>
                    <m:t>4</m:t>
                  </m:r>
                </m:sub>
              </m:sSub>
              <m:r>
                <m:rPr>
                  <m:sty m:val="b"/>
                </m:rPr>
                <w:rPr>
                  <w:rFonts w:ascii="Cambria Math" w:hAnsi="Cambria Math"/>
                </w:rPr>
                <m:t>=</m:t>
              </m:r>
              <m:sSub>
                <m:sSubPr>
                  <m:ctrlPr>
                    <w:rPr>
                      <w:rFonts w:ascii="Cambria Math" w:hAnsi="Cambria Math"/>
                      <w:sz w:val="24"/>
                    </w:rPr>
                  </m:ctrlPr>
                </m:sSubPr>
                <m:e>
                  <m:r>
                    <m:rPr>
                      <m:sty m:val="p"/>
                    </m:rPr>
                    <w:rPr>
                      <w:rFonts w:ascii="Cambria Math" w:hAnsi="Cambria Math"/>
                    </w:rPr>
                    <m:t>-</m:t>
                  </m:r>
                  <m:r>
                    <w:rPr>
                      <w:rFonts w:ascii="Cambria Math" w:hAnsi="Cambria Math"/>
                    </w:rPr>
                    <m:t>β</m:t>
                  </m:r>
                </m:e>
                <m:sub>
                  <m:r>
                    <m:rPr>
                      <m:sty m:val="p"/>
                    </m:rPr>
                    <w:rPr>
                      <w:rFonts w:ascii="Cambria Math" w:hAnsi="Cambria Math"/>
                    </w:rPr>
                    <m:t>1</m:t>
                  </m:r>
                </m:sub>
              </m:sSub>
              <m:r>
                <m:rPr>
                  <m:sty m:val="bi"/>
                </m:rPr>
                <w:rPr>
                  <w:rFonts w:ascii="Cambria Math" w:hAnsi="Cambria Math"/>
                </w:rPr>
                <m:t>μ</m:t>
              </m:r>
            </m:oMath>
            <w:r w:rsidRPr="001F774C">
              <w:t xml:space="preserve"> where</w:t>
            </w:r>
            <w:r>
              <w:t xml:space="preserve"> </w:t>
            </w:r>
            <m:oMath>
              <m:r>
                <m:rPr>
                  <m:sty m:val="bi"/>
                </m:rPr>
                <w:rPr>
                  <w:rFonts w:ascii="Cambria Math" w:hAnsi="Cambria Math"/>
                </w:rPr>
                <m:t>μ</m:t>
              </m:r>
            </m:oMath>
            <w:r>
              <w:t xml:space="preserve"> is an </w:t>
            </w:r>
            <m:oMath>
              <m:r>
                <w:rPr>
                  <w:rFonts w:ascii="Cambria Math" w:hAnsi="Cambria Math"/>
                </w:rPr>
                <m:t>n</m:t>
              </m:r>
              <m:r>
                <m:rPr>
                  <m:sty m:val="p"/>
                </m:rPr>
                <w:rPr>
                  <w:rFonts w:ascii="Cambria Math" w:hAnsi="Cambria Math"/>
                </w:rPr>
                <m:t>×1</m:t>
              </m:r>
            </m:oMath>
            <w:r>
              <w:t xml:space="preserve"> vector containing </w:t>
            </w:r>
            <m:oMath>
              <m:sSub>
                <m:sSubPr>
                  <m:ctrlPr>
                    <w:rPr>
                      <w:rFonts w:ascii="Cambria Math" w:hAnsi="Cambria Math"/>
                    </w:rPr>
                  </m:ctrlPr>
                </m:sSubPr>
                <m:e>
                  <m:r>
                    <w:rPr>
                      <w:rFonts w:ascii="Cambria Math" w:hAnsi="Cambria Math"/>
                    </w:rPr>
                    <m:t>μ</m:t>
                  </m:r>
                </m:e>
                <m:sub>
                  <m:r>
                    <w:rPr>
                      <w:rFonts w:ascii="Cambria Math" w:hAnsi="Cambria Math"/>
                    </w:rPr>
                    <m:t>i</m:t>
                  </m:r>
                </m:sub>
              </m:sSub>
            </m:oMath>
            <w:r>
              <w:t xml:space="preserve">, and </w:t>
            </w:r>
            <m:oMath>
              <m:r>
                <m:rPr>
                  <m:sty m:val="b"/>
                </m:rPr>
                <w:rPr>
                  <w:rFonts w:ascii="Cambria Math" w:hAnsi="Cambria Math"/>
                </w:rPr>
                <m:t>-</m:t>
              </m:r>
              <m:r>
                <m:rPr>
                  <m:sty m:val="bi"/>
                </m:rPr>
                <w:rPr>
                  <w:rFonts w:ascii="Cambria Math" w:hAnsi="Cambria Math"/>
                </w:rPr>
                <m:t>μ</m:t>
              </m:r>
              <m:sSub>
                <m:sSubPr>
                  <m:ctrlPr>
                    <w:rPr>
                      <w:rFonts w:ascii="Cambria Math" w:hAnsi="Cambria Math"/>
                      <w:b/>
                      <w:bCs/>
                    </w:rPr>
                  </m:ctrlPr>
                </m:sSubPr>
                <m:e>
                  <m:r>
                    <m:rPr>
                      <m:sty m:val="bi"/>
                    </m:rPr>
                    <w:rPr>
                      <w:rFonts w:ascii="Cambria Math" w:hAnsi="Cambria Math"/>
                    </w:rPr>
                    <m:t>β</m:t>
                  </m:r>
                </m:e>
                <m:sub>
                  <m:r>
                    <m:rPr>
                      <m:sty m:val="b"/>
                    </m:rPr>
                    <w:rPr>
                      <w:rFonts w:ascii="Cambria Math" w:hAnsi="Cambria Math"/>
                    </w:rPr>
                    <m:t>5</m:t>
                  </m:r>
                </m:sub>
              </m:sSub>
              <m:r>
                <m:rPr>
                  <m:sty m:val="b"/>
                </m:rPr>
                <w:rPr>
                  <w:rFonts w:ascii="Cambria Math" w:hAnsi="Cambria Math"/>
                </w:rPr>
                <m:t>=</m:t>
              </m:r>
              <m:sSub>
                <m:sSubPr>
                  <m:ctrlPr>
                    <w:rPr>
                      <w:rFonts w:ascii="Cambria Math" w:hAnsi="Cambria Math"/>
                      <w:sz w:val="24"/>
                    </w:rPr>
                  </m:ctrlPr>
                </m:sSubPr>
                <m:e>
                  <m:r>
                    <m:rPr>
                      <m:sty m:val="p"/>
                    </m:rPr>
                    <w:rPr>
                      <w:rFonts w:ascii="Cambria Math" w:hAnsi="Cambria Math"/>
                    </w:rPr>
                    <m:t>-</m:t>
                  </m:r>
                  <m:r>
                    <w:rPr>
                      <w:rFonts w:ascii="Cambria Math" w:hAnsi="Cambria Math"/>
                    </w:rPr>
                    <m:t>β</m:t>
                  </m:r>
                </m:e>
                <m:sub>
                  <m:r>
                    <m:rPr>
                      <m:sty m:val="p"/>
                    </m:rPr>
                    <w:rPr>
                      <w:rFonts w:ascii="Cambria Math" w:hAnsi="Cambria Math"/>
                      <w:sz w:val="24"/>
                    </w:rPr>
                    <m:t>3</m:t>
                  </m:r>
                </m:sub>
              </m:sSub>
              <m:r>
                <m:rPr>
                  <m:sty m:val="bi"/>
                </m:rPr>
                <w:rPr>
                  <w:rFonts w:ascii="Cambria Math" w:hAnsi="Cambria Math"/>
                </w:rPr>
                <m:t>μ</m:t>
              </m:r>
            </m:oMath>
            <w:r>
              <w:t>.</w:t>
            </w:r>
            <w:r w:rsidRPr="001F774C">
              <w:t xml:space="preserve"> </w:t>
            </w:r>
            <w:r>
              <w:t>This means that:</w:t>
            </w:r>
          </w:p>
          <w:p w14:paraId="2B87DC3B" w14:textId="08C1773C" w:rsidR="00767353" w:rsidRPr="006B6B77" w:rsidRDefault="00767353" w:rsidP="00604051">
            <w:pPr>
              <w:pStyle w:val="BodyText"/>
              <w:rPr>
                <w:b/>
                <w:bCs/>
              </w:rPr>
            </w:pPr>
            <m:oMathPara>
              <m:oMath>
                <m:r>
                  <m:rPr>
                    <m:sty m:val="p"/>
                  </m:rPr>
                  <w:rPr>
                    <w:rFonts w:ascii="Cambria Math" w:hAnsi="Cambria Math"/>
                  </w:rPr>
                  <m:t xml:space="preserve">plim </m:t>
                </m:r>
                <m:acc>
                  <m:accPr>
                    <m:ctrlPr>
                      <w:rPr>
                        <w:rFonts w:ascii="Cambria Math" w:hAnsi="Cambria Math"/>
                      </w:rPr>
                    </m:ctrlPr>
                  </m:accPr>
                  <m:e>
                    <m:sSub>
                      <m:sSubPr>
                        <m:ctrlPr>
                          <w:rPr>
                            <w:rFonts w:ascii="Cambria Math" w:hAnsi="Cambria Math"/>
                          </w:rPr>
                        </m:ctrlPr>
                      </m:sSubPr>
                      <m:e>
                        <m:r>
                          <m:rPr>
                            <m:sty m:val="bi"/>
                          </m:rPr>
                          <w:rPr>
                            <w:rFonts w:ascii="Cambria Math" w:hAnsi="Cambria Math"/>
                          </w:rPr>
                          <m:t>β</m:t>
                        </m:r>
                      </m:e>
                      <m:sub>
                        <m:r>
                          <m:rPr>
                            <m:sty m:val="p"/>
                          </m:rPr>
                          <w:rPr>
                            <w:rFonts w:ascii="Cambria Math" w:hAnsi="Cambria Math"/>
                          </w:rPr>
                          <m:t>4</m:t>
                        </m:r>
                      </m:sub>
                    </m:sSub>
                  </m:e>
                </m:acc>
                <m:r>
                  <m:rPr>
                    <m:sty m:val="p"/>
                  </m:rPr>
                  <w:rPr>
                    <w:rFonts w:ascii="Cambria Math" w:hAnsi="Cambria Math"/>
                  </w:rPr>
                  <m:t>=</m:t>
                </m:r>
                <m:sSub>
                  <m:sSubPr>
                    <m:ctrlPr>
                      <w:rPr>
                        <w:rFonts w:ascii="Cambria Math" w:hAnsi="Cambria Math"/>
                      </w:rPr>
                    </m:ctrlPr>
                  </m:sSubPr>
                  <m:e>
                    <m:sSub>
                      <m:sSubPr>
                        <m:ctrlPr>
                          <w:rPr>
                            <w:rFonts w:ascii="Cambria Math" w:hAnsi="Cambria Math"/>
                            <w:b/>
                            <w:bCs/>
                          </w:rPr>
                        </m:ctrlPr>
                      </m:sSubPr>
                      <m:e>
                        <m:r>
                          <m:rPr>
                            <m:sty m:val="bi"/>
                          </m:rPr>
                          <w:rPr>
                            <w:rFonts w:ascii="Cambria Math" w:hAnsi="Cambria Math"/>
                          </w:rPr>
                          <m:t>β</m:t>
                        </m:r>
                      </m:e>
                      <m:sub>
                        <m:r>
                          <m:rPr>
                            <m:sty m:val="b"/>
                          </m:rPr>
                          <w:rPr>
                            <w:rFonts w:ascii="Cambria Math" w:hAnsi="Cambria Math"/>
                          </w:rPr>
                          <m:t>4</m:t>
                        </m:r>
                      </m:sub>
                    </m:sSub>
                    <m:r>
                      <m:rPr>
                        <m:sty m:val="p"/>
                      </m:rPr>
                      <w:rPr>
                        <w:rFonts w:ascii="Cambria Math" w:hAnsi="Cambria Math"/>
                      </w:rPr>
                      <m:t>+</m:t>
                    </m:r>
                    <m:r>
                      <w:rPr>
                        <w:rFonts w:ascii="Cambria Math" w:hAnsi="Cambria Math"/>
                      </w:rPr>
                      <m:t>β</m:t>
                    </m:r>
                  </m:e>
                  <m:sub>
                    <m:r>
                      <m:rPr>
                        <m:sty m:val="p"/>
                      </m:rPr>
                      <w:rPr>
                        <w:rFonts w:ascii="Cambria Math" w:hAnsi="Cambria Math"/>
                      </w:rPr>
                      <m:t>1</m:t>
                    </m:r>
                  </m:sub>
                </m:sSub>
                <m:r>
                  <m:rPr>
                    <m:sty m:val="p"/>
                  </m:rPr>
                  <w:rPr>
                    <w:rFonts w:ascii="Cambria Math" w:hAnsi="Cambria Math"/>
                  </w:rPr>
                  <m:t>plim</m:t>
                </m:r>
                <m:d>
                  <m:dPr>
                    <m:ctrlPr>
                      <w:rPr>
                        <w:rFonts w:ascii="Cambria Math" w:hAnsi="Cambria Math"/>
                        <w:b/>
                        <w:bCs/>
                      </w:rPr>
                    </m:ctrlPr>
                  </m:dPr>
                  <m:e>
                    <m:sSup>
                      <m:sSupPr>
                        <m:ctrlPr>
                          <w:rPr>
                            <w:rFonts w:ascii="Cambria Math" w:hAnsi="Cambria Math"/>
                            <w:b/>
                            <w:bCs/>
                          </w:rPr>
                        </m:ctrlPr>
                      </m:sSupPr>
                      <m:e>
                        <m:d>
                          <m:dPr>
                            <m:ctrlPr>
                              <w:rPr>
                                <w:rFonts w:ascii="Cambria Math" w:hAnsi="Cambria Math"/>
                                <w:b/>
                                <w:bCs/>
                              </w:rPr>
                            </m:ctrlPr>
                          </m:dPr>
                          <m:e>
                            <m:r>
                              <m:rPr>
                                <m:sty m:val="bi"/>
                              </m:rPr>
                              <w:rPr>
                                <w:rFonts w:ascii="Cambria Math" w:hAnsi="Cambria Math"/>
                              </w:rPr>
                              <m:t>X</m:t>
                            </m:r>
                            <m:r>
                              <m:rPr>
                                <m:sty m:val="b"/>
                              </m:rPr>
                              <w:rPr>
                                <w:rFonts w:ascii="Cambria Math" w:hAnsi="Cambria Math"/>
                              </w:rPr>
                              <m:t>'</m:t>
                            </m:r>
                            <m:r>
                              <m:rPr>
                                <m:sty m:val="bi"/>
                              </m:rPr>
                              <w:rPr>
                                <w:rFonts w:ascii="Cambria Math" w:hAnsi="Cambria Math"/>
                              </w:rPr>
                              <m:t>X</m:t>
                            </m:r>
                          </m:e>
                        </m:d>
                      </m:e>
                      <m:sup>
                        <m:r>
                          <m:rPr>
                            <m:sty m:val="p"/>
                          </m:rPr>
                          <w:rPr>
                            <w:rFonts w:ascii="Cambria Math" w:hAnsi="Cambria Math"/>
                          </w:rPr>
                          <m:t>-1</m:t>
                        </m:r>
                      </m:sup>
                    </m:sSup>
                    <m:sSup>
                      <m:sSupPr>
                        <m:ctrlPr>
                          <w:rPr>
                            <w:rFonts w:ascii="Cambria Math" w:hAnsi="Cambria Math"/>
                            <w:b/>
                            <w:bCs/>
                          </w:rPr>
                        </m:ctrlPr>
                      </m:sSupPr>
                      <m:e>
                        <m:r>
                          <m:rPr>
                            <m:sty m:val="bi"/>
                          </m:rPr>
                          <w:rPr>
                            <w:rFonts w:ascii="Cambria Math" w:hAnsi="Cambria Math"/>
                          </w:rPr>
                          <m:t>X</m:t>
                        </m:r>
                      </m:e>
                      <m:sup>
                        <m:r>
                          <m:rPr>
                            <m:sty m:val="b"/>
                          </m:rPr>
                          <w:rPr>
                            <w:rFonts w:ascii="Cambria Math" w:hAnsi="Cambria Math"/>
                          </w:rPr>
                          <m:t>'</m:t>
                        </m:r>
                      </m:sup>
                    </m:sSup>
                    <m:d>
                      <m:dPr>
                        <m:ctrlPr>
                          <w:rPr>
                            <w:rFonts w:ascii="Cambria Math" w:hAnsi="Cambria Math"/>
                            <w:b/>
                            <w:bCs/>
                          </w:rPr>
                        </m:ctrlPr>
                      </m:dPr>
                      <m:e>
                        <m:r>
                          <m:rPr>
                            <m:sty m:val="b"/>
                          </m:rPr>
                          <w:rPr>
                            <w:rFonts w:ascii="Cambria Math" w:hAnsi="Cambria Math"/>
                          </w:rPr>
                          <m:t>-</m:t>
                        </m:r>
                        <m:r>
                          <m:rPr>
                            <m:sty m:val="bi"/>
                          </m:rPr>
                          <w:rPr>
                            <w:rFonts w:ascii="Cambria Math" w:hAnsi="Cambria Math"/>
                          </w:rPr>
                          <m:t>μ</m:t>
                        </m:r>
                      </m:e>
                    </m:d>
                  </m:e>
                </m:d>
              </m:oMath>
            </m:oMathPara>
          </w:p>
          <w:p w14:paraId="1618861F" w14:textId="2AA94C74" w:rsidR="00767353" w:rsidRPr="001F774C" w:rsidRDefault="00767353" w:rsidP="00604051">
            <w:pPr>
              <w:pStyle w:val="BodyText"/>
              <w:rPr>
                <w:b/>
                <w:bCs/>
              </w:rPr>
            </w:pPr>
            <m:oMathPara>
              <m:oMath>
                <m:r>
                  <m:rPr>
                    <m:sty m:val="p"/>
                  </m:rPr>
                  <w:rPr>
                    <w:rFonts w:ascii="Cambria Math" w:hAnsi="Cambria Math"/>
                  </w:rPr>
                  <m:t xml:space="preserve">plim </m:t>
                </m:r>
                <m:acc>
                  <m:accPr>
                    <m:ctrlPr>
                      <w:rPr>
                        <w:rFonts w:ascii="Cambria Math" w:hAnsi="Cambria Math"/>
                      </w:rPr>
                    </m:ctrlPr>
                  </m:accPr>
                  <m:e>
                    <m:sSub>
                      <m:sSubPr>
                        <m:ctrlPr>
                          <w:rPr>
                            <w:rFonts w:ascii="Cambria Math" w:hAnsi="Cambria Math"/>
                          </w:rPr>
                        </m:ctrlPr>
                      </m:sSubPr>
                      <m:e>
                        <m:r>
                          <m:rPr>
                            <m:sty m:val="bi"/>
                          </m:rPr>
                          <w:rPr>
                            <w:rFonts w:ascii="Cambria Math" w:hAnsi="Cambria Math"/>
                          </w:rPr>
                          <m:t>β</m:t>
                        </m:r>
                      </m:e>
                      <m:sub>
                        <m:r>
                          <m:rPr>
                            <m:sty m:val="p"/>
                          </m:rPr>
                          <w:rPr>
                            <w:rFonts w:ascii="Cambria Math" w:hAnsi="Cambria Math"/>
                          </w:rPr>
                          <m:t>5</m:t>
                        </m:r>
                      </m:sub>
                    </m:sSub>
                  </m:e>
                </m:acc>
                <m:r>
                  <m:rPr>
                    <m:sty m:val="p"/>
                  </m:rPr>
                  <w:rPr>
                    <w:rFonts w:ascii="Cambria Math" w:hAnsi="Cambria Math"/>
                  </w:rPr>
                  <m:t>=</m:t>
                </m:r>
                <m:sSub>
                  <m:sSubPr>
                    <m:ctrlPr>
                      <w:rPr>
                        <w:rFonts w:ascii="Cambria Math" w:hAnsi="Cambria Math"/>
                      </w:rPr>
                    </m:ctrlPr>
                  </m:sSubPr>
                  <m:e>
                    <m:sSub>
                      <m:sSubPr>
                        <m:ctrlPr>
                          <w:rPr>
                            <w:rFonts w:ascii="Cambria Math" w:hAnsi="Cambria Math"/>
                            <w:b/>
                            <w:bCs/>
                          </w:rPr>
                        </m:ctrlPr>
                      </m:sSubPr>
                      <m:e>
                        <m:r>
                          <m:rPr>
                            <m:sty m:val="bi"/>
                          </m:rPr>
                          <w:rPr>
                            <w:rFonts w:ascii="Cambria Math" w:hAnsi="Cambria Math"/>
                          </w:rPr>
                          <m:t>β</m:t>
                        </m:r>
                      </m:e>
                      <m:sub>
                        <m:r>
                          <m:rPr>
                            <m:sty m:val="b"/>
                          </m:rPr>
                          <w:rPr>
                            <w:rFonts w:ascii="Cambria Math" w:hAnsi="Cambria Math"/>
                          </w:rPr>
                          <m:t>5</m:t>
                        </m:r>
                      </m:sub>
                    </m:sSub>
                    <m:r>
                      <m:rPr>
                        <m:sty m:val="p"/>
                      </m:rPr>
                      <w:rPr>
                        <w:rFonts w:ascii="Cambria Math" w:hAnsi="Cambria Math"/>
                      </w:rPr>
                      <m:t>+</m:t>
                    </m:r>
                    <m:r>
                      <w:rPr>
                        <w:rFonts w:ascii="Cambria Math" w:hAnsi="Cambria Math"/>
                      </w:rPr>
                      <m:t>β</m:t>
                    </m:r>
                  </m:e>
                  <m:sub>
                    <m:r>
                      <m:rPr>
                        <m:sty m:val="p"/>
                      </m:rPr>
                      <w:rPr>
                        <w:rFonts w:ascii="Cambria Math" w:hAnsi="Cambria Math"/>
                      </w:rPr>
                      <m:t>3</m:t>
                    </m:r>
                  </m:sub>
                </m:sSub>
                <m:r>
                  <m:rPr>
                    <m:sty m:val="p"/>
                  </m:rPr>
                  <w:rPr>
                    <w:rFonts w:ascii="Cambria Math" w:hAnsi="Cambria Math"/>
                  </w:rPr>
                  <m:t>plim</m:t>
                </m:r>
                <m:d>
                  <m:dPr>
                    <m:ctrlPr>
                      <w:rPr>
                        <w:rFonts w:ascii="Cambria Math" w:hAnsi="Cambria Math"/>
                        <w:b/>
                        <w:bCs/>
                      </w:rPr>
                    </m:ctrlPr>
                  </m:dPr>
                  <m:e>
                    <m:sSup>
                      <m:sSupPr>
                        <m:ctrlPr>
                          <w:rPr>
                            <w:rFonts w:ascii="Cambria Math" w:hAnsi="Cambria Math"/>
                            <w:b/>
                            <w:bCs/>
                          </w:rPr>
                        </m:ctrlPr>
                      </m:sSupPr>
                      <m:e>
                        <m:d>
                          <m:dPr>
                            <m:ctrlPr>
                              <w:rPr>
                                <w:rFonts w:ascii="Cambria Math" w:hAnsi="Cambria Math"/>
                                <w:b/>
                                <w:bCs/>
                              </w:rPr>
                            </m:ctrlPr>
                          </m:dPr>
                          <m:e>
                            <m:sSup>
                              <m:sSupPr>
                                <m:ctrlPr>
                                  <w:rPr>
                                    <w:rFonts w:ascii="Cambria Math" w:hAnsi="Cambria Math"/>
                                    <w:b/>
                                    <w:bCs/>
                                  </w:rPr>
                                </m:ctrlPr>
                              </m:sSupPr>
                              <m:e>
                                <m:r>
                                  <m:rPr>
                                    <m:sty m:val="bi"/>
                                  </m:rPr>
                                  <w:rPr>
                                    <w:rFonts w:ascii="Cambria Math" w:hAnsi="Cambria Math"/>
                                  </w:rPr>
                                  <m:t>X</m:t>
                                </m:r>
                              </m:e>
                              <m:sup>
                                <m:r>
                                  <m:rPr>
                                    <m:sty m:val="b"/>
                                  </m:rPr>
                                  <w:rPr>
                                    <w:rFonts w:ascii="Cambria Math" w:hAnsi="Cambria Math"/>
                                  </w:rPr>
                                  <m:t>'</m:t>
                                </m:r>
                              </m:sup>
                            </m:sSup>
                            <m:r>
                              <m:rPr>
                                <m:sty m:val="bi"/>
                              </m:rPr>
                              <w:rPr>
                                <w:rFonts w:ascii="Cambria Math" w:hAnsi="Cambria Math"/>
                              </w:rPr>
                              <m:t>X</m:t>
                            </m:r>
                          </m:e>
                        </m:d>
                      </m:e>
                      <m:sup>
                        <m:r>
                          <m:rPr>
                            <m:sty m:val="p"/>
                          </m:rPr>
                          <w:rPr>
                            <w:rFonts w:ascii="Cambria Math" w:hAnsi="Cambria Math"/>
                          </w:rPr>
                          <m:t>-1</m:t>
                        </m:r>
                      </m:sup>
                    </m:sSup>
                    <m:sSup>
                      <m:sSupPr>
                        <m:ctrlPr>
                          <w:rPr>
                            <w:rFonts w:ascii="Cambria Math" w:hAnsi="Cambria Math"/>
                            <w:b/>
                            <w:bCs/>
                          </w:rPr>
                        </m:ctrlPr>
                      </m:sSupPr>
                      <m:e>
                        <m:r>
                          <m:rPr>
                            <m:sty m:val="bi"/>
                          </m:rPr>
                          <w:rPr>
                            <w:rFonts w:ascii="Cambria Math" w:hAnsi="Cambria Math"/>
                          </w:rPr>
                          <m:t>X</m:t>
                        </m:r>
                      </m:e>
                      <m:sup>
                        <m:r>
                          <m:rPr>
                            <m:sty m:val="b"/>
                          </m:rPr>
                          <w:rPr>
                            <w:rFonts w:ascii="Cambria Math" w:hAnsi="Cambria Math"/>
                          </w:rPr>
                          <m:t>'</m:t>
                        </m:r>
                      </m:sup>
                    </m:sSup>
                    <m:d>
                      <m:dPr>
                        <m:ctrlPr>
                          <w:rPr>
                            <w:rFonts w:ascii="Cambria Math" w:hAnsi="Cambria Math"/>
                            <w:b/>
                            <w:bCs/>
                          </w:rPr>
                        </m:ctrlPr>
                      </m:dPr>
                      <m:e>
                        <m:r>
                          <m:rPr>
                            <m:sty m:val="b"/>
                          </m:rPr>
                          <w:rPr>
                            <w:rFonts w:ascii="Cambria Math" w:hAnsi="Cambria Math"/>
                          </w:rPr>
                          <m:t>-</m:t>
                        </m:r>
                        <m:r>
                          <m:rPr>
                            <m:sty m:val="bi"/>
                          </m:rPr>
                          <w:rPr>
                            <w:rFonts w:ascii="Cambria Math" w:hAnsi="Cambria Math"/>
                          </w:rPr>
                          <m:t>μ</m:t>
                        </m:r>
                      </m:e>
                    </m:d>
                  </m:e>
                </m:d>
              </m:oMath>
            </m:oMathPara>
          </w:p>
          <w:p w14:paraId="45DE2010" w14:textId="77777777" w:rsidR="00767353" w:rsidRPr="00A318D3" w:rsidRDefault="00767353" w:rsidP="00604051">
            <w:pPr>
              <w:pStyle w:val="BodyText"/>
            </w:pPr>
            <w:r>
              <w:rPr>
                <w:iCs/>
              </w:rPr>
              <w:t xml:space="preserve">Hence, </w:t>
            </w:r>
            <m:oMath>
              <m:r>
                <m:rPr>
                  <m:sty m:val="p"/>
                </m:rPr>
                <w:rPr>
                  <w:rFonts w:ascii="Cambria Math" w:hAnsi="Cambria Math"/>
                </w:rPr>
                <m:t xml:space="preserve">plim </m:t>
              </m:r>
              <m:acc>
                <m:accPr>
                  <m:ctrlPr>
                    <w:rPr>
                      <w:rFonts w:ascii="Cambria Math" w:hAnsi="Cambria Math"/>
                    </w:rPr>
                  </m:ctrlPr>
                </m:accPr>
                <m:e>
                  <m:sSub>
                    <m:sSubPr>
                      <m:ctrlPr>
                        <w:rPr>
                          <w:rFonts w:ascii="Cambria Math" w:hAnsi="Cambria Math"/>
                        </w:rPr>
                      </m:ctrlPr>
                    </m:sSubPr>
                    <m:e>
                      <m:r>
                        <w:rPr>
                          <w:rFonts w:ascii="Cambria Math" w:hAnsi="Cambria Math"/>
                        </w:rPr>
                        <m:t>β</m:t>
                      </m:r>
                    </m:e>
                    <m:sub>
                      <m:r>
                        <m:rPr>
                          <m:sty m:val="p"/>
                        </m:rPr>
                        <w:rPr>
                          <w:rFonts w:ascii="Cambria Math" w:hAnsi="Cambria Math"/>
                        </w:rPr>
                        <m:t>1</m:t>
                      </m:r>
                    </m:sub>
                  </m:sSub>
                </m:e>
              </m:acc>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w:rPr>
                  <w:rFonts w:ascii="Cambria Math" w:hAnsi="Cambria Math"/>
                </w:rPr>
                <m:t>γ</m:t>
              </m:r>
            </m:oMath>
            <w:r w:rsidRPr="00976CAE">
              <w:t xml:space="preserve"> </w:t>
            </w:r>
            <w:r>
              <w:t xml:space="preserve">and </w:t>
            </w:r>
            <m:oMath>
              <m:r>
                <m:rPr>
                  <m:sty m:val="p"/>
                </m:rPr>
                <w:rPr>
                  <w:rFonts w:ascii="Cambria Math" w:hAnsi="Cambria Math"/>
                </w:rPr>
                <m:t xml:space="preserve">plim </m:t>
              </m:r>
              <m:acc>
                <m:accPr>
                  <m:ctrlPr>
                    <w:rPr>
                      <w:rFonts w:ascii="Cambria Math" w:hAnsi="Cambria Math"/>
                    </w:rPr>
                  </m:ctrlPr>
                </m:accPr>
                <m:e>
                  <m:sSub>
                    <m:sSubPr>
                      <m:ctrlPr>
                        <w:rPr>
                          <w:rFonts w:ascii="Cambria Math" w:hAnsi="Cambria Math"/>
                        </w:rPr>
                      </m:ctrlPr>
                    </m:sSubPr>
                    <m:e>
                      <m:r>
                        <w:rPr>
                          <w:rFonts w:ascii="Cambria Math" w:hAnsi="Cambria Math"/>
                        </w:rPr>
                        <m:t>β</m:t>
                      </m:r>
                    </m:e>
                    <m:sub>
                      <m:r>
                        <m:rPr>
                          <m:sty m:val="p"/>
                        </m:rPr>
                        <w:rPr>
                          <w:rFonts w:ascii="Cambria Math" w:hAnsi="Cambria Math"/>
                        </w:rPr>
                        <m:t>3</m:t>
                      </m:r>
                    </m:sub>
                  </m:sSub>
                </m:e>
              </m:acc>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r>
                <w:rPr>
                  <w:rFonts w:ascii="Cambria Math" w:hAnsi="Cambria Math"/>
                </w:rPr>
                <m:t>γ</m:t>
              </m:r>
            </m:oMath>
            <w:r w:rsidRPr="009535CF">
              <w:t xml:space="preserve"> </w:t>
            </w:r>
            <w:r>
              <w:t xml:space="preserve">for some </w:t>
            </w:r>
            <m:oMath>
              <m:r>
                <w:rPr>
                  <w:rFonts w:ascii="Cambria Math" w:hAnsi="Cambria Math"/>
                </w:rPr>
                <m:t>γ</m:t>
              </m:r>
            </m:oMath>
            <w:r>
              <w:t xml:space="preserve">, because the first row of the right hand side of both equations differs only by the factor </w:t>
            </w:r>
            <m:oMath>
              <m:f>
                <m:fPr>
                  <m:type m:val="lin"/>
                  <m:ctrlPr>
                    <w:rPr>
                      <w:rFonts w:ascii="Cambria Math" w:hAnsi="Cambria Math"/>
                    </w:rPr>
                  </m:ctrlPr>
                </m:fPr>
                <m:num>
                  <m:sSub>
                    <m:sSubPr>
                      <m:ctrlPr>
                        <w:rPr>
                          <w:rFonts w:ascii="Cambria Math" w:hAnsi="Cambria Math"/>
                        </w:rPr>
                      </m:ctrlPr>
                    </m:sSubPr>
                    <m:e>
                      <m:r>
                        <w:rPr>
                          <w:rFonts w:ascii="Cambria Math" w:hAnsi="Cambria Math"/>
                        </w:rPr>
                        <m:t>β</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β</m:t>
                      </m:r>
                    </m:e>
                    <m:sub>
                      <m:r>
                        <m:rPr>
                          <m:sty m:val="p"/>
                        </m:rPr>
                        <w:rPr>
                          <w:rFonts w:ascii="Cambria Math" w:hAnsi="Cambria Math"/>
                        </w:rPr>
                        <m:t>3</m:t>
                      </m:r>
                    </m:sub>
                  </m:sSub>
                </m:den>
              </m:f>
            </m:oMath>
            <w:r>
              <w:t>.</w:t>
            </w:r>
          </w:p>
          <w:p w14:paraId="7580E69E" w14:textId="77777777" w:rsidR="00767353" w:rsidRDefault="00767353" w:rsidP="00604051">
            <w:pPr>
              <w:pStyle w:val="BodyText"/>
            </w:pPr>
            <w:r>
              <w:t>Therefore:</w:t>
            </w:r>
          </w:p>
          <w:p w14:paraId="6D1C2F4F" w14:textId="77777777" w:rsidR="00767353" w:rsidRDefault="00767353" w:rsidP="00604051">
            <w:pPr>
              <w:pStyle w:val="BodyText"/>
            </w:pPr>
            <m:oMathPara>
              <m:oMath>
                <m:r>
                  <m:rPr>
                    <m:sty m:val="p"/>
                  </m:rPr>
                  <w:rPr>
                    <w:rFonts w:ascii="Cambria Math" w:hAnsi="Cambria Math"/>
                  </w:rPr>
                  <m:t>1-plim</m:t>
                </m:r>
                <m:f>
                  <m:fPr>
                    <m:type m:val="lin"/>
                    <m:ctrlPr>
                      <w:rPr>
                        <w:rFonts w:ascii="Cambria Math" w:hAnsi="Cambria Math"/>
                      </w:rPr>
                    </m:ctrlPr>
                  </m:fPr>
                  <m:num>
                    <m:acc>
                      <m:accPr>
                        <m:ctrlPr>
                          <w:rPr>
                            <w:rFonts w:ascii="Cambria Math" w:hAnsi="Cambria Math"/>
                          </w:rPr>
                        </m:ctrlPr>
                      </m:accPr>
                      <m:e>
                        <m:sSub>
                          <m:sSubPr>
                            <m:ctrlPr>
                              <w:rPr>
                                <w:rFonts w:ascii="Cambria Math" w:hAnsi="Cambria Math"/>
                              </w:rPr>
                            </m:ctrlPr>
                          </m:sSubPr>
                          <m:e>
                            <m:r>
                              <w:rPr>
                                <w:rFonts w:ascii="Cambria Math" w:hAnsi="Cambria Math"/>
                              </w:rPr>
                              <m:t>β</m:t>
                            </m:r>
                          </m:e>
                          <m:sub>
                            <m:r>
                              <m:rPr>
                                <m:sty m:val="p"/>
                              </m:rPr>
                              <w:rPr>
                                <w:rFonts w:ascii="Cambria Math" w:hAnsi="Cambria Math"/>
                              </w:rPr>
                              <m:t>3</m:t>
                            </m:r>
                          </m:sub>
                        </m:sSub>
                      </m:e>
                    </m:acc>
                  </m:num>
                  <m:den>
                    <m:r>
                      <m:rPr>
                        <m:sty m:val="p"/>
                      </m:rPr>
                      <w:rPr>
                        <w:rFonts w:ascii="Cambria Math" w:hAnsi="Cambria Math"/>
                      </w:rPr>
                      <m:t>plim</m:t>
                    </m:r>
                    <m:acc>
                      <m:accPr>
                        <m:ctrlPr>
                          <w:rPr>
                            <w:rFonts w:ascii="Cambria Math" w:hAnsi="Cambria Math"/>
                          </w:rPr>
                        </m:ctrlPr>
                      </m:accPr>
                      <m:e>
                        <m:sSub>
                          <m:sSubPr>
                            <m:ctrlPr>
                              <w:rPr>
                                <w:rFonts w:ascii="Cambria Math" w:hAnsi="Cambria Math"/>
                              </w:rPr>
                            </m:ctrlPr>
                          </m:sSubPr>
                          <m:e>
                            <m:r>
                              <m:rPr>
                                <m:sty m:val="p"/>
                              </m:rPr>
                              <w:rPr>
                                <w:rFonts w:ascii="Cambria Math" w:hAnsi="Cambria Math"/>
                              </w:rPr>
                              <m:t xml:space="preserve"> </m:t>
                            </m:r>
                            <m:r>
                              <w:rPr>
                                <w:rFonts w:ascii="Cambria Math" w:hAnsi="Cambria Math"/>
                              </w:rPr>
                              <m:t>β</m:t>
                            </m:r>
                          </m:e>
                          <m:sub>
                            <m:r>
                              <m:rPr>
                                <m:sty m:val="p"/>
                              </m:rPr>
                              <w:rPr>
                                <w:rFonts w:ascii="Cambria Math" w:hAnsi="Cambria Math"/>
                              </w:rPr>
                              <m:t>1</m:t>
                            </m:r>
                          </m:sub>
                        </m:sSub>
                      </m:e>
                    </m:acc>
                  </m:den>
                </m:f>
                <m:r>
                  <m:rPr>
                    <m:sty m:val="p"/>
                  </m:rPr>
                  <w:rPr>
                    <w:rFonts w:ascii="Cambria Math" w:hAnsi="Cambria Math"/>
                  </w:rPr>
                  <m:t>=1-</m:t>
                </m:r>
                <m:f>
                  <m:fPr>
                    <m:type m:val="lin"/>
                    <m:ctrlPr>
                      <w:rPr>
                        <w:rFonts w:ascii="Cambria Math" w:hAnsi="Cambria Math"/>
                      </w:rPr>
                    </m:ctrlPr>
                  </m:fPr>
                  <m:num>
                    <m:sSub>
                      <m:sSubPr>
                        <m:ctrlPr>
                          <w:rPr>
                            <w:rFonts w:ascii="Cambria Math" w:hAnsi="Cambria Math"/>
                          </w:rPr>
                        </m:ctrlPr>
                      </m:sSubPr>
                      <m:e>
                        <m:r>
                          <w:rPr>
                            <w:rFonts w:ascii="Cambria Math" w:hAnsi="Cambria Math"/>
                          </w:rPr>
                          <m:t>β</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β</m:t>
                        </m:r>
                      </m:e>
                      <m:sub>
                        <m:r>
                          <m:rPr>
                            <m:sty m:val="p"/>
                          </m:rPr>
                          <w:rPr>
                            <w:rFonts w:ascii="Cambria Math" w:hAnsi="Cambria Math"/>
                          </w:rPr>
                          <m:t>1</m:t>
                        </m:r>
                      </m:sub>
                    </m:sSub>
                  </m:den>
                </m:f>
                <m:r>
                  <m:rPr>
                    <m:sty m:val="p"/>
                  </m:rPr>
                  <w:rPr>
                    <w:rFonts w:ascii="Cambria Math" w:hAnsi="Cambria Math"/>
                  </w:rPr>
                  <m:t xml:space="preserve"> </m:t>
                </m:r>
              </m:oMath>
            </m:oMathPara>
          </w:p>
        </w:tc>
      </w:tr>
      <w:tr w:rsidR="00767353" w14:paraId="2F9E9E31" w14:textId="77777777" w:rsidTr="00604051">
        <w:tc>
          <w:tcPr>
            <w:tcW w:w="9638" w:type="dxa"/>
            <w:shd w:val="clear" w:color="auto" w:fill="auto"/>
            <w:tcMar>
              <w:top w:w="0" w:type="dxa"/>
              <w:left w:w="170" w:type="dxa"/>
              <w:bottom w:w="0" w:type="dxa"/>
              <w:right w:w="170" w:type="dxa"/>
            </w:tcMar>
          </w:tcPr>
          <w:p w14:paraId="2DCD14AB" w14:textId="77777777" w:rsidR="00767353" w:rsidRDefault="00767353" w:rsidP="00604051">
            <w:pPr>
              <w:pStyle w:val="BodyText"/>
              <w:spacing w:before="0" w:after="0" w:line="80" w:lineRule="atLeast"/>
            </w:pPr>
          </w:p>
        </w:tc>
      </w:tr>
    </w:tbl>
    <w:p w14:paraId="73278EDF" w14:textId="77777777" w:rsidR="00767353" w:rsidRDefault="00767353" w:rsidP="00767353">
      <w:pPr>
        <w:pStyle w:val="BodyText"/>
      </w:pPr>
      <w:r>
        <w:t xml:space="preserve">What remains is the construction of </w:t>
      </w:r>
      <m:oMath>
        <m:sSub>
          <m:sSubPr>
            <m:ctrlPr>
              <w:rPr>
                <w:rFonts w:ascii="Cambria Math" w:hAnsi="Cambria Math"/>
                <w:i/>
              </w:rPr>
            </m:ctrlPr>
          </m:sSubPr>
          <m:e>
            <m:r>
              <w:rPr>
                <w:rFonts w:ascii="Cambria Math" w:hAnsi="Cambria Math"/>
              </w:rPr>
              <m:t>Child wealth excluding inheritances (rank)</m:t>
            </m:r>
          </m:e>
          <m:sub>
            <m:r>
              <w:rPr>
                <w:rFonts w:ascii="Cambria Math" w:hAnsi="Cambria Math"/>
              </w:rPr>
              <m:t>i, 2018</m:t>
            </m:r>
          </m:sub>
        </m:sSub>
      </m:oMath>
      <w:r>
        <w:t xml:space="preserve">. This is estimated by deducting household </w:t>
      </w:r>
      <m:oMath>
        <m:r>
          <w:rPr>
            <w:rFonts w:ascii="Cambria Math" w:hAnsi="Cambria Math"/>
          </w:rPr>
          <m:t>i</m:t>
        </m:r>
      </m:oMath>
      <w:r>
        <w:t xml:space="preserve">’s estimated increase to wealth due to inheritances and then sorting the households into percentile ranks. The amount to deduct is calculated by estimating the 0–3 year and 4–7 year models outlined in section B.6 for the case </w:t>
      </w:r>
      <m:oMath>
        <m:r>
          <w:rPr>
            <w:rFonts w:ascii="Cambria Math" w:hAnsi="Cambria Math"/>
          </w:rPr>
          <m:t>k=1</m:t>
        </m:r>
      </m:oMath>
      <w:r>
        <w:t xml:space="preserve"> (the degenerate case of a single quantile) with the sample </w:t>
      </w:r>
      <w:r>
        <w:lastRenderedPageBreak/>
        <w:t>restricted to those aged 47–73 when they received an inheritance — the age range that corresponds with the child generation — and all variables converted to real terms to remove the effects of inflation. When the resulting estimates are taken to apply at their respective mid</w:t>
      </w:r>
      <w:r>
        <w:noBreakHyphen/>
        <w:t>points (1.5 years and 5.5 years) and the fact that each $1 of inheritance must increase wealth by $1 in the immediate term is recognised, a linear depletion path is clearly apparent (figure B.3).</w:t>
      </w:r>
      <w:r>
        <w:rPr>
          <w:rStyle w:val="FootnoteReference"/>
        </w:rPr>
        <w:footnoteReference w:id="61"/>
      </w:r>
      <w:r>
        <w:t xml:space="preserve"> This is taken to be the central depletion path, and a ‘fast’ depletion (twice the rate, to a maximum of full depletion) and the case of no depletion are taken as robustness checks.</w:t>
      </w:r>
    </w:p>
    <w:p w14:paraId="4FA0EF61" w14:textId="5BD59ED5"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8557A">
        <w:t>3</w:t>
      </w:r>
      <w:r>
        <w:rPr>
          <w:noProof/>
        </w:rPr>
        <w:t xml:space="preserve"> </w:t>
      </w:r>
      <w:r>
        <w:t>– Inheritance depletion path</w:t>
      </w:r>
    </w:p>
    <w:p w14:paraId="6C0C4B81" w14:textId="77777777" w:rsidR="00767353" w:rsidRPr="00D81539" w:rsidRDefault="00767353" w:rsidP="00767353">
      <w:pPr>
        <w:pStyle w:val="FigureTableSubheading"/>
        <w:keepLines/>
        <w:rPr>
          <w:sz w:val="18"/>
          <w:szCs w:val="16"/>
        </w:rPr>
      </w:pPr>
      <w:r w:rsidRPr="00D81539">
        <w:rPr>
          <w:sz w:val="18"/>
          <w:szCs w:val="16"/>
        </w:rPr>
        <w:t>Model</w:t>
      </w:r>
      <w:r w:rsidRPr="00D81539">
        <w:rPr>
          <w:sz w:val="18"/>
          <w:szCs w:val="16"/>
        </w:rPr>
        <w:noBreakHyphen/>
        <w:t>derived estimates and implied depletion path</w:t>
      </w:r>
    </w:p>
    <w:p w14:paraId="2EB989F4" w14:textId="3BE6C5EC" w:rsidR="00767353" w:rsidRPr="005550A0" w:rsidRDefault="00B616D9" w:rsidP="00767353">
      <w:pPr>
        <w:pStyle w:val="BodyText"/>
      </w:pPr>
      <w:r w:rsidRPr="00B616D9">
        <w:t xml:space="preserve"> </w:t>
      </w:r>
      <w:r w:rsidRPr="00B616D9">
        <w:rPr>
          <w:noProof/>
        </w:rPr>
        <w:drawing>
          <wp:inline distT="0" distB="0" distL="0" distR="0" wp14:anchorId="31DFF321" wp14:editId="07810668">
            <wp:extent cx="5402580" cy="2872740"/>
            <wp:effectExtent l="0" t="0" r="7620" b="3810"/>
            <wp:docPr id="185" name="Picture 185" descr="Figure B.3. This chart shows the inheritance depletion path used to model the effect of inheritances on intergenerational wealth persistence and the two point estimates with which the depletion path was calibrated. It also shows the two alternative depletion paths that are modell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Figure B.3. This chart shows the inheritance depletion path used to model the effect of inheritances on intergenerational wealth persistence and the two point estimates with which the depletion path was calibrated. It also shows the two alternative depletion paths that are modelled. More details are contained in the text surrounding this figur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p w14:paraId="1EEE134F" w14:textId="77777777" w:rsidR="00767353" w:rsidRDefault="00767353" w:rsidP="00767353">
      <w:pPr>
        <w:pStyle w:val="Source"/>
      </w:pPr>
      <w:r w:rsidRPr="00696447">
        <w:t xml:space="preserve">Source: </w:t>
      </w:r>
      <w:r>
        <w:t>Productivity Commission estimates based on HILDA Restricted Release 19.</w:t>
      </w:r>
    </w:p>
    <w:p w14:paraId="2E6783FC" w14:textId="77777777" w:rsidR="00767353" w:rsidRDefault="00767353" w:rsidP="00767353">
      <w:pPr>
        <w:pStyle w:val="BodyText"/>
      </w:pPr>
      <w:r>
        <w:t xml:space="preserve">Table B.4 contains the results, in particular the estimate that 36 per cent of IWP is attributed to inheritances, which corresponds with the main sample and central depletion path. It is also notable that </w:t>
      </w:r>
      <m:oMath>
        <m:r>
          <w:rPr>
            <w:rFonts w:ascii="Cambria Math" w:hAnsi="Cambria Math"/>
          </w:rPr>
          <m:t>1-</m:t>
        </m:r>
        <m:f>
          <m:fPr>
            <m:type m:val="lin"/>
            <m:ctrlPr>
              <w:rPr>
                <w:rFonts w:ascii="Cambria Math" w:hAnsi="Cambria Math"/>
                <w:i/>
              </w:rPr>
            </m:ctrlPr>
          </m:fPr>
          <m:num>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3</m:t>
                    </m:r>
                  </m:sub>
                </m:sSub>
              </m:e>
            </m:acc>
          </m:num>
          <m:den>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den>
        </m:f>
      </m:oMath>
      <w:r>
        <w:t xml:space="preserve"> is less sensitive to the choice of sample than the IWP estimate itself. This reflects the claim proven in box B.1.</w:t>
      </w:r>
    </w:p>
    <w:p w14:paraId="543F1C8F" w14:textId="524091A7"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8557A">
        <w:t>4</w:t>
      </w:r>
      <w:r>
        <w:rPr>
          <w:noProof/>
        </w:rPr>
        <w:t xml:space="preserve"> – </w:t>
      </w:r>
      <w:r>
        <w:t>Intergenerational wealth persistence and share attributable to inheritances</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461"/>
        <w:gridCol w:w="2059"/>
        <w:gridCol w:w="2059"/>
        <w:gridCol w:w="2059"/>
      </w:tblGrid>
      <w:tr w:rsidR="00767353" w:rsidRPr="00C5059B" w14:paraId="159B0C69" w14:textId="77777777" w:rsidTr="00604051">
        <w:trPr>
          <w:tblHeader/>
        </w:trPr>
        <w:tc>
          <w:tcPr>
            <w:tcW w:w="1796" w:type="pct"/>
            <w:tcBorders>
              <w:bottom w:val="single" w:sz="4" w:space="0" w:color="B3B3B3"/>
            </w:tcBorders>
            <w:shd w:val="clear" w:color="auto" w:fill="auto"/>
            <w:tcMar>
              <w:top w:w="28" w:type="dxa"/>
            </w:tcMar>
          </w:tcPr>
          <w:p w14:paraId="143774C4" w14:textId="77777777" w:rsidR="00767353" w:rsidRPr="00C5059B" w:rsidRDefault="00767353" w:rsidP="00604051">
            <w:pPr>
              <w:pStyle w:val="TableColumnHeading"/>
              <w:spacing w:before="45" w:after="45"/>
              <w:ind w:left="57" w:right="108"/>
              <w:jc w:val="left"/>
              <w:rPr>
                <w:rFonts w:ascii="Arial (Body)" w:hAnsi="Arial (Body)"/>
                <w:b/>
                <w:i w:val="0"/>
                <w:color w:val="265A9A"/>
              </w:rPr>
            </w:pPr>
          </w:p>
        </w:tc>
        <w:tc>
          <w:tcPr>
            <w:tcW w:w="1068" w:type="pct"/>
            <w:tcBorders>
              <w:bottom w:val="single" w:sz="4" w:space="0" w:color="B3B3B3"/>
            </w:tcBorders>
            <w:shd w:val="clear" w:color="auto" w:fill="auto"/>
          </w:tcPr>
          <w:p w14:paraId="2E873C60" w14:textId="77777777" w:rsidR="00767353" w:rsidRPr="00C5059B" w:rsidRDefault="00767353" w:rsidP="00604051">
            <w:pPr>
              <w:pStyle w:val="TableColumnHeading"/>
              <w:spacing w:before="45" w:after="45"/>
              <w:ind w:left="57" w:right="108"/>
              <w:rPr>
                <w:rFonts w:ascii="Arial (Body)" w:hAnsi="Arial (Body)"/>
                <w:b/>
                <w:i w:val="0"/>
                <w:color w:val="265A9A"/>
              </w:rPr>
            </w:pPr>
            <w:r w:rsidRPr="00C5059B">
              <w:rPr>
                <w:rFonts w:ascii="Arial (Body)" w:hAnsi="Arial (Body)"/>
                <w:b/>
                <w:i w:val="0"/>
                <w:color w:val="265A9A"/>
              </w:rPr>
              <w:t>Small sample</w:t>
            </w:r>
          </w:p>
        </w:tc>
        <w:tc>
          <w:tcPr>
            <w:tcW w:w="1068" w:type="pct"/>
            <w:tcBorders>
              <w:bottom w:val="single" w:sz="4" w:space="0" w:color="B3B3B3"/>
            </w:tcBorders>
            <w:shd w:val="clear" w:color="auto" w:fill="auto"/>
            <w:tcMar>
              <w:top w:w="28" w:type="dxa"/>
            </w:tcMar>
          </w:tcPr>
          <w:p w14:paraId="1523F90F" w14:textId="77777777" w:rsidR="00767353" w:rsidRPr="00C5059B" w:rsidRDefault="00767353" w:rsidP="00604051">
            <w:pPr>
              <w:pStyle w:val="TableColumnHeading"/>
              <w:spacing w:before="45" w:after="45"/>
              <w:ind w:left="57" w:right="108"/>
              <w:rPr>
                <w:rFonts w:ascii="Arial (Body)" w:hAnsi="Arial (Body)"/>
                <w:b/>
                <w:i w:val="0"/>
                <w:color w:val="265A9A"/>
              </w:rPr>
            </w:pPr>
            <w:r w:rsidRPr="00C5059B">
              <w:rPr>
                <w:rFonts w:ascii="Arial (Body)" w:hAnsi="Arial (Body)"/>
                <w:b/>
                <w:i w:val="0"/>
                <w:color w:val="265A9A"/>
              </w:rPr>
              <w:t>Main sample</w:t>
            </w:r>
          </w:p>
        </w:tc>
        <w:tc>
          <w:tcPr>
            <w:tcW w:w="1068" w:type="pct"/>
            <w:tcBorders>
              <w:bottom w:val="single" w:sz="4" w:space="0" w:color="B3B3B3"/>
            </w:tcBorders>
            <w:shd w:val="clear" w:color="auto" w:fill="auto"/>
            <w:tcMar>
              <w:top w:w="28" w:type="dxa"/>
            </w:tcMar>
          </w:tcPr>
          <w:p w14:paraId="2016612F" w14:textId="77777777" w:rsidR="00767353" w:rsidRPr="00C5059B" w:rsidRDefault="00767353" w:rsidP="00604051">
            <w:pPr>
              <w:pStyle w:val="TableColumnHeading"/>
              <w:spacing w:before="45" w:after="45"/>
              <w:ind w:left="57" w:right="108"/>
              <w:rPr>
                <w:rFonts w:ascii="Arial (Body)" w:hAnsi="Arial (Body)"/>
                <w:b/>
                <w:i w:val="0"/>
                <w:color w:val="265A9A"/>
              </w:rPr>
            </w:pPr>
            <w:r w:rsidRPr="00C5059B">
              <w:rPr>
                <w:rFonts w:ascii="Arial (Body)" w:hAnsi="Arial (Body)"/>
                <w:b/>
                <w:i w:val="0"/>
                <w:color w:val="265A9A"/>
              </w:rPr>
              <w:t>Large sample</w:t>
            </w:r>
          </w:p>
        </w:tc>
      </w:tr>
      <w:tr w:rsidR="00767353" w:rsidRPr="00C5059B" w14:paraId="73D60444" w14:textId="77777777" w:rsidTr="00604051">
        <w:trPr>
          <w:tblHeader/>
        </w:trPr>
        <w:tc>
          <w:tcPr>
            <w:tcW w:w="1796" w:type="pct"/>
            <w:tcBorders>
              <w:top w:val="single" w:sz="4" w:space="0" w:color="B3B3B3"/>
              <w:bottom w:val="nil"/>
            </w:tcBorders>
            <w:shd w:val="clear" w:color="auto" w:fill="auto"/>
            <w:tcMar>
              <w:top w:w="28" w:type="dxa"/>
            </w:tcMar>
          </w:tcPr>
          <w:p w14:paraId="7837E4CB" w14:textId="311EE3B5" w:rsidR="00767353" w:rsidRPr="00C5059B"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r>
                      <w:rPr>
                        <w:rFonts w:ascii="Cambria Math" w:hAnsi="Cambria Math"/>
                      </w:rPr>
                      <m:t>Child</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r>
                      <w:rPr>
                        <w:rFonts w:ascii="Cambria Math" w:hAnsi="Cambria Math"/>
                      </w:rPr>
                      <m:t>rank</m:t>
                    </m:r>
                    <m:r>
                      <m:rPr>
                        <m:sty m:val="p"/>
                      </m:rPr>
                      <w:rPr>
                        <w:rFonts w:ascii="Cambria Math" w:hAnsi="Cambria Math"/>
                      </w:rPr>
                      <m:t>)</m:t>
                    </m:r>
                  </m:e>
                  <m:sub>
                    <m:r>
                      <w:rPr>
                        <w:rFonts w:ascii="Cambria Math" w:hAnsi="Cambria Math"/>
                      </w:rPr>
                      <m:t>i</m:t>
                    </m:r>
                    <m:r>
                      <m:rPr>
                        <m:sty m:val="p"/>
                      </m:rPr>
                      <w:rPr>
                        <w:rFonts w:ascii="Cambria Math" w:hAnsi="Cambria Math"/>
                      </w:rPr>
                      <m:t>, 2018</m:t>
                    </m:r>
                  </m:sub>
                </m:sSub>
              </m:oMath>
            </m:oMathPara>
          </w:p>
        </w:tc>
        <w:tc>
          <w:tcPr>
            <w:tcW w:w="1068" w:type="pct"/>
            <w:tcBorders>
              <w:top w:val="single" w:sz="4" w:space="0" w:color="B3B3B3"/>
              <w:bottom w:val="nil"/>
            </w:tcBorders>
            <w:shd w:val="clear" w:color="auto" w:fill="auto"/>
          </w:tcPr>
          <w:p w14:paraId="135138FC"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0.24</w:t>
            </w:r>
          </w:p>
        </w:tc>
        <w:tc>
          <w:tcPr>
            <w:tcW w:w="1068" w:type="pct"/>
            <w:tcBorders>
              <w:top w:val="single" w:sz="4" w:space="0" w:color="B3B3B3"/>
              <w:bottom w:val="nil"/>
            </w:tcBorders>
            <w:shd w:val="clear" w:color="auto" w:fill="auto"/>
            <w:tcMar>
              <w:top w:w="28" w:type="dxa"/>
            </w:tcMar>
          </w:tcPr>
          <w:p w14:paraId="2E03CB21" w14:textId="77777777" w:rsidR="00767353" w:rsidRPr="00C5059B" w:rsidRDefault="00767353" w:rsidP="00604051">
            <w:pPr>
              <w:pStyle w:val="TableBodyText"/>
              <w:spacing w:before="45" w:after="45"/>
              <w:ind w:left="57" w:right="108"/>
              <w:rPr>
                <w:rFonts w:ascii="Arial (Body)" w:hAnsi="Arial (Body)"/>
                <w:bCs/>
                <w:color w:val="000000"/>
              </w:rPr>
            </w:pPr>
            <w:r w:rsidRPr="00C5059B">
              <w:rPr>
                <w:rFonts w:ascii="Arial (Body)" w:hAnsi="Arial (Body)"/>
                <w:bCs/>
                <w:color w:val="000000"/>
              </w:rPr>
              <w:t>0.26</w:t>
            </w:r>
          </w:p>
        </w:tc>
        <w:tc>
          <w:tcPr>
            <w:tcW w:w="1068" w:type="pct"/>
            <w:tcBorders>
              <w:top w:val="single" w:sz="4" w:space="0" w:color="B3B3B3"/>
              <w:bottom w:val="nil"/>
            </w:tcBorders>
            <w:shd w:val="clear" w:color="auto" w:fill="auto"/>
            <w:tcMar>
              <w:top w:w="28" w:type="dxa"/>
            </w:tcMar>
          </w:tcPr>
          <w:p w14:paraId="62947193"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0.30</w:t>
            </w:r>
          </w:p>
        </w:tc>
      </w:tr>
      <w:tr w:rsidR="00767353" w:rsidRPr="00C5059B" w14:paraId="54CFFD68" w14:textId="77777777" w:rsidTr="00604051">
        <w:tc>
          <w:tcPr>
            <w:tcW w:w="5000" w:type="pct"/>
            <w:gridSpan w:val="4"/>
            <w:tcBorders>
              <w:top w:val="nil"/>
              <w:bottom w:val="nil"/>
            </w:tcBorders>
            <w:shd w:val="clear" w:color="auto" w:fill="F2F2F2" w:themeFill="background1" w:themeFillShade="F2"/>
          </w:tcPr>
          <w:p w14:paraId="746EAC2C" w14:textId="77777777" w:rsidR="00767353" w:rsidRPr="00C5059B" w:rsidRDefault="00767353" w:rsidP="00604051">
            <w:pPr>
              <w:pStyle w:val="TableColumnHeading"/>
              <w:spacing w:before="45" w:after="45"/>
              <w:ind w:left="57" w:right="108"/>
              <w:jc w:val="left"/>
              <w:rPr>
                <w:rFonts w:ascii="Arial (Body)" w:hAnsi="Arial (Body)"/>
                <w:b/>
                <w:i w:val="0"/>
                <w:color w:val="265A9A"/>
              </w:rPr>
            </w:pPr>
            <w:r w:rsidRPr="00C5059B">
              <w:rPr>
                <w:rFonts w:ascii="Arial (Body)" w:hAnsi="Arial (Body)"/>
                <w:b/>
                <w:i w:val="0"/>
                <w:color w:val="265A9A"/>
              </w:rPr>
              <w:t>Fast inheritance depletion path</w:t>
            </w:r>
          </w:p>
        </w:tc>
      </w:tr>
      <w:tr w:rsidR="00767353" w:rsidRPr="00C5059B" w14:paraId="26A34941" w14:textId="77777777" w:rsidTr="00604051">
        <w:tc>
          <w:tcPr>
            <w:tcW w:w="1796" w:type="pct"/>
            <w:tcBorders>
              <w:bottom w:val="nil"/>
            </w:tcBorders>
            <w:shd w:val="clear" w:color="auto" w:fill="auto"/>
          </w:tcPr>
          <w:p w14:paraId="4A396E80" w14:textId="0912746B" w:rsidR="00767353" w:rsidRPr="00C5059B"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eqArr>
                      <m:eqArrPr>
                        <m:ctrlPr>
                          <w:rPr>
                            <w:rFonts w:ascii="Cambria Math" w:hAnsi="Cambria Math"/>
                            <w:bCs/>
                          </w:rPr>
                        </m:ctrlPr>
                      </m:eqArrPr>
                      <m:e>
                        <m:r>
                          <w:rPr>
                            <w:rFonts w:ascii="Cambria Math" w:hAnsi="Cambria Math"/>
                          </w:rPr>
                          <m:t>Child</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e>
                      <m:e>
                        <m:r>
                          <w:rPr>
                            <w:rFonts w:ascii="Cambria Math" w:hAnsi="Cambria Math"/>
                          </w:rPr>
                          <m:t>excluding</m:t>
                        </m:r>
                        <m:r>
                          <m:rPr>
                            <m:sty m:val="p"/>
                          </m:rPr>
                          <w:rPr>
                            <w:rFonts w:ascii="Cambria Math" w:hAnsi="Cambria Math"/>
                          </w:rPr>
                          <m:t xml:space="preserve"> </m:t>
                        </m:r>
                        <m:r>
                          <w:rPr>
                            <w:rFonts w:ascii="Cambria Math" w:hAnsi="Cambria Math"/>
                          </w:rPr>
                          <m:t>inheritances</m:t>
                        </m:r>
                        <m:r>
                          <m:rPr>
                            <m:sty m:val="p"/>
                          </m:rPr>
                          <w:rPr>
                            <w:rFonts w:ascii="Cambria Math" w:hAnsi="Cambria Math"/>
                          </w:rPr>
                          <m:t xml:space="preserve"> (</m:t>
                        </m:r>
                        <m:r>
                          <w:rPr>
                            <w:rFonts w:ascii="Cambria Math" w:hAnsi="Cambria Math"/>
                          </w:rPr>
                          <m:t>rank</m:t>
                        </m:r>
                        <m:r>
                          <m:rPr>
                            <m:sty m:val="p"/>
                          </m:rPr>
                          <w:rPr>
                            <w:rFonts w:ascii="Cambria Math" w:hAnsi="Cambria Math"/>
                          </w:rPr>
                          <m:t>)</m:t>
                        </m:r>
                      </m:e>
                    </m:eqArr>
                  </m:e>
                  <m:sub>
                    <m:r>
                      <w:rPr>
                        <w:rFonts w:ascii="Cambria Math" w:hAnsi="Cambria Math"/>
                      </w:rPr>
                      <m:t>i</m:t>
                    </m:r>
                    <m:r>
                      <m:rPr>
                        <m:sty m:val="p"/>
                      </m:rPr>
                      <w:rPr>
                        <w:rFonts w:ascii="Cambria Math" w:hAnsi="Cambria Math"/>
                      </w:rPr>
                      <m:t>, 2018</m:t>
                    </m:r>
                  </m:sub>
                </m:sSub>
              </m:oMath>
            </m:oMathPara>
          </w:p>
        </w:tc>
        <w:tc>
          <w:tcPr>
            <w:tcW w:w="1068" w:type="pct"/>
            <w:tcBorders>
              <w:bottom w:val="nil"/>
            </w:tcBorders>
            <w:shd w:val="clear" w:color="auto" w:fill="auto"/>
          </w:tcPr>
          <w:p w14:paraId="1850F7AC"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0.19</w:t>
            </w:r>
          </w:p>
        </w:tc>
        <w:tc>
          <w:tcPr>
            <w:tcW w:w="1068" w:type="pct"/>
            <w:tcBorders>
              <w:bottom w:val="nil"/>
            </w:tcBorders>
            <w:shd w:val="clear" w:color="auto" w:fill="auto"/>
          </w:tcPr>
          <w:p w14:paraId="753A4CC9"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0.21</w:t>
            </w:r>
          </w:p>
        </w:tc>
        <w:tc>
          <w:tcPr>
            <w:tcW w:w="1068" w:type="pct"/>
            <w:tcBorders>
              <w:bottom w:val="nil"/>
            </w:tcBorders>
            <w:shd w:val="clear" w:color="auto" w:fill="auto"/>
          </w:tcPr>
          <w:p w14:paraId="58A0A9EA"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0.24</w:t>
            </w:r>
          </w:p>
        </w:tc>
      </w:tr>
      <w:tr w:rsidR="00767353" w:rsidRPr="00C5059B" w14:paraId="0C873D23" w14:textId="77777777" w:rsidTr="00604051">
        <w:tc>
          <w:tcPr>
            <w:tcW w:w="1796" w:type="pct"/>
            <w:tcBorders>
              <w:top w:val="nil"/>
              <w:bottom w:val="nil"/>
            </w:tcBorders>
            <w:shd w:val="clear" w:color="auto" w:fill="auto"/>
          </w:tcPr>
          <w:p w14:paraId="613E14E2" w14:textId="77777777" w:rsidR="00767353" w:rsidRPr="008753E7" w:rsidRDefault="00767353" w:rsidP="00604051">
            <w:pPr>
              <w:pStyle w:val="TableBodyText"/>
              <w:spacing w:before="45" w:after="45"/>
              <w:ind w:left="57" w:right="108"/>
              <w:jc w:val="left"/>
              <w:rPr>
                <w:rFonts w:ascii="Arial (Body)" w:hAnsi="Arial (Body)"/>
                <w:bCs/>
              </w:rPr>
            </w:pPr>
            <m:oMathPara>
              <m:oMath>
                <m:r>
                  <m:rPr>
                    <m:sty m:val="p"/>
                  </m:rPr>
                  <w:rPr>
                    <w:rFonts w:ascii="Cambria Math" w:hAnsi="Cambria Math"/>
                  </w:rPr>
                  <m:t>1-</m:t>
                </m:r>
                <m:f>
                  <m:fPr>
                    <m:type m:val="lin"/>
                    <m:ctrlPr>
                      <w:rPr>
                        <w:rFonts w:ascii="Cambria Math" w:hAnsi="Cambria Math"/>
                        <w:bCs/>
                      </w:rPr>
                    </m:ctrlPr>
                  </m:fPr>
                  <m:num>
                    <m:acc>
                      <m:accPr>
                        <m:ctrlPr>
                          <w:rPr>
                            <w:rFonts w:ascii="Cambria Math" w:hAnsi="Cambria Math"/>
                            <w:bCs/>
                          </w:rPr>
                        </m:ctrlPr>
                      </m:accPr>
                      <m:e>
                        <m:sSub>
                          <m:sSubPr>
                            <m:ctrlPr>
                              <w:rPr>
                                <w:rFonts w:ascii="Cambria Math" w:hAnsi="Cambria Math"/>
                                <w:bCs/>
                              </w:rPr>
                            </m:ctrlPr>
                          </m:sSubPr>
                          <m:e>
                            <m:r>
                              <w:rPr>
                                <w:rFonts w:ascii="Cambria Math" w:hAnsi="Cambria Math"/>
                              </w:rPr>
                              <m:t>β</m:t>
                            </m:r>
                          </m:e>
                          <m:sub>
                            <m:r>
                              <m:rPr>
                                <m:sty m:val="p"/>
                              </m:rPr>
                              <w:rPr>
                                <w:rFonts w:ascii="Cambria Math" w:hAnsi="Cambria Math"/>
                              </w:rPr>
                              <m:t>3</m:t>
                            </m:r>
                          </m:sub>
                        </m:sSub>
                      </m:e>
                    </m:acc>
                  </m:num>
                  <m:den>
                    <m:acc>
                      <m:accPr>
                        <m:ctrlPr>
                          <w:rPr>
                            <w:rFonts w:ascii="Cambria Math" w:hAnsi="Cambria Math"/>
                            <w:bCs/>
                          </w:rPr>
                        </m:ctrlPr>
                      </m:accPr>
                      <m:e>
                        <m:sSub>
                          <m:sSubPr>
                            <m:ctrlPr>
                              <w:rPr>
                                <w:rFonts w:ascii="Cambria Math" w:hAnsi="Cambria Math"/>
                                <w:bCs/>
                              </w:rPr>
                            </m:ctrlPr>
                          </m:sSubPr>
                          <m:e>
                            <m:r>
                              <w:rPr>
                                <w:rFonts w:ascii="Cambria Math" w:hAnsi="Cambria Math"/>
                              </w:rPr>
                              <m:t>β</m:t>
                            </m:r>
                          </m:e>
                          <m:sub>
                            <m:r>
                              <m:rPr>
                                <m:sty m:val="p"/>
                              </m:rPr>
                              <w:rPr>
                                <w:rFonts w:ascii="Cambria Math" w:hAnsi="Cambria Math"/>
                              </w:rPr>
                              <m:t>1</m:t>
                            </m:r>
                          </m:sub>
                        </m:sSub>
                      </m:e>
                    </m:acc>
                  </m:den>
                </m:f>
              </m:oMath>
            </m:oMathPara>
          </w:p>
        </w:tc>
        <w:tc>
          <w:tcPr>
            <w:tcW w:w="1068" w:type="pct"/>
            <w:tcBorders>
              <w:top w:val="nil"/>
              <w:bottom w:val="nil"/>
            </w:tcBorders>
            <w:shd w:val="clear" w:color="auto" w:fill="auto"/>
          </w:tcPr>
          <w:p w14:paraId="25B40CE0"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20 per cent</w:t>
            </w:r>
          </w:p>
        </w:tc>
        <w:tc>
          <w:tcPr>
            <w:tcW w:w="1068" w:type="pct"/>
            <w:tcBorders>
              <w:top w:val="nil"/>
              <w:bottom w:val="nil"/>
            </w:tcBorders>
            <w:shd w:val="clear" w:color="auto" w:fill="auto"/>
          </w:tcPr>
          <w:p w14:paraId="075EC100"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20 per cent</w:t>
            </w:r>
          </w:p>
        </w:tc>
        <w:tc>
          <w:tcPr>
            <w:tcW w:w="1068" w:type="pct"/>
            <w:tcBorders>
              <w:top w:val="nil"/>
              <w:bottom w:val="nil"/>
            </w:tcBorders>
            <w:shd w:val="clear" w:color="auto" w:fill="auto"/>
          </w:tcPr>
          <w:p w14:paraId="591EC563"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20 per cent</w:t>
            </w:r>
          </w:p>
        </w:tc>
      </w:tr>
      <w:tr w:rsidR="00767353" w:rsidRPr="00C5059B" w14:paraId="4B163FF9" w14:textId="77777777" w:rsidTr="00604051">
        <w:tc>
          <w:tcPr>
            <w:tcW w:w="5000" w:type="pct"/>
            <w:gridSpan w:val="4"/>
            <w:tcBorders>
              <w:bottom w:val="nil"/>
            </w:tcBorders>
            <w:shd w:val="clear" w:color="auto" w:fill="F2F2F2" w:themeFill="background1" w:themeFillShade="F2"/>
          </w:tcPr>
          <w:p w14:paraId="3B4116D8" w14:textId="77777777" w:rsidR="00767353" w:rsidRPr="00C5059B" w:rsidRDefault="00767353" w:rsidP="00604051">
            <w:pPr>
              <w:pStyle w:val="TableColumnHeading"/>
              <w:spacing w:before="45" w:after="45"/>
              <w:ind w:left="57" w:right="108"/>
              <w:jc w:val="left"/>
              <w:rPr>
                <w:rFonts w:ascii="Arial (Body)" w:hAnsi="Arial (Body)"/>
                <w:b/>
                <w:i w:val="0"/>
                <w:color w:val="265A9A"/>
              </w:rPr>
            </w:pPr>
            <w:r w:rsidRPr="00C5059B">
              <w:rPr>
                <w:rFonts w:ascii="Arial (Body)" w:hAnsi="Arial (Body)"/>
                <w:b/>
                <w:i w:val="0"/>
                <w:color w:val="265A9A"/>
              </w:rPr>
              <w:t>Central inheritance depletion path</w:t>
            </w:r>
          </w:p>
        </w:tc>
      </w:tr>
      <w:tr w:rsidR="00767353" w:rsidRPr="00C5059B" w14:paraId="2507F713" w14:textId="77777777" w:rsidTr="00604051">
        <w:tc>
          <w:tcPr>
            <w:tcW w:w="1796" w:type="pct"/>
            <w:tcBorders>
              <w:top w:val="nil"/>
              <w:bottom w:val="nil"/>
            </w:tcBorders>
            <w:shd w:val="clear" w:color="auto" w:fill="auto"/>
          </w:tcPr>
          <w:p w14:paraId="2FA115B0" w14:textId="2408E24C" w:rsidR="00767353" w:rsidRPr="00C5059B"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eqArr>
                      <m:eqArrPr>
                        <m:ctrlPr>
                          <w:rPr>
                            <w:rFonts w:ascii="Cambria Math" w:hAnsi="Cambria Math"/>
                            <w:bCs/>
                          </w:rPr>
                        </m:ctrlPr>
                      </m:eqArrPr>
                      <m:e>
                        <m:r>
                          <w:rPr>
                            <w:rFonts w:ascii="Cambria Math" w:hAnsi="Cambria Math"/>
                          </w:rPr>
                          <m:t>Child</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e>
                      <m:e>
                        <m:r>
                          <w:rPr>
                            <w:rFonts w:ascii="Cambria Math" w:hAnsi="Cambria Math"/>
                          </w:rPr>
                          <m:t>excluding</m:t>
                        </m:r>
                        <m:r>
                          <m:rPr>
                            <m:sty m:val="p"/>
                          </m:rPr>
                          <w:rPr>
                            <w:rFonts w:ascii="Cambria Math" w:hAnsi="Cambria Math"/>
                          </w:rPr>
                          <m:t xml:space="preserve"> </m:t>
                        </m:r>
                        <m:r>
                          <w:rPr>
                            <w:rFonts w:ascii="Cambria Math" w:hAnsi="Cambria Math"/>
                          </w:rPr>
                          <m:t>inheritances</m:t>
                        </m:r>
                        <m:r>
                          <m:rPr>
                            <m:sty m:val="p"/>
                          </m:rPr>
                          <w:rPr>
                            <w:rFonts w:ascii="Cambria Math" w:hAnsi="Cambria Math"/>
                          </w:rPr>
                          <m:t xml:space="preserve"> (</m:t>
                        </m:r>
                        <m:r>
                          <w:rPr>
                            <w:rFonts w:ascii="Cambria Math" w:hAnsi="Cambria Math"/>
                          </w:rPr>
                          <m:t>rank</m:t>
                        </m:r>
                        <m:r>
                          <m:rPr>
                            <m:sty m:val="p"/>
                          </m:rPr>
                          <w:rPr>
                            <w:rFonts w:ascii="Cambria Math" w:hAnsi="Cambria Math"/>
                          </w:rPr>
                          <m:t>)</m:t>
                        </m:r>
                      </m:e>
                    </m:eqArr>
                  </m:e>
                  <m:sub>
                    <m:r>
                      <w:rPr>
                        <w:rFonts w:ascii="Cambria Math" w:hAnsi="Cambria Math"/>
                      </w:rPr>
                      <m:t>i</m:t>
                    </m:r>
                    <m:r>
                      <m:rPr>
                        <m:sty m:val="p"/>
                      </m:rPr>
                      <w:rPr>
                        <w:rFonts w:ascii="Cambria Math" w:hAnsi="Cambria Math"/>
                      </w:rPr>
                      <m:t>, 2018</m:t>
                    </m:r>
                  </m:sub>
                </m:sSub>
              </m:oMath>
            </m:oMathPara>
          </w:p>
        </w:tc>
        <w:tc>
          <w:tcPr>
            <w:tcW w:w="1068" w:type="pct"/>
            <w:tcBorders>
              <w:top w:val="nil"/>
              <w:bottom w:val="nil"/>
            </w:tcBorders>
            <w:shd w:val="clear" w:color="auto" w:fill="auto"/>
          </w:tcPr>
          <w:p w14:paraId="51C9DFCC" w14:textId="77777777" w:rsidR="00767353" w:rsidRPr="00C5059B" w:rsidRDefault="00767353" w:rsidP="00604051">
            <w:pPr>
              <w:pStyle w:val="TableBodyText"/>
              <w:spacing w:before="45" w:after="45"/>
              <w:ind w:left="57" w:right="108"/>
              <w:rPr>
                <w:rFonts w:ascii="Arial (Body)" w:hAnsi="Arial (Body)"/>
                <w:bCs/>
              </w:rPr>
            </w:pPr>
            <w:r w:rsidRPr="00C5059B">
              <w:rPr>
                <w:rFonts w:ascii="Arial (Body)" w:hAnsi="Arial (Body)"/>
                <w:bCs/>
              </w:rPr>
              <w:t>0.16</w:t>
            </w:r>
          </w:p>
        </w:tc>
        <w:tc>
          <w:tcPr>
            <w:tcW w:w="1068" w:type="pct"/>
            <w:tcBorders>
              <w:top w:val="nil"/>
              <w:bottom w:val="nil"/>
            </w:tcBorders>
            <w:shd w:val="clear" w:color="auto" w:fill="auto"/>
          </w:tcPr>
          <w:p w14:paraId="489B6D4D" w14:textId="77777777" w:rsidR="00767353" w:rsidRPr="00C5059B" w:rsidRDefault="00767353" w:rsidP="00604051">
            <w:pPr>
              <w:pStyle w:val="TableBodyText"/>
              <w:spacing w:before="45" w:after="45"/>
              <w:ind w:left="57" w:right="108"/>
              <w:rPr>
                <w:rFonts w:ascii="Arial (Body)" w:hAnsi="Arial (Body)"/>
                <w:bCs/>
              </w:rPr>
            </w:pPr>
            <w:r w:rsidRPr="00C5059B">
              <w:rPr>
                <w:rFonts w:ascii="Arial (Body)" w:hAnsi="Arial (Body)"/>
                <w:bCs/>
              </w:rPr>
              <w:t>0.17</w:t>
            </w:r>
          </w:p>
        </w:tc>
        <w:tc>
          <w:tcPr>
            <w:tcW w:w="1068" w:type="pct"/>
            <w:tcBorders>
              <w:top w:val="nil"/>
              <w:bottom w:val="nil"/>
            </w:tcBorders>
            <w:shd w:val="clear" w:color="auto" w:fill="auto"/>
          </w:tcPr>
          <w:p w14:paraId="0DBCF4CC" w14:textId="77777777" w:rsidR="00767353" w:rsidRPr="00C5059B" w:rsidRDefault="00767353" w:rsidP="00604051">
            <w:pPr>
              <w:pStyle w:val="TableBodyText"/>
              <w:spacing w:before="45" w:after="45"/>
              <w:ind w:left="57" w:right="108"/>
              <w:rPr>
                <w:rFonts w:ascii="Arial (Body)" w:hAnsi="Arial (Body)"/>
                <w:bCs/>
              </w:rPr>
            </w:pPr>
            <w:r w:rsidRPr="00C5059B">
              <w:rPr>
                <w:rFonts w:ascii="Arial (Body)" w:hAnsi="Arial (Body)"/>
                <w:bCs/>
              </w:rPr>
              <w:t>0.19</w:t>
            </w:r>
          </w:p>
        </w:tc>
      </w:tr>
      <w:tr w:rsidR="00767353" w:rsidRPr="00C5059B" w14:paraId="37146808" w14:textId="77777777" w:rsidTr="00604051">
        <w:tc>
          <w:tcPr>
            <w:tcW w:w="1796" w:type="pct"/>
            <w:tcBorders>
              <w:bottom w:val="nil"/>
            </w:tcBorders>
            <w:shd w:val="clear" w:color="auto" w:fill="auto"/>
          </w:tcPr>
          <w:p w14:paraId="3D9E59E3" w14:textId="77777777" w:rsidR="00767353" w:rsidRPr="00C5059B" w:rsidRDefault="00767353" w:rsidP="00604051">
            <w:pPr>
              <w:pStyle w:val="TableBodyText"/>
              <w:spacing w:before="45" w:after="45"/>
              <w:ind w:left="57" w:right="108"/>
              <w:jc w:val="left"/>
              <w:rPr>
                <w:rFonts w:ascii="Arial (Body)" w:hAnsi="Arial (Body)"/>
                <w:bCs/>
              </w:rPr>
            </w:pPr>
            <m:oMathPara>
              <m:oMath>
                <m:r>
                  <m:rPr>
                    <m:sty m:val="p"/>
                  </m:rPr>
                  <w:rPr>
                    <w:rFonts w:ascii="Cambria Math" w:hAnsi="Cambria Math"/>
                  </w:rPr>
                  <m:t>1-</m:t>
                </m:r>
                <m:f>
                  <m:fPr>
                    <m:type m:val="lin"/>
                    <m:ctrlPr>
                      <w:rPr>
                        <w:rFonts w:ascii="Cambria Math" w:hAnsi="Cambria Math"/>
                        <w:bCs/>
                      </w:rPr>
                    </m:ctrlPr>
                  </m:fPr>
                  <m:num>
                    <m:acc>
                      <m:accPr>
                        <m:ctrlPr>
                          <w:rPr>
                            <w:rFonts w:ascii="Cambria Math" w:hAnsi="Cambria Math"/>
                            <w:bCs/>
                          </w:rPr>
                        </m:ctrlPr>
                      </m:accPr>
                      <m:e>
                        <m:sSub>
                          <m:sSubPr>
                            <m:ctrlPr>
                              <w:rPr>
                                <w:rFonts w:ascii="Cambria Math" w:hAnsi="Cambria Math"/>
                                <w:bCs/>
                              </w:rPr>
                            </m:ctrlPr>
                          </m:sSubPr>
                          <m:e>
                            <m:r>
                              <w:rPr>
                                <w:rFonts w:ascii="Cambria Math" w:hAnsi="Cambria Math"/>
                              </w:rPr>
                              <m:t>β</m:t>
                            </m:r>
                          </m:e>
                          <m:sub>
                            <m:r>
                              <m:rPr>
                                <m:sty m:val="p"/>
                              </m:rPr>
                              <w:rPr>
                                <w:rFonts w:ascii="Cambria Math" w:hAnsi="Cambria Math"/>
                              </w:rPr>
                              <m:t>3</m:t>
                            </m:r>
                          </m:sub>
                        </m:sSub>
                      </m:e>
                    </m:acc>
                  </m:num>
                  <m:den>
                    <m:acc>
                      <m:accPr>
                        <m:ctrlPr>
                          <w:rPr>
                            <w:rFonts w:ascii="Cambria Math" w:hAnsi="Cambria Math"/>
                            <w:bCs/>
                          </w:rPr>
                        </m:ctrlPr>
                      </m:accPr>
                      <m:e>
                        <m:sSub>
                          <m:sSubPr>
                            <m:ctrlPr>
                              <w:rPr>
                                <w:rFonts w:ascii="Cambria Math" w:hAnsi="Cambria Math"/>
                                <w:bCs/>
                              </w:rPr>
                            </m:ctrlPr>
                          </m:sSubPr>
                          <m:e>
                            <m:r>
                              <w:rPr>
                                <w:rFonts w:ascii="Cambria Math" w:hAnsi="Cambria Math"/>
                              </w:rPr>
                              <m:t>β</m:t>
                            </m:r>
                          </m:e>
                          <m:sub>
                            <m:r>
                              <m:rPr>
                                <m:sty m:val="p"/>
                              </m:rPr>
                              <w:rPr>
                                <w:rFonts w:ascii="Cambria Math" w:hAnsi="Cambria Math"/>
                              </w:rPr>
                              <m:t>1</m:t>
                            </m:r>
                          </m:sub>
                        </m:sSub>
                      </m:e>
                    </m:acc>
                  </m:den>
                </m:f>
              </m:oMath>
            </m:oMathPara>
          </w:p>
        </w:tc>
        <w:tc>
          <w:tcPr>
            <w:tcW w:w="1068" w:type="pct"/>
            <w:tcBorders>
              <w:bottom w:val="nil"/>
            </w:tcBorders>
            <w:shd w:val="clear" w:color="auto" w:fill="auto"/>
          </w:tcPr>
          <w:p w14:paraId="7EEB25F7" w14:textId="77777777" w:rsidR="00767353" w:rsidRPr="00C5059B" w:rsidRDefault="00767353" w:rsidP="00604051">
            <w:pPr>
              <w:pStyle w:val="TableBodyText"/>
              <w:spacing w:before="45" w:after="45"/>
              <w:ind w:left="57" w:right="108"/>
              <w:rPr>
                <w:rFonts w:ascii="Arial (Body)" w:hAnsi="Arial (Body)"/>
                <w:bCs/>
              </w:rPr>
            </w:pPr>
            <w:r w:rsidRPr="00C5059B">
              <w:rPr>
                <w:rFonts w:ascii="Arial (Body)" w:hAnsi="Arial (Body)"/>
                <w:bCs/>
              </w:rPr>
              <w:t>35 per cent</w:t>
            </w:r>
          </w:p>
        </w:tc>
        <w:tc>
          <w:tcPr>
            <w:tcW w:w="1068" w:type="pct"/>
            <w:tcBorders>
              <w:bottom w:val="nil"/>
            </w:tcBorders>
            <w:shd w:val="clear" w:color="auto" w:fill="auto"/>
          </w:tcPr>
          <w:p w14:paraId="1E1C6008" w14:textId="77777777" w:rsidR="00767353" w:rsidRPr="00C5059B" w:rsidRDefault="00767353" w:rsidP="00604051">
            <w:pPr>
              <w:pStyle w:val="TableBodyText"/>
              <w:spacing w:before="45" w:after="45"/>
              <w:ind w:left="57" w:right="108"/>
              <w:rPr>
                <w:rFonts w:ascii="Arial (Body)" w:hAnsi="Arial (Body)"/>
                <w:bCs/>
              </w:rPr>
            </w:pPr>
            <w:r w:rsidRPr="00C5059B">
              <w:rPr>
                <w:rFonts w:ascii="Arial (Body)" w:hAnsi="Arial (Body)"/>
                <w:bCs/>
              </w:rPr>
              <w:t>36 per cent</w:t>
            </w:r>
          </w:p>
        </w:tc>
        <w:tc>
          <w:tcPr>
            <w:tcW w:w="1068" w:type="pct"/>
            <w:tcBorders>
              <w:bottom w:val="nil"/>
            </w:tcBorders>
            <w:shd w:val="clear" w:color="auto" w:fill="auto"/>
          </w:tcPr>
          <w:p w14:paraId="419CCA94" w14:textId="77777777" w:rsidR="00767353" w:rsidRPr="00C5059B" w:rsidRDefault="00767353" w:rsidP="00604051">
            <w:pPr>
              <w:pStyle w:val="TableBodyText"/>
              <w:spacing w:before="45" w:after="45"/>
              <w:ind w:left="57" w:right="108"/>
              <w:rPr>
                <w:rFonts w:ascii="Arial (Body)" w:hAnsi="Arial (Body)"/>
                <w:bCs/>
              </w:rPr>
            </w:pPr>
            <w:r w:rsidRPr="00C5059B">
              <w:rPr>
                <w:rFonts w:ascii="Arial (Body)" w:hAnsi="Arial (Body)"/>
                <w:bCs/>
              </w:rPr>
              <w:t>36 per cent</w:t>
            </w:r>
          </w:p>
        </w:tc>
      </w:tr>
      <w:tr w:rsidR="00767353" w:rsidRPr="00C5059B" w14:paraId="6CB136DE" w14:textId="77777777" w:rsidTr="00604051">
        <w:tc>
          <w:tcPr>
            <w:tcW w:w="5000" w:type="pct"/>
            <w:gridSpan w:val="4"/>
            <w:tcBorders>
              <w:top w:val="nil"/>
              <w:bottom w:val="nil"/>
            </w:tcBorders>
            <w:shd w:val="clear" w:color="auto" w:fill="F2F2F2" w:themeFill="background1" w:themeFillShade="F2"/>
          </w:tcPr>
          <w:p w14:paraId="24E7D3B3" w14:textId="77777777" w:rsidR="00767353" w:rsidRPr="00C5059B" w:rsidRDefault="00767353" w:rsidP="00604051">
            <w:pPr>
              <w:pStyle w:val="TableColumnHeading"/>
              <w:spacing w:before="45" w:after="45"/>
              <w:ind w:left="57" w:right="108"/>
              <w:jc w:val="left"/>
              <w:rPr>
                <w:rFonts w:ascii="Arial (Body)" w:hAnsi="Arial (Body)"/>
                <w:b/>
                <w:i w:val="0"/>
                <w:color w:val="265A9A"/>
              </w:rPr>
            </w:pPr>
            <w:r w:rsidRPr="00C5059B">
              <w:rPr>
                <w:rFonts w:ascii="Arial (Body)" w:hAnsi="Arial (Body)"/>
                <w:b/>
                <w:i w:val="0"/>
                <w:color w:val="265A9A"/>
              </w:rPr>
              <w:t>No inheritance depletion</w:t>
            </w:r>
          </w:p>
        </w:tc>
      </w:tr>
      <w:tr w:rsidR="00767353" w:rsidRPr="00C5059B" w14:paraId="26B6CCF1" w14:textId="77777777" w:rsidTr="00604051">
        <w:tc>
          <w:tcPr>
            <w:tcW w:w="1796" w:type="pct"/>
            <w:tcBorders>
              <w:bottom w:val="nil"/>
            </w:tcBorders>
            <w:shd w:val="clear" w:color="auto" w:fill="auto"/>
          </w:tcPr>
          <w:p w14:paraId="6592CF5E" w14:textId="03DE44A5" w:rsidR="00767353" w:rsidRPr="00C5059B"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eqArr>
                      <m:eqArrPr>
                        <m:ctrlPr>
                          <w:rPr>
                            <w:rFonts w:ascii="Cambria Math" w:hAnsi="Cambria Math"/>
                            <w:bCs/>
                          </w:rPr>
                        </m:ctrlPr>
                      </m:eqArrPr>
                      <m:e>
                        <m:r>
                          <w:rPr>
                            <w:rFonts w:ascii="Cambria Math" w:hAnsi="Cambria Math"/>
                          </w:rPr>
                          <m:t>Child</m:t>
                        </m:r>
                        <m:r>
                          <m:rPr>
                            <m:sty m:val="p"/>
                          </m:rPr>
                          <w:rPr>
                            <w:rFonts w:ascii="Cambria Math" w:hAnsi="Cambria Math"/>
                          </w:rPr>
                          <m:t xml:space="preserve"> </m:t>
                        </m:r>
                        <m:r>
                          <w:rPr>
                            <w:rFonts w:ascii="Cambria Math" w:hAnsi="Cambria Math"/>
                          </w:rPr>
                          <m:t>wealth</m:t>
                        </m:r>
                        <m:r>
                          <m:rPr>
                            <m:sty m:val="p"/>
                          </m:rPr>
                          <w:rPr>
                            <w:rFonts w:ascii="Cambria Math" w:hAnsi="Cambria Math"/>
                          </w:rPr>
                          <m:t xml:space="preserve"> </m:t>
                        </m:r>
                      </m:e>
                      <m:e>
                        <m:r>
                          <w:rPr>
                            <w:rFonts w:ascii="Cambria Math" w:hAnsi="Cambria Math"/>
                          </w:rPr>
                          <m:t>excluding</m:t>
                        </m:r>
                        <m:r>
                          <m:rPr>
                            <m:sty m:val="p"/>
                          </m:rPr>
                          <w:rPr>
                            <w:rFonts w:ascii="Cambria Math" w:hAnsi="Cambria Math"/>
                          </w:rPr>
                          <m:t xml:space="preserve"> </m:t>
                        </m:r>
                        <m:r>
                          <w:rPr>
                            <w:rFonts w:ascii="Cambria Math" w:hAnsi="Cambria Math"/>
                          </w:rPr>
                          <m:t>inheritances</m:t>
                        </m:r>
                        <m:r>
                          <m:rPr>
                            <m:sty m:val="p"/>
                          </m:rPr>
                          <w:rPr>
                            <w:rFonts w:ascii="Cambria Math" w:hAnsi="Cambria Math"/>
                          </w:rPr>
                          <m:t xml:space="preserve"> (</m:t>
                        </m:r>
                        <m:r>
                          <w:rPr>
                            <w:rFonts w:ascii="Cambria Math" w:hAnsi="Cambria Math"/>
                          </w:rPr>
                          <m:t>rank</m:t>
                        </m:r>
                        <m:r>
                          <m:rPr>
                            <m:sty m:val="p"/>
                          </m:rPr>
                          <w:rPr>
                            <w:rFonts w:ascii="Cambria Math" w:hAnsi="Cambria Math"/>
                          </w:rPr>
                          <m:t>)</m:t>
                        </m:r>
                      </m:e>
                    </m:eqArr>
                  </m:e>
                  <m:sub>
                    <m:r>
                      <w:rPr>
                        <w:rFonts w:ascii="Cambria Math" w:hAnsi="Cambria Math"/>
                      </w:rPr>
                      <m:t>i</m:t>
                    </m:r>
                    <m:r>
                      <m:rPr>
                        <m:sty m:val="p"/>
                      </m:rPr>
                      <w:rPr>
                        <w:rFonts w:ascii="Cambria Math" w:hAnsi="Cambria Math"/>
                      </w:rPr>
                      <m:t>, 2018</m:t>
                    </m:r>
                  </m:sub>
                </m:sSub>
              </m:oMath>
            </m:oMathPara>
          </w:p>
        </w:tc>
        <w:tc>
          <w:tcPr>
            <w:tcW w:w="1068" w:type="pct"/>
            <w:tcBorders>
              <w:bottom w:val="nil"/>
            </w:tcBorders>
            <w:shd w:val="clear" w:color="auto" w:fill="auto"/>
          </w:tcPr>
          <w:p w14:paraId="4C2A3891"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0.10</w:t>
            </w:r>
          </w:p>
        </w:tc>
        <w:tc>
          <w:tcPr>
            <w:tcW w:w="1068" w:type="pct"/>
            <w:tcBorders>
              <w:bottom w:val="nil"/>
            </w:tcBorders>
            <w:shd w:val="clear" w:color="auto" w:fill="auto"/>
          </w:tcPr>
          <w:p w14:paraId="0AC8F057"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0.11</w:t>
            </w:r>
          </w:p>
        </w:tc>
        <w:tc>
          <w:tcPr>
            <w:tcW w:w="1068" w:type="pct"/>
            <w:tcBorders>
              <w:bottom w:val="nil"/>
            </w:tcBorders>
            <w:shd w:val="clear" w:color="auto" w:fill="auto"/>
          </w:tcPr>
          <w:p w14:paraId="59B8EF07"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0.13</w:t>
            </w:r>
          </w:p>
        </w:tc>
      </w:tr>
      <w:tr w:rsidR="00767353" w:rsidRPr="00C5059B" w14:paraId="1787C351" w14:textId="77777777" w:rsidTr="00604051">
        <w:tc>
          <w:tcPr>
            <w:tcW w:w="1796" w:type="pct"/>
            <w:tcBorders>
              <w:top w:val="nil"/>
            </w:tcBorders>
            <w:shd w:val="clear" w:color="auto" w:fill="auto"/>
          </w:tcPr>
          <w:p w14:paraId="4DE0F485" w14:textId="77777777" w:rsidR="00767353" w:rsidRPr="00C5059B" w:rsidRDefault="00767353" w:rsidP="00604051">
            <w:pPr>
              <w:pStyle w:val="TableBodyText"/>
              <w:spacing w:before="45" w:after="45"/>
              <w:ind w:left="57" w:right="108"/>
              <w:jc w:val="left"/>
              <w:rPr>
                <w:rFonts w:ascii="Arial (Body)" w:hAnsi="Arial (Body)"/>
                <w:bCs/>
              </w:rPr>
            </w:pPr>
            <m:oMathPara>
              <m:oMath>
                <m:r>
                  <m:rPr>
                    <m:sty m:val="p"/>
                  </m:rPr>
                  <w:rPr>
                    <w:rFonts w:ascii="Cambria Math" w:hAnsi="Cambria Math"/>
                  </w:rPr>
                  <m:t>1-</m:t>
                </m:r>
                <m:f>
                  <m:fPr>
                    <m:type m:val="lin"/>
                    <m:ctrlPr>
                      <w:rPr>
                        <w:rFonts w:ascii="Cambria Math" w:hAnsi="Cambria Math"/>
                        <w:bCs/>
                      </w:rPr>
                    </m:ctrlPr>
                  </m:fPr>
                  <m:num>
                    <m:acc>
                      <m:accPr>
                        <m:ctrlPr>
                          <w:rPr>
                            <w:rFonts w:ascii="Cambria Math" w:hAnsi="Cambria Math"/>
                            <w:bCs/>
                          </w:rPr>
                        </m:ctrlPr>
                      </m:accPr>
                      <m:e>
                        <m:sSub>
                          <m:sSubPr>
                            <m:ctrlPr>
                              <w:rPr>
                                <w:rFonts w:ascii="Cambria Math" w:hAnsi="Cambria Math"/>
                                <w:bCs/>
                              </w:rPr>
                            </m:ctrlPr>
                          </m:sSubPr>
                          <m:e>
                            <m:r>
                              <w:rPr>
                                <w:rFonts w:ascii="Cambria Math" w:hAnsi="Cambria Math"/>
                              </w:rPr>
                              <m:t>β</m:t>
                            </m:r>
                          </m:e>
                          <m:sub>
                            <m:r>
                              <m:rPr>
                                <m:sty m:val="p"/>
                              </m:rPr>
                              <w:rPr>
                                <w:rFonts w:ascii="Cambria Math" w:hAnsi="Cambria Math"/>
                              </w:rPr>
                              <m:t>3</m:t>
                            </m:r>
                          </m:sub>
                        </m:sSub>
                      </m:e>
                    </m:acc>
                  </m:num>
                  <m:den>
                    <m:acc>
                      <m:accPr>
                        <m:ctrlPr>
                          <w:rPr>
                            <w:rFonts w:ascii="Cambria Math" w:hAnsi="Cambria Math"/>
                            <w:bCs/>
                          </w:rPr>
                        </m:ctrlPr>
                      </m:accPr>
                      <m:e>
                        <m:sSub>
                          <m:sSubPr>
                            <m:ctrlPr>
                              <w:rPr>
                                <w:rFonts w:ascii="Cambria Math" w:hAnsi="Cambria Math"/>
                                <w:bCs/>
                              </w:rPr>
                            </m:ctrlPr>
                          </m:sSubPr>
                          <m:e>
                            <m:r>
                              <w:rPr>
                                <w:rFonts w:ascii="Cambria Math" w:hAnsi="Cambria Math"/>
                              </w:rPr>
                              <m:t>β</m:t>
                            </m:r>
                          </m:e>
                          <m:sub>
                            <m:r>
                              <m:rPr>
                                <m:sty m:val="p"/>
                              </m:rPr>
                              <w:rPr>
                                <w:rFonts w:ascii="Cambria Math" w:hAnsi="Cambria Math"/>
                              </w:rPr>
                              <m:t>1</m:t>
                            </m:r>
                          </m:sub>
                        </m:sSub>
                      </m:e>
                    </m:acc>
                  </m:den>
                </m:f>
              </m:oMath>
            </m:oMathPara>
          </w:p>
        </w:tc>
        <w:tc>
          <w:tcPr>
            <w:tcW w:w="1068" w:type="pct"/>
            <w:tcBorders>
              <w:top w:val="nil"/>
            </w:tcBorders>
            <w:shd w:val="clear" w:color="auto" w:fill="auto"/>
          </w:tcPr>
          <w:p w14:paraId="4A116A48"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59 per cent</w:t>
            </w:r>
          </w:p>
        </w:tc>
        <w:tc>
          <w:tcPr>
            <w:tcW w:w="1068" w:type="pct"/>
            <w:tcBorders>
              <w:top w:val="nil"/>
            </w:tcBorders>
            <w:shd w:val="clear" w:color="auto" w:fill="auto"/>
          </w:tcPr>
          <w:p w14:paraId="19272F70"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59 per cent</w:t>
            </w:r>
          </w:p>
        </w:tc>
        <w:tc>
          <w:tcPr>
            <w:tcW w:w="1068" w:type="pct"/>
            <w:tcBorders>
              <w:top w:val="nil"/>
            </w:tcBorders>
            <w:shd w:val="clear" w:color="auto" w:fill="auto"/>
          </w:tcPr>
          <w:p w14:paraId="0F53A904" w14:textId="77777777" w:rsidR="00767353" w:rsidRPr="00C5059B" w:rsidRDefault="00767353" w:rsidP="00604051">
            <w:pPr>
              <w:pStyle w:val="TableBodyText"/>
              <w:spacing w:before="45" w:after="45"/>
              <w:ind w:left="57" w:right="108"/>
              <w:rPr>
                <w:rFonts w:ascii="Arial (Body)" w:hAnsi="Arial (Body)"/>
                <w:color w:val="000000"/>
              </w:rPr>
            </w:pPr>
            <w:r w:rsidRPr="00C5059B">
              <w:rPr>
                <w:rFonts w:ascii="Arial (Body)" w:hAnsi="Arial (Body)"/>
                <w:color w:val="000000"/>
              </w:rPr>
              <w:t>58 per cent</w:t>
            </w:r>
          </w:p>
        </w:tc>
      </w:tr>
    </w:tbl>
    <w:p w14:paraId="4E5CAB21" w14:textId="77777777" w:rsidR="00767353" w:rsidRDefault="00767353" w:rsidP="00767353">
      <w:pPr>
        <w:pStyle w:val="Source"/>
      </w:pPr>
      <w:r w:rsidRPr="00696447">
        <w:t xml:space="preserve">Source: </w:t>
      </w:r>
      <w:r>
        <w:t>Productivity Commission estimates based on HILDA Restricted Release 19.</w:t>
      </w:r>
    </w:p>
    <w:p w14:paraId="541DED60" w14:textId="77777777" w:rsidR="00767353" w:rsidRDefault="00767353" w:rsidP="00132C71">
      <w:pPr>
        <w:pStyle w:val="Heading2-Appendix"/>
      </w:pPr>
      <w:r>
        <w:t>Additional measures of the immediate</w:t>
      </w:r>
      <w:r>
        <w:noBreakHyphen/>
        <w:t>term effect of wealth transfers on wealth inequality</w:t>
      </w:r>
    </w:p>
    <w:p w14:paraId="1B28544B" w14:textId="77777777" w:rsidR="00767353" w:rsidRDefault="00767353" w:rsidP="00767353">
      <w:pPr>
        <w:pStyle w:val="BodyText"/>
      </w:pPr>
      <w:r>
        <w:t>Chapter 2 presents evidence of the immediate</w:t>
      </w:r>
      <w:r>
        <w:noBreakHyphen/>
        <w:t>term effect of wealth transfers on wealth inequality. Tables B.5 (inheritances) and B.6 (gifts) present supplementary evidence of these effects, by examining the immediate</w:t>
      </w:r>
      <w:r>
        <w:noBreakHyphen/>
        <w:t>term effect that transfers had on the wealth distribution as summarised by four common measures of wealth inequality:</w:t>
      </w:r>
    </w:p>
    <w:p w14:paraId="7536819B" w14:textId="77777777" w:rsidR="00767353" w:rsidRPr="00115ED4" w:rsidRDefault="00767353" w:rsidP="00767353">
      <w:pPr>
        <w:pStyle w:val="ListBullet"/>
      </w:pPr>
      <w:r w:rsidRPr="00115ED4">
        <w:t>the Gini coefficient of wealth inequality, the most commonly used measure of relative wealth inequality</w:t>
      </w:r>
    </w:p>
    <w:p w14:paraId="471718A2" w14:textId="77777777" w:rsidR="00767353" w:rsidRPr="00115ED4" w:rsidRDefault="00767353" w:rsidP="00767353">
      <w:pPr>
        <w:pStyle w:val="ListBullet"/>
      </w:pPr>
      <w:r w:rsidRPr="00115ED4">
        <w:t xml:space="preserve">the generalised entropy class 2 coefficient of wealth inequality, a measure of relative wealth inequality. It is a one–to–one transformation of the coefficient of variation of the wealth distribution (another common measure of relative wealth inequality). Relative to the Gini coefficient, it is more sensitive to wealth transfers received by initially very wealthy people. </w:t>
      </w:r>
    </w:p>
    <w:p w14:paraId="5C18EC78" w14:textId="77777777" w:rsidR="00767353" w:rsidRPr="00115ED4" w:rsidRDefault="00767353" w:rsidP="00767353">
      <w:pPr>
        <w:pStyle w:val="ListBullet"/>
      </w:pPr>
      <w:r w:rsidRPr="00115ED4">
        <w:t>the absolute Gini coefficient of wealth inequality, a measure of absolute wealth inequality. As its name implies, it is an absolute wealth inequality analogue of the Gini coefficient.</w:t>
      </w:r>
    </w:p>
    <w:p w14:paraId="4334ADD5" w14:textId="77777777" w:rsidR="00767353" w:rsidRDefault="00767353" w:rsidP="00767353">
      <w:pPr>
        <w:pStyle w:val="ListBullet"/>
      </w:pPr>
      <w:r w:rsidRPr="00115ED4">
        <w:t>the standard deviation of the wealth distribution, a measure of absolute wealth inequality. It is an absolute wealth inequality</w:t>
      </w:r>
      <w:r>
        <w:t xml:space="preserve"> analogue of the generalised entropy class 2 coefficient.</w:t>
      </w:r>
    </w:p>
    <w:p w14:paraId="56FD8FFB" w14:textId="139AA2EB" w:rsidR="00767353" w:rsidRDefault="00767353" w:rsidP="00767353">
      <w:pPr>
        <w:pStyle w:val="BodyText"/>
      </w:pPr>
      <w:r>
        <w:t>Tables B.5 and B.6 also present ‘p</w:t>
      </w:r>
      <w:r>
        <w:noBreakHyphen/>
        <w:t>values’ to capture the uncertainty associated with the estimates. These are computed using the jackknife method commonly applied to HILDA data (see, for example</w:t>
      </w:r>
      <w:r w:rsidR="00903BA7">
        <w:t>,</w:t>
      </w:r>
      <w:r w:rsidRPr="001810ED">
        <w:t xml:space="preserve"> </w:t>
      </w:r>
      <w:r>
        <w:t>Hayes </w:t>
      </w:r>
      <w:r>
        <w:fldChar w:fldCharType="begin"/>
      </w:r>
      <w:r w:rsidR="0047772E">
        <w:instrText xml:space="preserve"> ADDIN ZOTERO_ITEM CSL_CITATION {"citationID":"vldXUE79","properties":{"formattedCitation":"(2008)","plainCitation":"(2008)","noteIndex":0},"citationItems":[{"id":3148,"uris":["http://zotero.org/groups/2714158/items/Q7GAIXLE"],"uri":["http://zotero.org/groups/2714158/items/Q7GAIXLE"],"itemData":{"id":3148,"type":"report","collection-title":"HILDA project technical paper series","genre":"No. 2/08","title":"HILDA Standard Errors: A Users Guide","author":[{"family":"Hayes","given":"Clinton"}],"issued":{"date-parts":[["2008",2]]}},"suppress-author":true}],"schema":"https://github.com/citation-style-language/schema/raw/master/csl-citation.json"} </w:instrText>
      </w:r>
      <w:r>
        <w:fldChar w:fldCharType="separate"/>
      </w:r>
      <w:r w:rsidRPr="00382DC6">
        <w:t>(2008)</w:t>
      </w:r>
      <w:r>
        <w:fldChar w:fldCharType="end"/>
      </w:r>
      <w:r>
        <w:t>).</w:t>
      </w:r>
    </w:p>
    <w:p w14:paraId="58897496" w14:textId="77777777" w:rsidR="00767353" w:rsidRDefault="00767353" w:rsidP="00767353">
      <w:pPr>
        <w:pStyle w:val="BodyText"/>
      </w:pPr>
      <w:r>
        <w:t>The results here concur with the conclusions of chapter 2 that — when pooled over the 12 studied years — inheritances increased absolute wealth inequality but decreased relative wealth inequality, and that gifts had an inconclusive effect on absolute wealth inequality but decreased relative wealth inequality. The results for each specific three</w:t>
      </w:r>
      <w:r>
        <w:noBreakHyphen/>
        <w:t>year block mostly concur with the chapter 2 conclusions too, and no result suggests the opposite conclusion to that reached in chapter 2.</w:t>
      </w:r>
    </w:p>
    <w:p w14:paraId="2C4A879E" w14:textId="0700F8F8"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B3C26">
        <w:t>5</w:t>
      </w:r>
      <w:r>
        <w:rPr>
          <w:noProof/>
        </w:rPr>
        <w:t xml:space="preserve"> – </w:t>
      </w:r>
      <w:r>
        <w:t>Effect of inheritances on wealth inequality</w:t>
      </w:r>
      <w:r w:rsidRPr="00EC0C27">
        <w:rPr>
          <w:vertAlign w:val="superscript"/>
        </w:rPr>
        <w:t>a,b</w:t>
      </w:r>
      <w:r>
        <w:rPr>
          <w:vertAlign w:val="superscript"/>
        </w:rPr>
        <w:t>,c</w:t>
      </w:r>
    </w:p>
    <w:tbl>
      <w:tblPr>
        <w:tblW w:w="4989"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830"/>
        <w:gridCol w:w="2309"/>
        <w:gridCol w:w="987"/>
        <w:gridCol w:w="1298"/>
        <w:gridCol w:w="4193"/>
      </w:tblGrid>
      <w:tr w:rsidR="00767353" w:rsidRPr="008753E7" w14:paraId="558FF80E" w14:textId="77777777" w:rsidTr="00604051">
        <w:trPr>
          <w:tblHeader/>
        </w:trPr>
        <w:tc>
          <w:tcPr>
            <w:tcW w:w="431" w:type="pct"/>
            <w:tcBorders>
              <w:bottom w:val="single" w:sz="4" w:space="0" w:color="B3B3B3"/>
            </w:tcBorders>
            <w:shd w:val="clear" w:color="auto" w:fill="auto"/>
            <w:tcMar>
              <w:top w:w="28" w:type="dxa"/>
            </w:tcMar>
          </w:tcPr>
          <w:p w14:paraId="42418C2B" w14:textId="77777777" w:rsidR="00767353" w:rsidRPr="008753E7" w:rsidRDefault="00767353" w:rsidP="00604051">
            <w:pPr>
              <w:pStyle w:val="TableColumnHeading"/>
              <w:spacing w:before="45" w:after="45"/>
              <w:ind w:left="57" w:right="108"/>
              <w:jc w:val="left"/>
              <w:rPr>
                <w:rFonts w:ascii="Arial (Body)" w:hAnsi="Arial (Body)"/>
                <w:b/>
                <w:i w:val="0"/>
                <w:color w:val="265A9A"/>
              </w:rPr>
            </w:pPr>
            <w:r w:rsidRPr="008753E7">
              <w:rPr>
                <w:rFonts w:ascii="Arial (Body)" w:hAnsi="Arial (Body)"/>
                <w:b/>
                <w:i w:val="0"/>
                <w:color w:val="265A9A"/>
              </w:rPr>
              <w:t>Year</w:t>
            </w:r>
          </w:p>
        </w:tc>
        <w:tc>
          <w:tcPr>
            <w:tcW w:w="1200" w:type="pct"/>
            <w:tcBorders>
              <w:bottom w:val="single" w:sz="4" w:space="0" w:color="B3B3B3"/>
            </w:tcBorders>
            <w:shd w:val="clear" w:color="auto" w:fill="auto"/>
          </w:tcPr>
          <w:p w14:paraId="67AB2A4E" w14:textId="77777777" w:rsidR="00767353" w:rsidRPr="008753E7" w:rsidRDefault="00767353" w:rsidP="00604051">
            <w:pPr>
              <w:pStyle w:val="TableColumnHeading"/>
              <w:spacing w:before="45" w:after="45"/>
              <w:ind w:left="57" w:right="108"/>
              <w:jc w:val="left"/>
              <w:rPr>
                <w:rFonts w:ascii="Arial (Body)" w:hAnsi="Arial (Body)"/>
                <w:b/>
                <w:i w:val="0"/>
                <w:color w:val="265A9A"/>
              </w:rPr>
            </w:pPr>
            <w:r w:rsidRPr="008753E7">
              <w:rPr>
                <w:rFonts w:ascii="Arial (Body)" w:hAnsi="Arial (Body)"/>
                <w:b/>
                <w:i w:val="0"/>
                <w:color w:val="265A9A"/>
              </w:rPr>
              <w:t>Measure</w:t>
            </w:r>
          </w:p>
        </w:tc>
        <w:tc>
          <w:tcPr>
            <w:tcW w:w="513" w:type="pct"/>
            <w:tcBorders>
              <w:bottom w:val="single" w:sz="4" w:space="0" w:color="B3B3B3"/>
            </w:tcBorders>
            <w:shd w:val="clear" w:color="auto" w:fill="auto"/>
            <w:tcMar>
              <w:top w:w="28" w:type="dxa"/>
            </w:tcMar>
          </w:tcPr>
          <w:p w14:paraId="2C82E6A0" w14:textId="77777777" w:rsidR="00767353" w:rsidRPr="008753E7" w:rsidRDefault="00767353" w:rsidP="00604051">
            <w:pPr>
              <w:pStyle w:val="TableColumnHeading"/>
              <w:spacing w:before="45" w:after="45"/>
              <w:ind w:left="57" w:right="108"/>
              <w:rPr>
                <w:rFonts w:ascii="Arial (Body)" w:hAnsi="Arial (Body)"/>
                <w:b/>
                <w:i w:val="0"/>
                <w:color w:val="265A9A"/>
              </w:rPr>
            </w:pPr>
            <w:r w:rsidRPr="008753E7">
              <w:rPr>
                <w:rFonts w:ascii="Arial (Body)" w:hAnsi="Arial (Body)"/>
                <w:b/>
                <w:i w:val="0"/>
                <w:color w:val="265A9A"/>
              </w:rPr>
              <w:t>Estimate</w:t>
            </w:r>
          </w:p>
        </w:tc>
        <w:tc>
          <w:tcPr>
            <w:tcW w:w="675" w:type="pct"/>
            <w:tcBorders>
              <w:bottom w:val="single" w:sz="4" w:space="0" w:color="B3B3B3"/>
            </w:tcBorders>
            <w:shd w:val="clear" w:color="auto" w:fill="auto"/>
          </w:tcPr>
          <w:p w14:paraId="34D65E5E" w14:textId="77777777" w:rsidR="00767353" w:rsidRPr="008753E7" w:rsidRDefault="00767353" w:rsidP="00604051">
            <w:pPr>
              <w:pStyle w:val="TableColumnHeading"/>
              <w:spacing w:before="45" w:after="45"/>
              <w:ind w:left="57" w:right="108"/>
              <w:rPr>
                <w:rFonts w:ascii="Arial (Body)" w:hAnsi="Arial (Body)"/>
                <w:b/>
                <w:i w:val="0"/>
                <w:color w:val="265A9A"/>
              </w:rPr>
            </w:pPr>
            <w:r w:rsidRPr="008753E7">
              <w:rPr>
                <w:rFonts w:ascii="Arial (Body)" w:hAnsi="Arial (Body)"/>
                <w:b/>
                <w:i w:val="0"/>
                <w:color w:val="265A9A"/>
              </w:rPr>
              <w:t>p</w:t>
            </w:r>
            <w:r w:rsidRPr="008753E7">
              <w:rPr>
                <w:rFonts w:ascii="Arial (Body)" w:hAnsi="Arial (Body)"/>
                <w:b/>
                <w:i w:val="0"/>
                <w:color w:val="265A9A"/>
              </w:rPr>
              <w:noBreakHyphen/>
              <w:t>value</w:t>
            </w:r>
          </w:p>
        </w:tc>
        <w:tc>
          <w:tcPr>
            <w:tcW w:w="2180" w:type="pct"/>
            <w:tcBorders>
              <w:bottom w:val="single" w:sz="4" w:space="0" w:color="B3B3B3"/>
            </w:tcBorders>
            <w:shd w:val="clear" w:color="auto" w:fill="auto"/>
            <w:tcMar>
              <w:top w:w="28" w:type="dxa"/>
            </w:tcMar>
          </w:tcPr>
          <w:p w14:paraId="1EEF189D" w14:textId="77777777" w:rsidR="00767353" w:rsidRPr="008753E7" w:rsidRDefault="00767353" w:rsidP="00604051">
            <w:pPr>
              <w:pStyle w:val="TableColumnHeading"/>
              <w:spacing w:before="45" w:after="45"/>
              <w:ind w:left="57" w:right="108"/>
              <w:jc w:val="left"/>
              <w:rPr>
                <w:rFonts w:ascii="Arial (Body)" w:hAnsi="Arial (Body)"/>
                <w:b/>
                <w:i w:val="0"/>
                <w:color w:val="265A9A"/>
              </w:rPr>
            </w:pPr>
            <w:r w:rsidRPr="008753E7">
              <w:rPr>
                <w:rFonts w:ascii="Arial (Body)" w:hAnsi="Arial (Body)"/>
                <w:b/>
                <w:i w:val="0"/>
                <w:color w:val="265A9A"/>
              </w:rPr>
              <w:t>Finding</w:t>
            </w:r>
          </w:p>
        </w:tc>
      </w:tr>
      <w:tr w:rsidR="00767353" w:rsidRPr="008753E7" w14:paraId="71FD9256" w14:textId="77777777" w:rsidTr="00604051">
        <w:tc>
          <w:tcPr>
            <w:tcW w:w="431" w:type="pct"/>
            <w:tcBorders>
              <w:top w:val="single" w:sz="4" w:space="0" w:color="B3B3B3"/>
              <w:bottom w:val="nil"/>
            </w:tcBorders>
            <w:shd w:val="clear" w:color="auto" w:fill="auto"/>
          </w:tcPr>
          <w:p w14:paraId="0F2C13B2" w14:textId="77777777" w:rsidR="00767353" w:rsidRPr="008753E7" w:rsidRDefault="00767353" w:rsidP="00604051">
            <w:pPr>
              <w:pStyle w:val="TableUnitsRow"/>
              <w:spacing w:before="45" w:after="45"/>
              <w:ind w:left="57" w:right="108"/>
              <w:jc w:val="left"/>
              <w:rPr>
                <w:rFonts w:ascii="Arial (Body)" w:hAnsi="Arial (Body)"/>
                <w:b/>
                <w:color w:val="265A9A"/>
              </w:rPr>
            </w:pPr>
          </w:p>
        </w:tc>
        <w:tc>
          <w:tcPr>
            <w:tcW w:w="1200" w:type="pct"/>
            <w:tcBorders>
              <w:top w:val="single" w:sz="4" w:space="0" w:color="B3B3B3"/>
              <w:bottom w:val="nil"/>
            </w:tcBorders>
            <w:shd w:val="clear" w:color="auto" w:fill="auto"/>
          </w:tcPr>
          <w:p w14:paraId="28FC48A4" w14:textId="77777777" w:rsidR="00767353" w:rsidRPr="008753E7" w:rsidRDefault="00767353" w:rsidP="00604051">
            <w:pPr>
              <w:pStyle w:val="TableUnitsRow"/>
              <w:spacing w:before="45" w:after="45"/>
              <w:ind w:left="57" w:right="108"/>
              <w:jc w:val="left"/>
              <w:rPr>
                <w:rFonts w:ascii="Arial (Body)" w:hAnsi="Arial (Body)"/>
                <w:color w:val="000000"/>
              </w:rPr>
            </w:pPr>
            <w:r w:rsidRPr="008753E7">
              <w:rPr>
                <w:rFonts w:ascii="Arial (Body)" w:hAnsi="Arial (Body)"/>
                <w:color w:val="000000"/>
              </w:rPr>
              <w:t>Change in…</w:t>
            </w:r>
          </w:p>
        </w:tc>
        <w:tc>
          <w:tcPr>
            <w:tcW w:w="513" w:type="pct"/>
            <w:tcBorders>
              <w:top w:val="single" w:sz="4" w:space="0" w:color="B3B3B3"/>
              <w:bottom w:val="nil"/>
            </w:tcBorders>
            <w:shd w:val="clear" w:color="auto" w:fill="auto"/>
          </w:tcPr>
          <w:p w14:paraId="717B7F29" w14:textId="77777777" w:rsidR="00767353" w:rsidRPr="008753E7" w:rsidRDefault="00767353" w:rsidP="00604051">
            <w:pPr>
              <w:pStyle w:val="TableUnitsRow"/>
              <w:spacing w:before="45" w:after="45"/>
              <w:ind w:left="57" w:right="108"/>
              <w:rPr>
                <w:rFonts w:ascii="Arial (Body)" w:hAnsi="Arial (Body)"/>
                <w:color w:val="000000"/>
              </w:rPr>
            </w:pPr>
            <w:r w:rsidRPr="008753E7">
              <w:rPr>
                <w:rFonts w:ascii="Arial (Body)" w:hAnsi="Arial (Body)"/>
                <w:color w:val="000000"/>
              </w:rPr>
              <w:t xml:space="preserve"> </w:t>
            </w:r>
            <m:oMath>
              <m:sSub>
                <m:sSubPr>
                  <m:ctrlPr>
                    <w:rPr>
                      <w:rFonts w:ascii="Cambria Math" w:hAnsi="Cambria Math"/>
                      <w:color w:val="000000"/>
                    </w:rPr>
                  </m:ctrlPr>
                </m:sSubPr>
                <m:e>
                  <m:acc>
                    <m:accPr>
                      <m:ctrlPr>
                        <w:rPr>
                          <w:rFonts w:ascii="Cambria Math" w:hAnsi="Cambria Math"/>
                          <w:color w:val="000000"/>
                        </w:rPr>
                      </m:ctrlPr>
                    </m:accPr>
                    <m:e>
                      <m:r>
                        <w:rPr>
                          <w:rFonts w:ascii="Cambria Math" w:hAnsi="Cambria Math"/>
                          <w:color w:val="000000"/>
                        </w:rPr>
                        <m:t>x</m:t>
                      </m:r>
                    </m:e>
                  </m:acc>
                </m:e>
                <m:sub>
                  <m:r>
                    <w:rPr>
                      <w:rFonts w:ascii="Cambria Math" w:hAnsi="Cambria Math"/>
                      <w:color w:val="000000"/>
                    </w:rPr>
                    <m:t>observed</m:t>
                  </m:r>
                </m:sub>
              </m:sSub>
            </m:oMath>
          </w:p>
        </w:tc>
        <w:tc>
          <w:tcPr>
            <w:tcW w:w="675" w:type="pct"/>
            <w:tcBorders>
              <w:top w:val="single" w:sz="4" w:space="0" w:color="B3B3B3"/>
              <w:bottom w:val="nil"/>
            </w:tcBorders>
            <w:shd w:val="clear" w:color="auto" w:fill="auto"/>
          </w:tcPr>
          <w:p w14:paraId="29CA41F4" w14:textId="77777777" w:rsidR="00767353" w:rsidRPr="008753E7" w:rsidRDefault="00767353" w:rsidP="00604051">
            <w:pPr>
              <w:pStyle w:val="TableUnitsRow"/>
              <w:spacing w:before="45" w:after="45"/>
              <w:ind w:left="57" w:right="108"/>
              <w:rPr>
                <w:rFonts w:ascii="Arial (Body)" w:hAnsi="Arial (Body)"/>
                <w:color w:val="000000"/>
              </w:rPr>
            </w:pPr>
            <m:oMath>
              <m:r>
                <m:rPr>
                  <m:sty m:val="p"/>
                </m:rPr>
                <w:rPr>
                  <w:rFonts w:ascii="Cambria Math" w:hAnsi="Cambria Math"/>
                  <w:color w:val="000000"/>
                </w:rPr>
                <m:t>Pr</m:t>
              </m:r>
              <m:d>
                <m:dPr>
                  <m:ctrlPr>
                    <w:rPr>
                      <w:rFonts w:ascii="Cambria Math" w:hAnsi="Cambria Math"/>
                      <w:color w:val="000000"/>
                    </w:rPr>
                  </m:ctrlPr>
                </m:dPr>
                <m:e>
                  <m:acc>
                    <m:accPr>
                      <m:ctrlPr>
                        <w:rPr>
                          <w:rFonts w:ascii="Cambria Math" w:hAnsi="Cambria Math"/>
                          <w:color w:val="000000"/>
                        </w:rPr>
                      </m:ctrlPr>
                    </m:accPr>
                    <m:e>
                      <m:r>
                        <w:rPr>
                          <w:rFonts w:ascii="Cambria Math" w:hAnsi="Cambria Math"/>
                          <w:color w:val="000000"/>
                        </w:rPr>
                        <m:t>x</m:t>
                      </m:r>
                      <m:r>
                        <m:rPr>
                          <m:sty m:val="p"/>
                        </m:rPr>
                        <w:rPr>
                          <w:rFonts w:ascii="Cambria Math" w:hAnsi="Cambria Math"/>
                          <w:color w:val="000000"/>
                        </w:rPr>
                        <m:t xml:space="preserve"> </m:t>
                      </m:r>
                    </m:e>
                  </m:acc>
                  <m:r>
                    <m:rPr>
                      <m:sty m:val="p"/>
                    </m:rPr>
                    <w:rPr>
                      <w:rFonts w:ascii="Cambria Math" w:hAnsi="Cambria Math"/>
                      <w:color w:val="000000"/>
                    </w:rPr>
                    <m:t>≥</m:t>
                  </m:r>
                  <m:sSub>
                    <m:sSubPr>
                      <m:ctrlPr>
                        <w:rPr>
                          <w:rFonts w:ascii="Cambria Math" w:hAnsi="Cambria Math"/>
                          <w:color w:val="000000"/>
                        </w:rPr>
                      </m:ctrlPr>
                    </m:sSubPr>
                    <m:e>
                      <m:acc>
                        <m:accPr>
                          <m:ctrlPr>
                            <w:rPr>
                              <w:rFonts w:ascii="Cambria Math" w:hAnsi="Cambria Math"/>
                              <w:color w:val="000000"/>
                            </w:rPr>
                          </m:ctrlPr>
                        </m:accPr>
                        <m:e>
                          <m:r>
                            <w:rPr>
                              <w:rFonts w:ascii="Cambria Math" w:hAnsi="Cambria Math"/>
                              <w:color w:val="000000"/>
                            </w:rPr>
                            <m:t>x</m:t>
                          </m:r>
                        </m:e>
                      </m:acc>
                    </m:e>
                    <m:sub>
                      <m:r>
                        <w:rPr>
                          <w:rFonts w:ascii="Cambria Math" w:hAnsi="Cambria Math"/>
                          <w:color w:val="000000"/>
                        </w:rPr>
                        <m:t>observed</m:t>
                      </m:r>
                    </m:sub>
                  </m:sSub>
                  <m:r>
                    <m:rPr>
                      <m:sty m:val="p"/>
                    </m:rPr>
                    <w:rPr>
                      <w:rFonts w:ascii="Cambria Math" w:hAnsi="Cambria Math"/>
                      <w:color w:val="000000"/>
                    </w:rPr>
                    <m:t xml:space="preserve"> | </m:t>
                  </m:r>
                  <m:r>
                    <w:rPr>
                      <w:rFonts w:ascii="Cambria Math" w:hAnsi="Cambria Math"/>
                      <w:color w:val="000000"/>
                    </w:rPr>
                    <m:t>x</m:t>
                  </m:r>
                  <m:r>
                    <m:rPr>
                      <m:sty m:val="p"/>
                    </m:rPr>
                    <w:rPr>
                      <w:rFonts w:ascii="Cambria Math" w:hAnsi="Cambria Math"/>
                      <w:color w:val="000000"/>
                    </w:rPr>
                    <m:t>=0</m:t>
                  </m:r>
                </m:e>
              </m:d>
            </m:oMath>
            <w:r w:rsidRPr="008753E7">
              <w:rPr>
                <w:rFonts w:ascii="Arial (Body)" w:hAnsi="Arial (Body)"/>
                <w:iCs/>
                <w:color w:val="000000"/>
              </w:rPr>
              <w:t xml:space="preserve"> </w:t>
            </w:r>
          </w:p>
        </w:tc>
        <w:tc>
          <w:tcPr>
            <w:tcW w:w="2180" w:type="pct"/>
            <w:tcBorders>
              <w:top w:val="single" w:sz="4" w:space="0" w:color="B3B3B3"/>
              <w:bottom w:val="nil"/>
            </w:tcBorders>
            <w:shd w:val="clear" w:color="auto" w:fill="auto"/>
          </w:tcPr>
          <w:p w14:paraId="4F51036F" w14:textId="77777777" w:rsidR="00767353" w:rsidRPr="008753E7" w:rsidRDefault="00767353" w:rsidP="00604051">
            <w:pPr>
              <w:pStyle w:val="TableUnitsRow"/>
              <w:spacing w:before="45" w:after="45"/>
              <w:ind w:left="57" w:right="108"/>
              <w:jc w:val="left"/>
              <w:rPr>
                <w:rFonts w:ascii="Arial (Body)" w:hAnsi="Arial (Body)"/>
                <w:color w:val="000000"/>
              </w:rPr>
            </w:pPr>
            <w:r w:rsidRPr="008753E7">
              <w:rPr>
                <w:rFonts w:ascii="Arial (Body)" w:hAnsi="Arial (Body)"/>
                <w:color w:val="000000"/>
              </w:rPr>
              <w:t>This suggests that inheritances…</w:t>
            </w:r>
          </w:p>
        </w:tc>
      </w:tr>
      <w:tr w:rsidR="00767353" w:rsidRPr="008753E7" w14:paraId="5B43F0CC" w14:textId="77777777" w:rsidTr="00604051">
        <w:tc>
          <w:tcPr>
            <w:tcW w:w="431" w:type="pct"/>
            <w:vMerge w:val="restart"/>
            <w:tcBorders>
              <w:top w:val="nil"/>
              <w:bottom w:val="nil"/>
            </w:tcBorders>
            <w:shd w:val="clear" w:color="auto" w:fill="F2F2F2" w:themeFill="background1" w:themeFillShade="F2"/>
          </w:tcPr>
          <w:p w14:paraId="27E3E55B"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2003</w:t>
            </w:r>
            <w:r w:rsidRPr="008753E7">
              <w:rPr>
                <w:rFonts w:ascii="Arial (Body)" w:hAnsi="Arial (Body)"/>
                <w:b/>
                <w:color w:val="265A9A"/>
              </w:rPr>
              <w:noBreakHyphen/>
              <w:t>04 – 2005</w:t>
            </w:r>
            <w:r w:rsidRPr="008753E7">
              <w:rPr>
                <w:rFonts w:ascii="Arial (Body)" w:hAnsi="Arial (Body)"/>
                <w:b/>
                <w:color w:val="265A9A"/>
              </w:rPr>
              <w:noBreakHyphen/>
              <w:t>06</w:t>
            </w:r>
          </w:p>
        </w:tc>
        <w:tc>
          <w:tcPr>
            <w:tcW w:w="1200" w:type="pct"/>
            <w:tcBorders>
              <w:top w:val="nil"/>
              <w:bottom w:val="nil"/>
            </w:tcBorders>
            <w:shd w:val="clear" w:color="auto" w:fill="F2F2F2" w:themeFill="background1" w:themeFillShade="F2"/>
          </w:tcPr>
          <w:p w14:paraId="6CE28E20"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F2F2F2" w:themeFill="background1" w:themeFillShade="F2"/>
          </w:tcPr>
          <w:p w14:paraId="4A73590F"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0.000108</w:t>
            </w:r>
          </w:p>
        </w:tc>
        <w:tc>
          <w:tcPr>
            <w:tcW w:w="675" w:type="pct"/>
            <w:tcBorders>
              <w:top w:val="nil"/>
              <w:bottom w:val="nil"/>
            </w:tcBorders>
            <w:shd w:val="clear" w:color="auto" w:fill="F2F2F2" w:themeFill="background1" w:themeFillShade="F2"/>
          </w:tcPr>
          <w:p w14:paraId="462C82F8"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0.908</w:t>
            </w:r>
          </w:p>
        </w:tc>
        <w:tc>
          <w:tcPr>
            <w:tcW w:w="2180" w:type="pct"/>
            <w:tcBorders>
              <w:top w:val="nil"/>
              <w:bottom w:val="nil"/>
            </w:tcBorders>
            <w:shd w:val="clear" w:color="auto" w:fill="F2F2F2" w:themeFill="background1" w:themeFillShade="F2"/>
          </w:tcPr>
          <w:p w14:paraId="34A93ADD"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relative wealth inequality</w:t>
            </w:r>
          </w:p>
        </w:tc>
      </w:tr>
      <w:tr w:rsidR="00767353" w:rsidRPr="008753E7" w14:paraId="1EEC512B" w14:textId="77777777" w:rsidTr="00604051">
        <w:tc>
          <w:tcPr>
            <w:tcW w:w="431" w:type="pct"/>
            <w:vMerge/>
            <w:tcBorders>
              <w:bottom w:val="nil"/>
            </w:tcBorders>
            <w:shd w:val="clear" w:color="auto" w:fill="F2F2F2" w:themeFill="background1" w:themeFillShade="F2"/>
          </w:tcPr>
          <w:p w14:paraId="5879AB02"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4EA250F4"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F2F2F2" w:themeFill="background1" w:themeFillShade="F2"/>
          </w:tcPr>
          <w:p w14:paraId="440889B1"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0.00329</w:t>
            </w:r>
          </w:p>
        </w:tc>
        <w:tc>
          <w:tcPr>
            <w:tcW w:w="675" w:type="pct"/>
            <w:tcBorders>
              <w:bottom w:val="nil"/>
            </w:tcBorders>
            <w:shd w:val="clear" w:color="auto" w:fill="F2F2F2" w:themeFill="background1" w:themeFillShade="F2"/>
          </w:tcPr>
          <w:p w14:paraId="1697181B"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0.826</w:t>
            </w:r>
          </w:p>
        </w:tc>
        <w:tc>
          <w:tcPr>
            <w:tcW w:w="2180" w:type="pct"/>
            <w:tcBorders>
              <w:bottom w:val="nil"/>
            </w:tcBorders>
            <w:shd w:val="clear" w:color="auto" w:fill="F2F2F2" w:themeFill="background1" w:themeFillShade="F2"/>
          </w:tcPr>
          <w:p w14:paraId="3D847E41"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relative wealth inequality</w:t>
            </w:r>
          </w:p>
        </w:tc>
      </w:tr>
      <w:tr w:rsidR="00767353" w:rsidRPr="008753E7" w14:paraId="5264E935" w14:textId="77777777" w:rsidTr="00604051">
        <w:tc>
          <w:tcPr>
            <w:tcW w:w="431" w:type="pct"/>
            <w:vMerge/>
            <w:tcBorders>
              <w:top w:val="nil"/>
              <w:bottom w:val="nil"/>
            </w:tcBorders>
            <w:shd w:val="clear" w:color="auto" w:fill="F2F2F2" w:themeFill="background1" w:themeFillShade="F2"/>
          </w:tcPr>
          <w:p w14:paraId="6AF29205"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F2F2F2" w:themeFill="background1" w:themeFillShade="F2"/>
          </w:tcPr>
          <w:p w14:paraId="76D8BAE1"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F2F2F2" w:themeFill="background1" w:themeFillShade="F2"/>
          </w:tcPr>
          <w:p w14:paraId="73864DAF"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2839.609</w:t>
            </w:r>
          </w:p>
        </w:tc>
        <w:tc>
          <w:tcPr>
            <w:tcW w:w="675" w:type="pct"/>
            <w:tcBorders>
              <w:top w:val="nil"/>
              <w:bottom w:val="nil"/>
            </w:tcBorders>
            <w:shd w:val="clear" w:color="auto" w:fill="F2F2F2" w:themeFill="background1" w:themeFillShade="F2"/>
          </w:tcPr>
          <w:p w14:paraId="025F2DD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0.002</w:t>
            </w:r>
          </w:p>
        </w:tc>
        <w:tc>
          <w:tcPr>
            <w:tcW w:w="2180" w:type="pct"/>
            <w:tcBorders>
              <w:top w:val="nil"/>
              <w:bottom w:val="nil"/>
            </w:tcBorders>
            <w:shd w:val="clear" w:color="auto" w:fill="F2F2F2" w:themeFill="background1" w:themeFillShade="F2"/>
          </w:tcPr>
          <w:p w14:paraId="186E1694"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…increased absolute wealth inequality</w:t>
            </w:r>
          </w:p>
        </w:tc>
      </w:tr>
      <w:tr w:rsidR="00767353" w:rsidRPr="008753E7" w14:paraId="54AF461F" w14:textId="77777777" w:rsidTr="00604051">
        <w:tc>
          <w:tcPr>
            <w:tcW w:w="431" w:type="pct"/>
            <w:vMerge/>
            <w:tcBorders>
              <w:bottom w:val="nil"/>
            </w:tcBorders>
            <w:shd w:val="clear" w:color="auto" w:fill="F2F2F2" w:themeFill="background1" w:themeFillShade="F2"/>
          </w:tcPr>
          <w:p w14:paraId="04538500"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13221650"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F2F2F2" w:themeFill="background1" w:themeFillShade="F2"/>
          </w:tcPr>
          <w:p w14:paraId="1DBEAF37"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7524.304</w:t>
            </w:r>
          </w:p>
        </w:tc>
        <w:tc>
          <w:tcPr>
            <w:tcW w:w="675" w:type="pct"/>
            <w:tcBorders>
              <w:bottom w:val="nil"/>
            </w:tcBorders>
            <w:shd w:val="clear" w:color="auto" w:fill="F2F2F2" w:themeFill="background1" w:themeFillShade="F2"/>
          </w:tcPr>
          <w:p w14:paraId="375494A4"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0.062</w:t>
            </w:r>
          </w:p>
        </w:tc>
        <w:tc>
          <w:tcPr>
            <w:tcW w:w="2180" w:type="pct"/>
            <w:tcBorders>
              <w:bottom w:val="nil"/>
            </w:tcBorders>
            <w:shd w:val="clear" w:color="auto" w:fill="F2F2F2" w:themeFill="background1" w:themeFillShade="F2"/>
          </w:tcPr>
          <w:p w14:paraId="42D7323E"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50068E35" w14:textId="77777777" w:rsidTr="00604051">
        <w:tc>
          <w:tcPr>
            <w:tcW w:w="431" w:type="pct"/>
            <w:vMerge w:val="restart"/>
            <w:tcBorders>
              <w:top w:val="nil"/>
              <w:bottom w:val="nil"/>
            </w:tcBorders>
            <w:shd w:val="clear" w:color="auto" w:fill="auto"/>
          </w:tcPr>
          <w:p w14:paraId="6321E5AE"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2007</w:t>
            </w:r>
            <w:r w:rsidRPr="008753E7">
              <w:rPr>
                <w:rFonts w:ascii="Arial (Body)" w:hAnsi="Arial (Body)"/>
                <w:b/>
                <w:color w:val="265A9A"/>
              </w:rPr>
              <w:noBreakHyphen/>
              <w:t>08 – 2009</w:t>
            </w:r>
            <w:r w:rsidRPr="008753E7">
              <w:rPr>
                <w:rFonts w:ascii="Arial (Body)" w:hAnsi="Arial (Body)"/>
                <w:b/>
                <w:color w:val="265A9A"/>
              </w:rPr>
              <w:noBreakHyphen/>
              <w:t>10</w:t>
            </w:r>
          </w:p>
        </w:tc>
        <w:tc>
          <w:tcPr>
            <w:tcW w:w="1200" w:type="pct"/>
            <w:tcBorders>
              <w:top w:val="nil"/>
              <w:bottom w:val="nil"/>
            </w:tcBorders>
            <w:shd w:val="clear" w:color="auto" w:fill="auto"/>
          </w:tcPr>
          <w:p w14:paraId="26753CEC"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auto"/>
          </w:tcPr>
          <w:p w14:paraId="7AAEF51C"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0.00077</w:t>
            </w:r>
          </w:p>
        </w:tc>
        <w:tc>
          <w:tcPr>
            <w:tcW w:w="675" w:type="pct"/>
            <w:tcBorders>
              <w:top w:val="nil"/>
              <w:bottom w:val="nil"/>
            </w:tcBorders>
            <w:shd w:val="clear" w:color="auto" w:fill="auto"/>
          </w:tcPr>
          <w:p w14:paraId="24FE2909"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0.099</w:t>
            </w:r>
          </w:p>
        </w:tc>
        <w:tc>
          <w:tcPr>
            <w:tcW w:w="2180" w:type="pct"/>
            <w:tcBorders>
              <w:top w:val="nil"/>
              <w:bottom w:val="nil"/>
            </w:tcBorders>
            <w:shd w:val="clear" w:color="auto" w:fill="auto"/>
          </w:tcPr>
          <w:p w14:paraId="45790D78"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relative wealth inequality</w:t>
            </w:r>
          </w:p>
        </w:tc>
      </w:tr>
      <w:tr w:rsidR="00767353" w:rsidRPr="008753E7" w14:paraId="529DE0B2" w14:textId="77777777" w:rsidTr="00604051">
        <w:tc>
          <w:tcPr>
            <w:tcW w:w="431" w:type="pct"/>
            <w:vMerge/>
            <w:tcBorders>
              <w:bottom w:val="nil"/>
            </w:tcBorders>
            <w:shd w:val="clear" w:color="auto" w:fill="auto"/>
          </w:tcPr>
          <w:p w14:paraId="268A6A63"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2720175B"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auto"/>
          </w:tcPr>
          <w:p w14:paraId="152CCB2A"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0.00724</w:t>
            </w:r>
          </w:p>
        </w:tc>
        <w:tc>
          <w:tcPr>
            <w:tcW w:w="675" w:type="pct"/>
            <w:tcBorders>
              <w:bottom w:val="nil"/>
            </w:tcBorders>
            <w:shd w:val="clear" w:color="auto" w:fill="auto"/>
          </w:tcPr>
          <w:p w14:paraId="727ABA3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0.579</w:t>
            </w:r>
          </w:p>
        </w:tc>
        <w:tc>
          <w:tcPr>
            <w:tcW w:w="2180" w:type="pct"/>
            <w:tcBorders>
              <w:bottom w:val="nil"/>
            </w:tcBorders>
            <w:shd w:val="clear" w:color="auto" w:fill="auto"/>
          </w:tcPr>
          <w:p w14:paraId="69468D0B"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relative wealth inequality</w:t>
            </w:r>
          </w:p>
        </w:tc>
      </w:tr>
      <w:tr w:rsidR="00767353" w:rsidRPr="008753E7" w14:paraId="39B54751" w14:textId="77777777" w:rsidTr="00604051">
        <w:tc>
          <w:tcPr>
            <w:tcW w:w="431" w:type="pct"/>
            <w:vMerge/>
            <w:tcBorders>
              <w:top w:val="nil"/>
              <w:bottom w:val="nil"/>
            </w:tcBorders>
            <w:shd w:val="clear" w:color="auto" w:fill="auto"/>
          </w:tcPr>
          <w:p w14:paraId="0DC1F69E"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auto"/>
          </w:tcPr>
          <w:p w14:paraId="651EB8BA"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auto"/>
          </w:tcPr>
          <w:p w14:paraId="66A1B3A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1916.321</w:t>
            </w:r>
          </w:p>
        </w:tc>
        <w:tc>
          <w:tcPr>
            <w:tcW w:w="675" w:type="pct"/>
            <w:tcBorders>
              <w:top w:val="nil"/>
              <w:bottom w:val="nil"/>
            </w:tcBorders>
            <w:shd w:val="clear" w:color="auto" w:fill="auto"/>
          </w:tcPr>
          <w:p w14:paraId="6475DFB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top w:val="nil"/>
              <w:bottom w:val="nil"/>
            </w:tcBorders>
            <w:shd w:val="clear" w:color="auto" w:fill="auto"/>
          </w:tcPr>
          <w:p w14:paraId="1914455A"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…increased absolute wealth inequality</w:t>
            </w:r>
          </w:p>
        </w:tc>
      </w:tr>
      <w:tr w:rsidR="00767353" w:rsidRPr="008753E7" w14:paraId="6F480268" w14:textId="77777777" w:rsidTr="00604051">
        <w:tc>
          <w:tcPr>
            <w:tcW w:w="431" w:type="pct"/>
            <w:vMerge/>
            <w:tcBorders>
              <w:bottom w:val="nil"/>
            </w:tcBorders>
            <w:shd w:val="clear" w:color="auto" w:fill="auto"/>
          </w:tcPr>
          <w:p w14:paraId="7A7DBC0C"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44A41F75"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auto"/>
          </w:tcPr>
          <w:p w14:paraId="67579229"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5173.114</w:t>
            </w:r>
          </w:p>
        </w:tc>
        <w:tc>
          <w:tcPr>
            <w:tcW w:w="675" w:type="pct"/>
            <w:tcBorders>
              <w:bottom w:val="nil"/>
            </w:tcBorders>
            <w:shd w:val="clear" w:color="auto" w:fill="auto"/>
          </w:tcPr>
          <w:p w14:paraId="258F13C0"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0.124</w:t>
            </w:r>
          </w:p>
        </w:tc>
        <w:tc>
          <w:tcPr>
            <w:tcW w:w="2180" w:type="pct"/>
            <w:tcBorders>
              <w:bottom w:val="nil"/>
            </w:tcBorders>
            <w:shd w:val="clear" w:color="auto" w:fill="auto"/>
          </w:tcPr>
          <w:p w14:paraId="7CF572F4"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0DB58E2F" w14:textId="77777777" w:rsidTr="00604051">
        <w:tc>
          <w:tcPr>
            <w:tcW w:w="431" w:type="pct"/>
            <w:vMerge w:val="restart"/>
            <w:tcBorders>
              <w:top w:val="nil"/>
              <w:bottom w:val="nil"/>
            </w:tcBorders>
            <w:shd w:val="clear" w:color="auto" w:fill="F2F2F2" w:themeFill="background1" w:themeFillShade="F2"/>
          </w:tcPr>
          <w:p w14:paraId="38915514"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2011</w:t>
            </w:r>
            <w:r w:rsidRPr="008753E7">
              <w:rPr>
                <w:rFonts w:ascii="Arial (Body)" w:hAnsi="Arial (Body)"/>
                <w:b/>
                <w:color w:val="265A9A"/>
              </w:rPr>
              <w:noBreakHyphen/>
              <w:t>12 – 2013</w:t>
            </w:r>
            <w:r w:rsidRPr="008753E7">
              <w:rPr>
                <w:rFonts w:ascii="Arial (Body)" w:hAnsi="Arial (Body)"/>
                <w:b/>
                <w:color w:val="265A9A"/>
              </w:rPr>
              <w:noBreakHyphen/>
              <w:t>14</w:t>
            </w:r>
          </w:p>
        </w:tc>
        <w:tc>
          <w:tcPr>
            <w:tcW w:w="1200" w:type="pct"/>
            <w:tcBorders>
              <w:top w:val="nil"/>
              <w:bottom w:val="nil"/>
            </w:tcBorders>
            <w:shd w:val="clear" w:color="auto" w:fill="F2F2F2" w:themeFill="background1" w:themeFillShade="F2"/>
          </w:tcPr>
          <w:p w14:paraId="3A79BF80"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F2F2F2" w:themeFill="background1" w:themeFillShade="F2"/>
          </w:tcPr>
          <w:p w14:paraId="6BB4662B"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0.00109</w:t>
            </w:r>
          </w:p>
        </w:tc>
        <w:tc>
          <w:tcPr>
            <w:tcW w:w="675" w:type="pct"/>
            <w:tcBorders>
              <w:top w:val="nil"/>
              <w:bottom w:val="nil"/>
            </w:tcBorders>
            <w:shd w:val="clear" w:color="auto" w:fill="F2F2F2" w:themeFill="background1" w:themeFillShade="F2"/>
          </w:tcPr>
          <w:p w14:paraId="02C06334"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0.008</w:t>
            </w:r>
          </w:p>
        </w:tc>
        <w:tc>
          <w:tcPr>
            <w:tcW w:w="2180" w:type="pct"/>
            <w:tcBorders>
              <w:top w:val="nil"/>
              <w:bottom w:val="nil"/>
            </w:tcBorders>
            <w:shd w:val="clear" w:color="auto" w:fill="F2F2F2" w:themeFill="background1" w:themeFillShade="F2"/>
          </w:tcPr>
          <w:p w14:paraId="29AA84CE"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5566127F" w14:textId="77777777" w:rsidTr="00604051">
        <w:tc>
          <w:tcPr>
            <w:tcW w:w="431" w:type="pct"/>
            <w:vMerge/>
            <w:tcBorders>
              <w:bottom w:val="nil"/>
            </w:tcBorders>
            <w:shd w:val="clear" w:color="auto" w:fill="F2F2F2" w:themeFill="background1" w:themeFillShade="F2"/>
          </w:tcPr>
          <w:p w14:paraId="091C6629"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2187F881"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F2F2F2" w:themeFill="background1" w:themeFillShade="F2"/>
          </w:tcPr>
          <w:p w14:paraId="78553CE2"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0.01870</w:t>
            </w:r>
          </w:p>
        </w:tc>
        <w:tc>
          <w:tcPr>
            <w:tcW w:w="675" w:type="pct"/>
            <w:tcBorders>
              <w:bottom w:val="nil"/>
            </w:tcBorders>
            <w:shd w:val="clear" w:color="auto" w:fill="F2F2F2" w:themeFill="background1" w:themeFillShade="F2"/>
          </w:tcPr>
          <w:p w14:paraId="790DAA00"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bottom w:val="nil"/>
            </w:tcBorders>
            <w:shd w:val="clear" w:color="auto" w:fill="F2F2F2" w:themeFill="background1" w:themeFillShade="F2"/>
          </w:tcPr>
          <w:p w14:paraId="1C3FC49A"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2326653D" w14:textId="77777777" w:rsidTr="00604051">
        <w:tc>
          <w:tcPr>
            <w:tcW w:w="431" w:type="pct"/>
            <w:vMerge/>
            <w:tcBorders>
              <w:top w:val="nil"/>
              <w:bottom w:val="nil"/>
            </w:tcBorders>
            <w:shd w:val="clear" w:color="auto" w:fill="F2F2F2" w:themeFill="background1" w:themeFillShade="F2"/>
          </w:tcPr>
          <w:p w14:paraId="47E08813"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F2F2F2" w:themeFill="background1" w:themeFillShade="F2"/>
          </w:tcPr>
          <w:p w14:paraId="0BD11700"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F2F2F2" w:themeFill="background1" w:themeFillShade="F2"/>
          </w:tcPr>
          <w:p w14:paraId="6F6C0329"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2610.288</w:t>
            </w:r>
          </w:p>
        </w:tc>
        <w:tc>
          <w:tcPr>
            <w:tcW w:w="675" w:type="pct"/>
            <w:tcBorders>
              <w:top w:val="nil"/>
              <w:bottom w:val="nil"/>
            </w:tcBorders>
            <w:shd w:val="clear" w:color="auto" w:fill="F2F2F2" w:themeFill="background1" w:themeFillShade="F2"/>
          </w:tcPr>
          <w:p w14:paraId="1DC2238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top w:val="nil"/>
              <w:bottom w:val="nil"/>
            </w:tcBorders>
            <w:shd w:val="clear" w:color="auto" w:fill="F2F2F2" w:themeFill="background1" w:themeFillShade="F2"/>
          </w:tcPr>
          <w:p w14:paraId="3BD98740"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…increased absolute wealth inequality</w:t>
            </w:r>
          </w:p>
        </w:tc>
      </w:tr>
      <w:tr w:rsidR="00767353" w:rsidRPr="008753E7" w14:paraId="75E85145" w14:textId="77777777" w:rsidTr="00604051">
        <w:tc>
          <w:tcPr>
            <w:tcW w:w="431" w:type="pct"/>
            <w:vMerge/>
            <w:tcBorders>
              <w:bottom w:val="nil"/>
            </w:tcBorders>
            <w:shd w:val="clear" w:color="auto" w:fill="F2F2F2" w:themeFill="background1" w:themeFillShade="F2"/>
          </w:tcPr>
          <w:p w14:paraId="1306977A"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7EEDCD47"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F2F2F2" w:themeFill="background1" w:themeFillShade="F2"/>
          </w:tcPr>
          <w:p w14:paraId="03E9123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3438.561</w:t>
            </w:r>
          </w:p>
        </w:tc>
        <w:tc>
          <w:tcPr>
            <w:tcW w:w="675" w:type="pct"/>
            <w:tcBorders>
              <w:bottom w:val="nil"/>
            </w:tcBorders>
            <w:shd w:val="clear" w:color="auto" w:fill="F2F2F2" w:themeFill="background1" w:themeFillShade="F2"/>
          </w:tcPr>
          <w:p w14:paraId="1F6C4702"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0.003</w:t>
            </w:r>
          </w:p>
        </w:tc>
        <w:tc>
          <w:tcPr>
            <w:tcW w:w="2180" w:type="pct"/>
            <w:tcBorders>
              <w:bottom w:val="nil"/>
            </w:tcBorders>
            <w:shd w:val="clear" w:color="auto" w:fill="F2F2F2" w:themeFill="background1" w:themeFillShade="F2"/>
          </w:tcPr>
          <w:p w14:paraId="17ECE3B5"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…increased absolute wealth inequality</w:t>
            </w:r>
          </w:p>
        </w:tc>
      </w:tr>
      <w:tr w:rsidR="00767353" w:rsidRPr="008753E7" w14:paraId="23AA809F" w14:textId="77777777" w:rsidTr="00604051">
        <w:tc>
          <w:tcPr>
            <w:tcW w:w="431" w:type="pct"/>
            <w:vMerge w:val="restart"/>
            <w:tcBorders>
              <w:top w:val="nil"/>
              <w:bottom w:val="nil"/>
            </w:tcBorders>
            <w:shd w:val="clear" w:color="auto" w:fill="auto"/>
          </w:tcPr>
          <w:p w14:paraId="6C82BEF2"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2015</w:t>
            </w:r>
            <w:r w:rsidRPr="008753E7">
              <w:rPr>
                <w:rFonts w:ascii="Arial (Body)" w:hAnsi="Arial (Body)"/>
                <w:b/>
                <w:color w:val="265A9A"/>
              </w:rPr>
              <w:noBreakHyphen/>
              <w:t>16 – 2017</w:t>
            </w:r>
            <w:r w:rsidRPr="008753E7">
              <w:rPr>
                <w:rFonts w:ascii="Arial (Body)" w:hAnsi="Arial (Body)"/>
                <w:b/>
                <w:color w:val="265A9A"/>
              </w:rPr>
              <w:noBreakHyphen/>
              <w:t>18</w:t>
            </w:r>
          </w:p>
        </w:tc>
        <w:tc>
          <w:tcPr>
            <w:tcW w:w="1200" w:type="pct"/>
            <w:tcBorders>
              <w:top w:val="nil"/>
              <w:bottom w:val="nil"/>
            </w:tcBorders>
            <w:shd w:val="clear" w:color="auto" w:fill="auto"/>
          </w:tcPr>
          <w:p w14:paraId="6EE445EB"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auto"/>
          </w:tcPr>
          <w:p w14:paraId="465B39E3"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0.00144</w:t>
            </w:r>
          </w:p>
        </w:tc>
        <w:tc>
          <w:tcPr>
            <w:tcW w:w="675" w:type="pct"/>
            <w:tcBorders>
              <w:top w:val="nil"/>
              <w:bottom w:val="nil"/>
            </w:tcBorders>
            <w:shd w:val="clear" w:color="auto" w:fill="auto"/>
          </w:tcPr>
          <w:p w14:paraId="34C89A7F"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top w:val="nil"/>
              <w:bottom w:val="nil"/>
            </w:tcBorders>
            <w:shd w:val="clear" w:color="auto" w:fill="auto"/>
          </w:tcPr>
          <w:p w14:paraId="0EDBDC99"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276D6513" w14:textId="77777777" w:rsidTr="00604051">
        <w:tc>
          <w:tcPr>
            <w:tcW w:w="431" w:type="pct"/>
            <w:vMerge/>
            <w:tcBorders>
              <w:bottom w:val="nil"/>
            </w:tcBorders>
            <w:shd w:val="clear" w:color="auto" w:fill="auto"/>
          </w:tcPr>
          <w:p w14:paraId="5F151F96"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4869B6CD"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auto"/>
          </w:tcPr>
          <w:p w14:paraId="1A96B33D"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0.01701</w:t>
            </w:r>
          </w:p>
        </w:tc>
        <w:tc>
          <w:tcPr>
            <w:tcW w:w="675" w:type="pct"/>
            <w:tcBorders>
              <w:bottom w:val="nil"/>
            </w:tcBorders>
            <w:shd w:val="clear" w:color="auto" w:fill="auto"/>
          </w:tcPr>
          <w:p w14:paraId="2266D9B1"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0.003</w:t>
            </w:r>
          </w:p>
        </w:tc>
        <w:tc>
          <w:tcPr>
            <w:tcW w:w="2180" w:type="pct"/>
            <w:tcBorders>
              <w:bottom w:val="nil"/>
            </w:tcBorders>
            <w:shd w:val="clear" w:color="auto" w:fill="auto"/>
          </w:tcPr>
          <w:p w14:paraId="5EBA2D6C"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384E126E" w14:textId="77777777" w:rsidTr="00604051">
        <w:tc>
          <w:tcPr>
            <w:tcW w:w="431" w:type="pct"/>
            <w:vMerge/>
            <w:tcBorders>
              <w:top w:val="nil"/>
              <w:bottom w:val="nil"/>
            </w:tcBorders>
            <w:shd w:val="clear" w:color="auto" w:fill="auto"/>
          </w:tcPr>
          <w:p w14:paraId="2ACB3F67"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auto"/>
          </w:tcPr>
          <w:p w14:paraId="524C206B"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auto"/>
          </w:tcPr>
          <w:p w14:paraId="4D848615"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2839.358</w:t>
            </w:r>
          </w:p>
        </w:tc>
        <w:tc>
          <w:tcPr>
            <w:tcW w:w="675" w:type="pct"/>
            <w:tcBorders>
              <w:top w:val="nil"/>
              <w:bottom w:val="nil"/>
            </w:tcBorders>
            <w:shd w:val="clear" w:color="auto" w:fill="auto"/>
          </w:tcPr>
          <w:p w14:paraId="7018ABF7"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top w:val="nil"/>
              <w:bottom w:val="nil"/>
            </w:tcBorders>
            <w:shd w:val="clear" w:color="auto" w:fill="auto"/>
          </w:tcPr>
          <w:p w14:paraId="7D8A28D9"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…increased absolute wealth inequality</w:t>
            </w:r>
          </w:p>
        </w:tc>
      </w:tr>
      <w:tr w:rsidR="00767353" w:rsidRPr="008753E7" w14:paraId="6DF2EC26" w14:textId="77777777" w:rsidTr="00604051">
        <w:tc>
          <w:tcPr>
            <w:tcW w:w="431" w:type="pct"/>
            <w:vMerge/>
            <w:tcBorders>
              <w:bottom w:val="nil"/>
            </w:tcBorders>
            <w:shd w:val="clear" w:color="auto" w:fill="auto"/>
          </w:tcPr>
          <w:p w14:paraId="2625DAB5"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154415F1"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auto"/>
          </w:tcPr>
          <w:p w14:paraId="700A7D43"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4691.874</w:t>
            </w:r>
          </w:p>
        </w:tc>
        <w:tc>
          <w:tcPr>
            <w:tcW w:w="675" w:type="pct"/>
            <w:tcBorders>
              <w:bottom w:val="nil"/>
            </w:tcBorders>
            <w:shd w:val="clear" w:color="auto" w:fill="auto"/>
          </w:tcPr>
          <w:p w14:paraId="5D7474D1"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0.001</w:t>
            </w:r>
          </w:p>
        </w:tc>
        <w:tc>
          <w:tcPr>
            <w:tcW w:w="2180" w:type="pct"/>
            <w:tcBorders>
              <w:bottom w:val="nil"/>
            </w:tcBorders>
            <w:shd w:val="clear" w:color="auto" w:fill="auto"/>
          </w:tcPr>
          <w:p w14:paraId="57B24AF8"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…increased absolute wealth inequality</w:t>
            </w:r>
          </w:p>
        </w:tc>
      </w:tr>
      <w:tr w:rsidR="00767353" w:rsidRPr="008753E7" w14:paraId="1AE3D0C7" w14:textId="77777777" w:rsidTr="00604051">
        <w:tc>
          <w:tcPr>
            <w:tcW w:w="431" w:type="pct"/>
            <w:vMerge w:val="restart"/>
            <w:tcBorders>
              <w:top w:val="nil"/>
              <w:bottom w:val="nil"/>
            </w:tcBorders>
            <w:shd w:val="clear" w:color="auto" w:fill="F2F2F2" w:themeFill="background1" w:themeFillShade="F2"/>
          </w:tcPr>
          <w:p w14:paraId="1B5A68C4" w14:textId="77777777" w:rsidR="00767353" w:rsidRPr="008753E7" w:rsidRDefault="00767353" w:rsidP="00604051">
            <w:pPr>
              <w:pStyle w:val="TableBodyText"/>
              <w:spacing w:before="45" w:after="45"/>
              <w:ind w:left="57" w:right="108"/>
              <w:jc w:val="left"/>
              <w:rPr>
                <w:rFonts w:ascii="Arial (Body)" w:hAnsi="Arial (Body)"/>
                <w:b/>
                <w:bCs/>
                <w:color w:val="265A9A"/>
              </w:rPr>
            </w:pPr>
            <w:r w:rsidRPr="008753E7">
              <w:rPr>
                <w:rFonts w:ascii="Arial (Body)" w:hAnsi="Arial (Body)"/>
                <w:b/>
                <w:bCs/>
                <w:color w:val="265A9A"/>
              </w:rPr>
              <w:t>Pooled across all years</w:t>
            </w:r>
          </w:p>
        </w:tc>
        <w:tc>
          <w:tcPr>
            <w:tcW w:w="1200" w:type="pct"/>
            <w:tcBorders>
              <w:top w:val="nil"/>
              <w:bottom w:val="nil"/>
            </w:tcBorders>
            <w:shd w:val="clear" w:color="auto" w:fill="F2F2F2" w:themeFill="background1" w:themeFillShade="F2"/>
          </w:tcPr>
          <w:p w14:paraId="7671DD86"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…sum of Gini coefficients</w:t>
            </w:r>
          </w:p>
        </w:tc>
        <w:tc>
          <w:tcPr>
            <w:tcW w:w="513" w:type="pct"/>
            <w:tcBorders>
              <w:top w:val="nil"/>
              <w:bottom w:val="nil"/>
            </w:tcBorders>
            <w:shd w:val="clear" w:color="auto" w:fill="F2F2F2" w:themeFill="background1" w:themeFillShade="F2"/>
          </w:tcPr>
          <w:p w14:paraId="094C51F9"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noBreakHyphen/>
              <w:t>0.00320</w:t>
            </w:r>
          </w:p>
        </w:tc>
        <w:tc>
          <w:tcPr>
            <w:tcW w:w="675" w:type="pct"/>
            <w:tcBorders>
              <w:top w:val="nil"/>
              <w:bottom w:val="nil"/>
            </w:tcBorders>
            <w:shd w:val="clear" w:color="auto" w:fill="F2F2F2" w:themeFill="background1" w:themeFillShade="F2"/>
          </w:tcPr>
          <w:p w14:paraId="4FF16D56"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0.007</w:t>
            </w:r>
          </w:p>
        </w:tc>
        <w:tc>
          <w:tcPr>
            <w:tcW w:w="2180" w:type="pct"/>
            <w:tcBorders>
              <w:top w:val="nil"/>
              <w:bottom w:val="nil"/>
            </w:tcBorders>
            <w:shd w:val="clear" w:color="auto" w:fill="F2F2F2" w:themeFill="background1" w:themeFillShade="F2"/>
          </w:tcPr>
          <w:p w14:paraId="7BFC58B3"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…decreased relative wealth inequality</w:t>
            </w:r>
          </w:p>
        </w:tc>
      </w:tr>
      <w:tr w:rsidR="00767353" w:rsidRPr="008753E7" w14:paraId="57445F15" w14:textId="77777777" w:rsidTr="00604051">
        <w:tc>
          <w:tcPr>
            <w:tcW w:w="431" w:type="pct"/>
            <w:vMerge/>
            <w:tcBorders>
              <w:bottom w:val="nil"/>
            </w:tcBorders>
            <w:shd w:val="clear" w:color="auto" w:fill="F2F2F2" w:themeFill="background1" w:themeFillShade="F2"/>
          </w:tcPr>
          <w:p w14:paraId="30CD1E9D" w14:textId="77777777" w:rsidR="00767353" w:rsidRPr="008753E7" w:rsidRDefault="00767353" w:rsidP="00604051">
            <w:pPr>
              <w:pStyle w:val="TableBodyText"/>
              <w:spacing w:before="45" w:after="45"/>
              <w:ind w:left="57" w:right="108"/>
              <w:rPr>
                <w:rFonts w:ascii="Arial (Body)" w:hAnsi="Arial (Body)"/>
                <w:bCs/>
                <w:color w:val="000000"/>
              </w:rPr>
            </w:pPr>
          </w:p>
        </w:tc>
        <w:tc>
          <w:tcPr>
            <w:tcW w:w="1200" w:type="pct"/>
            <w:tcBorders>
              <w:bottom w:val="nil"/>
            </w:tcBorders>
            <w:shd w:val="clear" w:color="auto" w:fill="F2F2F2" w:themeFill="background1" w:themeFillShade="F2"/>
          </w:tcPr>
          <w:p w14:paraId="481C28FA"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…sum of GE(2) coefficients</w:t>
            </w:r>
          </w:p>
        </w:tc>
        <w:tc>
          <w:tcPr>
            <w:tcW w:w="513" w:type="pct"/>
            <w:tcBorders>
              <w:bottom w:val="nil"/>
            </w:tcBorders>
            <w:shd w:val="clear" w:color="auto" w:fill="F2F2F2" w:themeFill="background1" w:themeFillShade="F2"/>
          </w:tcPr>
          <w:p w14:paraId="7B5CE4A5"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noBreakHyphen/>
              <w:t>0.04624</w:t>
            </w:r>
          </w:p>
        </w:tc>
        <w:tc>
          <w:tcPr>
            <w:tcW w:w="675" w:type="pct"/>
            <w:tcBorders>
              <w:bottom w:val="nil"/>
            </w:tcBorders>
            <w:shd w:val="clear" w:color="auto" w:fill="F2F2F2" w:themeFill="background1" w:themeFillShade="F2"/>
          </w:tcPr>
          <w:p w14:paraId="35BC8860"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0.033</w:t>
            </w:r>
          </w:p>
        </w:tc>
        <w:tc>
          <w:tcPr>
            <w:tcW w:w="2180" w:type="pct"/>
            <w:tcBorders>
              <w:bottom w:val="nil"/>
            </w:tcBorders>
            <w:shd w:val="clear" w:color="auto" w:fill="F2F2F2" w:themeFill="background1" w:themeFillShade="F2"/>
          </w:tcPr>
          <w:p w14:paraId="1CC89D39"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…decreased relative wealth inequality</w:t>
            </w:r>
          </w:p>
        </w:tc>
      </w:tr>
      <w:tr w:rsidR="00767353" w:rsidRPr="008753E7" w14:paraId="799A9D2E" w14:textId="77777777" w:rsidTr="00604051">
        <w:tc>
          <w:tcPr>
            <w:tcW w:w="431" w:type="pct"/>
            <w:vMerge/>
            <w:tcBorders>
              <w:top w:val="nil"/>
              <w:bottom w:val="nil"/>
            </w:tcBorders>
            <w:shd w:val="clear" w:color="auto" w:fill="F2F2F2" w:themeFill="background1" w:themeFillShade="F2"/>
          </w:tcPr>
          <w:p w14:paraId="75009E7D" w14:textId="77777777" w:rsidR="00767353" w:rsidRPr="008753E7" w:rsidRDefault="00767353" w:rsidP="00604051">
            <w:pPr>
              <w:pStyle w:val="TableBodyText"/>
              <w:spacing w:before="45" w:after="45"/>
              <w:ind w:left="57" w:right="108"/>
              <w:rPr>
                <w:rFonts w:ascii="Arial (Body)" w:hAnsi="Arial (Body)"/>
                <w:bCs/>
                <w:color w:val="000000"/>
              </w:rPr>
            </w:pPr>
          </w:p>
        </w:tc>
        <w:tc>
          <w:tcPr>
            <w:tcW w:w="1200" w:type="pct"/>
            <w:tcBorders>
              <w:top w:val="nil"/>
              <w:bottom w:val="nil"/>
            </w:tcBorders>
            <w:shd w:val="clear" w:color="auto" w:fill="F2F2F2" w:themeFill="background1" w:themeFillShade="F2"/>
          </w:tcPr>
          <w:p w14:paraId="33CD16E6"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…sum of absolute Gini coefficients</w:t>
            </w:r>
          </w:p>
        </w:tc>
        <w:tc>
          <w:tcPr>
            <w:tcW w:w="513" w:type="pct"/>
            <w:tcBorders>
              <w:top w:val="nil"/>
              <w:bottom w:val="nil"/>
            </w:tcBorders>
            <w:shd w:val="clear" w:color="auto" w:fill="F2F2F2" w:themeFill="background1" w:themeFillShade="F2"/>
          </w:tcPr>
          <w:p w14:paraId="5DF44833"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10205.58</w:t>
            </w:r>
          </w:p>
        </w:tc>
        <w:tc>
          <w:tcPr>
            <w:tcW w:w="675" w:type="pct"/>
            <w:tcBorders>
              <w:top w:val="nil"/>
              <w:bottom w:val="nil"/>
            </w:tcBorders>
            <w:shd w:val="clear" w:color="auto" w:fill="F2F2F2" w:themeFill="background1" w:themeFillShade="F2"/>
          </w:tcPr>
          <w:p w14:paraId="7F82B3C6"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0.000</w:t>
            </w:r>
          </w:p>
        </w:tc>
        <w:tc>
          <w:tcPr>
            <w:tcW w:w="2180" w:type="pct"/>
            <w:tcBorders>
              <w:top w:val="nil"/>
              <w:bottom w:val="nil"/>
            </w:tcBorders>
            <w:shd w:val="clear" w:color="auto" w:fill="F2F2F2" w:themeFill="background1" w:themeFillShade="F2"/>
          </w:tcPr>
          <w:p w14:paraId="5437BEAC"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…increased absolute wealth inequality</w:t>
            </w:r>
          </w:p>
        </w:tc>
      </w:tr>
      <w:tr w:rsidR="00767353" w:rsidRPr="008753E7" w14:paraId="184F0361" w14:textId="77777777" w:rsidTr="00604051">
        <w:tc>
          <w:tcPr>
            <w:tcW w:w="431" w:type="pct"/>
            <w:vMerge/>
            <w:tcBorders>
              <w:bottom w:val="single" w:sz="4" w:space="0" w:color="B3B3B3"/>
            </w:tcBorders>
            <w:shd w:val="clear" w:color="auto" w:fill="F2F2F2" w:themeFill="background1" w:themeFillShade="F2"/>
          </w:tcPr>
          <w:p w14:paraId="3B8CDF9A" w14:textId="77777777" w:rsidR="00767353" w:rsidRPr="008753E7" w:rsidRDefault="00767353" w:rsidP="00604051">
            <w:pPr>
              <w:pStyle w:val="TableBodyText"/>
              <w:spacing w:before="45" w:after="45"/>
              <w:ind w:left="57" w:right="108"/>
              <w:rPr>
                <w:rFonts w:ascii="Arial (Body)" w:hAnsi="Arial (Body)"/>
                <w:bCs/>
                <w:color w:val="000000"/>
              </w:rPr>
            </w:pPr>
          </w:p>
        </w:tc>
        <w:tc>
          <w:tcPr>
            <w:tcW w:w="1200" w:type="pct"/>
            <w:tcBorders>
              <w:bottom w:val="single" w:sz="4" w:space="0" w:color="B3B3B3"/>
            </w:tcBorders>
            <w:shd w:val="clear" w:color="auto" w:fill="F2F2F2" w:themeFill="background1" w:themeFillShade="F2"/>
          </w:tcPr>
          <w:p w14:paraId="266AF462"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…sum of standard deviations</w:t>
            </w:r>
          </w:p>
        </w:tc>
        <w:tc>
          <w:tcPr>
            <w:tcW w:w="513" w:type="pct"/>
            <w:tcBorders>
              <w:bottom w:val="single" w:sz="4" w:space="0" w:color="B3B3B3"/>
            </w:tcBorders>
            <w:shd w:val="clear" w:color="auto" w:fill="F2F2F2" w:themeFill="background1" w:themeFillShade="F2"/>
          </w:tcPr>
          <w:p w14:paraId="702E1A7B"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20827.85</w:t>
            </w:r>
          </w:p>
        </w:tc>
        <w:tc>
          <w:tcPr>
            <w:tcW w:w="675" w:type="pct"/>
            <w:tcBorders>
              <w:bottom w:val="single" w:sz="4" w:space="0" w:color="B3B3B3"/>
            </w:tcBorders>
            <w:shd w:val="clear" w:color="auto" w:fill="F2F2F2" w:themeFill="background1" w:themeFillShade="F2"/>
          </w:tcPr>
          <w:p w14:paraId="33BADA71"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0.000</w:t>
            </w:r>
          </w:p>
        </w:tc>
        <w:tc>
          <w:tcPr>
            <w:tcW w:w="2180" w:type="pct"/>
            <w:tcBorders>
              <w:bottom w:val="single" w:sz="4" w:space="0" w:color="B3B3B3"/>
            </w:tcBorders>
            <w:shd w:val="clear" w:color="auto" w:fill="F2F2F2" w:themeFill="background1" w:themeFillShade="F2"/>
          </w:tcPr>
          <w:p w14:paraId="225B0156"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…increased absolute wealth inequality</w:t>
            </w:r>
          </w:p>
        </w:tc>
      </w:tr>
    </w:tbl>
    <w:p w14:paraId="2A41707D" w14:textId="77777777" w:rsidR="00767353" w:rsidRDefault="00767353" w:rsidP="00767353">
      <w:pPr>
        <w:pStyle w:val="Note"/>
      </w:pPr>
      <w:r w:rsidRPr="00C36914">
        <w:rPr>
          <w:b/>
          <w:bCs/>
        </w:rPr>
        <w:t>a.</w:t>
      </w:r>
      <w:r w:rsidRPr="00C36914">
        <w:t xml:space="preserve"> </w:t>
      </w:r>
      <w:r>
        <w:t>‘</w:t>
      </w:r>
      <w:r w:rsidRPr="008753E7">
        <w:t xml:space="preserve">GE(2) coefficient’ is the generalised entropy class 2 coefficient. </w:t>
      </w:r>
      <w:r w:rsidRPr="008753E7">
        <w:rPr>
          <w:b/>
          <w:bCs/>
        </w:rPr>
        <w:t>b.</w:t>
      </w:r>
      <w:r w:rsidRPr="008753E7">
        <w:t xml:space="preserve"> All measures are weighted by the appropriate survey weights. See the published script files for more information on the weights used throughout this study. </w:t>
      </w:r>
      <w:r w:rsidRPr="008753E7">
        <w:rPr>
          <w:b/>
          <w:bCs/>
        </w:rPr>
        <w:t>c.</w:t>
      </w:r>
      <w:r w:rsidRPr="008753E7">
        <w:t xml:space="preserve"> Findings are based on whether the null hypothesis that inheritances had no effect on wealth inequality can be rejected at the 5 per cent level of significance.</w:t>
      </w:r>
    </w:p>
    <w:p w14:paraId="2B85337E" w14:textId="77777777" w:rsidR="00767353" w:rsidRDefault="00767353" w:rsidP="00767353">
      <w:pPr>
        <w:pStyle w:val="Source"/>
      </w:pPr>
      <w:r w:rsidRPr="00696447">
        <w:t xml:space="preserve">Source: </w:t>
      </w:r>
      <w:r w:rsidRPr="008753E7">
        <w:t>Productivity Commission estimates based on HILDA Restricted Release 19.</w:t>
      </w:r>
    </w:p>
    <w:p w14:paraId="30153893" w14:textId="2352E36B"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B3C26">
        <w:t>6</w:t>
      </w:r>
      <w:r>
        <w:rPr>
          <w:noProof/>
        </w:rPr>
        <w:t xml:space="preserve"> – </w:t>
      </w:r>
      <w:r>
        <w:t>Effect of gifts on wealth inequality</w:t>
      </w:r>
      <w:r w:rsidRPr="00EC0C27">
        <w:rPr>
          <w:vertAlign w:val="superscript"/>
        </w:rPr>
        <w:t>a,b</w:t>
      </w:r>
      <w:r>
        <w:rPr>
          <w:vertAlign w:val="superscript"/>
        </w:rPr>
        <w:t>,c</w:t>
      </w:r>
    </w:p>
    <w:tbl>
      <w:tblPr>
        <w:tblW w:w="4989"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830"/>
        <w:gridCol w:w="2309"/>
        <w:gridCol w:w="987"/>
        <w:gridCol w:w="1298"/>
        <w:gridCol w:w="4193"/>
      </w:tblGrid>
      <w:tr w:rsidR="00767353" w:rsidRPr="008753E7" w14:paraId="6EBD64C0" w14:textId="77777777" w:rsidTr="00604051">
        <w:trPr>
          <w:tblHeader/>
        </w:trPr>
        <w:tc>
          <w:tcPr>
            <w:tcW w:w="431" w:type="pct"/>
            <w:tcBorders>
              <w:bottom w:val="single" w:sz="4" w:space="0" w:color="B3B3B3"/>
            </w:tcBorders>
            <w:shd w:val="clear" w:color="auto" w:fill="auto"/>
            <w:tcMar>
              <w:top w:w="28" w:type="dxa"/>
            </w:tcMar>
          </w:tcPr>
          <w:p w14:paraId="3928240A" w14:textId="77777777" w:rsidR="00767353" w:rsidRPr="008753E7" w:rsidRDefault="00767353" w:rsidP="00604051">
            <w:pPr>
              <w:pStyle w:val="TableColumnHeading"/>
              <w:spacing w:before="45" w:after="45"/>
              <w:ind w:left="57" w:right="108"/>
              <w:jc w:val="left"/>
              <w:rPr>
                <w:rFonts w:ascii="Arial (Body)" w:hAnsi="Arial (Body)"/>
                <w:b/>
                <w:i w:val="0"/>
                <w:color w:val="265A9A"/>
              </w:rPr>
            </w:pPr>
            <w:r w:rsidRPr="008753E7">
              <w:rPr>
                <w:rFonts w:ascii="Arial (Body)" w:hAnsi="Arial (Body)"/>
                <w:b/>
                <w:i w:val="0"/>
                <w:color w:val="265A9A"/>
              </w:rPr>
              <w:t>Years</w:t>
            </w:r>
          </w:p>
        </w:tc>
        <w:tc>
          <w:tcPr>
            <w:tcW w:w="1200" w:type="pct"/>
            <w:tcBorders>
              <w:bottom w:val="single" w:sz="4" w:space="0" w:color="B3B3B3"/>
            </w:tcBorders>
            <w:shd w:val="clear" w:color="auto" w:fill="auto"/>
          </w:tcPr>
          <w:p w14:paraId="53FB55CB" w14:textId="77777777" w:rsidR="00767353" w:rsidRPr="008753E7" w:rsidRDefault="00767353" w:rsidP="00604051">
            <w:pPr>
              <w:pStyle w:val="TableColumnHeading"/>
              <w:spacing w:before="45" w:after="45"/>
              <w:ind w:left="57" w:right="108"/>
              <w:jc w:val="left"/>
              <w:rPr>
                <w:rFonts w:ascii="Arial (Body)" w:hAnsi="Arial (Body)"/>
                <w:b/>
                <w:i w:val="0"/>
                <w:color w:val="265A9A"/>
              </w:rPr>
            </w:pPr>
            <w:r w:rsidRPr="008753E7">
              <w:rPr>
                <w:rFonts w:ascii="Arial (Body)" w:hAnsi="Arial (Body)"/>
                <w:b/>
                <w:i w:val="0"/>
                <w:color w:val="265A9A"/>
              </w:rPr>
              <w:t>Measure</w:t>
            </w:r>
          </w:p>
        </w:tc>
        <w:tc>
          <w:tcPr>
            <w:tcW w:w="513" w:type="pct"/>
            <w:tcBorders>
              <w:bottom w:val="single" w:sz="4" w:space="0" w:color="B3B3B3"/>
            </w:tcBorders>
            <w:shd w:val="clear" w:color="auto" w:fill="auto"/>
            <w:tcMar>
              <w:top w:w="28" w:type="dxa"/>
            </w:tcMar>
          </w:tcPr>
          <w:p w14:paraId="6C17357E" w14:textId="77777777" w:rsidR="00767353" w:rsidRPr="008753E7" w:rsidRDefault="00767353" w:rsidP="00604051">
            <w:pPr>
              <w:pStyle w:val="TableColumnHeading"/>
              <w:spacing w:before="45" w:after="45"/>
              <w:ind w:left="57" w:right="108"/>
              <w:rPr>
                <w:rFonts w:ascii="Arial (Body)" w:hAnsi="Arial (Body)"/>
                <w:b/>
                <w:i w:val="0"/>
                <w:color w:val="265A9A"/>
              </w:rPr>
            </w:pPr>
            <w:r w:rsidRPr="008753E7">
              <w:rPr>
                <w:rFonts w:ascii="Arial (Body)" w:hAnsi="Arial (Body)"/>
                <w:b/>
                <w:i w:val="0"/>
                <w:color w:val="265A9A"/>
              </w:rPr>
              <w:t>Estimate</w:t>
            </w:r>
          </w:p>
        </w:tc>
        <w:tc>
          <w:tcPr>
            <w:tcW w:w="675" w:type="pct"/>
            <w:tcBorders>
              <w:bottom w:val="single" w:sz="4" w:space="0" w:color="B3B3B3"/>
            </w:tcBorders>
            <w:shd w:val="clear" w:color="auto" w:fill="auto"/>
          </w:tcPr>
          <w:p w14:paraId="516C206D" w14:textId="77777777" w:rsidR="00767353" w:rsidRPr="008753E7" w:rsidRDefault="00767353" w:rsidP="00604051">
            <w:pPr>
              <w:pStyle w:val="TableColumnHeading"/>
              <w:spacing w:before="45" w:after="45"/>
              <w:ind w:left="57" w:right="108"/>
              <w:rPr>
                <w:rFonts w:ascii="Arial (Body)" w:hAnsi="Arial (Body)"/>
                <w:b/>
                <w:i w:val="0"/>
                <w:color w:val="265A9A"/>
              </w:rPr>
            </w:pPr>
            <w:r w:rsidRPr="008753E7">
              <w:rPr>
                <w:rFonts w:ascii="Arial (Body)" w:hAnsi="Arial (Body)"/>
                <w:b/>
                <w:i w:val="0"/>
                <w:color w:val="265A9A"/>
              </w:rPr>
              <w:t>p</w:t>
            </w:r>
            <w:r w:rsidRPr="008753E7">
              <w:rPr>
                <w:rFonts w:ascii="Arial (Body)" w:hAnsi="Arial (Body)"/>
                <w:b/>
                <w:i w:val="0"/>
                <w:color w:val="265A9A"/>
              </w:rPr>
              <w:noBreakHyphen/>
              <w:t>value</w:t>
            </w:r>
          </w:p>
        </w:tc>
        <w:tc>
          <w:tcPr>
            <w:tcW w:w="2180" w:type="pct"/>
            <w:tcBorders>
              <w:bottom w:val="single" w:sz="4" w:space="0" w:color="B3B3B3"/>
            </w:tcBorders>
            <w:shd w:val="clear" w:color="auto" w:fill="auto"/>
            <w:tcMar>
              <w:top w:w="28" w:type="dxa"/>
            </w:tcMar>
          </w:tcPr>
          <w:p w14:paraId="3C24E6F7" w14:textId="77777777" w:rsidR="00767353" w:rsidRPr="008753E7" w:rsidRDefault="00767353" w:rsidP="00604051">
            <w:pPr>
              <w:pStyle w:val="TableColumnHeading"/>
              <w:spacing w:before="45" w:after="45"/>
              <w:ind w:left="57" w:right="108"/>
              <w:jc w:val="left"/>
              <w:rPr>
                <w:rFonts w:ascii="Arial (Body)" w:hAnsi="Arial (Body)"/>
                <w:b/>
                <w:i w:val="0"/>
                <w:color w:val="265A9A"/>
              </w:rPr>
            </w:pPr>
            <w:r w:rsidRPr="008753E7">
              <w:rPr>
                <w:rFonts w:ascii="Arial (Body)" w:hAnsi="Arial (Body)"/>
                <w:b/>
                <w:i w:val="0"/>
                <w:color w:val="265A9A"/>
              </w:rPr>
              <w:t>Finding</w:t>
            </w:r>
          </w:p>
        </w:tc>
      </w:tr>
      <w:tr w:rsidR="00767353" w:rsidRPr="008753E7" w14:paraId="68200304" w14:textId="77777777" w:rsidTr="00604051">
        <w:tc>
          <w:tcPr>
            <w:tcW w:w="431" w:type="pct"/>
            <w:tcBorders>
              <w:top w:val="single" w:sz="4" w:space="0" w:color="B3B3B3"/>
              <w:bottom w:val="nil"/>
            </w:tcBorders>
            <w:shd w:val="clear" w:color="auto" w:fill="auto"/>
          </w:tcPr>
          <w:p w14:paraId="72CEFD7A" w14:textId="77777777" w:rsidR="00767353" w:rsidRPr="008753E7" w:rsidRDefault="00767353" w:rsidP="00604051">
            <w:pPr>
              <w:pStyle w:val="TableUnitsRow"/>
              <w:spacing w:before="45" w:after="45"/>
              <w:ind w:left="57" w:right="108"/>
              <w:jc w:val="left"/>
              <w:rPr>
                <w:rFonts w:ascii="Arial (Body)" w:hAnsi="Arial (Body)"/>
                <w:b/>
                <w:color w:val="265A9A"/>
              </w:rPr>
            </w:pPr>
          </w:p>
        </w:tc>
        <w:tc>
          <w:tcPr>
            <w:tcW w:w="1200" w:type="pct"/>
            <w:tcBorders>
              <w:top w:val="single" w:sz="4" w:space="0" w:color="B3B3B3"/>
              <w:bottom w:val="nil"/>
            </w:tcBorders>
            <w:shd w:val="clear" w:color="auto" w:fill="auto"/>
          </w:tcPr>
          <w:p w14:paraId="09DF2889" w14:textId="77777777" w:rsidR="00767353" w:rsidRPr="008753E7" w:rsidRDefault="00767353" w:rsidP="00604051">
            <w:pPr>
              <w:pStyle w:val="TableUnitsRow"/>
              <w:spacing w:before="45" w:after="45"/>
              <w:ind w:left="57" w:right="108"/>
              <w:jc w:val="left"/>
              <w:rPr>
                <w:rFonts w:ascii="Arial (Body)" w:hAnsi="Arial (Body)"/>
                <w:color w:val="000000"/>
              </w:rPr>
            </w:pPr>
            <w:r w:rsidRPr="008753E7">
              <w:rPr>
                <w:rFonts w:ascii="Arial (Body)" w:hAnsi="Arial (Body)"/>
                <w:color w:val="000000"/>
              </w:rPr>
              <w:t>Change in…</w:t>
            </w:r>
          </w:p>
        </w:tc>
        <w:tc>
          <w:tcPr>
            <w:tcW w:w="513" w:type="pct"/>
            <w:tcBorders>
              <w:top w:val="single" w:sz="4" w:space="0" w:color="B3B3B3"/>
              <w:bottom w:val="nil"/>
            </w:tcBorders>
            <w:shd w:val="clear" w:color="auto" w:fill="auto"/>
          </w:tcPr>
          <w:p w14:paraId="5122C2F2" w14:textId="77777777" w:rsidR="00767353" w:rsidRPr="008753E7" w:rsidRDefault="00767353" w:rsidP="00604051">
            <w:pPr>
              <w:pStyle w:val="TableUnitsRow"/>
              <w:spacing w:before="45" w:after="45"/>
              <w:ind w:left="57" w:right="108"/>
              <w:rPr>
                <w:rFonts w:ascii="Arial (Body)" w:hAnsi="Arial (Body)"/>
                <w:color w:val="000000"/>
              </w:rPr>
            </w:pPr>
            <w:r w:rsidRPr="008753E7">
              <w:rPr>
                <w:rFonts w:ascii="Arial (Body)" w:hAnsi="Arial (Body)"/>
                <w:color w:val="000000"/>
              </w:rPr>
              <w:t xml:space="preserve"> </w:t>
            </w:r>
            <m:oMath>
              <m:sSub>
                <m:sSubPr>
                  <m:ctrlPr>
                    <w:rPr>
                      <w:rFonts w:ascii="Cambria Math" w:hAnsi="Cambria Math"/>
                      <w:color w:val="000000"/>
                    </w:rPr>
                  </m:ctrlPr>
                </m:sSubPr>
                <m:e>
                  <m:acc>
                    <m:accPr>
                      <m:ctrlPr>
                        <w:rPr>
                          <w:rFonts w:ascii="Cambria Math" w:hAnsi="Cambria Math"/>
                          <w:color w:val="000000"/>
                        </w:rPr>
                      </m:ctrlPr>
                    </m:accPr>
                    <m:e>
                      <m:r>
                        <w:rPr>
                          <w:rFonts w:ascii="Cambria Math" w:hAnsi="Cambria Math"/>
                          <w:color w:val="000000"/>
                        </w:rPr>
                        <m:t>x</m:t>
                      </m:r>
                    </m:e>
                  </m:acc>
                </m:e>
                <m:sub>
                  <m:r>
                    <w:rPr>
                      <w:rFonts w:ascii="Cambria Math" w:hAnsi="Cambria Math"/>
                      <w:color w:val="000000"/>
                    </w:rPr>
                    <m:t>observed</m:t>
                  </m:r>
                </m:sub>
              </m:sSub>
            </m:oMath>
          </w:p>
        </w:tc>
        <w:tc>
          <w:tcPr>
            <w:tcW w:w="675" w:type="pct"/>
            <w:tcBorders>
              <w:top w:val="single" w:sz="4" w:space="0" w:color="B3B3B3"/>
              <w:bottom w:val="nil"/>
            </w:tcBorders>
            <w:shd w:val="clear" w:color="auto" w:fill="auto"/>
          </w:tcPr>
          <w:p w14:paraId="3D9D9A14" w14:textId="77777777" w:rsidR="00767353" w:rsidRPr="008753E7" w:rsidRDefault="00767353" w:rsidP="00604051">
            <w:pPr>
              <w:pStyle w:val="TableUnitsRow"/>
              <w:spacing w:before="45" w:after="45"/>
              <w:ind w:left="57" w:right="108"/>
              <w:rPr>
                <w:rFonts w:ascii="Arial (Body)" w:hAnsi="Arial (Body)"/>
                <w:color w:val="000000"/>
              </w:rPr>
            </w:pPr>
            <m:oMath>
              <m:r>
                <m:rPr>
                  <m:sty m:val="p"/>
                </m:rPr>
                <w:rPr>
                  <w:rFonts w:ascii="Cambria Math" w:hAnsi="Cambria Math"/>
                  <w:color w:val="000000"/>
                </w:rPr>
                <m:t>Pr</m:t>
              </m:r>
              <m:d>
                <m:dPr>
                  <m:ctrlPr>
                    <w:rPr>
                      <w:rFonts w:ascii="Cambria Math" w:hAnsi="Cambria Math"/>
                      <w:color w:val="000000"/>
                    </w:rPr>
                  </m:ctrlPr>
                </m:dPr>
                <m:e>
                  <m:acc>
                    <m:accPr>
                      <m:ctrlPr>
                        <w:rPr>
                          <w:rFonts w:ascii="Cambria Math" w:hAnsi="Cambria Math"/>
                          <w:color w:val="000000"/>
                        </w:rPr>
                      </m:ctrlPr>
                    </m:accPr>
                    <m:e>
                      <m:r>
                        <w:rPr>
                          <w:rFonts w:ascii="Cambria Math" w:hAnsi="Cambria Math"/>
                          <w:color w:val="000000"/>
                        </w:rPr>
                        <m:t>x</m:t>
                      </m:r>
                      <m:r>
                        <m:rPr>
                          <m:sty m:val="p"/>
                        </m:rPr>
                        <w:rPr>
                          <w:rFonts w:ascii="Cambria Math" w:hAnsi="Cambria Math"/>
                          <w:color w:val="000000"/>
                        </w:rPr>
                        <m:t xml:space="preserve"> </m:t>
                      </m:r>
                    </m:e>
                  </m:acc>
                  <m:r>
                    <m:rPr>
                      <m:sty m:val="p"/>
                    </m:rPr>
                    <w:rPr>
                      <w:rFonts w:ascii="Cambria Math" w:hAnsi="Cambria Math"/>
                      <w:color w:val="000000"/>
                    </w:rPr>
                    <m:t>≥</m:t>
                  </m:r>
                  <m:sSub>
                    <m:sSubPr>
                      <m:ctrlPr>
                        <w:rPr>
                          <w:rFonts w:ascii="Cambria Math" w:hAnsi="Cambria Math"/>
                          <w:color w:val="000000"/>
                        </w:rPr>
                      </m:ctrlPr>
                    </m:sSubPr>
                    <m:e>
                      <m:acc>
                        <m:accPr>
                          <m:ctrlPr>
                            <w:rPr>
                              <w:rFonts w:ascii="Cambria Math" w:hAnsi="Cambria Math"/>
                              <w:color w:val="000000"/>
                            </w:rPr>
                          </m:ctrlPr>
                        </m:accPr>
                        <m:e>
                          <m:r>
                            <w:rPr>
                              <w:rFonts w:ascii="Cambria Math" w:hAnsi="Cambria Math"/>
                              <w:color w:val="000000"/>
                            </w:rPr>
                            <m:t>x</m:t>
                          </m:r>
                        </m:e>
                      </m:acc>
                    </m:e>
                    <m:sub>
                      <m:r>
                        <w:rPr>
                          <w:rFonts w:ascii="Cambria Math" w:hAnsi="Cambria Math"/>
                          <w:color w:val="000000"/>
                        </w:rPr>
                        <m:t>observed</m:t>
                      </m:r>
                    </m:sub>
                  </m:sSub>
                  <m:r>
                    <m:rPr>
                      <m:sty m:val="p"/>
                    </m:rPr>
                    <w:rPr>
                      <w:rFonts w:ascii="Cambria Math" w:hAnsi="Cambria Math"/>
                      <w:color w:val="000000"/>
                    </w:rPr>
                    <m:t xml:space="preserve"> | </m:t>
                  </m:r>
                  <m:r>
                    <w:rPr>
                      <w:rFonts w:ascii="Cambria Math" w:hAnsi="Cambria Math"/>
                      <w:color w:val="000000"/>
                    </w:rPr>
                    <m:t>x</m:t>
                  </m:r>
                  <m:r>
                    <m:rPr>
                      <m:sty m:val="p"/>
                    </m:rPr>
                    <w:rPr>
                      <w:rFonts w:ascii="Cambria Math" w:hAnsi="Cambria Math"/>
                      <w:color w:val="000000"/>
                    </w:rPr>
                    <m:t>=0</m:t>
                  </m:r>
                </m:e>
              </m:d>
            </m:oMath>
            <w:r w:rsidRPr="008753E7">
              <w:rPr>
                <w:rFonts w:ascii="Arial (Body)" w:hAnsi="Arial (Body)"/>
                <w:iCs/>
                <w:color w:val="000000"/>
              </w:rPr>
              <w:t xml:space="preserve"> </w:t>
            </w:r>
          </w:p>
        </w:tc>
        <w:tc>
          <w:tcPr>
            <w:tcW w:w="2180" w:type="pct"/>
            <w:tcBorders>
              <w:top w:val="single" w:sz="4" w:space="0" w:color="B3B3B3"/>
              <w:bottom w:val="nil"/>
            </w:tcBorders>
            <w:shd w:val="clear" w:color="auto" w:fill="auto"/>
          </w:tcPr>
          <w:p w14:paraId="622CB4C6" w14:textId="77777777" w:rsidR="00767353" w:rsidRPr="008753E7" w:rsidRDefault="00767353" w:rsidP="00604051">
            <w:pPr>
              <w:pStyle w:val="TableUnitsRow"/>
              <w:spacing w:before="45" w:after="45"/>
              <w:ind w:left="57" w:right="108"/>
              <w:jc w:val="left"/>
              <w:rPr>
                <w:rFonts w:ascii="Arial (Body)" w:hAnsi="Arial (Body)"/>
                <w:color w:val="000000"/>
              </w:rPr>
            </w:pPr>
            <w:r w:rsidRPr="008753E7">
              <w:rPr>
                <w:rFonts w:ascii="Arial (Body)" w:hAnsi="Arial (Body)"/>
                <w:color w:val="000000"/>
              </w:rPr>
              <w:t>This suggests that gifts…</w:t>
            </w:r>
          </w:p>
        </w:tc>
      </w:tr>
      <w:tr w:rsidR="00767353" w:rsidRPr="008753E7" w14:paraId="3A8AE089" w14:textId="77777777" w:rsidTr="00604051">
        <w:tc>
          <w:tcPr>
            <w:tcW w:w="431" w:type="pct"/>
            <w:vMerge w:val="restart"/>
            <w:tcBorders>
              <w:top w:val="nil"/>
              <w:bottom w:val="nil"/>
            </w:tcBorders>
            <w:shd w:val="clear" w:color="auto" w:fill="F2F2F2" w:themeFill="background1" w:themeFillShade="F2"/>
          </w:tcPr>
          <w:p w14:paraId="2F20B0A8"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2003</w:t>
            </w:r>
            <w:r w:rsidRPr="008753E7">
              <w:rPr>
                <w:rFonts w:ascii="Arial (Body)" w:hAnsi="Arial (Body)"/>
                <w:b/>
                <w:color w:val="265A9A"/>
              </w:rPr>
              <w:noBreakHyphen/>
              <w:t>04 – 2005</w:t>
            </w:r>
            <w:r w:rsidRPr="008753E7">
              <w:rPr>
                <w:rFonts w:ascii="Arial (Body)" w:hAnsi="Arial (Body)"/>
                <w:b/>
                <w:color w:val="265A9A"/>
              </w:rPr>
              <w:noBreakHyphen/>
              <w:t>06</w:t>
            </w:r>
          </w:p>
        </w:tc>
        <w:tc>
          <w:tcPr>
            <w:tcW w:w="1200" w:type="pct"/>
            <w:tcBorders>
              <w:top w:val="nil"/>
              <w:bottom w:val="nil"/>
            </w:tcBorders>
            <w:shd w:val="clear" w:color="auto" w:fill="F2F2F2" w:themeFill="background1" w:themeFillShade="F2"/>
          </w:tcPr>
          <w:p w14:paraId="1425EEB5"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F2F2F2" w:themeFill="background1" w:themeFillShade="F2"/>
          </w:tcPr>
          <w:p w14:paraId="0E4348C9"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.000951</w:t>
            </w:r>
          </w:p>
        </w:tc>
        <w:tc>
          <w:tcPr>
            <w:tcW w:w="675" w:type="pct"/>
            <w:tcBorders>
              <w:top w:val="nil"/>
              <w:bottom w:val="nil"/>
            </w:tcBorders>
            <w:shd w:val="clear" w:color="auto" w:fill="F2F2F2" w:themeFill="background1" w:themeFillShade="F2"/>
          </w:tcPr>
          <w:p w14:paraId="464BEEE2"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top w:val="nil"/>
              <w:bottom w:val="nil"/>
            </w:tcBorders>
            <w:shd w:val="clear" w:color="auto" w:fill="F2F2F2" w:themeFill="background1" w:themeFillShade="F2"/>
          </w:tcPr>
          <w:p w14:paraId="6A181FDA"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761653A1" w14:textId="77777777" w:rsidTr="00604051">
        <w:tc>
          <w:tcPr>
            <w:tcW w:w="431" w:type="pct"/>
            <w:vMerge/>
            <w:tcBorders>
              <w:bottom w:val="nil"/>
            </w:tcBorders>
            <w:shd w:val="clear" w:color="auto" w:fill="F2F2F2" w:themeFill="background1" w:themeFillShade="F2"/>
          </w:tcPr>
          <w:p w14:paraId="7CD4C8A6"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0A228331"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F2F2F2" w:themeFill="background1" w:themeFillShade="F2"/>
          </w:tcPr>
          <w:p w14:paraId="690F9E14"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.005547</w:t>
            </w:r>
          </w:p>
        </w:tc>
        <w:tc>
          <w:tcPr>
            <w:tcW w:w="675" w:type="pct"/>
            <w:tcBorders>
              <w:bottom w:val="nil"/>
            </w:tcBorders>
            <w:shd w:val="clear" w:color="auto" w:fill="F2F2F2" w:themeFill="background1" w:themeFillShade="F2"/>
          </w:tcPr>
          <w:p w14:paraId="173056B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bottom w:val="nil"/>
            </w:tcBorders>
            <w:shd w:val="clear" w:color="auto" w:fill="F2F2F2" w:themeFill="background1" w:themeFillShade="F2"/>
          </w:tcPr>
          <w:p w14:paraId="347B37BE"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6EF3D616" w14:textId="77777777" w:rsidTr="00604051">
        <w:tc>
          <w:tcPr>
            <w:tcW w:w="431" w:type="pct"/>
            <w:vMerge/>
            <w:tcBorders>
              <w:top w:val="nil"/>
              <w:bottom w:val="nil"/>
            </w:tcBorders>
            <w:shd w:val="clear" w:color="auto" w:fill="F2F2F2" w:themeFill="background1" w:themeFillShade="F2"/>
          </w:tcPr>
          <w:p w14:paraId="51933F00"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F2F2F2" w:themeFill="background1" w:themeFillShade="F2"/>
          </w:tcPr>
          <w:p w14:paraId="18E4B20D"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F2F2F2" w:themeFill="background1" w:themeFillShade="F2"/>
          </w:tcPr>
          <w:p w14:paraId="188F6867"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40.75253</w:t>
            </w:r>
          </w:p>
        </w:tc>
        <w:tc>
          <w:tcPr>
            <w:tcW w:w="675" w:type="pct"/>
            <w:tcBorders>
              <w:top w:val="nil"/>
              <w:bottom w:val="nil"/>
            </w:tcBorders>
            <w:shd w:val="clear" w:color="auto" w:fill="F2F2F2" w:themeFill="background1" w:themeFillShade="F2"/>
          </w:tcPr>
          <w:p w14:paraId="50A4FC6D"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0.267</w:t>
            </w:r>
          </w:p>
        </w:tc>
        <w:tc>
          <w:tcPr>
            <w:tcW w:w="2180" w:type="pct"/>
            <w:tcBorders>
              <w:top w:val="nil"/>
              <w:bottom w:val="nil"/>
            </w:tcBorders>
            <w:shd w:val="clear" w:color="auto" w:fill="F2F2F2" w:themeFill="background1" w:themeFillShade="F2"/>
          </w:tcPr>
          <w:p w14:paraId="6474C699"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02BC71E1" w14:textId="77777777" w:rsidTr="00604051">
        <w:tc>
          <w:tcPr>
            <w:tcW w:w="431" w:type="pct"/>
            <w:vMerge/>
            <w:tcBorders>
              <w:bottom w:val="nil"/>
            </w:tcBorders>
            <w:shd w:val="clear" w:color="auto" w:fill="F2F2F2" w:themeFill="background1" w:themeFillShade="F2"/>
          </w:tcPr>
          <w:p w14:paraId="1B690986"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279F1327"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F2F2F2" w:themeFill="background1" w:themeFillShade="F2"/>
          </w:tcPr>
          <w:p w14:paraId="1CAE7EDC"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2.308586</w:t>
            </w:r>
          </w:p>
        </w:tc>
        <w:tc>
          <w:tcPr>
            <w:tcW w:w="675" w:type="pct"/>
            <w:tcBorders>
              <w:bottom w:val="nil"/>
            </w:tcBorders>
            <w:shd w:val="clear" w:color="auto" w:fill="F2F2F2" w:themeFill="background1" w:themeFillShade="F2"/>
          </w:tcPr>
          <w:p w14:paraId="6D458088"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0.952</w:t>
            </w:r>
          </w:p>
        </w:tc>
        <w:tc>
          <w:tcPr>
            <w:tcW w:w="2180" w:type="pct"/>
            <w:tcBorders>
              <w:bottom w:val="nil"/>
            </w:tcBorders>
            <w:shd w:val="clear" w:color="auto" w:fill="F2F2F2" w:themeFill="background1" w:themeFillShade="F2"/>
          </w:tcPr>
          <w:p w14:paraId="1E60CD9B"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20F310E0" w14:textId="77777777" w:rsidTr="00604051">
        <w:tc>
          <w:tcPr>
            <w:tcW w:w="431" w:type="pct"/>
            <w:vMerge w:val="restart"/>
            <w:tcBorders>
              <w:top w:val="nil"/>
              <w:bottom w:val="nil"/>
            </w:tcBorders>
            <w:shd w:val="clear" w:color="auto" w:fill="auto"/>
          </w:tcPr>
          <w:p w14:paraId="12696B8E"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2007</w:t>
            </w:r>
            <w:r w:rsidRPr="008753E7">
              <w:rPr>
                <w:rFonts w:ascii="Arial (Body)" w:hAnsi="Arial (Body)"/>
                <w:b/>
                <w:color w:val="265A9A"/>
              </w:rPr>
              <w:noBreakHyphen/>
              <w:t>08 – 2009</w:t>
            </w:r>
            <w:r w:rsidRPr="008753E7">
              <w:rPr>
                <w:rFonts w:ascii="Arial (Body)" w:hAnsi="Arial (Body)"/>
                <w:b/>
                <w:color w:val="265A9A"/>
              </w:rPr>
              <w:noBreakHyphen/>
              <w:t>10</w:t>
            </w:r>
          </w:p>
        </w:tc>
        <w:tc>
          <w:tcPr>
            <w:tcW w:w="1200" w:type="pct"/>
            <w:tcBorders>
              <w:top w:val="nil"/>
              <w:bottom w:val="nil"/>
            </w:tcBorders>
            <w:shd w:val="clear" w:color="auto" w:fill="auto"/>
          </w:tcPr>
          <w:p w14:paraId="714FDD82"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auto"/>
          </w:tcPr>
          <w:p w14:paraId="1FF1BA8A"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.000791</w:t>
            </w:r>
          </w:p>
        </w:tc>
        <w:tc>
          <w:tcPr>
            <w:tcW w:w="675" w:type="pct"/>
            <w:tcBorders>
              <w:top w:val="nil"/>
              <w:bottom w:val="nil"/>
            </w:tcBorders>
            <w:shd w:val="clear" w:color="auto" w:fill="auto"/>
          </w:tcPr>
          <w:p w14:paraId="178E12C8"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top w:val="nil"/>
              <w:bottom w:val="nil"/>
            </w:tcBorders>
            <w:shd w:val="clear" w:color="auto" w:fill="auto"/>
          </w:tcPr>
          <w:p w14:paraId="4073438B"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300E056F" w14:textId="77777777" w:rsidTr="00604051">
        <w:tc>
          <w:tcPr>
            <w:tcW w:w="431" w:type="pct"/>
            <w:vMerge/>
            <w:tcBorders>
              <w:bottom w:val="nil"/>
            </w:tcBorders>
            <w:shd w:val="clear" w:color="auto" w:fill="auto"/>
          </w:tcPr>
          <w:p w14:paraId="27DB3200"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1F19EE90"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auto"/>
          </w:tcPr>
          <w:p w14:paraId="40E1C582"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.005197</w:t>
            </w:r>
          </w:p>
        </w:tc>
        <w:tc>
          <w:tcPr>
            <w:tcW w:w="675" w:type="pct"/>
            <w:tcBorders>
              <w:bottom w:val="nil"/>
            </w:tcBorders>
            <w:shd w:val="clear" w:color="auto" w:fill="auto"/>
          </w:tcPr>
          <w:p w14:paraId="3062D2BC"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0.000</w:t>
            </w:r>
          </w:p>
        </w:tc>
        <w:tc>
          <w:tcPr>
            <w:tcW w:w="2180" w:type="pct"/>
            <w:tcBorders>
              <w:bottom w:val="nil"/>
            </w:tcBorders>
            <w:shd w:val="clear" w:color="auto" w:fill="auto"/>
          </w:tcPr>
          <w:p w14:paraId="5A3B4D36"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4BA53547" w14:textId="77777777" w:rsidTr="00604051">
        <w:tc>
          <w:tcPr>
            <w:tcW w:w="431" w:type="pct"/>
            <w:vMerge/>
            <w:tcBorders>
              <w:top w:val="nil"/>
              <w:bottom w:val="nil"/>
            </w:tcBorders>
            <w:shd w:val="clear" w:color="auto" w:fill="auto"/>
          </w:tcPr>
          <w:p w14:paraId="24F32D9F"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auto"/>
          </w:tcPr>
          <w:p w14:paraId="2029EC61"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auto"/>
          </w:tcPr>
          <w:p w14:paraId="035E00E3"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52.27227</w:t>
            </w:r>
          </w:p>
        </w:tc>
        <w:tc>
          <w:tcPr>
            <w:tcW w:w="675" w:type="pct"/>
            <w:tcBorders>
              <w:top w:val="nil"/>
              <w:bottom w:val="nil"/>
            </w:tcBorders>
            <w:shd w:val="clear" w:color="auto" w:fill="auto"/>
          </w:tcPr>
          <w:p w14:paraId="4854A80E"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0.362</w:t>
            </w:r>
          </w:p>
        </w:tc>
        <w:tc>
          <w:tcPr>
            <w:tcW w:w="2180" w:type="pct"/>
            <w:tcBorders>
              <w:top w:val="nil"/>
              <w:bottom w:val="nil"/>
            </w:tcBorders>
            <w:shd w:val="clear" w:color="auto" w:fill="auto"/>
          </w:tcPr>
          <w:p w14:paraId="72C005A3"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23C6C0C2" w14:textId="77777777" w:rsidTr="00604051">
        <w:tc>
          <w:tcPr>
            <w:tcW w:w="431" w:type="pct"/>
            <w:vMerge/>
            <w:tcBorders>
              <w:bottom w:val="nil"/>
            </w:tcBorders>
            <w:shd w:val="clear" w:color="auto" w:fill="auto"/>
          </w:tcPr>
          <w:p w14:paraId="1BF9B066"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54F0F718"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auto"/>
          </w:tcPr>
          <w:p w14:paraId="3B443CD8"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6.77162</w:t>
            </w:r>
          </w:p>
        </w:tc>
        <w:tc>
          <w:tcPr>
            <w:tcW w:w="675" w:type="pct"/>
            <w:tcBorders>
              <w:bottom w:val="nil"/>
            </w:tcBorders>
            <w:shd w:val="clear" w:color="auto" w:fill="auto"/>
          </w:tcPr>
          <w:p w14:paraId="43DEFE3D"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0.863</w:t>
            </w:r>
          </w:p>
        </w:tc>
        <w:tc>
          <w:tcPr>
            <w:tcW w:w="2180" w:type="pct"/>
            <w:tcBorders>
              <w:bottom w:val="nil"/>
            </w:tcBorders>
            <w:shd w:val="clear" w:color="auto" w:fill="auto"/>
          </w:tcPr>
          <w:p w14:paraId="5CCC46D8"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24016C7C" w14:textId="77777777" w:rsidTr="00604051">
        <w:tc>
          <w:tcPr>
            <w:tcW w:w="431" w:type="pct"/>
            <w:vMerge w:val="restart"/>
            <w:tcBorders>
              <w:top w:val="nil"/>
              <w:bottom w:val="nil"/>
            </w:tcBorders>
            <w:shd w:val="clear" w:color="auto" w:fill="F2F2F2" w:themeFill="background1" w:themeFillShade="F2"/>
          </w:tcPr>
          <w:p w14:paraId="1ADDA8B9"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2011</w:t>
            </w:r>
            <w:r w:rsidRPr="008753E7">
              <w:rPr>
                <w:rFonts w:ascii="Arial (Body)" w:hAnsi="Arial (Body)"/>
                <w:b/>
                <w:color w:val="265A9A"/>
              </w:rPr>
              <w:noBreakHyphen/>
              <w:t>12 – 2013</w:t>
            </w:r>
            <w:r w:rsidRPr="008753E7">
              <w:rPr>
                <w:rFonts w:ascii="Arial (Body)" w:hAnsi="Arial (Body)"/>
                <w:b/>
                <w:color w:val="265A9A"/>
              </w:rPr>
              <w:noBreakHyphen/>
              <w:t>14</w:t>
            </w:r>
          </w:p>
        </w:tc>
        <w:tc>
          <w:tcPr>
            <w:tcW w:w="1200" w:type="pct"/>
            <w:tcBorders>
              <w:top w:val="nil"/>
              <w:bottom w:val="nil"/>
            </w:tcBorders>
            <w:shd w:val="clear" w:color="auto" w:fill="F2F2F2" w:themeFill="background1" w:themeFillShade="F2"/>
          </w:tcPr>
          <w:p w14:paraId="449E774E"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F2F2F2" w:themeFill="background1" w:themeFillShade="F2"/>
          </w:tcPr>
          <w:p w14:paraId="0E53CAB9"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.000567</w:t>
            </w:r>
          </w:p>
        </w:tc>
        <w:tc>
          <w:tcPr>
            <w:tcW w:w="675" w:type="pct"/>
            <w:tcBorders>
              <w:top w:val="nil"/>
              <w:bottom w:val="nil"/>
            </w:tcBorders>
            <w:shd w:val="clear" w:color="auto" w:fill="F2F2F2" w:themeFill="background1" w:themeFillShade="F2"/>
          </w:tcPr>
          <w:p w14:paraId="3F94D773"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0.061</w:t>
            </w:r>
          </w:p>
        </w:tc>
        <w:tc>
          <w:tcPr>
            <w:tcW w:w="2180" w:type="pct"/>
            <w:tcBorders>
              <w:top w:val="nil"/>
              <w:bottom w:val="nil"/>
            </w:tcBorders>
            <w:shd w:val="clear" w:color="auto" w:fill="F2F2F2" w:themeFill="background1" w:themeFillShade="F2"/>
          </w:tcPr>
          <w:p w14:paraId="4C1A321D"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relative wealth inequality</w:t>
            </w:r>
          </w:p>
        </w:tc>
      </w:tr>
      <w:tr w:rsidR="00767353" w:rsidRPr="008753E7" w14:paraId="275085D5" w14:textId="77777777" w:rsidTr="00604051">
        <w:tc>
          <w:tcPr>
            <w:tcW w:w="431" w:type="pct"/>
            <w:vMerge/>
            <w:tcBorders>
              <w:bottom w:val="nil"/>
            </w:tcBorders>
            <w:shd w:val="clear" w:color="auto" w:fill="F2F2F2" w:themeFill="background1" w:themeFillShade="F2"/>
          </w:tcPr>
          <w:p w14:paraId="65ABA4BD"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04DBE2BF"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F2F2F2" w:themeFill="background1" w:themeFillShade="F2"/>
          </w:tcPr>
          <w:p w14:paraId="02966513"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.003554</w:t>
            </w:r>
          </w:p>
        </w:tc>
        <w:tc>
          <w:tcPr>
            <w:tcW w:w="675" w:type="pct"/>
            <w:tcBorders>
              <w:bottom w:val="nil"/>
            </w:tcBorders>
            <w:shd w:val="clear" w:color="auto" w:fill="F2F2F2" w:themeFill="background1" w:themeFillShade="F2"/>
          </w:tcPr>
          <w:p w14:paraId="5EB03968"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0.001</w:t>
            </w:r>
          </w:p>
        </w:tc>
        <w:tc>
          <w:tcPr>
            <w:tcW w:w="2180" w:type="pct"/>
            <w:tcBorders>
              <w:bottom w:val="nil"/>
            </w:tcBorders>
            <w:shd w:val="clear" w:color="auto" w:fill="F2F2F2" w:themeFill="background1" w:themeFillShade="F2"/>
          </w:tcPr>
          <w:p w14:paraId="29972AC5"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530B1290" w14:textId="77777777" w:rsidTr="00604051">
        <w:tc>
          <w:tcPr>
            <w:tcW w:w="431" w:type="pct"/>
            <w:vMerge/>
            <w:tcBorders>
              <w:top w:val="nil"/>
              <w:bottom w:val="nil"/>
            </w:tcBorders>
            <w:shd w:val="clear" w:color="auto" w:fill="F2F2F2" w:themeFill="background1" w:themeFillShade="F2"/>
          </w:tcPr>
          <w:p w14:paraId="572B140B"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F2F2F2" w:themeFill="background1" w:themeFillShade="F2"/>
          </w:tcPr>
          <w:p w14:paraId="2AACD7C5"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F2F2F2" w:themeFill="background1" w:themeFillShade="F2"/>
          </w:tcPr>
          <w:p w14:paraId="43DE5803"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383.8547</w:t>
            </w:r>
          </w:p>
        </w:tc>
        <w:tc>
          <w:tcPr>
            <w:tcW w:w="675" w:type="pct"/>
            <w:tcBorders>
              <w:top w:val="nil"/>
              <w:bottom w:val="nil"/>
            </w:tcBorders>
            <w:shd w:val="clear" w:color="auto" w:fill="F2F2F2" w:themeFill="background1" w:themeFillShade="F2"/>
          </w:tcPr>
          <w:p w14:paraId="43E354D0"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0.274</w:t>
            </w:r>
          </w:p>
        </w:tc>
        <w:tc>
          <w:tcPr>
            <w:tcW w:w="2180" w:type="pct"/>
            <w:tcBorders>
              <w:top w:val="nil"/>
              <w:bottom w:val="nil"/>
            </w:tcBorders>
            <w:shd w:val="clear" w:color="auto" w:fill="F2F2F2" w:themeFill="background1" w:themeFillShade="F2"/>
          </w:tcPr>
          <w:p w14:paraId="033994B8"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514921EE" w14:textId="77777777" w:rsidTr="00604051">
        <w:tc>
          <w:tcPr>
            <w:tcW w:w="431" w:type="pct"/>
            <w:vMerge/>
            <w:tcBorders>
              <w:bottom w:val="nil"/>
            </w:tcBorders>
            <w:shd w:val="clear" w:color="auto" w:fill="F2F2F2" w:themeFill="background1" w:themeFillShade="F2"/>
          </w:tcPr>
          <w:p w14:paraId="6AD3EF3C"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F2F2F2" w:themeFill="background1" w:themeFillShade="F2"/>
          </w:tcPr>
          <w:p w14:paraId="5F8DC83B"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F2F2F2" w:themeFill="background1" w:themeFillShade="F2"/>
          </w:tcPr>
          <w:p w14:paraId="5D476DF4"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807.4705</w:t>
            </w:r>
          </w:p>
        </w:tc>
        <w:tc>
          <w:tcPr>
            <w:tcW w:w="675" w:type="pct"/>
            <w:tcBorders>
              <w:bottom w:val="nil"/>
            </w:tcBorders>
            <w:shd w:val="clear" w:color="auto" w:fill="F2F2F2" w:themeFill="background1" w:themeFillShade="F2"/>
          </w:tcPr>
          <w:p w14:paraId="18520069"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0.264</w:t>
            </w:r>
          </w:p>
        </w:tc>
        <w:tc>
          <w:tcPr>
            <w:tcW w:w="2180" w:type="pct"/>
            <w:tcBorders>
              <w:bottom w:val="nil"/>
            </w:tcBorders>
            <w:shd w:val="clear" w:color="auto" w:fill="F2F2F2" w:themeFill="background1" w:themeFillShade="F2"/>
          </w:tcPr>
          <w:p w14:paraId="1CE67CA9"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27098F7A" w14:textId="77777777" w:rsidTr="00604051">
        <w:tc>
          <w:tcPr>
            <w:tcW w:w="431" w:type="pct"/>
            <w:vMerge w:val="restart"/>
            <w:tcBorders>
              <w:top w:val="nil"/>
              <w:bottom w:val="nil"/>
            </w:tcBorders>
            <w:shd w:val="clear" w:color="auto" w:fill="auto"/>
          </w:tcPr>
          <w:p w14:paraId="7DA78CB0" w14:textId="77777777" w:rsidR="00767353" w:rsidRPr="008753E7" w:rsidRDefault="00767353" w:rsidP="00604051">
            <w:pPr>
              <w:pStyle w:val="TableBodyText"/>
              <w:spacing w:before="45" w:after="45"/>
              <w:ind w:left="57" w:right="108"/>
              <w:jc w:val="left"/>
              <w:rPr>
                <w:rFonts w:ascii="Arial (Body)" w:hAnsi="Arial (Body)"/>
                <w:b/>
                <w:color w:val="265A9A"/>
              </w:rPr>
            </w:pPr>
            <w:r w:rsidRPr="008753E7">
              <w:rPr>
                <w:rFonts w:ascii="Arial (Body)" w:hAnsi="Arial (Body)"/>
                <w:b/>
                <w:color w:val="265A9A"/>
              </w:rPr>
              <w:t>2015</w:t>
            </w:r>
            <w:r w:rsidRPr="008753E7">
              <w:rPr>
                <w:rFonts w:ascii="Arial (Body)" w:hAnsi="Arial (Body)"/>
                <w:b/>
                <w:color w:val="265A9A"/>
              </w:rPr>
              <w:noBreakHyphen/>
              <w:t>16 – 2017</w:t>
            </w:r>
            <w:r w:rsidRPr="008753E7">
              <w:rPr>
                <w:rFonts w:ascii="Arial (Body)" w:hAnsi="Arial (Body)"/>
                <w:b/>
                <w:color w:val="265A9A"/>
              </w:rPr>
              <w:noBreakHyphen/>
              <w:t>18</w:t>
            </w:r>
          </w:p>
        </w:tc>
        <w:tc>
          <w:tcPr>
            <w:tcW w:w="1200" w:type="pct"/>
            <w:tcBorders>
              <w:top w:val="nil"/>
              <w:bottom w:val="nil"/>
            </w:tcBorders>
            <w:shd w:val="clear" w:color="auto" w:fill="auto"/>
          </w:tcPr>
          <w:p w14:paraId="1FCD24FD"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…Gini coefficient</w:t>
            </w:r>
          </w:p>
        </w:tc>
        <w:tc>
          <w:tcPr>
            <w:tcW w:w="513" w:type="pct"/>
            <w:tcBorders>
              <w:top w:val="nil"/>
              <w:bottom w:val="nil"/>
            </w:tcBorders>
            <w:shd w:val="clear" w:color="auto" w:fill="auto"/>
          </w:tcPr>
          <w:p w14:paraId="1C10CADD"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.001165</w:t>
            </w:r>
          </w:p>
        </w:tc>
        <w:tc>
          <w:tcPr>
            <w:tcW w:w="675" w:type="pct"/>
            <w:tcBorders>
              <w:top w:val="nil"/>
              <w:bottom w:val="nil"/>
            </w:tcBorders>
            <w:shd w:val="clear" w:color="auto" w:fill="auto"/>
          </w:tcPr>
          <w:p w14:paraId="4B4348AA"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0.001</w:t>
            </w:r>
          </w:p>
        </w:tc>
        <w:tc>
          <w:tcPr>
            <w:tcW w:w="2180" w:type="pct"/>
            <w:tcBorders>
              <w:top w:val="nil"/>
              <w:bottom w:val="nil"/>
            </w:tcBorders>
            <w:shd w:val="clear" w:color="auto" w:fill="auto"/>
          </w:tcPr>
          <w:p w14:paraId="6F478D6D"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0E4D956B" w14:textId="77777777" w:rsidTr="00604051">
        <w:tc>
          <w:tcPr>
            <w:tcW w:w="431" w:type="pct"/>
            <w:vMerge/>
            <w:tcBorders>
              <w:bottom w:val="nil"/>
            </w:tcBorders>
            <w:shd w:val="clear" w:color="auto" w:fill="auto"/>
          </w:tcPr>
          <w:p w14:paraId="34D1FEFB"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772FBDD8"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…GE(2) coefficient</w:t>
            </w:r>
          </w:p>
        </w:tc>
        <w:tc>
          <w:tcPr>
            <w:tcW w:w="513" w:type="pct"/>
            <w:tcBorders>
              <w:bottom w:val="nil"/>
            </w:tcBorders>
            <w:shd w:val="clear" w:color="auto" w:fill="auto"/>
          </w:tcPr>
          <w:p w14:paraId="7D92FF6D"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noBreakHyphen/>
              <w:t>.006397</w:t>
            </w:r>
          </w:p>
        </w:tc>
        <w:tc>
          <w:tcPr>
            <w:tcW w:w="675" w:type="pct"/>
            <w:tcBorders>
              <w:bottom w:val="nil"/>
            </w:tcBorders>
            <w:shd w:val="clear" w:color="auto" w:fill="auto"/>
          </w:tcPr>
          <w:p w14:paraId="0B5DF176"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0.001</w:t>
            </w:r>
          </w:p>
        </w:tc>
        <w:tc>
          <w:tcPr>
            <w:tcW w:w="2180" w:type="pct"/>
            <w:tcBorders>
              <w:bottom w:val="nil"/>
            </w:tcBorders>
            <w:shd w:val="clear" w:color="auto" w:fill="auto"/>
          </w:tcPr>
          <w:p w14:paraId="2E04EEE5"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…decreased relative wealth inequality</w:t>
            </w:r>
          </w:p>
        </w:tc>
      </w:tr>
      <w:tr w:rsidR="00767353" w:rsidRPr="008753E7" w14:paraId="27D5EA2A" w14:textId="77777777" w:rsidTr="00604051">
        <w:tc>
          <w:tcPr>
            <w:tcW w:w="431" w:type="pct"/>
            <w:vMerge/>
            <w:tcBorders>
              <w:top w:val="nil"/>
              <w:bottom w:val="nil"/>
            </w:tcBorders>
            <w:shd w:val="clear" w:color="auto" w:fill="auto"/>
          </w:tcPr>
          <w:p w14:paraId="5169F59F"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top w:val="nil"/>
              <w:bottom w:val="nil"/>
            </w:tcBorders>
            <w:shd w:val="clear" w:color="auto" w:fill="auto"/>
          </w:tcPr>
          <w:p w14:paraId="6900C71A"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…absolute Gini coefficient</w:t>
            </w:r>
          </w:p>
        </w:tc>
        <w:tc>
          <w:tcPr>
            <w:tcW w:w="513" w:type="pct"/>
            <w:tcBorders>
              <w:top w:val="nil"/>
              <w:bottom w:val="nil"/>
            </w:tcBorders>
            <w:shd w:val="clear" w:color="auto" w:fill="auto"/>
          </w:tcPr>
          <w:p w14:paraId="5DE31153"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288.075</w:t>
            </w:r>
          </w:p>
        </w:tc>
        <w:tc>
          <w:tcPr>
            <w:tcW w:w="675" w:type="pct"/>
            <w:tcBorders>
              <w:top w:val="nil"/>
              <w:bottom w:val="nil"/>
            </w:tcBorders>
            <w:shd w:val="clear" w:color="auto" w:fill="auto"/>
          </w:tcPr>
          <w:p w14:paraId="6B1C9808"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0.028</w:t>
            </w:r>
          </w:p>
        </w:tc>
        <w:tc>
          <w:tcPr>
            <w:tcW w:w="2180" w:type="pct"/>
            <w:tcBorders>
              <w:top w:val="nil"/>
              <w:bottom w:val="nil"/>
            </w:tcBorders>
            <w:shd w:val="clear" w:color="auto" w:fill="auto"/>
          </w:tcPr>
          <w:p w14:paraId="430166EA"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…increased absolute wealth inequality</w:t>
            </w:r>
          </w:p>
        </w:tc>
      </w:tr>
      <w:tr w:rsidR="00767353" w:rsidRPr="008753E7" w14:paraId="62C28729" w14:textId="77777777" w:rsidTr="00604051">
        <w:tc>
          <w:tcPr>
            <w:tcW w:w="431" w:type="pct"/>
            <w:vMerge/>
            <w:tcBorders>
              <w:bottom w:val="nil"/>
            </w:tcBorders>
            <w:shd w:val="clear" w:color="auto" w:fill="auto"/>
          </w:tcPr>
          <w:p w14:paraId="548507DA" w14:textId="77777777" w:rsidR="00767353" w:rsidRPr="008753E7" w:rsidRDefault="00767353" w:rsidP="00604051">
            <w:pPr>
              <w:pStyle w:val="TableBodyText"/>
              <w:spacing w:before="45" w:after="45"/>
              <w:ind w:left="57" w:right="108"/>
              <w:rPr>
                <w:rFonts w:ascii="Arial (Body)" w:hAnsi="Arial (Body)"/>
                <w:color w:val="000000"/>
              </w:rPr>
            </w:pPr>
          </w:p>
        </w:tc>
        <w:tc>
          <w:tcPr>
            <w:tcW w:w="1200" w:type="pct"/>
            <w:tcBorders>
              <w:bottom w:val="nil"/>
            </w:tcBorders>
            <w:shd w:val="clear" w:color="auto" w:fill="auto"/>
          </w:tcPr>
          <w:p w14:paraId="0E8B11B0"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…standard deviation</w:t>
            </w:r>
          </w:p>
        </w:tc>
        <w:tc>
          <w:tcPr>
            <w:tcW w:w="513" w:type="pct"/>
            <w:tcBorders>
              <w:bottom w:val="nil"/>
            </w:tcBorders>
            <w:shd w:val="clear" w:color="auto" w:fill="auto"/>
          </w:tcPr>
          <w:p w14:paraId="0832381A"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442.8433</w:t>
            </w:r>
          </w:p>
        </w:tc>
        <w:tc>
          <w:tcPr>
            <w:tcW w:w="675" w:type="pct"/>
            <w:tcBorders>
              <w:bottom w:val="nil"/>
            </w:tcBorders>
            <w:shd w:val="clear" w:color="auto" w:fill="auto"/>
          </w:tcPr>
          <w:p w14:paraId="099EE28A" w14:textId="77777777" w:rsidR="00767353" w:rsidRPr="008753E7" w:rsidRDefault="00767353" w:rsidP="00604051">
            <w:pPr>
              <w:pStyle w:val="TableBodyText"/>
              <w:spacing w:before="45" w:after="45"/>
              <w:ind w:left="57" w:right="108"/>
              <w:rPr>
                <w:rFonts w:ascii="Arial (Body)" w:hAnsi="Arial (Body)"/>
                <w:color w:val="000000"/>
              </w:rPr>
            </w:pPr>
            <w:r w:rsidRPr="008753E7">
              <w:rPr>
                <w:rFonts w:ascii="Arial (Body)" w:hAnsi="Arial (Body)"/>
                <w:color w:val="000000"/>
              </w:rPr>
              <w:t>0.131</w:t>
            </w:r>
          </w:p>
        </w:tc>
        <w:tc>
          <w:tcPr>
            <w:tcW w:w="2180" w:type="pct"/>
            <w:tcBorders>
              <w:bottom w:val="nil"/>
            </w:tcBorders>
            <w:shd w:val="clear" w:color="auto" w:fill="auto"/>
          </w:tcPr>
          <w:p w14:paraId="2F65783D" w14:textId="77777777" w:rsidR="00767353" w:rsidRPr="008753E7" w:rsidRDefault="00767353" w:rsidP="00604051">
            <w:pPr>
              <w:pStyle w:val="TableBodyText"/>
              <w:spacing w:before="45" w:after="45"/>
              <w:ind w:left="57" w:right="108"/>
              <w:jc w:val="left"/>
              <w:rPr>
                <w:rFonts w:ascii="Arial (Body)" w:hAnsi="Arial (Body)"/>
                <w:color w:val="000000"/>
              </w:rPr>
            </w:pPr>
            <w:r w:rsidRPr="008753E7">
              <w:rPr>
                <w:rFonts w:ascii="Arial (Body)" w:hAnsi="Arial (Body)"/>
                <w:color w:val="000000"/>
              </w:rPr>
              <w:t>…had an inconclusive effect on absolute wealth inequality</w:t>
            </w:r>
          </w:p>
        </w:tc>
      </w:tr>
      <w:tr w:rsidR="00767353" w:rsidRPr="008753E7" w14:paraId="26A70FAA" w14:textId="77777777" w:rsidTr="00604051">
        <w:tc>
          <w:tcPr>
            <w:tcW w:w="431" w:type="pct"/>
            <w:vMerge w:val="restart"/>
            <w:tcBorders>
              <w:top w:val="nil"/>
              <w:bottom w:val="nil"/>
            </w:tcBorders>
            <w:shd w:val="clear" w:color="auto" w:fill="F2F2F2" w:themeFill="background1" w:themeFillShade="F2"/>
          </w:tcPr>
          <w:p w14:paraId="5BC82947" w14:textId="77777777" w:rsidR="00767353" w:rsidRPr="008753E7" w:rsidRDefault="00767353" w:rsidP="00604051">
            <w:pPr>
              <w:pStyle w:val="TableBodyText"/>
              <w:spacing w:before="45" w:after="45"/>
              <w:ind w:left="57" w:right="108"/>
              <w:jc w:val="left"/>
              <w:rPr>
                <w:rFonts w:ascii="Arial (Body)" w:hAnsi="Arial (Body)"/>
                <w:b/>
                <w:bCs/>
                <w:color w:val="265A9A"/>
              </w:rPr>
            </w:pPr>
            <w:r w:rsidRPr="008753E7">
              <w:rPr>
                <w:rFonts w:ascii="Arial (Body)" w:hAnsi="Arial (Body)"/>
                <w:b/>
                <w:bCs/>
                <w:color w:val="265A9A"/>
              </w:rPr>
              <w:t>Pooled across all years</w:t>
            </w:r>
          </w:p>
        </w:tc>
        <w:tc>
          <w:tcPr>
            <w:tcW w:w="1200" w:type="pct"/>
            <w:tcBorders>
              <w:top w:val="nil"/>
              <w:bottom w:val="nil"/>
            </w:tcBorders>
            <w:shd w:val="clear" w:color="auto" w:fill="F2F2F2" w:themeFill="background1" w:themeFillShade="F2"/>
          </w:tcPr>
          <w:p w14:paraId="28E46C86"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…sum of Gini coefficients</w:t>
            </w:r>
          </w:p>
        </w:tc>
        <w:tc>
          <w:tcPr>
            <w:tcW w:w="513" w:type="pct"/>
            <w:tcBorders>
              <w:top w:val="nil"/>
              <w:bottom w:val="nil"/>
            </w:tcBorders>
            <w:shd w:val="clear" w:color="auto" w:fill="F2F2F2" w:themeFill="background1" w:themeFillShade="F2"/>
          </w:tcPr>
          <w:p w14:paraId="5E242173"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noBreakHyphen/>
              <w:t>.003473</w:t>
            </w:r>
          </w:p>
        </w:tc>
        <w:tc>
          <w:tcPr>
            <w:tcW w:w="675" w:type="pct"/>
            <w:tcBorders>
              <w:top w:val="nil"/>
              <w:bottom w:val="nil"/>
            </w:tcBorders>
            <w:shd w:val="clear" w:color="auto" w:fill="F2F2F2" w:themeFill="background1" w:themeFillShade="F2"/>
          </w:tcPr>
          <w:p w14:paraId="2B2431A3"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0.000</w:t>
            </w:r>
          </w:p>
        </w:tc>
        <w:tc>
          <w:tcPr>
            <w:tcW w:w="2180" w:type="pct"/>
            <w:tcBorders>
              <w:top w:val="nil"/>
              <w:bottom w:val="nil"/>
            </w:tcBorders>
            <w:shd w:val="clear" w:color="auto" w:fill="F2F2F2" w:themeFill="background1" w:themeFillShade="F2"/>
          </w:tcPr>
          <w:p w14:paraId="26911388"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…decreased relative wealth inequality</w:t>
            </w:r>
          </w:p>
        </w:tc>
      </w:tr>
      <w:tr w:rsidR="00767353" w:rsidRPr="008753E7" w14:paraId="03E5BA4D" w14:textId="77777777" w:rsidTr="00604051">
        <w:tc>
          <w:tcPr>
            <w:tcW w:w="431" w:type="pct"/>
            <w:vMerge/>
            <w:tcBorders>
              <w:bottom w:val="nil"/>
            </w:tcBorders>
            <w:shd w:val="clear" w:color="auto" w:fill="F2F2F2" w:themeFill="background1" w:themeFillShade="F2"/>
          </w:tcPr>
          <w:p w14:paraId="7210BCA1" w14:textId="77777777" w:rsidR="00767353" w:rsidRPr="008753E7" w:rsidRDefault="00767353" w:rsidP="00604051">
            <w:pPr>
              <w:pStyle w:val="TableBodyText"/>
              <w:spacing w:before="45" w:after="45"/>
              <w:ind w:left="57" w:right="108"/>
              <w:rPr>
                <w:rFonts w:ascii="Arial (Body)" w:hAnsi="Arial (Body)"/>
                <w:bCs/>
                <w:color w:val="000000"/>
              </w:rPr>
            </w:pPr>
          </w:p>
        </w:tc>
        <w:tc>
          <w:tcPr>
            <w:tcW w:w="1200" w:type="pct"/>
            <w:tcBorders>
              <w:bottom w:val="nil"/>
            </w:tcBorders>
            <w:shd w:val="clear" w:color="auto" w:fill="F2F2F2" w:themeFill="background1" w:themeFillShade="F2"/>
          </w:tcPr>
          <w:p w14:paraId="07215E75"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 sum of GE(2) coefficients</w:t>
            </w:r>
          </w:p>
        </w:tc>
        <w:tc>
          <w:tcPr>
            <w:tcW w:w="513" w:type="pct"/>
            <w:tcBorders>
              <w:bottom w:val="nil"/>
            </w:tcBorders>
            <w:shd w:val="clear" w:color="auto" w:fill="F2F2F2" w:themeFill="background1" w:themeFillShade="F2"/>
          </w:tcPr>
          <w:p w14:paraId="26316C9F"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noBreakHyphen/>
              <w:t>.020694</w:t>
            </w:r>
          </w:p>
        </w:tc>
        <w:tc>
          <w:tcPr>
            <w:tcW w:w="675" w:type="pct"/>
            <w:tcBorders>
              <w:bottom w:val="nil"/>
            </w:tcBorders>
            <w:shd w:val="clear" w:color="auto" w:fill="F2F2F2" w:themeFill="background1" w:themeFillShade="F2"/>
          </w:tcPr>
          <w:p w14:paraId="5120D97E"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0.000</w:t>
            </w:r>
          </w:p>
        </w:tc>
        <w:tc>
          <w:tcPr>
            <w:tcW w:w="2180" w:type="pct"/>
            <w:tcBorders>
              <w:bottom w:val="nil"/>
            </w:tcBorders>
            <w:shd w:val="clear" w:color="auto" w:fill="F2F2F2" w:themeFill="background1" w:themeFillShade="F2"/>
          </w:tcPr>
          <w:p w14:paraId="7444866B"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…decreased relative wealth inequality</w:t>
            </w:r>
          </w:p>
        </w:tc>
      </w:tr>
      <w:tr w:rsidR="00767353" w:rsidRPr="008753E7" w14:paraId="1E6F8F73" w14:textId="77777777" w:rsidTr="00604051">
        <w:tc>
          <w:tcPr>
            <w:tcW w:w="431" w:type="pct"/>
            <w:vMerge/>
            <w:tcBorders>
              <w:top w:val="nil"/>
              <w:bottom w:val="nil"/>
            </w:tcBorders>
            <w:shd w:val="clear" w:color="auto" w:fill="F2F2F2" w:themeFill="background1" w:themeFillShade="F2"/>
          </w:tcPr>
          <w:p w14:paraId="1F28C02A" w14:textId="77777777" w:rsidR="00767353" w:rsidRPr="008753E7" w:rsidRDefault="00767353" w:rsidP="00604051">
            <w:pPr>
              <w:pStyle w:val="TableBodyText"/>
              <w:spacing w:before="45" w:after="45"/>
              <w:ind w:left="57" w:right="108"/>
              <w:rPr>
                <w:rFonts w:ascii="Arial (Body)" w:hAnsi="Arial (Body)"/>
                <w:bCs/>
                <w:color w:val="000000"/>
              </w:rPr>
            </w:pPr>
          </w:p>
        </w:tc>
        <w:tc>
          <w:tcPr>
            <w:tcW w:w="1200" w:type="pct"/>
            <w:tcBorders>
              <w:top w:val="nil"/>
              <w:bottom w:val="nil"/>
            </w:tcBorders>
            <w:shd w:val="clear" w:color="auto" w:fill="F2F2F2" w:themeFill="background1" w:themeFillShade="F2"/>
          </w:tcPr>
          <w:p w14:paraId="7960DAD4"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 sum of absolute Gini coefficients</w:t>
            </w:r>
          </w:p>
        </w:tc>
        <w:tc>
          <w:tcPr>
            <w:tcW w:w="513" w:type="pct"/>
            <w:tcBorders>
              <w:top w:val="nil"/>
              <w:bottom w:val="nil"/>
            </w:tcBorders>
            <w:shd w:val="clear" w:color="auto" w:fill="F2F2F2" w:themeFill="background1" w:themeFillShade="F2"/>
          </w:tcPr>
          <w:p w14:paraId="13B7F379"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764.9545</w:t>
            </w:r>
          </w:p>
        </w:tc>
        <w:tc>
          <w:tcPr>
            <w:tcW w:w="675" w:type="pct"/>
            <w:tcBorders>
              <w:top w:val="nil"/>
              <w:bottom w:val="nil"/>
            </w:tcBorders>
            <w:shd w:val="clear" w:color="auto" w:fill="F2F2F2" w:themeFill="background1" w:themeFillShade="F2"/>
          </w:tcPr>
          <w:p w14:paraId="1304378F"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0.065</w:t>
            </w:r>
          </w:p>
        </w:tc>
        <w:tc>
          <w:tcPr>
            <w:tcW w:w="2180" w:type="pct"/>
            <w:tcBorders>
              <w:top w:val="nil"/>
              <w:bottom w:val="nil"/>
            </w:tcBorders>
            <w:shd w:val="clear" w:color="auto" w:fill="F2F2F2" w:themeFill="background1" w:themeFillShade="F2"/>
          </w:tcPr>
          <w:p w14:paraId="23D4312F"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…had an inconclusive effect on absolute wealth inequality</w:t>
            </w:r>
          </w:p>
        </w:tc>
      </w:tr>
      <w:tr w:rsidR="00767353" w:rsidRPr="008753E7" w14:paraId="2292410D" w14:textId="77777777" w:rsidTr="00604051">
        <w:tc>
          <w:tcPr>
            <w:tcW w:w="431" w:type="pct"/>
            <w:vMerge/>
            <w:tcBorders>
              <w:bottom w:val="single" w:sz="4" w:space="0" w:color="B3B3B3"/>
            </w:tcBorders>
            <w:shd w:val="clear" w:color="auto" w:fill="F2F2F2" w:themeFill="background1" w:themeFillShade="F2"/>
          </w:tcPr>
          <w:p w14:paraId="38DEEB2C" w14:textId="77777777" w:rsidR="00767353" w:rsidRPr="008753E7" w:rsidRDefault="00767353" w:rsidP="00604051">
            <w:pPr>
              <w:pStyle w:val="TableBodyText"/>
              <w:spacing w:before="45" w:after="45"/>
              <w:ind w:left="57" w:right="108"/>
              <w:rPr>
                <w:rFonts w:ascii="Arial (Body)" w:hAnsi="Arial (Body)"/>
                <w:bCs/>
                <w:color w:val="000000"/>
              </w:rPr>
            </w:pPr>
          </w:p>
        </w:tc>
        <w:tc>
          <w:tcPr>
            <w:tcW w:w="1200" w:type="pct"/>
            <w:tcBorders>
              <w:bottom w:val="single" w:sz="4" w:space="0" w:color="B3B3B3"/>
            </w:tcBorders>
            <w:shd w:val="clear" w:color="auto" w:fill="F2F2F2" w:themeFill="background1" w:themeFillShade="F2"/>
          </w:tcPr>
          <w:p w14:paraId="5AF0B9E5"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…sum of standard deviations</w:t>
            </w:r>
          </w:p>
        </w:tc>
        <w:tc>
          <w:tcPr>
            <w:tcW w:w="513" w:type="pct"/>
            <w:tcBorders>
              <w:bottom w:val="single" w:sz="4" w:space="0" w:color="B3B3B3"/>
            </w:tcBorders>
            <w:shd w:val="clear" w:color="auto" w:fill="F2F2F2" w:themeFill="background1" w:themeFillShade="F2"/>
          </w:tcPr>
          <w:p w14:paraId="601867E5"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1245.851</w:t>
            </w:r>
          </w:p>
        </w:tc>
        <w:tc>
          <w:tcPr>
            <w:tcW w:w="675" w:type="pct"/>
            <w:tcBorders>
              <w:bottom w:val="single" w:sz="4" w:space="0" w:color="B3B3B3"/>
            </w:tcBorders>
            <w:shd w:val="clear" w:color="auto" w:fill="F2F2F2" w:themeFill="background1" w:themeFillShade="F2"/>
          </w:tcPr>
          <w:p w14:paraId="2356B700" w14:textId="77777777" w:rsidR="00767353" w:rsidRPr="008753E7" w:rsidRDefault="00767353" w:rsidP="00604051">
            <w:pPr>
              <w:pStyle w:val="TableBodyText"/>
              <w:spacing w:before="45" w:after="45"/>
              <w:ind w:left="57" w:right="108"/>
              <w:rPr>
                <w:rFonts w:ascii="Arial (Body)" w:hAnsi="Arial (Body)"/>
                <w:b/>
                <w:color w:val="000000"/>
              </w:rPr>
            </w:pPr>
            <w:r w:rsidRPr="008753E7">
              <w:rPr>
                <w:rFonts w:ascii="Arial (Body)" w:hAnsi="Arial (Body)"/>
                <w:b/>
                <w:color w:val="000000"/>
              </w:rPr>
              <w:t>0.115</w:t>
            </w:r>
          </w:p>
        </w:tc>
        <w:tc>
          <w:tcPr>
            <w:tcW w:w="2180" w:type="pct"/>
            <w:tcBorders>
              <w:bottom w:val="single" w:sz="4" w:space="0" w:color="B3B3B3"/>
            </w:tcBorders>
            <w:shd w:val="clear" w:color="auto" w:fill="F2F2F2" w:themeFill="background1" w:themeFillShade="F2"/>
          </w:tcPr>
          <w:p w14:paraId="50B749AD" w14:textId="77777777" w:rsidR="00767353" w:rsidRPr="008753E7" w:rsidRDefault="00767353" w:rsidP="00604051">
            <w:pPr>
              <w:pStyle w:val="TableBodyText"/>
              <w:spacing w:before="45" w:after="45"/>
              <w:ind w:left="57" w:right="108"/>
              <w:jc w:val="left"/>
              <w:rPr>
                <w:rFonts w:ascii="Arial (Body)" w:hAnsi="Arial (Body)"/>
                <w:b/>
                <w:color w:val="000000"/>
              </w:rPr>
            </w:pPr>
            <w:r w:rsidRPr="008753E7">
              <w:rPr>
                <w:rFonts w:ascii="Arial (Body)" w:hAnsi="Arial (Body)"/>
                <w:b/>
                <w:color w:val="000000"/>
              </w:rPr>
              <w:t>…had an inconclusive effect on absolute wealth inequality</w:t>
            </w:r>
          </w:p>
        </w:tc>
      </w:tr>
    </w:tbl>
    <w:p w14:paraId="5FD642F9" w14:textId="77777777" w:rsidR="00767353" w:rsidRDefault="00767353" w:rsidP="00767353">
      <w:pPr>
        <w:pStyle w:val="Note"/>
      </w:pPr>
      <w:r w:rsidRPr="00C36914">
        <w:rPr>
          <w:b/>
          <w:bCs/>
        </w:rPr>
        <w:t>a.</w:t>
      </w:r>
      <w:r w:rsidRPr="00C36914">
        <w:t xml:space="preserve"> </w:t>
      </w:r>
      <w:r w:rsidRPr="008753E7">
        <w:t xml:space="preserve">‘GE(2) coefficient’ is the generalised entropy class 2 coefficient. </w:t>
      </w:r>
      <w:r w:rsidRPr="008753E7">
        <w:rPr>
          <w:b/>
          <w:bCs/>
        </w:rPr>
        <w:t>b.</w:t>
      </w:r>
      <w:r w:rsidRPr="008753E7">
        <w:t xml:space="preserve"> All measures are weighted by the appropriate survey weights. </w:t>
      </w:r>
      <w:r w:rsidRPr="008753E7">
        <w:rPr>
          <w:b/>
          <w:bCs/>
        </w:rPr>
        <w:t>c.</w:t>
      </w:r>
      <w:r w:rsidRPr="008753E7">
        <w:t xml:space="preserve"> Findings are based on whether the null hypothesis that gifts had no effect on wealth inequality can be rejected at the 5 per cent level of significance.</w:t>
      </w:r>
    </w:p>
    <w:p w14:paraId="39D42D96" w14:textId="77777777" w:rsidR="00767353" w:rsidRDefault="00767353" w:rsidP="00767353">
      <w:pPr>
        <w:pStyle w:val="Source"/>
      </w:pPr>
      <w:r w:rsidRPr="00696447">
        <w:t xml:space="preserve">Source: </w:t>
      </w:r>
      <w:r>
        <w:t>Productivity Commission estimates based on HILDA Restricted Release 19.</w:t>
      </w:r>
    </w:p>
    <w:p w14:paraId="1BE5B93F" w14:textId="77777777" w:rsidR="00767353" w:rsidRDefault="00767353" w:rsidP="00132C71">
      <w:pPr>
        <w:pStyle w:val="Heading2-Appendix"/>
      </w:pPr>
      <w:r>
        <w:t>Immediate</w:t>
      </w:r>
      <w:r>
        <w:noBreakHyphen/>
        <w:t>term effect of wealth transfers on unequivalised household wealth inequality</w:t>
      </w:r>
    </w:p>
    <w:p w14:paraId="570072FD" w14:textId="25629846" w:rsidR="00767353" w:rsidRDefault="00767353" w:rsidP="00767353">
      <w:pPr>
        <w:pStyle w:val="BodyText"/>
      </w:pPr>
      <w:r>
        <w:t xml:space="preserve">As chapter 2 notes, the rationale for equivalising household wealth when assessing the effect of wealth transfers on wealth inequality is strong, but there is no consensus about which equivalisation scale is most suited to doing so </w:t>
      </w:r>
      <w:r>
        <w:fldChar w:fldCharType="begin"/>
      </w:r>
      <w:r w:rsidR="0047772E">
        <w:instrText xml:space="preserve"> ADDIN ZOTERO_ITEM CSL_CITATION {"citationID":"tMR6IyXx","properties":{"formattedCitation":"(OECD\\uc0\\u160{}2013)","plainCitation":"(OECD 2013)","noteIndex":0},"citationItems":[{"id":1725,"uris":["http://zotero.org/groups/2714158/items/MNAS5GF5"],"uri":["http://zotero.org/groups/2714158/items/MNAS5GF5"],"itemData":{"id":1725,"type":"report","event-place":"Paris","publisher":"OECD","publisher-place":"Paris","title":"OECD Guidelines for Micro Statistics on Household Wealth","author":[{"family":"Organisation for Economic Co-operation and Development","given":""}],"translator":[{"family":"OECD","given":""}],"accessed":{"date-parts":[["2021",4,16]]},"issued":{"date-parts":[["2013"]]}}}],"schema":"https://github.com/citation-style-language/schema/raw/master/csl-citation.json"} </w:instrText>
      </w:r>
      <w:r>
        <w:fldChar w:fldCharType="separate"/>
      </w:r>
      <w:r w:rsidRPr="00AE25ED">
        <w:rPr>
          <w:szCs w:val="24"/>
        </w:rPr>
        <w:t>(OECD 2013)</w:t>
      </w:r>
      <w:r>
        <w:fldChar w:fldCharType="end"/>
      </w:r>
      <w:r>
        <w:t xml:space="preserve">. As a robustness check, the main results from section 2.1 are replicated </w:t>
      </w:r>
      <w:r>
        <w:lastRenderedPageBreak/>
        <w:t>below, but with unequivalised household wealth and unequivalised household wealth transfers used as the measures of wealth and wealth transfers.</w:t>
      </w:r>
    </w:p>
    <w:p w14:paraId="47482A3A" w14:textId="77777777" w:rsidR="00767353" w:rsidRDefault="00767353" w:rsidP="00767353">
      <w:pPr>
        <w:pStyle w:val="BodyText"/>
      </w:pPr>
      <w:r>
        <w:t>None of the results differ from those presented in section 2.1 in directional terms (the numbers, of course, differ), which suggests that those results are not sensitive to the choice of whether or not to equivalise household wealth.</w:t>
      </w:r>
    </w:p>
    <w:p w14:paraId="3688D680" w14:textId="77777777" w:rsidR="00767353" w:rsidRDefault="00767353" w:rsidP="00767353">
      <w:pPr>
        <w:pStyle w:val="BodyText"/>
      </w:pPr>
      <w:r>
        <w:t>In the case of inheritances, when unequivalised measures are adopted, it remains the case that:</w:t>
      </w:r>
    </w:p>
    <w:p w14:paraId="3A99C7C3" w14:textId="77777777" w:rsidR="00767353" w:rsidRPr="00115ED4" w:rsidRDefault="00767353" w:rsidP="00767353">
      <w:pPr>
        <w:pStyle w:val="ListBullet"/>
      </w:pPr>
      <w:r w:rsidRPr="00115ED4">
        <w:t>larger shares of wealthier people received inheritances than poorer people (figure B.4, panel a)</w:t>
      </w:r>
    </w:p>
    <w:p w14:paraId="389166D2" w14:textId="77777777" w:rsidR="00767353" w:rsidRPr="00115ED4" w:rsidRDefault="00767353" w:rsidP="00767353">
      <w:pPr>
        <w:pStyle w:val="ListBullet"/>
      </w:pPr>
      <w:r w:rsidRPr="00115ED4">
        <w:t>among those who received inheritances, wealthier people usually received larger inheritances (figure B.4, panel b)</w:t>
      </w:r>
    </w:p>
    <w:p w14:paraId="3D225E1B" w14:textId="77777777" w:rsidR="00767353" w:rsidRPr="00115ED4" w:rsidRDefault="00767353" w:rsidP="00767353">
      <w:pPr>
        <w:pStyle w:val="ListBullet"/>
      </w:pPr>
      <w:r w:rsidRPr="00115ED4">
        <w:t>as a corollary of these findings, inheritances increased absolute wealth inequality in the immediate term (figure B.4, panel c)</w:t>
      </w:r>
    </w:p>
    <w:p w14:paraId="6A810726" w14:textId="77777777" w:rsidR="00767353" w:rsidRDefault="00767353" w:rsidP="00767353">
      <w:pPr>
        <w:pStyle w:val="ListBullet"/>
      </w:pPr>
      <w:r w:rsidRPr="00115ED4">
        <w:t>inheritances decreased relative wealth</w:t>
      </w:r>
      <w:r>
        <w:t xml:space="preserve"> inequality in the immediate term (figure B.4, panel d).</w:t>
      </w:r>
    </w:p>
    <w:p w14:paraId="72FC38BC" w14:textId="77777777" w:rsidR="00767353" w:rsidRDefault="00767353" w:rsidP="00767353">
      <w:pPr>
        <w:pStyle w:val="BodyText"/>
      </w:pPr>
      <w:r>
        <w:t>In the case of gifts, when unequivalised measures are adopted, it remains the case that:</w:t>
      </w:r>
    </w:p>
    <w:p w14:paraId="51196EC5" w14:textId="77777777" w:rsidR="00767353" w:rsidRPr="00115ED4" w:rsidRDefault="00767353" w:rsidP="00767353">
      <w:pPr>
        <w:pStyle w:val="ListBullet"/>
      </w:pPr>
      <w:r w:rsidRPr="00115ED4">
        <w:t>larger shares of poorer people received gifts than wealthier people (figure B.5, panel a)</w:t>
      </w:r>
    </w:p>
    <w:p w14:paraId="57BB59C0" w14:textId="77777777" w:rsidR="00767353" w:rsidRPr="00115ED4" w:rsidRDefault="00767353" w:rsidP="00767353">
      <w:pPr>
        <w:pStyle w:val="ListBullet"/>
      </w:pPr>
      <w:r w:rsidRPr="00115ED4">
        <w:t>among those who received gifts, wealthier people usually received larger gifts (figure B.5, panel b)</w:t>
      </w:r>
    </w:p>
    <w:p w14:paraId="496F00F4" w14:textId="77777777" w:rsidR="00767353" w:rsidRPr="00115ED4" w:rsidRDefault="00767353" w:rsidP="00767353">
      <w:pPr>
        <w:pStyle w:val="ListBullet"/>
      </w:pPr>
      <w:r w:rsidRPr="00115ED4">
        <w:t>as a corollary of these findings, gifts had an inconclusive effect on absolute wealth inequality in the immediate term (figure B.5, panel c)</w:t>
      </w:r>
    </w:p>
    <w:p w14:paraId="42846130" w14:textId="77777777" w:rsidR="00767353" w:rsidRDefault="00767353" w:rsidP="00767353">
      <w:pPr>
        <w:pStyle w:val="ListBullet"/>
      </w:pPr>
      <w:r w:rsidRPr="00115ED4">
        <w:t>gifts decreased</w:t>
      </w:r>
      <w:r>
        <w:t xml:space="preserve"> relative wealth inequality in the immediate term (figure B.5, panel d).</w:t>
      </w:r>
    </w:p>
    <w:p w14:paraId="6B915264" w14:textId="05B89101" w:rsidR="00767353" w:rsidRPr="00146382" w:rsidRDefault="00767353" w:rsidP="00767353">
      <w:pPr>
        <w:pStyle w:val="FigureTableHeading"/>
        <w:spacing w:after="120"/>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5522AF">
        <w:t>4</w:t>
      </w:r>
      <w:r>
        <w:rPr>
          <w:noProof/>
        </w:rPr>
        <w:t xml:space="preserve"> </w:t>
      </w:r>
      <w:r>
        <w:t>– Effects of inheritances on unequivalised household wealth inequality</w:t>
      </w:r>
      <w:r w:rsidRPr="00066CF5">
        <w:rPr>
          <w:vertAlign w:val="superscript"/>
        </w:rPr>
        <w:t>a,b</w:t>
      </w:r>
    </w:p>
    <w:tbl>
      <w:tblPr>
        <w:tblW w:w="5000" w:type="pct"/>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8753E7" w14:paraId="1441483C" w14:textId="77777777" w:rsidTr="00604051">
        <w:trPr>
          <w:tblHeader/>
        </w:trPr>
        <w:tc>
          <w:tcPr>
            <w:tcW w:w="2500" w:type="pct"/>
            <w:tcBorders>
              <w:top w:val="nil"/>
              <w:bottom w:val="nil"/>
            </w:tcBorders>
          </w:tcPr>
          <w:p w14:paraId="4112AC02" w14:textId="6087AB53" w:rsidR="00767353" w:rsidRPr="005D0BA1" w:rsidRDefault="00767353" w:rsidP="00B83AD3">
            <w:pPr>
              <w:pStyle w:val="FigureTableSubheading"/>
              <w:numPr>
                <w:ilvl w:val="0"/>
                <w:numId w:val="46"/>
              </w:numPr>
              <w:rPr>
                <w:sz w:val="18"/>
              </w:rPr>
            </w:pPr>
            <w:r w:rsidRPr="00B83AD3">
              <w:rPr>
                <w:sz w:val="16"/>
                <w:szCs w:val="16"/>
              </w:rPr>
              <w:t xml:space="preserve">Share of people whose household inherited in </w:t>
            </w:r>
            <w:r w:rsidR="00C84BF0">
              <w:rPr>
                <w:sz w:val="16"/>
                <w:szCs w:val="16"/>
              </w:rPr>
              <w:t>a three</w:t>
            </w:r>
            <w:r w:rsidR="00C84BF0">
              <w:rPr>
                <w:sz w:val="16"/>
                <w:szCs w:val="16"/>
              </w:rPr>
              <w:noBreakHyphen/>
              <w:t>year period</w:t>
            </w:r>
            <w:r w:rsidRPr="00B83AD3">
              <w:rPr>
                <w:sz w:val="16"/>
                <w:szCs w:val="16"/>
              </w:rPr>
              <w:t>, by initial household wealth</w:t>
            </w:r>
          </w:p>
        </w:tc>
        <w:tc>
          <w:tcPr>
            <w:tcW w:w="2500" w:type="pct"/>
            <w:tcBorders>
              <w:top w:val="nil"/>
              <w:bottom w:val="nil"/>
            </w:tcBorders>
          </w:tcPr>
          <w:p w14:paraId="045D8EF0" w14:textId="4FC4871D" w:rsidR="00767353" w:rsidRPr="008753E7" w:rsidRDefault="00767353" w:rsidP="00B83AD3">
            <w:pPr>
              <w:pStyle w:val="FigureTableSubheading"/>
              <w:numPr>
                <w:ilvl w:val="0"/>
                <w:numId w:val="46"/>
              </w:numPr>
            </w:pPr>
            <w:r w:rsidRPr="00B83AD3">
              <w:rPr>
                <w:sz w:val="16"/>
                <w:szCs w:val="14"/>
              </w:rPr>
              <w:t>Average household inheritances received among people whose household inherited</w:t>
            </w:r>
            <w:r w:rsidR="00C84BF0">
              <w:rPr>
                <w:sz w:val="16"/>
                <w:szCs w:val="14"/>
              </w:rPr>
              <w:t xml:space="preserve"> </w:t>
            </w:r>
            <w:r w:rsidR="00ED2BF1">
              <w:rPr>
                <w:sz w:val="16"/>
                <w:szCs w:val="14"/>
              </w:rPr>
              <w:t xml:space="preserve">in </w:t>
            </w:r>
            <w:r w:rsidR="00C84BF0">
              <w:rPr>
                <w:sz w:val="16"/>
                <w:szCs w:val="16"/>
              </w:rPr>
              <w:t>a three</w:t>
            </w:r>
            <w:r w:rsidR="00C84BF0">
              <w:rPr>
                <w:sz w:val="16"/>
                <w:szCs w:val="16"/>
              </w:rPr>
              <w:noBreakHyphen/>
              <w:t>year period</w:t>
            </w:r>
            <w:r w:rsidRPr="00B83AD3">
              <w:rPr>
                <w:sz w:val="16"/>
                <w:szCs w:val="14"/>
              </w:rPr>
              <w:t>, by initial household wealth</w:t>
            </w:r>
          </w:p>
        </w:tc>
      </w:tr>
      <w:tr w:rsidR="00767353" w:rsidRPr="008753E7" w14:paraId="4731F366" w14:textId="77777777" w:rsidTr="00604051">
        <w:trPr>
          <w:tblHeader/>
        </w:trPr>
        <w:tc>
          <w:tcPr>
            <w:tcW w:w="2500" w:type="pct"/>
            <w:tcBorders>
              <w:top w:val="nil"/>
              <w:bottom w:val="nil"/>
            </w:tcBorders>
          </w:tcPr>
          <w:p w14:paraId="277CDE5F" w14:textId="695F5469" w:rsidR="00767353" w:rsidRPr="008753E7" w:rsidRDefault="00A06F37" w:rsidP="00604051">
            <w:pPr>
              <w:pStyle w:val="BodyText"/>
              <w:spacing w:before="0" w:after="0"/>
              <w:ind w:left="284" w:hanging="284"/>
              <w:rPr>
                <w:sz w:val="18"/>
                <w:szCs w:val="18"/>
              </w:rPr>
            </w:pPr>
            <w:r w:rsidRPr="00A06F37">
              <w:rPr>
                <w:noProof/>
                <w:sz w:val="18"/>
                <w:szCs w:val="18"/>
              </w:rPr>
              <w:drawing>
                <wp:inline distT="0" distB="0" distL="0" distR="0" wp14:anchorId="3B0D8EC0" wp14:editId="457B4F9D">
                  <wp:extent cx="2987040" cy="2339340"/>
                  <wp:effectExtent l="0" t="0" r="3810" b="3810"/>
                  <wp:docPr id="188" name="Picture 188" descr="Figure B.4, panel a. This chart shows the share of people whose household inherited in the year in question,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Figure B.4, panel a. This chart shows the share of people whose household inherited in the year in question, by initial household wealth. More details are contained in the text surrounding this figur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7C6B9B4E" w14:textId="613F5680" w:rsidR="00767353" w:rsidRPr="008753E7" w:rsidRDefault="00C96238" w:rsidP="00604051">
            <w:pPr>
              <w:pStyle w:val="BodyText"/>
              <w:spacing w:before="0" w:after="0"/>
              <w:ind w:left="284" w:hanging="284"/>
              <w:rPr>
                <w:sz w:val="18"/>
                <w:szCs w:val="18"/>
              </w:rPr>
            </w:pPr>
            <w:r w:rsidRPr="00C96238">
              <w:rPr>
                <w:noProof/>
                <w:sz w:val="18"/>
                <w:szCs w:val="18"/>
              </w:rPr>
              <w:drawing>
                <wp:inline distT="0" distB="0" distL="0" distR="0" wp14:anchorId="50C4C4AC" wp14:editId="4255CA62">
                  <wp:extent cx="2987040" cy="2339340"/>
                  <wp:effectExtent l="0" t="0" r="3810" b="3810"/>
                  <wp:docPr id="187" name="Picture 187" descr="Figure B.4, panel b. This chart shows average household inheritances received among people whose household inherited,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Figure B.4, panel b. This chart shows average household inheritances received among people whose household inherited, by initial household wealth. More details are contained in the text surrounding this figur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r w:rsidR="00767353" w:rsidRPr="008753E7" w14:paraId="3884B257" w14:textId="77777777" w:rsidTr="00604051">
        <w:trPr>
          <w:tblHeader/>
        </w:trPr>
        <w:tc>
          <w:tcPr>
            <w:tcW w:w="2500" w:type="pct"/>
            <w:tcBorders>
              <w:top w:val="nil"/>
              <w:bottom w:val="nil"/>
            </w:tcBorders>
          </w:tcPr>
          <w:p w14:paraId="625377D4" w14:textId="1D3E6A8E" w:rsidR="00767353" w:rsidRPr="00B83AD3" w:rsidRDefault="00767353" w:rsidP="00B83AD3">
            <w:pPr>
              <w:pStyle w:val="FigureTableSubheading"/>
              <w:numPr>
                <w:ilvl w:val="0"/>
                <w:numId w:val="46"/>
              </w:numPr>
              <w:rPr>
                <w:sz w:val="16"/>
                <w:szCs w:val="16"/>
              </w:rPr>
            </w:pPr>
            <w:r w:rsidRPr="00B83AD3">
              <w:rPr>
                <w:sz w:val="16"/>
                <w:szCs w:val="16"/>
              </w:rPr>
              <w:t>Average household inheritances received among all people</w:t>
            </w:r>
            <w:r w:rsidR="00C84BF0">
              <w:rPr>
                <w:sz w:val="16"/>
                <w:szCs w:val="16"/>
              </w:rPr>
              <w:t xml:space="preserve"> </w:t>
            </w:r>
            <w:r w:rsidR="00ED2BF1">
              <w:rPr>
                <w:sz w:val="16"/>
                <w:szCs w:val="16"/>
              </w:rPr>
              <w:t xml:space="preserve">in </w:t>
            </w:r>
            <w:r w:rsidR="00C84BF0">
              <w:rPr>
                <w:sz w:val="16"/>
                <w:szCs w:val="16"/>
              </w:rPr>
              <w:t>a three</w:t>
            </w:r>
            <w:r w:rsidR="00C84BF0">
              <w:rPr>
                <w:sz w:val="16"/>
                <w:szCs w:val="16"/>
              </w:rPr>
              <w:noBreakHyphen/>
              <w:t>year period</w:t>
            </w:r>
            <w:r w:rsidRPr="00B83AD3">
              <w:rPr>
                <w:sz w:val="16"/>
                <w:szCs w:val="16"/>
              </w:rPr>
              <w:t>, by initial household wealth</w:t>
            </w:r>
          </w:p>
        </w:tc>
        <w:tc>
          <w:tcPr>
            <w:tcW w:w="2500" w:type="pct"/>
            <w:tcBorders>
              <w:top w:val="nil"/>
              <w:bottom w:val="nil"/>
            </w:tcBorders>
          </w:tcPr>
          <w:p w14:paraId="3728EFCF" w14:textId="51E7B0C7" w:rsidR="00767353" w:rsidRPr="00B83AD3" w:rsidRDefault="00767353" w:rsidP="00B83AD3">
            <w:pPr>
              <w:pStyle w:val="FigureTableSubheading"/>
              <w:numPr>
                <w:ilvl w:val="0"/>
                <w:numId w:val="46"/>
              </w:numPr>
              <w:rPr>
                <w:sz w:val="16"/>
                <w:szCs w:val="16"/>
              </w:rPr>
            </w:pPr>
            <w:r w:rsidRPr="00B83AD3">
              <w:rPr>
                <w:sz w:val="16"/>
                <w:szCs w:val="16"/>
              </w:rPr>
              <w:t xml:space="preserve">Average household inheritances received among all people </w:t>
            </w:r>
            <w:r w:rsidR="00ED2BF1">
              <w:rPr>
                <w:sz w:val="16"/>
                <w:szCs w:val="16"/>
              </w:rPr>
              <w:t xml:space="preserve">in </w:t>
            </w:r>
            <w:r w:rsidR="00C84BF0">
              <w:rPr>
                <w:sz w:val="16"/>
                <w:szCs w:val="16"/>
              </w:rPr>
              <w:t>a three</w:t>
            </w:r>
            <w:r w:rsidR="00C84BF0">
              <w:rPr>
                <w:sz w:val="16"/>
                <w:szCs w:val="16"/>
              </w:rPr>
              <w:noBreakHyphen/>
              <w:t xml:space="preserve">year period </w:t>
            </w:r>
            <w:r w:rsidRPr="00B83AD3">
              <w:rPr>
                <w:sz w:val="16"/>
                <w:szCs w:val="16"/>
              </w:rPr>
              <w:t>as a share of initial household wealth, by initial household wealth</w:t>
            </w:r>
          </w:p>
        </w:tc>
      </w:tr>
      <w:tr w:rsidR="00767353" w:rsidRPr="008753E7" w14:paraId="5F4BC69B" w14:textId="77777777" w:rsidTr="00604051">
        <w:trPr>
          <w:tblHeader/>
        </w:trPr>
        <w:tc>
          <w:tcPr>
            <w:tcW w:w="2500" w:type="pct"/>
            <w:tcBorders>
              <w:top w:val="nil"/>
              <w:bottom w:val="nil"/>
            </w:tcBorders>
          </w:tcPr>
          <w:p w14:paraId="55BA7AC9" w14:textId="419EDD5A" w:rsidR="00767353" w:rsidRPr="008753E7" w:rsidRDefault="004031B7" w:rsidP="00604051">
            <w:pPr>
              <w:pStyle w:val="BodyText"/>
              <w:spacing w:before="0" w:after="0"/>
              <w:ind w:left="284" w:hanging="284"/>
              <w:rPr>
                <w:sz w:val="18"/>
                <w:szCs w:val="18"/>
              </w:rPr>
            </w:pPr>
            <w:r w:rsidRPr="004031B7">
              <w:rPr>
                <w:noProof/>
                <w:sz w:val="18"/>
                <w:szCs w:val="18"/>
              </w:rPr>
              <w:drawing>
                <wp:inline distT="0" distB="0" distL="0" distR="0" wp14:anchorId="10F7EBA2" wp14:editId="3A81E209">
                  <wp:extent cx="2987040" cy="2339340"/>
                  <wp:effectExtent l="0" t="0" r="3810" b="3810"/>
                  <wp:docPr id="189" name="Picture 189" descr="Figure B.4, panel c. Average household inheritances received among all people,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Figure B.4, panel c. Average household inheritances received among all people, by initial household wealth. More details are contained in the text surrounding this figur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6E056049" w14:textId="476DC878" w:rsidR="00767353" w:rsidRPr="008753E7" w:rsidRDefault="004031B7" w:rsidP="00604051">
            <w:pPr>
              <w:pStyle w:val="BodyText"/>
              <w:spacing w:before="0" w:after="0"/>
              <w:ind w:left="284" w:hanging="284"/>
              <w:rPr>
                <w:sz w:val="18"/>
                <w:szCs w:val="18"/>
              </w:rPr>
            </w:pPr>
            <w:r w:rsidRPr="004031B7">
              <w:rPr>
                <w:noProof/>
                <w:sz w:val="18"/>
                <w:szCs w:val="18"/>
              </w:rPr>
              <w:drawing>
                <wp:inline distT="0" distB="0" distL="0" distR="0" wp14:anchorId="01BB7B90" wp14:editId="3C0B59CE">
                  <wp:extent cx="2987040" cy="2339340"/>
                  <wp:effectExtent l="0" t="0" r="3810" b="3810"/>
                  <wp:docPr id="190" name="Picture 190" descr="Figure B.4, panel d. Average household inheritances received among all people as a share of initial household wealth,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Figure B.4, panel d. Average household inheritances received among all people as a share of initial household wealth, by initial household wealth. More details are contained in the text surrounding this figur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790F0C56" w14:textId="77777777" w:rsidR="00767353" w:rsidRPr="008753E7" w:rsidRDefault="00767353" w:rsidP="00767353">
      <w:pPr>
        <w:pStyle w:val="Note"/>
        <w:keepLines/>
        <w:rPr>
          <w:spacing w:val="-4"/>
        </w:rPr>
      </w:pPr>
      <w:r w:rsidRPr="008753E7">
        <w:rPr>
          <w:b/>
          <w:bCs/>
          <w:spacing w:val="-4"/>
        </w:rPr>
        <w:t>a.</w:t>
      </w:r>
      <w:r w:rsidRPr="008753E7">
        <w:rPr>
          <w:spacing w:val="-4"/>
        </w:rPr>
        <w:t xml:space="preserve"> Error bars represent 95 per cent confidence intervals. </w:t>
      </w:r>
      <w:r w:rsidRPr="008753E7">
        <w:rPr>
          <w:b/>
          <w:spacing w:val="-4"/>
        </w:rPr>
        <w:t>b.</w:t>
      </w:r>
      <w:r w:rsidRPr="008753E7">
        <w:rPr>
          <w:spacing w:val="-4"/>
        </w:rPr>
        <w:t xml:space="preserve"> Household wealth quintile prior to receipt of inheritance is measured in 2002 for inheritances received in 2003</w:t>
      </w:r>
      <w:r w:rsidRPr="008753E7">
        <w:rPr>
          <w:spacing w:val="-4"/>
        </w:rPr>
        <w:noBreakHyphen/>
        <w:t>04 – 2005</w:t>
      </w:r>
      <w:r w:rsidRPr="008753E7">
        <w:rPr>
          <w:spacing w:val="-4"/>
        </w:rPr>
        <w:noBreakHyphen/>
        <w:t>06, 2006 for inheritances received in 2007</w:t>
      </w:r>
      <w:r w:rsidRPr="008753E7">
        <w:rPr>
          <w:spacing w:val="-4"/>
        </w:rPr>
        <w:noBreakHyphen/>
        <w:t>08 – 2009</w:t>
      </w:r>
      <w:r w:rsidRPr="008753E7">
        <w:rPr>
          <w:spacing w:val="-4"/>
        </w:rPr>
        <w:noBreakHyphen/>
        <w:t>10, and so on.</w:t>
      </w:r>
    </w:p>
    <w:p w14:paraId="51592BE3" w14:textId="77777777" w:rsidR="00767353" w:rsidRDefault="00767353" w:rsidP="00767353">
      <w:pPr>
        <w:pStyle w:val="Source"/>
      </w:pPr>
      <w:r w:rsidRPr="00696447">
        <w:t xml:space="preserve">Source: </w:t>
      </w:r>
      <w:r>
        <w:t>Productivity Commission estimates based on HILDA Restricted Release 19.</w:t>
      </w:r>
    </w:p>
    <w:p w14:paraId="64F58BFD" w14:textId="47667361"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5522AF">
        <w:t>5</w:t>
      </w:r>
      <w:r>
        <w:rPr>
          <w:noProof/>
        </w:rPr>
        <w:t xml:space="preserve"> </w:t>
      </w:r>
      <w:r>
        <w:t>– Effects of gifts on unequivalised household wealth inequality</w:t>
      </w:r>
      <w:r w:rsidRPr="00066CF5">
        <w:rPr>
          <w:vertAlign w:val="superscript"/>
        </w:rPr>
        <w:t>a,b</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678"/>
        <w:gridCol w:w="4960"/>
      </w:tblGrid>
      <w:tr w:rsidR="00767353" w:rsidRPr="008753E7" w14:paraId="0E9505DE" w14:textId="77777777" w:rsidTr="00604051">
        <w:trPr>
          <w:tblHeader/>
          <w:jc w:val="center"/>
        </w:trPr>
        <w:tc>
          <w:tcPr>
            <w:tcW w:w="2500" w:type="pct"/>
            <w:tcBorders>
              <w:top w:val="nil"/>
              <w:bottom w:val="nil"/>
            </w:tcBorders>
          </w:tcPr>
          <w:p w14:paraId="3B0851A9" w14:textId="78429E88" w:rsidR="00767353" w:rsidRPr="008753E7" w:rsidRDefault="00767353" w:rsidP="00910C09">
            <w:pPr>
              <w:pStyle w:val="FigureTableSubheading"/>
              <w:numPr>
                <w:ilvl w:val="0"/>
                <w:numId w:val="47"/>
              </w:numPr>
              <w:rPr>
                <w:sz w:val="18"/>
              </w:rPr>
            </w:pPr>
            <w:r w:rsidRPr="00910C09">
              <w:rPr>
                <w:sz w:val="16"/>
                <w:szCs w:val="16"/>
              </w:rPr>
              <w:t xml:space="preserve">Share of people whose household received a gift </w:t>
            </w:r>
            <w:r>
              <w:rPr>
                <w:sz w:val="16"/>
                <w:szCs w:val="16"/>
              </w:rPr>
              <w:t xml:space="preserve">in </w:t>
            </w:r>
            <w:r w:rsidR="00C84BF0">
              <w:rPr>
                <w:sz w:val="16"/>
                <w:szCs w:val="16"/>
              </w:rPr>
              <w:t>a three</w:t>
            </w:r>
            <w:r w:rsidR="00C84BF0">
              <w:rPr>
                <w:sz w:val="16"/>
                <w:szCs w:val="16"/>
              </w:rPr>
              <w:noBreakHyphen/>
              <w:t>year period</w:t>
            </w:r>
            <w:r w:rsidRPr="00910C09">
              <w:rPr>
                <w:sz w:val="16"/>
                <w:szCs w:val="16"/>
              </w:rPr>
              <w:t>, by initial household wealth</w:t>
            </w:r>
          </w:p>
        </w:tc>
        <w:tc>
          <w:tcPr>
            <w:tcW w:w="2500" w:type="pct"/>
            <w:tcBorders>
              <w:top w:val="nil"/>
              <w:bottom w:val="nil"/>
            </w:tcBorders>
          </w:tcPr>
          <w:p w14:paraId="493197B0" w14:textId="2EC8D206" w:rsidR="00767353" w:rsidRPr="008753E7" w:rsidRDefault="00767353" w:rsidP="00910C09">
            <w:pPr>
              <w:pStyle w:val="FigureTableSubheading"/>
              <w:numPr>
                <w:ilvl w:val="0"/>
                <w:numId w:val="47"/>
              </w:numPr>
              <w:rPr>
                <w:sz w:val="18"/>
              </w:rPr>
            </w:pPr>
            <w:r w:rsidRPr="00910C09">
              <w:rPr>
                <w:sz w:val="16"/>
                <w:szCs w:val="16"/>
              </w:rPr>
              <w:t>Average household gifts received among people whose household inherited</w:t>
            </w:r>
            <w:r w:rsidR="00C84BF0">
              <w:rPr>
                <w:sz w:val="16"/>
                <w:szCs w:val="16"/>
              </w:rPr>
              <w:t xml:space="preserve"> in a three</w:t>
            </w:r>
            <w:r w:rsidR="00C84BF0">
              <w:rPr>
                <w:sz w:val="16"/>
                <w:szCs w:val="16"/>
              </w:rPr>
              <w:noBreakHyphen/>
              <w:t>year period</w:t>
            </w:r>
            <w:r w:rsidRPr="00910C09">
              <w:rPr>
                <w:sz w:val="16"/>
                <w:szCs w:val="16"/>
              </w:rPr>
              <w:t>, by initial household wealth</w:t>
            </w:r>
          </w:p>
        </w:tc>
      </w:tr>
      <w:tr w:rsidR="00767353" w:rsidRPr="008753E7" w14:paraId="7B04C322" w14:textId="77777777" w:rsidTr="00604051">
        <w:trPr>
          <w:tblHeader/>
          <w:jc w:val="center"/>
        </w:trPr>
        <w:tc>
          <w:tcPr>
            <w:tcW w:w="2500" w:type="pct"/>
            <w:tcBorders>
              <w:top w:val="nil"/>
              <w:bottom w:val="nil"/>
            </w:tcBorders>
          </w:tcPr>
          <w:p w14:paraId="060EE1B4" w14:textId="5C880D47" w:rsidR="00767353" w:rsidRPr="008753E7" w:rsidRDefault="009E7DCA" w:rsidP="00604051">
            <w:pPr>
              <w:pStyle w:val="BodyText"/>
              <w:spacing w:before="0" w:after="0"/>
              <w:ind w:left="284" w:hanging="284"/>
              <w:rPr>
                <w:sz w:val="18"/>
                <w:szCs w:val="18"/>
              </w:rPr>
            </w:pPr>
            <w:r w:rsidRPr="009E7DCA">
              <w:rPr>
                <w:noProof/>
                <w:sz w:val="18"/>
                <w:szCs w:val="18"/>
              </w:rPr>
              <w:drawing>
                <wp:inline distT="0" distB="0" distL="0" distR="0" wp14:anchorId="05FF7938" wp14:editId="570C00BD">
                  <wp:extent cx="2971800" cy="2362200"/>
                  <wp:effectExtent l="0" t="0" r="0" b="0"/>
                  <wp:docPr id="256" name="Picture 256" descr="Figure B.5, panel a. This chart shows the share of people whose household received a gift in the year in question,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B.5, panel a. This chart shows the share of people whose household received a gift in the year in question, by initial household wealth. More details are contained in the text surrounding this figur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tc>
        <w:tc>
          <w:tcPr>
            <w:tcW w:w="2500" w:type="pct"/>
            <w:tcBorders>
              <w:top w:val="nil"/>
              <w:bottom w:val="nil"/>
            </w:tcBorders>
          </w:tcPr>
          <w:p w14:paraId="03F577E2" w14:textId="329B7CE8" w:rsidR="00767353" w:rsidRPr="008753E7" w:rsidRDefault="00D3072F" w:rsidP="00604051">
            <w:pPr>
              <w:pStyle w:val="BodyText"/>
              <w:spacing w:before="0" w:after="0"/>
              <w:ind w:left="284" w:hanging="284"/>
              <w:rPr>
                <w:sz w:val="18"/>
                <w:szCs w:val="18"/>
              </w:rPr>
            </w:pPr>
            <w:r>
              <w:rPr>
                <w:sz w:val="18"/>
                <w:szCs w:val="18"/>
              </w:rPr>
              <w:t xml:space="preserve"> </w:t>
            </w:r>
            <w:r w:rsidRPr="00D3072F">
              <w:rPr>
                <w:noProof/>
                <w:sz w:val="18"/>
                <w:szCs w:val="18"/>
              </w:rPr>
              <w:drawing>
                <wp:inline distT="0" distB="0" distL="0" distR="0" wp14:anchorId="4E9C70AE" wp14:editId="7184DDBE">
                  <wp:extent cx="2987040" cy="2339340"/>
                  <wp:effectExtent l="0" t="0" r="3810" b="3810"/>
                  <wp:docPr id="257" name="Picture 257" descr="Figure B.5, panel b. This chart shows average household gifts received among people whose household received a gift,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B.5, panel b. This chart shows average household gifts received among people whose household received a gift, by initial household wealth. More details are contained in the text surrounding this figur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r w:rsidR="00767353" w:rsidRPr="008753E7" w14:paraId="6B8560F1" w14:textId="77777777" w:rsidTr="00604051">
        <w:trPr>
          <w:tblHeader/>
          <w:jc w:val="center"/>
        </w:trPr>
        <w:tc>
          <w:tcPr>
            <w:tcW w:w="2500" w:type="pct"/>
            <w:tcBorders>
              <w:top w:val="nil"/>
              <w:bottom w:val="nil"/>
            </w:tcBorders>
          </w:tcPr>
          <w:p w14:paraId="00BEEBBD" w14:textId="514D3566" w:rsidR="00767353" w:rsidRPr="00910C09" w:rsidRDefault="00767353" w:rsidP="00910C09">
            <w:pPr>
              <w:pStyle w:val="FigureTableSubheading"/>
              <w:numPr>
                <w:ilvl w:val="0"/>
                <w:numId w:val="47"/>
              </w:numPr>
              <w:rPr>
                <w:sz w:val="16"/>
                <w:szCs w:val="16"/>
              </w:rPr>
            </w:pPr>
            <w:r w:rsidRPr="00910C09">
              <w:rPr>
                <w:sz w:val="16"/>
                <w:szCs w:val="16"/>
              </w:rPr>
              <w:t>Average household gifts received among all people</w:t>
            </w:r>
            <w:r w:rsidR="00C84BF0">
              <w:rPr>
                <w:sz w:val="16"/>
                <w:szCs w:val="16"/>
              </w:rPr>
              <w:t xml:space="preserve"> in a three</w:t>
            </w:r>
            <w:r w:rsidR="00C84BF0">
              <w:rPr>
                <w:sz w:val="16"/>
                <w:szCs w:val="16"/>
              </w:rPr>
              <w:noBreakHyphen/>
              <w:t>year period</w:t>
            </w:r>
            <w:r w:rsidRPr="00910C09">
              <w:rPr>
                <w:sz w:val="16"/>
                <w:szCs w:val="16"/>
              </w:rPr>
              <w:t>, by initial household wealth</w:t>
            </w:r>
          </w:p>
        </w:tc>
        <w:tc>
          <w:tcPr>
            <w:tcW w:w="2500" w:type="pct"/>
            <w:tcBorders>
              <w:top w:val="nil"/>
              <w:bottom w:val="nil"/>
            </w:tcBorders>
          </w:tcPr>
          <w:p w14:paraId="376652DB" w14:textId="1A0671FC" w:rsidR="00767353" w:rsidRPr="00910C09" w:rsidRDefault="00767353" w:rsidP="00910C09">
            <w:pPr>
              <w:pStyle w:val="FigureTableSubheading"/>
              <w:numPr>
                <w:ilvl w:val="0"/>
                <w:numId w:val="47"/>
              </w:numPr>
              <w:rPr>
                <w:sz w:val="16"/>
                <w:szCs w:val="16"/>
              </w:rPr>
            </w:pPr>
            <w:r w:rsidRPr="00910C09">
              <w:rPr>
                <w:spacing w:val="-4"/>
                <w:sz w:val="16"/>
                <w:szCs w:val="16"/>
              </w:rPr>
              <w:t>Average household gifts received among all people</w:t>
            </w:r>
            <w:r>
              <w:rPr>
                <w:spacing w:val="-4"/>
                <w:sz w:val="16"/>
                <w:szCs w:val="16"/>
              </w:rPr>
              <w:t xml:space="preserve"> </w:t>
            </w:r>
            <w:r w:rsidR="00C84BF0">
              <w:rPr>
                <w:spacing w:val="-4"/>
                <w:sz w:val="16"/>
                <w:szCs w:val="16"/>
              </w:rPr>
              <w:t xml:space="preserve">in </w:t>
            </w:r>
            <w:r w:rsidR="00C84BF0">
              <w:rPr>
                <w:sz w:val="16"/>
                <w:szCs w:val="16"/>
              </w:rPr>
              <w:t>a three</w:t>
            </w:r>
            <w:r w:rsidR="00C84BF0">
              <w:rPr>
                <w:sz w:val="16"/>
                <w:szCs w:val="16"/>
              </w:rPr>
              <w:noBreakHyphen/>
              <w:t>year period</w:t>
            </w:r>
            <w:r w:rsidRPr="00910C09">
              <w:rPr>
                <w:spacing w:val="-4"/>
                <w:sz w:val="16"/>
                <w:szCs w:val="16"/>
              </w:rPr>
              <w:t xml:space="preserve"> as a share of initial household wealth, by </w:t>
            </w:r>
            <w:r w:rsidRPr="00910C09">
              <w:rPr>
                <w:sz w:val="16"/>
                <w:szCs w:val="16"/>
              </w:rPr>
              <w:t>initial</w:t>
            </w:r>
            <w:r w:rsidRPr="00910C09">
              <w:rPr>
                <w:spacing w:val="-4"/>
                <w:sz w:val="16"/>
                <w:szCs w:val="16"/>
              </w:rPr>
              <w:t xml:space="preserve"> household wealth</w:t>
            </w:r>
          </w:p>
        </w:tc>
      </w:tr>
      <w:tr w:rsidR="00767353" w:rsidRPr="008753E7" w14:paraId="224BB854" w14:textId="77777777" w:rsidTr="00604051">
        <w:trPr>
          <w:tblHeader/>
          <w:jc w:val="center"/>
        </w:trPr>
        <w:tc>
          <w:tcPr>
            <w:tcW w:w="2500" w:type="pct"/>
            <w:tcBorders>
              <w:top w:val="nil"/>
              <w:bottom w:val="nil"/>
            </w:tcBorders>
          </w:tcPr>
          <w:p w14:paraId="76E4EA7E" w14:textId="0A2E9170" w:rsidR="00767353" w:rsidRPr="008753E7" w:rsidRDefault="00D3072F" w:rsidP="00604051">
            <w:pPr>
              <w:pStyle w:val="BodyText"/>
              <w:spacing w:before="0" w:after="0"/>
              <w:ind w:left="284" w:hanging="284"/>
              <w:rPr>
                <w:sz w:val="18"/>
                <w:szCs w:val="18"/>
              </w:rPr>
            </w:pPr>
            <w:r w:rsidRPr="00D3072F">
              <w:rPr>
                <w:noProof/>
                <w:sz w:val="18"/>
                <w:szCs w:val="18"/>
              </w:rPr>
              <w:drawing>
                <wp:inline distT="0" distB="0" distL="0" distR="0" wp14:anchorId="4AC48833" wp14:editId="054AD9A2">
                  <wp:extent cx="2987040" cy="2339340"/>
                  <wp:effectExtent l="0" t="0" r="3810" b="3810"/>
                  <wp:docPr id="258" name="Picture 258" descr="Figure B.5, panel c. Average household gifts received among all people,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B.5, panel c. Average household gifts received among all people, by initial household wealth. More details are contained in the text surrounding this figur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4704E82C" w14:textId="3E382CAB" w:rsidR="00767353" w:rsidRPr="008753E7" w:rsidRDefault="00D3072F" w:rsidP="00604051">
            <w:pPr>
              <w:pStyle w:val="BodyText"/>
              <w:spacing w:before="0" w:after="0"/>
              <w:ind w:left="284" w:hanging="284"/>
              <w:rPr>
                <w:sz w:val="18"/>
                <w:szCs w:val="18"/>
              </w:rPr>
            </w:pPr>
            <w:r w:rsidRPr="00D3072F">
              <w:rPr>
                <w:noProof/>
                <w:sz w:val="18"/>
                <w:szCs w:val="18"/>
              </w:rPr>
              <w:drawing>
                <wp:inline distT="0" distB="0" distL="0" distR="0" wp14:anchorId="553757A4" wp14:editId="36C10A71">
                  <wp:extent cx="2987040" cy="2339340"/>
                  <wp:effectExtent l="0" t="0" r="3810" b="3810"/>
                  <wp:docPr id="260" name="Picture 260" descr="Figure B.5, panel d. Average household gifts received among all people as a share of initial household wealth, by initial househol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B.5, panel d. Average household gifts received among all people as a share of initial household wealth, by initial household wealth. More details are contained in the text surrounding this figur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4DEB27E9" w14:textId="77777777" w:rsidR="00767353" w:rsidRDefault="00767353" w:rsidP="00767353">
      <w:pPr>
        <w:pStyle w:val="Note"/>
        <w:keepLines/>
      </w:pPr>
      <w:r w:rsidRPr="00180E66">
        <w:rPr>
          <w:b/>
          <w:bCs/>
        </w:rPr>
        <w:t>a.</w:t>
      </w:r>
      <w:r>
        <w:t xml:space="preserve"> </w:t>
      </w:r>
      <w:r w:rsidRPr="008753E7">
        <w:t>Error bars represent 95 per cent confidence intervals.</w:t>
      </w:r>
      <w:r>
        <w:t xml:space="preserve"> </w:t>
      </w:r>
      <w:r w:rsidRPr="008753E7">
        <w:rPr>
          <w:b/>
        </w:rPr>
        <w:t>b</w:t>
      </w:r>
      <w:r>
        <w:rPr>
          <w:b/>
        </w:rPr>
        <w:t>.</w:t>
      </w:r>
      <w:r w:rsidRPr="008753E7">
        <w:t xml:space="preserve"> Household wealth quintile prior to receipt of gift is measured in 2002 for gifts received in 2003</w:t>
      </w:r>
      <w:r w:rsidRPr="008753E7">
        <w:noBreakHyphen/>
        <w:t>04 – 2005</w:t>
      </w:r>
      <w:r w:rsidRPr="008753E7">
        <w:noBreakHyphen/>
        <w:t>06, 2006 for gifts received in 2007</w:t>
      </w:r>
      <w:r w:rsidRPr="008753E7">
        <w:noBreakHyphen/>
        <w:t>08 – 2009</w:t>
      </w:r>
      <w:r w:rsidRPr="008753E7">
        <w:noBreakHyphen/>
        <w:t>10, and so on.</w:t>
      </w:r>
    </w:p>
    <w:p w14:paraId="5166F4BA" w14:textId="77777777" w:rsidR="00767353" w:rsidRDefault="00767353" w:rsidP="00767353">
      <w:pPr>
        <w:pStyle w:val="Source"/>
      </w:pPr>
      <w:r w:rsidRPr="00696447">
        <w:t xml:space="preserve">Source: </w:t>
      </w:r>
      <w:r>
        <w:t>Productivity Commission estimates based on HILDA Restricted Release 19.</w:t>
      </w:r>
    </w:p>
    <w:p w14:paraId="75C770AA" w14:textId="77777777" w:rsidR="00767353" w:rsidRDefault="00767353" w:rsidP="00132C71">
      <w:pPr>
        <w:pStyle w:val="Heading2-Appendix"/>
      </w:pPr>
      <w:r>
        <w:t>Immediate</w:t>
      </w:r>
      <w:r>
        <w:noBreakHyphen/>
        <w:t>term effect of wealth transfers on lifecycle</w:t>
      </w:r>
      <w:r>
        <w:noBreakHyphen/>
        <w:t>adjusted wealth inequality</w:t>
      </w:r>
    </w:p>
    <w:p w14:paraId="7F3A1593" w14:textId="77777777" w:rsidR="00767353" w:rsidRDefault="00767353" w:rsidP="00767353">
      <w:pPr>
        <w:pStyle w:val="BodyText"/>
      </w:pPr>
      <w:r>
        <w:t>As chapter 2, box 2.3 notes, it is possible that the findings about the immediate</w:t>
      </w:r>
      <w:r>
        <w:noBreakHyphen/>
        <w:t>term effect of wealth transfers on wealth inequality reflect only the age profile of wealth transfer recipients. This is more likely to be true in the case of gifts than inheritances, as gifts are typically received by people aged under 30 (who are poorer on average), even when considered in equivalised terms. If true, this somewhat invalidates the interpretation of the results.</w:t>
      </w:r>
    </w:p>
    <w:p w14:paraId="725AB74A" w14:textId="77777777" w:rsidR="00767353" w:rsidRDefault="00767353" w:rsidP="00767353">
      <w:pPr>
        <w:pStyle w:val="BodyText"/>
      </w:pPr>
      <w:r>
        <w:lastRenderedPageBreak/>
        <w:t>If wealth is measured relative only to people of the same age, this concern is lessened. Hence, the Commission has developed a measure of ‘lifecycle</w:t>
      </w:r>
      <w:r>
        <w:noBreakHyphen/>
        <w:t>adjusted wealth’ along these lines, and used it to replicate the analysis in chapter 2. The measure is straightforward; quantiles of the initial (pre</w:t>
      </w:r>
      <w:r>
        <w:noBreakHyphen/>
        <w:t>wealth transfer) wealth distribution are calculated relative only to people of the same age (by single year of age) with equivalised wealth used as the measure of wealth. The assessment of the immediate</w:t>
      </w:r>
      <w:r>
        <w:noBreakHyphen/>
        <w:t>term effect of wealth transfers on wealth inequality then proceeds as in chapter 2.</w:t>
      </w:r>
    </w:p>
    <w:p w14:paraId="1D367AB6" w14:textId="77777777" w:rsidR="00767353" w:rsidRDefault="00767353" w:rsidP="00767353">
      <w:pPr>
        <w:pStyle w:val="BodyText"/>
      </w:pPr>
      <w:r>
        <w:t>Note that measuring inequality in this way has its own shortcomings.</w:t>
      </w:r>
    </w:p>
    <w:p w14:paraId="4E0E5017" w14:textId="77777777" w:rsidR="00767353" w:rsidRPr="00115ED4" w:rsidRDefault="00767353" w:rsidP="00767353">
      <w:pPr>
        <w:pStyle w:val="ListBullet"/>
      </w:pPr>
      <w:r>
        <w:t xml:space="preserve">It disregards </w:t>
      </w:r>
      <w:r w:rsidRPr="00DC4852">
        <w:rPr>
          <w:i/>
          <w:iCs/>
        </w:rPr>
        <w:t>genuine</w:t>
      </w:r>
      <w:r>
        <w:t xml:space="preserve"> inequality in wealth between different age cohorts which is not the result of distortionary lifecycle factors. Suppose, for example, that people born in 1960 had, on average, a lower trajectory through the (cross</w:t>
      </w:r>
      <w:r>
        <w:noBreakHyphen/>
        <w:t xml:space="preserve">sectional) wealth distribution over their lifetimes than people born in 1970. Perhaps the average wealth of people born in 1960 was similar to the average wealth among people of all ages in 1990, but the average wealth of people born in 1970 was far below the average wealth among </w:t>
      </w:r>
      <w:r w:rsidRPr="00115ED4">
        <w:t>people of all ages in 2000. That would have important implications for the effect of wealth transfers on wealth inequality, but these would not be reflected in the lifecycle</w:t>
      </w:r>
      <w:r w:rsidRPr="00115ED4">
        <w:noBreakHyphen/>
        <w:t>adjusted wealth measure.</w:t>
      </w:r>
    </w:p>
    <w:p w14:paraId="16235022" w14:textId="2AA97889" w:rsidR="00767353" w:rsidRPr="00115ED4" w:rsidRDefault="00767353" w:rsidP="00767353">
      <w:pPr>
        <w:pStyle w:val="ListBullet"/>
        <w:rPr>
          <w:spacing w:val="-4"/>
        </w:rPr>
      </w:pPr>
      <w:r w:rsidRPr="00115ED4">
        <w:rPr>
          <w:spacing w:val="-4"/>
        </w:rPr>
        <w:t>It disregards systematic movements within the age cohort</w:t>
      </w:r>
      <w:r w:rsidRPr="00115ED4">
        <w:rPr>
          <w:spacing w:val="-4"/>
        </w:rPr>
        <w:noBreakHyphen/>
        <w:t>specific wealth distribution over the lifecycle. Of particular concern is the tendency of people who will be wealthy by comparison to their peers when in middle age to be poorer by comparison to their peers when in their 20s — typical gift</w:t>
      </w:r>
      <w:r w:rsidRPr="00115ED4">
        <w:rPr>
          <w:spacing w:val="-4"/>
        </w:rPr>
        <w:noBreakHyphen/>
        <w:t xml:space="preserve">receiving age — because they spend more years in education </w:t>
      </w:r>
      <w:r w:rsidRPr="00115ED4">
        <w:rPr>
          <w:spacing w:val="-4"/>
        </w:rPr>
        <w:fldChar w:fldCharType="begin"/>
      </w:r>
      <w:r w:rsidR="0047772E">
        <w:rPr>
          <w:spacing w:val="-4"/>
        </w:rPr>
        <w:instrText xml:space="preserve"> ADDIN ZOTERO_ITEM CSL_CITATION {"citationID":"CSiQ0aIk","properties":{"formattedCitation":"(Boserup, Kopczuk and Kreiner\\uc0\\u160{}2017)","plainCitation":"(Boserup, Kopczuk and Kreiner 2017)","noteIndex":0},"citationItems":[{"id":1964,"uris":["http://zotero.org/groups/2714158/items/4G7IZVUF"],"uri":["http://zotero.org/groups/2714158/items/4G7IZVUF"],"itemData":{"id":1964,"type":"report","genre":"Working Paper","title":"Intergenerational Wealth Formation Over the Life Cycle: Evidence from Danish Wealth Records 1984-2013","author":[{"family":"Boserup","given":"Simon Halphen"},{"family":"Kopczuk","given":"Wojciech"},{"family":"Kreiner","given":"Claus Thustrup"}],"issued":{"date-parts":[["2017"]]}}}],"schema":"https://github.com/citation-style-language/schema/raw/master/csl-citation.json"} </w:instrText>
      </w:r>
      <w:r w:rsidRPr="00115ED4">
        <w:rPr>
          <w:spacing w:val="-4"/>
        </w:rPr>
        <w:fldChar w:fldCharType="separate"/>
      </w:r>
      <w:r w:rsidRPr="00115ED4">
        <w:rPr>
          <w:spacing w:val="-4"/>
          <w:szCs w:val="24"/>
        </w:rPr>
        <w:t>(Boserup, Kopczuk and Kreiner 2017)</w:t>
      </w:r>
      <w:r w:rsidRPr="00115ED4">
        <w:rPr>
          <w:spacing w:val="-4"/>
        </w:rPr>
        <w:fldChar w:fldCharType="end"/>
      </w:r>
      <w:r w:rsidRPr="00115ED4">
        <w:rPr>
          <w:spacing w:val="-4"/>
        </w:rPr>
        <w:t>. Hence, this way of measuring inequality does not completely evade the major lifecycle distortion at play — the young age of gift recipients.</w:t>
      </w:r>
    </w:p>
    <w:p w14:paraId="63C5F0A8" w14:textId="77777777" w:rsidR="00767353" w:rsidRDefault="00767353" w:rsidP="00767353">
      <w:pPr>
        <w:pStyle w:val="BodyText"/>
      </w:pPr>
      <w:r>
        <w:t>For these reasons, the lifecycle</w:t>
      </w:r>
      <w:r>
        <w:noBreakHyphen/>
        <w:t>adjusted measures are presented as a check on the chapter 2 findings rather than as the primary measure.</w:t>
      </w:r>
    </w:p>
    <w:p w14:paraId="3BAE41BC" w14:textId="77777777" w:rsidR="00767353" w:rsidRDefault="00767353" w:rsidP="00767353">
      <w:pPr>
        <w:pStyle w:val="BodyText"/>
      </w:pPr>
      <w:r>
        <w:t>In the case of inheritances, none of the results differ from those shown in chapter 2 in directional terms. When the lifecycle</w:t>
      </w:r>
      <w:r>
        <w:noBreakHyphen/>
        <w:t>adjusted measures are adopted, it remains the case that:</w:t>
      </w:r>
    </w:p>
    <w:p w14:paraId="271CA7EF" w14:textId="77777777" w:rsidR="00767353" w:rsidRPr="00115ED4" w:rsidRDefault="00767353" w:rsidP="00767353">
      <w:pPr>
        <w:pStyle w:val="ListBullet"/>
      </w:pPr>
      <w:r w:rsidRPr="00115ED4">
        <w:t>larger shares of wealthier people received inheritances than poorer people (figure B.6, panel a)</w:t>
      </w:r>
    </w:p>
    <w:p w14:paraId="11633F1D" w14:textId="77777777" w:rsidR="00767353" w:rsidRPr="00115ED4" w:rsidRDefault="00767353" w:rsidP="00767353">
      <w:pPr>
        <w:pStyle w:val="ListBullet"/>
      </w:pPr>
      <w:r w:rsidRPr="00115ED4">
        <w:t>among those who received inheritances, wealthier people usually received larger inheritances (figure B.6, panel b)</w:t>
      </w:r>
    </w:p>
    <w:p w14:paraId="2778F35C" w14:textId="77777777" w:rsidR="00767353" w:rsidRPr="00115ED4" w:rsidRDefault="00767353" w:rsidP="00767353">
      <w:pPr>
        <w:pStyle w:val="ListBullet"/>
      </w:pPr>
      <w:r w:rsidRPr="00115ED4">
        <w:t>as a corollary of these findings, inheritances increased absolute wealth inequality in the immediate term (figure B.6, panel c)</w:t>
      </w:r>
    </w:p>
    <w:p w14:paraId="661CD042" w14:textId="77777777" w:rsidR="00767353" w:rsidRDefault="00767353" w:rsidP="00767353">
      <w:pPr>
        <w:pStyle w:val="ListBullet"/>
      </w:pPr>
      <w:r w:rsidRPr="00115ED4">
        <w:t>inheritances decreased</w:t>
      </w:r>
      <w:r>
        <w:t xml:space="preserve"> relative wealth inequality in the immediate term (figure B.6, panel d).</w:t>
      </w:r>
    </w:p>
    <w:p w14:paraId="7A6E6AE2" w14:textId="77777777" w:rsidR="00767353" w:rsidRPr="00115ED4" w:rsidRDefault="00767353" w:rsidP="00767353">
      <w:pPr>
        <w:pStyle w:val="BodyText"/>
        <w:rPr>
          <w:spacing w:val="-4"/>
        </w:rPr>
      </w:pPr>
      <w:r w:rsidRPr="00115ED4">
        <w:rPr>
          <w:spacing w:val="-4"/>
        </w:rPr>
        <w:t>Hence, the corresponding results presented in chapter 2 are not a consequence of distortionary lifecycle effects.</w:t>
      </w:r>
    </w:p>
    <w:p w14:paraId="79076A6B" w14:textId="05FA7CB3"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BD5080">
        <w:t>6</w:t>
      </w:r>
      <w:r>
        <w:rPr>
          <w:noProof/>
        </w:rPr>
        <w:t xml:space="preserve"> </w:t>
      </w:r>
      <w:r>
        <w:t>– Effects of inheritances on lifecycle</w:t>
      </w:r>
      <w:r>
        <w:noBreakHyphen/>
        <w:t>adjusted wealth inequality</w:t>
      </w:r>
      <w:r w:rsidRPr="00066CF5">
        <w:rPr>
          <w:vertAlign w:val="superscript"/>
        </w:rPr>
        <w:t>a,b</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AC1002" w14:paraId="18A70C27" w14:textId="77777777" w:rsidTr="00BB6C27">
        <w:trPr>
          <w:tblHeader/>
          <w:jc w:val="center"/>
        </w:trPr>
        <w:tc>
          <w:tcPr>
            <w:tcW w:w="2558" w:type="pct"/>
            <w:tcBorders>
              <w:top w:val="nil"/>
              <w:bottom w:val="nil"/>
            </w:tcBorders>
          </w:tcPr>
          <w:p w14:paraId="2C8A70B3" w14:textId="6047D976" w:rsidR="00767353" w:rsidRPr="00AC1002" w:rsidRDefault="00767353" w:rsidP="00B83AD3">
            <w:pPr>
              <w:pStyle w:val="FigureTableSubheading"/>
              <w:numPr>
                <w:ilvl w:val="0"/>
                <w:numId w:val="48"/>
              </w:numPr>
            </w:pPr>
            <w:r w:rsidRPr="00B83AD3">
              <w:rPr>
                <w:sz w:val="16"/>
                <w:szCs w:val="14"/>
              </w:rPr>
              <w:t xml:space="preserve">Share of people who inherited in </w:t>
            </w:r>
            <w:r w:rsidR="00C84BF0">
              <w:rPr>
                <w:sz w:val="16"/>
                <w:szCs w:val="16"/>
              </w:rPr>
              <w:t>a three</w:t>
            </w:r>
            <w:r w:rsidR="00C84BF0">
              <w:rPr>
                <w:sz w:val="16"/>
                <w:szCs w:val="16"/>
              </w:rPr>
              <w:noBreakHyphen/>
              <w:t>year period</w:t>
            </w:r>
            <w:r w:rsidRPr="00B83AD3">
              <w:rPr>
                <w:sz w:val="16"/>
                <w:szCs w:val="14"/>
              </w:rPr>
              <w:t>, by initial lifecycle</w:t>
            </w:r>
            <w:r w:rsidRPr="00B83AD3">
              <w:rPr>
                <w:sz w:val="16"/>
                <w:szCs w:val="14"/>
              </w:rPr>
              <w:noBreakHyphen/>
            </w:r>
            <w:r w:rsidRPr="00B83AD3">
              <w:rPr>
                <w:sz w:val="16"/>
                <w:szCs w:val="16"/>
              </w:rPr>
              <w:t>adjusted</w:t>
            </w:r>
            <w:r w:rsidRPr="00B83AD3">
              <w:rPr>
                <w:sz w:val="16"/>
                <w:szCs w:val="14"/>
              </w:rPr>
              <w:t xml:space="preserve"> wealth</w:t>
            </w:r>
          </w:p>
        </w:tc>
        <w:tc>
          <w:tcPr>
            <w:tcW w:w="2442" w:type="pct"/>
            <w:tcBorders>
              <w:top w:val="nil"/>
              <w:bottom w:val="nil"/>
            </w:tcBorders>
          </w:tcPr>
          <w:p w14:paraId="5612572C" w14:textId="42714B2F" w:rsidR="00767353" w:rsidRPr="00B83AD3" w:rsidRDefault="00767353" w:rsidP="00B83AD3">
            <w:pPr>
              <w:pStyle w:val="FigureTableSubheading"/>
              <w:numPr>
                <w:ilvl w:val="0"/>
                <w:numId w:val="48"/>
              </w:numPr>
              <w:rPr>
                <w:sz w:val="16"/>
                <w:szCs w:val="16"/>
              </w:rPr>
            </w:pPr>
            <w:r w:rsidRPr="00B83AD3">
              <w:rPr>
                <w:sz w:val="16"/>
                <w:szCs w:val="16"/>
              </w:rPr>
              <w:t>Average equivalised inheritance received among people who inherited</w:t>
            </w:r>
            <w:r w:rsidR="00ED2BF1">
              <w:rPr>
                <w:sz w:val="16"/>
                <w:szCs w:val="16"/>
              </w:rPr>
              <w:t xml:space="preserve"> in a three</w:t>
            </w:r>
            <w:r w:rsidR="00ED2BF1">
              <w:rPr>
                <w:sz w:val="16"/>
                <w:szCs w:val="16"/>
              </w:rPr>
              <w:noBreakHyphen/>
              <w:t>year period</w:t>
            </w:r>
            <w:r w:rsidRPr="00B83AD3">
              <w:rPr>
                <w:sz w:val="16"/>
                <w:szCs w:val="16"/>
              </w:rPr>
              <w:t>, by initial lifecycle</w:t>
            </w:r>
            <w:r w:rsidRPr="00B83AD3">
              <w:rPr>
                <w:sz w:val="16"/>
                <w:szCs w:val="16"/>
              </w:rPr>
              <w:noBreakHyphen/>
              <w:t>adjusted wealth</w:t>
            </w:r>
          </w:p>
        </w:tc>
      </w:tr>
      <w:tr w:rsidR="00767353" w:rsidRPr="00AC1002" w14:paraId="2BAF81E6" w14:textId="77777777" w:rsidTr="00BB6C27">
        <w:tblPrEx>
          <w:tblCellMar>
            <w:left w:w="108" w:type="dxa"/>
            <w:right w:w="108" w:type="dxa"/>
          </w:tblCellMar>
        </w:tblPrEx>
        <w:trPr>
          <w:tblHeader/>
          <w:jc w:val="center"/>
        </w:trPr>
        <w:tc>
          <w:tcPr>
            <w:tcW w:w="2558" w:type="pct"/>
            <w:tcBorders>
              <w:top w:val="nil"/>
              <w:bottom w:val="nil"/>
            </w:tcBorders>
          </w:tcPr>
          <w:p w14:paraId="5B89ED7D" w14:textId="7BFE20CF" w:rsidR="00767353" w:rsidRPr="00AC1002" w:rsidRDefault="000B72C8" w:rsidP="00604051">
            <w:pPr>
              <w:pStyle w:val="BodyText"/>
              <w:spacing w:before="0" w:after="0"/>
              <w:ind w:left="284" w:hanging="284"/>
              <w:rPr>
                <w:sz w:val="18"/>
                <w:szCs w:val="18"/>
              </w:rPr>
            </w:pPr>
            <w:r w:rsidRPr="000B72C8">
              <w:rPr>
                <w:noProof/>
                <w:sz w:val="18"/>
                <w:szCs w:val="18"/>
              </w:rPr>
              <w:drawing>
                <wp:inline distT="0" distB="0" distL="0" distR="0" wp14:anchorId="4658585D" wp14:editId="61C3F393">
                  <wp:extent cx="2987040" cy="2339340"/>
                  <wp:effectExtent l="0" t="0" r="3810" b="3810"/>
                  <wp:docPr id="261" name="Picture 261" descr="Figure B.6, panel a. This chart shows the share of people who inherited in the year in question, by initial lifecycle adjust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B.6, panel a. This chart shows the share of people who inherited in the year in question, by initial lifecycle adjusted wealth quintile. More details are contained in the text surrounding this figur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442" w:type="pct"/>
            <w:tcBorders>
              <w:top w:val="nil"/>
              <w:bottom w:val="nil"/>
            </w:tcBorders>
          </w:tcPr>
          <w:p w14:paraId="5568AC86" w14:textId="4EFB2F1A" w:rsidR="00767353" w:rsidRPr="00AC1002" w:rsidRDefault="00BC3676" w:rsidP="00604051">
            <w:pPr>
              <w:pStyle w:val="BodyText"/>
              <w:spacing w:before="0" w:after="0"/>
              <w:ind w:left="284" w:hanging="284"/>
              <w:rPr>
                <w:sz w:val="18"/>
                <w:szCs w:val="18"/>
              </w:rPr>
            </w:pPr>
            <w:r w:rsidRPr="00BC3676">
              <w:rPr>
                <w:noProof/>
                <w:sz w:val="18"/>
                <w:szCs w:val="18"/>
              </w:rPr>
              <w:drawing>
                <wp:inline distT="0" distB="0" distL="0" distR="0" wp14:anchorId="0D085FF3" wp14:editId="6E89C5B5">
                  <wp:extent cx="2987040" cy="2339340"/>
                  <wp:effectExtent l="0" t="0" r="3810" b="3810"/>
                  <wp:docPr id="265" name="Picture 265" descr="Figure B.6, panel b. This chart shows average equivalised inheritance received among people who inherited, by initial lifecycle adjuste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Figure B.6, panel b. This chart shows average equivalised inheritance received among people who inherited, by initial lifecycle adjusted wealth. More details are contained in the text surrounding this figur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r w:rsidR="00767353" w:rsidRPr="00AC1002" w14:paraId="4872F776" w14:textId="77777777" w:rsidTr="00BB6C27">
        <w:trPr>
          <w:tblHeader/>
          <w:jc w:val="center"/>
        </w:trPr>
        <w:tc>
          <w:tcPr>
            <w:tcW w:w="2558" w:type="pct"/>
            <w:tcBorders>
              <w:top w:val="nil"/>
              <w:bottom w:val="nil"/>
            </w:tcBorders>
          </w:tcPr>
          <w:p w14:paraId="071719A4" w14:textId="35F254AF" w:rsidR="00767353" w:rsidRPr="00B83AD3" w:rsidRDefault="00767353" w:rsidP="00B83AD3">
            <w:pPr>
              <w:pStyle w:val="FigureTableSubheading"/>
              <w:numPr>
                <w:ilvl w:val="0"/>
                <w:numId w:val="48"/>
              </w:numPr>
              <w:rPr>
                <w:sz w:val="16"/>
                <w:szCs w:val="16"/>
              </w:rPr>
            </w:pPr>
            <w:r w:rsidRPr="00B83AD3">
              <w:rPr>
                <w:sz w:val="16"/>
                <w:szCs w:val="16"/>
              </w:rPr>
              <w:t>Average equivalised inheritance received among all people</w:t>
            </w:r>
            <w:r w:rsidR="00ED2BF1">
              <w:rPr>
                <w:sz w:val="16"/>
                <w:szCs w:val="16"/>
              </w:rPr>
              <w:t xml:space="preserve"> in a three</w:t>
            </w:r>
            <w:r w:rsidR="00ED2BF1">
              <w:rPr>
                <w:sz w:val="16"/>
                <w:szCs w:val="16"/>
              </w:rPr>
              <w:noBreakHyphen/>
              <w:t>year period</w:t>
            </w:r>
            <w:r w:rsidRPr="00B83AD3">
              <w:rPr>
                <w:sz w:val="16"/>
                <w:szCs w:val="16"/>
              </w:rPr>
              <w:t>, by initial lifecycle</w:t>
            </w:r>
            <w:r w:rsidRPr="00B83AD3">
              <w:rPr>
                <w:sz w:val="16"/>
                <w:szCs w:val="16"/>
              </w:rPr>
              <w:noBreakHyphen/>
              <w:t>adjusted wealth</w:t>
            </w:r>
          </w:p>
        </w:tc>
        <w:tc>
          <w:tcPr>
            <w:tcW w:w="2442" w:type="pct"/>
            <w:tcBorders>
              <w:top w:val="nil"/>
              <w:bottom w:val="nil"/>
            </w:tcBorders>
          </w:tcPr>
          <w:p w14:paraId="1C3F6E30" w14:textId="316D7355" w:rsidR="00767353" w:rsidRPr="00B83AD3" w:rsidRDefault="00767353" w:rsidP="00B83AD3">
            <w:pPr>
              <w:pStyle w:val="FigureTableSubheading"/>
              <w:numPr>
                <w:ilvl w:val="0"/>
                <w:numId w:val="48"/>
              </w:numPr>
              <w:rPr>
                <w:sz w:val="16"/>
                <w:szCs w:val="16"/>
              </w:rPr>
            </w:pPr>
            <w:r w:rsidRPr="00B83AD3">
              <w:rPr>
                <w:sz w:val="16"/>
                <w:szCs w:val="16"/>
              </w:rPr>
              <w:t>Average equivalised inheritance received among all people</w:t>
            </w:r>
            <w:r>
              <w:rPr>
                <w:sz w:val="16"/>
                <w:szCs w:val="16"/>
              </w:rPr>
              <w:t xml:space="preserve"> </w:t>
            </w:r>
            <w:r w:rsidR="00ED2BF1">
              <w:rPr>
                <w:sz w:val="16"/>
                <w:szCs w:val="16"/>
              </w:rPr>
              <w:t>in a three</w:t>
            </w:r>
            <w:r w:rsidR="00ED2BF1">
              <w:rPr>
                <w:sz w:val="16"/>
                <w:szCs w:val="16"/>
              </w:rPr>
              <w:noBreakHyphen/>
              <w:t>year period</w:t>
            </w:r>
            <w:r w:rsidRPr="00B83AD3">
              <w:rPr>
                <w:sz w:val="16"/>
                <w:szCs w:val="16"/>
              </w:rPr>
              <w:t xml:space="preserve"> as a share of initial wealth, by initial lifecycle</w:t>
            </w:r>
            <w:r w:rsidRPr="00B83AD3">
              <w:rPr>
                <w:sz w:val="16"/>
                <w:szCs w:val="16"/>
              </w:rPr>
              <w:noBreakHyphen/>
              <w:t>adjusted wealth</w:t>
            </w:r>
          </w:p>
        </w:tc>
      </w:tr>
      <w:tr w:rsidR="00767353" w:rsidRPr="00AC1002" w14:paraId="4AE3AF93" w14:textId="77777777" w:rsidTr="00BB6C27">
        <w:trPr>
          <w:tblHeader/>
          <w:jc w:val="center"/>
        </w:trPr>
        <w:tc>
          <w:tcPr>
            <w:tcW w:w="2558" w:type="pct"/>
            <w:tcBorders>
              <w:top w:val="nil"/>
              <w:bottom w:val="nil"/>
            </w:tcBorders>
          </w:tcPr>
          <w:p w14:paraId="7D8C4367" w14:textId="47981C13" w:rsidR="00767353" w:rsidRPr="00AC1002" w:rsidRDefault="00BB6C27" w:rsidP="00604051">
            <w:pPr>
              <w:pStyle w:val="BodyText"/>
              <w:spacing w:before="0" w:after="0"/>
              <w:ind w:left="284" w:hanging="284"/>
              <w:rPr>
                <w:sz w:val="18"/>
                <w:szCs w:val="18"/>
              </w:rPr>
            </w:pPr>
            <w:r>
              <w:rPr>
                <w:sz w:val="18"/>
                <w:szCs w:val="18"/>
              </w:rPr>
              <w:t xml:space="preserve"> </w:t>
            </w:r>
            <w:r w:rsidRPr="00BB6C27">
              <w:rPr>
                <w:noProof/>
                <w:sz w:val="18"/>
                <w:szCs w:val="18"/>
              </w:rPr>
              <w:drawing>
                <wp:inline distT="0" distB="0" distL="0" distR="0" wp14:anchorId="7BD808E2" wp14:editId="456EB3CD">
                  <wp:extent cx="2987040" cy="2339340"/>
                  <wp:effectExtent l="0" t="0" r="3810" b="3810"/>
                  <wp:docPr id="263" name="Picture 263" descr="Figure B.6, panel c. This chart shows average equivalised inheritance received among all people, by initial lifecycle adjuste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Figure B.6, panel c. This chart shows average equivalised inheritance received among all people, by initial lifecycle adjusted wealth. More details are contained in the text surrounding this figur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442" w:type="pct"/>
            <w:tcBorders>
              <w:top w:val="nil"/>
              <w:bottom w:val="nil"/>
            </w:tcBorders>
          </w:tcPr>
          <w:p w14:paraId="0902C8F2" w14:textId="6B37F648" w:rsidR="00767353" w:rsidRPr="00AC1002" w:rsidRDefault="002E3F72" w:rsidP="00604051">
            <w:pPr>
              <w:pStyle w:val="BodyText"/>
              <w:spacing w:before="0" w:after="0"/>
              <w:ind w:left="284" w:hanging="284"/>
              <w:rPr>
                <w:sz w:val="18"/>
                <w:szCs w:val="18"/>
              </w:rPr>
            </w:pPr>
            <w:r>
              <w:rPr>
                <w:sz w:val="18"/>
                <w:szCs w:val="18"/>
              </w:rPr>
              <w:t xml:space="preserve"> </w:t>
            </w:r>
            <w:r w:rsidRPr="002E3F72">
              <w:rPr>
                <w:noProof/>
                <w:sz w:val="18"/>
                <w:szCs w:val="18"/>
              </w:rPr>
              <w:drawing>
                <wp:inline distT="0" distB="0" distL="0" distR="0" wp14:anchorId="4074BDF7" wp14:editId="2D9226BB">
                  <wp:extent cx="2987040" cy="2339340"/>
                  <wp:effectExtent l="0" t="0" r="3810" b="3810"/>
                  <wp:docPr id="264" name="Picture 264" descr="Figure B.6, panel d. This chart shows the average equivalised inheritance received among all people as a share of initial wealth, by initial lifecycle adjuste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B.6, panel d. This chart shows the average equivalised inheritance received among all people as a share of initial wealth, by initial lifecycle adjusted wealth. More details are contained in the text surrounding this figur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1BD37511" w14:textId="77777777" w:rsidR="00767353" w:rsidRDefault="00767353" w:rsidP="00B83AD3">
      <w:pPr>
        <w:pStyle w:val="Note"/>
      </w:pPr>
      <w:r w:rsidRPr="00180E66">
        <w:rPr>
          <w:b/>
          <w:bCs/>
        </w:rPr>
        <w:t>a.</w:t>
      </w:r>
      <w:r>
        <w:t xml:space="preserve"> </w:t>
      </w:r>
      <w:r w:rsidRPr="00AC1002">
        <w:t>Error bars represent 95 per cent confidence intervals.</w:t>
      </w:r>
      <w:r>
        <w:t xml:space="preserve"> </w:t>
      </w:r>
      <w:r w:rsidRPr="00AC1002">
        <w:rPr>
          <w:b/>
        </w:rPr>
        <w:t>b</w:t>
      </w:r>
      <w:r>
        <w:rPr>
          <w:b/>
        </w:rPr>
        <w:t>.</w:t>
      </w:r>
      <w:r w:rsidRPr="00AC1002">
        <w:t xml:space="preserve"> Lifecycle</w:t>
      </w:r>
      <w:r w:rsidRPr="00AC1002">
        <w:noBreakHyphen/>
        <w:t>adjusted wealth quintile prior to receipt of inheritance is measured in 2002 for inheritances received in 2003</w:t>
      </w:r>
      <w:r w:rsidRPr="00AC1002">
        <w:noBreakHyphen/>
        <w:t>04 – 2005</w:t>
      </w:r>
      <w:r w:rsidRPr="00AC1002">
        <w:noBreakHyphen/>
        <w:t>06, 2006 for inheritances received in 2007</w:t>
      </w:r>
      <w:r w:rsidRPr="00AC1002">
        <w:noBreakHyphen/>
        <w:t>08 – 2009</w:t>
      </w:r>
      <w:r w:rsidRPr="00AC1002">
        <w:noBreakHyphen/>
        <w:t>10, and so on.</w:t>
      </w:r>
    </w:p>
    <w:p w14:paraId="1A3EDEC6" w14:textId="77777777" w:rsidR="00767353" w:rsidRDefault="00767353" w:rsidP="00767353">
      <w:pPr>
        <w:pStyle w:val="Source"/>
      </w:pPr>
      <w:r w:rsidRPr="00696447">
        <w:t xml:space="preserve">Source: </w:t>
      </w:r>
      <w:r>
        <w:t>Productivity Commission estimates based on HILDA Restricted Release 19.</w:t>
      </w:r>
    </w:p>
    <w:p w14:paraId="78F52459" w14:textId="77777777" w:rsidR="00767353" w:rsidRDefault="00767353" w:rsidP="00767353">
      <w:pPr>
        <w:pStyle w:val="BodyText"/>
      </w:pPr>
      <w:r>
        <w:t>In the case of gifts, using lifecycle</w:t>
      </w:r>
      <w:r>
        <w:noBreakHyphen/>
        <w:t>adjusted measures does not change the overall conclusions about the immediate</w:t>
      </w:r>
      <w:r>
        <w:noBreakHyphen/>
        <w:t>term effect of gifts on wealth inequality, but some differences are apparent. When the lifecycle</w:t>
      </w:r>
      <w:r>
        <w:noBreakHyphen/>
        <w:t>adjusted measures are adopted:</w:t>
      </w:r>
    </w:p>
    <w:p w14:paraId="6F80630A" w14:textId="77777777" w:rsidR="00767353" w:rsidRDefault="00767353" w:rsidP="00767353">
      <w:pPr>
        <w:pStyle w:val="ListBullet"/>
      </w:pPr>
      <w:r>
        <w:t>similar shares of wealthier and poorer people received gifts (figure B.7, panel a). This contrasts with the finding from chapter 2 that larger shares of poorer people received gifts than wealthier people. Hence, this aspect of the analysis in chapter 2 appears to be the result of distortionary lifecycle effects — gift recipients were typically aged under 30, and people aged under 30 were poorer on average.</w:t>
      </w:r>
    </w:p>
    <w:p w14:paraId="2B646873" w14:textId="77777777" w:rsidR="00767353" w:rsidRDefault="00767353" w:rsidP="00767353">
      <w:pPr>
        <w:pStyle w:val="ListBullet"/>
      </w:pPr>
      <w:r>
        <w:lastRenderedPageBreak/>
        <w:t>among those who received gifts, wealthier people usually received larger gifts (figure B.7, panel b), which is consistent with the finding in chapter 2.</w:t>
      </w:r>
    </w:p>
    <w:p w14:paraId="4607DA52" w14:textId="77777777" w:rsidR="00767353" w:rsidRDefault="00767353" w:rsidP="00767353">
      <w:pPr>
        <w:pStyle w:val="ListBullet"/>
      </w:pPr>
      <w:r>
        <w:t>as a corollary of these findings, gifts still had an inconclusive effect on absolute wealth inequality in the immediate term (figure B.7, panel c). That said, the effect is less inconclusive than that found in chapter 2, because the average gift received among the wealthiest quintile is highest, to a statistically significant threshold. There is suggestive evidence that gifts increased absolute wealth inequality in the immediate term when lifecycle</w:t>
      </w:r>
      <w:r>
        <w:noBreakHyphen/>
        <w:t>adjusted measures are used.</w:t>
      </w:r>
    </w:p>
    <w:p w14:paraId="364F4DC3" w14:textId="77777777" w:rsidR="00767353" w:rsidRDefault="00767353" w:rsidP="00767353">
      <w:pPr>
        <w:pStyle w:val="ListBullet"/>
      </w:pPr>
      <w:r>
        <w:t>gifts decreased relative wealth inequality in the immediate term (figure B.7, panel d), consistent with the corresponding finding in chapter 2.</w:t>
      </w:r>
    </w:p>
    <w:p w14:paraId="1B6700BE" w14:textId="76C890DD"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BD5080">
        <w:t>7</w:t>
      </w:r>
      <w:r>
        <w:rPr>
          <w:noProof/>
        </w:rPr>
        <w:t xml:space="preserve"> </w:t>
      </w:r>
      <w:r>
        <w:t>– Effects of gifts on lifecycle</w:t>
      </w:r>
      <w:r>
        <w:noBreakHyphen/>
        <w:t>adjusted wealth inequality</w:t>
      </w:r>
      <w:r w:rsidRPr="00066CF5">
        <w:rPr>
          <w:vertAlign w:val="superscript"/>
        </w:rPr>
        <w:t>a,b</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593E12" w14:paraId="4734A865" w14:textId="77777777" w:rsidTr="00604051">
        <w:trPr>
          <w:tblHeader/>
          <w:jc w:val="center"/>
        </w:trPr>
        <w:tc>
          <w:tcPr>
            <w:tcW w:w="2500" w:type="pct"/>
            <w:tcBorders>
              <w:top w:val="nil"/>
              <w:bottom w:val="nil"/>
            </w:tcBorders>
          </w:tcPr>
          <w:p w14:paraId="599436C3" w14:textId="0F49ED4C" w:rsidR="00767353" w:rsidRPr="00B83AD3" w:rsidRDefault="00767353" w:rsidP="00B83AD3">
            <w:pPr>
              <w:pStyle w:val="FigureTableSubheading"/>
              <w:numPr>
                <w:ilvl w:val="0"/>
                <w:numId w:val="50"/>
              </w:numPr>
              <w:rPr>
                <w:sz w:val="16"/>
                <w:szCs w:val="16"/>
              </w:rPr>
            </w:pPr>
            <w:r w:rsidRPr="00B83AD3">
              <w:rPr>
                <w:sz w:val="16"/>
                <w:szCs w:val="16"/>
              </w:rPr>
              <w:t xml:space="preserve">Share of people who received a gift in </w:t>
            </w:r>
            <w:r w:rsidR="00ED2BF1">
              <w:rPr>
                <w:sz w:val="16"/>
                <w:szCs w:val="16"/>
              </w:rPr>
              <w:t>a three</w:t>
            </w:r>
            <w:r w:rsidR="00ED2BF1">
              <w:rPr>
                <w:sz w:val="16"/>
                <w:szCs w:val="16"/>
              </w:rPr>
              <w:noBreakHyphen/>
              <w:t xml:space="preserve">year period, </w:t>
            </w:r>
            <w:r w:rsidRPr="00B83AD3">
              <w:rPr>
                <w:sz w:val="16"/>
                <w:szCs w:val="16"/>
              </w:rPr>
              <w:t>by initial lifecycle</w:t>
            </w:r>
            <w:r w:rsidRPr="00B83AD3">
              <w:rPr>
                <w:sz w:val="16"/>
                <w:szCs w:val="16"/>
              </w:rPr>
              <w:noBreakHyphen/>
              <w:t>adjusted wealth</w:t>
            </w:r>
          </w:p>
        </w:tc>
        <w:tc>
          <w:tcPr>
            <w:tcW w:w="2500" w:type="pct"/>
            <w:tcBorders>
              <w:top w:val="nil"/>
              <w:bottom w:val="nil"/>
            </w:tcBorders>
          </w:tcPr>
          <w:p w14:paraId="2605CA75" w14:textId="5DC69A78" w:rsidR="00767353" w:rsidRPr="00593E12" w:rsidRDefault="00767353" w:rsidP="00B83AD3">
            <w:pPr>
              <w:pStyle w:val="FigureTableSubheading"/>
              <w:numPr>
                <w:ilvl w:val="0"/>
                <w:numId w:val="50"/>
              </w:numPr>
              <w:rPr>
                <w:sz w:val="18"/>
              </w:rPr>
            </w:pPr>
            <w:r w:rsidRPr="00B83AD3">
              <w:rPr>
                <w:sz w:val="16"/>
                <w:szCs w:val="16"/>
              </w:rPr>
              <w:t>Average equivalised gift received among people who received a gift</w:t>
            </w:r>
            <w:r w:rsidR="00ED2BF1">
              <w:rPr>
                <w:sz w:val="16"/>
                <w:szCs w:val="16"/>
              </w:rPr>
              <w:t xml:space="preserve"> a three</w:t>
            </w:r>
            <w:r w:rsidR="00ED2BF1">
              <w:rPr>
                <w:sz w:val="16"/>
                <w:szCs w:val="16"/>
              </w:rPr>
              <w:noBreakHyphen/>
              <w:t>year period</w:t>
            </w:r>
            <w:r w:rsidRPr="00B83AD3">
              <w:rPr>
                <w:sz w:val="16"/>
                <w:szCs w:val="16"/>
              </w:rPr>
              <w:t>, by initial lifecycle</w:t>
            </w:r>
            <w:r w:rsidRPr="00B83AD3">
              <w:rPr>
                <w:sz w:val="16"/>
                <w:szCs w:val="16"/>
              </w:rPr>
              <w:noBreakHyphen/>
              <w:t>adjusted wealth</w:t>
            </w:r>
          </w:p>
        </w:tc>
      </w:tr>
      <w:tr w:rsidR="00767353" w:rsidRPr="00593E12" w14:paraId="19F0F5B1" w14:textId="77777777" w:rsidTr="00604051">
        <w:trPr>
          <w:tblHeader/>
          <w:jc w:val="center"/>
        </w:trPr>
        <w:tc>
          <w:tcPr>
            <w:tcW w:w="2500" w:type="pct"/>
            <w:tcBorders>
              <w:top w:val="nil"/>
              <w:bottom w:val="nil"/>
            </w:tcBorders>
          </w:tcPr>
          <w:p w14:paraId="4A2D05E1" w14:textId="10223525" w:rsidR="00767353" w:rsidRPr="00593E12" w:rsidRDefault="001C1677" w:rsidP="00604051">
            <w:pPr>
              <w:pStyle w:val="BodyText"/>
              <w:spacing w:before="0" w:after="0"/>
              <w:ind w:left="284" w:hanging="284"/>
              <w:rPr>
                <w:sz w:val="18"/>
                <w:szCs w:val="18"/>
              </w:rPr>
            </w:pPr>
            <w:r w:rsidRPr="001C1677">
              <w:rPr>
                <w:noProof/>
                <w:sz w:val="18"/>
                <w:szCs w:val="18"/>
              </w:rPr>
              <w:drawing>
                <wp:inline distT="0" distB="0" distL="0" distR="0" wp14:anchorId="0AF872CE" wp14:editId="66E62151">
                  <wp:extent cx="2987040" cy="2339340"/>
                  <wp:effectExtent l="0" t="0" r="3810" b="3810"/>
                  <wp:docPr id="266" name="Picture 266" descr="Figure B.7, panel a. This chart shows the share of people who received a gift in the year in question, by initial lifecycle adjusted wealth quintil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Figure B.7, panel a. This chart shows the share of people who received a gift in the year in question, by initial lifecycle adjusted wealth quintile. More details are contained in the text surrounding this figur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3C4764C0" w14:textId="18CCCA59" w:rsidR="00767353" w:rsidRPr="00593E12" w:rsidRDefault="008744F4" w:rsidP="00604051">
            <w:pPr>
              <w:pStyle w:val="BodyText"/>
              <w:spacing w:before="0" w:after="0"/>
              <w:ind w:left="284" w:hanging="284"/>
              <w:rPr>
                <w:sz w:val="18"/>
                <w:szCs w:val="18"/>
              </w:rPr>
            </w:pPr>
            <w:r w:rsidRPr="008744F4">
              <w:rPr>
                <w:noProof/>
                <w:sz w:val="18"/>
                <w:szCs w:val="18"/>
              </w:rPr>
              <w:drawing>
                <wp:inline distT="0" distB="0" distL="0" distR="0" wp14:anchorId="16A79369" wp14:editId="1325A1D0">
                  <wp:extent cx="2987040" cy="2339340"/>
                  <wp:effectExtent l="0" t="0" r="3810" b="3810"/>
                  <wp:docPr id="267" name="Picture 267" descr="Figure B.7, panel b. This chart shows average equivalised gift received among people who received a gift, by initial lifecycle adjuste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Figure B.7, panel b. This chart shows average equivalised gift received among people who received a gift, by initial lifecycle adjusted wealth. More details are contained in the text surrounding this figur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r w:rsidR="00767353" w:rsidRPr="00593E12" w14:paraId="4BFDBB3A" w14:textId="77777777" w:rsidTr="00604051">
        <w:trPr>
          <w:tblHeader/>
          <w:jc w:val="center"/>
        </w:trPr>
        <w:tc>
          <w:tcPr>
            <w:tcW w:w="2500" w:type="pct"/>
            <w:tcBorders>
              <w:top w:val="nil"/>
              <w:bottom w:val="nil"/>
            </w:tcBorders>
          </w:tcPr>
          <w:p w14:paraId="4C0E35E8" w14:textId="70A02630" w:rsidR="00767353" w:rsidRPr="00B83AD3" w:rsidRDefault="00767353" w:rsidP="00B83AD3">
            <w:pPr>
              <w:pStyle w:val="FigureTableSubheading"/>
              <w:numPr>
                <w:ilvl w:val="0"/>
                <w:numId w:val="50"/>
              </w:numPr>
              <w:rPr>
                <w:sz w:val="16"/>
                <w:szCs w:val="16"/>
              </w:rPr>
            </w:pPr>
            <w:r w:rsidRPr="00B83AD3">
              <w:rPr>
                <w:sz w:val="16"/>
                <w:szCs w:val="16"/>
              </w:rPr>
              <w:t>Average equivalised gift received among all people</w:t>
            </w:r>
            <w:r w:rsidR="00ED2BF1">
              <w:rPr>
                <w:sz w:val="16"/>
                <w:szCs w:val="16"/>
              </w:rPr>
              <w:t xml:space="preserve"> in a three</w:t>
            </w:r>
            <w:r w:rsidR="00ED2BF1">
              <w:rPr>
                <w:sz w:val="16"/>
                <w:szCs w:val="16"/>
              </w:rPr>
              <w:noBreakHyphen/>
              <w:t>year period</w:t>
            </w:r>
            <w:r w:rsidRPr="00B83AD3">
              <w:rPr>
                <w:sz w:val="16"/>
                <w:szCs w:val="16"/>
              </w:rPr>
              <w:t>, by initial lifecycle</w:t>
            </w:r>
            <w:r w:rsidRPr="00B83AD3">
              <w:rPr>
                <w:sz w:val="16"/>
                <w:szCs w:val="16"/>
              </w:rPr>
              <w:noBreakHyphen/>
              <w:t>adjusted wealth</w:t>
            </w:r>
          </w:p>
        </w:tc>
        <w:tc>
          <w:tcPr>
            <w:tcW w:w="2500" w:type="pct"/>
            <w:tcBorders>
              <w:top w:val="nil"/>
              <w:bottom w:val="nil"/>
            </w:tcBorders>
          </w:tcPr>
          <w:p w14:paraId="5836DE5F" w14:textId="47F90604" w:rsidR="00767353" w:rsidRPr="00335C09" w:rsidRDefault="00767353" w:rsidP="00B83AD3">
            <w:pPr>
              <w:pStyle w:val="FigureTableSubheading"/>
              <w:numPr>
                <w:ilvl w:val="0"/>
                <w:numId w:val="50"/>
              </w:numPr>
              <w:rPr>
                <w:spacing w:val="-4"/>
                <w:sz w:val="18"/>
              </w:rPr>
            </w:pPr>
            <w:r w:rsidRPr="00335C09">
              <w:rPr>
                <w:spacing w:val="-4"/>
                <w:sz w:val="16"/>
                <w:szCs w:val="16"/>
              </w:rPr>
              <w:t xml:space="preserve">Average equivalised gift received among all people </w:t>
            </w:r>
            <w:r w:rsidR="00ED2BF1" w:rsidRPr="00335C09">
              <w:rPr>
                <w:spacing w:val="-4"/>
                <w:sz w:val="16"/>
                <w:szCs w:val="16"/>
              </w:rPr>
              <w:t>in a three</w:t>
            </w:r>
            <w:r w:rsidR="00ED2BF1" w:rsidRPr="00335C09">
              <w:rPr>
                <w:spacing w:val="-4"/>
                <w:sz w:val="16"/>
                <w:szCs w:val="16"/>
              </w:rPr>
              <w:noBreakHyphen/>
              <w:t>year period</w:t>
            </w:r>
            <w:r w:rsidRPr="00335C09">
              <w:rPr>
                <w:spacing w:val="-4"/>
                <w:sz w:val="16"/>
                <w:szCs w:val="16"/>
              </w:rPr>
              <w:t xml:space="preserve"> as a share of initial wealth, by initial lifecycle</w:t>
            </w:r>
            <w:r w:rsidRPr="00335C09">
              <w:rPr>
                <w:spacing w:val="-4"/>
                <w:sz w:val="16"/>
                <w:szCs w:val="16"/>
              </w:rPr>
              <w:noBreakHyphen/>
              <w:t>adjusted wealth</w:t>
            </w:r>
          </w:p>
        </w:tc>
      </w:tr>
      <w:tr w:rsidR="00767353" w:rsidRPr="00593E12" w14:paraId="51FD8651" w14:textId="77777777" w:rsidTr="00604051">
        <w:trPr>
          <w:tblHeader/>
          <w:jc w:val="center"/>
        </w:trPr>
        <w:tc>
          <w:tcPr>
            <w:tcW w:w="2500" w:type="pct"/>
            <w:tcBorders>
              <w:top w:val="nil"/>
              <w:bottom w:val="nil"/>
            </w:tcBorders>
          </w:tcPr>
          <w:p w14:paraId="60047C4E" w14:textId="0B68F986" w:rsidR="00767353" w:rsidRPr="00593E12" w:rsidRDefault="00C67F92" w:rsidP="00604051">
            <w:pPr>
              <w:pStyle w:val="BodyText"/>
              <w:spacing w:before="0" w:after="0"/>
              <w:ind w:left="284" w:hanging="284"/>
              <w:rPr>
                <w:sz w:val="18"/>
                <w:szCs w:val="18"/>
              </w:rPr>
            </w:pPr>
            <w:r w:rsidRPr="00C67F92">
              <w:rPr>
                <w:noProof/>
                <w:sz w:val="18"/>
                <w:szCs w:val="18"/>
              </w:rPr>
              <w:drawing>
                <wp:inline distT="0" distB="0" distL="0" distR="0" wp14:anchorId="63178D39" wp14:editId="0B3D71C7">
                  <wp:extent cx="2987040" cy="2339340"/>
                  <wp:effectExtent l="0" t="0" r="3810" b="3810"/>
                  <wp:docPr id="268" name="Picture 268" descr="Figure B.7, panel c. This chart shows average equivalised gift received among all people, by initial lifecycle adjuste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B.7, panel c. This chart shows average equivalised gift received among all people, by initial lifecycle adjusted wealth. More details are contained in the text surrounding this figur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2721AD2E" w14:textId="29C73CEF" w:rsidR="00767353" w:rsidRPr="00593E12" w:rsidRDefault="004E51B4" w:rsidP="00604051">
            <w:pPr>
              <w:pStyle w:val="BodyText"/>
              <w:spacing w:before="0" w:after="0"/>
              <w:ind w:left="284" w:hanging="284"/>
              <w:rPr>
                <w:sz w:val="18"/>
                <w:szCs w:val="18"/>
              </w:rPr>
            </w:pPr>
            <w:r w:rsidRPr="004E51B4">
              <w:rPr>
                <w:noProof/>
                <w:sz w:val="18"/>
                <w:szCs w:val="18"/>
              </w:rPr>
              <w:drawing>
                <wp:inline distT="0" distB="0" distL="0" distR="0" wp14:anchorId="3F868CC6" wp14:editId="2C5B75D4">
                  <wp:extent cx="2987040" cy="2339340"/>
                  <wp:effectExtent l="0" t="0" r="3810" b="3810"/>
                  <wp:docPr id="269" name="Picture 269" descr="Figure B.7, panel d. This chart shows the average equivalised gift received among all people as a share of initial wealth, by initial lifecycle adjusted wealth.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B.7, panel d. This chart shows the average equivalised gift received among all people as a share of initial wealth, by initial lifecycle adjusted wealth. More details are contained in the text surrounding this figur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0616ABA5" w14:textId="77777777" w:rsidR="00767353" w:rsidRDefault="00767353" w:rsidP="00767353">
      <w:pPr>
        <w:pStyle w:val="Note"/>
        <w:keepLines/>
      </w:pPr>
      <w:r w:rsidRPr="00180E66">
        <w:rPr>
          <w:b/>
          <w:bCs/>
        </w:rPr>
        <w:t>a.</w:t>
      </w:r>
      <w:r>
        <w:t xml:space="preserve"> E</w:t>
      </w:r>
      <w:r w:rsidRPr="00593E12">
        <w:t>rror bars represent 95 per cent confidence intervals.</w:t>
      </w:r>
      <w:r>
        <w:t xml:space="preserve"> </w:t>
      </w:r>
      <w:r w:rsidRPr="00593E12">
        <w:rPr>
          <w:b/>
        </w:rPr>
        <w:t>b</w:t>
      </w:r>
      <w:r>
        <w:rPr>
          <w:b/>
        </w:rPr>
        <w:t>.</w:t>
      </w:r>
      <w:r w:rsidRPr="00593E12">
        <w:t xml:space="preserve"> Wealth quintile prior to receipt of gift is measured in 2002 for gifts received in 2003</w:t>
      </w:r>
      <w:r w:rsidRPr="00593E12">
        <w:noBreakHyphen/>
        <w:t>04 – 2005</w:t>
      </w:r>
      <w:r w:rsidRPr="00593E12">
        <w:noBreakHyphen/>
        <w:t>06, 2006 for gifts received in 2007</w:t>
      </w:r>
      <w:r w:rsidRPr="00593E12">
        <w:noBreakHyphen/>
        <w:t>08 – 2009</w:t>
      </w:r>
      <w:r w:rsidRPr="00593E12">
        <w:noBreakHyphen/>
        <w:t>10, and so on.</w:t>
      </w:r>
    </w:p>
    <w:p w14:paraId="2EC380BB" w14:textId="77777777" w:rsidR="00767353" w:rsidRDefault="00767353" w:rsidP="00767353">
      <w:pPr>
        <w:pStyle w:val="Source"/>
      </w:pPr>
      <w:r w:rsidRPr="00696447">
        <w:t xml:space="preserve">Source: </w:t>
      </w:r>
      <w:r>
        <w:t>Productivity Commission estimates based on HILDA Restricted Release 19.</w:t>
      </w:r>
    </w:p>
    <w:p w14:paraId="1D2E4AB8" w14:textId="77777777" w:rsidR="00767353" w:rsidRDefault="00767353" w:rsidP="00132C71">
      <w:pPr>
        <w:pStyle w:val="Heading2-Appendix"/>
      </w:pPr>
      <w:r>
        <w:lastRenderedPageBreak/>
        <w:t>International comparisons of the immediate</w:t>
      </w:r>
      <w:r>
        <w:noBreakHyphen/>
        <w:t>term effect of wealth transfers on wealth inequality</w:t>
      </w:r>
    </w:p>
    <w:p w14:paraId="13F544F2" w14:textId="77777777" w:rsidR="00767353" w:rsidRDefault="00767353" w:rsidP="00767353">
      <w:pPr>
        <w:pStyle w:val="BodyText"/>
      </w:pPr>
      <w:r>
        <w:t>Chapter 2 compares the extent to which wealth transfers reduced relative wealth inequality in Australia to that in other countries. It finds that wealth transfers reduced relative wealth inequality in all studied countries in the immediate term, but the reduction was smaller in Australia than in all studied countries except for the United States, where it was slightly smaller than in Australia. Table B.7 provides more detailed information about these comparisons. Note that, while each estimate measures the effect on wealth inequality of previously received wealth transfers often stretching back many years, the estimates are more akin to ‘immediate</w:t>
      </w:r>
      <w:r>
        <w:noBreakHyphen/>
        <w:t>term’ than ‘longer</w:t>
      </w:r>
      <w:r>
        <w:noBreakHyphen/>
        <w:t>term’ effects as described in chapter 2, as they are based on an underlying assumption of no behavioural response to wealth transfer receipt.</w:t>
      </w:r>
    </w:p>
    <w:p w14:paraId="4362B20F" w14:textId="18378D81" w:rsidR="00767353" w:rsidRDefault="00767353" w:rsidP="00767353">
      <w:pPr>
        <w:pStyle w:val="FigureTableHeading"/>
      </w:pPr>
      <w:r>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4144FD">
        <w:t>7</w:t>
      </w:r>
      <w:r>
        <w:rPr>
          <w:noProof/>
        </w:rPr>
        <w:t xml:space="preserve"> – </w:t>
      </w:r>
      <w:r>
        <w:t>Estimates underpinning figure 2.6</w:t>
      </w:r>
      <w:r w:rsidRPr="00EC0C27">
        <w:rPr>
          <w:vertAlign w:val="superscript"/>
        </w:rPr>
        <w:t>a,b</w:t>
      </w:r>
      <w:r>
        <w:rPr>
          <w:vertAlign w:val="superscript"/>
        </w:rPr>
        <w:t>,c</w:t>
      </w:r>
    </w:p>
    <w:p w14:paraId="3C55C17E" w14:textId="77777777" w:rsidR="00767353" w:rsidRPr="00B83AD3" w:rsidRDefault="00767353" w:rsidP="004144FD">
      <w:pPr>
        <w:pStyle w:val="FigureTableSubheading"/>
        <w:spacing w:after="0"/>
        <w:rPr>
          <w:sz w:val="18"/>
          <w:szCs w:val="16"/>
        </w:rPr>
      </w:pPr>
      <w:r w:rsidRPr="00B83AD3">
        <w:rPr>
          <w:sz w:val="18"/>
          <w:szCs w:val="16"/>
        </w:rPr>
        <w:t>Comparison of studies of the effect of transfers on the wealth distribution in other countries and in Australia</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300"/>
        <w:gridCol w:w="1741"/>
        <w:gridCol w:w="2901"/>
        <w:gridCol w:w="2903"/>
      </w:tblGrid>
      <w:tr w:rsidR="00767353" w:rsidRPr="00AF3291" w14:paraId="70E1D2C1" w14:textId="77777777" w:rsidTr="00604051">
        <w:trPr>
          <w:tblHeader/>
        </w:trPr>
        <w:tc>
          <w:tcPr>
            <w:tcW w:w="1300" w:type="dxa"/>
            <w:tcBorders>
              <w:bottom w:val="single" w:sz="4" w:space="0" w:color="B3B3B3"/>
            </w:tcBorders>
            <w:shd w:val="clear" w:color="auto" w:fill="auto"/>
            <w:tcMar>
              <w:top w:w="28" w:type="dxa"/>
            </w:tcMar>
            <w:vAlign w:val="bottom"/>
          </w:tcPr>
          <w:p w14:paraId="40ECC2A9" w14:textId="77777777" w:rsidR="00767353" w:rsidRPr="00AF3291" w:rsidRDefault="00767353" w:rsidP="00604051">
            <w:pPr>
              <w:pStyle w:val="TableColumnHeading"/>
              <w:spacing w:before="45" w:after="45"/>
              <w:ind w:left="57" w:right="108"/>
              <w:jc w:val="left"/>
              <w:rPr>
                <w:rFonts w:ascii="Arial (Body)" w:hAnsi="Arial (Body)"/>
                <w:b/>
                <w:i w:val="0"/>
                <w:color w:val="265A9A"/>
              </w:rPr>
            </w:pPr>
            <w:r w:rsidRPr="00AF3291">
              <w:rPr>
                <w:rFonts w:ascii="Arial (Body)" w:hAnsi="Arial (Body)"/>
                <w:b/>
                <w:i w:val="0"/>
                <w:color w:val="265A9A"/>
              </w:rPr>
              <w:t>Country</w:t>
            </w:r>
          </w:p>
        </w:tc>
        <w:tc>
          <w:tcPr>
            <w:tcW w:w="1741" w:type="dxa"/>
            <w:tcBorders>
              <w:bottom w:val="single" w:sz="4" w:space="0" w:color="B3B3B3"/>
            </w:tcBorders>
            <w:shd w:val="clear" w:color="auto" w:fill="auto"/>
            <w:vAlign w:val="bottom"/>
          </w:tcPr>
          <w:p w14:paraId="55F49699" w14:textId="77777777" w:rsidR="00767353" w:rsidRPr="00AF3291" w:rsidRDefault="00767353" w:rsidP="00604051">
            <w:pPr>
              <w:pStyle w:val="TableColumnHeading"/>
              <w:spacing w:before="45" w:after="45"/>
              <w:ind w:left="57" w:right="108"/>
              <w:jc w:val="left"/>
              <w:rPr>
                <w:rFonts w:ascii="Arial (Body)" w:hAnsi="Arial (Body)"/>
                <w:b/>
                <w:i w:val="0"/>
                <w:color w:val="265A9A"/>
              </w:rPr>
            </w:pPr>
            <w:r w:rsidRPr="00AF3291">
              <w:rPr>
                <w:rFonts w:ascii="Arial (Body)" w:hAnsi="Arial (Body)"/>
                <w:b/>
                <w:i w:val="0"/>
                <w:color w:val="265A9A"/>
              </w:rPr>
              <w:t>Study</w:t>
            </w:r>
          </w:p>
        </w:tc>
        <w:tc>
          <w:tcPr>
            <w:tcW w:w="2901" w:type="dxa"/>
            <w:tcBorders>
              <w:bottom w:val="single" w:sz="4" w:space="0" w:color="B3B3B3"/>
            </w:tcBorders>
            <w:shd w:val="clear" w:color="auto" w:fill="auto"/>
            <w:tcMar>
              <w:top w:w="28" w:type="dxa"/>
            </w:tcMar>
            <w:vAlign w:val="bottom"/>
          </w:tcPr>
          <w:p w14:paraId="2342572E" w14:textId="77777777" w:rsidR="00767353" w:rsidRPr="00AF3291" w:rsidRDefault="00767353" w:rsidP="00604051">
            <w:pPr>
              <w:pStyle w:val="TableColumnHeading"/>
              <w:spacing w:before="45" w:after="45"/>
              <w:ind w:left="57" w:right="108"/>
              <w:jc w:val="left"/>
              <w:rPr>
                <w:rFonts w:ascii="Arial (Body)" w:hAnsi="Arial (Body)"/>
                <w:b/>
                <w:i w:val="0"/>
                <w:color w:val="265A9A"/>
              </w:rPr>
            </w:pPr>
            <w:r w:rsidRPr="00AF3291">
              <w:rPr>
                <w:rFonts w:ascii="Arial (Body)" w:hAnsi="Arial (Body)"/>
                <w:b/>
                <w:i w:val="0"/>
                <w:color w:val="265A9A"/>
              </w:rPr>
              <w:t>Estimate about the effect of wealth transfers</w:t>
            </w:r>
          </w:p>
        </w:tc>
        <w:tc>
          <w:tcPr>
            <w:tcW w:w="2903" w:type="dxa"/>
            <w:tcBorders>
              <w:bottom w:val="single" w:sz="4" w:space="0" w:color="B3B3B3"/>
            </w:tcBorders>
            <w:shd w:val="clear" w:color="auto" w:fill="auto"/>
            <w:tcMar>
              <w:top w:w="28" w:type="dxa"/>
            </w:tcMar>
            <w:vAlign w:val="bottom"/>
          </w:tcPr>
          <w:p w14:paraId="43175342" w14:textId="77777777" w:rsidR="00767353" w:rsidRPr="00AF3291" w:rsidRDefault="00767353" w:rsidP="00604051">
            <w:pPr>
              <w:pStyle w:val="TableColumnHeading"/>
              <w:spacing w:before="45" w:after="45"/>
              <w:ind w:left="57" w:right="108"/>
              <w:jc w:val="left"/>
              <w:rPr>
                <w:rFonts w:ascii="Arial (Body)" w:hAnsi="Arial (Body)"/>
                <w:b/>
                <w:i w:val="0"/>
                <w:color w:val="265A9A"/>
              </w:rPr>
            </w:pPr>
            <w:r w:rsidRPr="00AF3291">
              <w:rPr>
                <w:rFonts w:ascii="Arial (Body)" w:hAnsi="Arial (Body)"/>
                <w:b/>
                <w:i w:val="0"/>
                <w:color w:val="265A9A"/>
              </w:rPr>
              <w:t>Most comparable estimate for Australia</w:t>
            </w:r>
          </w:p>
        </w:tc>
      </w:tr>
      <w:tr w:rsidR="00767353" w:rsidRPr="00AF3291" w14:paraId="349B9A3F" w14:textId="77777777" w:rsidTr="00604051">
        <w:tc>
          <w:tcPr>
            <w:tcW w:w="1300" w:type="dxa"/>
            <w:tcBorders>
              <w:top w:val="single" w:sz="4" w:space="0" w:color="B3B3B3"/>
              <w:bottom w:val="nil"/>
            </w:tcBorders>
            <w:shd w:val="clear" w:color="auto" w:fill="F1F1F1"/>
          </w:tcPr>
          <w:p w14:paraId="225F36C4" w14:textId="77777777" w:rsidR="00767353" w:rsidRPr="00AF3291" w:rsidRDefault="00767353" w:rsidP="00604051">
            <w:pPr>
              <w:pStyle w:val="TableBodyText"/>
              <w:spacing w:before="45" w:after="45"/>
              <w:ind w:left="57" w:right="108"/>
              <w:jc w:val="left"/>
              <w:rPr>
                <w:rFonts w:ascii="Arial (Body)" w:hAnsi="Arial (Body)"/>
                <w:b/>
                <w:color w:val="265A9A"/>
              </w:rPr>
            </w:pPr>
            <w:r w:rsidRPr="00AF3291">
              <w:rPr>
                <w:rFonts w:ascii="Arial (Body)" w:hAnsi="Arial (Body)"/>
                <w:b/>
                <w:color w:val="265A9A"/>
              </w:rPr>
              <w:t>Britain</w:t>
            </w:r>
          </w:p>
        </w:tc>
        <w:tc>
          <w:tcPr>
            <w:tcW w:w="1741" w:type="dxa"/>
            <w:tcBorders>
              <w:top w:val="single" w:sz="4" w:space="0" w:color="B3B3B3"/>
              <w:bottom w:val="nil"/>
            </w:tcBorders>
            <w:shd w:val="clear" w:color="auto" w:fill="F1F1F1"/>
          </w:tcPr>
          <w:p w14:paraId="39C4D266" w14:textId="6ABBADB2" w:rsidR="00767353" w:rsidRPr="00AF3291" w:rsidRDefault="00767353" w:rsidP="00604051">
            <w:pPr>
              <w:pStyle w:val="TableBodyText"/>
              <w:spacing w:before="45" w:after="45"/>
              <w:ind w:left="57" w:right="108"/>
              <w:jc w:val="left"/>
              <w:rPr>
                <w:rFonts w:ascii="Arial (Body)" w:hAnsi="Arial (Body)"/>
                <w:color w:val="000000"/>
                <w:spacing w:val="-4"/>
              </w:rPr>
            </w:pPr>
            <w:r w:rsidRPr="00AF3291">
              <w:rPr>
                <w:rFonts w:ascii="Arial (Body)" w:hAnsi="Arial (Body)"/>
                <w:color w:val="000000"/>
                <w:spacing w:val="-4"/>
              </w:rPr>
              <w:t>Karagiannaki </w:t>
            </w:r>
            <w:r w:rsidRPr="00AF3291">
              <w:rPr>
                <w:rFonts w:ascii="Arial (Body)" w:hAnsi="Arial (Body)"/>
                <w:color w:val="000000"/>
                <w:spacing w:val="-4"/>
              </w:rPr>
              <w:fldChar w:fldCharType="begin"/>
            </w:r>
            <w:r w:rsidR="0047772E">
              <w:rPr>
                <w:rFonts w:ascii="Arial (Body)" w:hAnsi="Arial (Body)"/>
                <w:color w:val="000000"/>
                <w:spacing w:val="-4"/>
              </w:rPr>
              <w:instrText xml:space="preserve"> ADDIN ZOTERO_ITEM CSL_CITATION {"citationID":"Tl4ctI6m","properties":{"formattedCitation":"(2017)","plainCitation":"(2017)","noteIndex":0},"citationItems":[{"id":1568,"uris":["http://zotero.org/groups/2714158/items/BKN7LA8J"],"uri":["http://zotero.org/groups/2714158/items/BKN7LA8J"],"itemData":{"id":1568,"type":"article-journal","container-title":"Review of Income and Wealth","issue":"2","page":"394</w:instrText>
            </w:r>
            <w:r w:rsidR="0047772E">
              <w:rPr>
                <w:rFonts w:ascii="Arial (Body)" w:hAnsi="Arial (Body)" w:hint="eastAsia"/>
                <w:color w:val="000000"/>
                <w:spacing w:val="-4"/>
              </w:rPr>
              <w:instrText>–</w:instrText>
            </w:r>
            <w:r w:rsidR="0047772E">
              <w:rPr>
                <w:rFonts w:ascii="Arial (Body)" w:hAnsi="Arial (Body)"/>
                <w:color w:val="000000"/>
                <w:spacing w:val="-4"/>
              </w:rPr>
              <w:instrText xml:space="preserve">408","source":"Google Scholar","title":"The impact of inheritance on the distribution of wealth: Evidence from Great Britain","title-short":"The impact of inheritance on the distribution of wealth","volume":"63","author":[{"family":"Karagiannaki","given":"Eleni"}],"issued":{"date-parts":[["2017"]]}},"suppress-author":true}],"schema":"https://github.com/citation-style-language/schema/raw/master/csl-citation.json"} </w:instrText>
            </w:r>
            <w:r w:rsidRPr="00AF3291">
              <w:rPr>
                <w:rFonts w:ascii="Arial (Body)" w:hAnsi="Arial (Body)"/>
                <w:color w:val="000000"/>
                <w:spacing w:val="-4"/>
              </w:rPr>
              <w:fldChar w:fldCharType="separate"/>
            </w:r>
            <w:r w:rsidRPr="00AF3291">
              <w:rPr>
                <w:rFonts w:ascii="Arial (Body)" w:hAnsi="Arial (Body)" w:cs="Arial"/>
                <w:color w:val="000000"/>
                <w:spacing w:val="-4"/>
              </w:rPr>
              <w:t>(2017)</w:t>
            </w:r>
            <w:r w:rsidRPr="00AF3291">
              <w:rPr>
                <w:rFonts w:ascii="Arial (Body)" w:hAnsi="Arial (Body)"/>
                <w:color w:val="000000"/>
                <w:spacing w:val="-4"/>
              </w:rPr>
              <w:fldChar w:fldCharType="end"/>
            </w:r>
          </w:p>
        </w:tc>
        <w:tc>
          <w:tcPr>
            <w:tcW w:w="2901" w:type="dxa"/>
            <w:tcBorders>
              <w:top w:val="single" w:sz="4" w:space="0" w:color="B3B3B3"/>
              <w:bottom w:val="nil"/>
            </w:tcBorders>
            <w:shd w:val="clear" w:color="auto" w:fill="F1F1F1"/>
          </w:tcPr>
          <w:p w14:paraId="4EC85AB0"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Inheritances received between 1995 and 2005 reduced the share of household wealth held by the wealthiest 20 per cent of households in 2005 by 0.71 per cent.</w:t>
            </w:r>
          </w:p>
        </w:tc>
        <w:tc>
          <w:tcPr>
            <w:tcW w:w="2903" w:type="dxa"/>
            <w:tcBorders>
              <w:top w:val="single" w:sz="4" w:space="0" w:color="B3B3B3"/>
              <w:bottom w:val="nil"/>
            </w:tcBorders>
            <w:shd w:val="clear" w:color="auto" w:fill="F1F1F1"/>
          </w:tcPr>
          <w:p w14:paraId="774BDE49"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Inheritances received between 2001</w:t>
            </w:r>
            <w:r w:rsidRPr="00AF3291">
              <w:rPr>
                <w:rFonts w:ascii="Arial (Body)" w:hAnsi="Arial (Body)"/>
                <w:color w:val="000000"/>
              </w:rPr>
              <w:noBreakHyphen/>
              <w:t>02 and 2010</w:t>
            </w:r>
            <w:r w:rsidRPr="00AF3291">
              <w:rPr>
                <w:rFonts w:ascii="Arial (Body)" w:hAnsi="Arial (Body)"/>
                <w:color w:val="000000"/>
              </w:rPr>
              <w:noBreakHyphen/>
              <w:t>11 reduced the share of household wealth held by the wealthiest 20 per cent of households in mid</w:t>
            </w:r>
            <w:r w:rsidRPr="00AF3291">
              <w:rPr>
                <w:rFonts w:ascii="Arial (Body)" w:hAnsi="Arial (Body)"/>
                <w:color w:val="000000"/>
              </w:rPr>
              <w:noBreakHyphen/>
              <w:t>2010 by 0.36 per cent.</w:t>
            </w:r>
          </w:p>
        </w:tc>
      </w:tr>
      <w:tr w:rsidR="00767353" w:rsidRPr="00AF3291" w14:paraId="16DC519E" w14:textId="77777777" w:rsidTr="00604051">
        <w:tc>
          <w:tcPr>
            <w:tcW w:w="1300" w:type="dxa"/>
            <w:tcBorders>
              <w:top w:val="nil"/>
              <w:bottom w:val="nil"/>
            </w:tcBorders>
            <w:shd w:val="clear" w:color="auto" w:fill="auto"/>
          </w:tcPr>
          <w:p w14:paraId="507922F3" w14:textId="77777777" w:rsidR="00767353" w:rsidRPr="00AF3291" w:rsidRDefault="00767353" w:rsidP="00604051">
            <w:pPr>
              <w:pStyle w:val="TableBodyText"/>
              <w:spacing w:before="45" w:after="45"/>
              <w:ind w:left="57" w:right="108"/>
              <w:jc w:val="left"/>
              <w:rPr>
                <w:rStyle w:val="NoteLabel"/>
                <w:rFonts w:ascii="Arial (Body)" w:eastAsiaTheme="majorEastAsia" w:hAnsi="Arial (Body)" w:hint="eastAsia"/>
                <w:b w:val="0"/>
                <w:color w:val="265A9A"/>
              </w:rPr>
            </w:pPr>
            <w:r w:rsidRPr="00AF3291">
              <w:rPr>
                <w:rFonts w:ascii="Arial (Body)" w:hAnsi="Arial (Body)"/>
                <w:b/>
                <w:color w:val="265A9A"/>
              </w:rPr>
              <w:t>Britain</w:t>
            </w:r>
            <w:r w:rsidRPr="00AF3291">
              <w:rPr>
                <w:rFonts w:ascii="Arial (Body)" w:hAnsi="Arial (Body)"/>
                <w:b/>
                <w:color w:val="265A9A"/>
                <w:vertAlign w:val="superscript"/>
              </w:rPr>
              <w:t>a</w:t>
            </w:r>
          </w:p>
        </w:tc>
        <w:tc>
          <w:tcPr>
            <w:tcW w:w="1741" w:type="dxa"/>
            <w:tcBorders>
              <w:top w:val="nil"/>
              <w:bottom w:val="nil"/>
            </w:tcBorders>
            <w:shd w:val="clear" w:color="auto" w:fill="auto"/>
          </w:tcPr>
          <w:p w14:paraId="523EA9BB" w14:textId="5E8844EE"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Nolan et al. </w:t>
            </w:r>
            <w:r w:rsidRPr="00AF3291">
              <w:rPr>
                <w:rFonts w:ascii="Arial (Body)" w:hAnsi="Arial (Body)"/>
                <w:color w:val="000000"/>
              </w:rPr>
              <w:fldChar w:fldCharType="begin"/>
            </w:r>
            <w:r w:rsidR="0047772E">
              <w:rPr>
                <w:rFonts w:ascii="Arial (Body)" w:hAnsi="Arial (Body)"/>
                <w:color w:val="000000"/>
              </w:rPr>
              <w:instrText xml:space="preserve"> ADDIN ZOTERO_ITEM CSL_CITATION {"citationID":"3puE8ycU","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AF3291">
              <w:rPr>
                <w:rFonts w:ascii="Arial (Body)" w:hAnsi="Arial (Body)"/>
                <w:color w:val="000000"/>
              </w:rPr>
              <w:fldChar w:fldCharType="separate"/>
            </w:r>
            <w:r w:rsidRPr="00AF3291">
              <w:rPr>
                <w:rFonts w:ascii="Arial (Body)" w:hAnsi="Arial (Body)" w:cs="Arial"/>
                <w:color w:val="000000"/>
              </w:rPr>
              <w:t>(2021)</w:t>
            </w:r>
            <w:r w:rsidRPr="00AF3291">
              <w:rPr>
                <w:rFonts w:ascii="Arial (Body)" w:hAnsi="Arial (Body)"/>
                <w:color w:val="000000"/>
              </w:rPr>
              <w:fldChar w:fldCharType="end"/>
            </w:r>
          </w:p>
        </w:tc>
        <w:tc>
          <w:tcPr>
            <w:tcW w:w="2901" w:type="dxa"/>
            <w:tcBorders>
              <w:top w:val="nil"/>
              <w:bottom w:val="nil"/>
            </w:tcBorders>
            <w:shd w:val="clear" w:color="auto" w:fill="auto"/>
          </w:tcPr>
          <w:p w14:paraId="49024286"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Lifetime inheritances and gifts received between 2005 and 2011 reduced the 2011 Gini coefficient of household wealth inequality by 2.91 per cent</w:t>
            </w:r>
          </w:p>
        </w:tc>
        <w:tc>
          <w:tcPr>
            <w:tcW w:w="2903" w:type="dxa"/>
            <w:tcBorders>
              <w:top w:val="nil"/>
              <w:bottom w:val="nil"/>
            </w:tcBorders>
            <w:shd w:val="clear" w:color="auto" w:fill="auto"/>
          </w:tcPr>
          <w:p w14:paraId="76BEF57A"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Gifts received between 2012</w:t>
            </w:r>
            <w:r w:rsidRPr="00AF3291">
              <w:rPr>
                <w:rFonts w:ascii="Arial (Body)" w:hAnsi="Arial (Body)"/>
                <w:color w:val="000000"/>
              </w:rPr>
              <w:noBreakHyphen/>
              <w:t>13 and 2017</w:t>
            </w:r>
            <w:r w:rsidRPr="00AF3291">
              <w:rPr>
                <w:rFonts w:ascii="Arial (Body)" w:hAnsi="Arial (Body)"/>
                <w:color w:val="000000"/>
              </w:rPr>
              <w:noBreakHyphen/>
              <w:t>18 and inheritances received between 2000</w:t>
            </w:r>
            <w:r w:rsidRPr="00AF3291">
              <w:rPr>
                <w:rFonts w:ascii="Arial (Body)" w:hAnsi="Arial (Body)"/>
                <w:color w:val="000000"/>
              </w:rPr>
              <w:noBreakHyphen/>
              <w:t>01 and 2017</w:t>
            </w:r>
            <w:r w:rsidRPr="00AF3291">
              <w:rPr>
                <w:rFonts w:ascii="Arial (Body)" w:hAnsi="Arial (Body)"/>
                <w:color w:val="000000"/>
              </w:rPr>
              <w:noBreakHyphen/>
              <w:t>18 reduced the mid</w:t>
            </w:r>
            <w:r w:rsidRPr="00AF3291">
              <w:rPr>
                <w:rFonts w:ascii="Arial (Body)" w:hAnsi="Arial (Body)"/>
                <w:color w:val="000000"/>
              </w:rPr>
              <w:noBreakHyphen/>
              <w:t>2018 Gini coefficient of household wealth inequality by 1.50 per cent</w:t>
            </w:r>
          </w:p>
        </w:tc>
      </w:tr>
      <w:tr w:rsidR="00767353" w:rsidRPr="00AF3291" w14:paraId="5E237F53" w14:textId="77777777" w:rsidTr="00604051">
        <w:tc>
          <w:tcPr>
            <w:tcW w:w="1300" w:type="dxa"/>
            <w:tcBorders>
              <w:bottom w:val="nil"/>
            </w:tcBorders>
            <w:shd w:val="clear" w:color="auto" w:fill="F1F1F1"/>
          </w:tcPr>
          <w:p w14:paraId="1D33DD76" w14:textId="77777777" w:rsidR="00767353" w:rsidRPr="00AF3291" w:rsidRDefault="00767353" w:rsidP="00604051">
            <w:pPr>
              <w:pStyle w:val="TableBodyText"/>
              <w:spacing w:before="45" w:after="45"/>
              <w:ind w:left="57" w:right="108"/>
              <w:jc w:val="left"/>
              <w:rPr>
                <w:rStyle w:val="NoteLabel"/>
                <w:rFonts w:ascii="Arial (Body)" w:eastAsiaTheme="majorEastAsia" w:hAnsi="Arial (Body)" w:hint="eastAsia"/>
                <w:b w:val="0"/>
                <w:color w:val="265A9A"/>
              </w:rPr>
            </w:pPr>
            <w:r w:rsidRPr="00AF3291">
              <w:rPr>
                <w:rFonts w:ascii="Arial (Body)" w:hAnsi="Arial (Body)"/>
                <w:b/>
                <w:color w:val="265A9A"/>
              </w:rPr>
              <w:t>England</w:t>
            </w:r>
            <w:r w:rsidRPr="00AF3291">
              <w:rPr>
                <w:rFonts w:ascii="Arial (Body)" w:hAnsi="Arial (Body)"/>
                <w:b/>
                <w:color w:val="265A9A"/>
                <w:vertAlign w:val="superscript"/>
              </w:rPr>
              <w:t>b,c</w:t>
            </w:r>
          </w:p>
        </w:tc>
        <w:tc>
          <w:tcPr>
            <w:tcW w:w="1741" w:type="dxa"/>
            <w:tcBorders>
              <w:bottom w:val="nil"/>
            </w:tcBorders>
            <w:shd w:val="clear" w:color="auto" w:fill="F1F1F1"/>
          </w:tcPr>
          <w:p w14:paraId="69C3C125" w14:textId="343C771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Crawford and Hood </w:t>
            </w:r>
            <w:r w:rsidRPr="00AF3291">
              <w:rPr>
                <w:rFonts w:ascii="Arial (Body)" w:hAnsi="Arial (Body)"/>
                <w:color w:val="000000"/>
              </w:rPr>
              <w:fldChar w:fldCharType="begin"/>
            </w:r>
            <w:r w:rsidR="0047772E">
              <w:rPr>
                <w:rFonts w:ascii="Arial (Body)" w:hAnsi="Arial (Body)"/>
                <w:color w:val="000000"/>
              </w:rPr>
              <w:instrText xml:space="preserve"> ADDIN ZOTERO_ITEM CSL_CITATION {"citationID":"eHBcHrbp","properties":{"formattedCitation":"(2016)","plainCitation":"(2016)","noteIndex":0},"citationItems":[{"id":1905,"uris":["http://zotero.org/groups/2714158/items/R5UKDRZ9"],"uri":["http://zotero.org/groups/2714158/items/R5UKDRZ9"],"itemData":{"id":1905,"type":"article-journal","container-title":"Fiscal Studies","issue":"1","page":"55</w:instrText>
            </w:r>
            <w:r w:rsidR="0047772E">
              <w:rPr>
                <w:rFonts w:ascii="Arial (Body)" w:hAnsi="Arial (Body)" w:hint="eastAsia"/>
                <w:color w:val="000000"/>
              </w:rPr>
              <w:instrText>–</w:instrText>
            </w:r>
            <w:r w:rsidR="0047772E">
              <w:rPr>
                <w:rFonts w:ascii="Arial (Body)" w:hAnsi="Arial (Body)"/>
                <w:color w:val="000000"/>
              </w:rPr>
              <w:instrText xml:space="preserve">75","source":"Google Scholar","title":"Lifetime receipt of inheritances and the distribution of wealth in England","volume":"37","author":[{"family":"Crawford","given":"Rowena"},{"family":"Hood","given":"Andrew"}],"issued":{"date-parts":[["2016"]]}},"suppress-author":true}],"schema":"https://github.com/citation-style-language/schema/raw/master/csl-citation.json"} </w:instrText>
            </w:r>
            <w:r w:rsidRPr="00AF3291">
              <w:rPr>
                <w:rFonts w:ascii="Arial (Body)" w:hAnsi="Arial (Body)"/>
                <w:color w:val="000000"/>
              </w:rPr>
              <w:fldChar w:fldCharType="separate"/>
            </w:r>
            <w:r w:rsidRPr="00AF3291">
              <w:rPr>
                <w:rFonts w:ascii="Arial (Body)" w:hAnsi="Arial (Body)" w:cs="Arial"/>
                <w:color w:val="000000"/>
              </w:rPr>
              <w:t>(2016)</w:t>
            </w:r>
            <w:r w:rsidRPr="00AF3291">
              <w:rPr>
                <w:rFonts w:ascii="Arial (Body)" w:hAnsi="Arial (Body)"/>
                <w:color w:val="000000"/>
              </w:rPr>
              <w:fldChar w:fldCharType="end"/>
            </w:r>
          </w:p>
        </w:tc>
        <w:tc>
          <w:tcPr>
            <w:tcW w:w="2901" w:type="dxa"/>
            <w:tcBorders>
              <w:bottom w:val="nil"/>
            </w:tcBorders>
            <w:shd w:val="clear" w:color="auto" w:fill="F1F1F1"/>
          </w:tcPr>
          <w:p w14:paraId="15D59B02"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Lifetime gifts and inheritances prior to 2012</w:t>
            </w:r>
            <w:r w:rsidRPr="00AF3291">
              <w:rPr>
                <w:rFonts w:ascii="Arial (Body)" w:hAnsi="Arial (Body)"/>
                <w:color w:val="000000"/>
              </w:rPr>
              <w:noBreakHyphen/>
              <w:t>13 reduced the 2012</w:t>
            </w:r>
            <w:r w:rsidRPr="00AF3291">
              <w:rPr>
                <w:rFonts w:ascii="Arial (Body)" w:hAnsi="Arial (Body)"/>
                <w:color w:val="000000"/>
              </w:rPr>
              <w:noBreakHyphen/>
              <w:t>13 Gini coefficient of per</w:t>
            </w:r>
            <w:r w:rsidRPr="00AF3291">
              <w:rPr>
                <w:rFonts w:ascii="Arial (Body)" w:hAnsi="Arial (Body)"/>
                <w:color w:val="000000"/>
              </w:rPr>
              <w:noBreakHyphen/>
              <w:t>person household wealth inequality among people aged 65 to 79 by 3.92 per cent</w:t>
            </w:r>
          </w:p>
        </w:tc>
        <w:tc>
          <w:tcPr>
            <w:tcW w:w="2903" w:type="dxa"/>
            <w:tcBorders>
              <w:bottom w:val="nil"/>
            </w:tcBorders>
            <w:shd w:val="clear" w:color="auto" w:fill="F1F1F1"/>
          </w:tcPr>
          <w:p w14:paraId="3EA86B27"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Gifts and inheritances received between 2000</w:t>
            </w:r>
            <w:r w:rsidRPr="00AF3291">
              <w:rPr>
                <w:rFonts w:ascii="Arial (Body)" w:hAnsi="Arial (Body)"/>
                <w:color w:val="000000"/>
              </w:rPr>
              <w:noBreakHyphen/>
              <w:t>01 and 2017</w:t>
            </w:r>
            <w:r w:rsidRPr="00AF3291">
              <w:rPr>
                <w:rFonts w:ascii="Arial (Body)" w:hAnsi="Arial (Body)"/>
                <w:color w:val="000000"/>
              </w:rPr>
              <w:noBreakHyphen/>
              <w:t>18 reduced the mid</w:t>
            </w:r>
            <w:r w:rsidRPr="00AF3291">
              <w:rPr>
                <w:rFonts w:ascii="Arial (Body)" w:hAnsi="Arial (Body)"/>
                <w:color w:val="000000"/>
              </w:rPr>
              <w:noBreakHyphen/>
              <w:t>2018 Gini coefficient of per</w:t>
            </w:r>
            <w:r w:rsidRPr="00AF3291">
              <w:rPr>
                <w:rFonts w:ascii="Arial (Body)" w:hAnsi="Arial (Body)"/>
                <w:color w:val="000000"/>
              </w:rPr>
              <w:noBreakHyphen/>
              <w:t>person household wealth among people aged 65 to 79 by 3.14 per cent</w:t>
            </w:r>
          </w:p>
        </w:tc>
      </w:tr>
      <w:tr w:rsidR="00767353" w:rsidRPr="00AF3291" w14:paraId="75DCFDEF" w14:textId="77777777" w:rsidTr="00604051">
        <w:tc>
          <w:tcPr>
            <w:tcW w:w="1300" w:type="dxa"/>
            <w:tcBorders>
              <w:top w:val="nil"/>
              <w:bottom w:val="nil"/>
            </w:tcBorders>
            <w:shd w:val="clear" w:color="auto" w:fill="auto"/>
          </w:tcPr>
          <w:p w14:paraId="12D869EC" w14:textId="77777777" w:rsidR="00767353" w:rsidRPr="00AF3291" w:rsidRDefault="00767353" w:rsidP="00604051">
            <w:pPr>
              <w:pStyle w:val="TableBodyText"/>
              <w:spacing w:before="45" w:after="45"/>
              <w:ind w:left="57" w:right="108"/>
              <w:jc w:val="left"/>
              <w:rPr>
                <w:rFonts w:ascii="Arial (Body)" w:hAnsi="Arial (Body)"/>
                <w:b/>
                <w:color w:val="265A9A"/>
              </w:rPr>
            </w:pPr>
            <w:r w:rsidRPr="00AF3291">
              <w:rPr>
                <w:rFonts w:ascii="Arial (Body)" w:hAnsi="Arial (Body)"/>
                <w:b/>
                <w:color w:val="265A9A"/>
              </w:rPr>
              <w:t>France</w:t>
            </w:r>
            <w:r w:rsidRPr="00AF3291">
              <w:rPr>
                <w:rFonts w:ascii="Arial (Body)" w:hAnsi="Arial (Body)"/>
                <w:b/>
                <w:color w:val="265A9A"/>
                <w:vertAlign w:val="superscript"/>
              </w:rPr>
              <w:t>a</w:t>
            </w:r>
          </w:p>
        </w:tc>
        <w:tc>
          <w:tcPr>
            <w:tcW w:w="1741" w:type="dxa"/>
            <w:tcBorders>
              <w:top w:val="nil"/>
              <w:bottom w:val="nil"/>
            </w:tcBorders>
            <w:shd w:val="clear" w:color="auto" w:fill="auto"/>
          </w:tcPr>
          <w:p w14:paraId="13644340" w14:textId="3D9EFFBB"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Nolan et al. </w:t>
            </w:r>
            <w:r w:rsidRPr="00AF3291">
              <w:rPr>
                <w:rFonts w:ascii="Arial (Body)" w:hAnsi="Arial (Body)"/>
                <w:color w:val="000000"/>
              </w:rPr>
              <w:fldChar w:fldCharType="begin"/>
            </w:r>
            <w:r w:rsidR="0047772E">
              <w:rPr>
                <w:rFonts w:ascii="Arial (Body)" w:hAnsi="Arial (Body)"/>
                <w:color w:val="000000"/>
              </w:rPr>
              <w:instrText xml:space="preserve"> ADDIN ZOTERO_ITEM CSL_CITATION {"citationID":"Xauvtfaj","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AF3291">
              <w:rPr>
                <w:rFonts w:ascii="Arial (Body)" w:hAnsi="Arial (Body)"/>
                <w:color w:val="000000"/>
              </w:rPr>
              <w:fldChar w:fldCharType="separate"/>
            </w:r>
            <w:r w:rsidRPr="00AF3291">
              <w:rPr>
                <w:rFonts w:ascii="Arial (Body)" w:hAnsi="Arial (Body)" w:cs="Arial"/>
                <w:color w:val="000000"/>
              </w:rPr>
              <w:t>(2021)</w:t>
            </w:r>
            <w:r w:rsidRPr="00AF3291">
              <w:rPr>
                <w:rFonts w:ascii="Arial (Body)" w:hAnsi="Arial (Body)"/>
                <w:color w:val="000000"/>
              </w:rPr>
              <w:fldChar w:fldCharType="end"/>
            </w:r>
          </w:p>
        </w:tc>
        <w:tc>
          <w:tcPr>
            <w:tcW w:w="2901" w:type="dxa"/>
            <w:tcBorders>
              <w:top w:val="nil"/>
              <w:bottom w:val="nil"/>
            </w:tcBorders>
            <w:shd w:val="clear" w:color="auto" w:fill="auto"/>
          </w:tcPr>
          <w:p w14:paraId="0874B0CA"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Lifetime gifts and inheritances received prior to 2011 reduced the 2011 Gini coefficient of household wealth inequality by 3.86 per cent</w:t>
            </w:r>
          </w:p>
        </w:tc>
        <w:tc>
          <w:tcPr>
            <w:tcW w:w="2903" w:type="dxa"/>
            <w:vMerge w:val="restart"/>
            <w:tcBorders>
              <w:top w:val="nil"/>
              <w:bottom w:val="nil"/>
            </w:tcBorders>
            <w:shd w:val="clear" w:color="auto" w:fill="auto"/>
          </w:tcPr>
          <w:p w14:paraId="7FAEF43E"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Gifts and inheritances received between 2000</w:t>
            </w:r>
            <w:r w:rsidRPr="00AF3291">
              <w:rPr>
                <w:rFonts w:ascii="Arial (Body)" w:hAnsi="Arial (Body)"/>
                <w:color w:val="000000"/>
              </w:rPr>
              <w:noBreakHyphen/>
              <w:t>01 and 2017</w:t>
            </w:r>
            <w:r w:rsidRPr="00AF3291">
              <w:rPr>
                <w:rFonts w:ascii="Arial (Body)" w:hAnsi="Arial (Body)"/>
                <w:color w:val="000000"/>
              </w:rPr>
              <w:noBreakHyphen/>
              <w:t>18 reduced the mid</w:t>
            </w:r>
            <w:r w:rsidRPr="00AF3291">
              <w:rPr>
                <w:rFonts w:ascii="Arial (Body)" w:hAnsi="Arial (Body)"/>
                <w:color w:val="000000"/>
              </w:rPr>
              <w:noBreakHyphen/>
              <w:t>2018 Gini coefficient of household wealth inequality by 1.73 per cent</w:t>
            </w:r>
          </w:p>
        </w:tc>
      </w:tr>
      <w:tr w:rsidR="00767353" w:rsidRPr="00AF3291" w14:paraId="30469C26" w14:textId="77777777" w:rsidTr="00604051">
        <w:tc>
          <w:tcPr>
            <w:tcW w:w="1300" w:type="dxa"/>
            <w:tcBorders>
              <w:bottom w:val="nil"/>
            </w:tcBorders>
            <w:shd w:val="clear" w:color="auto" w:fill="F1F1F1"/>
          </w:tcPr>
          <w:p w14:paraId="3A06AD24" w14:textId="77777777" w:rsidR="00767353" w:rsidRPr="00AF3291" w:rsidRDefault="00767353" w:rsidP="00604051">
            <w:pPr>
              <w:pStyle w:val="TableBodyText"/>
              <w:spacing w:before="45" w:after="45"/>
              <w:ind w:left="57" w:right="108"/>
              <w:jc w:val="left"/>
              <w:rPr>
                <w:rFonts w:ascii="Arial (Body)" w:hAnsi="Arial (Body)"/>
                <w:b/>
                <w:color w:val="265A9A"/>
              </w:rPr>
            </w:pPr>
            <w:r w:rsidRPr="00AF3291">
              <w:rPr>
                <w:rFonts w:ascii="Arial (Body)" w:hAnsi="Arial (Body)"/>
                <w:b/>
                <w:color w:val="265A9A"/>
              </w:rPr>
              <w:t>Germany</w:t>
            </w:r>
            <w:r w:rsidRPr="00AF3291">
              <w:rPr>
                <w:rFonts w:ascii="Arial (Body)" w:hAnsi="Arial (Body)"/>
                <w:b/>
                <w:color w:val="265A9A"/>
                <w:vertAlign w:val="superscript"/>
              </w:rPr>
              <w:t>a</w:t>
            </w:r>
          </w:p>
        </w:tc>
        <w:tc>
          <w:tcPr>
            <w:tcW w:w="1741" w:type="dxa"/>
            <w:tcBorders>
              <w:bottom w:val="nil"/>
            </w:tcBorders>
            <w:shd w:val="clear" w:color="auto" w:fill="F1F1F1"/>
          </w:tcPr>
          <w:p w14:paraId="2D2D0689" w14:textId="2DF6BAC3"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Nolan et al. </w:t>
            </w:r>
            <w:r w:rsidRPr="00AF3291">
              <w:rPr>
                <w:rFonts w:ascii="Arial (Body)" w:hAnsi="Arial (Body)"/>
                <w:color w:val="000000"/>
              </w:rPr>
              <w:fldChar w:fldCharType="begin"/>
            </w:r>
            <w:r w:rsidR="0047772E">
              <w:rPr>
                <w:rFonts w:ascii="Arial (Body)" w:hAnsi="Arial (Body)"/>
                <w:color w:val="000000"/>
              </w:rPr>
              <w:instrText xml:space="preserve"> ADDIN ZOTERO_ITEM CSL_CITATION {"citationID":"9VmaKN52","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AF3291">
              <w:rPr>
                <w:rFonts w:ascii="Arial (Body)" w:hAnsi="Arial (Body)"/>
                <w:color w:val="000000"/>
              </w:rPr>
              <w:fldChar w:fldCharType="separate"/>
            </w:r>
            <w:r w:rsidRPr="00AF3291">
              <w:rPr>
                <w:rFonts w:ascii="Arial (Body)" w:hAnsi="Arial (Body)" w:cs="Arial"/>
                <w:color w:val="000000"/>
              </w:rPr>
              <w:t>(2021)</w:t>
            </w:r>
            <w:r w:rsidRPr="00AF3291">
              <w:rPr>
                <w:rFonts w:ascii="Arial (Body)" w:hAnsi="Arial (Body)"/>
                <w:color w:val="000000"/>
              </w:rPr>
              <w:fldChar w:fldCharType="end"/>
            </w:r>
          </w:p>
        </w:tc>
        <w:tc>
          <w:tcPr>
            <w:tcW w:w="2901" w:type="dxa"/>
            <w:tcBorders>
              <w:bottom w:val="nil"/>
            </w:tcBorders>
            <w:shd w:val="clear" w:color="auto" w:fill="F1F1F1"/>
          </w:tcPr>
          <w:p w14:paraId="3360820C"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(as above) reduced the Gini coefficient by 5.13 per cent</w:t>
            </w:r>
          </w:p>
        </w:tc>
        <w:tc>
          <w:tcPr>
            <w:tcW w:w="2903" w:type="dxa"/>
            <w:vMerge/>
            <w:tcBorders>
              <w:bottom w:val="nil"/>
            </w:tcBorders>
            <w:shd w:val="clear" w:color="auto" w:fill="F1F1F1"/>
          </w:tcPr>
          <w:p w14:paraId="1869DCC1" w14:textId="77777777" w:rsidR="00767353" w:rsidRPr="00AF3291" w:rsidRDefault="00767353" w:rsidP="00604051">
            <w:pPr>
              <w:pStyle w:val="TableBodyText"/>
              <w:spacing w:before="45" w:after="45"/>
              <w:ind w:left="57" w:right="108"/>
              <w:jc w:val="left"/>
              <w:rPr>
                <w:rFonts w:ascii="Arial (Body)" w:hAnsi="Arial (Body)"/>
                <w:color w:val="000000"/>
              </w:rPr>
            </w:pPr>
          </w:p>
        </w:tc>
      </w:tr>
      <w:tr w:rsidR="00767353" w:rsidRPr="00AF3291" w14:paraId="1517D620" w14:textId="77777777" w:rsidTr="00604051">
        <w:tc>
          <w:tcPr>
            <w:tcW w:w="1300" w:type="dxa"/>
            <w:tcBorders>
              <w:top w:val="nil"/>
              <w:bottom w:val="nil"/>
            </w:tcBorders>
            <w:shd w:val="clear" w:color="auto" w:fill="auto"/>
          </w:tcPr>
          <w:p w14:paraId="1FE134F3" w14:textId="77777777" w:rsidR="00767353" w:rsidRPr="00AF3291" w:rsidRDefault="00767353" w:rsidP="00604051">
            <w:pPr>
              <w:pStyle w:val="TableBodyText"/>
              <w:spacing w:before="45" w:after="45"/>
              <w:ind w:left="57" w:right="108"/>
              <w:jc w:val="left"/>
              <w:rPr>
                <w:rFonts w:ascii="Arial (Body)" w:hAnsi="Arial (Body)"/>
                <w:b/>
                <w:color w:val="265A9A"/>
              </w:rPr>
            </w:pPr>
            <w:r w:rsidRPr="00AF3291">
              <w:rPr>
                <w:rFonts w:ascii="Arial (Body)" w:hAnsi="Arial (Body)"/>
                <w:b/>
                <w:color w:val="265A9A"/>
              </w:rPr>
              <w:t>Italy</w:t>
            </w:r>
            <w:r w:rsidRPr="00AF3291">
              <w:rPr>
                <w:rFonts w:ascii="Arial (Body)" w:hAnsi="Arial (Body)"/>
                <w:b/>
                <w:color w:val="265A9A"/>
                <w:vertAlign w:val="superscript"/>
              </w:rPr>
              <w:t>a</w:t>
            </w:r>
          </w:p>
        </w:tc>
        <w:tc>
          <w:tcPr>
            <w:tcW w:w="1741" w:type="dxa"/>
            <w:tcBorders>
              <w:top w:val="nil"/>
              <w:bottom w:val="nil"/>
            </w:tcBorders>
            <w:shd w:val="clear" w:color="auto" w:fill="auto"/>
          </w:tcPr>
          <w:p w14:paraId="1DB90B45" w14:textId="7647C33B"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Nolan et al. </w:t>
            </w:r>
            <w:r w:rsidRPr="00AF3291">
              <w:rPr>
                <w:rFonts w:ascii="Arial (Body)" w:hAnsi="Arial (Body)"/>
                <w:color w:val="000000"/>
              </w:rPr>
              <w:fldChar w:fldCharType="begin"/>
            </w:r>
            <w:r w:rsidR="0047772E">
              <w:rPr>
                <w:rFonts w:ascii="Arial (Body)" w:hAnsi="Arial (Body)"/>
                <w:color w:val="000000"/>
              </w:rPr>
              <w:instrText xml:space="preserve"> ADDIN ZOTERO_ITEM CSL_CITATION {"citationID":"FLRd6eNO","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AF3291">
              <w:rPr>
                <w:rFonts w:ascii="Arial (Body)" w:hAnsi="Arial (Body)"/>
                <w:color w:val="000000"/>
              </w:rPr>
              <w:fldChar w:fldCharType="separate"/>
            </w:r>
            <w:r w:rsidRPr="00AF3291">
              <w:rPr>
                <w:rFonts w:ascii="Arial (Body)" w:hAnsi="Arial (Body)" w:cs="Arial"/>
                <w:color w:val="000000"/>
              </w:rPr>
              <w:t>(2021)</w:t>
            </w:r>
            <w:r w:rsidRPr="00AF3291">
              <w:rPr>
                <w:rFonts w:ascii="Arial (Body)" w:hAnsi="Arial (Body)"/>
                <w:color w:val="000000"/>
              </w:rPr>
              <w:fldChar w:fldCharType="end"/>
            </w:r>
          </w:p>
        </w:tc>
        <w:tc>
          <w:tcPr>
            <w:tcW w:w="2901" w:type="dxa"/>
            <w:tcBorders>
              <w:top w:val="nil"/>
              <w:bottom w:val="nil"/>
            </w:tcBorders>
            <w:shd w:val="clear" w:color="auto" w:fill="auto"/>
          </w:tcPr>
          <w:p w14:paraId="5EF22A5C"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(as above) reduced the Gini coefficient by 12.08 per cent</w:t>
            </w:r>
          </w:p>
        </w:tc>
        <w:tc>
          <w:tcPr>
            <w:tcW w:w="2903" w:type="dxa"/>
            <w:vMerge/>
            <w:tcBorders>
              <w:top w:val="nil"/>
              <w:bottom w:val="nil"/>
            </w:tcBorders>
            <w:shd w:val="clear" w:color="auto" w:fill="auto"/>
          </w:tcPr>
          <w:p w14:paraId="0B4FF287" w14:textId="77777777" w:rsidR="00767353" w:rsidRPr="00AF3291" w:rsidRDefault="00767353" w:rsidP="00604051">
            <w:pPr>
              <w:pStyle w:val="TableBodyText"/>
              <w:spacing w:before="45" w:after="45"/>
              <w:ind w:left="57" w:right="108"/>
              <w:jc w:val="left"/>
              <w:rPr>
                <w:rFonts w:ascii="Arial (Body)" w:hAnsi="Arial (Body)"/>
                <w:color w:val="000000"/>
              </w:rPr>
            </w:pPr>
          </w:p>
        </w:tc>
      </w:tr>
      <w:tr w:rsidR="00767353" w:rsidRPr="00AF3291" w14:paraId="4A0EB721" w14:textId="77777777" w:rsidTr="00604051">
        <w:tc>
          <w:tcPr>
            <w:tcW w:w="1300" w:type="dxa"/>
            <w:tcBorders>
              <w:bottom w:val="nil"/>
            </w:tcBorders>
            <w:shd w:val="clear" w:color="auto" w:fill="F1F1F1"/>
          </w:tcPr>
          <w:p w14:paraId="4E7E3C20" w14:textId="77777777" w:rsidR="00767353" w:rsidRPr="00AF3291" w:rsidRDefault="00767353" w:rsidP="00604051">
            <w:pPr>
              <w:pStyle w:val="TableBodyText"/>
              <w:spacing w:before="45" w:after="45"/>
              <w:ind w:left="57" w:right="108"/>
              <w:jc w:val="left"/>
              <w:rPr>
                <w:rFonts w:ascii="Arial (Body)" w:hAnsi="Arial (Body)"/>
                <w:b/>
                <w:color w:val="265A9A"/>
              </w:rPr>
            </w:pPr>
            <w:r w:rsidRPr="00AF3291">
              <w:rPr>
                <w:rFonts w:ascii="Arial (Body)" w:hAnsi="Arial (Body)"/>
                <w:b/>
                <w:color w:val="265A9A"/>
              </w:rPr>
              <w:t>Spain</w:t>
            </w:r>
            <w:r w:rsidRPr="00AF3291">
              <w:rPr>
                <w:rFonts w:ascii="Arial (Body)" w:hAnsi="Arial (Body)"/>
                <w:b/>
                <w:color w:val="265A9A"/>
                <w:vertAlign w:val="superscript"/>
              </w:rPr>
              <w:t>a</w:t>
            </w:r>
          </w:p>
        </w:tc>
        <w:tc>
          <w:tcPr>
            <w:tcW w:w="1741" w:type="dxa"/>
            <w:tcBorders>
              <w:bottom w:val="nil"/>
            </w:tcBorders>
            <w:shd w:val="clear" w:color="auto" w:fill="F1F1F1"/>
          </w:tcPr>
          <w:p w14:paraId="5BD581CC" w14:textId="4EB19ED5"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Nolan et al. </w:t>
            </w:r>
            <w:r w:rsidRPr="00AF3291">
              <w:rPr>
                <w:rFonts w:ascii="Arial (Body)" w:hAnsi="Arial (Body)"/>
                <w:color w:val="000000"/>
              </w:rPr>
              <w:fldChar w:fldCharType="begin"/>
            </w:r>
            <w:r w:rsidR="0047772E">
              <w:rPr>
                <w:rFonts w:ascii="Arial (Body)" w:hAnsi="Arial (Body)"/>
                <w:color w:val="000000"/>
              </w:rPr>
              <w:instrText xml:space="preserve"> ADDIN ZOTERO_ITEM CSL_CITATION {"citationID":"OWTsojsV","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AF3291">
              <w:rPr>
                <w:rFonts w:ascii="Arial (Body)" w:hAnsi="Arial (Body)"/>
                <w:color w:val="000000"/>
              </w:rPr>
              <w:fldChar w:fldCharType="separate"/>
            </w:r>
            <w:r w:rsidRPr="00AF3291">
              <w:rPr>
                <w:rFonts w:ascii="Arial (Body)" w:hAnsi="Arial (Body)" w:cs="Arial"/>
                <w:color w:val="000000"/>
              </w:rPr>
              <w:t>(2021)</w:t>
            </w:r>
            <w:r w:rsidRPr="00AF3291">
              <w:rPr>
                <w:rFonts w:ascii="Arial (Body)" w:hAnsi="Arial (Body)"/>
                <w:color w:val="000000"/>
              </w:rPr>
              <w:fldChar w:fldCharType="end"/>
            </w:r>
          </w:p>
        </w:tc>
        <w:tc>
          <w:tcPr>
            <w:tcW w:w="2901" w:type="dxa"/>
            <w:tcBorders>
              <w:bottom w:val="nil"/>
            </w:tcBorders>
            <w:shd w:val="clear" w:color="auto" w:fill="F1F1F1"/>
          </w:tcPr>
          <w:p w14:paraId="28E157B6"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(as above) reduced the Gini coefficient by 5.53 per cent</w:t>
            </w:r>
          </w:p>
        </w:tc>
        <w:tc>
          <w:tcPr>
            <w:tcW w:w="2903" w:type="dxa"/>
            <w:vMerge/>
            <w:tcBorders>
              <w:bottom w:val="nil"/>
            </w:tcBorders>
            <w:shd w:val="clear" w:color="auto" w:fill="F1F1F1"/>
          </w:tcPr>
          <w:p w14:paraId="67EEAA78" w14:textId="77777777" w:rsidR="00767353" w:rsidRPr="00AF3291" w:rsidRDefault="00767353" w:rsidP="00604051">
            <w:pPr>
              <w:pStyle w:val="TableBodyText"/>
              <w:spacing w:before="45" w:after="45"/>
              <w:ind w:left="57" w:right="108"/>
              <w:jc w:val="left"/>
              <w:rPr>
                <w:rFonts w:ascii="Arial (Body)" w:hAnsi="Arial (Body)"/>
                <w:color w:val="000000"/>
              </w:rPr>
            </w:pPr>
          </w:p>
        </w:tc>
      </w:tr>
      <w:tr w:rsidR="00767353" w:rsidRPr="00AF3291" w14:paraId="617E3830" w14:textId="77777777" w:rsidTr="00604051">
        <w:tc>
          <w:tcPr>
            <w:tcW w:w="1300" w:type="dxa"/>
            <w:tcBorders>
              <w:top w:val="nil"/>
            </w:tcBorders>
            <w:shd w:val="clear" w:color="auto" w:fill="auto"/>
          </w:tcPr>
          <w:p w14:paraId="3194384B" w14:textId="77777777" w:rsidR="00767353" w:rsidRPr="00AF3291" w:rsidRDefault="00767353" w:rsidP="00604051">
            <w:pPr>
              <w:pStyle w:val="TableBodyText"/>
              <w:spacing w:before="45" w:after="45"/>
              <w:ind w:left="57" w:right="108"/>
              <w:jc w:val="left"/>
              <w:rPr>
                <w:rFonts w:ascii="Arial (Body)" w:hAnsi="Arial (Body)"/>
                <w:b/>
                <w:color w:val="265A9A"/>
              </w:rPr>
            </w:pPr>
            <w:r w:rsidRPr="00AF3291">
              <w:rPr>
                <w:rFonts w:ascii="Arial (Body)" w:hAnsi="Arial (Body)"/>
                <w:b/>
                <w:color w:val="265A9A"/>
              </w:rPr>
              <w:t>United States</w:t>
            </w:r>
            <w:r w:rsidRPr="00AF3291">
              <w:rPr>
                <w:rFonts w:ascii="Arial (Body)" w:hAnsi="Arial (Body)"/>
                <w:b/>
                <w:color w:val="265A9A"/>
                <w:vertAlign w:val="superscript"/>
              </w:rPr>
              <w:t>a</w:t>
            </w:r>
          </w:p>
        </w:tc>
        <w:tc>
          <w:tcPr>
            <w:tcW w:w="1741" w:type="dxa"/>
            <w:tcBorders>
              <w:top w:val="nil"/>
            </w:tcBorders>
            <w:shd w:val="clear" w:color="auto" w:fill="auto"/>
          </w:tcPr>
          <w:p w14:paraId="1E405DC7" w14:textId="614A4948"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Nolan et al. </w:t>
            </w:r>
            <w:r w:rsidRPr="00AF3291">
              <w:rPr>
                <w:rFonts w:ascii="Arial (Body)" w:hAnsi="Arial (Body)"/>
                <w:color w:val="000000"/>
              </w:rPr>
              <w:fldChar w:fldCharType="begin"/>
            </w:r>
            <w:r w:rsidR="0047772E">
              <w:rPr>
                <w:rFonts w:ascii="Arial (Body)" w:hAnsi="Arial (Body)"/>
                <w:color w:val="000000"/>
              </w:rPr>
              <w:instrText xml:space="preserve"> ADDIN ZOTERO_ITEM CSL_CITATION {"citationID":"z1bTkB6P","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AF3291">
              <w:rPr>
                <w:rFonts w:ascii="Arial (Body)" w:hAnsi="Arial (Body)"/>
                <w:color w:val="000000"/>
              </w:rPr>
              <w:fldChar w:fldCharType="separate"/>
            </w:r>
            <w:r w:rsidRPr="00AF3291">
              <w:rPr>
                <w:rFonts w:ascii="Arial (Body)" w:hAnsi="Arial (Body)" w:cs="Arial"/>
                <w:color w:val="000000"/>
              </w:rPr>
              <w:t>(2021)</w:t>
            </w:r>
            <w:r w:rsidRPr="00AF3291">
              <w:rPr>
                <w:rFonts w:ascii="Arial (Body)" w:hAnsi="Arial (Body)"/>
                <w:color w:val="000000"/>
              </w:rPr>
              <w:fldChar w:fldCharType="end"/>
            </w:r>
          </w:p>
        </w:tc>
        <w:tc>
          <w:tcPr>
            <w:tcW w:w="2901" w:type="dxa"/>
            <w:tcBorders>
              <w:top w:val="nil"/>
            </w:tcBorders>
            <w:shd w:val="clear" w:color="auto" w:fill="auto"/>
          </w:tcPr>
          <w:p w14:paraId="265A6E8A" w14:textId="77777777" w:rsidR="00767353" w:rsidRPr="00AF3291" w:rsidRDefault="00767353" w:rsidP="00604051">
            <w:pPr>
              <w:pStyle w:val="TableBodyText"/>
              <w:spacing w:before="45" w:after="45"/>
              <w:ind w:left="57" w:right="108"/>
              <w:jc w:val="left"/>
              <w:rPr>
                <w:rFonts w:ascii="Arial (Body)" w:hAnsi="Arial (Body)"/>
                <w:color w:val="000000"/>
              </w:rPr>
            </w:pPr>
            <w:r w:rsidRPr="00AF3291">
              <w:rPr>
                <w:rFonts w:ascii="Arial (Body)" w:hAnsi="Arial (Body)"/>
                <w:color w:val="000000"/>
              </w:rPr>
              <w:t>(as above) reduced the Gini coefficient by 1.48 per cent</w:t>
            </w:r>
          </w:p>
        </w:tc>
        <w:tc>
          <w:tcPr>
            <w:tcW w:w="2903" w:type="dxa"/>
            <w:vMerge/>
            <w:tcBorders>
              <w:top w:val="nil"/>
            </w:tcBorders>
            <w:shd w:val="clear" w:color="auto" w:fill="auto"/>
          </w:tcPr>
          <w:p w14:paraId="764F7667" w14:textId="77777777" w:rsidR="00767353" w:rsidRPr="00AF3291" w:rsidRDefault="00767353" w:rsidP="00604051">
            <w:pPr>
              <w:pStyle w:val="TableBodyText"/>
              <w:spacing w:before="45" w:after="45"/>
              <w:ind w:left="57" w:right="108"/>
              <w:jc w:val="left"/>
              <w:rPr>
                <w:rFonts w:ascii="Arial (Body)" w:hAnsi="Arial (Body)"/>
                <w:color w:val="000000"/>
              </w:rPr>
            </w:pPr>
          </w:p>
        </w:tc>
      </w:tr>
    </w:tbl>
    <w:p w14:paraId="423E837F" w14:textId="77777777" w:rsidR="00767353" w:rsidRDefault="00767353" w:rsidP="000F0947">
      <w:pPr>
        <w:pStyle w:val="Note"/>
        <w:spacing w:before="40"/>
      </w:pPr>
      <w:r w:rsidRPr="00C36914">
        <w:rPr>
          <w:b/>
          <w:bCs/>
        </w:rPr>
        <w:t>a.</w:t>
      </w:r>
      <w:r w:rsidRPr="00C36914">
        <w:t xml:space="preserve"> </w:t>
      </w:r>
      <w:r w:rsidRPr="00AF3291">
        <w:t>For consistency with the original study, the comparison estimate excludes superannuation and caps transfers at mid</w:t>
      </w:r>
      <w:r w:rsidRPr="00AF3291">
        <w:noBreakHyphen/>
        <w:t>2018 ex</w:t>
      </w:r>
      <w:r w:rsidRPr="00AF3291">
        <w:noBreakHyphen/>
        <w:t>superannuation wealth, or zero if mid</w:t>
      </w:r>
      <w:r w:rsidRPr="00AF3291">
        <w:noBreakHyphen/>
        <w:t>2018 ex</w:t>
      </w:r>
      <w:r w:rsidRPr="00AF3291">
        <w:noBreakHyphen/>
        <w:t xml:space="preserve">superannuation wealth is negative. </w:t>
      </w:r>
      <w:r w:rsidRPr="00AF3291">
        <w:rPr>
          <w:b/>
        </w:rPr>
        <w:t>b</w:t>
      </w:r>
      <w:r>
        <w:rPr>
          <w:b/>
        </w:rPr>
        <w:t>.</w:t>
      </w:r>
      <w:r w:rsidRPr="00AF3291">
        <w:t xml:space="preserve"> Wealth measure from the original study is ‘private wealth’, which comprises non</w:t>
      </w:r>
      <w:r w:rsidRPr="00AF3291">
        <w:noBreakHyphen/>
        <w:t xml:space="preserve">pension wealth plus private pension wealth. </w:t>
      </w:r>
      <w:r w:rsidRPr="00AF3291">
        <w:rPr>
          <w:b/>
        </w:rPr>
        <w:t>c</w:t>
      </w:r>
      <w:r>
        <w:rPr>
          <w:b/>
        </w:rPr>
        <w:t>.</w:t>
      </w:r>
      <w:r w:rsidRPr="00AF3291">
        <w:t> For consistency with the original study, a 3 per cent annual real return to wealth transfers is assumed.</w:t>
      </w:r>
    </w:p>
    <w:p w14:paraId="734774DA" w14:textId="77777777" w:rsidR="00767353" w:rsidRDefault="00767353" w:rsidP="000F0947">
      <w:pPr>
        <w:pStyle w:val="Source"/>
        <w:spacing w:before="20"/>
      </w:pPr>
      <w:r w:rsidRPr="00696447">
        <w:t xml:space="preserve">Source: </w:t>
      </w:r>
      <w:r>
        <w:t>Productivity Commission estimates based on HILDA Restricted Release 19.</w:t>
      </w:r>
    </w:p>
    <w:p w14:paraId="175AC79C" w14:textId="77777777" w:rsidR="00767353" w:rsidRPr="00115ED4" w:rsidRDefault="00767353" w:rsidP="00767353">
      <w:pPr>
        <w:pStyle w:val="Heading3"/>
        <w:rPr>
          <w:spacing w:val="-4"/>
        </w:rPr>
      </w:pPr>
      <w:r w:rsidRPr="00115ED4">
        <w:rPr>
          <w:spacing w:val="-4"/>
        </w:rPr>
        <w:lastRenderedPageBreak/>
        <w:t>Adjusting the Australian estimate for a more like</w:t>
      </w:r>
      <w:r w:rsidRPr="00115ED4">
        <w:rPr>
          <w:spacing w:val="-4"/>
        </w:rPr>
        <w:noBreakHyphen/>
        <w:t>for</w:t>
      </w:r>
      <w:r w:rsidRPr="00115ED4">
        <w:rPr>
          <w:spacing w:val="-4"/>
        </w:rPr>
        <w:noBreakHyphen/>
        <w:t>like comparison</w:t>
      </w:r>
    </w:p>
    <w:p w14:paraId="10A85B41" w14:textId="356686DD" w:rsidR="00767353" w:rsidRDefault="00767353" w:rsidP="00767353">
      <w:pPr>
        <w:pStyle w:val="BodyText"/>
      </w:pPr>
      <w:r>
        <w:t xml:space="preserve">With the exception of the comparison with </w:t>
      </w:r>
      <w:r w:rsidRPr="005537FF">
        <w:t>Karagiannaki </w:t>
      </w:r>
      <w:r w:rsidRPr="005537FF">
        <w:fldChar w:fldCharType="begin"/>
      </w:r>
      <w:r w:rsidR="0047772E">
        <w:instrText xml:space="preserve"> ADDIN ZOTERO_ITEM CSL_CITATION {"citationID":"MghBRRfF","properties":{"formattedCitation":"(2017)","plainCitation":"(2017)","noteIndex":0},"citationItems":[{"id":1568,"uris":["http://zotero.org/groups/2714158/items/BKN7LA8J"],"uri":["http://zotero.org/groups/2714158/items/BKN7LA8J"],"itemData":{"id":1568,"type":"article-journal","container-title":"Review of Income and Wealth","issue":"2","page":"394–408","source":"Google Scholar","title":"The impact of inheritance on the distribution of wealth: Evidence from Great Britain","title-short":"The impact of inheritance on the distribution of wealth","volume":"63","author":[{"family":"Karagiannaki","given":"Eleni"}],"issued":{"date-parts":[["2017"]]}},"suppress-author":true}],"schema":"https://github.com/citation-style-language/schema/raw/master/csl-citation.json"} </w:instrText>
      </w:r>
      <w:r w:rsidRPr="005537FF">
        <w:fldChar w:fldCharType="separate"/>
      </w:r>
      <w:r w:rsidRPr="005537FF">
        <w:t>(2017)</w:t>
      </w:r>
      <w:r w:rsidRPr="005537FF">
        <w:fldChar w:fldCharType="end"/>
      </w:r>
      <w:r>
        <w:t>, each of these comparisons understates the extent to which wealth transfers reduced relative wealth inequality in Australia compared with other countries. This is because the studies of other countries rely on survey data about wealth transfers received at any time in the past. The HILDA survey asks only about wealth transfers received in the past financial year; hence no records of wealth transfers received in Australia prior to 2000</w:t>
      </w:r>
      <w:r>
        <w:noBreakHyphen/>
        <w:t>01 are available.</w:t>
      </w:r>
    </w:p>
    <w:p w14:paraId="25C18D34" w14:textId="77777777" w:rsidR="00767353" w:rsidRPr="00115ED4" w:rsidRDefault="00767353" w:rsidP="00767353">
      <w:pPr>
        <w:pStyle w:val="BodyText"/>
        <w:rPr>
          <w:spacing w:val="-4"/>
        </w:rPr>
      </w:pPr>
      <w:r w:rsidRPr="00115ED4">
        <w:rPr>
          <w:spacing w:val="-4"/>
        </w:rPr>
        <w:t>However, it is very likely that a like</w:t>
      </w:r>
      <w:r w:rsidRPr="00115ED4">
        <w:rPr>
          <w:spacing w:val="-4"/>
        </w:rPr>
        <w:noBreakHyphen/>
        <w:t>for</w:t>
      </w:r>
      <w:r w:rsidRPr="00115ED4">
        <w:rPr>
          <w:spacing w:val="-4"/>
        </w:rPr>
        <w:noBreakHyphen/>
        <w:t>like comparison would still suggest that wealth transfers reduced relative wealth inequality in all other studied countries by more than in Australia (except for the United States). To understand why, note first that the marginal effect of an additional year of wealth transfers on the mid</w:t>
      </w:r>
      <w:r w:rsidRPr="00115ED4">
        <w:rPr>
          <w:spacing w:val="-4"/>
        </w:rPr>
        <w:noBreakHyphen/>
        <w:t>2018 Gini coefficient of wealth inequality in Australia declines as time stretches back further (figure B.8). Wealth transfers received in 2017</w:t>
      </w:r>
      <w:r w:rsidRPr="00115ED4">
        <w:rPr>
          <w:spacing w:val="-4"/>
        </w:rPr>
        <w:noBreakHyphen/>
        <w:t>18 reduced the mid</w:t>
      </w:r>
      <w:r w:rsidRPr="00115ED4">
        <w:rPr>
          <w:spacing w:val="-4"/>
        </w:rPr>
        <w:noBreakHyphen/>
        <w:t>2018 Gini coefficient of wealth inequality by 0.12 per cent, whereas wealth transfers received in 2000</w:t>
      </w:r>
      <w:r w:rsidRPr="00115ED4">
        <w:rPr>
          <w:spacing w:val="-4"/>
        </w:rPr>
        <w:noBreakHyphen/>
        <w:t>01 reduced the mid</w:t>
      </w:r>
      <w:r w:rsidRPr="00115ED4">
        <w:rPr>
          <w:spacing w:val="-4"/>
        </w:rPr>
        <w:noBreakHyphen/>
        <w:t>2018 Gini coefficient by only 0.014 per cent.</w:t>
      </w:r>
    </w:p>
    <w:p w14:paraId="0D52CD66" w14:textId="750765B5" w:rsidR="00767353" w:rsidRPr="00146382" w:rsidRDefault="00767353" w:rsidP="00767353">
      <w:pPr>
        <w:pStyle w:val="FigureTableHeading"/>
      </w:pPr>
      <w:r>
        <w:t xml:space="preserve">Figure </w:t>
      </w:r>
      <w:r w:rsidR="00B2270C">
        <w:fldChar w:fldCharType="begin"/>
      </w:r>
      <w:r w:rsidR="00B2270C">
        <w:instrText xml:space="preserve"> STYLEREF  \s He</w:instrText>
      </w:r>
      <w:r w:rsidR="00B2270C">
        <w:instrText xml:space="preserve">ading-Appendix </w:instrText>
      </w:r>
      <w:r w:rsidR="00B2270C">
        <w:fldChar w:fldCharType="separate"/>
      </w:r>
      <w:r w:rsidR="00F3386D">
        <w:rPr>
          <w:noProof/>
        </w:rPr>
        <w:t>B</w:t>
      </w:r>
      <w:r w:rsidR="00B2270C">
        <w:rPr>
          <w:noProof/>
        </w:rPr>
        <w:fldChar w:fldCharType="end"/>
      </w:r>
      <w:r>
        <w:t>.</w:t>
      </w:r>
      <w:r w:rsidR="004144FD">
        <w:t>8</w:t>
      </w:r>
      <w:r>
        <w:rPr>
          <w:noProof/>
        </w:rPr>
        <w:t xml:space="preserve"> </w:t>
      </w:r>
      <w:r>
        <w:t>– Effect of time since wealth transfers received on relative wealth inequality effect</w:t>
      </w:r>
      <w:r w:rsidRPr="00066CF5">
        <w:rPr>
          <w:vertAlign w:val="superscript"/>
        </w:rPr>
        <w:t>a,b</w:t>
      </w:r>
    </w:p>
    <w:p w14:paraId="3C9E7CCD" w14:textId="77777777" w:rsidR="00767353" w:rsidRPr="00B83AD3" w:rsidRDefault="00767353" w:rsidP="00767353">
      <w:pPr>
        <w:pStyle w:val="FigureTableSubheading"/>
        <w:keepLines/>
        <w:rPr>
          <w:spacing w:val="-4"/>
          <w:sz w:val="18"/>
          <w:szCs w:val="16"/>
        </w:rPr>
      </w:pPr>
      <w:r w:rsidRPr="00B83AD3">
        <w:rPr>
          <w:spacing w:val="-4"/>
          <w:sz w:val="18"/>
          <w:szCs w:val="16"/>
        </w:rPr>
        <w:t>Cumulative effect of past wealth transfers on the mid</w:t>
      </w:r>
      <w:r w:rsidRPr="00B83AD3">
        <w:rPr>
          <w:spacing w:val="-4"/>
          <w:sz w:val="18"/>
          <w:szCs w:val="16"/>
        </w:rPr>
        <w:noBreakHyphen/>
        <w:t>2018 Gini coefficient of household wealth inequality, assuming no behavioural responses to wealth transfer receipt</w:t>
      </w:r>
    </w:p>
    <w:p w14:paraId="27268789" w14:textId="6357CC06" w:rsidR="00767353" w:rsidRPr="005550A0" w:rsidRDefault="00CA49F5" w:rsidP="00767353">
      <w:pPr>
        <w:pStyle w:val="BodyText"/>
      </w:pPr>
      <w:r w:rsidRPr="00CA49F5">
        <w:rPr>
          <w:noProof/>
        </w:rPr>
        <w:drawing>
          <wp:inline distT="0" distB="0" distL="0" distR="0" wp14:anchorId="3D1A365E" wp14:editId="7BC55093">
            <wp:extent cx="6120130" cy="2816225"/>
            <wp:effectExtent l="0" t="0" r="0" b="3175"/>
            <wp:docPr id="272" name="Picture 272" descr="Figure B.8. This chart shows the cumulative effect of past wealth transfers on the mid 2018 Gini coefficient of household wealth inequality, by year transfers received in, assuming no behavioural responses to transfer receipt.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B.8. This chart shows the cumulative effect of past wealth transfers on the mid 2018 Gini coefficient of household wealth inequality, by year transfers received in, assuming no behavioural responses to transfer receipt. More details are contained in the text surrounding this figur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20130" cy="2816225"/>
                    </a:xfrm>
                    <a:prstGeom prst="rect">
                      <a:avLst/>
                    </a:prstGeom>
                    <a:noFill/>
                    <a:ln>
                      <a:noFill/>
                    </a:ln>
                  </pic:spPr>
                </pic:pic>
              </a:graphicData>
            </a:graphic>
          </wp:inline>
        </w:drawing>
      </w:r>
    </w:p>
    <w:p w14:paraId="0C2A5C0E" w14:textId="46C60BE6" w:rsidR="00767353" w:rsidRDefault="00767353" w:rsidP="00767353">
      <w:pPr>
        <w:pStyle w:val="Note"/>
        <w:keepLines/>
      </w:pPr>
      <w:r w:rsidRPr="00180E66">
        <w:rPr>
          <w:b/>
          <w:bCs/>
        </w:rPr>
        <w:t>a.</w:t>
      </w:r>
      <w:r>
        <w:t xml:space="preserve"> </w:t>
      </w:r>
      <w:r w:rsidRPr="00AF3291">
        <w:t>All variables are in real (inflation</w:t>
      </w:r>
      <w:r w:rsidRPr="00AF3291">
        <w:noBreakHyphen/>
        <w:t xml:space="preserve">adjusted) terms. </w:t>
      </w:r>
      <w:r w:rsidRPr="00AF3291">
        <w:rPr>
          <w:b/>
        </w:rPr>
        <w:t>b</w:t>
      </w:r>
      <w:r>
        <w:rPr>
          <w:b/>
        </w:rPr>
        <w:t>.</w:t>
      </w:r>
      <w:r w:rsidRPr="00AF3291">
        <w:t xml:space="preserve"> Methodology is consistent with the estimates for Australia in table B.3 that are compared with Nolan et al. </w:t>
      </w:r>
      <w:r w:rsidRPr="00AF3291">
        <w:fldChar w:fldCharType="begin"/>
      </w:r>
      <w:r w:rsidR="0047772E">
        <w:instrText xml:space="preserve"> ADDIN ZOTERO_ITEM CSL_CITATION {"citationID":"bS1yBw9o","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AF3291">
        <w:fldChar w:fldCharType="separate"/>
      </w:r>
      <w:r w:rsidRPr="00AF3291">
        <w:t>(2021)</w:t>
      </w:r>
      <w:r w:rsidRPr="00AF3291">
        <w:fldChar w:fldCharType="end"/>
      </w:r>
      <w:r w:rsidRPr="00AF3291">
        <w:t>.</w:t>
      </w:r>
    </w:p>
    <w:p w14:paraId="501A2AED" w14:textId="77777777" w:rsidR="00767353" w:rsidRDefault="00767353" w:rsidP="00767353">
      <w:pPr>
        <w:pStyle w:val="Source"/>
      </w:pPr>
      <w:r w:rsidRPr="00696447">
        <w:t xml:space="preserve">Source: </w:t>
      </w:r>
      <w:r>
        <w:t>Productivity Commission estimates based on HILDA Restricted Release 19.</w:t>
      </w:r>
    </w:p>
    <w:p w14:paraId="16ED9586" w14:textId="77777777" w:rsidR="00767353" w:rsidRDefault="00767353" w:rsidP="00767353">
      <w:pPr>
        <w:pStyle w:val="BodyText"/>
        <w:keepNext/>
      </w:pPr>
      <w:r>
        <w:t>Two effects explain this pattern.</w:t>
      </w:r>
    </w:p>
    <w:p w14:paraId="338DFDD6" w14:textId="77777777" w:rsidR="00767353" w:rsidRDefault="00767353" w:rsidP="00767353">
      <w:pPr>
        <w:pStyle w:val="ListBullet"/>
      </w:pPr>
      <w:r w:rsidRPr="0009623C">
        <w:rPr>
          <w:i/>
          <w:iCs/>
        </w:rPr>
        <w:t>Effect 1</w:t>
      </w:r>
      <w:r>
        <w:t xml:space="preserve"> — household wealth has grown over time in real terms. Other things equal, this means that wealth transfers from years past will be smaller than wealth transfers today. This effect is likely to be gradual, as the growth in wealth is gradual, and is thus consistent with the trend in figure B.8.</w:t>
      </w:r>
    </w:p>
    <w:p w14:paraId="694FD182" w14:textId="77777777" w:rsidR="00767353" w:rsidRDefault="00767353" w:rsidP="00767353">
      <w:pPr>
        <w:pStyle w:val="ListBullet"/>
      </w:pPr>
      <w:r w:rsidRPr="0009623C">
        <w:rPr>
          <w:i/>
          <w:iCs/>
        </w:rPr>
        <w:t>Effect 2</w:t>
      </w:r>
      <w:r>
        <w:t xml:space="preserve"> — As more time passes, those </w:t>
      </w:r>
      <w:r w:rsidRPr="00115ED4">
        <w:t>who</w:t>
      </w:r>
      <w:r>
        <w:t xml:space="preserve"> received wealth transfers in the past die. This is likely to occur somewhat more suddenly than effect 1 but after more than the 18 year delay shown in figure B.8. Box B.2 outlines a simple model that explains why this is the case.</w:t>
      </w:r>
    </w:p>
    <w:tbl>
      <w:tblPr>
        <w:tblStyle w:val="Boxtable"/>
        <w:tblW w:w="5000" w:type="pct"/>
        <w:tblLook w:val="04A0" w:firstRow="1" w:lastRow="0" w:firstColumn="1" w:lastColumn="0" w:noHBand="0" w:noVBand="1"/>
      </w:tblPr>
      <w:tblGrid>
        <w:gridCol w:w="9638"/>
      </w:tblGrid>
      <w:tr w:rsidR="00767353" w14:paraId="50588158" w14:textId="77777777" w:rsidTr="00604051">
        <w:trPr>
          <w:tblHeader/>
        </w:trPr>
        <w:tc>
          <w:tcPr>
            <w:tcW w:w="9638" w:type="dxa"/>
            <w:tcMar>
              <w:top w:w="170" w:type="dxa"/>
              <w:left w:w="170" w:type="dxa"/>
              <w:bottom w:w="113" w:type="dxa"/>
              <w:right w:w="170" w:type="dxa"/>
            </w:tcMar>
            <w:hideMark/>
          </w:tcPr>
          <w:p w14:paraId="36254F1B" w14:textId="20A9F995" w:rsidR="00767353" w:rsidRDefault="00767353" w:rsidP="00604051">
            <w:pPr>
              <w:pStyle w:val="BoxHeading1"/>
            </w:pPr>
            <w:r>
              <w:lastRenderedPageBreak/>
              <w:t xml:space="preserve">Box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001DDF">
              <w:t>2</w:t>
            </w:r>
            <w:r>
              <w:t xml:space="preserve"> – Why effect 1 is gradual and effect 2 is more sudden</w:t>
            </w:r>
          </w:p>
        </w:tc>
      </w:tr>
      <w:tr w:rsidR="00767353" w14:paraId="181CC432" w14:textId="77777777" w:rsidTr="00604051">
        <w:tc>
          <w:tcPr>
            <w:tcW w:w="9638" w:type="dxa"/>
            <w:tcMar>
              <w:top w:w="28" w:type="dxa"/>
              <w:left w:w="170" w:type="dxa"/>
              <w:bottom w:w="170" w:type="dxa"/>
              <w:right w:w="170" w:type="dxa"/>
            </w:tcMar>
            <w:hideMark/>
          </w:tcPr>
          <w:p w14:paraId="6E66F232" w14:textId="77777777" w:rsidR="00767353" w:rsidRDefault="00767353" w:rsidP="00604051">
            <w:pPr>
              <w:pStyle w:val="BodyText"/>
            </w:pPr>
            <w:r>
              <w:t>A simple model explains why effect 1 occurs gradually and effect 2 occurs more suddenly and after a delay of more than the 18 years shown in figure B.8. This model is not meant to be a realistic representation of the Australian economy; it has been designed to allow effects 1 and 2 to be contrasted in the simplest terms possible.</w:t>
            </w:r>
          </w:p>
          <w:p w14:paraId="7E665136" w14:textId="77777777" w:rsidR="00767353" w:rsidRPr="001F774C" w:rsidRDefault="00767353" w:rsidP="00604051">
            <w:pPr>
              <w:pStyle w:val="BodyText"/>
            </w:pPr>
            <w:r>
              <w:t xml:space="preserve">Suppose that an economy comprises 80 people aged 0, 1, 2 … 79, with time progressing in discrete years, indexed by </w:t>
            </w:r>
            <m:oMath>
              <m:r>
                <w:rPr>
                  <w:rFonts w:ascii="Cambria Math" w:hAnsi="Cambria Math"/>
                </w:rPr>
                <m:t>t</m:t>
              </m:r>
            </m:oMath>
            <w:r>
              <w:t xml:space="preserve">. Each person was/is given wealth </w:t>
            </w:r>
            <m:oMath>
              <m:r>
                <w:rPr>
                  <w:rFonts w:ascii="Cambria Math" w:hAnsi="Cambria Math"/>
                </w:rPr>
                <m:t>w(t)</m:t>
              </m:r>
            </m:oMath>
            <w:r>
              <w:t xml:space="preserve"> at birth, where </w:t>
            </w:r>
            <m:oMath>
              <m:r>
                <w:rPr>
                  <w:rFonts w:ascii="Cambria Math" w:hAnsi="Cambria Math"/>
                </w:rPr>
                <m:t>w(t)</m:t>
              </m:r>
            </m:oMath>
            <w:r>
              <w:t xml:space="preserve"> grows perpetually, in real terms, at rate </w:t>
            </w:r>
            <m:oMath>
              <m:r>
                <w:rPr>
                  <w:rFonts w:ascii="Cambria Math" w:hAnsi="Cambria Math"/>
                </w:rPr>
                <m:t>g&gt;1</m:t>
              </m:r>
            </m:oMath>
            <w:r>
              <w:t xml:space="preserve"> such that </w:t>
            </w:r>
            <m:oMath>
              <m:f>
                <m:fPr>
                  <m:ctrlPr>
                    <w:rPr>
                      <w:rFonts w:ascii="Cambria Math" w:hAnsi="Cambria Math"/>
                      <w:i/>
                    </w:rPr>
                  </m:ctrlPr>
                </m:fPr>
                <m:num>
                  <m:r>
                    <w:rPr>
                      <w:rFonts w:ascii="Cambria Math" w:hAnsi="Cambria Math"/>
                    </w:rPr>
                    <m:t>w(t)</m:t>
                  </m:r>
                </m:num>
                <m:den>
                  <m:r>
                    <w:rPr>
                      <w:rFonts w:ascii="Cambria Math" w:hAnsi="Cambria Math"/>
                    </w:rPr>
                    <m:t>w(t-1)</m:t>
                  </m:r>
                </m:den>
              </m:f>
              <m:r>
                <w:rPr>
                  <w:rFonts w:ascii="Cambria Math" w:hAnsi="Cambria Math"/>
                </w:rPr>
                <m:t>=g</m:t>
              </m:r>
            </m:oMath>
            <w:r>
              <w:t xml:space="preserve">. Each person lives for 80 years, has a child at age 30 (there is no partnering and reproduction is asexual), and bequeaths their wealth to their child immediately following their death. As one person is born and one person dies each year; the population is stable. Wealth is accumulated only by the growth of the initial endowment </w:t>
            </w:r>
            <m:oMath>
              <m:r>
                <w:rPr>
                  <w:rFonts w:ascii="Cambria Math" w:hAnsi="Cambria Math"/>
                </w:rPr>
                <m:t>w(t)</m:t>
              </m:r>
            </m:oMath>
            <w:r>
              <w:t xml:space="preserve"> and the inheritance (also </w:t>
            </w:r>
            <m:oMath>
              <m:r>
                <w:rPr>
                  <w:rFonts w:ascii="Cambria Math" w:hAnsi="Cambria Math"/>
                </w:rPr>
                <m:t>w(t)</m:t>
              </m:r>
            </m:oMath>
            <w:r>
              <w:t>) received at age 50. No wealth is consumed prior to age 50, but once the inheritance is received, 1/30</w:t>
            </w:r>
            <w:r w:rsidRPr="004E3F23">
              <w:rPr>
                <w:vertAlign w:val="superscript"/>
              </w:rPr>
              <w:t>th</w:t>
            </w:r>
            <w:r>
              <w:t xml:space="preserve"> of the inheritance’s present value is consumed each year, such that it is fully consumed by death. Thus, each person aged under 50 holds wealth </w:t>
            </w:r>
            <m:oMath>
              <m:r>
                <w:rPr>
                  <w:rFonts w:ascii="Cambria Math" w:hAnsi="Cambria Math"/>
                </w:rPr>
                <m:t>w</m:t>
              </m:r>
              <m:d>
                <m:dPr>
                  <m:ctrlPr>
                    <w:rPr>
                      <w:rFonts w:ascii="Cambria Math" w:hAnsi="Cambria Math"/>
                      <w:i/>
                    </w:rPr>
                  </m:ctrlPr>
                </m:dPr>
                <m:e>
                  <m:r>
                    <w:rPr>
                      <w:rFonts w:ascii="Cambria Math" w:hAnsi="Cambria Math"/>
                    </w:rPr>
                    <m:t>t</m:t>
                  </m:r>
                </m:e>
              </m:d>
            </m:oMath>
            <w:r>
              <w:t xml:space="preserve">, and each person aged 50 and older holds wealth </w:t>
            </w:r>
            <m:oMath>
              <m:d>
                <m:dPr>
                  <m:ctrlPr>
                    <w:rPr>
                      <w:rFonts w:ascii="Cambria Math" w:hAnsi="Cambria Math"/>
                      <w:i/>
                    </w:rPr>
                  </m:ctrlPr>
                </m:dPr>
                <m:e>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30-n</m:t>
                          </m:r>
                        </m:e>
                      </m:d>
                      <m:r>
                        <w:rPr>
                          <w:rFonts w:ascii="Cambria Math" w:hAnsi="Cambria Math"/>
                        </w:rPr>
                        <m:t>w</m:t>
                      </m:r>
                      <m:d>
                        <m:dPr>
                          <m:ctrlPr>
                            <w:rPr>
                              <w:rFonts w:ascii="Cambria Math" w:hAnsi="Cambria Math"/>
                              <w:i/>
                            </w:rPr>
                          </m:ctrlPr>
                        </m:dPr>
                        <m:e>
                          <m:r>
                            <w:rPr>
                              <w:rFonts w:ascii="Cambria Math" w:hAnsi="Cambria Math"/>
                            </w:rPr>
                            <m:t>t</m:t>
                          </m:r>
                        </m:e>
                      </m:d>
                    </m:num>
                    <m:den>
                      <m:r>
                        <w:rPr>
                          <w:rFonts w:ascii="Cambria Math" w:hAnsi="Cambria Math"/>
                        </w:rPr>
                        <m:t>30</m:t>
                      </m:r>
                    </m:den>
                  </m:f>
                </m:e>
              </m:d>
            </m:oMath>
            <w:r>
              <w:t xml:space="preserve">, where </w:t>
            </w:r>
            <m:oMath>
              <m:r>
                <w:rPr>
                  <w:rFonts w:ascii="Cambria Math" w:hAnsi="Cambria Math"/>
                </w:rPr>
                <m:t>n</m:t>
              </m:r>
            </m:oMath>
            <w:r>
              <w:t xml:space="preserve"> is the number of years older than 50 a person is. This means that total wealth in the economy at any point in time is </w:t>
            </w:r>
            <m:oMath>
              <m:r>
                <w:rPr>
                  <w:rFonts w:ascii="Cambria Math" w:hAnsi="Cambria Math"/>
                </w:rPr>
                <m:t>w</m:t>
              </m:r>
              <m:d>
                <m:dPr>
                  <m:ctrlPr>
                    <w:rPr>
                      <w:rFonts w:ascii="Cambria Math" w:hAnsi="Cambria Math"/>
                      <w:i/>
                    </w:rPr>
                  </m:ctrlPr>
                </m:dPr>
                <m:e>
                  <m:r>
                    <w:rPr>
                      <w:rFonts w:ascii="Cambria Math" w:hAnsi="Cambria Math"/>
                    </w:rPr>
                    <m:t>t</m:t>
                  </m:r>
                </m:e>
              </m:d>
              <m:d>
                <m:dPr>
                  <m:ctrlPr>
                    <w:rPr>
                      <w:rFonts w:ascii="Cambria Math" w:hAnsi="Cambria Math"/>
                      <w:i/>
                    </w:rPr>
                  </m:ctrlPr>
                </m:dPr>
                <m:e>
                  <m:r>
                    <w:rPr>
                      <w:rFonts w:ascii="Cambria Math" w:hAnsi="Cambria Math"/>
                    </w:rPr>
                    <m:t>80+</m:t>
                  </m:r>
                  <m:nary>
                    <m:naryPr>
                      <m:chr m:val="∑"/>
                      <m:limLoc m:val="undOvr"/>
                      <m:ctrlPr>
                        <w:rPr>
                          <w:rFonts w:ascii="Cambria Math" w:hAnsi="Cambria Math"/>
                          <w:i/>
                        </w:rPr>
                      </m:ctrlPr>
                    </m:naryPr>
                    <m:sub>
                      <m:r>
                        <w:rPr>
                          <w:rFonts w:ascii="Cambria Math" w:hAnsi="Cambria Math"/>
                        </w:rPr>
                        <m:t>i=1</m:t>
                      </m:r>
                    </m:sub>
                    <m:sup>
                      <m:r>
                        <w:rPr>
                          <w:rFonts w:ascii="Cambria Math" w:hAnsi="Cambria Math"/>
                        </w:rPr>
                        <m:t>30</m:t>
                      </m:r>
                    </m:sup>
                    <m:e>
                      <m:f>
                        <m:fPr>
                          <m:ctrlPr>
                            <w:rPr>
                              <w:rFonts w:ascii="Cambria Math" w:hAnsi="Cambria Math"/>
                              <w:i/>
                            </w:rPr>
                          </m:ctrlPr>
                        </m:fPr>
                        <m:num>
                          <m:r>
                            <w:rPr>
                              <w:rFonts w:ascii="Cambria Math" w:hAnsi="Cambria Math"/>
                            </w:rPr>
                            <m:t>i</m:t>
                          </m:r>
                        </m:num>
                        <m:den>
                          <m:r>
                            <w:rPr>
                              <w:rFonts w:ascii="Cambria Math" w:hAnsi="Cambria Math"/>
                            </w:rPr>
                            <m:t>30</m:t>
                          </m:r>
                        </m:den>
                      </m:f>
                    </m:e>
                  </m:nary>
                </m:e>
              </m:d>
            </m:oMath>
            <w:r>
              <w:t>. Each of these quantities is non</w:t>
            </w:r>
            <w:r>
              <w:noBreakHyphen/>
              <w:t>stationary.</w:t>
            </w:r>
          </w:p>
          <w:p w14:paraId="364677EF" w14:textId="77777777" w:rsidR="00767353" w:rsidRDefault="00767353" w:rsidP="00604051">
            <w:pPr>
              <w:pStyle w:val="BodyText"/>
            </w:pPr>
            <w:r>
              <w:t xml:space="preserve">Noting that anyone who had received an inheritance 30 or more years ago is no longer alive, the share of the total stock of wealth at time </w:t>
            </w:r>
            <m:oMath>
              <m:r>
                <w:rPr>
                  <w:rFonts w:ascii="Cambria Math" w:hAnsi="Cambria Math"/>
                </w:rPr>
                <m:t>t</m:t>
              </m:r>
            </m:oMath>
            <w:r>
              <w:t xml:space="preserve"> bequeathed </w:t>
            </w:r>
            <m:oMath>
              <m:r>
                <w:rPr>
                  <w:rFonts w:ascii="Cambria Math" w:hAnsi="Cambria Math"/>
                </w:rPr>
                <m:t>x</m:t>
              </m:r>
            </m:oMath>
            <w:r>
              <w:t xml:space="preserve"> years ago to people still alive is:</w:t>
            </w:r>
          </w:p>
          <w:p w14:paraId="4873D448" w14:textId="77777777" w:rsidR="00767353" w:rsidRPr="003E1EA6" w:rsidRDefault="00B2270C" w:rsidP="00604051">
            <w:pPr>
              <w:pStyle w:val="BodyText"/>
            </w:pPr>
            <m:oMathPara>
              <m:oMath>
                <m:f>
                  <m:fPr>
                    <m:ctrlPr>
                      <w:rPr>
                        <w:rFonts w:ascii="Cambria Math" w:hAnsi="Cambria Math"/>
                        <w:i/>
                      </w:rPr>
                    </m:ctrlPr>
                  </m:fPr>
                  <m:num>
                    <m:r>
                      <w:rPr>
                        <w:rFonts w:ascii="Cambria Math" w:hAnsi="Cambria Math"/>
                      </w:rPr>
                      <m:t>Amount of wealth bequeathed in period (t-x) to people still alive at time t</m:t>
                    </m:r>
                  </m:num>
                  <m:den>
                    <m:r>
                      <w:rPr>
                        <w:rFonts w:ascii="Cambria Math" w:hAnsi="Cambria Math"/>
                      </w:rPr>
                      <m:t>Total stock of wealth at time t</m:t>
                    </m:r>
                  </m:den>
                </m:f>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g</m:t>
                                </m:r>
                              </m:e>
                              <m:sup>
                                <m:r>
                                  <w:rPr>
                                    <w:rFonts w:ascii="Cambria Math" w:hAnsi="Cambria Math"/>
                                  </w:rPr>
                                  <m:t>x</m:t>
                                </m:r>
                              </m:sup>
                            </m:sSup>
                            <m:d>
                              <m:dPr>
                                <m:ctrlPr>
                                  <w:rPr>
                                    <w:rFonts w:ascii="Cambria Math" w:hAnsi="Cambria Math"/>
                                    <w:i/>
                                  </w:rPr>
                                </m:ctrlPr>
                              </m:dPr>
                              <m:e>
                                <m:r>
                                  <w:rPr>
                                    <w:rFonts w:ascii="Cambria Math" w:hAnsi="Cambria Math"/>
                                  </w:rPr>
                                  <m:t>80+</m:t>
                                </m:r>
                                <m:nary>
                                  <m:naryPr>
                                    <m:chr m:val="∑"/>
                                    <m:limLoc m:val="undOvr"/>
                                    <m:ctrlPr>
                                      <w:rPr>
                                        <w:rFonts w:ascii="Cambria Math" w:hAnsi="Cambria Math"/>
                                        <w:i/>
                                      </w:rPr>
                                    </m:ctrlPr>
                                  </m:naryPr>
                                  <m:sub>
                                    <m:r>
                                      <w:rPr>
                                        <w:rFonts w:ascii="Cambria Math" w:hAnsi="Cambria Math"/>
                                      </w:rPr>
                                      <m:t>i=1</m:t>
                                    </m:r>
                                  </m:sub>
                                  <m:sup>
                                    <m:r>
                                      <w:rPr>
                                        <w:rFonts w:ascii="Cambria Math" w:hAnsi="Cambria Math"/>
                                      </w:rPr>
                                      <m:t>30</m:t>
                                    </m:r>
                                  </m:sup>
                                  <m:e>
                                    <m:f>
                                      <m:fPr>
                                        <m:ctrlPr>
                                          <w:rPr>
                                            <w:rFonts w:ascii="Cambria Math" w:hAnsi="Cambria Math"/>
                                            <w:i/>
                                          </w:rPr>
                                        </m:ctrlPr>
                                      </m:fPr>
                                      <m:num>
                                        <m:r>
                                          <w:rPr>
                                            <w:rFonts w:ascii="Cambria Math" w:hAnsi="Cambria Math"/>
                                          </w:rPr>
                                          <m:t>i</m:t>
                                        </m:r>
                                      </m:num>
                                      <m:den>
                                        <m:r>
                                          <w:rPr>
                                            <w:rFonts w:ascii="Cambria Math" w:hAnsi="Cambria Math"/>
                                          </w:rPr>
                                          <m:t>30</m:t>
                                        </m:r>
                                      </m:den>
                                    </m:f>
                                  </m:e>
                                </m:nary>
                              </m:e>
                            </m:d>
                          </m:den>
                        </m:f>
                        <m:r>
                          <w:rPr>
                            <w:rFonts w:ascii="Cambria Math" w:hAnsi="Cambria Math"/>
                          </w:rPr>
                          <m:t>,   x&lt;30</m:t>
                        </m:r>
                      </m:e>
                      <m:e>
                        <m:r>
                          <w:rPr>
                            <w:rFonts w:ascii="Cambria Math" w:hAnsi="Cambria Math"/>
                          </w:rPr>
                          <m:t xml:space="preserve">                0,                    x≥30</m:t>
                        </m:r>
                      </m:e>
                    </m:eqArr>
                  </m:e>
                </m:d>
              </m:oMath>
            </m:oMathPara>
          </w:p>
          <w:p w14:paraId="1EA39A70" w14:textId="77777777" w:rsidR="00767353" w:rsidRDefault="00767353" w:rsidP="00604051">
            <w:pPr>
              <w:pStyle w:val="BodyText"/>
            </w:pPr>
            <w:r>
              <w:t xml:space="preserve">In more intuitive terms, the marginal share of wealth that was transferred declines by a factor of </w:t>
            </w:r>
            <m:oMath>
              <m:f>
                <m:fPr>
                  <m:ctrlPr>
                    <w:rPr>
                      <w:rFonts w:ascii="Cambria Math" w:hAnsi="Cambria Math"/>
                      <w:i/>
                    </w:rPr>
                  </m:ctrlPr>
                </m:fPr>
                <m:num>
                  <m:r>
                    <w:rPr>
                      <w:rFonts w:ascii="Cambria Math" w:hAnsi="Cambria Math"/>
                    </w:rPr>
                    <m:t>1</m:t>
                  </m:r>
                </m:num>
                <m:den>
                  <m:r>
                    <w:rPr>
                      <w:rFonts w:ascii="Cambria Math" w:hAnsi="Cambria Math"/>
                    </w:rPr>
                    <m:t>g</m:t>
                  </m:r>
                </m:den>
              </m:f>
            </m:oMath>
            <w:r>
              <w:t xml:space="preserve"> each year going back 30 years. This is effect 1 in this economy — the gradual effect due to growth in household wealth. Then, from 30 years onwards, the marginal effect is suddenly zero. This is effect 2 in this economy — the people who inherited 30 or more years ago have now died.</w:t>
            </w:r>
          </w:p>
          <w:p w14:paraId="05686AB8" w14:textId="77777777" w:rsidR="00767353" w:rsidRDefault="00767353" w:rsidP="00604051">
            <w:pPr>
              <w:pStyle w:val="BodyText"/>
            </w:pPr>
            <w:r>
              <w:t>In reality, effect 2 will not be quite this sudden, because:</w:t>
            </w:r>
          </w:p>
          <w:p w14:paraId="11D2D8E2" w14:textId="77777777" w:rsidR="00767353" w:rsidRDefault="00767353" w:rsidP="00604051">
            <w:pPr>
              <w:pStyle w:val="ListBullet"/>
            </w:pPr>
            <w:r>
              <w:t>people have children and die at different ages</w:t>
            </w:r>
          </w:p>
          <w:p w14:paraId="60D706E1" w14:textId="77777777" w:rsidR="00767353" w:rsidRDefault="00767353" w:rsidP="00604051">
            <w:pPr>
              <w:pStyle w:val="ListBullet"/>
            </w:pPr>
            <w:r>
              <w:t>not all wealth is inherited by children, and some inheritances are given early as gifts.</w:t>
            </w:r>
          </w:p>
          <w:p w14:paraId="342FC918" w14:textId="77777777" w:rsidR="00767353" w:rsidRDefault="00767353" w:rsidP="00604051">
            <w:pPr>
              <w:pStyle w:val="BodyText"/>
            </w:pPr>
            <w:r>
              <w:t>But it is still reasonable to expect effect 2 to be more sudden than effect 1, and delayed by more than 18 years.</w:t>
            </w:r>
          </w:p>
          <w:p w14:paraId="28427204" w14:textId="77777777" w:rsidR="00767353" w:rsidRPr="002B409A" w:rsidRDefault="00767353" w:rsidP="00604051">
            <w:pPr>
              <w:pStyle w:val="BodyText"/>
              <w:rPr>
                <w:sz w:val="18"/>
              </w:rPr>
            </w:pPr>
            <w:r>
              <w:t>Note also that — for simplicity — this model considers only the effect of past wealth transfers on the stock of wealth, not the effect of past wealth transfers on wealth inequality. The former is a major determinant of the latter, but not the sole determinant, as this appendix later demonstrates.</w:t>
            </w:r>
          </w:p>
        </w:tc>
      </w:tr>
      <w:tr w:rsidR="00767353" w14:paraId="57AF1A63" w14:textId="77777777" w:rsidTr="00604051">
        <w:tc>
          <w:tcPr>
            <w:tcW w:w="9638" w:type="dxa"/>
            <w:shd w:val="clear" w:color="auto" w:fill="auto"/>
            <w:tcMar>
              <w:top w:w="0" w:type="dxa"/>
              <w:left w:w="170" w:type="dxa"/>
              <w:bottom w:w="0" w:type="dxa"/>
              <w:right w:w="170" w:type="dxa"/>
            </w:tcMar>
          </w:tcPr>
          <w:p w14:paraId="229F633F" w14:textId="77777777" w:rsidR="00767353" w:rsidRDefault="00767353" w:rsidP="00604051">
            <w:pPr>
              <w:pStyle w:val="BodyText"/>
              <w:spacing w:before="0" w:after="0" w:line="80" w:lineRule="atLeast"/>
            </w:pPr>
          </w:p>
        </w:tc>
      </w:tr>
    </w:tbl>
    <w:p w14:paraId="73943223" w14:textId="6DD27917" w:rsidR="00767353" w:rsidRPr="00115ED4" w:rsidRDefault="00767353" w:rsidP="00767353">
      <w:pPr>
        <w:pStyle w:val="BodyText"/>
        <w:rPr>
          <w:spacing w:val="-4"/>
        </w:rPr>
      </w:pPr>
      <w:r w:rsidRPr="00115ED4">
        <w:rPr>
          <w:spacing w:val="-4"/>
        </w:rPr>
        <w:t>Applying effects 1 and 2, an Australian estimate more comparable to those estimated by Nolan et al. </w:t>
      </w:r>
      <w:r w:rsidRPr="00115ED4">
        <w:rPr>
          <w:spacing w:val="-4"/>
        </w:rPr>
        <w:fldChar w:fldCharType="begin"/>
      </w:r>
      <w:r w:rsidR="0047772E">
        <w:rPr>
          <w:spacing w:val="-4"/>
        </w:rPr>
        <w:instrText xml:space="preserve"> ADDIN ZOTERO_ITEM CSL_CITATION {"citationID":"hQjQ4bez","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115ED4">
        <w:rPr>
          <w:spacing w:val="-4"/>
        </w:rPr>
        <w:fldChar w:fldCharType="separate"/>
      </w:r>
      <w:r w:rsidRPr="00115ED4">
        <w:rPr>
          <w:rFonts w:cs="Arial"/>
          <w:spacing w:val="-4"/>
        </w:rPr>
        <w:t>(2021)</w:t>
      </w:r>
      <w:r w:rsidRPr="00115ED4">
        <w:rPr>
          <w:spacing w:val="-4"/>
        </w:rPr>
        <w:fldChar w:fldCharType="end"/>
      </w:r>
      <w:r w:rsidRPr="00115ED4">
        <w:rPr>
          <w:spacing w:val="-4"/>
        </w:rPr>
        <w:t xml:space="preserve"> (other than for Britain) can be conservatively estimated by extrapolating the trend in figure B.8 forward by about </w:t>
      </w:r>
      <w:r w:rsidRPr="00115ED4">
        <w:rPr>
          <w:spacing w:val="-4"/>
        </w:rPr>
        <w:lastRenderedPageBreak/>
        <w:t>20 years. This suggests that lifetime wealth transfers reduced the mid</w:t>
      </w:r>
      <w:r w:rsidRPr="00115ED4">
        <w:rPr>
          <w:spacing w:val="-4"/>
        </w:rPr>
        <w:noBreakHyphen/>
        <w:t>2018 Gini coefficient of wealth inequality by, at most, about 3 per cent. This remains comfortably below that of all countries except for the United States.</w:t>
      </w:r>
    </w:p>
    <w:p w14:paraId="17545151" w14:textId="34627C21" w:rsidR="00767353" w:rsidRDefault="00767353" w:rsidP="00767353">
      <w:pPr>
        <w:pStyle w:val="BodyText"/>
      </w:pPr>
      <w:r>
        <w:t>The estimates for Australia that are compared with Nolan et al. </w:t>
      </w:r>
      <w:r>
        <w:fldChar w:fldCharType="begin"/>
      </w:r>
      <w:r w:rsidR="0047772E">
        <w:instrText xml:space="preserve"> ADDIN ZOTERO_ITEM CSL_CITATION {"citationID":"kLwDOEff","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fldChar w:fldCharType="separate"/>
      </w:r>
      <w:r w:rsidRPr="0092058F">
        <w:rPr>
          <w:rFonts w:cs="Arial"/>
        </w:rPr>
        <w:t>(2021)</w:t>
      </w:r>
      <w:r>
        <w:fldChar w:fldCharType="end"/>
      </w:r>
      <w:r>
        <w:t>’s estimate for Britain and Crawford and Hood </w:t>
      </w:r>
      <w:r>
        <w:fldChar w:fldCharType="begin"/>
      </w:r>
      <w:r w:rsidR="0047772E">
        <w:instrText xml:space="preserve"> ADDIN ZOTERO_ITEM CSL_CITATION {"citationID":"RYAeYLZy","properties":{"formattedCitation":"(2016)","plainCitation":"(2016)","noteIndex":0},"citationItems":[{"id":1905,"uris":["http://zotero.org/groups/2714158/items/R5UKDRZ9"],"uri":["http://zotero.org/groups/2714158/items/R5UKDRZ9"],"itemData":{"id":1905,"type":"article-journal","container-title":"Fiscal Studies","issue":"1","page":"55–75","source":"Google Scholar","title":"Lifetime receipt of inheritances and the distribution of wealth in England","volume":"37","author":[{"family":"Crawford","given":"Rowena"},{"family":"Hood","given":"Andrew"}],"issued":{"date-parts":[["2016"]]}},"suppress-author":true}],"schema":"https://github.com/citation-style-language/schema/raw/master/csl-citation.json"} </w:instrText>
      </w:r>
      <w:r>
        <w:fldChar w:fldCharType="separate"/>
      </w:r>
      <w:r w:rsidRPr="00EE5FA6">
        <w:rPr>
          <w:rFonts w:cs="Arial"/>
        </w:rPr>
        <w:t>(2016)</w:t>
      </w:r>
      <w:r>
        <w:fldChar w:fldCharType="end"/>
      </w:r>
      <w:r>
        <w:t>’s estimate for England can be adjusted similarly.</w:t>
      </w:r>
    </w:p>
    <w:p w14:paraId="18C059C9" w14:textId="1D74019C" w:rsidR="00767353" w:rsidRDefault="00767353" w:rsidP="00767353">
      <w:pPr>
        <w:pStyle w:val="BodyText"/>
      </w:pPr>
      <w:r>
        <w:t>In the Nolan et al. </w:t>
      </w:r>
      <w:r>
        <w:fldChar w:fldCharType="begin"/>
      </w:r>
      <w:r w:rsidR="0047772E">
        <w:instrText xml:space="preserve"> ADDIN ZOTERO_ITEM CSL_CITATION {"citationID":"9Er3ul0L","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fldChar w:fldCharType="separate"/>
      </w:r>
      <w:r w:rsidRPr="0092058F">
        <w:rPr>
          <w:rFonts w:cs="Arial"/>
        </w:rPr>
        <w:t>(2021)</w:t>
      </w:r>
      <w:r>
        <w:fldChar w:fldCharType="end"/>
      </w:r>
      <w:r>
        <w:t xml:space="preserve"> case, extrapolating the trend in figure B.9, panel a forward by about 20 years will produce a more conservative comparison estimate than that which was compared with the non</w:t>
      </w:r>
      <w:r>
        <w:noBreakHyphen/>
        <w:t>Britain estimates. The only wealth transfers contributing to this comparison estimate prior to 2012</w:t>
      </w:r>
      <w:r>
        <w:noBreakHyphen/>
        <w:t>13 are inheritances, and so effect 2 will be more sudden. This remains comfortably below Nolan et al. </w:t>
      </w:r>
      <w:r>
        <w:fldChar w:fldCharType="begin"/>
      </w:r>
      <w:r w:rsidR="0047772E">
        <w:instrText xml:space="preserve"> ADDIN ZOTERO_ITEM CSL_CITATION {"citationID":"MUp9EVkE","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fldChar w:fldCharType="separate"/>
      </w:r>
      <w:r w:rsidRPr="0092058F">
        <w:rPr>
          <w:rFonts w:cs="Arial"/>
        </w:rPr>
        <w:t>(2021)</w:t>
      </w:r>
      <w:r>
        <w:fldChar w:fldCharType="end"/>
      </w:r>
      <w:r>
        <w:t>’s estimate for Britain (2.91 per cent).</w:t>
      </w:r>
    </w:p>
    <w:p w14:paraId="264120D4" w14:textId="34FE57C1" w:rsidR="00767353" w:rsidRDefault="00767353" w:rsidP="00767353">
      <w:pPr>
        <w:pStyle w:val="BodyText"/>
      </w:pPr>
      <w:r>
        <w:t>The Crawford and Hood </w:t>
      </w:r>
      <w:r>
        <w:fldChar w:fldCharType="begin"/>
      </w:r>
      <w:r w:rsidR="0047772E">
        <w:instrText xml:space="preserve"> ADDIN ZOTERO_ITEM CSL_CITATION {"citationID":"qfXonfsp","properties":{"formattedCitation":"(2016)","plainCitation":"(2016)","noteIndex":0},"citationItems":[{"id":1905,"uris":["http://zotero.org/groups/2714158/items/R5UKDRZ9"],"uri":["http://zotero.org/groups/2714158/items/R5UKDRZ9"],"itemData":{"id":1905,"type":"article-journal","container-title":"Fiscal Studies","issue":"1","page":"55–75","source":"Google Scholar","title":"Lifetime receipt of inheritances and the distribution of wealth in England","volume":"37","author":[{"family":"Crawford","given":"Rowena"},{"family":"Hood","given":"Andrew"}],"issued":{"date-parts":[["2016"]]}},"suppress-author":true}],"schema":"https://github.com/citation-style-language/schema/raw/master/csl-citation.json"} </w:instrText>
      </w:r>
      <w:r>
        <w:fldChar w:fldCharType="separate"/>
      </w:r>
      <w:r w:rsidRPr="00EE5FA6">
        <w:rPr>
          <w:rFonts w:cs="Arial"/>
        </w:rPr>
        <w:t>(2016)</w:t>
      </w:r>
      <w:r>
        <w:fldChar w:fldCharType="end"/>
      </w:r>
      <w:r>
        <w:t xml:space="preserve"> case is slightly different. Wealth transfers are assumed to earn a 3 per cent annual real return, which mitigates effect 1. This is apparent as the trend in figure B.9, panel b is not as clearly concave as that in panel a or in figure B.8. But effect 2 is different here, as the comparison is restricted to people aged 65–79 in 2018. Effect 2 takes effect both in the period immediately prior to 2018 (as people aged 72 in 2018 — the mid</w:t>
      </w:r>
      <w:r>
        <w:noBreakHyphen/>
        <w:t>point — will typically have received their inheritances prior to 2018) and again in the more distant past (as people aged 72 in 2018 will typically not yet have received their inheritances prior to 1996, as the median age of inheritance receipt is 50). This may explain why the trend is flatter between mid</w:t>
      </w:r>
      <w:r>
        <w:noBreakHyphen/>
        <w:t>2018 and mid</w:t>
      </w:r>
      <w:r>
        <w:noBreakHyphen/>
        <w:t>2015 and prior to mid</w:t>
      </w:r>
      <w:r>
        <w:noBreakHyphen/>
        <w:t>2003. In light of this, it is not clear whether the comparison estimate would eventually exceed Crawford and Hood </w:t>
      </w:r>
      <w:r>
        <w:fldChar w:fldCharType="begin"/>
      </w:r>
      <w:r w:rsidR="0047772E">
        <w:instrText xml:space="preserve"> ADDIN ZOTERO_ITEM CSL_CITATION {"citationID":"tRl1EeRl","properties":{"formattedCitation":"(2016)","plainCitation":"(2016)","noteIndex":0},"citationItems":[{"id":1905,"uris":["http://zotero.org/groups/2714158/items/R5UKDRZ9"],"uri":["http://zotero.org/groups/2714158/items/R5UKDRZ9"],"itemData":{"id":1905,"type":"article-journal","container-title":"Fiscal Studies","issue":"1","page":"55–75","source":"Google Scholar","title":"Lifetime receipt of inheritances and the distribution of wealth in England","volume":"37","author":[{"family":"Crawford","given":"Rowena"},{"family":"Hood","given":"Andrew"}],"issued":{"date-parts":[["2016"]]}},"suppress-author":true}],"schema":"https://github.com/citation-style-language/schema/raw/master/csl-citation.json"} </w:instrText>
      </w:r>
      <w:r>
        <w:fldChar w:fldCharType="separate"/>
      </w:r>
      <w:r w:rsidRPr="00EE5FA6">
        <w:rPr>
          <w:rFonts w:cs="Arial"/>
        </w:rPr>
        <w:t>(2016)</w:t>
      </w:r>
      <w:r>
        <w:fldChar w:fldCharType="end"/>
      </w:r>
      <w:r>
        <w:t>’s estimate for England (3.92 per cent). Even if it were to, this does not necessarily imply that wealth transfers reduced relative wealth inequality by more in Australia than in England, as Crawford and Hood </w:t>
      </w:r>
      <w:r>
        <w:fldChar w:fldCharType="begin"/>
      </w:r>
      <w:r w:rsidR="0047772E">
        <w:instrText xml:space="preserve"> ADDIN ZOTERO_ITEM CSL_CITATION {"citationID":"Jq4jk5Oq","properties":{"formattedCitation":"(2016)","plainCitation":"(2016)","noteIndex":0},"citationItems":[{"id":1905,"uris":["http://zotero.org/groups/2714158/items/R5UKDRZ9"],"uri":["http://zotero.org/groups/2714158/items/R5UKDRZ9"],"itemData":{"id":1905,"type":"article-journal","container-title":"Fiscal Studies","issue":"1","page":"55–75","source":"Google Scholar","title":"Lifetime receipt of inheritances and the distribution of wealth in England","volume":"37","author":[{"family":"Crawford","given":"Rowena"},{"family":"Hood","given":"Andrew"}],"issued":{"date-parts":[["2016"]]}},"suppress-author":true}],"schema":"https://github.com/citation-style-language/schema/raw/master/csl-citation.json"} </w:instrText>
      </w:r>
      <w:r>
        <w:fldChar w:fldCharType="separate"/>
      </w:r>
      <w:r w:rsidRPr="00EE5FA6">
        <w:rPr>
          <w:rFonts w:cs="Arial"/>
        </w:rPr>
        <w:t>(2016)</w:t>
      </w:r>
      <w:r>
        <w:fldChar w:fldCharType="end"/>
      </w:r>
      <w:r>
        <w:t xml:space="preserve"> focus on a subset of the population and the two studies of Britain suggest the opposite conclusion.</w:t>
      </w:r>
    </w:p>
    <w:p w14:paraId="2B953052" w14:textId="177286F8"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4345BD">
        <w:t>9</w:t>
      </w:r>
      <w:r>
        <w:rPr>
          <w:noProof/>
        </w:rPr>
        <w:t xml:space="preserve"> </w:t>
      </w:r>
      <w:r>
        <w:t>– Effect of time since wealth transfers received on relative wealth inequality effect — additional comparisons</w:t>
      </w:r>
      <w:r w:rsidRPr="00066CF5">
        <w:rPr>
          <w:vertAlign w:val="superscript"/>
        </w:rPr>
        <w:t>a</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2B409A" w14:paraId="5BDEC68A" w14:textId="77777777" w:rsidTr="00604051">
        <w:trPr>
          <w:tblHeader/>
          <w:jc w:val="center"/>
        </w:trPr>
        <w:tc>
          <w:tcPr>
            <w:tcW w:w="2500" w:type="pct"/>
            <w:tcBorders>
              <w:top w:val="nil"/>
              <w:bottom w:val="nil"/>
            </w:tcBorders>
          </w:tcPr>
          <w:p w14:paraId="156B8253" w14:textId="66A817F8" w:rsidR="00767353" w:rsidRPr="00B83AD3" w:rsidRDefault="005A5572" w:rsidP="00B83AD3">
            <w:pPr>
              <w:pStyle w:val="FigureTableSubheading"/>
              <w:numPr>
                <w:ilvl w:val="0"/>
                <w:numId w:val="51"/>
              </w:numPr>
              <w:rPr>
                <w:sz w:val="16"/>
                <w:szCs w:val="16"/>
              </w:rPr>
            </w:pPr>
            <w:r w:rsidRPr="00B83AD3">
              <w:rPr>
                <w:sz w:val="16"/>
                <w:szCs w:val="16"/>
              </w:rPr>
              <w:t xml:space="preserve">Using the methodology </w:t>
            </w:r>
            <w:r w:rsidRPr="00B83AD3">
              <w:rPr>
                <w:iCs w:val="0"/>
                <w:sz w:val="16"/>
                <w:szCs w:val="16"/>
              </w:rPr>
              <w:t>of</w:t>
            </w:r>
            <w:r w:rsidR="00767353" w:rsidRPr="00B83AD3" w:rsidDel="004345BD">
              <w:rPr>
                <w:sz w:val="16"/>
                <w:szCs w:val="16"/>
              </w:rPr>
              <w:t xml:space="preserve"> </w:t>
            </w:r>
            <w:r w:rsidR="00767353" w:rsidRPr="00B83AD3">
              <w:rPr>
                <w:sz w:val="16"/>
                <w:szCs w:val="16"/>
              </w:rPr>
              <w:t>Nolan et al. </w:t>
            </w:r>
            <w:r w:rsidR="00767353" w:rsidRPr="00B83AD3">
              <w:rPr>
                <w:sz w:val="16"/>
                <w:szCs w:val="16"/>
              </w:rPr>
              <w:fldChar w:fldCharType="begin"/>
            </w:r>
            <w:r w:rsidR="0047772E">
              <w:rPr>
                <w:sz w:val="16"/>
                <w:szCs w:val="16"/>
              </w:rPr>
              <w:instrText xml:space="preserve"> ADDIN ZOTERO_ITEM CSL_CITATION {"citationID":"LsRJ6iKL","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00767353" w:rsidRPr="00B83AD3">
              <w:rPr>
                <w:sz w:val="16"/>
                <w:szCs w:val="16"/>
              </w:rPr>
              <w:fldChar w:fldCharType="separate"/>
            </w:r>
            <w:r w:rsidR="00767353" w:rsidRPr="00B83AD3">
              <w:rPr>
                <w:sz w:val="16"/>
                <w:szCs w:val="16"/>
              </w:rPr>
              <w:t>(2021)</w:t>
            </w:r>
            <w:r w:rsidR="00767353" w:rsidRPr="00B83AD3">
              <w:rPr>
                <w:sz w:val="16"/>
                <w:szCs w:val="16"/>
              </w:rPr>
              <w:fldChar w:fldCharType="end"/>
            </w:r>
            <w:r w:rsidR="00767353" w:rsidRPr="00B83AD3">
              <w:rPr>
                <w:sz w:val="16"/>
                <w:szCs w:val="16"/>
              </w:rPr>
              <w:t xml:space="preserve"> (Britain only)</w:t>
            </w:r>
          </w:p>
        </w:tc>
        <w:tc>
          <w:tcPr>
            <w:tcW w:w="2500" w:type="pct"/>
            <w:tcBorders>
              <w:top w:val="nil"/>
              <w:bottom w:val="nil"/>
            </w:tcBorders>
          </w:tcPr>
          <w:p w14:paraId="58735709" w14:textId="7897B2BC" w:rsidR="00767353" w:rsidRPr="00B83AD3" w:rsidRDefault="005A5572" w:rsidP="00B83AD3">
            <w:pPr>
              <w:pStyle w:val="FigureTableSubheading"/>
              <w:numPr>
                <w:ilvl w:val="0"/>
                <w:numId w:val="51"/>
              </w:numPr>
              <w:rPr>
                <w:sz w:val="16"/>
                <w:szCs w:val="16"/>
              </w:rPr>
            </w:pPr>
            <w:r w:rsidRPr="00B83AD3">
              <w:rPr>
                <w:sz w:val="16"/>
                <w:szCs w:val="16"/>
              </w:rPr>
              <w:t>Using the methodology of</w:t>
            </w:r>
            <w:r w:rsidR="00767353" w:rsidRPr="00B83AD3">
              <w:rPr>
                <w:sz w:val="16"/>
                <w:szCs w:val="16"/>
              </w:rPr>
              <w:t xml:space="preserve"> Crawford and Hood </w:t>
            </w:r>
            <w:r w:rsidR="00767353" w:rsidRPr="00B83AD3">
              <w:rPr>
                <w:sz w:val="16"/>
                <w:szCs w:val="16"/>
              </w:rPr>
              <w:fldChar w:fldCharType="begin"/>
            </w:r>
            <w:r w:rsidR="0047772E">
              <w:rPr>
                <w:sz w:val="16"/>
                <w:szCs w:val="16"/>
              </w:rPr>
              <w:instrText xml:space="preserve"> ADDIN ZOTERO_ITEM CSL_CITATION {"citationID":"oHyq2Vga","properties":{"formattedCitation":"(2016)","plainCitation":"(2016)","noteIndex":0},"citationItems":[{"id":1905,"uris":["http://zotero.org/groups/2714158/items/R5UKDRZ9"],"uri":["http://zotero.org/groups/2714158/items/R5UKDRZ9"],"itemData":{"id":1905,"type":"article-journal","container-title":"Fiscal Studies","issue":"1","page":"55–75","source":"Google Scholar","title":"Lifetime receipt of inheritances and the distribution of wealth in England","volume":"37","author":[{"family":"Crawford","given":"Rowena"},{"family":"Hood","given":"Andrew"}],"issued":{"date-parts":[["2016"]]}},"suppress-author":true}],"schema":"https://github.com/citation-style-language/schema/raw/master/csl-citation.json"} </w:instrText>
            </w:r>
            <w:r w:rsidR="00767353" w:rsidRPr="00B83AD3">
              <w:rPr>
                <w:sz w:val="16"/>
                <w:szCs w:val="16"/>
              </w:rPr>
              <w:fldChar w:fldCharType="separate"/>
            </w:r>
            <w:r w:rsidR="00767353" w:rsidRPr="00B83AD3">
              <w:rPr>
                <w:sz w:val="16"/>
                <w:szCs w:val="16"/>
              </w:rPr>
              <w:t>(2016)</w:t>
            </w:r>
            <w:r w:rsidR="00767353" w:rsidRPr="00B83AD3">
              <w:rPr>
                <w:sz w:val="16"/>
                <w:szCs w:val="16"/>
              </w:rPr>
              <w:fldChar w:fldCharType="end"/>
            </w:r>
            <w:r w:rsidR="00767353" w:rsidRPr="00B83AD3">
              <w:rPr>
                <w:sz w:val="16"/>
                <w:szCs w:val="16"/>
                <w:vertAlign w:val="superscript"/>
              </w:rPr>
              <w:t>b</w:t>
            </w:r>
          </w:p>
        </w:tc>
      </w:tr>
      <w:tr w:rsidR="00767353" w:rsidRPr="002B409A" w14:paraId="16857DAC" w14:textId="77777777" w:rsidTr="00604051">
        <w:trPr>
          <w:tblHeader/>
          <w:jc w:val="center"/>
        </w:trPr>
        <w:tc>
          <w:tcPr>
            <w:tcW w:w="2500" w:type="pct"/>
            <w:tcBorders>
              <w:top w:val="nil"/>
              <w:bottom w:val="nil"/>
            </w:tcBorders>
          </w:tcPr>
          <w:p w14:paraId="0C7386E9" w14:textId="297A8828" w:rsidR="00767353" w:rsidRPr="002B409A" w:rsidRDefault="009A0C06" w:rsidP="00604051">
            <w:pPr>
              <w:spacing w:before="0" w:after="0"/>
              <w:rPr>
                <w:rFonts w:ascii="Arial" w:hAnsi="Arial" w:cs="Arial"/>
                <w:sz w:val="18"/>
                <w:szCs w:val="18"/>
              </w:rPr>
            </w:pPr>
            <w:r>
              <w:rPr>
                <w:rFonts w:ascii="Arial" w:hAnsi="Arial" w:cs="Arial"/>
                <w:sz w:val="18"/>
                <w:szCs w:val="18"/>
              </w:rPr>
              <w:t xml:space="preserve"> </w:t>
            </w:r>
            <w:r w:rsidRPr="009A0C06">
              <w:rPr>
                <w:rFonts w:ascii="Arial" w:hAnsi="Arial" w:cs="Arial"/>
                <w:noProof/>
                <w:sz w:val="18"/>
                <w:szCs w:val="18"/>
              </w:rPr>
              <w:drawing>
                <wp:inline distT="0" distB="0" distL="0" distR="0" wp14:anchorId="0F9EB535" wp14:editId="61D9BAC3">
                  <wp:extent cx="2987040" cy="2339340"/>
                  <wp:effectExtent l="0" t="0" r="3810" b="3810"/>
                  <wp:docPr id="276" name="Picture 276" descr="Figure B.9, panel a. This chart shows the cumulative effect of past wealth transfers — only inheritances prior to 2012-13 — on the mid 2018 Gini coefficient of household wealth inequality, by year transfers received in, assuming no behavioural responses to transfer receipt.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Figure B.9, panel a. This chart shows the cumulative effect of past wealth transfers — only inheritances prior to 2012-13 — on the mid 2018 Gini coefficient of household wealth inequality, by year transfers received in, assuming no behavioural responses to transfer receipt. More details are contained in the text surrounding this figur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470B45E7" w14:textId="1B6A3635" w:rsidR="00767353" w:rsidRPr="002B409A" w:rsidRDefault="00B54378" w:rsidP="00604051">
            <w:pPr>
              <w:spacing w:before="0" w:after="0"/>
              <w:rPr>
                <w:rFonts w:ascii="Arial" w:hAnsi="Arial" w:cs="Arial"/>
                <w:sz w:val="18"/>
                <w:szCs w:val="18"/>
              </w:rPr>
            </w:pPr>
            <w:r>
              <w:rPr>
                <w:rFonts w:ascii="Arial" w:hAnsi="Arial" w:cs="Arial"/>
                <w:sz w:val="18"/>
                <w:szCs w:val="18"/>
              </w:rPr>
              <w:t xml:space="preserve"> </w:t>
            </w:r>
            <w:r w:rsidRPr="00B54378">
              <w:rPr>
                <w:rFonts w:ascii="Arial" w:hAnsi="Arial" w:cs="Arial"/>
                <w:noProof/>
                <w:sz w:val="18"/>
                <w:szCs w:val="18"/>
              </w:rPr>
              <w:drawing>
                <wp:inline distT="0" distB="0" distL="0" distR="0" wp14:anchorId="7605BFA2" wp14:editId="3C85E2BB">
                  <wp:extent cx="2987040" cy="2339340"/>
                  <wp:effectExtent l="0" t="0" r="3810" b="3810"/>
                  <wp:docPr id="279" name="Picture 279" descr="Figure B.9, panel b. This chart shows the cumulative effect of past wealth transfers on the mid 2018 Gini coefficient of household wealth inequality, by year transfers received in, assuming no behavioural responses to transfer receipt and following the methodology of Crawford and Hood (see table B.7).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Figure B.9, panel b. This chart shows the cumulative effect of past wealth transfers on the mid 2018 Gini coefficient of household wealth inequality, by year transfers received in, assuming no behavioural responses to transfer receipt and following the methodology of Crawford and Hood (see table B.7). More details are contained in the text surrounding this figur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1A32DF4B" w14:textId="77777777" w:rsidR="00767353" w:rsidRDefault="00767353" w:rsidP="00767353">
      <w:pPr>
        <w:pStyle w:val="Note"/>
        <w:keepLines/>
      </w:pPr>
      <w:r w:rsidRPr="00180E66">
        <w:rPr>
          <w:b/>
          <w:bCs/>
        </w:rPr>
        <w:t>a.</w:t>
      </w:r>
      <w:r>
        <w:t xml:space="preserve"> </w:t>
      </w:r>
      <w:r w:rsidRPr="002B409A">
        <w:t>All variables are in real (inflation</w:t>
      </w:r>
      <w:r w:rsidRPr="002B409A">
        <w:noBreakHyphen/>
        <w:t xml:space="preserve">adjusted) terms. </w:t>
      </w:r>
      <w:r w:rsidRPr="002B409A">
        <w:rPr>
          <w:b/>
        </w:rPr>
        <w:t>b</w:t>
      </w:r>
      <w:r>
        <w:rPr>
          <w:b/>
        </w:rPr>
        <w:t>.</w:t>
      </w:r>
      <w:r w:rsidRPr="002B409A">
        <w:t xml:space="preserve"> A 3 per cent annual real return to wealth transfers is assumed.</w:t>
      </w:r>
    </w:p>
    <w:p w14:paraId="2CACEF61" w14:textId="77777777" w:rsidR="00767353" w:rsidRDefault="00767353" w:rsidP="00767353">
      <w:pPr>
        <w:pStyle w:val="Source"/>
      </w:pPr>
      <w:r w:rsidRPr="00696447">
        <w:t xml:space="preserve">Source: </w:t>
      </w:r>
      <w:r>
        <w:t>Productivity Commission estimates based on HILDA Restricted Release 19.</w:t>
      </w:r>
    </w:p>
    <w:p w14:paraId="01681962" w14:textId="77777777" w:rsidR="00767353" w:rsidRDefault="00767353" w:rsidP="00767353">
      <w:pPr>
        <w:pStyle w:val="Heading3"/>
      </w:pPr>
      <w:r>
        <w:lastRenderedPageBreak/>
        <w:t>Sources of the cross</w:t>
      </w:r>
      <w:r>
        <w:noBreakHyphen/>
        <w:t>country differences</w:t>
      </w:r>
    </w:p>
    <w:p w14:paraId="11A28079" w14:textId="77777777" w:rsidR="00767353" w:rsidRDefault="00767353" w:rsidP="00767353">
      <w:pPr>
        <w:pStyle w:val="BodyText"/>
      </w:pPr>
      <w:r>
        <w:t>Why is it that wealth transfers have reduced relative wealth inequality by less in Australia than in other countries? It is instructive to decompose the Gini coefficient of post</w:t>
      </w:r>
      <w:r>
        <w:noBreakHyphen/>
        <w:t>transfer wealth inequality as follows:</w:t>
      </w:r>
      <w:r w:rsidRPr="001F567E">
        <w:rPr>
          <w:rStyle w:val="FootnoteReference"/>
        </w:rPr>
        <w:footnoteReference w:id="62"/>
      </w:r>
    </w:p>
    <w:p w14:paraId="22275A75" w14:textId="77777777" w:rsidR="00767353" w:rsidRDefault="00B2270C" w:rsidP="00767353">
      <w:pPr>
        <w:pStyle w:val="BodyText"/>
      </w:pPr>
      <m:oMathPara>
        <m:oMath>
          <m:sSub>
            <m:sSubPr>
              <m:ctrlPr>
                <w:rPr>
                  <w:rFonts w:ascii="Cambria Math" w:hAnsi="Cambria Math"/>
                  <w:i/>
                </w:rPr>
              </m:ctrlPr>
            </m:sSubPr>
            <m:e>
              <m:r>
                <w:rPr>
                  <w:rFonts w:ascii="Cambria Math" w:hAnsi="Cambria Math"/>
                </w:rPr>
                <m:t>Gini</m:t>
              </m:r>
            </m:e>
            <m:sub>
              <m:r>
                <w:rPr>
                  <w:rFonts w:ascii="Cambria Math" w:hAnsi="Cambria Math"/>
                </w:rPr>
                <m:t>Post T</m:t>
              </m:r>
            </m:sub>
          </m:sSub>
          <m:r>
            <w:rPr>
              <w:rFonts w:ascii="Cambria Math" w:hAnsi="Cambria Math"/>
            </w:rPr>
            <m:t xml:space="preserve">= </m:t>
          </m:r>
          <m:sSub>
            <m:sSubPr>
              <m:ctrlPr>
                <w:rPr>
                  <w:rFonts w:ascii="Cambria Math" w:hAnsi="Cambria Math"/>
                  <w:i/>
                </w:rPr>
              </m:ctrlPr>
            </m:sSubPr>
            <m:e>
              <m:r>
                <w:rPr>
                  <w:rFonts w:ascii="Cambria Math" w:hAnsi="Cambria Math"/>
                </w:rPr>
                <m:t>Share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Correlation</m:t>
              </m:r>
            </m:e>
            <m:sub>
              <m:r>
                <w:rPr>
                  <w:rFonts w:ascii="Cambria Math" w:hAnsi="Cambria Math"/>
                </w:rPr>
                <m:t>T-Post T</m:t>
              </m:r>
            </m:sub>
          </m:sSub>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Share</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Correlation</m:t>
              </m:r>
            </m:e>
            <m:sub>
              <m:r>
                <w:rPr>
                  <w:rFonts w:ascii="Cambria Math" w:hAnsi="Cambria Math"/>
                </w:rPr>
                <m:t>Pre T-Post T</m:t>
              </m:r>
            </m:sub>
          </m:sSub>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Pre T</m:t>
              </m:r>
            </m:sub>
          </m:sSub>
        </m:oMath>
      </m:oMathPara>
    </w:p>
    <w:p w14:paraId="5AC5F7D5" w14:textId="77777777" w:rsidR="00767353" w:rsidRDefault="00767353" w:rsidP="0043589E">
      <w:pPr>
        <w:pStyle w:val="BodyText"/>
        <w:keepNext/>
        <w:spacing w:after="0"/>
      </w:pPr>
      <w:r>
        <w:t>Where:</w:t>
      </w:r>
    </w:p>
    <w:p w14:paraId="77C186D9" w14:textId="77777777" w:rsidR="00767353" w:rsidRDefault="00B2270C" w:rsidP="00767353">
      <w:pPr>
        <w:pStyle w:val="ListBullet"/>
        <w:spacing w:before="0"/>
      </w:pPr>
      <m:oMath>
        <m:sSub>
          <m:sSubPr>
            <m:ctrlPr>
              <w:rPr>
                <w:rFonts w:ascii="Cambria Math" w:hAnsi="Cambria Math"/>
              </w:rPr>
            </m:ctrlPr>
          </m:sSubPr>
          <m:e>
            <m:r>
              <w:rPr>
                <w:rFonts w:ascii="Cambria Math" w:hAnsi="Cambria Math"/>
              </w:rPr>
              <m:t>Gini</m:t>
            </m:r>
          </m:e>
          <m:sub>
            <m:r>
              <w:rPr>
                <w:rFonts w:ascii="Cambria Math" w:hAnsi="Cambria Math"/>
              </w:rPr>
              <m:t>x</m:t>
            </m:r>
          </m:sub>
        </m:sSub>
      </m:oMath>
      <w:r w:rsidR="00767353">
        <w:t xml:space="preserve"> is the Gini coefficient of wealth distribution </w:t>
      </w:r>
      <m:oMath>
        <m:r>
          <w:rPr>
            <w:rFonts w:ascii="Cambria Math" w:hAnsi="Cambria Math"/>
          </w:rPr>
          <m:t>x</m:t>
        </m:r>
      </m:oMath>
      <w:r w:rsidR="00767353">
        <w:t xml:space="preserve">, for </w:t>
      </w:r>
      <m:oMath>
        <m:r>
          <w:rPr>
            <w:rFonts w:ascii="Cambria Math" w:hAnsi="Cambria Math"/>
          </w:rPr>
          <m:t>x=Post T</m:t>
        </m:r>
      </m:oMath>
      <w:r w:rsidR="00767353">
        <w:t xml:space="preserve"> (wealth inclusive of wealth transfers), </w:t>
      </w:r>
      <m:oMath>
        <m:r>
          <w:rPr>
            <w:rFonts w:ascii="Cambria Math" w:hAnsi="Cambria Math"/>
          </w:rPr>
          <m:t>x=T</m:t>
        </m:r>
      </m:oMath>
      <w:r w:rsidR="00767353">
        <w:t xml:space="preserve"> (wealth transfers only), and </w:t>
      </w:r>
      <m:oMath>
        <m:r>
          <w:rPr>
            <w:rFonts w:ascii="Cambria Math" w:hAnsi="Cambria Math"/>
          </w:rPr>
          <m:t>x=Pre T</m:t>
        </m:r>
      </m:oMath>
      <w:r w:rsidR="00767353">
        <w:t xml:space="preserve"> (wealth exclusive of wealth transfers)</w:t>
      </w:r>
    </w:p>
    <w:p w14:paraId="565F1A88" w14:textId="77777777" w:rsidR="00767353" w:rsidRDefault="00B2270C" w:rsidP="00767353">
      <w:pPr>
        <w:pStyle w:val="ListBullet"/>
      </w:pPr>
      <m:oMath>
        <m:sSub>
          <m:sSubPr>
            <m:ctrlPr>
              <w:rPr>
                <w:rFonts w:ascii="Cambria Math" w:hAnsi="Cambria Math"/>
                <w:i/>
              </w:rPr>
            </m:ctrlPr>
          </m:sSubPr>
          <m:e>
            <m:r>
              <w:rPr>
                <w:rFonts w:ascii="Cambria Math" w:hAnsi="Cambria Math"/>
              </w:rPr>
              <m:t>Share</m:t>
            </m:r>
          </m:e>
          <m:sub>
            <m:r>
              <w:rPr>
                <w:rFonts w:ascii="Cambria Math" w:hAnsi="Cambria Math"/>
              </w:rPr>
              <m:t>T</m:t>
            </m:r>
          </m:sub>
        </m:sSub>
      </m:oMath>
      <w:r w:rsidR="00767353">
        <w:t xml:space="preserve"> is the share of wealth </w:t>
      </w:r>
      <m:oMath>
        <m:r>
          <w:rPr>
            <w:rFonts w:ascii="Cambria Math" w:hAnsi="Cambria Math"/>
          </w:rPr>
          <m:t>T</m:t>
        </m:r>
      </m:oMath>
      <w:r w:rsidR="00767353">
        <w:t xml:space="preserve"> in wealth </w:t>
      </w:r>
      <m:oMath>
        <m:r>
          <w:rPr>
            <w:rFonts w:ascii="Cambria Math" w:hAnsi="Cambria Math"/>
          </w:rPr>
          <m:t>Post T</m:t>
        </m:r>
      </m:oMath>
    </w:p>
    <w:p w14:paraId="1989BC3C" w14:textId="77777777" w:rsidR="00767353" w:rsidRDefault="00B2270C" w:rsidP="00767353">
      <w:pPr>
        <w:pStyle w:val="ListBullet"/>
      </w:pPr>
      <m:oMath>
        <m:sSub>
          <m:sSubPr>
            <m:ctrlPr>
              <w:rPr>
                <w:rFonts w:ascii="Cambria Math" w:hAnsi="Cambria Math"/>
                <w:i/>
              </w:rPr>
            </m:ctrlPr>
          </m:sSubPr>
          <m:e>
            <m:r>
              <w:rPr>
                <w:rFonts w:ascii="Cambria Math" w:hAnsi="Cambria Math"/>
              </w:rPr>
              <m:t>Correlation</m:t>
            </m:r>
          </m:e>
          <m:sub>
            <m:r>
              <w:rPr>
                <w:rFonts w:ascii="Cambria Math" w:hAnsi="Cambria Math"/>
              </w:rPr>
              <m:t>x-y</m:t>
            </m:r>
          </m:sub>
        </m:sSub>
      </m:oMath>
      <w:r w:rsidR="00767353">
        <w:t xml:space="preserve"> is the Gini correlation between wealth distribution </w:t>
      </w:r>
      <m:oMath>
        <m:r>
          <w:rPr>
            <w:rFonts w:ascii="Cambria Math" w:hAnsi="Cambria Math"/>
          </w:rPr>
          <m:t>x</m:t>
        </m:r>
      </m:oMath>
      <w:r w:rsidR="00767353">
        <w:t xml:space="preserve"> and wealth distribution </w:t>
      </w:r>
      <m:oMath>
        <m:r>
          <w:rPr>
            <w:rFonts w:ascii="Cambria Math" w:hAnsi="Cambria Math"/>
          </w:rPr>
          <m:t>y</m:t>
        </m:r>
      </m:oMath>
      <w:r w:rsidR="00767353">
        <w:t xml:space="preserve">. The Gini correlation is the standard (Pearson) correlation between </w:t>
      </w:r>
      <m:oMath>
        <m:r>
          <w:rPr>
            <w:rFonts w:ascii="Cambria Math" w:hAnsi="Cambria Math"/>
          </w:rPr>
          <m:t>x</m:t>
        </m:r>
      </m:oMath>
      <w:r w:rsidR="00767353">
        <w:t xml:space="preserve"> and </w:t>
      </w:r>
      <m:oMath>
        <m:r>
          <w:rPr>
            <w:rFonts w:ascii="Cambria Math" w:hAnsi="Cambria Math"/>
          </w:rPr>
          <m:t>y</m:t>
        </m:r>
      </m:oMath>
      <w:r w:rsidR="00767353">
        <w:t xml:space="preserve">, but with </w:t>
      </w:r>
      <m:oMath>
        <m:r>
          <w:rPr>
            <w:rFonts w:ascii="Cambria Math" w:hAnsi="Cambria Math"/>
          </w:rPr>
          <m:t>y</m:t>
        </m:r>
      </m:oMath>
      <w:r w:rsidR="00767353">
        <w:t xml:space="preserve"> in rank terms.</w:t>
      </w:r>
    </w:p>
    <w:p w14:paraId="540701B1" w14:textId="77777777" w:rsidR="00767353" w:rsidRDefault="00767353" w:rsidP="00767353">
      <w:pPr>
        <w:pStyle w:val="BodyText"/>
      </w:pPr>
      <w:r>
        <w:t xml:space="preserve">Applying this decomposition, the effect of transfers on the Gini coefficient of relative wealth inequality </w:t>
      </w:r>
      <m:oMath>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Pre T-Post T</m:t>
            </m:r>
          </m:sub>
        </m:sSub>
      </m:oMath>
      <w:r>
        <w:t xml:space="preserve"> is as follows:</w:t>
      </w:r>
    </w:p>
    <w:p w14:paraId="2BD8D079" w14:textId="77777777" w:rsidR="00767353" w:rsidRDefault="00767353" w:rsidP="00767353">
      <w:pPr>
        <w:pStyle w:val="BodyText"/>
      </w:pPr>
      <m:oMathPara>
        <m:oMath>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Pre T-Post T</m:t>
              </m:r>
            </m:sub>
          </m:sSub>
          <m:r>
            <w:rPr>
              <w:rFonts w:ascii="Cambria Math" w:hAnsi="Cambria Math"/>
            </w:rPr>
            <m:t xml:space="preserve">= </m:t>
          </m:r>
          <m:sSub>
            <m:sSubPr>
              <m:ctrlPr>
                <w:rPr>
                  <w:rFonts w:ascii="Cambria Math" w:hAnsi="Cambria Math"/>
                  <w:i/>
                </w:rPr>
              </m:ctrlPr>
            </m:sSubPr>
            <m:e>
              <m:r>
                <w:rPr>
                  <w:rFonts w:ascii="Cambria Math" w:hAnsi="Cambria Math"/>
                </w:rPr>
                <m:t>Share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Correlation</m:t>
              </m:r>
            </m:e>
            <m:sub>
              <m:r>
                <w:rPr>
                  <w:rFonts w:ascii="Cambria Math" w:hAnsi="Cambria Math"/>
                </w:rPr>
                <m:t>T-Post T</m:t>
              </m:r>
            </m:sub>
          </m:sSub>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T</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Share</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Correlation</m:t>
                  </m:r>
                </m:e>
                <m:sub>
                  <m:r>
                    <w:rPr>
                      <w:rFonts w:ascii="Cambria Math" w:hAnsi="Cambria Math"/>
                    </w:rPr>
                    <m:t>Pre T-Post T</m:t>
                  </m:r>
                </m:sub>
              </m:sSub>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Pre T</m:t>
              </m:r>
            </m:sub>
          </m:sSub>
        </m:oMath>
      </m:oMathPara>
    </w:p>
    <w:p w14:paraId="37C27E62" w14:textId="5304CB5A" w:rsidR="00767353" w:rsidRPr="004043E5" w:rsidRDefault="00767353" w:rsidP="00767353">
      <w:pPr>
        <w:pStyle w:val="BodyText"/>
        <w:spacing w:after="0"/>
        <w:rPr>
          <w:spacing w:val="-4"/>
        </w:rPr>
      </w:pPr>
      <w:r w:rsidRPr="004043E5">
        <w:rPr>
          <w:spacing w:val="-4"/>
        </w:rPr>
        <w:t xml:space="preserve">In more intuitive terms, this decomposition captures the same factors that underpin </w:t>
      </w:r>
      <w:r w:rsidRPr="004043E5">
        <w:rPr>
          <w:spacing w:val="-4"/>
          <w:szCs w:val="24"/>
        </w:rPr>
        <w:t>Nekoei and Seim</w:t>
      </w:r>
      <w:r w:rsidRPr="004043E5">
        <w:rPr>
          <w:spacing w:val="-4"/>
        </w:rPr>
        <w:t> </w:t>
      </w:r>
      <w:r w:rsidRPr="004043E5">
        <w:rPr>
          <w:spacing w:val="-4"/>
        </w:rPr>
        <w:fldChar w:fldCharType="begin"/>
      </w:r>
      <w:r w:rsidR="0047772E">
        <w:rPr>
          <w:spacing w:val="-4"/>
        </w:rPr>
        <w:instrText xml:space="preserve"> ADDIN ZOTERO_ITEM CSL_CITATION {"citationID":"0hFh6eQ5","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rsidRPr="004043E5">
        <w:rPr>
          <w:spacing w:val="-4"/>
        </w:rPr>
        <w:fldChar w:fldCharType="separate"/>
      </w:r>
      <w:r w:rsidRPr="004043E5">
        <w:rPr>
          <w:spacing w:val="-4"/>
        </w:rPr>
        <w:t>(2019)</w:t>
      </w:r>
      <w:r w:rsidRPr="004043E5">
        <w:rPr>
          <w:spacing w:val="-4"/>
        </w:rPr>
        <w:fldChar w:fldCharType="end"/>
      </w:r>
      <w:r w:rsidRPr="004043E5">
        <w:rPr>
          <w:spacing w:val="-4"/>
        </w:rPr>
        <w:t>’s model of the effect of inheritances on relative wealth inequality discussed in chapter 3 (box B.3).</w:t>
      </w:r>
    </w:p>
    <w:p w14:paraId="3B7759EE" w14:textId="77777777" w:rsidR="00767353" w:rsidRDefault="00767353" w:rsidP="00767353">
      <w:pPr>
        <w:pStyle w:val="BodyText"/>
        <w:spacing w:before="0"/>
      </w:pPr>
    </w:p>
    <w:tbl>
      <w:tblPr>
        <w:tblStyle w:val="Boxtable"/>
        <w:tblW w:w="5000" w:type="pct"/>
        <w:tblLook w:val="04A0" w:firstRow="1" w:lastRow="0" w:firstColumn="1" w:lastColumn="0" w:noHBand="0" w:noVBand="1"/>
      </w:tblPr>
      <w:tblGrid>
        <w:gridCol w:w="9638"/>
      </w:tblGrid>
      <w:tr w:rsidR="00767353" w14:paraId="64F9424A" w14:textId="77777777" w:rsidTr="00604051">
        <w:trPr>
          <w:tblHeader/>
        </w:trPr>
        <w:tc>
          <w:tcPr>
            <w:tcW w:w="9638" w:type="dxa"/>
            <w:tcMar>
              <w:top w:w="170" w:type="dxa"/>
              <w:left w:w="170" w:type="dxa"/>
              <w:bottom w:w="113" w:type="dxa"/>
              <w:right w:w="170" w:type="dxa"/>
            </w:tcMar>
            <w:hideMark/>
          </w:tcPr>
          <w:p w14:paraId="6CC1E19D" w14:textId="547C7F7A" w:rsidR="00767353" w:rsidRDefault="00767353" w:rsidP="00604051">
            <w:pPr>
              <w:pStyle w:val="BoxHeading1"/>
            </w:pPr>
            <w:r>
              <w:t xml:space="preserve">Box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663ACD">
              <w:t>3</w:t>
            </w:r>
            <w:r>
              <w:t xml:space="preserve"> – The Lerman–Yitzhaki Gini coefficient decomposition</w:t>
            </w:r>
          </w:p>
        </w:tc>
      </w:tr>
      <w:tr w:rsidR="00767353" w14:paraId="70F0F947" w14:textId="77777777" w:rsidTr="00604051">
        <w:tc>
          <w:tcPr>
            <w:tcW w:w="9638" w:type="dxa"/>
            <w:tcMar>
              <w:top w:w="28" w:type="dxa"/>
              <w:left w:w="170" w:type="dxa"/>
              <w:bottom w:w="170" w:type="dxa"/>
              <w:right w:w="170" w:type="dxa"/>
            </w:tcMar>
            <w:hideMark/>
          </w:tcPr>
          <w:p w14:paraId="4970ED45" w14:textId="7534439D" w:rsidR="00767353" w:rsidRDefault="00767353" w:rsidP="00604051">
            <w:pPr>
              <w:pStyle w:val="BodyText"/>
            </w:pPr>
            <w:r>
              <w:t xml:space="preserve">The Gini coefficient decomposition shown above echoes </w:t>
            </w:r>
            <w:r w:rsidRPr="00E5388D">
              <w:rPr>
                <w:szCs w:val="24"/>
              </w:rPr>
              <w:t>Nekoei and Seim</w:t>
            </w:r>
            <w:r>
              <w:rPr>
                <w:szCs w:val="24"/>
              </w:rPr>
              <w:t>’s</w:t>
            </w:r>
            <w:r>
              <w:t> </w:t>
            </w:r>
            <w:r>
              <w:fldChar w:fldCharType="begin"/>
            </w:r>
            <w:r w:rsidR="0047772E">
              <w:instrText xml:space="preserve"> ADDIN ZOTERO_ITEM CSL_CITATION {"citationID":"lliwIU5O","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fldChar w:fldCharType="separate"/>
            </w:r>
            <w:r w:rsidRPr="00764E82">
              <w:t>(2019)</w:t>
            </w:r>
            <w:r>
              <w:fldChar w:fldCharType="end"/>
            </w:r>
            <w:r>
              <w:t xml:space="preserve"> simple model of the effect of inheritances on relative wealth inequality that is discussed in chapter 3. That model is specific to inheritances, but its findings and intuition can be generalised to all wealth transfers.</w:t>
            </w:r>
          </w:p>
          <w:p w14:paraId="0C4B487C" w14:textId="77777777" w:rsidR="00767353" w:rsidRPr="00D91C36" w:rsidRDefault="00767353" w:rsidP="00604051">
            <w:pPr>
              <w:pStyle w:val="ListBullet"/>
              <w:rPr>
                <w:spacing w:val="-4"/>
              </w:rPr>
            </w:pPr>
            <w:r w:rsidRPr="00D91C36">
              <w:rPr>
                <w:spacing w:val="-4"/>
              </w:rPr>
              <w:t>Relative inequality in pre</w:t>
            </w:r>
            <w:r w:rsidRPr="00D91C36">
              <w:rPr>
                <w:spacing w:val="-4"/>
              </w:rPr>
              <w:noBreakHyphen/>
              <w:t xml:space="preserve">transfer wealth </w:t>
            </w:r>
            <m:oMath>
              <m:sSub>
                <m:sSubPr>
                  <m:ctrlPr>
                    <w:rPr>
                      <w:rFonts w:ascii="Cambria Math" w:hAnsi="Cambria Math"/>
                      <w:i/>
                      <w:spacing w:val="-4"/>
                    </w:rPr>
                  </m:ctrlPr>
                </m:sSubPr>
                <m:e>
                  <m:r>
                    <w:rPr>
                      <w:rFonts w:ascii="Cambria Math" w:hAnsi="Cambria Math"/>
                      <w:spacing w:val="-4"/>
                    </w:rPr>
                    <m:t>Gini</m:t>
                  </m:r>
                </m:e>
                <m:sub>
                  <m:r>
                    <w:rPr>
                      <w:rFonts w:ascii="Cambria Math" w:hAnsi="Cambria Math"/>
                      <w:spacing w:val="-4"/>
                    </w:rPr>
                    <m:t>Pre T</m:t>
                  </m:r>
                </m:sub>
              </m:sSub>
            </m:oMath>
            <w:r w:rsidRPr="00D91C36">
              <w:rPr>
                <w:spacing w:val="-4"/>
              </w:rPr>
              <w:t xml:space="preserve"> is roughly analogous to relative inequality in initial wealth among the generation receiving inheritances in </w:t>
            </w:r>
            <w:r w:rsidRPr="00D91C36">
              <w:rPr>
                <w:spacing w:val="-4"/>
                <w:szCs w:val="24"/>
              </w:rPr>
              <w:t>Nekoei and Seim’s model</w:t>
            </w:r>
            <w:r w:rsidRPr="00D91C36">
              <w:rPr>
                <w:spacing w:val="-4"/>
              </w:rPr>
              <w:t xml:space="preserve">. Other things equal, the lower is </w:t>
            </w:r>
            <m:oMath>
              <m:sSub>
                <m:sSubPr>
                  <m:ctrlPr>
                    <w:rPr>
                      <w:rFonts w:ascii="Cambria Math" w:hAnsi="Cambria Math"/>
                      <w:i/>
                      <w:spacing w:val="-4"/>
                    </w:rPr>
                  </m:ctrlPr>
                </m:sSubPr>
                <m:e>
                  <m:r>
                    <w:rPr>
                      <w:rFonts w:ascii="Cambria Math" w:hAnsi="Cambria Math"/>
                      <w:spacing w:val="-4"/>
                    </w:rPr>
                    <m:t>Gini</m:t>
                  </m:r>
                </m:e>
                <m:sub>
                  <m:r>
                    <w:rPr>
                      <w:rFonts w:ascii="Cambria Math" w:hAnsi="Cambria Math"/>
                      <w:spacing w:val="-4"/>
                    </w:rPr>
                    <m:t>Pre T</m:t>
                  </m:r>
                </m:sub>
              </m:sSub>
            </m:oMath>
            <w:r w:rsidRPr="00D91C36">
              <w:rPr>
                <w:spacing w:val="-4"/>
              </w:rPr>
              <w:t xml:space="preserve">, the smaller is the reduction in relative wealth inequality from wealth transfers. This is true since </w:t>
            </w:r>
            <m:oMath>
              <m:f>
                <m:fPr>
                  <m:ctrlPr>
                    <w:rPr>
                      <w:rFonts w:ascii="Cambria Math" w:hAnsi="Cambria Math"/>
                      <w:i/>
                      <w:spacing w:val="-4"/>
                    </w:rPr>
                  </m:ctrlPr>
                </m:fPr>
                <m:num>
                  <m:r>
                    <w:rPr>
                      <w:rFonts w:ascii="Cambria Math" w:hAnsi="Cambria Math"/>
                      <w:spacing w:val="-4"/>
                    </w:rPr>
                    <m:t>d∆</m:t>
                  </m:r>
                  <m:sSub>
                    <m:sSubPr>
                      <m:ctrlPr>
                        <w:rPr>
                          <w:rFonts w:ascii="Cambria Math" w:hAnsi="Cambria Math"/>
                          <w:i/>
                          <w:spacing w:val="-4"/>
                        </w:rPr>
                      </m:ctrlPr>
                    </m:sSubPr>
                    <m:e>
                      <m:r>
                        <w:rPr>
                          <w:rFonts w:ascii="Cambria Math" w:hAnsi="Cambria Math"/>
                          <w:spacing w:val="-4"/>
                        </w:rPr>
                        <m:t>Gini</m:t>
                      </m:r>
                    </m:e>
                    <m:sub>
                      <m:r>
                        <w:rPr>
                          <w:rFonts w:ascii="Cambria Math" w:hAnsi="Cambria Math"/>
                          <w:spacing w:val="-4"/>
                        </w:rPr>
                        <m:t>Pre T-Post T</m:t>
                      </m:r>
                    </m:sub>
                  </m:sSub>
                </m:num>
                <m:den>
                  <m:r>
                    <w:rPr>
                      <w:rFonts w:ascii="Cambria Math" w:hAnsi="Cambria Math"/>
                      <w:spacing w:val="-4"/>
                    </w:rPr>
                    <m:t>d</m:t>
                  </m:r>
                  <m:sSub>
                    <m:sSubPr>
                      <m:ctrlPr>
                        <w:rPr>
                          <w:rFonts w:ascii="Cambria Math" w:hAnsi="Cambria Math"/>
                          <w:i/>
                          <w:spacing w:val="-4"/>
                        </w:rPr>
                      </m:ctrlPr>
                    </m:sSubPr>
                    <m:e>
                      <m:r>
                        <w:rPr>
                          <w:rFonts w:ascii="Cambria Math" w:hAnsi="Cambria Math"/>
                          <w:spacing w:val="-4"/>
                        </w:rPr>
                        <m:t>Gini</m:t>
                      </m:r>
                    </m:e>
                    <m:sub>
                      <m:r>
                        <w:rPr>
                          <w:rFonts w:ascii="Cambria Math" w:hAnsi="Cambria Math"/>
                          <w:spacing w:val="-4"/>
                        </w:rPr>
                        <m:t>Pre T</m:t>
                      </m:r>
                    </m:sub>
                  </m:sSub>
                </m:den>
              </m:f>
              <m:r>
                <w:rPr>
                  <w:rFonts w:ascii="Cambria Math" w:hAnsi="Cambria Math"/>
                  <w:spacing w:val="-4"/>
                </w:rPr>
                <m:t xml:space="preserve">= </m:t>
              </m:r>
              <m:d>
                <m:dPr>
                  <m:ctrlPr>
                    <w:rPr>
                      <w:rFonts w:ascii="Cambria Math" w:hAnsi="Cambria Math"/>
                      <w:i/>
                      <w:spacing w:val="-4"/>
                    </w:rPr>
                  </m:ctrlPr>
                </m:dPr>
                <m:e>
                  <m:r>
                    <w:rPr>
                      <w:rFonts w:ascii="Cambria Math" w:hAnsi="Cambria Math"/>
                      <w:spacing w:val="-4"/>
                    </w:rPr>
                    <m:t>1-</m:t>
                  </m:r>
                  <m:sSub>
                    <m:sSubPr>
                      <m:ctrlPr>
                        <w:rPr>
                          <w:rFonts w:ascii="Cambria Math" w:hAnsi="Cambria Math"/>
                          <w:i/>
                          <w:spacing w:val="-4"/>
                        </w:rPr>
                      </m:ctrlPr>
                    </m:sSubPr>
                    <m:e>
                      <m:r>
                        <w:rPr>
                          <w:rFonts w:ascii="Cambria Math" w:hAnsi="Cambria Math"/>
                          <w:spacing w:val="-4"/>
                        </w:rPr>
                        <m:t>Share</m:t>
                      </m:r>
                    </m:e>
                    <m:sub>
                      <m:r>
                        <w:rPr>
                          <w:rFonts w:ascii="Cambria Math" w:hAnsi="Cambria Math"/>
                          <w:spacing w:val="-4"/>
                        </w:rPr>
                        <m:t>T</m:t>
                      </m:r>
                    </m:sub>
                  </m:sSub>
                </m:e>
              </m:d>
              <m:r>
                <w:rPr>
                  <w:rFonts w:ascii="Cambria Math" w:hAnsi="Cambria Math"/>
                  <w:spacing w:val="-4"/>
                </w:rPr>
                <m:t>×</m:t>
              </m:r>
              <m:sSub>
                <m:sSubPr>
                  <m:ctrlPr>
                    <w:rPr>
                      <w:rFonts w:ascii="Cambria Math" w:hAnsi="Cambria Math"/>
                      <w:i/>
                      <w:spacing w:val="-4"/>
                    </w:rPr>
                  </m:ctrlPr>
                </m:sSubPr>
                <m:e>
                  <m:r>
                    <w:rPr>
                      <w:rFonts w:ascii="Cambria Math" w:hAnsi="Cambria Math"/>
                      <w:spacing w:val="-4"/>
                    </w:rPr>
                    <m:t>Correlation</m:t>
                  </m:r>
                </m:e>
                <m:sub>
                  <m:r>
                    <w:rPr>
                      <w:rFonts w:ascii="Cambria Math" w:hAnsi="Cambria Math"/>
                      <w:spacing w:val="-4"/>
                    </w:rPr>
                    <m:t>Pre T-Post T</m:t>
                  </m:r>
                </m:sub>
              </m:sSub>
              <m:r>
                <w:rPr>
                  <w:rFonts w:ascii="Cambria Math" w:hAnsi="Cambria Math"/>
                  <w:spacing w:val="-4"/>
                </w:rPr>
                <m:t>-1</m:t>
              </m:r>
            </m:oMath>
            <w:r w:rsidRPr="00D91C36">
              <w:rPr>
                <w:spacing w:val="-4"/>
              </w:rPr>
              <w:t>, which is strictly negative.</w:t>
            </w:r>
          </w:p>
          <w:p w14:paraId="3F287D69" w14:textId="77777777" w:rsidR="00767353" w:rsidRDefault="00767353" w:rsidP="00604051">
            <w:pPr>
              <w:pStyle w:val="ListBullet"/>
            </w:pPr>
            <w:r>
              <w:t xml:space="preserve">Relative inequality in wealth transfers </w:t>
            </w:r>
            <m:oMath>
              <m:sSub>
                <m:sSubPr>
                  <m:ctrlPr>
                    <w:rPr>
                      <w:rFonts w:ascii="Cambria Math" w:hAnsi="Cambria Math"/>
                      <w:i/>
                    </w:rPr>
                  </m:ctrlPr>
                </m:sSubPr>
                <m:e>
                  <m:r>
                    <w:rPr>
                      <w:rFonts w:ascii="Cambria Math" w:hAnsi="Cambria Math"/>
                    </w:rPr>
                    <m:t>Gini</m:t>
                  </m:r>
                </m:e>
                <m:sub>
                  <m:r>
                    <w:rPr>
                      <w:rFonts w:ascii="Cambria Math" w:hAnsi="Cambria Math"/>
                    </w:rPr>
                    <m:t>T</m:t>
                  </m:r>
                </m:sub>
              </m:sSub>
            </m:oMath>
            <w:r>
              <w:t xml:space="preserve"> is roughly analogous to relative inequality in wealth among those who die in Nekoei and Seim’s model. Other things equal, the lower is </w:t>
            </w:r>
            <m:oMath>
              <m:sSub>
                <m:sSubPr>
                  <m:ctrlPr>
                    <w:rPr>
                      <w:rFonts w:ascii="Cambria Math" w:hAnsi="Cambria Math"/>
                      <w:i/>
                    </w:rPr>
                  </m:ctrlPr>
                </m:sSubPr>
                <m:e>
                  <m:r>
                    <w:rPr>
                      <w:rFonts w:ascii="Cambria Math" w:hAnsi="Cambria Math"/>
                    </w:rPr>
                    <m:t>Gini</m:t>
                  </m:r>
                </m:e>
                <m:sub>
                  <m:r>
                    <w:rPr>
                      <w:rFonts w:ascii="Cambria Math" w:hAnsi="Cambria Math"/>
                    </w:rPr>
                    <m:t>T</m:t>
                  </m:r>
                </m:sub>
              </m:sSub>
            </m:oMath>
            <w:r>
              <w:t xml:space="preserve">, the larger is the reduction in relative wealth inequality from wealth transfers. This is true since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Gini</m:t>
                      </m:r>
                    </m:e>
                    <m:sub>
                      <m:r>
                        <w:rPr>
                          <w:rFonts w:ascii="Cambria Math" w:hAnsi="Cambria Math"/>
                        </w:rPr>
                        <m:t>Pre T-Post T</m:t>
                      </m:r>
                    </m:sub>
                  </m:sSub>
                </m:num>
                <m:den>
                  <m:r>
                    <w:rPr>
                      <w:rFonts w:ascii="Cambria Math" w:hAnsi="Cambria Math"/>
                    </w:rPr>
                    <m:t>d</m:t>
                  </m:r>
                  <m:sSub>
                    <m:sSubPr>
                      <m:ctrlPr>
                        <w:rPr>
                          <w:rFonts w:ascii="Cambria Math" w:hAnsi="Cambria Math"/>
                          <w:i/>
                        </w:rPr>
                      </m:ctrlPr>
                    </m:sSubPr>
                    <m:e>
                      <m:r>
                        <w:rPr>
                          <w:rFonts w:ascii="Cambria Math" w:hAnsi="Cambria Math"/>
                        </w:rPr>
                        <m:t>Gini</m:t>
                      </m:r>
                    </m:e>
                    <m:sub>
                      <m:r>
                        <w:rPr>
                          <w:rFonts w:ascii="Cambria Math" w:hAnsi="Cambria Math"/>
                        </w:rPr>
                        <m:t xml:space="preserve"> T</m:t>
                      </m:r>
                    </m:sub>
                  </m:sSub>
                </m:den>
              </m:f>
              <m:r>
                <w:rPr>
                  <w:rFonts w:ascii="Cambria Math" w:hAnsi="Cambria Math"/>
                </w:rPr>
                <m:t xml:space="preserve">= </m:t>
              </m:r>
              <m:sSub>
                <m:sSubPr>
                  <m:ctrlPr>
                    <w:rPr>
                      <w:rFonts w:ascii="Cambria Math" w:hAnsi="Cambria Math"/>
                      <w:i/>
                    </w:rPr>
                  </m:ctrlPr>
                </m:sSubPr>
                <m:e>
                  <m:r>
                    <w:rPr>
                      <w:rFonts w:ascii="Cambria Math" w:hAnsi="Cambria Math"/>
                    </w:rPr>
                    <m:t>Share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Correlation</m:t>
                  </m:r>
                </m:e>
                <m:sub>
                  <m:r>
                    <w:rPr>
                      <w:rFonts w:ascii="Cambria Math" w:hAnsi="Cambria Math"/>
                    </w:rPr>
                    <m:t>T-Post T</m:t>
                  </m:r>
                </m:sub>
              </m:sSub>
            </m:oMath>
            <w:r>
              <w:t>, which is strictly positive.</w:t>
            </w:r>
          </w:p>
          <w:p w14:paraId="0F60001C" w14:textId="77777777" w:rsidR="00767353" w:rsidRDefault="00767353" w:rsidP="00604051">
            <w:pPr>
              <w:pStyle w:val="ListBullet"/>
            </w:pPr>
            <w:r>
              <w:t xml:space="preserve">The third component of </w:t>
            </w:r>
            <w:r w:rsidRPr="00E5388D">
              <w:t>Nekoei and Seim</w:t>
            </w:r>
            <w:r>
              <w:t>’s model is the intergenerational persistence in wealth. The most analogous measure here would be a correlation between wealth transfers and pre</w:t>
            </w:r>
            <w:r>
              <w:noBreakHyphen/>
              <w:t xml:space="preserve">transfer wealth. In effect, this is this captured in the decomposition by both </w:t>
            </w:r>
            <m:oMath>
              <m:sSub>
                <m:sSubPr>
                  <m:ctrlPr>
                    <w:rPr>
                      <w:rFonts w:ascii="Cambria Math" w:hAnsi="Cambria Math"/>
                      <w:i/>
                    </w:rPr>
                  </m:ctrlPr>
                </m:sSubPr>
                <m:e>
                  <m:r>
                    <w:rPr>
                      <w:rFonts w:ascii="Cambria Math" w:hAnsi="Cambria Math"/>
                    </w:rPr>
                    <m:t>Correlation</m:t>
                  </m:r>
                </m:e>
                <m:sub>
                  <m:r>
                    <w:rPr>
                      <w:rFonts w:ascii="Cambria Math" w:hAnsi="Cambria Math"/>
                    </w:rPr>
                    <m:t>T-Post T</m:t>
                  </m:r>
                </m:sub>
              </m:sSub>
            </m:oMath>
            <w:r>
              <w:t xml:space="preserve"> and </w:t>
            </w:r>
            <m:oMath>
              <m:sSub>
                <m:sSubPr>
                  <m:ctrlPr>
                    <w:rPr>
                      <w:rFonts w:ascii="Cambria Math" w:hAnsi="Cambria Math"/>
                      <w:i/>
                    </w:rPr>
                  </m:ctrlPr>
                </m:sSubPr>
                <m:e>
                  <m:r>
                    <w:rPr>
                      <w:rFonts w:ascii="Cambria Math" w:hAnsi="Cambria Math"/>
                    </w:rPr>
                    <m:t>Correlation</m:t>
                  </m:r>
                </m:e>
                <m:sub>
                  <m:r>
                    <w:rPr>
                      <w:rFonts w:ascii="Cambria Math" w:hAnsi="Cambria Math"/>
                    </w:rPr>
                    <m:t>Pre T-Post T</m:t>
                  </m:r>
                </m:sub>
              </m:sSub>
            </m:oMath>
            <w:r>
              <w:t xml:space="preserve">. Other things equal, the lower is </w:t>
            </w:r>
            <m:oMath>
              <m:sSub>
                <m:sSubPr>
                  <m:ctrlPr>
                    <w:rPr>
                      <w:rFonts w:ascii="Cambria Math" w:hAnsi="Cambria Math"/>
                      <w:i/>
                    </w:rPr>
                  </m:ctrlPr>
                </m:sSubPr>
                <m:e>
                  <m:r>
                    <w:rPr>
                      <w:rFonts w:ascii="Cambria Math" w:hAnsi="Cambria Math"/>
                    </w:rPr>
                    <m:t>Correlation</m:t>
                  </m:r>
                </m:e>
                <m:sub>
                  <m:r>
                    <w:rPr>
                      <w:rFonts w:ascii="Cambria Math" w:hAnsi="Cambria Math"/>
                    </w:rPr>
                    <m:t>T-Post T</m:t>
                  </m:r>
                </m:sub>
              </m:sSub>
            </m:oMath>
            <w:r>
              <w:t xml:space="preserve"> and </w:t>
            </w:r>
            <m:oMath>
              <m:sSub>
                <m:sSubPr>
                  <m:ctrlPr>
                    <w:rPr>
                      <w:rFonts w:ascii="Cambria Math" w:hAnsi="Cambria Math"/>
                      <w:i/>
                    </w:rPr>
                  </m:ctrlPr>
                </m:sSubPr>
                <m:e>
                  <m:r>
                    <w:rPr>
                      <w:rFonts w:ascii="Cambria Math" w:hAnsi="Cambria Math"/>
                    </w:rPr>
                    <m:t>Correlation</m:t>
                  </m:r>
                </m:e>
                <m:sub>
                  <m:r>
                    <w:rPr>
                      <w:rFonts w:ascii="Cambria Math" w:hAnsi="Cambria Math"/>
                    </w:rPr>
                    <m:t>Pre T-Post T</m:t>
                  </m:r>
                </m:sub>
              </m:sSub>
            </m:oMath>
            <w:r>
              <w:t xml:space="preserve">, the larger is the reduction in relative wealth inequality from wealth transfers. This is true since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Gini</m:t>
                      </m:r>
                    </m:e>
                    <m:sub>
                      <m:r>
                        <w:rPr>
                          <w:rFonts w:ascii="Cambria Math" w:hAnsi="Cambria Math"/>
                        </w:rPr>
                        <m:t>Pre T-Post T</m:t>
                      </m:r>
                    </m:sub>
                  </m:sSub>
                </m:num>
                <m:den>
                  <m:r>
                    <w:rPr>
                      <w:rFonts w:ascii="Cambria Math" w:hAnsi="Cambria Math"/>
                    </w:rPr>
                    <m:t>d</m:t>
                  </m:r>
                  <m:sSub>
                    <m:sSubPr>
                      <m:ctrlPr>
                        <w:rPr>
                          <w:rFonts w:ascii="Cambria Math" w:hAnsi="Cambria Math"/>
                          <w:i/>
                        </w:rPr>
                      </m:ctrlPr>
                    </m:sSubPr>
                    <m:e>
                      <m:r>
                        <w:rPr>
                          <w:rFonts w:ascii="Cambria Math" w:hAnsi="Cambria Math"/>
                        </w:rPr>
                        <m:t>Correlation</m:t>
                      </m:r>
                    </m:e>
                    <m:sub>
                      <m:r>
                        <w:rPr>
                          <w:rFonts w:ascii="Cambria Math" w:hAnsi="Cambria Math"/>
                        </w:rPr>
                        <m:t>T-Post T</m:t>
                      </m:r>
                    </m:sub>
                  </m:sSub>
                </m:den>
              </m:f>
              <m:r>
                <w:rPr>
                  <w:rFonts w:ascii="Cambria Math" w:hAnsi="Cambria Math"/>
                </w:rPr>
                <m:t xml:space="preserve">= </m:t>
              </m:r>
              <m:sSub>
                <m:sSubPr>
                  <m:ctrlPr>
                    <w:rPr>
                      <w:rFonts w:ascii="Cambria Math" w:hAnsi="Cambria Math"/>
                      <w:i/>
                    </w:rPr>
                  </m:ctrlPr>
                </m:sSubPr>
                <m:e>
                  <m:r>
                    <w:rPr>
                      <w:rFonts w:ascii="Cambria Math" w:hAnsi="Cambria Math"/>
                    </w:rPr>
                    <m:t>Share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T</m:t>
                  </m:r>
                </m:sub>
              </m:sSub>
            </m:oMath>
            <w:r>
              <w:t xml:space="preserve"> and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Gini</m:t>
                      </m:r>
                    </m:e>
                    <m:sub>
                      <m:r>
                        <w:rPr>
                          <w:rFonts w:ascii="Cambria Math" w:hAnsi="Cambria Math"/>
                        </w:rPr>
                        <m:t>Pre T-Post T</m:t>
                      </m:r>
                    </m:sub>
                  </m:sSub>
                </m:num>
                <m:den>
                  <m:r>
                    <w:rPr>
                      <w:rFonts w:ascii="Cambria Math" w:hAnsi="Cambria Math"/>
                    </w:rPr>
                    <m:t>d</m:t>
                  </m:r>
                  <m:sSub>
                    <m:sSubPr>
                      <m:ctrlPr>
                        <w:rPr>
                          <w:rFonts w:ascii="Cambria Math" w:hAnsi="Cambria Math"/>
                          <w:i/>
                        </w:rPr>
                      </m:ctrlPr>
                    </m:sSubPr>
                    <m:e>
                      <m:r>
                        <w:rPr>
                          <w:rFonts w:ascii="Cambria Math" w:hAnsi="Cambria Math"/>
                        </w:rPr>
                        <m:t>Correlation</m:t>
                      </m:r>
                    </m:e>
                    <m:sub>
                      <m:r>
                        <w:rPr>
                          <w:rFonts w:ascii="Cambria Math" w:hAnsi="Cambria Math"/>
                        </w:rPr>
                        <m:t>Pre T-Post T</m:t>
                      </m:r>
                    </m:sub>
                  </m:sSub>
                </m:den>
              </m:f>
              <m:r>
                <w:rPr>
                  <w:rFonts w:ascii="Cambria Math" w:hAnsi="Cambria Math"/>
                </w:rPr>
                <m:t xml:space="preserve">= </m:t>
              </m:r>
              <m:sSub>
                <m:sSubPr>
                  <m:ctrlPr>
                    <w:rPr>
                      <w:rFonts w:ascii="Cambria Math" w:hAnsi="Cambria Math"/>
                      <w:i/>
                    </w:rPr>
                  </m:ctrlPr>
                </m:sSubPr>
                <m:e>
                  <m:r>
                    <w:rPr>
                      <w:rFonts w:ascii="Cambria Math" w:hAnsi="Cambria Math"/>
                    </w:rPr>
                    <m:t>(1-Share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Gini</m:t>
                  </m:r>
                </m:e>
                <m:sub>
                  <m:r>
                    <w:rPr>
                      <w:rFonts w:ascii="Cambria Math" w:hAnsi="Cambria Math"/>
                    </w:rPr>
                    <m:t>Pre T</m:t>
                  </m:r>
                </m:sub>
              </m:sSub>
            </m:oMath>
            <w:r>
              <w:t>, both of which are strictly positive.</w:t>
            </w:r>
          </w:p>
        </w:tc>
      </w:tr>
    </w:tbl>
    <w:p w14:paraId="67980117" w14:textId="3A54036C" w:rsidR="00767353" w:rsidRDefault="00767353" w:rsidP="00767353">
      <w:pPr>
        <w:pStyle w:val="BodyText"/>
      </w:pPr>
      <w:r>
        <w:lastRenderedPageBreak/>
        <w:t>Table B.8 show</w:t>
      </w:r>
      <w:r w:rsidRPr="00FE2849">
        <w:t>s this decomposition for</w:t>
      </w:r>
      <w:r>
        <w:t xml:space="preserve"> each of</w:t>
      </w:r>
      <w:r w:rsidRPr="00FE2849">
        <w:t xml:space="preserve"> the countries investigated by Nolan et al. </w:t>
      </w:r>
      <w:r w:rsidRPr="00FE2849">
        <w:fldChar w:fldCharType="begin"/>
      </w:r>
      <w:r w:rsidR="0047772E">
        <w:instrText xml:space="preserve"> ADDIN ZOTERO_ITEM CSL_CITATION {"citationID":"rxsZ0D0C","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FE2849">
        <w:fldChar w:fldCharType="separate"/>
      </w:r>
      <w:r w:rsidRPr="00FE2849">
        <w:t>(2021)</w:t>
      </w:r>
      <w:r w:rsidRPr="00FE2849">
        <w:fldChar w:fldCharType="end"/>
      </w:r>
      <w:r>
        <w:t xml:space="preserve"> and the corresponding estimate for Australia reported in table B.7. </w:t>
      </w:r>
      <m:oMath>
        <m:sSub>
          <m:sSubPr>
            <m:ctrlPr>
              <w:rPr>
                <w:rFonts w:ascii="Cambria Math" w:hAnsi="Cambria Math"/>
                <w:i/>
              </w:rPr>
            </m:ctrlPr>
          </m:sSubPr>
          <m:e>
            <m:r>
              <w:rPr>
                <w:rFonts w:ascii="Cambria Math" w:hAnsi="Cambria Math"/>
              </w:rPr>
              <m:t>Share</m:t>
            </m:r>
          </m:e>
          <m:sub>
            <m:r>
              <w:rPr>
                <w:rFonts w:ascii="Cambria Math" w:hAnsi="Cambria Math"/>
              </w:rPr>
              <m:t>T</m:t>
            </m:r>
          </m:sub>
        </m:sSub>
      </m:oMath>
      <w:r>
        <w:t xml:space="preserve"> and </w:t>
      </w:r>
      <m:oMath>
        <m:sSub>
          <m:sSubPr>
            <m:ctrlPr>
              <w:rPr>
                <w:rFonts w:ascii="Cambria Math" w:hAnsi="Cambria Math"/>
                <w:i/>
              </w:rPr>
            </m:ctrlPr>
          </m:sSubPr>
          <m:e>
            <m:r>
              <w:rPr>
                <w:rFonts w:ascii="Cambria Math" w:hAnsi="Cambria Math"/>
              </w:rPr>
              <m:t>Gini</m:t>
            </m:r>
          </m:e>
          <m:sub>
            <m:r>
              <w:rPr>
                <w:rFonts w:ascii="Cambria Math" w:hAnsi="Cambria Math"/>
              </w:rPr>
              <m:t>Pre T</m:t>
            </m:r>
          </m:sub>
        </m:sSub>
      </m:oMath>
      <w:r>
        <w:t xml:space="preserve"> are lower in Australia than in most or all other countries, while </w:t>
      </w:r>
      <m:oMath>
        <m:sSub>
          <m:sSubPr>
            <m:ctrlPr>
              <w:rPr>
                <w:rFonts w:ascii="Cambria Math" w:hAnsi="Cambria Math"/>
                <w:i/>
              </w:rPr>
            </m:ctrlPr>
          </m:sSubPr>
          <m:e>
            <m:r>
              <w:rPr>
                <w:rFonts w:ascii="Cambria Math" w:hAnsi="Cambria Math"/>
              </w:rPr>
              <m:t>Gini</m:t>
            </m:r>
          </m:e>
          <m:sub>
            <m:r>
              <w:rPr>
                <w:rFonts w:ascii="Cambria Math" w:hAnsi="Cambria Math"/>
              </w:rPr>
              <m:t>T</m:t>
            </m:r>
          </m:sub>
        </m:sSub>
      </m:oMath>
      <w:r>
        <w:t xml:space="preserve"> and </w:t>
      </w:r>
      <m:oMath>
        <m:sSub>
          <m:sSubPr>
            <m:ctrlPr>
              <w:rPr>
                <w:rFonts w:ascii="Cambria Math" w:hAnsi="Cambria Math"/>
                <w:i/>
              </w:rPr>
            </m:ctrlPr>
          </m:sSubPr>
          <m:e>
            <m:r>
              <w:rPr>
                <w:rFonts w:ascii="Cambria Math" w:hAnsi="Cambria Math"/>
              </w:rPr>
              <m:t>Correlation</m:t>
            </m:r>
          </m:e>
          <m:sub>
            <m:r>
              <w:rPr>
                <w:rFonts w:ascii="Cambria Math" w:hAnsi="Cambria Math"/>
              </w:rPr>
              <m:t>Pre T-Post T</m:t>
            </m:r>
          </m:sub>
        </m:sSub>
      </m:oMath>
      <w:r>
        <w:t xml:space="preserve"> are higher. These factors are each consistent with the reduction in relative wealth inequality in Australia being lower than in other countries. Meanwhile, </w:t>
      </w:r>
      <m:oMath>
        <m:sSub>
          <m:sSubPr>
            <m:ctrlPr>
              <w:rPr>
                <w:rFonts w:ascii="Cambria Math" w:hAnsi="Cambria Math"/>
                <w:i/>
              </w:rPr>
            </m:ctrlPr>
          </m:sSubPr>
          <m:e>
            <m:r>
              <w:rPr>
                <w:rFonts w:ascii="Cambria Math" w:hAnsi="Cambria Math"/>
              </w:rPr>
              <m:t>Correlation</m:t>
            </m:r>
          </m:e>
          <m:sub>
            <m:r>
              <w:rPr>
                <w:rFonts w:ascii="Cambria Math" w:hAnsi="Cambria Math"/>
              </w:rPr>
              <m:t>T-Post T</m:t>
            </m:r>
          </m:sub>
        </m:sSub>
      </m:oMath>
      <w:r>
        <w:t xml:space="preserve"> is lower in Australia than in other countries, which has the opposite effect.</w:t>
      </w:r>
    </w:p>
    <w:p w14:paraId="4D6EC990" w14:textId="1408320B" w:rsidR="00767353" w:rsidRDefault="00767353" w:rsidP="00767353">
      <w:pPr>
        <w:pStyle w:val="FigureTableHeading"/>
      </w:pPr>
      <w:r>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0A12B4">
        <w:t>8</w:t>
      </w:r>
      <w:r>
        <w:rPr>
          <w:noProof/>
        </w:rPr>
        <w:t xml:space="preserve"> – </w:t>
      </w:r>
      <w:r>
        <w:t>Contributors to the immediate</w:t>
      </w:r>
      <w:r>
        <w:noBreakHyphen/>
        <w:t>term effect of transfers on wealth inequality</w:t>
      </w:r>
      <w:r w:rsidRPr="00EC0C27">
        <w:rPr>
          <w:vertAlign w:val="superscript"/>
        </w:rPr>
        <w:t>a</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969"/>
        <w:gridCol w:w="1096"/>
        <w:gridCol w:w="1096"/>
        <w:gridCol w:w="1095"/>
        <w:gridCol w:w="1095"/>
        <w:gridCol w:w="1095"/>
        <w:gridCol w:w="1097"/>
        <w:gridCol w:w="1095"/>
      </w:tblGrid>
      <w:tr w:rsidR="00767353" w:rsidRPr="002B409A" w14:paraId="07C44FE0" w14:textId="77777777" w:rsidTr="00604051">
        <w:trPr>
          <w:tblHeader/>
        </w:trPr>
        <w:tc>
          <w:tcPr>
            <w:tcW w:w="1021" w:type="pct"/>
            <w:tcBorders>
              <w:bottom w:val="single" w:sz="4" w:space="0" w:color="B3B3B3"/>
            </w:tcBorders>
            <w:shd w:val="clear" w:color="auto" w:fill="auto"/>
            <w:tcMar>
              <w:top w:w="28" w:type="dxa"/>
            </w:tcMar>
            <w:vAlign w:val="bottom"/>
          </w:tcPr>
          <w:p w14:paraId="2E377CF8" w14:textId="77777777" w:rsidR="00767353" w:rsidRPr="002B409A" w:rsidRDefault="00767353" w:rsidP="00604051">
            <w:pPr>
              <w:pStyle w:val="TableColumnHeading"/>
              <w:spacing w:before="45" w:after="45"/>
              <w:ind w:left="57" w:right="108"/>
              <w:rPr>
                <w:rFonts w:ascii="Arial (Body)" w:hAnsi="Arial (Body)"/>
                <w:b/>
                <w:i w:val="0"/>
                <w:color w:val="265A9A"/>
              </w:rPr>
            </w:pPr>
          </w:p>
        </w:tc>
        <w:tc>
          <w:tcPr>
            <w:tcW w:w="568" w:type="pct"/>
            <w:tcBorders>
              <w:bottom w:val="single" w:sz="4" w:space="0" w:color="B3B3B3"/>
            </w:tcBorders>
            <w:shd w:val="clear" w:color="auto" w:fill="auto"/>
            <w:vAlign w:val="bottom"/>
          </w:tcPr>
          <w:p w14:paraId="21C1FFE6" w14:textId="77777777" w:rsidR="00767353" w:rsidRPr="002B2B52" w:rsidRDefault="00767353" w:rsidP="00604051">
            <w:pPr>
              <w:pStyle w:val="TableColumnHeading"/>
              <w:spacing w:before="45" w:after="45"/>
              <w:ind w:left="57" w:right="108"/>
              <w:rPr>
                <w:rFonts w:ascii="Arial (Body)" w:hAnsi="Arial (Body)"/>
                <w:b/>
                <w:bCs/>
                <w:i w:val="0"/>
                <w:color w:val="265A9A" w:themeColor="background2"/>
              </w:rPr>
            </w:pPr>
            <w:r w:rsidRPr="002B2B52">
              <w:rPr>
                <w:rFonts w:ascii="Arial (Body)" w:hAnsi="Arial (Body)"/>
                <w:b/>
                <w:bCs/>
                <w:i w:val="0"/>
                <w:color w:val="265A9A" w:themeColor="background2"/>
              </w:rPr>
              <w:t>Australia</w:t>
            </w:r>
          </w:p>
        </w:tc>
        <w:tc>
          <w:tcPr>
            <w:tcW w:w="568" w:type="pct"/>
            <w:tcBorders>
              <w:bottom w:val="single" w:sz="4" w:space="0" w:color="B3B3B3"/>
            </w:tcBorders>
            <w:shd w:val="clear" w:color="auto" w:fill="auto"/>
            <w:tcMar>
              <w:top w:w="28" w:type="dxa"/>
            </w:tcMar>
            <w:vAlign w:val="bottom"/>
          </w:tcPr>
          <w:p w14:paraId="2A82F12C" w14:textId="77777777" w:rsidR="00767353" w:rsidRPr="002B409A" w:rsidRDefault="00767353" w:rsidP="00604051">
            <w:pPr>
              <w:pStyle w:val="TableColumnHeading"/>
              <w:spacing w:before="45" w:after="45"/>
              <w:ind w:left="57" w:right="108"/>
              <w:rPr>
                <w:rFonts w:ascii="Arial (Body)" w:hAnsi="Arial (Body)"/>
                <w:b/>
                <w:i w:val="0"/>
                <w:color w:val="265A9A"/>
              </w:rPr>
            </w:pPr>
            <w:r w:rsidRPr="002B409A">
              <w:rPr>
                <w:rFonts w:ascii="Arial (Body)" w:hAnsi="Arial (Body)"/>
                <w:b/>
                <w:i w:val="0"/>
                <w:color w:val="265A9A"/>
              </w:rPr>
              <w:t>Britain</w:t>
            </w:r>
          </w:p>
        </w:tc>
        <w:tc>
          <w:tcPr>
            <w:tcW w:w="568" w:type="pct"/>
            <w:tcBorders>
              <w:bottom w:val="single" w:sz="4" w:space="0" w:color="B3B3B3"/>
            </w:tcBorders>
            <w:shd w:val="clear" w:color="auto" w:fill="auto"/>
            <w:vAlign w:val="bottom"/>
          </w:tcPr>
          <w:p w14:paraId="7C6AFDEC" w14:textId="77777777" w:rsidR="00767353" w:rsidRPr="002B409A" w:rsidRDefault="00767353" w:rsidP="00604051">
            <w:pPr>
              <w:pStyle w:val="TableColumnHeading"/>
              <w:spacing w:before="45" w:after="45"/>
              <w:ind w:left="57" w:right="108"/>
              <w:rPr>
                <w:rFonts w:ascii="Arial (Body)" w:hAnsi="Arial (Body)"/>
                <w:b/>
                <w:i w:val="0"/>
                <w:color w:val="265A9A"/>
              </w:rPr>
            </w:pPr>
            <w:r w:rsidRPr="002B409A">
              <w:rPr>
                <w:rFonts w:ascii="Arial (Body)" w:hAnsi="Arial (Body)"/>
                <w:b/>
                <w:i w:val="0"/>
                <w:color w:val="265A9A"/>
              </w:rPr>
              <w:t>France</w:t>
            </w:r>
          </w:p>
        </w:tc>
        <w:tc>
          <w:tcPr>
            <w:tcW w:w="568" w:type="pct"/>
            <w:tcBorders>
              <w:bottom w:val="single" w:sz="4" w:space="0" w:color="B3B3B3"/>
            </w:tcBorders>
            <w:shd w:val="clear" w:color="auto" w:fill="auto"/>
            <w:vAlign w:val="bottom"/>
          </w:tcPr>
          <w:p w14:paraId="2F9C37E1" w14:textId="77777777" w:rsidR="00767353" w:rsidRPr="002B409A" w:rsidRDefault="00767353" w:rsidP="00604051">
            <w:pPr>
              <w:pStyle w:val="TableColumnHeading"/>
              <w:spacing w:before="45" w:after="45"/>
              <w:ind w:left="57" w:right="108"/>
              <w:rPr>
                <w:rFonts w:ascii="Arial (Body)" w:hAnsi="Arial (Body)"/>
                <w:b/>
                <w:i w:val="0"/>
                <w:color w:val="265A9A"/>
              </w:rPr>
            </w:pPr>
            <w:r w:rsidRPr="002B409A">
              <w:rPr>
                <w:rFonts w:ascii="Arial (Body)" w:hAnsi="Arial (Body)"/>
                <w:b/>
                <w:i w:val="0"/>
                <w:color w:val="265A9A"/>
              </w:rPr>
              <w:t>Germany</w:t>
            </w:r>
          </w:p>
        </w:tc>
        <w:tc>
          <w:tcPr>
            <w:tcW w:w="568" w:type="pct"/>
            <w:tcBorders>
              <w:bottom w:val="single" w:sz="4" w:space="0" w:color="B3B3B3"/>
            </w:tcBorders>
            <w:shd w:val="clear" w:color="auto" w:fill="auto"/>
            <w:vAlign w:val="bottom"/>
          </w:tcPr>
          <w:p w14:paraId="17187102" w14:textId="77777777" w:rsidR="00767353" w:rsidRPr="002B409A" w:rsidRDefault="00767353" w:rsidP="00604051">
            <w:pPr>
              <w:pStyle w:val="TableColumnHeading"/>
              <w:spacing w:before="45" w:after="45"/>
              <w:ind w:left="57" w:right="108"/>
              <w:rPr>
                <w:rFonts w:ascii="Arial (Body)" w:hAnsi="Arial (Body)"/>
                <w:b/>
                <w:i w:val="0"/>
                <w:color w:val="265A9A"/>
              </w:rPr>
            </w:pPr>
            <w:r w:rsidRPr="002B409A">
              <w:rPr>
                <w:rFonts w:ascii="Arial (Body)" w:hAnsi="Arial (Body)"/>
                <w:b/>
                <w:i w:val="0"/>
                <w:color w:val="265A9A"/>
              </w:rPr>
              <w:t>Italy</w:t>
            </w:r>
          </w:p>
        </w:tc>
        <w:tc>
          <w:tcPr>
            <w:tcW w:w="569" w:type="pct"/>
            <w:tcBorders>
              <w:bottom w:val="single" w:sz="4" w:space="0" w:color="B3B3B3"/>
            </w:tcBorders>
            <w:shd w:val="clear" w:color="auto" w:fill="auto"/>
            <w:vAlign w:val="bottom"/>
          </w:tcPr>
          <w:p w14:paraId="1FB40B08" w14:textId="77777777" w:rsidR="00767353" w:rsidRPr="002B409A" w:rsidRDefault="00767353" w:rsidP="00604051">
            <w:pPr>
              <w:pStyle w:val="TableColumnHeading"/>
              <w:spacing w:before="45" w:after="45"/>
              <w:ind w:left="57" w:right="108"/>
              <w:rPr>
                <w:rFonts w:ascii="Arial (Body)" w:hAnsi="Arial (Body)"/>
                <w:b/>
                <w:i w:val="0"/>
                <w:color w:val="265A9A"/>
              </w:rPr>
            </w:pPr>
            <w:r w:rsidRPr="002B409A">
              <w:rPr>
                <w:rFonts w:ascii="Arial (Body)" w:hAnsi="Arial (Body)"/>
                <w:b/>
                <w:i w:val="0"/>
                <w:color w:val="265A9A"/>
              </w:rPr>
              <w:t>Spain</w:t>
            </w:r>
          </w:p>
        </w:tc>
        <w:tc>
          <w:tcPr>
            <w:tcW w:w="568" w:type="pct"/>
            <w:tcBorders>
              <w:bottom w:val="single" w:sz="4" w:space="0" w:color="B3B3B3"/>
            </w:tcBorders>
            <w:shd w:val="clear" w:color="auto" w:fill="auto"/>
            <w:tcMar>
              <w:top w:w="28" w:type="dxa"/>
            </w:tcMar>
            <w:vAlign w:val="bottom"/>
          </w:tcPr>
          <w:p w14:paraId="5917F950" w14:textId="77777777" w:rsidR="00767353" w:rsidRPr="002B409A" w:rsidRDefault="00767353" w:rsidP="00604051">
            <w:pPr>
              <w:pStyle w:val="TableColumnHeading"/>
              <w:spacing w:before="45" w:after="45"/>
              <w:ind w:left="57" w:right="108"/>
              <w:rPr>
                <w:rFonts w:ascii="Arial (Body)" w:hAnsi="Arial (Body)"/>
                <w:b/>
                <w:i w:val="0"/>
                <w:color w:val="265A9A"/>
              </w:rPr>
            </w:pPr>
            <w:r w:rsidRPr="002B409A">
              <w:rPr>
                <w:rFonts w:ascii="Arial (Body)" w:hAnsi="Arial (Body)"/>
                <w:b/>
                <w:i w:val="0"/>
                <w:color w:val="265A9A"/>
              </w:rPr>
              <w:t>United States</w:t>
            </w:r>
          </w:p>
        </w:tc>
      </w:tr>
      <w:tr w:rsidR="00767353" w:rsidRPr="002B409A" w14:paraId="6E43B572" w14:textId="77777777" w:rsidTr="00604051">
        <w:tc>
          <w:tcPr>
            <w:tcW w:w="1021" w:type="pct"/>
            <w:tcBorders>
              <w:top w:val="single" w:sz="4" w:space="0" w:color="B3B3B3"/>
              <w:bottom w:val="nil"/>
            </w:tcBorders>
            <w:shd w:val="clear" w:color="auto" w:fill="F1F1F1"/>
          </w:tcPr>
          <w:p w14:paraId="113907BD" w14:textId="77777777" w:rsidR="00767353" w:rsidRPr="002B409A"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r>
                      <w:rPr>
                        <w:rFonts w:ascii="Cambria Math" w:hAnsi="Cambria Math"/>
                      </w:rPr>
                      <m:t>Gini</m:t>
                    </m:r>
                  </m:e>
                  <m:sub>
                    <m:r>
                      <w:rPr>
                        <w:rFonts w:ascii="Cambria Math" w:hAnsi="Cambria Math"/>
                      </w:rPr>
                      <m:t>Post</m:t>
                    </m:r>
                    <m:r>
                      <m:rPr>
                        <m:sty m:val="p"/>
                      </m:rPr>
                      <w:rPr>
                        <w:rFonts w:ascii="Cambria Math" w:hAnsi="Cambria Math"/>
                      </w:rPr>
                      <m:t xml:space="preserve"> </m:t>
                    </m:r>
                    <m:r>
                      <w:rPr>
                        <w:rFonts w:ascii="Cambria Math" w:hAnsi="Cambria Math"/>
                      </w:rPr>
                      <m:t>T</m:t>
                    </m:r>
                  </m:sub>
                </m:sSub>
              </m:oMath>
            </m:oMathPara>
          </w:p>
        </w:tc>
        <w:tc>
          <w:tcPr>
            <w:tcW w:w="568" w:type="pct"/>
            <w:tcBorders>
              <w:top w:val="single" w:sz="4" w:space="0" w:color="B3B3B3"/>
              <w:bottom w:val="nil"/>
            </w:tcBorders>
            <w:shd w:val="clear" w:color="auto" w:fill="F1F1F1"/>
          </w:tcPr>
          <w:p w14:paraId="53EA9C73" w14:textId="77777777" w:rsidR="00767353" w:rsidRPr="002B2B52" w:rsidRDefault="00767353" w:rsidP="00604051">
            <w:pPr>
              <w:pStyle w:val="TableBodyText"/>
              <w:spacing w:before="45" w:after="45"/>
              <w:ind w:left="57" w:right="108"/>
              <w:rPr>
                <w:rFonts w:ascii="Arial (Body)" w:hAnsi="Arial (Body)"/>
                <w:b/>
                <w:bCs/>
                <w:color w:val="265A9A" w:themeColor="background2"/>
              </w:rPr>
            </w:pPr>
            <w:r w:rsidRPr="002B2B52">
              <w:rPr>
                <w:rFonts w:ascii="Arial (Body)" w:hAnsi="Arial (Body)"/>
                <w:b/>
                <w:bCs/>
                <w:color w:val="265A9A" w:themeColor="background2"/>
              </w:rPr>
              <w:t>0.618</w:t>
            </w:r>
          </w:p>
        </w:tc>
        <w:tc>
          <w:tcPr>
            <w:tcW w:w="568" w:type="pct"/>
            <w:tcBorders>
              <w:top w:val="single" w:sz="4" w:space="0" w:color="B3B3B3"/>
              <w:bottom w:val="nil"/>
            </w:tcBorders>
            <w:shd w:val="clear" w:color="auto" w:fill="F1F1F1"/>
          </w:tcPr>
          <w:p w14:paraId="6A80C9DB"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0.668</w:t>
            </w:r>
          </w:p>
        </w:tc>
        <w:tc>
          <w:tcPr>
            <w:tcW w:w="568" w:type="pct"/>
            <w:tcBorders>
              <w:top w:val="single" w:sz="4" w:space="0" w:color="B3B3B3"/>
              <w:bottom w:val="nil"/>
            </w:tcBorders>
            <w:shd w:val="clear" w:color="auto" w:fill="F1F1F1"/>
          </w:tcPr>
          <w:p w14:paraId="69CCCDD8"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0.678</w:t>
            </w:r>
          </w:p>
        </w:tc>
        <w:tc>
          <w:tcPr>
            <w:tcW w:w="568" w:type="pct"/>
            <w:tcBorders>
              <w:top w:val="single" w:sz="4" w:space="0" w:color="B3B3B3"/>
              <w:bottom w:val="nil"/>
            </w:tcBorders>
            <w:shd w:val="clear" w:color="auto" w:fill="F1F1F1"/>
          </w:tcPr>
          <w:p w14:paraId="7101B7E6"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0.776</w:t>
            </w:r>
          </w:p>
        </w:tc>
        <w:tc>
          <w:tcPr>
            <w:tcW w:w="568" w:type="pct"/>
            <w:tcBorders>
              <w:top w:val="single" w:sz="4" w:space="0" w:color="B3B3B3"/>
              <w:bottom w:val="nil"/>
            </w:tcBorders>
            <w:shd w:val="clear" w:color="auto" w:fill="F1F1F1"/>
          </w:tcPr>
          <w:p w14:paraId="69F8E9FD"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0.604</w:t>
            </w:r>
          </w:p>
        </w:tc>
        <w:tc>
          <w:tcPr>
            <w:tcW w:w="569" w:type="pct"/>
            <w:tcBorders>
              <w:top w:val="single" w:sz="4" w:space="0" w:color="B3B3B3"/>
              <w:bottom w:val="nil"/>
            </w:tcBorders>
            <w:shd w:val="clear" w:color="auto" w:fill="F1F1F1"/>
          </w:tcPr>
          <w:p w14:paraId="0D357D6F"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0.581</w:t>
            </w:r>
          </w:p>
        </w:tc>
        <w:tc>
          <w:tcPr>
            <w:tcW w:w="568" w:type="pct"/>
            <w:tcBorders>
              <w:top w:val="single" w:sz="4" w:space="0" w:color="B3B3B3"/>
              <w:bottom w:val="nil"/>
            </w:tcBorders>
            <w:shd w:val="clear" w:color="auto" w:fill="F1F1F1"/>
          </w:tcPr>
          <w:p w14:paraId="5819BBBA"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0.868</w:t>
            </w:r>
          </w:p>
        </w:tc>
      </w:tr>
      <w:tr w:rsidR="00767353" w:rsidRPr="002B409A" w14:paraId="6B144C8E" w14:textId="77777777" w:rsidTr="00604051">
        <w:tc>
          <w:tcPr>
            <w:tcW w:w="1021" w:type="pct"/>
            <w:tcBorders>
              <w:top w:val="nil"/>
              <w:bottom w:val="nil"/>
            </w:tcBorders>
            <w:shd w:val="clear" w:color="auto" w:fill="auto"/>
          </w:tcPr>
          <w:p w14:paraId="3694BF51" w14:textId="77777777" w:rsidR="00767353" w:rsidRPr="002B409A"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r>
                      <w:rPr>
                        <w:rFonts w:ascii="Cambria Math" w:hAnsi="Cambria Math"/>
                      </w:rPr>
                      <m:t>Gini</m:t>
                    </m:r>
                  </m:e>
                  <m:sub>
                    <m:r>
                      <w:rPr>
                        <w:rFonts w:ascii="Cambria Math" w:hAnsi="Cambria Math"/>
                      </w:rPr>
                      <m:t>Pre</m:t>
                    </m:r>
                    <m:r>
                      <m:rPr>
                        <m:sty m:val="p"/>
                      </m:rPr>
                      <w:rPr>
                        <w:rFonts w:ascii="Cambria Math" w:hAnsi="Cambria Math"/>
                      </w:rPr>
                      <m:t xml:space="preserve"> </m:t>
                    </m:r>
                    <m:r>
                      <w:rPr>
                        <w:rFonts w:ascii="Cambria Math" w:hAnsi="Cambria Math"/>
                      </w:rPr>
                      <m:t>T</m:t>
                    </m:r>
                  </m:sub>
                </m:sSub>
              </m:oMath>
            </m:oMathPara>
          </w:p>
        </w:tc>
        <w:tc>
          <w:tcPr>
            <w:tcW w:w="568" w:type="pct"/>
            <w:tcBorders>
              <w:top w:val="nil"/>
              <w:bottom w:val="nil"/>
            </w:tcBorders>
            <w:shd w:val="clear" w:color="auto" w:fill="auto"/>
          </w:tcPr>
          <w:p w14:paraId="037C454B" w14:textId="77777777" w:rsidR="00767353" w:rsidRPr="002B2B52" w:rsidRDefault="00767353" w:rsidP="00604051">
            <w:pPr>
              <w:pStyle w:val="TableBodyText"/>
              <w:spacing w:before="45" w:after="45"/>
              <w:ind w:left="57" w:right="108"/>
              <w:rPr>
                <w:rFonts w:ascii="Arial (Body)" w:hAnsi="Arial (Body)"/>
                <w:b/>
                <w:bCs/>
                <w:color w:val="265A9A" w:themeColor="background2"/>
              </w:rPr>
            </w:pPr>
            <w:r w:rsidRPr="002B2B52">
              <w:rPr>
                <w:rFonts w:ascii="Arial (Body)" w:hAnsi="Arial (Body)"/>
                <w:b/>
                <w:bCs/>
                <w:color w:val="265A9A" w:themeColor="background2"/>
              </w:rPr>
              <w:t>0.629</w:t>
            </w:r>
          </w:p>
        </w:tc>
        <w:tc>
          <w:tcPr>
            <w:tcW w:w="568" w:type="pct"/>
            <w:tcBorders>
              <w:top w:val="nil"/>
              <w:bottom w:val="nil"/>
            </w:tcBorders>
            <w:shd w:val="clear" w:color="auto" w:fill="auto"/>
          </w:tcPr>
          <w:p w14:paraId="517B10EE"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0.688</w:t>
            </w:r>
          </w:p>
        </w:tc>
        <w:tc>
          <w:tcPr>
            <w:tcW w:w="568" w:type="pct"/>
            <w:tcBorders>
              <w:top w:val="nil"/>
              <w:bottom w:val="nil"/>
            </w:tcBorders>
            <w:shd w:val="clear" w:color="auto" w:fill="auto"/>
          </w:tcPr>
          <w:p w14:paraId="79456D9F"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0.705</w:t>
            </w:r>
          </w:p>
        </w:tc>
        <w:tc>
          <w:tcPr>
            <w:tcW w:w="568" w:type="pct"/>
            <w:tcBorders>
              <w:top w:val="nil"/>
              <w:bottom w:val="nil"/>
            </w:tcBorders>
            <w:shd w:val="clear" w:color="auto" w:fill="auto"/>
          </w:tcPr>
          <w:p w14:paraId="778B73EE"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0.818</w:t>
            </w:r>
          </w:p>
        </w:tc>
        <w:tc>
          <w:tcPr>
            <w:tcW w:w="568" w:type="pct"/>
            <w:tcBorders>
              <w:top w:val="nil"/>
              <w:bottom w:val="nil"/>
            </w:tcBorders>
            <w:shd w:val="clear" w:color="auto" w:fill="auto"/>
          </w:tcPr>
          <w:p w14:paraId="3BEB6560"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0.687</w:t>
            </w:r>
          </w:p>
        </w:tc>
        <w:tc>
          <w:tcPr>
            <w:tcW w:w="569" w:type="pct"/>
            <w:tcBorders>
              <w:top w:val="nil"/>
              <w:bottom w:val="nil"/>
            </w:tcBorders>
            <w:shd w:val="clear" w:color="auto" w:fill="auto"/>
          </w:tcPr>
          <w:p w14:paraId="509CEDB7"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0.615</w:t>
            </w:r>
          </w:p>
        </w:tc>
        <w:tc>
          <w:tcPr>
            <w:tcW w:w="568" w:type="pct"/>
            <w:tcBorders>
              <w:top w:val="nil"/>
              <w:bottom w:val="nil"/>
            </w:tcBorders>
            <w:shd w:val="clear" w:color="auto" w:fill="auto"/>
          </w:tcPr>
          <w:p w14:paraId="2F585727"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0.881</w:t>
            </w:r>
          </w:p>
        </w:tc>
      </w:tr>
      <w:tr w:rsidR="00767353" w:rsidRPr="002B409A" w14:paraId="303053E0" w14:textId="77777777" w:rsidTr="00604051">
        <w:tc>
          <w:tcPr>
            <w:tcW w:w="1021" w:type="pct"/>
            <w:tcBorders>
              <w:bottom w:val="nil"/>
            </w:tcBorders>
            <w:shd w:val="clear" w:color="auto" w:fill="F1F1F1"/>
          </w:tcPr>
          <w:p w14:paraId="04C9D82E" w14:textId="77777777" w:rsidR="00767353" w:rsidRPr="002B409A"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r>
                      <w:rPr>
                        <w:rFonts w:ascii="Cambria Math" w:hAnsi="Cambria Math"/>
                      </w:rPr>
                      <m:t>Gini</m:t>
                    </m:r>
                  </m:e>
                  <m:sub>
                    <m:r>
                      <w:rPr>
                        <w:rFonts w:ascii="Cambria Math" w:hAnsi="Cambria Math"/>
                      </w:rPr>
                      <m:t>T</m:t>
                    </m:r>
                  </m:sub>
                </m:sSub>
              </m:oMath>
            </m:oMathPara>
          </w:p>
        </w:tc>
        <w:tc>
          <w:tcPr>
            <w:tcW w:w="568" w:type="pct"/>
            <w:tcBorders>
              <w:bottom w:val="nil"/>
            </w:tcBorders>
            <w:shd w:val="clear" w:color="auto" w:fill="F1F1F1"/>
          </w:tcPr>
          <w:p w14:paraId="4E770219" w14:textId="77777777" w:rsidR="00767353" w:rsidRPr="002B2B52" w:rsidRDefault="00767353" w:rsidP="00604051">
            <w:pPr>
              <w:pStyle w:val="TableBodyText"/>
              <w:spacing w:before="45" w:after="45"/>
              <w:ind w:left="57" w:right="108"/>
              <w:rPr>
                <w:rFonts w:ascii="Arial (Body)" w:hAnsi="Arial (Body)"/>
                <w:b/>
                <w:bCs/>
                <w:color w:val="265A9A" w:themeColor="background2"/>
              </w:rPr>
            </w:pPr>
            <w:r w:rsidRPr="002B2B52">
              <w:rPr>
                <w:rFonts w:ascii="Arial (Body)" w:hAnsi="Arial (Body)"/>
                <w:b/>
                <w:bCs/>
                <w:color w:val="265A9A" w:themeColor="background2"/>
              </w:rPr>
              <w:t>0.906</w:t>
            </w:r>
          </w:p>
        </w:tc>
        <w:tc>
          <w:tcPr>
            <w:tcW w:w="568" w:type="pct"/>
            <w:tcBorders>
              <w:bottom w:val="nil"/>
            </w:tcBorders>
            <w:shd w:val="clear" w:color="auto" w:fill="F1F1F1"/>
          </w:tcPr>
          <w:p w14:paraId="46986B6C"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0.891</w:t>
            </w:r>
          </w:p>
        </w:tc>
        <w:tc>
          <w:tcPr>
            <w:tcW w:w="568" w:type="pct"/>
            <w:tcBorders>
              <w:bottom w:val="nil"/>
            </w:tcBorders>
            <w:shd w:val="clear" w:color="auto" w:fill="F1F1F1"/>
          </w:tcPr>
          <w:p w14:paraId="605DEF1D"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0.887</w:t>
            </w:r>
          </w:p>
        </w:tc>
        <w:tc>
          <w:tcPr>
            <w:tcW w:w="568" w:type="pct"/>
            <w:tcBorders>
              <w:bottom w:val="nil"/>
            </w:tcBorders>
            <w:shd w:val="clear" w:color="auto" w:fill="F1F1F1"/>
          </w:tcPr>
          <w:p w14:paraId="0EAB266C"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0.892</w:t>
            </w:r>
          </w:p>
        </w:tc>
        <w:tc>
          <w:tcPr>
            <w:tcW w:w="568" w:type="pct"/>
            <w:tcBorders>
              <w:bottom w:val="nil"/>
            </w:tcBorders>
            <w:shd w:val="clear" w:color="auto" w:fill="F1F1F1"/>
          </w:tcPr>
          <w:p w14:paraId="56EDAC83"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0.848</w:t>
            </w:r>
          </w:p>
        </w:tc>
        <w:tc>
          <w:tcPr>
            <w:tcW w:w="569" w:type="pct"/>
            <w:tcBorders>
              <w:bottom w:val="nil"/>
            </w:tcBorders>
            <w:shd w:val="clear" w:color="auto" w:fill="F1F1F1"/>
          </w:tcPr>
          <w:p w14:paraId="77000F07"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0.891</w:t>
            </w:r>
          </w:p>
        </w:tc>
        <w:tc>
          <w:tcPr>
            <w:tcW w:w="568" w:type="pct"/>
            <w:tcBorders>
              <w:bottom w:val="nil"/>
            </w:tcBorders>
            <w:shd w:val="clear" w:color="auto" w:fill="F1F1F1"/>
          </w:tcPr>
          <w:p w14:paraId="584D7FE5"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0.952</w:t>
            </w:r>
          </w:p>
        </w:tc>
      </w:tr>
      <w:tr w:rsidR="00767353" w:rsidRPr="002B409A" w14:paraId="79597BA9" w14:textId="77777777" w:rsidTr="00604051">
        <w:tc>
          <w:tcPr>
            <w:tcW w:w="1021" w:type="pct"/>
            <w:tcBorders>
              <w:top w:val="nil"/>
              <w:bottom w:val="nil"/>
            </w:tcBorders>
            <w:shd w:val="clear" w:color="auto" w:fill="auto"/>
          </w:tcPr>
          <w:p w14:paraId="490E907E" w14:textId="77777777" w:rsidR="00767353" w:rsidRPr="002B409A"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r>
                      <w:rPr>
                        <w:rFonts w:ascii="Cambria Math" w:hAnsi="Cambria Math"/>
                      </w:rPr>
                      <m:t>Share</m:t>
                    </m:r>
                  </m:e>
                  <m:sub>
                    <m:r>
                      <w:rPr>
                        <w:rFonts w:ascii="Cambria Math" w:hAnsi="Cambria Math"/>
                      </w:rPr>
                      <m:t>T</m:t>
                    </m:r>
                  </m:sub>
                </m:sSub>
              </m:oMath>
            </m:oMathPara>
          </w:p>
        </w:tc>
        <w:tc>
          <w:tcPr>
            <w:tcW w:w="568" w:type="pct"/>
            <w:tcBorders>
              <w:top w:val="nil"/>
              <w:bottom w:val="nil"/>
            </w:tcBorders>
            <w:shd w:val="clear" w:color="auto" w:fill="auto"/>
          </w:tcPr>
          <w:p w14:paraId="4EC9FCA0" w14:textId="77777777" w:rsidR="00767353" w:rsidRPr="002B2B52" w:rsidRDefault="00767353" w:rsidP="00604051">
            <w:pPr>
              <w:pStyle w:val="TableBodyText"/>
              <w:spacing w:before="45" w:after="45"/>
              <w:ind w:left="57" w:right="108"/>
              <w:rPr>
                <w:rFonts w:ascii="Arial (Body)" w:hAnsi="Arial (Body)"/>
                <w:b/>
                <w:bCs/>
                <w:color w:val="265A9A" w:themeColor="background2"/>
              </w:rPr>
            </w:pPr>
            <w:r w:rsidRPr="002B2B52">
              <w:rPr>
                <w:rFonts w:ascii="Arial (Body)" w:hAnsi="Arial (Body)"/>
                <w:b/>
                <w:bCs/>
                <w:color w:val="265A9A" w:themeColor="background2"/>
              </w:rPr>
              <w:t>5.2%</w:t>
            </w:r>
          </w:p>
        </w:tc>
        <w:tc>
          <w:tcPr>
            <w:tcW w:w="568" w:type="pct"/>
            <w:tcBorders>
              <w:top w:val="nil"/>
              <w:bottom w:val="nil"/>
            </w:tcBorders>
            <w:shd w:val="clear" w:color="auto" w:fill="auto"/>
          </w:tcPr>
          <w:p w14:paraId="35ED7193"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11.9%</w:t>
            </w:r>
          </w:p>
        </w:tc>
        <w:tc>
          <w:tcPr>
            <w:tcW w:w="568" w:type="pct"/>
            <w:tcBorders>
              <w:top w:val="nil"/>
              <w:bottom w:val="nil"/>
            </w:tcBorders>
            <w:shd w:val="clear" w:color="auto" w:fill="auto"/>
          </w:tcPr>
          <w:p w14:paraId="712ADA02"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16.6%</w:t>
            </w:r>
          </w:p>
        </w:tc>
        <w:tc>
          <w:tcPr>
            <w:tcW w:w="568" w:type="pct"/>
            <w:tcBorders>
              <w:top w:val="nil"/>
              <w:bottom w:val="nil"/>
            </w:tcBorders>
            <w:shd w:val="clear" w:color="auto" w:fill="auto"/>
          </w:tcPr>
          <w:p w14:paraId="13FA751E"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27.9%</w:t>
            </w:r>
          </w:p>
        </w:tc>
        <w:tc>
          <w:tcPr>
            <w:tcW w:w="568" w:type="pct"/>
            <w:tcBorders>
              <w:top w:val="nil"/>
              <w:bottom w:val="nil"/>
            </w:tcBorders>
            <w:shd w:val="clear" w:color="auto" w:fill="auto"/>
          </w:tcPr>
          <w:p w14:paraId="0A6BB314"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29.2%</w:t>
            </w:r>
          </w:p>
        </w:tc>
        <w:tc>
          <w:tcPr>
            <w:tcW w:w="569" w:type="pct"/>
            <w:tcBorders>
              <w:top w:val="nil"/>
              <w:bottom w:val="nil"/>
            </w:tcBorders>
            <w:shd w:val="clear" w:color="auto" w:fill="auto"/>
          </w:tcPr>
          <w:p w14:paraId="60C1BC10"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14.7%</w:t>
            </w:r>
          </w:p>
        </w:tc>
        <w:tc>
          <w:tcPr>
            <w:tcW w:w="568" w:type="pct"/>
            <w:tcBorders>
              <w:top w:val="nil"/>
              <w:bottom w:val="nil"/>
            </w:tcBorders>
            <w:shd w:val="clear" w:color="auto" w:fill="auto"/>
          </w:tcPr>
          <w:p w14:paraId="03589BB1"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8.6%</w:t>
            </w:r>
          </w:p>
        </w:tc>
      </w:tr>
      <w:tr w:rsidR="00767353" w:rsidRPr="002B409A" w14:paraId="2CFE9A77" w14:textId="77777777" w:rsidTr="00604051">
        <w:tc>
          <w:tcPr>
            <w:tcW w:w="1021" w:type="pct"/>
            <w:tcBorders>
              <w:bottom w:val="nil"/>
            </w:tcBorders>
            <w:shd w:val="clear" w:color="auto" w:fill="F1F1F1"/>
          </w:tcPr>
          <w:p w14:paraId="78EA0298" w14:textId="77777777" w:rsidR="00767353" w:rsidRPr="002B409A"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r>
                      <w:rPr>
                        <w:rFonts w:ascii="Cambria Math" w:hAnsi="Cambria Math"/>
                      </w:rPr>
                      <m:t>Correlation</m:t>
                    </m:r>
                  </m:e>
                  <m:sub>
                    <m:r>
                      <w:rPr>
                        <w:rFonts w:ascii="Cambria Math" w:hAnsi="Cambria Math"/>
                      </w:rPr>
                      <m:t>T</m:t>
                    </m:r>
                    <m:r>
                      <m:rPr>
                        <m:sty m:val="p"/>
                      </m:rPr>
                      <w:rPr>
                        <w:rFonts w:ascii="Cambria Math" w:hAnsi="Cambria Math"/>
                      </w:rPr>
                      <m:t>-</m:t>
                    </m:r>
                    <m:r>
                      <w:rPr>
                        <w:rFonts w:ascii="Cambria Math" w:hAnsi="Cambria Math"/>
                      </w:rPr>
                      <m:t>Post</m:t>
                    </m:r>
                    <m:r>
                      <m:rPr>
                        <m:sty m:val="p"/>
                      </m:rPr>
                      <w:rPr>
                        <w:rFonts w:ascii="Cambria Math" w:hAnsi="Cambria Math"/>
                      </w:rPr>
                      <m:t xml:space="preserve"> </m:t>
                    </m:r>
                    <m:r>
                      <w:rPr>
                        <w:rFonts w:ascii="Cambria Math" w:hAnsi="Cambria Math"/>
                      </w:rPr>
                      <m:t>T</m:t>
                    </m:r>
                  </m:sub>
                </m:sSub>
              </m:oMath>
            </m:oMathPara>
          </w:p>
        </w:tc>
        <w:tc>
          <w:tcPr>
            <w:tcW w:w="568" w:type="pct"/>
            <w:tcBorders>
              <w:bottom w:val="nil"/>
            </w:tcBorders>
            <w:shd w:val="clear" w:color="auto" w:fill="F1F1F1"/>
          </w:tcPr>
          <w:p w14:paraId="44727954" w14:textId="77777777" w:rsidR="00767353" w:rsidRPr="002B2B52" w:rsidRDefault="00767353" w:rsidP="00604051">
            <w:pPr>
              <w:pStyle w:val="TableBodyText"/>
              <w:spacing w:before="45" w:after="45"/>
              <w:ind w:left="57" w:right="108"/>
              <w:rPr>
                <w:rFonts w:ascii="Arial (Body)" w:hAnsi="Arial (Body)"/>
                <w:b/>
                <w:bCs/>
                <w:color w:val="265A9A" w:themeColor="background2"/>
              </w:rPr>
            </w:pPr>
            <w:r w:rsidRPr="002B2B52">
              <w:rPr>
                <w:rFonts w:ascii="Arial (Body)" w:hAnsi="Arial (Body)"/>
                <w:b/>
                <w:bCs/>
                <w:color w:val="265A9A" w:themeColor="background2"/>
              </w:rPr>
              <w:t>0.577</w:t>
            </w:r>
          </w:p>
        </w:tc>
        <w:tc>
          <w:tcPr>
            <w:tcW w:w="568" w:type="pct"/>
            <w:tcBorders>
              <w:bottom w:val="nil"/>
            </w:tcBorders>
            <w:shd w:val="clear" w:color="auto" w:fill="F1F1F1"/>
          </w:tcPr>
          <w:p w14:paraId="76A56BF2"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0.731</w:t>
            </w:r>
          </w:p>
        </w:tc>
        <w:tc>
          <w:tcPr>
            <w:tcW w:w="568" w:type="pct"/>
            <w:tcBorders>
              <w:bottom w:val="nil"/>
            </w:tcBorders>
            <w:shd w:val="clear" w:color="auto" w:fill="F1F1F1"/>
          </w:tcPr>
          <w:p w14:paraId="432B1A5A"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0.779</w:t>
            </w:r>
          </w:p>
        </w:tc>
        <w:tc>
          <w:tcPr>
            <w:tcW w:w="568" w:type="pct"/>
            <w:tcBorders>
              <w:bottom w:val="nil"/>
            </w:tcBorders>
            <w:shd w:val="clear" w:color="auto" w:fill="F1F1F1"/>
          </w:tcPr>
          <w:p w14:paraId="679EB6D9"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0.865</w:t>
            </w:r>
          </w:p>
        </w:tc>
        <w:tc>
          <w:tcPr>
            <w:tcW w:w="568" w:type="pct"/>
            <w:tcBorders>
              <w:bottom w:val="nil"/>
            </w:tcBorders>
            <w:shd w:val="clear" w:color="auto" w:fill="F1F1F1"/>
          </w:tcPr>
          <w:p w14:paraId="4ED99FF6"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0.716</w:t>
            </w:r>
          </w:p>
        </w:tc>
        <w:tc>
          <w:tcPr>
            <w:tcW w:w="569" w:type="pct"/>
            <w:tcBorders>
              <w:bottom w:val="nil"/>
            </w:tcBorders>
            <w:shd w:val="clear" w:color="auto" w:fill="F1F1F1"/>
          </w:tcPr>
          <w:p w14:paraId="0DDA873F"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0.658</w:t>
            </w:r>
          </w:p>
        </w:tc>
        <w:tc>
          <w:tcPr>
            <w:tcW w:w="568" w:type="pct"/>
            <w:tcBorders>
              <w:bottom w:val="nil"/>
            </w:tcBorders>
            <w:shd w:val="clear" w:color="auto" w:fill="F1F1F1"/>
          </w:tcPr>
          <w:p w14:paraId="13833E6D"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0.848</w:t>
            </w:r>
          </w:p>
        </w:tc>
      </w:tr>
      <w:tr w:rsidR="00767353" w:rsidRPr="002B409A" w14:paraId="4B8E415D" w14:textId="77777777" w:rsidTr="00604051">
        <w:tc>
          <w:tcPr>
            <w:tcW w:w="1021" w:type="pct"/>
            <w:tcBorders>
              <w:top w:val="nil"/>
            </w:tcBorders>
            <w:shd w:val="clear" w:color="auto" w:fill="auto"/>
          </w:tcPr>
          <w:p w14:paraId="3E7889EB" w14:textId="77777777" w:rsidR="00767353" w:rsidRPr="002B409A" w:rsidRDefault="00B2270C" w:rsidP="00604051">
            <w:pPr>
              <w:pStyle w:val="TableBodyText"/>
              <w:spacing w:before="45" w:after="45"/>
              <w:ind w:left="57" w:right="108"/>
              <w:jc w:val="left"/>
              <w:rPr>
                <w:rFonts w:ascii="Arial (Body)" w:hAnsi="Arial (Body)"/>
                <w:bCs/>
              </w:rPr>
            </w:pPr>
            <m:oMathPara>
              <m:oMath>
                <m:sSub>
                  <m:sSubPr>
                    <m:ctrlPr>
                      <w:rPr>
                        <w:rFonts w:ascii="Cambria Math" w:hAnsi="Cambria Math"/>
                        <w:bCs/>
                      </w:rPr>
                    </m:ctrlPr>
                  </m:sSubPr>
                  <m:e>
                    <m:r>
                      <w:rPr>
                        <w:rFonts w:ascii="Cambria Math" w:hAnsi="Cambria Math"/>
                      </w:rPr>
                      <m:t>Correlation</m:t>
                    </m:r>
                  </m:e>
                  <m:sub>
                    <m:r>
                      <w:rPr>
                        <w:rFonts w:ascii="Cambria Math" w:hAnsi="Cambria Math"/>
                      </w:rPr>
                      <m:t>Pre</m:t>
                    </m:r>
                    <m:r>
                      <m:rPr>
                        <m:sty m:val="p"/>
                      </m:rPr>
                      <w:rPr>
                        <w:rFonts w:ascii="Cambria Math" w:hAnsi="Cambria Math"/>
                      </w:rPr>
                      <m:t xml:space="preserve"> </m:t>
                    </m:r>
                    <m:r>
                      <w:rPr>
                        <w:rFonts w:ascii="Cambria Math" w:hAnsi="Cambria Math"/>
                      </w:rPr>
                      <m:t>T</m:t>
                    </m:r>
                    <m:r>
                      <m:rPr>
                        <m:sty m:val="p"/>
                      </m:rPr>
                      <w:rPr>
                        <w:rFonts w:ascii="Cambria Math" w:hAnsi="Cambria Math"/>
                      </w:rPr>
                      <m:t>-</m:t>
                    </m:r>
                    <m:r>
                      <w:rPr>
                        <w:rFonts w:ascii="Cambria Math" w:hAnsi="Cambria Math"/>
                      </w:rPr>
                      <m:t>Post</m:t>
                    </m:r>
                    <m:r>
                      <m:rPr>
                        <m:sty m:val="p"/>
                      </m:rPr>
                      <w:rPr>
                        <w:rFonts w:ascii="Cambria Math" w:hAnsi="Cambria Math"/>
                      </w:rPr>
                      <m:t xml:space="preserve"> </m:t>
                    </m:r>
                    <m:r>
                      <w:rPr>
                        <w:rFonts w:ascii="Cambria Math" w:hAnsi="Cambria Math"/>
                      </w:rPr>
                      <m:t>T</m:t>
                    </m:r>
                  </m:sub>
                </m:sSub>
              </m:oMath>
            </m:oMathPara>
          </w:p>
        </w:tc>
        <w:tc>
          <w:tcPr>
            <w:tcW w:w="568" w:type="pct"/>
            <w:tcBorders>
              <w:top w:val="nil"/>
            </w:tcBorders>
            <w:shd w:val="clear" w:color="auto" w:fill="auto"/>
          </w:tcPr>
          <w:p w14:paraId="314FC92C" w14:textId="77777777" w:rsidR="00767353" w:rsidRPr="002B2B52" w:rsidRDefault="00767353" w:rsidP="00604051">
            <w:pPr>
              <w:pStyle w:val="TableBodyText"/>
              <w:spacing w:before="45" w:after="45"/>
              <w:ind w:left="57" w:right="108"/>
              <w:rPr>
                <w:rFonts w:ascii="Arial (Body)" w:hAnsi="Arial (Body)"/>
                <w:b/>
                <w:bCs/>
                <w:color w:val="265A9A" w:themeColor="background2"/>
              </w:rPr>
            </w:pPr>
            <w:r w:rsidRPr="002B2B52">
              <w:rPr>
                <w:rFonts w:ascii="Arial (Body)" w:hAnsi="Arial (Body)"/>
                <w:b/>
                <w:bCs/>
                <w:color w:val="265A9A" w:themeColor="background2"/>
              </w:rPr>
              <w:t>0.991</w:t>
            </w:r>
          </w:p>
        </w:tc>
        <w:tc>
          <w:tcPr>
            <w:tcW w:w="568" w:type="pct"/>
            <w:tcBorders>
              <w:top w:val="nil"/>
            </w:tcBorders>
            <w:shd w:val="clear" w:color="auto" w:fill="auto"/>
          </w:tcPr>
          <w:p w14:paraId="5CE57DCA"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0.974</w:t>
            </w:r>
          </w:p>
        </w:tc>
        <w:tc>
          <w:tcPr>
            <w:tcW w:w="568" w:type="pct"/>
            <w:tcBorders>
              <w:top w:val="nil"/>
            </w:tcBorders>
            <w:shd w:val="clear" w:color="auto" w:fill="auto"/>
          </w:tcPr>
          <w:p w14:paraId="6B17A24B"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0.969</w:t>
            </w:r>
          </w:p>
        </w:tc>
        <w:tc>
          <w:tcPr>
            <w:tcW w:w="568" w:type="pct"/>
            <w:tcBorders>
              <w:top w:val="nil"/>
            </w:tcBorders>
            <w:shd w:val="clear" w:color="auto" w:fill="auto"/>
          </w:tcPr>
          <w:p w14:paraId="04BA1761"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0.951</w:t>
            </w:r>
          </w:p>
        </w:tc>
        <w:tc>
          <w:tcPr>
            <w:tcW w:w="568" w:type="pct"/>
            <w:tcBorders>
              <w:top w:val="nil"/>
            </w:tcBorders>
            <w:shd w:val="clear" w:color="auto" w:fill="auto"/>
          </w:tcPr>
          <w:p w14:paraId="721F88BA"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0.878</w:t>
            </w:r>
          </w:p>
        </w:tc>
        <w:tc>
          <w:tcPr>
            <w:tcW w:w="569" w:type="pct"/>
            <w:tcBorders>
              <w:top w:val="nil"/>
            </w:tcBorders>
            <w:shd w:val="clear" w:color="auto" w:fill="auto"/>
          </w:tcPr>
          <w:p w14:paraId="3ECD3305"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0.943</w:t>
            </w:r>
          </w:p>
        </w:tc>
        <w:tc>
          <w:tcPr>
            <w:tcW w:w="568" w:type="pct"/>
            <w:tcBorders>
              <w:top w:val="nil"/>
            </w:tcBorders>
            <w:shd w:val="clear" w:color="auto" w:fill="auto"/>
          </w:tcPr>
          <w:p w14:paraId="612B0C93" w14:textId="77777777" w:rsidR="00767353" w:rsidRPr="002B409A" w:rsidRDefault="00767353" w:rsidP="00604051">
            <w:pPr>
              <w:pStyle w:val="TableBodyText"/>
              <w:spacing w:before="45" w:after="45"/>
              <w:ind w:left="57" w:right="108"/>
              <w:rPr>
                <w:rFonts w:ascii="Arial (Body)" w:hAnsi="Arial (Body)"/>
                <w:color w:val="000000"/>
              </w:rPr>
            </w:pPr>
            <w:r w:rsidRPr="002B409A">
              <w:rPr>
                <w:rFonts w:ascii="Arial (Body)" w:hAnsi="Arial (Body)"/>
                <w:color w:val="000000"/>
              </w:rPr>
              <w:t>0.992</w:t>
            </w:r>
          </w:p>
        </w:tc>
      </w:tr>
    </w:tbl>
    <w:p w14:paraId="2B6E5E15" w14:textId="77777777" w:rsidR="00767353" w:rsidRDefault="00767353" w:rsidP="00767353">
      <w:pPr>
        <w:pStyle w:val="Note"/>
      </w:pPr>
      <w:r w:rsidRPr="00C36914">
        <w:rPr>
          <w:b/>
          <w:bCs/>
        </w:rPr>
        <w:t>a.</w:t>
      </w:r>
      <w:r w:rsidRPr="00C36914">
        <w:t xml:space="preserve"> </w:t>
      </w:r>
      <w:r>
        <w:t>Non</w:t>
      </w:r>
      <w:r>
        <w:noBreakHyphen/>
        <w:t>transfer wealth excludes superannuation for consistency with measures from other countries.</w:t>
      </w:r>
    </w:p>
    <w:p w14:paraId="441C288A" w14:textId="499D4D58" w:rsidR="00767353" w:rsidRDefault="00767353" w:rsidP="00767353">
      <w:pPr>
        <w:pStyle w:val="Source"/>
      </w:pPr>
      <w:r w:rsidRPr="00696447">
        <w:t xml:space="preserve">Source: </w:t>
      </w:r>
      <w:r w:rsidRPr="002B2B52">
        <w:t>Nolan et al. </w:t>
      </w:r>
      <w:r w:rsidRPr="002B2B52">
        <w:fldChar w:fldCharType="begin"/>
      </w:r>
      <w:r w:rsidR="0047772E">
        <w:instrText xml:space="preserve"> ADDIN ZOTERO_ITEM CSL_CITATION {"citationID":"adSf1voJ","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rsidRPr="002B2B52">
        <w:fldChar w:fldCharType="separate"/>
      </w:r>
      <w:r w:rsidRPr="002B2B52">
        <w:t>(2021)</w:t>
      </w:r>
      <w:r w:rsidRPr="002B2B52">
        <w:fldChar w:fldCharType="end"/>
      </w:r>
      <w:r w:rsidRPr="002B2B52">
        <w:t>; Productivity Commission estimates based on HILDA Restricted Release 19.</w:t>
      </w:r>
    </w:p>
    <w:p w14:paraId="074C18F8" w14:textId="77777777" w:rsidR="00767353" w:rsidRDefault="00767353" w:rsidP="00767353">
      <w:pPr>
        <w:pStyle w:val="BodyText"/>
      </w:pPr>
      <w:r>
        <w:t xml:space="preserve">Measuring the individual contribution of each factor is difficult, because the factors are endogenous. For example, if </w:t>
      </w:r>
      <m:oMath>
        <m:sSub>
          <m:sSubPr>
            <m:ctrlPr>
              <w:rPr>
                <w:rFonts w:ascii="Cambria Math" w:hAnsi="Cambria Math"/>
                <w:i/>
              </w:rPr>
            </m:ctrlPr>
          </m:sSubPr>
          <m:e>
            <m:r>
              <w:rPr>
                <w:rFonts w:ascii="Cambria Math" w:hAnsi="Cambria Math"/>
              </w:rPr>
              <m:t>Share</m:t>
            </m:r>
          </m:e>
          <m:sub>
            <m:r>
              <w:rPr>
                <w:rFonts w:ascii="Cambria Math" w:hAnsi="Cambria Math"/>
              </w:rPr>
              <m:t>T</m:t>
            </m:r>
          </m:sub>
        </m:sSub>
      </m:oMath>
      <w:r>
        <w:t xml:space="preserve"> is increased while </w:t>
      </w:r>
      <m:oMath>
        <m:sSub>
          <m:sSubPr>
            <m:ctrlPr>
              <w:rPr>
                <w:rFonts w:ascii="Cambria Math" w:hAnsi="Cambria Math"/>
                <w:i/>
              </w:rPr>
            </m:ctrlPr>
          </m:sSubPr>
          <m:e>
            <m:r>
              <w:rPr>
                <w:rFonts w:ascii="Cambria Math" w:hAnsi="Cambria Math"/>
              </w:rPr>
              <m:t>Gini</m:t>
            </m:r>
          </m:e>
          <m:sub>
            <m:r>
              <w:rPr>
                <w:rFonts w:ascii="Cambria Math" w:hAnsi="Cambria Math"/>
              </w:rPr>
              <m:t>Pre T</m:t>
            </m:r>
          </m:sub>
        </m:sSub>
      </m:oMath>
      <w:r>
        <w:t xml:space="preserve"> and </w:t>
      </w:r>
      <m:oMath>
        <m:sSub>
          <m:sSubPr>
            <m:ctrlPr>
              <w:rPr>
                <w:rFonts w:ascii="Cambria Math" w:hAnsi="Cambria Math"/>
                <w:i/>
              </w:rPr>
            </m:ctrlPr>
          </m:sSubPr>
          <m:e>
            <m:r>
              <w:rPr>
                <w:rFonts w:ascii="Cambria Math" w:hAnsi="Cambria Math"/>
              </w:rPr>
              <m:t>Gini</m:t>
            </m:r>
          </m:e>
          <m:sub>
            <m:r>
              <w:rPr>
                <w:rFonts w:ascii="Cambria Math" w:hAnsi="Cambria Math"/>
              </w:rPr>
              <m:t>T</m:t>
            </m:r>
          </m:sub>
        </m:sSub>
      </m:oMath>
      <w:r>
        <w:t xml:space="preserve"> are held constant, </w:t>
      </w:r>
      <m:oMath>
        <m:sSub>
          <m:sSubPr>
            <m:ctrlPr>
              <w:rPr>
                <w:rFonts w:ascii="Cambria Math" w:hAnsi="Cambria Math"/>
                <w:i/>
              </w:rPr>
            </m:ctrlPr>
          </m:sSubPr>
          <m:e>
            <m:r>
              <w:rPr>
                <w:rFonts w:ascii="Cambria Math" w:hAnsi="Cambria Math"/>
              </w:rPr>
              <m:t>Correlation</m:t>
            </m:r>
          </m:e>
          <m:sub>
            <m:r>
              <w:rPr>
                <w:rFonts w:ascii="Cambria Math" w:hAnsi="Cambria Math"/>
              </w:rPr>
              <m:t>T-Post T</m:t>
            </m:r>
          </m:sub>
        </m:sSub>
      </m:oMath>
      <w:r>
        <w:t xml:space="preserve"> would automatically increase and </w:t>
      </w:r>
      <m:oMath>
        <m:sSub>
          <m:sSubPr>
            <m:ctrlPr>
              <w:rPr>
                <w:rFonts w:ascii="Cambria Math" w:hAnsi="Cambria Math"/>
                <w:i/>
              </w:rPr>
            </m:ctrlPr>
          </m:sSubPr>
          <m:e>
            <m:r>
              <w:rPr>
                <w:rFonts w:ascii="Cambria Math" w:hAnsi="Cambria Math"/>
              </w:rPr>
              <m:t>Correlation</m:t>
            </m:r>
          </m:e>
          <m:sub>
            <m:r>
              <w:rPr>
                <w:rFonts w:ascii="Cambria Math" w:hAnsi="Cambria Math"/>
              </w:rPr>
              <m:t>Pre T-Post T</m:t>
            </m:r>
          </m:sub>
        </m:sSub>
      </m:oMath>
      <w:r>
        <w:t xml:space="preserve"> would automatically decrease because of the increasing influence of transfers over post</w:t>
      </w:r>
      <w:r>
        <w:noBreakHyphen/>
        <w:t>transfer wealth.</w:t>
      </w:r>
    </w:p>
    <w:p w14:paraId="0D66859D" w14:textId="77777777" w:rsidR="00767353" w:rsidRDefault="00767353" w:rsidP="00767353">
      <w:pPr>
        <w:pStyle w:val="BodyText"/>
      </w:pPr>
      <w:r>
        <w:t>Nevertheless, the results are consistent with Australia’s low share of transfers in wealth (</w:t>
      </w:r>
      <m:oMath>
        <m:sSub>
          <m:sSubPr>
            <m:ctrlPr>
              <w:rPr>
                <w:rFonts w:ascii="Cambria Math" w:hAnsi="Cambria Math"/>
                <w:i/>
              </w:rPr>
            </m:ctrlPr>
          </m:sSubPr>
          <m:e>
            <m:r>
              <w:rPr>
                <w:rFonts w:ascii="Cambria Math" w:hAnsi="Cambria Math"/>
              </w:rPr>
              <m:t>Share</m:t>
            </m:r>
          </m:e>
          <m:sub>
            <m:r>
              <w:rPr>
                <w:rFonts w:ascii="Cambria Math" w:hAnsi="Cambria Math"/>
              </w:rPr>
              <m:t>T</m:t>
            </m:r>
          </m:sub>
        </m:sSub>
      </m:oMath>
      <w:r>
        <w:t xml:space="preserve">) </w:t>
      </w:r>
      <w:r w:rsidRPr="00A54BAB">
        <w:t xml:space="preserve">being the driving factor behind the </w:t>
      </w:r>
      <w:r>
        <w:t>reduction in</w:t>
      </w:r>
      <w:r w:rsidRPr="00A54BAB">
        <w:t xml:space="preserve"> relative wealth</w:t>
      </w:r>
      <w:r>
        <w:t xml:space="preserve"> inequality in Australia being lower than in other countries. Increasing </w:t>
      </w:r>
      <m:oMath>
        <m:sSub>
          <m:sSubPr>
            <m:ctrlPr>
              <w:rPr>
                <w:rFonts w:ascii="Cambria Math" w:hAnsi="Cambria Math"/>
                <w:i/>
              </w:rPr>
            </m:ctrlPr>
          </m:sSubPr>
          <m:e>
            <m:r>
              <w:rPr>
                <w:rFonts w:ascii="Cambria Math" w:hAnsi="Cambria Math"/>
              </w:rPr>
              <m:t>Share</m:t>
            </m:r>
          </m:e>
          <m:sub>
            <m:r>
              <w:rPr>
                <w:rFonts w:ascii="Cambria Math" w:hAnsi="Cambria Math"/>
              </w:rPr>
              <m:t>T</m:t>
            </m:r>
          </m:sub>
        </m:sSub>
      </m:oMath>
      <w:r>
        <w:t xml:space="preserve"> would increase </w:t>
      </w:r>
      <m:oMath>
        <m:sSub>
          <m:sSubPr>
            <m:ctrlPr>
              <w:rPr>
                <w:rFonts w:ascii="Cambria Math" w:hAnsi="Cambria Math"/>
                <w:i/>
              </w:rPr>
            </m:ctrlPr>
          </m:sSubPr>
          <m:e>
            <m:r>
              <w:rPr>
                <w:rFonts w:ascii="Cambria Math" w:hAnsi="Cambria Math"/>
              </w:rPr>
              <m:t>Correlation</m:t>
            </m:r>
          </m:e>
          <m:sub>
            <m:r>
              <w:rPr>
                <w:rFonts w:ascii="Cambria Math" w:hAnsi="Cambria Math"/>
              </w:rPr>
              <m:t>T-Post T</m:t>
            </m:r>
          </m:sub>
        </m:sSub>
      </m:oMath>
      <w:r>
        <w:t xml:space="preserve"> and decrease </w:t>
      </w:r>
      <m:oMath>
        <m:sSub>
          <m:sSubPr>
            <m:ctrlPr>
              <w:rPr>
                <w:rFonts w:ascii="Cambria Math" w:hAnsi="Cambria Math"/>
                <w:i/>
              </w:rPr>
            </m:ctrlPr>
          </m:sSubPr>
          <m:e>
            <m:r>
              <w:rPr>
                <w:rFonts w:ascii="Cambria Math" w:hAnsi="Cambria Math"/>
              </w:rPr>
              <m:t>Correlation</m:t>
            </m:r>
          </m:e>
          <m:sub>
            <m:r>
              <w:rPr>
                <w:rFonts w:ascii="Cambria Math" w:hAnsi="Cambria Math"/>
              </w:rPr>
              <m:t>Pre T-Post T</m:t>
            </m:r>
          </m:sub>
        </m:sSub>
      </m:oMath>
      <w:r>
        <w:t xml:space="preserve"> for the reasons discussed above. It would also decrease </w:t>
      </w:r>
      <m:oMath>
        <m:sSub>
          <m:sSubPr>
            <m:ctrlPr>
              <w:rPr>
                <w:rFonts w:ascii="Cambria Math" w:hAnsi="Cambria Math"/>
                <w:i/>
              </w:rPr>
            </m:ctrlPr>
          </m:sSubPr>
          <m:e>
            <m:r>
              <w:rPr>
                <w:rFonts w:ascii="Cambria Math" w:hAnsi="Cambria Math"/>
              </w:rPr>
              <m:t>Gini</m:t>
            </m:r>
          </m:e>
          <m:sub>
            <m:r>
              <w:rPr>
                <w:rFonts w:ascii="Cambria Math" w:hAnsi="Cambria Math"/>
              </w:rPr>
              <m:t>T</m:t>
            </m:r>
          </m:sub>
        </m:sSub>
      </m:oMath>
      <w:r>
        <w:t xml:space="preserve">, if the increase to </w:t>
      </w:r>
      <m:oMath>
        <m:sSub>
          <m:sSubPr>
            <m:ctrlPr>
              <w:rPr>
                <w:rFonts w:ascii="Cambria Math" w:hAnsi="Cambria Math"/>
                <w:i/>
              </w:rPr>
            </m:ctrlPr>
          </m:sSubPr>
          <m:e>
            <m:r>
              <w:rPr>
                <w:rFonts w:ascii="Cambria Math" w:hAnsi="Cambria Math"/>
              </w:rPr>
              <m:t>Share</m:t>
            </m:r>
          </m:e>
          <m:sub>
            <m:r>
              <w:rPr>
                <w:rFonts w:ascii="Cambria Math" w:hAnsi="Cambria Math"/>
              </w:rPr>
              <m:t>T</m:t>
            </m:r>
          </m:sub>
        </m:sSub>
      </m:oMath>
      <w:r>
        <w:t xml:space="preserve"> was because more people received wealth transfers. Each of these effects would push the relevant statistics for Australia closer to those observed in other countries.</w:t>
      </w:r>
    </w:p>
    <w:p w14:paraId="31208F42" w14:textId="05977D84" w:rsidR="00767353" w:rsidRPr="0031278B" w:rsidRDefault="00767353" w:rsidP="00767353">
      <w:pPr>
        <w:pStyle w:val="BodyText"/>
      </w:pPr>
      <w:r>
        <w:t xml:space="preserve">Data quality issues are unlikely to be the sole reason that </w:t>
      </w:r>
      <m:oMath>
        <m:sSub>
          <m:sSubPr>
            <m:ctrlPr>
              <w:rPr>
                <w:rFonts w:ascii="Cambria Math" w:hAnsi="Cambria Math"/>
                <w:i/>
              </w:rPr>
            </m:ctrlPr>
          </m:sSubPr>
          <m:e>
            <m:r>
              <w:rPr>
                <w:rFonts w:ascii="Cambria Math" w:hAnsi="Cambria Math"/>
              </w:rPr>
              <m:t>Share</m:t>
            </m:r>
          </m:e>
          <m:sub>
            <m:r>
              <w:rPr>
                <w:rFonts w:ascii="Cambria Math" w:hAnsi="Cambria Math"/>
              </w:rPr>
              <m:t>T</m:t>
            </m:r>
          </m:sub>
        </m:sSub>
      </m:oMath>
      <w:r>
        <w:t xml:space="preserve"> is lower in Australia than in other countries. While there is strong evidence that some wealth transfers are not reported to the HILDA survey (chapter 1), Nolan et al. </w:t>
      </w:r>
      <w:r>
        <w:fldChar w:fldCharType="begin"/>
      </w:r>
      <w:r w:rsidR="0047772E">
        <w:instrText xml:space="preserve"> ADDIN ZOTERO_ITEM CSL_CITATION {"citationID":"K3jiDA4L","properties":{"formattedCitation":"(2021)","plainCitation":"(2021)","noteIndex":0},"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fldChar w:fldCharType="separate"/>
      </w:r>
      <w:r w:rsidRPr="0092058F">
        <w:rPr>
          <w:rFonts w:cs="Arial"/>
        </w:rPr>
        <w:t>(2021)</w:t>
      </w:r>
      <w:r>
        <w:fldChar w:fldCharType="end"/>
      </w:r>
      <w:r>
        <w:t xml:space="preserve"> also draws on household surveys which may suffer from similar nonreporting issues. Moreover, as shown in chapter 1, the share of wealth transfers in gross national income is lower in Australia than in each other studied country (France, Germany, Italy and the United Kingdom) when a measure of inheritances that is not subject to nonreporting is used.</w:t>
      </w:r>
    </w:p>
    <w:p w14:paraId="4924ABCC" w14:textId="77777777" w:rsidR="00767353" w:rsidRPr="004043E5" w:rsidRDefault="00767353" w:rsidP="00132C71">
      <w:pPr>
        <w:pStyle w:val="Heading2-Appendix"/>
        <w:rPr>
          <w:spacing w:val="-4"/>
        </w:rPr>
      </w:pPr>
      <w:r w:rsidRPr="00663ACD">
        <w:t>Estimating</w:t>
      </w:r>
      <w:r w:rsidRPr="004043E5">
        <w:rPr>
          <w:spacing w:val="-4"/>
        </w:rPr>
        <w:t xml:space="preserve"> the effect of inheritances on future wealth</w:t>
      </w:r>
    </w:p>
    <w:p w14:paraId="1EDF7C44" w14:textId="77777777" w:rsidR="00767353" w:rsidRDefault="00767353" w:rsidP="00767353">
      <w:pPr>
        <w:pStyle w:val="BodyText"/>
      </w:pPr>
      <w:r>
        <w:t>As an input to estimating the long term effects of inheritances on the distribution of wealth, chapter 2 presents estimates of the effect of receiving $1 of inheritance on household wealth (‘wealth’ throughout section B.6) up to 3 years into the future (hereafter ‘0–3’ years into the future) and from 4 up to 7 years into the future (hereafter ‘4–7’ years into the future). The chapter also presents estimates of how these effects vary with the initial wealth of the recipient and the size of the inheritance that they received.</w:t>
      </w:r>
    </w:p>
    <w:p w14:paraId="7EAEF74B" w14:textId="77777777" w:rsidR="00767353" w:rsidRDefault="00767353" w:rsidP="00767353">
      <w:pPr>
        <w:pStyle w:val="Heading3"/>
      </w:pPr>
      <w:r>
        <w:lastRenderedPageBreak/>
        <w:t>Method</w:t>
      </w:r>
    </w:p>
    <w:p w14:paraId="1951FA19" w14:textId="7B3B1245" w:rsidR="00767353" w:rsidRPr="00F40CAA" w:rsidRDefault="00767353" w:rsidP="00767353">
      <w:pPr>
        <w:pStyle w:val="BodyText"/>
      </w:pPr>
      <w:r>
        <w:t>Figure B.10 outlines the approach. To estimate the effect of $1 of inheritance on wealth in 0</w:t>
      </w:r>
      <w:r>
        <w:noBreakHyphen/>
        <w:t>3 years’ time, the contribution of inheritances received in successive 3–year windows to the change in wealth in the corresponding 4–year window (wealth data are collected only once every 4 years) is estimated (figure B.10, panel a). The fourth year of inheritances are excluded because some may have been received outside the window in which wealth was measured. The approach to estimating the effect of $1 of inheritance on household wealth in 4–7 years’ time is the same, except that the contribution of the 3 years of inheritances to an 8–year window comprising the corresponding 4–year window and an additional 4 years is used (figure B.10, panel b).</w:t>
      </w:r>
      <w:r w:rsidRPr="001F567E">
        <w:rPr>
          <w:rStyle w:val="FootnoteReference"/>
        </w:rPr>
        <w:footnoteReference w:id="63"/>
      </w:r>
    </w:p>
    <w:p w14:paraId="78F462AD" w14:textId="29DB3CFB"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41F5D">
        <w:t>10</w:t>
      </w:r>
      <w:r>
        <w:rPr>
          <w:noProof/>
        </w:rPr>
        <w:t xml:space="preserve"> </w:t>
      </w:r>
      <w:r>
        <w:t>– Approach to estimating the effects of inheritances on future wealth</w:t>
      </w:r>
      <w:r w:rsidRPr="00066CF5">
        <w:rPr>
          <w:vertAlign w:val="superscript"/>
        </w:rPr>
        <w:t>a,b</w:t>
      </w:r>
    </w:p>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9630"/>
      </w:tblGrid>
      <w:tr w:rsidR="00767353" w:rsidRPr="002B2B52" w14:paraId="407F3C33" w14:textId="77777777" w:rsidTr="00604051">
        <w:trPr>
          <w:tblHeader/>
          <w:jc w:val="center"/>
        </w:trPr>
        <w:tc>
          <w:tcPr>
            <w:tcW w:w="5000" w:type="pct"/>
            <w:tcBorders>
              <w:top w:val="nil"/>
              <w:bottom w:val="nil"/>
            </w:tcBorders>
          </w:tcPr>
          <w:p w14:paraId="527A7FA2" w14:textId="77777777" w:rsidR="00767353" w:rsidRPr="002B2B52" w:rsidRDefault="00767353" w:rsidP="00604051">
            <w:pPr>
              <w:pStyle w:val="BodyText"/>
              <w:spacing w:before="0" w:after="0"/>
              <w:ind w:left="284" w:hanging="284"/>
              <w:rPr>
                <w:sz w:val="18"/>
                <w:szCs w:val="18"/>
              </w:rPr>
            </w:pPr>
            <w:r w:rsidRPr="00B83AD3">
              <w:rPr>
                <w:rFonts w:asciiTheme="majorHAnsi" w:hAnsiTheme="majorHAnsi"/>
                <w:color w:val="58585B"/>
                <w:sz w:val="16"/>
                <w:szCs w:val="16"/>
              </w:rPr>
              <w:t>a.</w:t>
            </w:r>
            <w:r w:rsidRPr="00B83AD3">
              <w:rPr>
                <w:rFonts w:asciiTheme="majorHAnsi" w:hAnsiTheme="majorHAnsi"/>
                <w:color w:val="58585B"/>
                <w:sz w:val="16"/>
                <w:szCs w:val="16"/>
              </w:rPr>
              <w:tab/>
              <w:t>Effects of inheritances on wealth in 0–3 years’ time</w:t>
            </w:r>
          </w:p>
        </w:tc>
      </w:tr>
      <w:tr w:rsidR="00767353" w:rsidRPr="002B2B52" w14:paraId="514802C8" w14:textId="77777777" w:rsidTr="00604051">
        <w:trPr>
          <w:tblHeader/>
          <w:jc w:val="center"/>
        </w:trPr>
        <w:tc>
          <w:tcPr>
            <w:tcW w:w="5000" w:type="pct"/>
            <w:tcBorders>
              <w:top w:val="nil"/>
              <w:bottom w:val="nil"/>
            </w:tcBorders>
          </w:tcPr>
          <w:p w14:paraId="6C353BE7" w14:textId="77777777" w:rsidR="00767353" w:rsidRPr="002B2B52" w:rsidRDefault="00767353" w:rsidP="00604051">
            <w:pPr>
              <w:pStyle w:val="BodyText"/>
              <w:spacing w:before="0" w:after="0"/>
              <w:ind w:left="284" w:hanging="284"/>
              <w:rPr>
                <w:sz w:val="18"/>
                <w:szCs w:val="18"/>
              </w:rPr>
            </w:pPr>
            <w:r w:rsidRPr="002B2B52">
              <w:rPr>
                <w:noProof/>
                <w:sz w:val="18"/>
                <w:szCs w:val="18"/>
              </w:rPr>
              <w:drawing>
                <wp:inline distT="0" distB="0" distL="0" distR="0" wp14:anchorId="6A26DBA7" wp14:editId="0980BAEC">
                  <wp:extent cx="6115050" cy="1181100"/>
                  <wp:effectExtent l="0" t="0" r="0" b="0"/>
                  <wp:docPr id="31" name="Picture 31" descr="Figure B.10, panel a. This chart depicts the approach to estimating the effect of inheritances on wealth 0-3 years after inheritances were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B.10, panel a. This chart depicts the approach to estimating the effect of inheritances on wealth 0-3 years after inheritances were received. More details are contained in the text surrounding this figur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15050" cy="1181100"/>
                          </a:xfrm>
                          <a:prstGeom prst="rect">
                            <a:avLst/>
                          </a:prstGeom>
                          <a:noFill/>
                          <a:ln>
                            <a:noFill/>
                          </a:ln>
                        </pic:spPr>
                      </pic:pic>
                    </a:graphicData>
                  </a:graphic>
                </wp:inline>
              </w:drawing>
            </w:r>
          </w:p>
        </w:tc>
      </w:tr>
      <w:tr w:rsidR="00767353" w:rsidRPr="002B2B52" w14:paraId="4C45882C" w14:textId="77777777" w:rsidTr="00604051">
        <w:trPr>
          <w:tblHeader/>
          <w:jc w:val="center"/>
        </w:trPr>
        <w:tc>
          <w:tcPr>
            <w:tcW w:w="5000" w:type="pct"/>
            <w:tcBorders>
              <w:top w:val="nil"/>
              <w:bottom w:val="nil"/>
            </w:tcBorders>
          </w:tcPr>
          <w:p w14:paraId="529F81DB" w14:textId="77777777" w:rsidR="00767353" w:rsidRPr="002B2B52" w:rsidRDefault="00767353" w:rsidP="00604051">
            <w:pPr>
              <w:pStyle w:val="BodyText"/>
              <w:spacing w:before="0" w:after="0"/>
              <w:ind w:left="284" w:hanging="284"/>
              <w:rPr>
                <w:sz w:val="18"/>
                <w:szCs w:val="18"/>
              </w:rPr>
            </w:pPr>
            <w:r w:rsidRPr="00B83AD3">
              <w:rPr>
                <w:rFonts w:asciiTheme="majorHAnsi" w:hAnsiTheme="majorHAnsi"/>
                <w:color w:val="58585B"/>
                <w:sz w:val="16"/>
                <w:szCs w:val="16"/>
              </w:rPr>
              <w:t>b.</w:t>
            </w:r>
            <w:r w:rsidRPr="00B83AD3">
              <w:rPr>
                <w:rFonts w:asciiTheme="majorHAnsi" w:hAnsiTheme="majorHAnsi"/>
                <w:color w:val="58585B"/>
                <w:sz w:val="16"/>
                <w:szCs w:val="16"/>
              </w:rPr>
              <w:tab/>
              <w:t>Effects of inheritances on wealth in 4–7 years’ time</w:t>
            </w:r>
          </w:p>
        </w:tc>
      </w:tr>
      <w:tr w:rsidR="00767353" w:rsidRPr="002B2B52" w14:paraId="0566B54B" w14:textId="77777777" w:rsidTr="00604051">
        <w:trPr>
          <w:tblHeader/>
          <w:jc w:val="center"/>
        </w:trPr>
        <w:tc>
          <w:tcPr>
            <w:tcW w:w="5000" w:type="pct"/>
            <w:tcBorders>
              <w:top w:val="nil"/>
              <w:bottom w:val="nil"/>
            </w:tcBorders>
          </w:tcPr>
          <w:p w14:paraId="2285E31E" w14:textId="77777777" w:rsidR="00767353" w:rsidRPr="002B2B52" w:rsidRDefault="00767353" w:rsidP="00604051">
            <w:pPr>
              <w:pStyle w:val="BodyText"/>
              <w:spacing w:before="0" w:after="0"/>
              <w:ind w:left="284" w:hanging="284"/>
              <w:rPr>
                <w:sz w:val="18"/>
                <w:szCs w:val="18"/>
              </w:rPr>
            </w:pPr>
            <w:r w:rsidRPr="002B2B52">
              <w:rPr>
                <w:noProof/>
                <w:sz w:val="18"/>
                <w:szCs w:val="18"/>
              </w:rPr>
              <w:drawing>
                <wp:inline distT="0" distB="0" distL="0" distR="0" wp14:anchorId="05845232" wp14:editId="3C31A443">
                  <wp:extent cx="6115050" cy="1190625"/>
                  <wp:effectExtent l="0" t="0" r="0" b="0"/>
                  <wp:docPr id="67" name="Picture 67" descr="Figure B.10, panel b. This chart depicts the approach to estimating the effect of inheritances on wealth 4-7 years after inheritances were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B.10, panel b. This chart depicts the approach to estimating the effect of inheritances on wealth 4-7 years after inheritances were received. More details are contained in the text surrounding this figur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inline>
              </w:drawing>
            </w:r>
          </w:p>
        </w:tc>
      </w:tr>
    </w:tbl>
    <w:p w14:paraId="5045A4FC" w14:textId="77777777" w:rsidR="00767353" w:rsidRDefault="00767353" w:rsidP="00767353">
      <w:pPr>
        <w:pStyle w:val="Note"/>
        <w:keepLines/>
        <w:spacing w:after="240"/>
      </w:pPr>
      <w:r w:rsidRPr="00180E66">
        <w:rPr>
          <w:b/>
          <w:bCs/>
        </w:rPr>
        <w:t>a.</w:t>
      </w:r>
      <w:r>
        <w:t xml:space="preserve"> </w:t>
      </w:r>
      <w:r w:rsidRPr="002B2B52">
        <w:t xml:space="preserve">Wealth data are available only for 2006, 2010, 2014, and 2018, as indicated by the dark blue boxes. </w:t>
      </w:r>
      <w:r w:rsidRPr="002B2B52">
        <w:rPr>
          <w:b/>
        </w:rPr>
        <w:t>b</w:t>
      </w:r>
      <w:r w:rsidRPr="002B2B52">
        <w:rPr>
          <w:b/>
          <w:bCs/>
        </w:rPr>
        <w:t>.</w:t>
      </w:r>
      <w:r>
        <w:t xml:space="preserve"> </w:t>
      </w:r>
      <w:r w:rsidRPr="002B2B52">
        <w:t>Light blue arrows represent annual inheritance flows from the year in which the inheritance was received.</w:t>
      </w:r>
    </w:p>
    <w:p w14:paraId="1AD72DDE" w14:textId="77777777" w:rsidR="00767353" w:rsidRDefault="00767353" w:rsidP="00767353">
      <w:pPr>
        <w:pStyle w:val="BodyText"/>
        <w:keepNext/>
      </w:pPr>
      <w:r>
        <w:t>The 0–3 year model is:</w:t>
      </w:r>
    </w:p>
    <w:p w14:paraId="4C075AB7" w14:textId="77777777" w:rsidR="00767353" w:rsidRPr="008D6D0A" w:rsidRDefault="00B2270C" w:rsidP="00767353">
      <w:pPr>
        <w:pStyle w:val="BodyText"/>
        <w:rPr>
          <w:iCs/>
        </w:rPr>
      </w:pPr>
      <m:oMathPara>
        <m:oMath>
          <m:sSub>
            <m:sSubPr>
              <m:ctrlPr>
                <w:rPr>
                  <w:rFonts w:ascii="Cambria Math" w:hAnsi="Cambria Math"/>
                  <w:i/>
                  <w:iCs/>
                </w:rPr>
              </m:ctrlPr>
            </m:sSubPr>
            <m:e>
              <m:r>
                <w:rPr>
                  <w:rFonts w:ascii="Cambria Math" w:hAnsi="Cambria Math"/>
                </w:rPr>
                <m:t>∆</m:t>
              </m:r>
            </m:e>
            <m:sub>
              <m:r>
                <w:rPr>
                  <w:rFonts w:ascii="Cambria Math" w:hAnsi="Cambria Math"/>
                </w:rPr>
                <m:t>t,t-4</m:t>
              </m:r>
            </m:sub>
          </m:sSub>
          <m:sSub>
            <m:sSubPr>
              <m:ctrlPr>
                <w:rPr>
                  <w:rFonts w:ascii="Cambria Math" w:hAnsi="Cambria Math"/>
                  <w:i/>
                </w:rPr>
              </m:ctrlPr>
            </m:sSubPr>
            <m:e>
              <m:r>
                <w:rPr>
                  <w:rFonts w:ascii="Cambria Math" w:hAnsi="Cambria Math"/>
                </w:rPr>
                <m:t>Wealth</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k</m:t>
              </m:r>
            </m:sup>
            <m:e>
              <m:d>
                <m:dPr>
                  <m:ctrlPr>
                    <w:rPr>
                      <w:rFonts w:ascii="Cambria Math" w:hAnsi="Cambria Math"/>
                      <w:i/>
                      <w:iCs/>
                    </w:rPr>
                  </m:ctrlPr>
                </m:dPr>
                <m:e>
                  <m:sSub>
                    <m:sSubPr>
                      <m:ctrlPr>
                        <w:rPr>
                          <w:rFonts w:ascii="Cambria Math" w:hAnsi="Cambria Math"/>
                          <w:i/>
                          <w:iCs/>
                        </w:rPr>
                      </m:ctrlPr>
                    </m:sSubPr>
                    <m:e>
                      <m:r>
                        <w:rPr>
                          <w:rFonts w:ascii="Cambria Math" w:hAnsi="Cambria Math"/>
                        </w:rPr>
                        <m:t>β</m:t>
                      </m:r>
                    </m:e>
                    <m:sub>
                      <m:r>
                        <w:rPr>
                          <w:rFonts w:ascii="Cambria Math" w:hAnsi="Cambria Math"/>
                        </w:rPr>
                        <m:t>j</m:t>
                      </m:r>
                    </m:sub>
                  </m:sSub>
                  <m:sSub>
                    <m:sSubPr>
                      <m:ctrlPr>
                        <w:rPr>
                          <w:rFonts w:ascii="Cambria Math" w:hAnsi="Cambria Math"/>
                          <w:i/>
                          <w:iCs/>
                        </w:rPr>
                      </m:ctrlPr>
                    </m:sSubPr>
                    <m:e>
                      <m:r>
                        <w:rPr>
                          <w:rFonts w:ascii="Cambria Math" w:hAnsi="Cambria Math"/>
                        </w:rPr>
                        <m:t>Inheritance</m:t>
                      </m:r>
                    </m:e>
                    <m:sub>
                      <m:r>
                        <w:rPr>
                          <w:rFonts w:ascii="Cambria Math" w:hAnsi="Cambria Math"/>
                        </w:rPr>
                        <m:t>i,[t, t-2]</m:t>
                      </m:r>
                    </m:sub>
                  </m:sSub>
                  <m:r>
                    <w:rPr>
                      <w:rFonts w:ascii="Cambria Math" w:hAnsi="Cambria Math"/>
                    </w:rPr>
                    <m:t>×</m:t>
                  </m:r>
                  <m:sSub>
                    <m:sSubPr>
                      <m:ctrlPr>
                        <w:rPr>
                          <w:rFonts w:ascii="Cambria Math" w:hAnsi="Cambria Math"/>
                          <w:i/>
                          <w:iCs/>
                        </w:rPr>
                      </m:ctrlPr>
                    </m:sSubPr>
                    <m:e>
                      <m:r>
                        <w:rPr>
                          <w:rFonts w:ascii="Cambria Math" w:hAnsi="Cambria Math"/>
                        </w:rPr>
                        <m:t>Wealth k tile</m:t>
                      </m:r>
                    </m:e>
                    <m:sub>
                      <m:r>
                        <w:rPr>
                          <w:rFonts w:ascii="Cambria Math" w:hAnsi="Cambria Math"/>
                        </w:rPr>
                        <m:t>j,i,t-4</m:t>
                      </m:r>
                    </m:sub>
                  </m:sSub>
                </m:e>
              </m:d>
            </m:e>
          </m:nary>
          <m:r>
            <w:rPr>
              <w:rFonts w:ascii="Cambria Math" w:hAnsi="Cambria Math"/>
            </w:rPr>
            <m:t>+</m:t>
          </m:r>
          <m:sSubSup>
            <m:sSubSupPr>
              <m:ctrlPr>
                <w:rPr>
                  <w:rFonts w:ascii="Cambria Math" w:hAnsi="Cambria Math"/>
                  <w:i/>
                  <w:iCs/>
                </w:rPr>
              </m:ctrlPr>
            </m:sSubSupPr>
            <m:e>
              <m:r>
                <m:rPr>
                  <m:sty m:val="bi"/>
                </m:rPr>
                <w:rPr>
                  <w:rFonts w:ascii="Cambria Math" w:hAnsi="Cambria Math"/>
                </w:rPr>
                <m:t>x</m:t>
              </m:r>
            </m:e>
            <m:sub>
              <m:r>
                <w:rPr>
                  <w:rFonts w:ascii="Cambria Math" w:hAnsi="Cambria Math"/>
                </w:rPr>
                <m:t>i,t-4</m:t>
              </m:r>
            </m:sub>
            <m:sup>
              <m:r>
                <w:rPr>
                  <w:rFonts w:ascii="Cambria Math" w:hAnsi="Cambria Math"/>
                </w:rPr>
                <m:t>'</m:t>
              </m:r>
            </m:sup>
          </m:sSubSup>
          <m:r>
            <m:rPr>
              <m:sty m:val="bi"/>
            </m:rPr>
            <w:rPr>
              <w:rFonts w:ascii="Cambria Math" w:hAnsi="Cambria Math"/>
            </w:rPr>
            <m:t>β</m:t>
          </m:r>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i,t</m:t>
              </m:r>
            </m:sub>
          </m:sSub>
        </m:oMath>
      </m:oMathPara>
    </w:p>
    <w:p w14:paraId="512FF9BE" w14:textId="77777777" w:rsidR="00767353" w:rsidRDefault="00767353" w:rsidP="00767353">
      <w:pPr>
        <w:pStyle w:val="BodyText"/>
      </w:pPr>
      <w:r>
        <w:t>The 4–7 year model is:</w:t>
      </w:r>
    </w:p>
    <w:p w14:paraId="388CD101" w14:textId="77777777" w:rsidR="00767353" w:rsidRPr="008D6D0A" w:rsidRDefault="00B2270C" w:rsidP="00767353">
      <w:pPr>
        <w:pStyle w:val="BodyText"/>
        <w:rPr>
          <w:iCs/>
        </w:rPr>
      </w:pPr>
      <m:oMathPara>
        <m:oMath>
          <m:sSub>
            <m:sSubPr>
              <m:ctrlPr>
                <w:rPr>
                  <w:rFonts w:ascii="Cambria Math" w:hAnsi="Cambria Math"/>
                  <w:i/>
                  <w:iCs/>
                </w:rPr>
              </m:ctrlPr>
            </m:sSubPr>
            <m:e>
              <m:r>
                <w:rPr>
                  <w:rFonts w:ascii="Cambria Math" w:hAnsi="Cambria Math"/>
                </w:rPr>
                <m:t>∆</m:t>
              </m:r>
            </m:e>
            <m:sub>
              <m:r>
                <w:rPr>
                  <w:rFonts w:ascii="Cambria Math" w:hAnsi="Cambria Math"/>
                </w:rPr>
                <m:t>t,t-8</m:t>
              </m:r>
            </m:sub>
          </m:sSub>
          <m:sSub>
            <m:sSubPr>
              <m:ctrlPr>
                <w:rPr>
                  <w:rFonts w:ascii="Cambria Math" w:hAnsi="Cambria Math"/>
                  <w:i/>
                </w:rPr>
              </m:ctrlPr>
            </m:sSubPr>
            <m:e>
              <m:r>
                <w:rPr>
                  <w:rFonts w:ascii="Cambria Math" w:hAnsi="Cambria Math"/>
                </w:rPr>
                <m:t>Wealth</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k</m:t>
              </m:r>
            </m:sup>
            <m:e>
              <m:d>
                <m:dPr>
                  <m:ctrlPr>
                    <w:rPr>
                      <w:rFonts w:ascii="Cambria Math" w:hAnsi="Cambria Math"/>
                      <w:i/>
                      <w:iCs/>
                    </w:rPr>
                  </m:ctrlPr>
                </m:dPr>
                <m:e>
                  <m:sSub>
                    <m:sSubPr>
                      <m:ctrlPr>
                        <w:rPr>
                          <w:rFonts w:ascii="Cambria Math" w:hAnsi="Cambria Math"/>
                          <w:i/>
                          <w:iCs/>
                        </w:rPr>
                      </m:ctrlPr>
                    </m:sSubPr>
                    <m:e>
                      <m:r>
                        <w:rPr>
                          <w:rFonts w:ascii="Cambria Math" w:hAnsi="Cambria Math"/>
                        </w:rPr>
                        <m:t>β</m:t>
                      </m:r>
                    </m:e>
                    <m:sub>
                      <m:r>
                        <w:rPr>
                          <w:rFonts w:ascii="Cambria Math" w:hAnsi="Cambria Math"/>
                        </w:rPr>
                        <m:t>j</m:t>
                      </m:r>
                    </m:sub>
                  </m:sSub>
                  <m:sSub>
                    <m:sSubPr>
                      <m:ctrlPr>
                        <w:rPr>
                          <w:rFonts w:ascii="Cambria Math" w:hAnsi="Cambria Math"/>
                          <w:i/>
                          <w:iCs/>
                        </w:rPr>
                      </m:ctrlPr>
                    </m:sSubPr>
                    <m:e>
                      <m:r>
                        <w:rPr>
                          <w:rFonts w:ascii="Cambria Math" w:hAnsi="Cambria Math"/>
                        </w:rPr>
                        <m:t>Inheritance</m:t>
                      </m:r>
                    </m:e>
                    <m:sub>
                      <m:r>
                        <w:rPr>
                          <w:rFonts w:ascii="Cambria Math" w:hAnsi="Cambria Math"/>
                        </w:rPr>
                        <m:t>i,[t-4, t-6]</m:t>
                      </m:r>
                    </m:sub>
                  </m:sSub>
                  <m:r>
                    <w:rPr>
                      <w:rFonts w:ascii="Cambria Math" w:hAnsi="Cambria Math"/>
                    </w:rPr>
                    <m:t>×</m:t>
                  </m:r>
                  <m:sSub>
                    <m:sSubPr>
                      <m:ctrlPr>
                        <w:rPr>
                          <w:rFonts w:ascii="Cambria Math" w:hAnsi="Cambria Math"/>
                          <w:i/>
                          <w:iCs/>
                        </w:rPr>
                      </m:ctrlPr>
                    </m:sSubPr>
                    <m:e>
                      <m:r>
                        <w:rPr>
                          <w:rFonts w:ascii="Cambria Math" w:hAnsi="Cambria Math"/>
                        </w:rPr>
                        <m:t>Wealth k tile</m:t>
                      </m:r>
                    </m:e>
                    <m:sub>
                      <m:r>
                        <w:rPr>
                          <w:rFonts w:ascii="Cambria Math" w:hAnsi="Cambria Math"/>
                        </w:rPr>
                        <m:t>j,i,t-8</m:t>
                      </m:r>
                    </m:sub>
                  </m:sSub>
                </m:e>
              </m:d>
            </m:e>
          </m:nary>
          <m:r>
            <w:rPr>
              <w:rFonts w:ascii="Cambria Math" w:hAnsi="Cambria Math"/>
            </w:rPr>
            <m:t>+</m:t>
          </m:r>
          <m:sSubSup>
            <m:sSubSupPr>
              <m:ctrlPr>
                <w:rPr>
                  <w:rFonts w:ascii="Cambria Math" w:hAnsi="Cambria Math"/>
                  <w:i/>
                  <w:iCs/>
                </w:rPr>
              </m:ctrlPr>
            </m:sSubSupPr>
            <m:e>
              <m:r>
                <m:rPr>
                  <m:sty m:val="bi"/>
                </m:rPr>
                <w:rPr>
                  <w:rFonts w:ascii="Cambria Math" w:hAnsi="Cambria Math"/>
                </w:rPr>
                <m:t>x</m:t>
              </m:r>
            </m:e>
            <m:sub>
              <m:r>
                <w:rPr>
                  <w:rFonts w:ascii="Cambria Math" w:hAnsi="Cambria Math"/>
                </w:rPr>
                <m:t>i,t-8</m:t>
              </m:r>
            </m:sub>
            <m:sup>
              <m:r>
                <w:rPr>
                  <w:rFonts w:ascii="Cambria Math" w:hAnsi="Cambria Math"/>
                </w:rPr>
                <m:t>'</m:t>
              </m:r>
            </m:sup>
          </m:sSubSup>
          <m:r>
            <m:rPr>
              <m:sty m:val="bi"/>
            </m:rPr>
            <w:rPr>
              <w:rFonts w:ascii="Cambria Math" w:hAnsi="Cambria Math"/>
            </w:rPr>
            <m:t>β</m:t>
          </m:r>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i,t</m:t>
              </m:r>
            </m:sub>
          </m:sSub>
        </m:oMath>
      </m:oMathPara>
    </w:p>
    <w:p w14:paraId="0D3AEB2F" w14:textId="77777777" w:rsidR="00767353" w:rsidRDefault="00767353" w:rsidP="00767353">
      <w:pPr>
        <w:pStyle w:val="BodyText"/>
        <w:keepNext/>
      </w:pPr>
      <w:r>
        <w:t>Where:</w:t>
      </w:r>
    </w:p>
    <w:p w14:paraId="285D190E" w14:textId="77777777" w:rsidR="00767353" w:rsidRDefault="00B2270C" w:rsidP="00767353">
      <w:pPr>
        <w:pStyle w:val="ListBullet"/>
      </w:pPr>
      <m:oMath>
        <m:sSub>
          <m:sSubPr>
            <m:ctrlPr>
              <w:rPr>
                <w:rFonts w:ascii="Cambria Math" w:hAnsi="Cambria Math"/>
                <w:i/>
                <w:iCs/>
              </w:rPr>
            </m:ctrlPr>
          </m:sSubPr>
          <m:e>
            <m:r>
              <w:rPr>
                <w:rFonts w:ascii="Cambria Math" w:hAnsi="Cambria Math"/>
              </w:rPr>
              <m:t>∆</m:t>
            </m:r>
          </m:e>
          <m:sub>
            <m:r>
              <w:rPr>
                <w:rFonts w:ascii="Cambria Math" w:hAnsi="Cambria Math"/>
              </w:rPr>
              <m:t>t,t-y</m:t>
            </m:r>
          </m:sub>
        </m:sSub>
        <m:sSub>
          <m:sSubPr>
            <m:ctrlPr>
              <w:rPr>
                <w:rFonts w:ascii="Cambria Math" w:hAnsi="Cambria Math"/>
                <w:i/>
              </w:rPr>
            </m:ctrlPr>
          </m:sSubPr>
          <m:e>
            <m:r>
              <w:rPr>
                <w:rFonts w:ascii="Cambria Math" w:hAnsi="Cambria Math"/>
              </w:rPr>
              <m:t>Wealth</m:t>
            </m:r>
          </m:e>
          <m:sub>
            <m:r>
              <w:rPr>
                <w:rFonts w:ascii="Cambria Math" w:hAnsi="Cambria Math"/>
              </w:rPr>
              <m:t>i</m:t>
            </m:r>
          </m:sub>
        </m:sSub>
      </m:oMath>
      <w:r w:rsidR="00767353">
        <w:t xml:space="preserve"> is the </w:t>
      </w:r>
      <m:oMath>
        <m:r>
          <w:rPr>
            <w:rFonts w:ascii="Cambria Math" w:hAnsi="Cambria Math"/>
          </w:rPr>
          <m:t>i</m:t>
        </m:r>
      </m:oMath>
      <w:r w:rsidR="00767353">
        <w:t xml:space="preserve">th person’s dollar change in wealth between period </w:t>
      </w:r>
      <m:oMath>
        <m:r>
          <w:rPr>
            <w:rFonts w:ascii="Cambria Math" w:hAnsi="Cambria Math"/>
          </w:rPr>
          <m:t>t</m:t>
        </m:r>
      </m:oMath>
      <w:r w:rsidR="00767353">
        <w:t xml:space="preserve"> and period </w:t>
      </w:r>
      <m:oMath>
        <m:r>
          <w:rPr>
            <w:rFonts w:ascii="Cambria Math" w:hAnsi="Cambria Math"/>
          </w:rPr>
          <m:t>t-y</m:t>
        </m:r>
      </m:oMath>
      <w:r w:rsidR="00767353">
        <w:t>.</w:t>
      </w:r>
    </w:p>
    <w:p w14:paraId="169703A8" w14:textId="77777777" w:rsidR="00767353" w:rsidRDefault="00B2270C" w:rsidP="00767353">
      <w:pPr>
        <w:pStyle w:val="ListBullet"/>
      </w:pPr>
      <m:oMath>
        <m:sSub>
          <m:sSubPr>
            <m:ctrlPr>
              <w:rPr>
                <w:rFonts w:ascii="Cambria Math" w:hAnsi="Cambria Math"/>
                <w:i/>
              </w:rPr>
            </m:ctrlPr>
          </m:sSubPr>
          <m:e>
            <m:r>
              <w:rPr>
                <w:rFonts w:ascii="Cambria Math" w:hAnsi="Cambria Math"/>
              </w:rPr>
              <m:t>Inheritance</m:t>
            </m:r>
          </m:e>
          <m:sub>
            <m:r>
              <w:rPr>
                <w:rFonts w:ascii="Cambria Math" w:hAnsi="Cambria Math"/>
              </w:rPr>
              <m:t>i,[t-y+2, t-y+4]</m:t>
            </m:r>
          </m:sub>
        </m:sSub>
      </m:oMath>
      <w:r w:rsidR="00767353">
        <w:t xml:space="preserve"> is the sum of the inheritances that the </w:t>
      </w:r>
      <m:oMath>
        <m:r>
          <w:rPr>
            <w:rFonts w:ascii="Cambria Math" w:hAnsi="Cambria Math"/>
          </w:rPr>
          <m:t>i</m:t>
        </m:r>
      </m:oMath>
      <w:r w:rsidR="00767353">
        <w:t xml:space="preserve">th person received between period </w:t>
      </w:r>
      <m:oMath>
        <m:r>
          <w:rPr>
            <w:rFonts w:ascii="Cambria Math" w:hAnsi="Cambria Math"/>
          </w:rPr>
          <m:t>t-y+2</m:t>
        </m:r>
      </m:oMath>
      <w:r w:rsidR="00767353">
        <w:t xml:space="preserve"> and period </w:t>
      </w:r>
      <m:oMath>
        <m:r>
          <w:rPr>
            <w:rFonts w:ascii="Cambria Math" w:hAnsi="Cambria Math"/>
          </w:rPr>
          <m:t>t-y+4</m:t>
        </m:r>
      </m:oMath>
      <w:r w:rsidR="00767353">
        <w:t xml:space="preserve"> (inclusive).</w:t>
      </w:r>
    </w:p>
    <w:p w14:paraId="3A740824" w14:textId="77777777" w:rsidR="00767353" w:rsidRDefault="00B2270C" w:rsidP="00767353">
      <w:pPr>
        <w:pStyle w:val="ListBullet"/>
      </w:pPr>
      <m:oMath>
        <m:sSub>
          <m:sSubPr>
            <m:ctrlPr>
              <w:rPr>
                <w:rFonts w:ascii="Cambria Math" w:hAnsi="Cambria Math"/>
                <w:i/>
                <w:iCs/>
              </w:rPr>
            </m:ctrlPr>
          </m:sSubPr>
          <m:e>
            <m:r>
              <w:rPr>
                <w:rFonts w:ascii="Cambria Math" w:hAnsi="Cambria Math"/>
              </w:rPr>
              <m:t>Wealth k tile</m:t>
            </m:r>
          </m:e>
          <m:sub>
            <m:r>
              <w:rPr>
                <w:rFonts w:ascii="Cambria Math" w:hAnsi="Cambria Math"/>
              </w:rPr>
              <m:t>j,i,t-y</m:t>
            </m:r>
          </m:sub>
        </m:sSub>
      </m:oMath>
      <w:r w:rsidR="00767353">
        <w:t xml:space="preserve"> takes the value </w:t>
      </w:r>
      <m:oMath>
        <m:r>
          <w:rPr>
            <w:rFonts w:ascii="Cambria Math" w:hAnsi="Cambria Math"/>
          </w:rPr>
          <m:t>1</m:t>
        </m:r>
      </m:oMath>
      <w:r w:rsidR="00767353">
        <w:t xml:space="preserve"> if the </w:t>
      </w:r>
      <m:oMath>
        <m:r>
          <w:rPr>
            <w:rFonts w:ascii="Cambria Math" w:hAnsi="Cambria Math"/>
          </w:rPr>
          <m:t>i</m:t>
        </m:r>
      </m:oMath>
      <w:r w:rsidR="00767353">
        <w:t xml:space="preserve">th person’s equivalised wealth in period </w:t>
      </w:r>
      <m:oMath>
        <m:r>
          <w:rPr>
            <w:rFonts w:ascii="Cambria Math" w:hAnsi="Cambria Math"/>
          </w:rPr>
          <m:t>t- y</m:t>
        </m:r>
      </m:oMath>
      <w:r w:rsidR="00767353">
        <w:t xml:space="preserve"> was in </w:t>
      </w:r>
      <m:oMath>
        <m:r>
          <w:rPr>
            <w:rFonts w:ascii="Cambria Math" w:hAnsi="Cambria Math"/>
          </w:rPr>
          <m:t>k</m:t>
        </m:r>
        <m:r>
          <m:rPr>
            <m:sty m:val="p"/>
          </m:rPr>
          <w:rPr>
            <w:rFonts w:ascii="Cambria Math" w:hAnsi="Cambria Math"/>
          </w:rPr>
          <w:noBreakHyphen/>
        </m:r>
      </m:oMath>
      <w:r w:rsidR="00767353">
        <w:t xml:space="preserve">tile </w:t>
      </w:r>
      <m:oMath>
        <m:r>
          <w:rPr>
            <w:rFonts w:ascii="Cambria Math" w:hAnsi="Cambria Math"/>
          </w:rPr>
          <m:t>j</m:t>
        </m:r>
      </m:oMath>
      <w:r w:rsidR="00767353">
        <w:t xml:space="preserve">, and </w:t>
      </w:r>
      <m:oMath>
        <m:r>
          <w:rPr>
            <w:rFonts w:ascii="Cambria Math" w:hAnsi="Cambria Math"/>
          </w:rPr>
          <m:t>0</m:t>
        </m:r>
      </m:oMath>
      <w:r w:rsidR="00767353">
        <w:t xml:space="preserve"> otherwise. Chapter 2 presents the cases </w:t>
      </w:r>
      <m:oMath>
        <m:r>
          <w:rPr>
            <w:rFonts w:ascii="Cambria Math" w:hAnsi="Cambria Math"/>
          </w:rPr>
          <m:t>k=1</m:t>
        </m:r>
      </m:oMath>
      <w:r w:rsidR="00767353">
        <w:t xml:space="preserve"> (the degenerate case for which this variable effectively vanishes from the model) and </w:t>
      </w:r>
      <m:oMath>
        <m:r>
          <w:rPr>
            <w:rFonts w:ascii="Cambria Math" w:hAnsi="Cambria Math"/>
          </w:rPr>
          <m:t>k=2</m:t>
        </m:r>
      </m:oMath>
      <w:r w:rsidR="00767353">
        <w:t xml:space="preserve"> (halves of the wealth distribution). This appendix presents those cases, the </w:t>
      </w:r>
      <m:oMath>
        <m:r>
          <w:rPr>
            <w:rFonts w:ascii="Cambria Math" w:hAnsi="Cambria Math"/>
          </w:rPr>
          <m:t>k=3</m:t>
        </m:r>
      </m:oMath>
      <w:r w:rsidR="00767353">
        <w:t xml:space="preserve"> (tertiles) and </w:t>
      </w:r>
      <m:oMath>
        <m:r>
          <w:rPr>
            <w:rFonts w:ascii="Cambria Math" w:hAnsi="Cambria Math"/>
          </w:rPr>
          <m:t>k=5</m:t>
        </m:r>
      </m:oMath>
      <w:r w:rsidR="00767353">
        <w:t xml:space="preserve"> (quintiles) cases, and cases where the </w:t>
      </w:r>
      <m:oMath>
        <m:r>
          <w:rPr>
            <w:rFonts w:ascii="Cambria Math" w:hAnsi="Cambria Math"/>
          </w:rPr>
          <m:t>k</m:t>
        </m:r>
        <m:r>
          <m:rPr>
            <m:sty m:val="p"/>
          </m:rPr>
          <w:rPr>
            <w:rFonts w:ascii="Cambria Math" w:hAnsi="Cambria Math"/>
          </w:rPr>
          <w:noBreakHyphen/>
        </m:r>
      </m:oMath>
      <w:r w:rsidR="00767353">
        <w:t>tiles parameterise the ‘lifecycle</w:t>
      </w:r>
      <w:r w:rsidR="00767353">
        <w:noBreakHyphen/>
        <w:t>adjusted’ wealth distribution (section B.4).</w:t>
      </w:r>
    </w:p>
    <w:p w14:paraId="10692B31" w14:textId="77777777" w:rsidR="00767353" w:rsidRDefault="00B2270C" w:rsidP="00767353">
      <w:pPr>
        <w:pStyle w:val="ListBullet"/>
      </w:pP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i,t-y</m:t>
            </m:r>
          </m:sub>
        </m:sSub>
      </m:oMath>
      <w:r w:rsidR="00767353">
        <w:t xml:space="preserve"> is a vector of controls for the </w:t>
      </w:r>
      <m:oMath>
        <m:r>
          <w:rPr>
            <w:rFonts w:ascii="Cambria Math" w:hAnsi="Cambria Math"/>
          </w:rPr>
          <m:t>i</m:t>
        </m:r>
      </m:oMath>
      <w:r w:rsidR="00767353">
        <w:t xml:space="preserve">th person in period </w:t>
      </w:r>
      <m:oMath>
        <m:r>
          <w:rPr>
            <w:rFonts w:ascii="Cambria Math" w:hAnsi="Cambria Math"/>
          </w:rPr>
          <m:t>t-y</m:t>
        </m:r>
      </m:oMath>
      <w:r w:rsidR="00767353">
        <w:t xml:space="preserve">. They are: year, age, gender, number of children, partner, education level, mother’s and father’s education level, country of birth, whether living with parents at age 14, number of siblings and household disposable income. These control variables are chosen because they are likely to correlate both with </w:t>
      </w:r>
      <m:oMath>
        <m:sSub>
          <m:sSubPr>
            <m:ctrlPr>
              <w:rPr>
                <w:rFonts w:ascii="Cambria Math" w:hAnsi="Cambria Math"/>
                <w:i/>
              </w:rPr>
            </m:ctrlPr>
          </m:sSubPr>
          <m:e>
            <m:r>
              <w:rPr>
                <w:rFonts w:ascii="Cambria Math" w:hAnsi="Cambria Math"/>
              </w:rPr>
              <m:t>Inheritance</m:t>
            </m:r>
          </m:e>
          <m:sub>
            <m:r>
              <w:rPr>
                <w:rFonts w:ascii="Cambria Math" w:hAnsi="Cambria Math"/>
              </w:rPr>
              <m:t>i,[t-y+2, t-y+4]</m:t>
            </m:r>
          </m:sub>
        </m:sSub>
      </m:oMath>
      <w:r w:rsidR="00767353">
        <w:t xml:space="preserve"> (usually via parents’ wealth) and </w:t>
      </w:r>
      <m:oMath>
        <m:sSub>
          <m:sSubPr>
            <m:ctrlPr>
              <w:rPr>
                <w:rFonts w:ascii="Cambria Math" w:hAnsi="Cambria Math"/>
                <w:i/>
                <w:iCs/>
              </w:rPr>
            </m:ctrlPr>
          </m:sSubPr>
          <m:e>
            <m:r>
              <w:rPr>
                <w:rFonts w:ascii="Cambria Math" w:hAnsi="Cambria Math"/>
              </w:rPr>
              <m:t>∆</m:t>
            </m:r>
          </m:e>
          <m:sub>
            <m:r>
              <w:rPr>
                <w:rFonts w:ascii="Cambria Math" w:hAnsi="Cambria Math"/>
              </w:rPr>
              <m:t>t,t-y</m:t>
            </m:r>
          </m:sub>
        </m:sSub>
        <m:sSub>
          <m:sSubPr>
            <m:ctrlPr>
              <w:rPr>
                <w:rFonts w:ascii="Cambria Math" w:hAnsi="Cambria Math"/>
                <w:i/>
              </w:rPr>
            </m:ctrlPr>
          </m:sSubPr>
          <m:e>
            <m:r>
              <w:rPr>
                <w:rFonts w:ascii="Cambria Math" w:hAnsi="Cambria Math"/>
              </w:rPr>
              <m:t>Wealth</m:t>
            </m:r>
          </m:e>
          <m:sub>
            <m:r>
              <w:rPr>
                <w:rFonts w:ascii="Cambria Math" w:hAnsi="Cambria Math"/>
              </w:rPr>
              <m:t>i</m:t>
            </m:r>
          </m:sub>
        </m:sSub>
      </m:oMath>
      <w:r w:rsidR="00767353">
        <w:t>. With the exception of the time</w:t>
      </w:r>
      <w:r w:rsidR="00767353">
        <w:noBreakHyphen/>
        <w:t xml:space="preserve">invariant controls, no observations from after period </w:t>
      </w:r>
      <m:oMath>
        <m:r>
          <w:rPr>
            <w:rFonts w:ascii="Cambria Math" w:hAnsi="Cambria Math"/>
          </w:rPr>
          <m:t>t- y</m:t>
        </m:r>
      </m:oMath>
      <w:r w:rsidR="00767353">
        <w:t xml:space="preserve"> are controlled for, as these changes might be caused by inheritance receipt.</w:t>
      </w:r>
    </w:p>
    <w:p w14:paraId="2DAAAFAC" w14:textId="5FE0F1C9" w:rsidR="00767353" w:rsidRDefault="00767353" w:rsidP="00767353">
      <w:pPr>
        <w:pStyle w:val="BodyText"/>
      </w:pPr>
      <w:r>
        <w:t xml:space="preserve">The main identifying assumption is that, conditional on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i,t-y</m:t>
            </m:r>
          </m:sub>
        </m:sSub>
      </m:oMath>
      <w:r>
        <w:t xml:space="preserve">, </w:t>
      </w:r>
      <m:oMath>
        <m:sSub>
          <m:sSubPr>
            <m:ctrlPr>
              <w:rPr>
                <w:rFonts w:ascii="Cambria Math" w:hAnsi="Cambria Math"/>
                <w:i/>
              </w:rPr>
            </m:ctrlPr>
          </m:sSubPr>
          <m:e>
            <m:r>
              <w:rPr>
                <w:rFonts w:ascii="Cambria Math" w:hAnsi="Cambria Math"/>
              </w:rPr>
              <m:t>Inheritance</m:t>
            </m:r>
          </m:e>
          <m:sub>
            <m:r>
              <w:rPr>
                <w:rFonts w:ascii="Cambria Math" w:hAnsi="Cambria Math"/>
              </w:rPr>
              <m:t>i,[t-y+2, t-y+4]</m:t>
            </m:r>
          </m:sub>
        </m:sSub>
      </m:oMath>
      <w:r>
        <w:t xml:space="preserve"> is exogenous with respect to </w:t>
      </w:r>
      <m:oMath>
        <m:sSub>
          <m:sSubPr>
            <m:ctrlPr>
              <w:rPr>
                <w:rFonts w:ascii="Cambria Math" w:hAnsi="Cambria Math"/>
                <w:i/>
                <w:iCs/>
              </w:rPr>
            </m:ctrlPr>
          </m:sSubPr>
          <m:e>
            <m:r>
              <w:rPr>
                <w:rFonts w:ascii="Cambria Math" w:hAnsi="Cambria Math"/>
              </w:rPr>
              <m:t>∆</m:t>
            </m:r>
          </m:e>
          <m:sub>
            <m:r>
              <w:rPr>
                <w:rFonts w:ascii="Cambria Math" w:hAnsi="Cambria Math"/>
              </w:rPr>
              <m:t>t,t-y</m:t>
            </m:r>
          </m:sub>
        </m:sSub>
        <m:sSub>
          <m:sSubPr>
            <m:ctrlPr>
              <w:rPr>
                <w:rFonts w:ascii="Cambria Math" w:hAnsi="Cambria Math"/>
                <w:i/>
              </w:rPr>
            </m:ctrlPr>
          </m:sSubPr>
          <m:e>
            <m:r>
              <w:rPr>
                <w:rFonts w:ascii="Cambria Math" w:hAnsi="Cambria Math"/>
              </w:rPr>
              <m:t>Wealth</m:t>
            </m:r>
          </m:e>
          <m:sub>
            <m:r>
              <w:rPr>
                <w:rFonts w:ascii="Cambria Math" w:hAnsi="Cambria Math"/>
              </w:rPr>
              <m:t>i</m:t>
            </m:r>
          </m:sub>
        </m:sSub>
      </m:oMath>
      <w:r>
        <w:t xml:space="preserve">. Estimating the model on those who do and do not inherit might violate this, because differences in inheritance expectations are not controlled for. (Inheritance expectations can be thought of as a variable omitted from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i,t-y</m:t>
            </m:r>
          </m:sub>
        </m:sSub>
      </m:oMath>
      <w:r w:rsidRPr="003A1D9C">
        <w:rPr>
          <w:bCs/>
        </w:rPr>
        <w:t xml:space="preserve"> that determines </w:t>
      </w:r>
      <m:oMath>
        <m:sSub>
          <m:sSubPr>
            <m:ctrlPr>
              <w:rPr>
                <w:rFonts w:ascii="Cambria Math" w:hAnsi="Cambria Math"/>
                <w:i/>
                <w:iCs/>
              </w:rPr>
            </m:ctrlPr>
          </m:sSubPr>
          <m:e>
            <m:r>
              <w:rPr>
                <w:rFonts w:ascii="Cambria Math" w:hAnsi="Cambria Math"/>
              </w:rPr>
              <m:t>∆</m:t>
            </m:r>
          </m:e>
          <m:sub>
            <m:r>
              <w:rPr>
                <w:rFonts w:ascii="Cambria Math" w:hAnsi="Cambria Math"/>
              </w:rPr>
              <m:t>t,t-y</m:t>
            </m:r>
          </m:sub>
        </m:sSub>
        <m:sSub>
          <m:sSubPr>
            <m:ctrlPr>
              <w:rPr>
                <w:rFonts w:ascii="Cambria Math" w:hAnsi="Cambria Math"/>
                <w:i/>
              </w:rPr>
            </m:ctrlPr>
          </m:sSubPr>
          <m:e>
            <m:r>
              <w:rPr>
                <w:rFonts w:ascii="Cambria Math" w:hAnsi="Cambria Math"/>
              </w:rPr>
              <m:t>Wealth</m:t>
            </m:r>
          </m:e>
          <m:sub>
            <m:r>
              <w:rPr>
                <w:rFonts w:ascii="Cambria Math" w:hAnsi="Cambria Math"/>
              </w:rPr>
              <m:t>i</m:t>
            </m:r>
          </m:sub>
        </m:sSub>
      </m:oMath>
      <w:r>
        <w:t xml:space="preserve"> via a channel other than </w:t>
      </w:r>
      <m:oMath>
        <m:sSub>
          <m:sSubPr>
            <m:ctrlPr>
              <w:rPr>
                <w:rFonts w:ascii="Cambria Math" w:hAnsi="Cambria Math"/>
                <w:i/>
              </w:rPr>
            </m:ctrlPr>
          </m:sSubPr>
          <m:e>
            <m:r>
              <w:rPr>
                <w:rFonts w:ascii="Cambria Math" w:hAnsi="Cambria Math"/>
              </w:rPr>
              <m:t>Inheritance</m:t>
            </m:r>
          </m:e>
          <m:sub>
            <m:r>
              <w:rPr>
                <w:rFonts w:ascii="Cambria Math" w:hAnsi="Cambria Math"/>
              </w:rPr>
              <m:t>i,[t-y+2, t-y+4]</m:t>
            </m:r>
          </m:sub>
        </m:sSub>
      </m:oMath>
      <w:r>
        <w:t xml:space="preserve">.) For this reason, the model is estimated on only people who inherited between year </w:t>
      </w:r>
      <m:oMath>
        <m:r>
          <w:rPr>
            <w:rFonts w:ascii="Cambria Math" w:hAnsi="Cambria Math"/>
          </w:rPr>
          <m:t>t-y+2</m:t>
        </m:r>
      </m:oMath>
      <w:r>
        <w:t xml:space="preserve"> and year </w:t>
      </w:r>
      <m:oMath>
        <m:r>
          <w:rPr>
            <w:rFonts w:ascii="Cambria Math" w:hAnsi="Cambria Math"/>
          </w:rPr>
          <m:t>t-y+4</m:t>
        </m:r>
      </m:oMath>
      <w:r>
        <w:t xml:space="preserve"> or in year </w:t>
      </w:r>
      <m:oMath>
        <m:r>
          <w:rPr>
            <w:rFonts w:ascii="Cambria Math" w:hAnsi="Cambria Math"/>
          </w:rPr>
          <m:t>t+1</m:t>
        </m:r>
      </m:oMath>
      <w:r>
        <w:t>, as they ought to have similar inheritance expectations.</w:t>
      </w:r>
      <w:r w:rsidRPr="001F567E">
        <w:rPr>
          <w:rStyle w:val="FootnoteReference"/>
        </w:rPr>
        <w:footnoteReference w:id="64"/>
      </w:r>
      <w:r>
        <w:t xml:space="preserve"> This is similar to the approaches taken by previous studies </w:t>
      </w:r>
      <w:r>
        <w:fldChar w:fldCharType="begin"/>
      </w:r>
      <w:r w:rsidR="0047772E">
        <w:instrText xml:space="preserve"> ADDIN ZOTERO_ITEM CSL_CITATION {"citationID":"HmqODMcV","properties":{"formattedCitation":"(Elinder, Erixson and Ohlsson\\uc0\\u160{}2012; Nekoei and Seim\\uc0\\u160{}2019)","plainCitation":"(Elinder, Erixson and Ohlsson 2012; Nekoei and Seim 2019)","noteIndex":0},"citationItems":[{"id":1674,"uris":["http://zotero.org/groups/2714158/items/RML2X8WB"],"uri":["http://zotero.org/groups/2714158/items/RML2X8WB"],"itemData":{"id":1674,"type":"article-journal","container-title":"The BE Journal of Economic Analysis &amp; Policy","issue":"1","page":"1-35","source":"Google Scholar","title":"The impact of inheritances on heirs' labor and capital income","volume":"12","author":[{"family":"Elinder","given":"Mikael"},{"family":"Erixson","given":"Oscar"},{"family":"Ohlsson","given":"Henry"}],"issued":{"date-parts":[["2012"]]}}},{"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Sweden","author":[{"family":"Nekoei","given":"Arash"},{"family":"Seim","given":"David"}],"accessed":{"date-parts":[["2021",1,15]]},"issued":{"date-parts":[["2019"]]}}}],"schema":"https://github.com/citation-style-language/schema/raw/master/csl-citation.json"} </w:instrText>
      </w:r>
      <w:r>
        <w:fldChar w:fldCharType="separate"/>
      </w:r>
      <w:r w:rsidRPr="003A1D9C">
        <w:rPr>
          <w:szCs w:val="24"/>
        </w:rPr>
        <w:t>(Elinder, Erixson and Ohlsson 2012; Nekoei and Seim 2019)</w:t>
      </w:r>
      <w:r>
        <w:fldChar w:fldCharType="end"/>
      </w:r>
      <w:r>
        <w:t xml:space="preserve">. It also means that few repeated observations of the same individual are used to estimate the model, which reduces the risk of bias due to correlation between lags of </w:t>
      </w:r>
      <m:oMath>
        <m:sSub>
          <m:sSubPr>
            <m:ctrlPr>
              <w:rPr>
                <w:rFonts w:ascii="Cambria Math" w:hAnsi="Cambria Math"/>
                <w:i/>
                <w:iCs/>
              </w:rPr>
            </m:ctrlPr>
          </m:sSubPr>
          <m:e>
            <m:r>
              <w:rPr>
                <w:rFonts w:ascii="Cambria Math" w:hAnsi="Cambria Math"/>
              </w:rPr>
              <m:t>∆</m:t>
            </m:r>
          </m:e>
          <m:sub>
            <m:r>
              <w:rPr>
                <w:rFonts w:ascii="Cambria Math" w:hAnsi="Cambria Math"/>
              </w:rPr>
              <m:t>t,t-y</m:t>
            </m:r>
          </m:sub>
        </m:sSub>
        <m:sSub>
          <m:sSubPr>
            <m:ctrlPr>
              <w:rPr>
                <w:rFonts w:ascii="Cambria Math" w:hAnsi="Cambria Math"/>
                <w:i/>
              </w:rPr>
            </m:ctrlPr>
          </m:sSubPr>
          <m:e>
            <m:r>
              <w:rPr>
                <w:rFonts w:ascii="Cambria Math" w:hAnsi="Cambria Math"/>
              </w:rPr>
              <m:t>Wealth</m:t>
            </m:r>
          </m:e>
          <m:sub>
            <m:r>
              <w:rPr>
                <w:rFonts w:ascii="Cambria Math" w:hAnsi="Cambria Math"/>
              </w:rPr>
              <m:t>i</m:t>
            </m:r>
          </m:sub>
        </m:sSub>
      </m:oMath>
      <w:r>
        <w:t xml:space="preserve"> and </w:t>
      </w:r>
      <m:oMath>
        <m:sSub>
          <m:sSubPr>
            <m:ctrlPr>
              <w:rPr>
                <w:rFonts w:ascii="Cambria Math" w:hAnsi="Cambria Math"/>
                <w:i/>
                <w:iCs/>
              </w:rPr>
            </m:ctrlPr>
          </m:sSubPr>
          <m:e>
            <m:r>
              <w:rPr>
                <w:rFonts w:ascii="Cambria Math" w:hAnsi="Cambria Math"/>
              </w:rPr>
              <m:t>Wealth k tile</m:t>
            </m:r>
          </m:e>
          <m:sub>
            <m:r>
              <w:rPr>
                <w:rFonts w:ascii="Cambria Math" w:hAnsi="Cambria Math"/>
              </w:rPr>
              <m:t>j,i,t-y</m:t>
            </m:r>
          </m:sub>
        </m:sSub>
      </m:oMath>
      <w:r>
        <w:rPr>
          <w:iCs/>
        </w:rPr>
        <w:t>.</w:t>
      </w:r>
      <w:r>
        <w:t xml:space="preserve"> The model is also estimated on the full sample as a robustness check.</w:t>
      </w:r>
    </w:p>
    <w:p w14:paraId="08222E28" w14:textId="77777777" w:rsidR="00767353" w:rsidRDefault="00767353" w:rsidP="00767353">
      <w:pPr>
        <w:pStyle w:val="BodyText"/>
      </w:pPr>
      <w:r>
        <w:t xml:space="preserve">Aside from this, there are three reasons that the identifying assumption is defensible, because </w:t>
      </w:r>
      <m:oMath>
        <m:sSub>
          <m:sSubPr>
            <m:ctrlPr>
              <w:rPr>
                <w:rFonts w:ascii="Cambria Math" w:hAnsi="Cambria Math"/>
                <w:i/>
              </w:rPr>
            </m:ctrlPr>
          </m:sSubPr>
          <m:e>
            <m:r>
              <w:rPr>
                <w:rFonts w:ascii="Cambria Math" w:hAnsi="Cambria Math"/>
              </w:rPr>
              <m:t>Inheritance</m:t>
            </m:r>
          </m:e>
          <m:sub>
            <m:r>
              <w:rPr>
                <w:rFonts w:ascii="Cambria Math" w:hAnsi="Cambria Math"/>
              </w:rPr>
              <m:t>i,[t-y+2, t-y+4]</m:t>
            </m:r>
          </m:sub>
        </m:sSub>
      </m:oMath>
      <w:r>
        <w:t xml:space="preserve"> is unlikely to respond to exogenous shocks to </w:t>
      </w:r>
      <m:oMath>
        <m:sSub>
          <m:sSubPr>
            <m:ctrlPr>
              <w:rPr>
                <w:rFonts w:ascii="Cambria Math" w:hAnsi="Cambria Math"/>
                <w:i/>
                <w:iCs/>
              </w:rPr>
            </m:ctrlPr>
          </m:sSubPr>
          <m:e>
            <m:r>
              <w:rPr>
                <w:rFonts w:ascii="Cambria Math" w:hAnsi="Cambria Math"/>
              </w:rPr>
              <m:t>∆</m:t>
            </m:r>
          </m:e>
          <m:sub>
            <m:r>
              <w:rPr>
                <w:rFonts w:ascii="Cambria Math" w:hAnsi="Cambria Math"/>
              </w:rPr>
              <m:t>t,t-y</m:t>
            </m:r>
          </m:sub>
        </m:sSub>
        <m:sSub>
          <m:sSubPr>
            <m:ctrlPr>
              <w:rPr>
                <w:rFonts w:ascii="Cambria Math" w:hAnsi="Cambria Math"/>
                <w:i/>
              </w:rPr>
            </m:ctrlPr>
          </m:sSubPr>
          <m:e>
            <m:r>
              <w:rPr>
                <w:rFonts w:ascii="Cambria Math" w:hAnsi="Cambria Math"/>
              </w:rPr>
              <m:t>Wealth</m:t>
            </m:r>
          </m:e>
          <m:sub>
            <m:r>
              <w:rPr>
                <w:rFonts w:ascii="Cambria Math" w:hAnsi="Cambria Math"/>
              </w:rPr>
              <m:t>i</m:t>
            </m:r>
          </m:sub>
        </m:sSub>
      </m:oMath>
      <w:r>
        <w:t xml:space="preserve"> (that is, there is no reverse causality).</w:t>
      </w:r>
      <w:r>
        <w:rPr>
          <w:rStyle w:val="FootnoteReference"/>
        </w:rPr>
        <w:footnoteReference w:id="65"/>
      </w:r>
    </w:p>
    <w:p w14:paraId="225171C0" w14:textId="77777777" w:rsidR="00767353" w:rsidRDefault="00767353" w:rsidP="00767353">
      <w:pPr>
        <w:pStyle w:val="ListBullet"/>
      </w:pPr>
      <w:r>
        <w:t>Most people do not choose the timing of their death, which is a precondition for inheritance.</w:t>
      </w:r>
    </w:p>
    <w:p w14:paraId="29859596" w14:textId="77777777" w:rsidR="00767353" w:rsidRDefault="00767353" w:rsidP="00767353">
      <w:pPr>
        <w:pStyle w:val="ListBullet"/>
      </w:pPr>
      <w:r>
        <w:t>The overwhelming majority of inheritances result from widows or other single people bequeathing their estate to their children in equal shares. It is rare for parents to consider the relative economic circumstances of each child when determining how their estate will be divided (chapter 1; section B.1).</w:t>
      </w:r>
    </w:p>
    <w:p w14:paraId="04C8763C" w14:textId="0CD0087F" w:rsidR="00767353" w:rsidRDefault="00767353" w:rsidP="00767353">
      <w:pPr>
        <w:pStyle w:val="ListBullet"/>
      </w:pPr>
      <w:r>
        <w:t>Surveys of retirees typically suggest that leaving an inheritance is among the lowest factors that motivate retirees’ consumption decisions </w:t>
      </w:r>
      <w:r>
        <w:fldChar w:fldCharType="begin"/>
      </w:r>
      <w:r w:rsidR="0047772E">
        <w:instrText xml:space="preserve"> ADDIN ZOTERO_ITEM CSL_CITATION {"citationID":"yOvom7lX","properties":{"formattedCitation":"(The Treasury\\uc0\\u160{}2020)","plainCitation":"(The Treasury 2020)","noteIndex":0},"citationItems":[{"id":1552,"uris":["http://zotero.org/groups/2714158/items/R5Y5AKIH"],"uri":["http://zotero.org/groups/2714158/items/R5Y5AKIH"],"itemData":{"id":1552,"type":"report","event-place":"Canberra","genre":"Final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Treasury","given":""}],"accessed":{"date-parts":[["2021",2,4]]},"issued":{"date-parts":[["2020"]]}}}],"schema":"https://github.com/citation-style-language/schema/raw/master/csl-citation.json"} </w:instrText>
      </w:r>
      <w:r>
        <w:fldChar w:fldCharType="separate"/>
      </w:r>
      <w:r w:rsidRPr="00A1552B">
        <w:rPr>
          <w:rFonts w:cs="Arial"/>
          <w:szCs w:val="24"/>
        </w:rPr>
        <w:t>(The Treasury 2020)</w:t>
      </w:r>
      <w:r>
        <w:fldChar w:fldCharType="end"/>
      </w:r>
      <w:r>
        <w:t>.</w:t>
      </w:r>
    </w:p>
    <w:p w14:paraId="196C8E00" w14:textId="77777777" w:rsidR="00767353" w:rsidRDefault="00767353" w:rsidP="00767353">
      <w:pPr>
        <w:pStyle w:val="BodyText"/>
      </w:pPr>
      <w:r>
        <w:t>The models are estimated using least squares weighted by the appropriate survey weights and with standard errors clustered at the individual level.</w:t>
      </w:r>
    </w:p>
    <w:p w14:paraId="7490644C" w14:textId="77777777" w:rsidR="00767353" w:rsidRDefault="00767353" w:rsidP="00341F5D">
      <w:pPr>
        <w:pStyle w:val="Heading3"/>
      </w:pPr>
      <w:r>
        <w:lastRenderedPageBreak/>
        <w:t>Results</w:t>
      </w:r>
    </w:p>
    <w:p w14:paraId="6264B0B1" w14:textId="77777777" w:rsidR="00767353" w:rsidRDefault="00767353" w:rsidP="00341F5D">
      <w:pPr>
        <w:pStyle w:val="BodyText"/>
        <w:keepNext/>
        <w:keepLines/>
      </w:pPr>
      <w:r>
        <w:t xml:space="preserve">Tables B.9 and B.10 present estimates of the </w:t>
      </w:r>
      <m:oMath>
        <m:r>
          <w:rPr>
            <w:rFonts w:ascii="Cambria Math" w:hAnsi="Cambria Math"/>
          </w:rPr>
          <m:t>k=1, 2, 3, 5</m:t>
        </m:r>
      </m:oMath>
      <w:r>
        <w:t xml:space="preserve"> models and robustness checks. Models 1a–d are the 0–3 year models (for </w:t>
      </w:r>
      <m:oMath>
        <m:r>
          <w:rPr>
            <w:rFonts w:ascii="Cambria Math" w:hAnsi="Cambria Math"/>
          </w:rPr>
          <m:t>k=1, 2, 3, 5</m:t>
        </m:r>
      </m:oMath>
      <w:r>
        <w:t xml:space="preserve"> respectively) and models 4a–d are the corresponding 4–7 year models. (Models 1a and 4a are presented in chapter 2, figure 2.7, and models 1b and 4b are presented in chapter 2, figure 2.9.) The other models are robustness checks. Models 2a–d are the 0–3 year models including the 2015–2018 tranche of inheritances, models 3a–d are the 0–3 year models estimated on the full sample (i.e. including those who did not inherit), although still excluding 2015–2018 data for comparability with the 4–7 year models, and models 5a–d are the 4–7 year models estimated on the full sample.</w:t>
      </w:r>
    </w:p>
    <w:p w14:paraId="4BDB6485" w14:textId="77777777" w:rsidR="00767353" w:rsidRDefault="00767353" w:rsidP="00767353">
      <w:pPr>
        <w:pStyle w:val="BodyText"/>
        <w:keepNext/>
      </w:pPr>
      <w:r>
        <w:t>In addition to the points highlighted in chapter 2, these results suggest the following.</w:t>
      </w:r>
    </w:p>
    <w:p w14:paraId="3AAC2393" w14:textId="77777777" w:rsidR="00767353" w:rsidRDefault="00767353" w:rsidP="00767353">
      <w:pPr>
        <w:pStyle w:val="ListBullet"/>
      </w:pPr>
      <w:r>
        <w:t xml:space="preserve">The effect size does not appear to vary monotonically across the initial wealth distribution. The only consistent pattern is that the effect size is highest among the initially poorest, although substantial uncertainty surrounds all estimates. </w:t>
      </w:r>
    </w:p>
    <w:p w14:paraId="78DD8F66" w14:textId="77777777" w:rsidR="00767353" w:rsidRDefault="00767353" w:rsidP="00767353">
      <w:pPr>
        <w:pStyle w:val="ListBullet"/>
      </w:pPr>
      <w:r>
        <w:t>The estimates are similar when the full sample is used for estimation. This may suggest that inheritance expectations do not substantially influence wealth accumulation, and/or that the majority of the relevant variation driving the estimates is variation in the size of the inheritance received.</w:t>
      </w:r>
    </w:p>
    <w:p w14:paraId="66D32374" w14:textId="77777777" w:rsidR="00767353" w:rsidRPr="004043E5" w:rsidRDefault="00767353" w:rsidP="00767353">
      <w:pPr>
        <w:pStyle w:val="ListBullet"/>
        <w:rPr>
          <w:spacing w:val="-4"/>
        </w:rPr>
      </w:pPr>
      <w:r w:rsidRPr="004043E5">
        <w:rPr>
          <w:spacing w:val="-4"/>
        </w:rPr>
        <w:t>Including the 2015–2018 tranche of inheritances when estimating the 0–3 year model appears to reduce the effect size near the middle of the initial wealth distribution, but does not substantially change the findings.</w:t>
      </w:r>
    </w:p>
    <w:p w14:paraId="4D040C74" w14:textId="711FEC8A" w:rsidR="00767353" w:rsidRDefault="00767353" w:rsidP="00767353">
      <w:pPr>
        <w:pStyle w:val="FigureTableHeading"/>
      </w:pPr>
      <w:r>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41F5D">
        <w:t>9</w:t>
      </w:r>
      <w:r>
        <w:rPr>
          <w:noProof/>
        </w:rPr>
        <w:t xml:space="preserve"> – </w:t>
      </w:r>
      <w:r>
        <w:t>Effect of inheritance on future wealth — all, halves and tertile models</w:t>
      </w:r>
      <w:r w:rsidRPr="00EC0C27">
        <w:rPr>
          <w:vertAlign w:val="superscript"/>
        </w:rPr>
        <w:t>a,b</w:t>
      </w:r>
    </w:p>
    <w:p w14:paraId="2F5EACE3" w14:textId="77777777" w:rsidR="00767353" w:rsidRPr="00B83AD3" w:rsidRDefault="00767353" w:rsidP="00767353">
      <w:pPr>
        <w:pStyle w:val="FigureTableSubheading"/>
        <w:rPr>
          <w:rFonts w:eastAsiaTheme="minorEastAsia"/>
          <w:sz w:val="18"/>
          <w:szCs w:val="16"/>
        </w:rPr>
      </w:pPr>
      <w:r w:rsidRPr="00B83AD3">
        <w:rPr>
          <w:sz w:val="18"/>
          <w:szCs w:val="16"/>
        </w:rPr>
        <w:t xml:space="preserve">Dependent variable: </w:t>
      </w:r>
      <m:oMath>
        <m:sSub>
          <m:sSubPr>
            <m:ctrlPr>
              <w:rPr>
                <w:rFonts w:ascii="Cambria Math" w:hAnsi="Cambria Math"/>
                <w:i/>
                <w:sz w:val="18"/>
                <w:szCs w:val="16"/>
              </w:rPr>
            </m:ctrlPr>
          </m:sSubPr>
          <m:e>
            <m:r>
              <w:rPr>
                <w:rFonts w:ascii="Cambria Math" w:hAnsi="Cambria Math"/>
                <w:sz w:val="18"/>
                <w:szCs w:val="16"/>
              </w:rPr>
              <m:t>∆</m:t>
            </m:r>
          </m:e>
          <m:sub>
            <m:r>
              <w:rPr>
                <w:rFonts w:ascii="Cambria Math" w:hAnsi="Cambria Math"/>
                <w:sz w:val="18"/>
                <w:szCs w:val="16"/>
              </w:rPr>
              <m:t>t,t-y</m:t>
            </m:r>
          </m:sub>
        </m:sSub>
        <m:sSub>
          <m:sSubPr>
            <m:ctrlPr>
              <w:rPr>
                <w:rFonts w:ascii="Cambria Math" w:hAnsi="Cambria Math"/>
                <w:i/>
                <w:sz w:val="18"/>
                <w:szCs w:val="16"/>
              </w:rPr>
            </m:ctrlPr>
          </m:sSubPr>
          <m:e>
            <m:r>
              <w:rPr>
                <w:rFonts w:ascii="Cambria Math" w:hAnsi="Cambria Math"/>
                <w:sz w:val="18"/>
                <w:szCs w:val="16"/>
              </w:rPr>
              <m:t>Wealth</m:t>
            </m:r>
          </m:e>
          <m:sub>
            <m:r>
              <w:rPr>
                <w:rFonts w:ascii="Cambria Math" w:hAnsi="Cambria Math"/>
                <w:sz w:val="18"/>
                <w:szCs w:val="16"/>
              </w:rPr>
              <m:t>i</m:t>
            </m:r>
          </m:sub>
        </m:sSub>
      </m:oMath>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029"/>
        <w:gridCol w:w="1479"/>
        <w:gridCol w:w="1692"/>
        <w:gridCol w:w="1480"/>
        <w:gridCol w:w="1480"/>
        <w:gridCol w:w="1478"/>
      </w:tblGrid>
      <w:tr w:rsidR="00767353" w:rsidRPr="002B2B52" w14:paraId="6C2E8F8A" w14:textId="77777777" w:rsidTr="00604051">
        <w:trPr>
          <w:tblHeader/>
        </w:trPr>
        <w:tc>
          <w:tcPr>
            <w:tcW w:w="1052" w:type="pct"/>
            <w:tcBorders>
              <w:bottom w:val="single" w:sz="4" w:space="0" w:color="B3B3B3"/>
            </w:tcBorders>
            <w:shd w:val="clear" w:color="auto" w:fill="auto"/>
            <w:tcMar>
              <w:top w:w="28" w:type="dxa"/>
            </w:tcMar>
          </w:tcPr>
          <w:p w14:paraId="5E1B45C6" w14:textId="77777777" w:rsidR="00767353" w:rsidRPr="002B2B52" w:rsidRDefault="00767353" w:rsidP="00604051">
            <w:pPr>
              <w:pStyle w:val="TableColumnHeading"/>
              <w:spacing w:before="45" w:after="45"/>
              <w:ind w:left="57" w:right="108"/>
              <w:jc w:val="left"/>
              <w:rPr>
                <w:rFonts w:ascii="Arial (Body)" w:hAnsi="Arial (Body)"/>
                <w:b/>
                <w:i w:val="0"/>
                <w:color w:val="265A9A" w:themeColor="background2"/>
              </w:rPr>
            </w:pPr>
          </w:p>
        </w:tc>
        <w:tc>
          <w:tcPr>
            <w:tcW w:w="767" w:type="pct"/>
            <w:tcBorders>
              <w:bottom w:val="single" w:sz="4" w:space="0" w:color="B3B3B3"/>
            </w:tcBorders>
            <w:shd w:val="clear" w:color="auto" w:fill="auto"/>
          </w:tcPr>
          <w:p w14:paraId="57509771"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2B2B52">
              <w:rPr>
                <w:rFonts w:ascii="Arial (Body)" w:hAnsi="Arial (Body)"/>
                <w:b/>
                <w:i w:val="0"/>
                <w:color w:val="265A9A"/>
              </w:rPr>
              <w:t xml:space="preserve"> </w:t>
            </w:r>
          </w:p>
        </w:tc>
        <w:tc>
          <w:tcPr>
            <w:tcW w:w="878" w:type="pct"/>
            <w:tcBorders>
              <w:bottom w:val="single" w:sz="4" w:space="0" w:color="B3B3B3"/>
            </w:tcBorders>
            <w:shd w:val="clear" w:color="auto" w:fill="auto"/>
            <w:tcMar>
              <w:top w:w="28" w:type="dxa"/>
            </w:tcMar>
          </w:tcPr>
          <w:p w14:paraId="49CEB413"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2B2B52">
              <w:rPr>
                <w:rFonts w:ascii="Arial (Body)" w:hAnsi="Arial (Body)"/>
                <w:b/>
                <w:i w:val="0"/>
                <w:color w:val="265A9A"/>
              </w:rPr>
              <w:t>, includes 2015–2018 inheritances</w:t>
            </w:r>
          </w:p>
        </w:tc>
        <w:tc>
          <w:tcPr>
            <w:tcW w:w="768" w:type="pct"/>
            <w:tcBorders>
              <w:bottom w:val="single" w:sz="4" w:space="0" w:color="B3B3B3"/>
            </w:tcBorders>
            <w:shd w:val="clear" w:color="auto" w:fill="auto"/>
          </w:tcPr>
          <w:p w14:paraId="19DF1791"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2B2B52">
              <w:rPr>
                <w:rFonts w:ascii="Arial (Body)" w:hAnsi="Arial (Body)"/>
                <w:b/>
                <w:i w:val="0"/>
                <w:color w:val="265A9A"/>
              </w:rPr>
              <w:t>, includes people who did not inherit</w:t>
            </w:r>
          </w:p>
        </w:tc>
        <w:tc>
          <w:tcPr>
            <w:tcW w:w="768" w:type="pct"/>
            <w:tcBorders>
              <w:bottom w:val="single" w:sz="4" w:space="0" w:color="B3B3B3"/>
            </w:tcBorders>
            <w:shd w:val="clear" w:color="auto" w:fill="auto"/>
          </w:tcPr>
          <w:p w14:paraId="1E97E746"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2B2B52">
              <w:rPr>
                <w:rFonts w:ascii="Arial (Body)" w:hAnsi="Arial (Body)"/>
                <w:b/>
                <w:i w:val="0"/>
                <w:color w:val="265A9A"/>
              </w:rPr>
              <w:t xml:space="preserve"> </w:t>
            </w:r>
          </w:p>
        </w:tc>
        <w:tc>
          <w:tcPr>
            <w:tcW w:w="767" w:type="pct"/>
            <w:tcBorders>
              <w:bottom w:val="single" w:sz="4" w:space="0" w:color="B3B3B3"/>
            </w:tcBorders>
            <w:shd w:val="clear" w:color="auto" w:fill="auto"/>
            <w:tcMar>
              <w:top w:w="28" w:type="dxa"/>
            </w:tcMar>
          </w:tcPr>
          <w:p w14:paraId="44903ADA"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2B2B52">
              <w:rPr>
                <w:rFonts w:ascii="Arial (Body)" w:hAnsi="Arial (Body)"/>
                <w:b/>
                <w:i w:val="0"/>
                <w:color w:val="265A9A"/>
              </w:rPr>
              <w:t>, includes people who did not inherit</w:t>
            </w:r>
          </w:p>
        </w:tc>
      </w:tr>
      <w:tr w:rsidR="00767353" w:rsidRPr="002B2B52" w14:paraId="436A5C18" w14:textId="77777777" w:rsidTr="00604051">
        <w:tc>
          <w:tcPr>
            <w:tcW w:w="1052" w:type="pct"/>
            <w:tcBorders>
              <w:top w:val="single" w:sz="4" w:space="0" w:color="B3B3B3"/>
              <w:bottom w:val="nil"/>
            </w:tcBorders>
            <w:shd w:val="clear" w:color="auto" w:fill="F1F1F1"/>
          </w:tcPr>
          <w:p w14:paraId="514592E0" w14:textId="77777777" w:rsidR="00767353" w:rsidRPr="002B2B52" w:rsidRDefault="00767353" w:rsidP="00604051">
            <w:pPr>
              <w:pStyle w:val="TableColumnHeading"/>
              <w:spacing w:before="45" w:after="45"/>
              <w:ind w:left="57" w:right="108"/>
              <w:jc w:val="left"/>
              <w:rPr>
                <w:rFonts w:ascii="Arial (Body)" w:hAnsi="Arial (Body)"/>
                <w:b/>
                <w:i w:val="0"/>
                <w:color w:val="265A9A" w:themeColor="background2"/>
              </w:rPr>
            </w:pPr>
            <w:bookmarkStart w:id="63" w:name="_Hlk77780426"/>
            <m:oMathPara>
              <m:oMath>
                <m:r>
                  <m:rPr>
                    <m:sty m:val="bi"/>
                  </m:rPr>
                  <w:rPr>
                    <w:rFonts w:ascii="Cambria Math" w:hAnsi="Cambria Math"/>
                    <w:color w:val="265A9A" w:themeColor="background2"/>
                  </w:rPr>
                  <m:t xml:space="preserve">k=1 </m:t>
                </m:r>
              </m:oMath>
            </m:oMathPara>
          </w:p>
        </w:tc>
        <w:tc>
          <w:tcPr>
            <w:tcW w:w="767" w:type="pct"/>
            <w:tcBorders>
              <w:top w:val="single" w:sz="4" w:space="0" w:color="B3B3B3"/>
              <w:bottom w:val="nil"/>
            </w:tcBorders>
            <w:shd w:val="clear" w:color="auto" w:fill="F1F1F1"/>
          </w:tcPr>
          <w:p w14:paraId="75206B05"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1a</w:t>
            </w:r>
          </w:p>
        </w:tc>
        <w:tc>
          <w:tcPr>
            <w:tcW w:w="878" w:type="pct"/>
            <w:tcBorders>
              <w:top w:val="single" w:sz="4" w:space="0" w:color="B3B3B3"/>
              <w:bottom w:val="nil"/>
            </w:tcBorders>
            <w:shd w:val="clear" w:color="auto" w:fill="F1F1F1"/>
          </w:tcPr>
          <w:p w14:paraId="77B6A23D"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2a</w:t>
            </w:r>
          </w:p>
        </w:tc>
        <w:tc>
          <w:tcPr>
            <w:tcW w:w="768" w:type="pct"/>
            <w:tcBorders>
              <w:top w:val="single" w:sz="4" w:space="0" w:color="B3B3B3"/>
              <w:bottom w:val="nil"/>
            </w:tcBorders>
            <w:shd w:val="clear" w:color="auto" w:fill="F1F1F1"/>
          </w:tcPr>
          <w:p w14:paraId="347AEF14"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3a</w:t>
            </w:r>
          </w:p>
        </w:tc>
        <w:tc>
          <w:tcPr>
            <w:tcW w:w="768" w:type="pct"/>
            <w:tcBorders>
              <w:top w:val="single" w:sz="4" w:space="0" w:color="B3B3B3"/>
              <w:bottom w:val="nil"/>
            </w:tcBorders>
            <w:shd w:val="clear" w:color="auto" w:fill="F1F1F1"/>
          </w:tcPr>
          <w:p w14:paraId="6B32A1E9"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4a</w:t>
            </w:r>
          </w:p>
        </w:tc>
        <w:tc>
          <w:tcPr>
            <w:tcW w:w="767" w:type="pct"/>
            <w:tcBorders>
              <w:top w:val="single" w:sz="4" w:space="0" w:color="B3B3B3"/>
              <w:bottom w:val="nil"/>
            </w:tcBorders>
            <w:shd w:val="clear" w:color="auto" w:fill="F1F1F1"/>
          </w:tcPr>
          <w:p w14:paraId="107A6B12"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5a</w:t>
            </w:r>
          </w:p>
        </w:tc>
      </w:tr>
      <w:tr w:rsidR="00767353" w:rsidRPr="002B2B52" w14:paraId="21D01F0D" w14:textId="77777777" w:rsidTr="00604051">
        <w:tc>
          <w:tcPr>
            <w:tcW w:w="1052" w:type="pct"/>
            <w:tcBorders>
              <w:top w:val="nil"/>
              <w:bottom w:val="nil"/>
            </w:tcBorders>
            <w:shd w:val="clear" w:color="auto" w:fill="auto"/>
          </w:tcPr>
          <w:p w14:paraId="625BD44A" w14:textId="77777777" w:rsidR="00767353" w:rsidRPr="002B2B52" w:rsidRDefault="00B2270C" w:rsidP="00604051">
            <w:pPr>
              <w:pStyle w:val="TableBodyText"/>
              <w:spacing w:before="45" w:after="45"/>
              <w:ind w:left="57" w:right="108"/>
              <w:jc w:val="left"/>
              <w:rPr>
                <w:rFonts w:ascii="Arial (Body)" w:hAnsi="Arial (Body)"/>
                <w:b/>
                <w:color w:val="265A9A" w:themeColor="background2"/>
              </w:rPr>
            </w:pPr>
            <m:oMathPara>
              <m:oMath>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1</m:t>
                    </m:r>
                  </m:sub>
                </m:sSub>
              </m:oMath>
            </m:oMathPara>
          </w:p>
        </w:tc>
        <w:tc>
          <w:tcPr>
            <w:tcW w:w="767" w:type="pct"/>
            <w:tcBorders>
              <w:top w:val="nil"/>
              <w:bottom w:val="nil"/>
            </w:tcBorders>
            <w:shd w:val="clear" w:color="auto" w:fill="auto"/>
          </w:tcPr>
          <w:p w14:paraId="77EC1756"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1.120***</w:t>
            </w:r>
          </w:p>
        </w:tc>
        <w:tc>
          <w:tcPr>
            <w:tcW w:w="878" w:type="pct"/>
            <w:tcBorders>
              <w:top w:val="nil"/>
              <w:bottom w:val="nil"/>
            </w:tcBorders>
            <w:shd w:val="clear" w:color="auto" w:fill="auto"/>
          </w:tcPr>
          <w:p w14:paraId="37483322"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1.005***</w:t>
            </w:r>
          </w:p>
        </w:tc>
        <w:tc>
          <w:tcPr>
            <w:tcW w:w="768" w:type="pct"/>
            <w:tcBorders>
              <w:top w:val="nil"/>
              <w:bottom w:val="nil"/>
            </w:tcBorders>
            <w:shd w:val="clear" w:color="auto" w:fill="auto"/>
          </w:tcPr>
          <w:p w14:paraId="67DE609D"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1.085***</w:t>
            </w:r>
          </w:p>
        </w:tc>
        <w:tc>
          <w:tcPr>
            <w:tcW w:w="768" w:type="pct"/>
            <w:tcBorders>
              <w:top w:val="nil"/>
              <w:bottom w:val="nil"/>
            </w:tcBorders>
            <w:shd w:val="clear" w:color="auto" w:fill="auto"/>
          </w:tcPr>
          <w:p w14:paraId="592D48E4"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1.169***</w:t>
            </w:r>
          </w:p>
        </w:tc>
        <w:tc>
          <w:tcPr>
            <w:tcW w:w="767" w:type="pct"/>
            <w:tcBorders>
              <w:top w:val="nil"/>
              <w:bottom w:val="nil"/>
            </w:tcBorders>
            <w:shd w:val="clear" w:color="auto" w:fill="auto"/>
          </w:tcPr>
          <w:p w14:paraId="39523536"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1.205***</w:t>
            </w:r>
          </w:p>
        </w:tc>
      </w:tr>
      <w:tr w:rsidR="00767353" w:rsidRPr="002B2B52" w14:paraId="6986C91F" w14:textId="77777777" w:rsidTr="00604051">
        <w:tc>
          <w:tcPr>
            <w:tcW w:w="1052" w:type="pct"/>
            <w:tcBorders>
              <w:bottom w:val="nil"/>
            </w:tcBorders>
            <w:shd w:val="clear" w:color="auto" w:fill="F1F1F1"/>
          </w:tcPr>
          <w:p w14:paraId="484405AC" w14:textId="77777777" w:rsidR="00767353" w:rsidRPr="002B2B52" w:rsidRDefault="00767353" w:rsidP="00604051">
            <w:pPr>
              <w:pStyle w:val="TableBodyText"/>
              <w:spacing w:before="45" w:after="45"/>
              <w:ind w:left="57" w:right="108"/>
              <w:jc w:val="left"/>
              <w:rPr>
                <w:rFonts w:ascii="Arial (Body)" w:hAnsi="Arial (Body)"/>
                <w:b/>
                <w:color w:val="265A9A" w:themeColor="background2"/>
              </w:rPr>
            </w:pPr>
          </w:p>
        </w:tc>
        <w:tc>
          <w:tcPr>
            <w:tcW w:w="767" w:type="pct"/>
            <w:tcBorders>
              <w:bottom w:val="nil"/>
            </w:tcBorders>
            <w:shd w:val="clear" w:color="auto" w:fill="F1F1F1"/>
          </w:tcPr>
          <w:p w14:paraId="749A6A0D"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(0.216)</w:t>
            </w:r>
          </w:p>
        </w:tc>
        <w:tc>
          <w:tcPr>
            <w:tcW w:w="878" w:type="pct"/>
            <w:tcBorders>
              <w:bottom w:val="nil"/>
            </w:tcBorders>
            <w:shd w:val="clear" w:color="auto" w:fill="F1F1F1"/>
          </w:tcPr>
          <w:p w14:paraId="62E37B5E"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(0.183)</w:t>
            </w:r>
          </w:p>
        </w:tc>
        <w:tc>
          <w:tcPr>
            <w:tcW w:w="768" w:type="pct"/>
            <w:tcBorders>
              <w:bottom w:val="nil"/>
            </w:tcBorders>
            <w:shd w:val="clear" w:color="auto" w:fill="F1F1F1"/>
          </w:tcPr>
          <w:p w14:paraId="4C00AEB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(0.196)</w:t>
            </w:r>
          </w:p>
        </w:tc>
        <w:tc>
          <w:tcPr>
            <w:tcW w:w="768" w:type="pct"/>
            <w:tcBorders>
              <w:bottom w:val="nil"/>
            </w:tcBorders>
            <w:shd w:val="clear" w:color="auto" w:fill="F1F1F1"/>
          </w:tcPr>
          <w:p w14:paraId="513BC66C"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(0.293)</w:t>
            </w:r>
          </w:p>
        </w:tc>
        <w:tc>
          <w:tcPr>
            <w:tcW w:w="767" w:type="pct"/>
            <w:tcBorders>
              <w:bottom w:val="nil"/>
            </w:tcBorders>
            <w:shd w:val="clear" w:color="auto" w:fill="F1F1F1"/>
          </w:tcPr>
          <w:p w14:paraId="7D38078E"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(0.295)</w:t>
            </w:r>
          </w:p>
        </w:tc>
      </w:tr>
      <w:tr w:rsidR="00767353" w:rsidRPr="002B2B52" w14:paraId="0C90D9F2" w14:textId="77777777" w:rsidTr="00604051">
        <w:tc>
          <w:tcPr>
            <w:tcW w:w="1052" w:type="pct"/>
            <w:tcBorders>
              <w:top w:val="nil"/>
              <w:bottom w:val="nil"/>
            </w:tcBorders>
            <w:shd w:val="clear" w:color="auto" w:fill="auto"/>
          </w:tcPr>
          <w:p w14:paraId="72DE91E3" w14:textId="77777777" w:rsidR="00767353" w:rsidRPr="002B2B52" w:rsidRDefault="00767353" w:rsidP="00604051">
            <w:pPr>
              <w:pStyle w:val="TableColumnHeading"/>
              <w:spacing w:before="45" w:after="45"/>
              <w:ind w:left="57" w:right="108"/>
              <w:jc w:val="left"/>
              <w:rPr>
                <w:rFonts w:ascii="Arial (Body)" w:hAnsi="Arial (Body)"/>
                <w:b/>
                <w:i w:val="0"/>
                <w:color w:val="265A9A" w:themeColor="background2"/>
              </w:rPr>
            </w:pPr>
            <m:oMathPara>
              <m:oMath>
                <m:r>
                  <m:rPr>
                    <m:sty m:val="bi"/>
                  </m:rPr>
                  <w:rPr>
                    <w:rFonts w:ascii="Cambria Math" w:hAnsi="Cambria Math"/>
                    <w:color w:val="265A9A" w:themeColor="background2"/>
                  </w:rPr>
                  <m:t>k=2</m:t>
                </m:r>
              </m:oMath>
            </m:oMathPara>
          </w:p>
        </w:tc>
        <w:tc>
          <w:tcPr>
            <w:tcW w:w="767" w:type="pct"/>
            <w:tcBorders>
              <w:top w:val="nil"/>
              <w:bottom w:val="nil"/>
            </w:tcBorders>
            <w:shd w:val="clear" w:color="auto" w:fill="auto"/>
          </w:tcPr>
          <w:p w14:paraId="5F8F9352" w14:textId="77777777" w:rsidR="00767353" w:rsidRPr="002B2B52" w:rsidRDefault="00767353" w:rsidP="00604051">
            <w:pPr>
              <w:pStyle w:val="TableColumnHeading"/>
              <w:spacing w:before="45" w:after="45"/>
              <w:ind w:left="57" w:right="108"/>
              <w:rPr>
                <w:rFonts w:ascii="Arial (Body)" w:hAnsi="Arial (Body)"/>
                <w:bCs/>
                <w:i w:val="0"/>
                <w:color w:val="000000"/>
              </w:rPr>
            </w:pPr>
            <w:r w:rsidRPr="002B2B52">
              <w:rPr>
                <w:rFonts w:ascii="Arial (Body)" w:hAnsi="Arial (Body)"/>
                <w:i w:val="0"/>
                <w:color w:val="000000"/>
              </w:rPr>
              <w:t>Model 1b</w:t>
            </w:r>
          </w:p>
        </w:tc>
        <w:tc>
          <w:tcPr>
            <w:tcW w:w="878" w:type="pct"/>
            <w:tcBorders>
              <w:top w:val="nil"/>
              <w:bottom w:val="nil"/>
            </w:tcBorders>
            <w:shd w:val="clear" w:color="auto" w:fill="auto"/>
          </w:tcPr>
          <w:p w14:paraId="22139352" w14:textId="77777777" w:rsidR="00767353" w:rsidRPr="002B2B52" w:rsidRDefault="00767353" w:rsidP="00604051">
            <w:pPr>
              <w:pStyle w:val="TableColumnHeading"/>
              <w:spacing w:before="45" w:after="45"/>
              <w:ind w:left="57" w:right="108"/>
              <w:rPr>
                <w:rFonts w:ascii="Arial (Body)" w:hAnsi="Arial (Body)"/>
                <w:bCs/>
                <w:i w:val="0"/>
                <w:color w:val="000000"/>
              </w:rPr>
            </w:pPr>
            <w:r w:rsidRPr="002B2B52">
              <w:rPr>
                <w:rFonts w:ascii="Arial (Body)" w:hAnsi="Arial (Body)"/>
                <w:i w:val="0"/>
                <w:color w:val="000000"/>
              </w:rPr>
              <w:t>Model 2b</w:t>
            </w:r>
          </w:p>
        </w:tc>
        <w:tc>
          <w:tcPr>
            <w:tcW w:w="768" w:type="pct"/>
            <w:tcBorders>
              <w:top w:val="nil"/>
              <w:bottom w:val="nil"/>
            </w:tcBorders>
            <w:shd w:val="clear" w:color="auto" w:fill="auto"/>
          </w:tcPr>
          <w:p w14:paraId="64078528" w14:textId="77777777" w:rsidR="00767353" w:rsidRPr="002B2B52" w:rsidRDefault="00767353" w:rsidP="00604051">
            <w:pPr>
              <w:pStyle w:val="TableColumnHeading"/>
              <w:spacing w:before="45" w:after="45"/>
              <w:ind w:left="57" w:right="108"/>
              <w:rPr>
                <w:rFonts w:ascii="Arial (Body)" w:hAnsi="Arial (Body)"/>
                <w:bCs/>
                <w:i w:val="0"/>
                <w:color w:val="000000"/>
              </w:rPr>
            </w:pPr>
            <w:r w:rsidRPr="002B2B52">
              <w:rPr>
                <w:rFonts w:ascii="Arial (Body)" w:hAnsi="Arial (Body)"/>
                <w:i w:val="0"/>
                <w:color w:val="000000"/>
              </w:rPr>
              <w:t>Model 3b</w:t>
            </w:r>
          </w:p>
        </w:tc>
        <w:tc>
          <w:tcPr>
            <w:tcW w:w="768" w:type="pct"/>
            <w:tcBorders>
              <w:top w:val="nil"/>
              <w:bottom w:val="nil"/>
            </w:tcBorders>
            <w:shd w:val="clear" w:color="auto" w:fill="auto"/>
          </w:tcPr>
          <w:p w14:paraId="0F8C3D9B" w14:textId="77777777" w:rsidR="00767353" w:rsidRPr="002B2B52" w:rsidRDefault="00767353" w:rsidP="00604051">
            <w:pPr>
              <w:pStyle w:val="TableColumnHeading"/>
              <w:spacing w:before="45" w:after="45"/>
              <w:ind w:left="57" w:right="108"/>
              <w:rPr>
                <w:rFonts w:ascii="Arial (Body)" w:hAnsi="Arial (Body)"/>
                <w:bCs/>
                <w:i w:val="0"/>
                <w:color w:val="000000"/>
              </w:rPr>
            </w:pPr>
            <w:r w:rsidRPr="002B2B52">
              <w:rPr>
                <w:rFonts w:ascii="Arial (Body)" w:hAnsi="Arial (Body)"/>
                <w:i w:val="0"/>
                <w:color w:val="000000"/>
              </w:rPr>
              <w:t>Model 4b</w:t>
            </w:r>
          </w:p>
        </w:tc>
        <w:tc>
          <w:tcPr>
            <w:tcW w:w="767" w:type="pct"/>
            <w:tcBorders>
              <w:top w:val="nil"/>
              <w:bottom w:val="nil"/>
            </w:tcBorders>
            <w:shd w:val="clear" w:color="auto" w:fill="auto"/>
          </w:tcPr>
          <w:p w14:paraId="12241045" w14:textId="77777777" w:rsidR="00767353" w:rsidRPr="002B2B52" w:rsidRDefault="00767353" w:rsidP="00604051">
            <w:pPr>
              <w:pStyle w:val="TableColumnHeading"/>
              <w:spacing w:before="45" w:after="45"/>
              <w:ind w:left="57" w:right="108"/>
              <w:rPr>
                <w:rFonts w:ascii="Arial (Body)" w:hAnsi="Arial (Body)"/>
                <w:bCs/>
                <w:i w:val="0"/>
                <w:color w:val="000000"/>
              </w:rPr>
            </w:pPr>
            <w:r w:rsidRPr="002B2B52">
              <w:rPr>
                <w:rFonts w:ascii="Arial (Body)" w:hAnsi="Arial (Body)"/>
                <w:i w:val="0"/>
                <w:color w:val="000000"/>
              </w:rPr>
              <w:t>Model 5b</w:t>
            </w:r>
          </w:p>
        </w:tc>
      </w:tr>
      <w:tr w:rsidR="00767353" w:rsidRPr="002B2B52" w14:paraId="45459880" w14:textId="77777777" w:rsidTr="00604051">
        <w:tc>
          <w:tcPr>
            <w:tcW w:w="1052" w:type="pct"/>
            <w:tcBorders>
              <w:bottom w:val="nil"/>
            </w:tcBorders>
            <w:shd w:val="clear" w:color="auto" w:fill="F1F1F1"/>
          </w:tcPr>
          <w:p w14:paraId="2C05D934" w14:textId="77777777" w:rsidR="00767353" w:rsidRPr="002B2B52" w:rsidRDefault="00B2270C" w:rsidP="00604051">
            <w:pPr>
              <w:pStyle w:val="TableBodyText"/>
              <w:spacing w:before="45" w:after="45"/>
              <w:ind w:left="57" w:right="108"/>
              <w:jc w:val="left"/>
              <w:rPr>
                <w:rFonts w:ascii="Arial (Body)" w:hAnsi="Arial (Body)"/>
                <w:b/>
                <w:color w:val="265A9A" w:themeColor="background2"/>
              </w:rPr>
            </w:pPr>
            <m:oMathPara>
              <m:oMath>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1</m:t>
                    </m:r>
                  </m:sub>
                </m:sSub>
              </m:oMath>
            </m:oMathPara>
          </w:p>
        </w:tc>
        <w:tc>
          <w:tcPr>
            <w:tcW w:w="767" w:type="pct"/>
            <w:tcBorders>
              <w:bottom w:val="nil"/>
            </w:tcBorders>
            <w:shd w:val="clear" w:color="auto" w:fill="F1F1F1"/>
          </w:tcPr>
          <w:p w14:paraId="776A73E2"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1.638***</w:t>
            </w:r>
          </w:p>
        </w:tc>
        <w:tc>
          <w:tcPr>
            <w:tcW w:w="878" w:type="pct"/>
            <w:tcBorders>
              <w:bottom w:val="nil"/>
            </w:tcBorders>
            <w:shd w:val="clear" w:color="auto" w:fill="F1F1F1"/>
          </w:tcPr>
          <w:p w14:paraId="49EC96B1"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0.754**</w:t>
            </w:r>
          </w:p>
        </w:tc>
        <w:tc>
          <w:tcPr>
            <w:tcW w:w="768" w:type="pct"/>
            <w:tcBorders>
              <w:bottom w:val="nil"/>
            </w:tcBorders>
            <w:shd w:val="clear" w:color="auto" w:fill="F1F1F1"/>
          </w:tcPr>
          <w:p w14:paraId="145DEC3B"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1.474***</w:t>
            </w:r>
          </w:p>
        </w:tc>
        <w:tc>
          <w:tcPr>
            <w:tcW w:w="768" w:type="pct"/>
            <w:tcBorders>
              <w:bottom w:val="nil"/>
            </w:tcBorders>
            <w:shd w:val="clear" w:color="auto" w:fill="F1F1F1"/>
          </w:tcPr>
          <w:p w14:paraId="723C446F"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1.550**</w:t>
            </w:r>
          </w:p>
        </w:tc>
        <w:tc>
          <w:tcPr>
            <w:tcW w:w="767" w:type="pct"/>
            <w:tcBorders>
              <w:bottom w:val="nil"/>
            </w:tcBorders>
            <w:shd w:val="clear" w:color="auto" w:fill="F1F1F1"/>
          </w:tcPr>
          <w:p w14:paraId="0D1A4E96"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1.546***</w:t>
            </w:r>
          </w:p>
        </w:tc>
      </w:tr>
      <w:tr w:rsidR="00767353" w:rsidRPr="002B2B52" w14:paraId="756DE770" w14:textId="77777777" w:rsidTr="00604051">
        <w:tc>
          <w:tcPr>
            <w:tcW w:w="1052" w:type="pct"/>
            <w:tcBorders>
              <w:top w:val="nil"/>
              <w:bottom w:val="nil"/>
            </w:tcBorders>
            <w:shd w:val="clear" w:color="auto" w:fill="auto"/>
          </w:tcPr>
          <w:p w14:paraId="19F82F55" w14:textId="77777777" w:rsidR="00767353" w:rsidRPr="002B2B52" w:rsidRDefault="00767353" w:rsidP="00604051">
            <w:pPr>
              <w:pStyle w:val="TableBodyText"/>
              <w:spacing w:before="45" w:after="45"/>
              <w:ind w:left="57" w:right="108"/>
              <w:jc w:val="left"/>
              <w:rPr>
                <w:rFonts w:ascii="Arial (Body)" w:hAnsi="Arial (Body)"/>
                <w:b/>
                <w:color w:val="265A9A" w:themeColor="background2"/>
              </w:rPr>
            </w:pPr>
          </w:p>
        </w:tc>
        <w:tc>
          <w:tcPr>
            <w:tcW w:w="767" w:type="pct"/>
            <w:tcBorders>
              <w:top w:val="nil"/>
              <w:bottom w:val="nil"/>
            </w:tcBorders>
            <w:shd w:val="clear" w:color="auto" w:fill="auto"/>
          </w:tcPr>
          <w:p w14:paraId="613C98A2"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(0.387)</w:t>
            </w:r>
          </w:p>
        </w:tc>
        <w:tc>
          <w:tcPr>
            <w:tcW w:w="878" w:type="pct"/>
            <w:tcBorders>
              <w:top w:val="nil"/>
              <w:bottom w:val="nil"/>
            </w:tcBorders>
            <w:shd w:val="clear" w:color="auto" w:fill="auto"/>
          </w:tcPr>
          <w:p w14:paraId="6CB86700"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(0.364)</w:t>
            </w:r>
          </w:p>
        </w:tc>
        <w:tc>
          <w:tcPr>
            <w:tcW w:w="768" w:type="pct"/>
            <w:tcBorders>
              <w:top w:val="nil"/>
              <w:bottom w:val="nil"/>
            </w:tcBorders>
            <w:shd w:val="clear" w:color="auto" w:fill="auto"/>
          </w:tcPr>
          <w:p w14:paraId="79545745"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(0.370)</w:t>
            </w:r>
          </w:p>
        </w:tc>
        <w:tc>
          <w:tcPr>
            <w:tcW w:w="768" w:type="pct"/>
            <w:tcBorders>
              <w:top w:val="nil"/>
              <w:bottom w:val="nil"/>
            </w:tcBorders>
            <w:shd w:val="clear" w:color="auto" w:fill="auto"/>
          </w:tcPr>
          <w:p w14:paraId="33A4DE0A"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(0.620)</w:t>
            </w:r>
          </w:p>
        </w:tc>
        <w:tc>
          <w:tcPr>
            <w:tcW w:w="767" w:type="pct"/>
            <w:tcBorders>
              <w:top w:val="nil"/>
              <w:bottom w:val="nil"/>
            </w:tcBorders>
            <w:shd w:val="clear" w:color="auto" w:fill="auto"/>
          </w:tcPr>
          <w:p w14:paraId="56E6F5BB"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(0.564)</w:t>
            </w:r>
          </w:p>
        </w:tc>
      </w:tr>
      <w:tr w:rsidR="00767353" w:rsidRPr="002B2B52" w14:paraId="5E2A18B6" w14:textId="77777777" w:rsidTr="00604051">
        <w:tc>
          <w:tcPr>
            <w:tcW w:w="1052" w:type="pct"/>
            <w:tcBorders>
              <w:bottom w:val="nil"/>
            </w:tcBorders>
            <w:shd w:val="clear" w:color="auto" w:fill="F1F1F1"/>
          </w:tcPr>
          <w:p w14:paraId="1454B218" w14:textId="77777777" w:rsidR="00767353" w:rsidRPr="002B2B52" w:rsidRDefault="00B2270C" w:rsidP="00604051">
            <w:pPr>
              <w:pStyle w:val="TableBodyText"/>
              <w:spacing w:before="45" w:after="45"/>
              <w:ind w:left="57" w:right="108"/>
              <w:jc w:val="left"/>
              <w:rPr>
                <w:rFonts w:ascii="Arial (Body)" w:hAnsi="Arial (Body)"/>
                <w:b/>
                <w:color w:val="265A9A" w:themeColor="background2"/>
              </w:rPr>
            </w:pPr>
            <m:oMathPara>
              <m:oMath>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2</m:t>
                    </m:r>
                  </m:sub>
                </m:sSub>
              </m:oMath>
            </m:oMathPara>
          </w:p>
        </w:tc>
        <w:tc>
          <w:tcPr>
            <w:tcW w:w="767" w:type="pct"/>
            <w:tcBorders>
              <w:bottom w:val="nil"/>
            </w:tcBorders>
            <w:shd w:val="clear" w:color="auto" w:fill="F1F1F1"/>
          </w:tcPr>
          <w:p w14:paraId="104106AF"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1.077***</w:t>
            </w:r>
          </w:p>
        </w:tc>
        <w:tc>
          <w:tcPr>
            <w:tcW w:w="878" w:type="pct"/>
            <w:tcBorders>
              <w:bottom w:val="nil"/>
            </w:tcBorders>
            <w:shd w:val="clear" w:color="auto" w:fill="F1F1F1"/>
          </w:tcPr>
          <w:p w14:paraId="29AA1163"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1.065***</w:t>
            </w:r>
          </w:p>
        </w:tc>
        <w:tc>
          <w:tcPr>
            <w:tcW w:w="768" w:type="pct"/>
            <w:tcBorders>
              <w:bottom w:val="nil"/>
            </w:tcBorders>
            <w:shd w:val="clear" w:color="auto" w:fill="F1F1F1"/>
          </w:tcPr>
          <w:p w14:paraId="7C69C413"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1.049***</w:t>
            </w:r>
          </w:p>
        </w:tc>
        <w:tc>
          <w:tcPr>
            <w:tcW w:w="768" w:type="pct"/>
            <w:tcBorders>
              <w:bottom w:val="nil"/>
            </w:tcBorders>
            <w:shd w:val="clear" w:color="auto" w:fill="F1F1F1"/>
          </w:tcPr>
          <w:p w14:paraId="00940731"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1.138***</w:t>
            </w:r>
          </w:p>
        </w:tc>
        <w:tc>
          <w:tcPr>
            <w:tcW w:w="767" w:type="pct"/>
            <w:tcBorders>
              <w:bottom w:val="nil"/>
            </w:tcBorders>
            <w:shd w:val="clear" w:color="auto" w:fill="F1F1F1"/>
          </w:tcPr>
          <w:p w14:paraId="49E480B2"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1.174***</w:t>
            </w:r>
          </w:p>
        </w:tc>
      </w:tr>
      <w:tr w:rsidR="00767353" w:rsidRPr="002B2B52" w14:paraId="3272EAD3" w14:textId="77777777" w:rsidTr="00604051">
        <w:tc>
          <w:tcPr>
            <w:tcW w:w="1052" w:type="pct"/>
            <w:tcBorders>
              <w:top w:val="nil"/>
              <w:bottom w:val="nil"/>
            </w:tcBorders>
            <w:shd w:val="clear" w:color="auto" w:fill="auto"/>
          </w:tcPr>
          <w:p w14:paraId="1002E094" w14:textId="77777777" w:rsidR="00767353" w:rsidRPr="002B2B52" w:rsidRDefault="00767353" w:rsidP="00604051">
            <w:pPr>
              <w:pStyle w:val="TableBodyText"/>
              <w:spacing w:before="45" w:after="45"/>
              <w:ind w:left="57" w:right="108"/>
              <w:jc w:val="left"/>
              <w:rPr>
                <w:rFonts w:ascii="Arial (Body)" w:hAnsi="Arial (Body)"/>
                <w:b/>
                <w:color w:val="265A9A" w:themeColor="background2"/>
              </w:rPr>
            </w:pPr>
          </w:p>
        </w:tc>
        <w:tc>
          <w:tcPr>
            <w:tcW w:w="767" w:type="pct"/>
            <w:tcBorders>
              <w:top w:val="nil"/>
              <w:bottom w:val="nil"/>
            </w:tcBorders>
            <w:shd w:val="clear" w:color="auto" w:fill="auto"/>
          </w:tcPr>
          <w:p w14:paraId="596E34CD"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(0.216)</w:t>
            </w:r>
          </w:p>
        </w:tc>
        <w:tc>
          <w:tcPr>
            <w:tcW w:w="878" w:type="pct"/>
            <w:tcBorders>
              <w:top w:val="nil"/>
              <w:bottom w:val="nil"/>
            </w:tcBorders>
            <w:shd w:val="clear" w:color="auto" w:fill="auto"/>
          </w:tcPr>
          <w:p w14:paraId="73EC8EA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(0.195)</w:t>
            </w:r>
          </w:p>
        </w:tc>
        <w:tc>
          <w:tcPr>
            <w:tcW w:w="768" w:type="pct"/>
            <w:tcBorders>
              <w:top w:val="nil"/>
              <w:bottom w:val="nil"/>
            </w:tcBorders>
            <w:shd w:val="clear" w:color="auto" w:fill="auto"/>
          </w:tcPr>
          <w:p w14:paraId="5529E2B4"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(0.202)</w:t>
            </w:r>
          </w:p>
        </w:tc>
        <w:tc>
          <w:tcPr>
            <w:tcW w:w="768" w:type="pct"/>
            <w:tcBorders>
              <w:top w:val="nil"/>
              <w:bottom w:val="nil"/>
            </w:tcBorders>
            <w:shd w:val="clear" w:color="auto" w:fill="auto"/>
          </w:tcPr>
          <w:p w14:paraId="42EAF03A"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(0.301)</w:t>
            </w:r>
          </w:p>
        </w:tc>
        <w:tc>
          <w:tcPr>
            <w:tcW w:w="767" w:type="pct"/>
            <w:tcBorders>
              <w:top w:val="nil"/>
              <w:bottom w:val="nil"/>
            </w:tcBorders>
            <w:shd w:val="clear" w:color="auto" w:fill="auto"/>
          </w:tcPr>
          <w:p w14:paraId="4A0EBCEF"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(0.309)</w:t>
            </w:r>
          </w:p>
        </w:tc>
      </w:tr>
      <w:tr w:rsidR="00767353" w:rsidRPr="002B2B52" w14:paraId="3970FCDF" w14:textId="77777777" w:rsidTr="00604051">
        <w:tc>
          <w:tcPr>
            <w:tcW w:w="1052" w:type="pct"/>
            <w:tcBorders>
              <w:bottom w:val="nil"/>
            </w:tcBorders>
            <w:shd w:val="clear" w:color="auto" w:fill="F1F1F1"/>
          </w:tcPr>
          <w:p w14:paraId="7DA77DDC" w14:textId="77777777" w:rsidR="00767353" w:rsidRPr="002B2B52" w:rsidRDefault="00767353" w:rsidP="00604051">
            <w:pPr>
              <w:pStyle w:val="TableBodyText"/>
              <w:spacing w:before="45" w:after="45"/>
              <w:ind w:left="57" w:right="108"/>
              <w:jc w:val="left"/>
              <w:rPr>
                <w:rFonts w:ascii="Arial (Body)" w:hAnsi="Arial (Body)"/>
                <w:b/>
                <w:color w:val="265A9A" w:themeColor="background2"/>
              </w:rPr>
            </w:pPr>
            <w:r w:rsidRPr="002B2B52">
              <w:rPr>
                <w:rFonts w:ascii="Arial (Body)" w:hAnsi="Arial (Body)"/>
                <w:b/>
                <w:color w:val="265A9A" w:themeColor="background2"/>
              </w:rPr>
              <w:t xml:space="preserve">Test </w:t>
            </w:r>
            <m:oMath>
              <m:sSub>
                <m:sSubPr>
                  <m:ctrlPr>
                    <w:rPr>
                      <w:rFonts w:ascii="Cambria Math" w:hAnsi="Cambria Math"/>
                      <w:b/>
                      <w:color w:val="265A9A" w:themeColor="background2"/>
                    </w:rPr>
                  </m:ctrlPr>
                </m:sSubPr>
                <m:e>
                  <m:r>
                    <m:rPr>
                      <m:sty m:val="bi"/>
                    </m:rPr>
                    <w:rPr>
                      <w:rFonts w:ascii="Cambria Math" w:hAnsi="Cambria Math"/>
                      <w:color w:val="265A9A" w:themeColor="background2"/>
                    </w:rPr>
                    <m:t>H</m:t>
                  </m:r>
                </m:e>
                <m:sub>
                  <m:r>
                    <m:rPr>
                      <m:sty m:val="b"/>
                    </m:rPr>
                    <w:rPr>
                      <w:rFonts w:ascii="Cambria Math" w:hAnsi="Cambria Math"/>
                      <w:color w:val="265A9A" w:themeColor="background2"/>
                    </w:rPr>
                    <m:t>0</m:t>
                  </m:r>
                </m:sub>
              </m:sSub>
              <m:r>
                <m:rPr>
                  <m:sty m:val="b"/>
                </m:rPr>
                <w:rPr>
                  <w:rFonts w:ascii="Cambria Math" w:hAnsi="Cambria Math"/>
                  <w:color w:val="265A9A" w:themeColor="background2"/>
                </w:rPr>
                <m:t>:</m:t>
              </m:r>
            </m:oMath>
            <w:r w:rsidRPr="002B2B52">
              <w:rPr>
                <w:rFonts w:ascii="Arial (Body)" w:hAnsi="Arial (Body)"/>
                <w:b/>
                <w:color w:val="265A9A" w:themeColor="background2"/>
              </w:rPr>
              <w:br/>
            </w:r>
            <m:oMathPara>
              <m:oMath>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1</m:t>
                    </m:r>
                  </m:sub>
                </m:sSub>
                <m:r>
                  <m:rPr>
                    <m:sty m:val="b"/>
                  </m:rPr>
                  <w:rPr>
                    <w:rFonts w:ascii="Cambria Math" w:hAnsi="Cambria Math"/>
                    <w:color w:val="265A9A" w:themeColor="background2"/>
                  </w:rPr>
                  <m:t>=</m:t>
                </m:r>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2</m:t>
                    </m:r>
                  </m:sub>
                </m:sSub>
              </m:oMath>
            </m:oMathPara>
          </w:p>
        </w:tc>
        <w:tc>
          <w:tcPr>
            <w:tcW w:w="767" w:type="pct"/>
            <w:tcBorders>
              <w:bottom w:val="nil"/>
            </w:tcBorders>
            <w:shd w:val="clear" w:color="auto" w:fill="F1F1F1"/>
          </w:tcPr>
          <w:p w14:paraId="1D945FA1" w14:textId="77777777" w:rsidR="00767353" w:rsidRPr="002B2B52" w:rsidRDefault="00767353" w:rsidP="00604051">
            <w:pPr>
              <w:pStyle w:val="TableBodyText"/>
              <w:spacing w:before="45" w:after="45"/>
              <w:ind w:left="57" w:right="-340"/>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=0.1847</m:t>
                </m:r>
              </m:oMath>
            </m:oMathPara>
          </w:p>
        </w:tc>
        <w:tc>
          <w:tcPr>
            <w:tcW w:w="878" w:type="pct"/>
            <w:tcBorders>
              <w:bottom w:val="nil"/>
            </w:tcBorders>
            <w:shd w:val="clear" w:color="auto" w:fill="F1F1F1"/>
          </w:tcPr>
          <w:p w14:paraId="60255CF5" w14:textId="77777777" w:rsidR="00767353" w:rsidRPr="002B2B52" w:rsidRDefault="00767353" w:rsidP="00604051">
            <w:pPr>
              <w:pStyle w:val="TableBodyText"/>
              <w:spacing w:before="45" w:after="45"/>
              <w:ind w:left="57" w:right="-567"/>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=0.4357</m:t>
                </m:r>
              </m:oMath>
            </m:oMathPara>
          </w:p>
        </w:tc>
        <w:tc>
          <w:tcPr>
            <w:tcW w:w="768" w:type="pct"/>
            <w:tcBorders>
              <w:bottom w:val="nil"/>
            </w:tcBorders>
            <w:shd w:val="clear" w:color="auto" w:fill="F1F1F1"/>
          </w:tcPr>
          <w:p w14:paraId="146C090F" w14:textId="77777777" w:rsidR="00767353" w:rsidRPr="002B2B52" w:rsidRDefault="00767353" w:rsidP="00604051">
            <w:pPr>
              <w:pStyle w:val="TableBodyText"/>
              <w:spacing w:before="45" w:after="45"/>
              <w:ind w:left="57" w:right="-340"/>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=0.3114</m:t>
                </m:r>
              </m:oMath>
            </m:oMathPara>
          </w:p>
        </w:tc>
        <w:tc>
          <w:tcPr>
            <w:tcW w:w="768" w:type="pct"/>
            <w:tcBorders>
              <w:bottom w:val="nil"/>
            </w:tcBorders>
            <w:shd w:val="clear" w:color="auto" w:fill="F1F1F1"/>
          </w:tcPr>
          <w:p w14:paraId="0FA44710" w14:textId="77777777" w:rsidR="00767353" w:rsidRPr="002B2B52" w:rsidRDefault="00767353" w:rsidP="00604051">
            <w:pPr>
              <w:pStyle w:val="TableBodyText"/>
              <w:spacing w:before="45" w:after="45"/>
              <w:ind w:left="57" w:right="-340"/>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=0.5361</m:t>
                </m:r>
              </m:oMath>
            </m:oMathPara>
          </w:p>
        </w:tc>
        <w:tc>
          <w:tcPr>
            <w:tcW w:w="767" w:type="pct"/>
            <w:tcBorders>
              <w:bottom w:val="nil"/>
            </w:tcBorders>
            <w:shd w:val="clear" w:color="auto" w:fill="F1F1F1"/>
          </w:tcPr>
          <w:p w14:paraId="2C46F6A6" w14:textId="77777777" w:rsidR="00767353" w:rsidRPr="002B2B52" w:rsidRDefault="00767353" w:rsidP="00604051">
            <w:pPr>
              <w:pStyle w:val="TableBodyText"/>
              <w:spacing w:before="45" w:after="45"/>
              <w:ind w:left="57" w:right="-340"/>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=0.5617</m:t>
                </m:r>
              </m:oMath>
            </m:oMathPara>
          </w:p>
        </w:tc>
      </w:tr>
      <w:tr w:rsidR="00767353" w:rsidRPr="002B2B52" w14:paraId="3BE0B382" w14:textId="77777777" w:rsidTr="00604051">
        <w:tc>
          <w:tcPr>
            <w:tcW w:w="1052" w:type="pct"/>
            <w:tcBorders>
              <w:top w:val="nil"/>
              <w:bottom w:val="nil"/>
            </w:tcBorders>
            <w:shd w:val="clear" w:color="auto" w:fill="auto"/>
          </w:tcPr>
          <w:p w14:paraId="3EA1C430" w14:textId="77777777" w:rsidR="00767353" w:rsidRPr="002B2B52" w:rsidRDefault="00767353" w:rsidP="00604051">
            <w:pPr>
              <w:pStyle w:val="TableColumnHeading"/>
              <w:spacing w:before="45" w:after="45"/>
              <w:ind w:left="57" w:right="108"/>
              <w:jc w:val="left"/>
              <w:rPr>
                <w:rFonts w:ascii="Arial (Body)" w:hAnsi="Arial (Body)"/>
                <w:b/>
                <w:i w:val="0"/>
                <w:color w:val="265A9A" w:themeColor="background2"/>
              </w:rPr>
            </w:pPr>
            <m:oMathPara>
              <m:oMath>
                <m:r>
                  <m:rPr>
                    <m:sty m:val="bi"/>
                  </m:rPr>
                  <w:rPr>
                    <w:rFonts w:ascii="Cambria Math" w:hAnsi="Cambria Math"/>
                    <w:color w:val="265A9A" w:themeColor="background2"/>
                  </w:rPr>
                  <m:t>k=3</m:t>
                </m:r>
              </m:oMath>
            </m:oMathPara>
          </w:p>
        </w:tc>
        <w:tc>
          <w:tcPr>
            <w:tcW w:w="767" w:type="pct"/>
            <w:tcBorders>
              <w:top w:val="nil"/>
              <w:bottom w:val="nil"/>
            </w:tcBorders>
            <w:shd w:val="clear" w:color="auto" w:fill="auto"/>
          </w:tcPr>
          <w:p w14:paraId="5EF042B9"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1c</w:t>
            </w:r>
          </w:p>
        </w:tc>
        <w:tc>
          <w:tcPr>
            <w:tcW w:w="878" w:type="pct"/>
            <w:tcBorders>
              <w:top w:val="nil"/>
              <w:bottom w:val="nil"/>
            </w:tcBorders>
            <w:shd w:val="clear" w:color="auto" w:fill="auto"/>
          </w:tcPr>
          <w:p w14:paraId="423C9284"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2c</w:t>
            </w:r>
          </w:p>
        </w:tc>
        <w:tc>
          <w:tcPr>
            <w:tcW w:w="768" w:type="pct"/>
            <w:tcBorders>
              <w:top w:val="nil"/>
              <w:bottom w:val="nil"/>
            </w:tcBorders>
            <w:shd w:val="clear" w:color="auto" w:fill="auto"/>
          </w:tcPr>
          <w:p w14:paraId="28CDAD98"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3c</w:t>
            </w:r>
          </w:p>
        </w:tc>
        <w:tc>
          <w:tcPr>
            <w:tcW w:w="768" w:type="pct"/>
            <w:tcBorders>
              <w:top w:val="nil"/>
              <w:bottom w:val="nil"/>
            </w:tcBorders>
            <w:shd w:val="clear" w:color="auto" w:fill="auto"/>
          </w:tcPr>
          <w:p w14:paraId="75895950"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4c</w:t>
            </w:r>
          </w:p>
        </w:tc>
        <w:tc>
          <w:tcPr>
            <w:tcW w:w="767" w:type="pct"/>
            <w:tcBorders>
              <w:top w:val="nil"/>
              <w:bottom w:val="nil"/>
            </w:tcBorders>
            <w:shd w:val="clear" w:color="auto" w:fill="auto"/>
          </w:tcPr>
          <w:p w14:paraId="31343BA3"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5c</w:t>
            </w:r>
          </w:p>
        </w:tc>
      </w:tr>
      <w:tr w:rsidR="00767353" w:rsidRPr="002B2B52" w14:paraId="6878772B" w14:textId="77777777" w:rsidTr="00604051">
        <w:tc>
          <w:tcPr>
            <w:tcW w:w="1052" w:type="pct"/>
            <w:tcBorders>
              <w:bottom w:val="nil"/>
            </w:tcBorders>
            <w:shd w:val="clear" w:color="auto" w:fill="F1F1F1"/>
          </w:tcPr>
          <w:p w14:paraId="36534D28" w14:textId="77777777" w:rsidR="00767353" w:rsidRPr="002B2B52" w:rsidRDefault="00B2270C" w:rsidP="00604051">
            <w:pPr>
              <w:pStyle w:val="TableBodyText"/>
              <w:spacing w:before="45" w:after="45"/>
              <w:ind w:left="57" w:right="108"/>
              <w:jc w:val="left"/>
              <w:rPr>
                <w:rFonts w:ascii="Arial (Body)" w:hAnsi="Arial (Body)"/>
                <w:b/>
                <w:color w:val="265A9A" w:themeColor="background2"/>
              </w:rPr>
            </w:pPr>
            <m:oMathPara>
              <m:oMath>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1</m:t>
                    </m:r>
                  </m:sub>
                </m:sSub>
              </m:oMath>
            </m:oMathPara>
          </w:p>
        </w:tc>
        <w:tc>
          <w:tcPr>
            <w:tcW w:w="767" w:type="pct"/>
            <w:tcBorders>
              <w:bottom w:val="nil"/>
            </w:tcBorders>
            <w:shd w:val="clear" w:color="auto" w:fill="F1F1F1"/>
          </w:tcPr>
          <w:p w14:paraId="34C3C396"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1.741***</w:t>
            </w:r>
          </w:p>
        </w:tc>
        <w:tc>
          <w:tcPr>
            <w:tcW w:w="878" w:type="pct"/>
            <w:tcBorders>
              <w:bottom w:val="nil"/>
            </w:tcBorders>
            <w:shd w:val="clear" w:color="auto" w:fill="F1F1F1"/>
          </w:tcPr>
          <w:p w14:paraId="553312FB"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1.647***</w:t>
            </w:r>
          </w:p>
        </w:tc>
        <w:tc>
          <w:tcPr>
            <w:tcW w:w="768" w:type="pct"/>
            <w:tcBorders>
              <w:bottom w:val="nil"/>
            </w:tcBorders>
            <w:shd w:val="clear" w:color="auto" w:fill="F1F1F1"/>
          </w:tcPr>
          <w:p w14:paraId="236BF795"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1.632***</w:t>
            </w:r>
          </w:p>
        </w:tc>
        <w:tc>
          <w:tcPr>
            <w:tcW w:w="768" w:type="pct"/>
            <w:tcBorders>
              <w:bottom w:val="nil"/>
            </w:tcBorders>
            <w:shd w:val="clear" w:color="auto" w:fill="F1F1F1"/>
          </w:tcPr>
          <w:p w14:paraId="0005E527"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1.836**</w:t>
            </w:r>
          </w:p>
        </w:tc>
        <w:tc>
          <w:tcPr>
            <w:tcW w:w="767" w:type="pct"/>
            <w:tcBorders>
              <w:bottom w:val="nil"/>
            </w:tcBorders>
            <w:shd w:val="clear" w:color="auto" w:fill="F1F1F1"/>
          </w:tcPr>
          <w:p w14:paraId="7D34AA5C"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1.983***</w:t>
            </w:r>
          </w:p>
        </w:tc>
      </w:tr>
      <w:tr w:rsidR="00767353" w:rsidRPr="002B2B52" w14:paraId="7D87FBFD" w14:textId="77777777" w:rsidTr="00604051">
        <w:tc>
          <w:tcPr>
            <w:tcW w:w="1052" w:type="pct"/>
            <w:tcBorders>
              <w:top w:val="nil"/>
              <w:bottom w:val="nil"/>
            </w:tcBorders>
            <w:shd w:val="clear" w:color="auto" w:fill="auto"/>
          </w:tcPr>
          <w:p w14:paraId="70809C09" w14:textId="77777777" w:rsidR="00767353" w:rsidRPr="002B2B52" w:rsidRDefault="00767353" w:rsidP="00604051">
            <w:pPr>
              <w:pStyle w:val="TableBodyText"/>
              <w:spacing w:before="45" w:after="45"/>
              <w:ind w:left="57" w:right="108"/>
              <w:jc w:val="left"/>
              <w:rPr>
                <w:rFonts w:ascii="Arial (Body)" w:hAnsi="Arial (Body)"/>
                <w:b/>
                <w:color w:val="265A9A" w:themeColor="background2"/>
              </w:rPr>
            </w:pPr>
          </w:p>
        </w:tc>
        <w:tc>
          <w:tcPr>
            <w:tcW w:w="767" w:type="pct"/>
            <w:tcBorders>
              <w:top w:val="nil"/>
              <w:bottom w:val="nil"/>
            </w:tcBorders>
            <w:shd w:val="clear" w:color="auto" w:fill="auto"/>
          </w:tcPr>
          <w:p w14:paraId="10EF094C"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(0.470)</w:t>
            </w:r>
          </w:p>
        </w:tc>
        <w:tc>
          <w:tcPr>
            <w:tcW w:w="878" w:type="pct"/>
            <w:tcBorders>
              <w:top w:val="nil"/>
              <w:bottom w:val="nil"/>
            </w:tcBorders>
            <w:shd w:val="clear" w:color="auto" w:fill="auto"/>
          </w:tcPr>
          <w:p w14:paraId="3D445E2F"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(0.429)</w:t>
            </w:r>
          </w:p>
        </w:tc>
        <w:tc>
          <w:tcPr>
            <w:tcW w:w="768" w:type="pct"/>
            <w:tcBorders>
              <w:top w:val="nil"/>
              <w:bottom w:val="nil"/>
            </w:tcBorders>
            <w:shd w:val="clear" w:color="auto" w:fill="auto"/>
          </w:tcPr>
          <w:p w14:paraId="02DE060C"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(0.451)</w:t>
            </w:r>
          </w:p>
        </w:tc>
        <w:tc>
          <w:tcPr>
            <w:tcW w:w="768" w:type="pct"/>
            <w:tcBorders>
              <w:top w:val="nil"/>
              <w:bottom w:val="nil"/>
            </w:tcBorders>
            <w:shd w:val="clear" w:color="auto" w:fill="auto"/>
          </w:tcPr>
          <w:p w14:paraId="1A9AAD1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(0.725)</w:t>
            </w:r>
          </w:p>
        </w:tc>
        <w:tc>
          <w:tcPr>
            <w:tcW w:w="767" w:type="pct"/>
            <w:tcBorders>
              <w:top w:val="nil"/>
              <w:bottom w:val="nil"/>
            </w:tcBorders>
            <w:shd w:val="clear" w:color="auto" w:fill="auto"/>
          </w:tcPr>
          <w:p w14:paraId="3AEEFDB6"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(0.607)</w:t>
            </w:r>
          </w:p>
        </w:tc>
      </w:tr>
      <w:tr w:rsidR="00767353" w:rsidRPr="002B2B52" w14:paraId="672AEBB6" w14:textId="77777777" w:rsidTr="00604051">
        <w:tc>
          <w:tcPr>
            <w:tcW w:w="1052" w:type="pct"/>
            <w:tcBorders>
              <w:bottom w:val="nil"/>
            </w:tcBorders>
            <w:shd w:val="clear" w:color="auto" w:fill="F1F1F1"/>
          </w:tcPr>
          <w:p w14:paraId="64DB270C" w14:textId="77777777" w:rsidR="00767353" w:rsidRPr="002B2B52" w:rsidRDefault="00B2270C" w:rsidP="00604051">
            <w:pPr>
              <w:pStyle w:val="TableBodyText"/>
              <w:spacing w:before="45" w:after="45"/>
              <w:ind w:left="57" w:right="108"/>
              <w:jc w:val="left"/>
              <w:rPr>
                <w:rFonts w:ascii="Arial (Body)" w:hAnsi="Arial (Body)"/>
                <w:b/>
                <w:color w:val="265A9A" w:themeColor="background2"/>
              </w:rPr>
            </w:pPr>
            <m:oMathPara>
              <m:oMath>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2</m:t>
                    </m:r>
                  </m:sub>
                </m:sSub>
              </m:oMath>
            </m:oMathPara>
          </w:p>
        </w:tc>
        <w:tc>
          <w:tcPr>
            <w:tcW w:w="767" w:type="pct"/>
            <w:tcBorders>
              <w:bottom w:val="nil"/>
            </w:tcBorders>
            <w:shd w:val="clear" w:color="auto" w:fill="F1F1F1"/>
          </w:tcPr>
          <w:p w14:paraId="4675E73A"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1.270***</w:t>
            </w:r>
          </w:p>
        </w:tc>
        <w:tc>
          <w:tcPr>
            <w:tcW w:w="878" w:type="pct"/>
            <w:tcBorders>
              <w:bottom w:val="nil"/>
            </w:tcBorders>
            <w:shd w:val="clear" w:color="auto" w:fill="F1F1F1"/>
          </w:tcPr>
          <w:p w14:paraId="34347D2E"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0.525***</w:t>
            </w:r>
          </w:p>
        </w:tc>
        <w:tc>
          <w:tcPr>
            <w:tcW w:w="768" w:type="pct"/>
            <w:tcBorders>
              <w:bottom w:val="nil"/>
            </w:tcBorders>
            <w:shd w:val="clear" w:color="auto" w:fill="F1F1F1"/>
          </w:tcPr>
          <w:p w14:paraId="5CB310C5"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1.182***</w:t>
            </w:r>
          </w:p>
        </w:tc>
        <w:tc>
          <w:tcPr>
            <w:tcW w:w="768" w:type="pct"/>
            <w:tcBorders>
              <w:bottom w:val="nil"/>
            </w:tcBorders>
            <w:shd w:val="clear" w:color="auto" w:fill="F1F1F1"/>
          </w:tcPr>
          <w:p w14:paraId="5C974535"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0.453</w:t>
            </w:r>
          </w:p>
        </w:tc>
        <w:tc>
          <w:tcPr>
            <w:tcW w:w="767" w:type="pct"/>
            <w:tcBorders>
              <w:bottom w:val="nil"/>
            </w:tcBorders>
            <w:shd w:val="clear" w:color="auto" w:fill="F1F1F1"/>
          </w:tcPr>
          <w:p w14:paraId="3246F4D2"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0.549**</w:t>
            </w:r>
          </w:p>
        </w:tc>
      </w:tr>
      <w:tr w:rsidR="00767353" w:rsidRPr="002B2B52" w14:paraId="3AFB677C" w14:textId="77777777" w:rsidTr="00604051">
        <w:tc>
          <w:tcPr>
            <w:tcW w:w="1052" w:type="pct"/>
            <w:tcBorders>
              <w:top w:val="nil"/>
              <w:bottom w:val="nil"/>
            </w:tcBorders>
            <w:shd w:val="clear" w:color="auto" w:fill="auto"/>
          </w:tcPr>
          <w:p w14:paraId="74A193A2" w14:textId="77777777" w:rsidR="00767353" w:rsidRPr="002B2B52" w:rsidRDefault="00767353" w:rsidP="00604051">
            <w:pPr>
              <w:pStyle w:val="TableBodyText"/>
              <w:spacing w:before="45" w:after="45"/>
              <w:ind w:left="57" w:right="108"/>
              <w:jc w:val="left"/>
              <w:rPr>
                <w:rFonts w:ascii="Arial (Body)" w:hAnsi="Arial (Body)"/>
                <w:b/>
                <w:color w:val="265A9A" w:themeColor="background2"/>
              </w:rPr>
            </w:pPr>
          </w:p>
        </w:tc>
        <w:tc>
          <w:tcPr>
            <w:tcW w:w="767" w:type="pct"/>
            <w:tcBorders>
              <w:top w:val="nil"/>
              <w:bottom w:val="nil"/>
            </w:tcBorders>
            <w:shd w:val="clear" w:color="auto" w:fill="auto"/>
          </w:tcPr>
          <w:p w14:paraId="75A9AAFB"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(0.260)</w:t>
            </w:r>
          </w:p>
        </w:tc>
        <w:tc>
          <w:tcPr>
            <w:tcW w:w="878" w:type="pct"/>
            <w:tcBorders>
              <w:top w:val="nil"/>
              <w:bottom w:val="nil"/>
            </w:tcBorders>
            <w:shd w:val="clear" w:color="auto" w:fill="auto"/>
          </w:tcPr>
          <w:p w14:paraId="0911463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(0.177)</w:t>
            </w:r>
          </w:p>
        </w:tc>
        <w:tc>
          <w:tcPr>
            <w:tcW w:w="768" w:type="pct"/>
            <w:tcBorders>
              <w:top w:val="nil"/>
              <w:bottom w:val="nil"/>
            </w:tcBorders>
            <w:shd w:val="clear" w:color="auto" w:fill="auto"/>
          </w:tcPr>
          <w:p w14:paraId="76BF562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(0.213)</w:t>
            </w:r>
          </w:p>
        </w:tc>
        <w:tc>
          <w:tcPr>
            <w:tcW w:w="768" w:type="pct"/>
            <w:tcBorders>
              <w:top w:val="nil"/>
              <w:bottom w:val="nil"/>
            </w:tcBorders>
            <w:shd w:val="clear" w:color="auto" w:fill="auto"/>
          </w:tcPr>
          <w:p w14:paraId="25596D3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(0.326)</w:t>
            </w:r>
          </w:p>
        </w:tc>
        <w:tc>
          <w:tcPr>
            <w:tcW w:w="767" w:type="pct"/>
            <w:tcBorders>
              <w:top w:val="nil"/>
              <w:bottom w:val="nil"/>
            </w:tcBorders>
            <w:shd w:val="clear" w:color="auto" w:fill="auto"/>
          </w:tcPr>
          <w:p w14:paraId="72BF9671"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(0.256)</w:t>
            </w:r>
          </w:p>
        </w:tc>
      </w:tr>
      <w:tr w:rsidR="00767353" w:rsidRPr="002B2B52" w14:paraId="3339AFF8" w14:textId="77777777" w:rsidTr="00604051">
        <w:tc>
          <w:tcPr>
            <w:tcW w:w="1052" w:type="pct"/>
            <w:tcBorders>
              <w:bottom w:val="nil"/>
            </w:tcBorders>
            <w:shd w:val="clear" w:color="auto" w:fill="F1F1F1"/>
          </w:tcPr>
          <w:p w14:paraId="59BDD264" w14:textId="77777777" w:rsidR="00767353" w:rsidRPr="002B2B52" w:rsidRDefault="00B2270C" w:rsidP="00604051">
            <w:pPr>
              <w:pStyle w:val="TableBodyText"/>
              <w:spacing w:before="45" w:after="45"/>
              <w:ind w:left="57" w:right="108"/>
              <w:jc w:val="left"/>
              <w:rPr>
                <w:rFonts w:ascii="Arial (Body)" w:hAnsi="Arial (Body)"/>
                <w:b/>
                <w:color w:val="265A9A" w:themeColor="background2"/>
              </w:rPr>
            </w:pPr>
            <m:oMathPara>
              <m:oMath>
                <m:sSub>
                  <m:sSubPr>
                    <m:ctrlPr>
                      <w:rPr>
                        <w:rFonts w:ascii="Cambria Math" w:hAnsi="Cambria Math"/>
                        <w:b/>
                        <w:color w:val="265A9A" w:themeColor="background2"/>
                      </w:rPr>
                    </m:ctrlPr>
                  </m:sSubPr>
                  <m:e>
                    <m:r>
                      <m:rPr>
                        <m:sty m:val="bi"/>
                      </m:rPr>
                      <w:rPr>
                        <w:rFonts w:ascii="Cambria Math" w:hAnsi="Cambria Math"/>
                        <w:color w:val="265A9A" w:themeColor="background2"/>
                      </w:rPr>
                      <m:t>β</m:t>
                    </m:r>
                  </m:e>
                  <m:sub>
                    <m:r>
                      <m:rPr>
                        <m:sty m:val="b"/>
                      </m:rPr>
                      <w:rPr>
                        <w:rFonts w:ascii="Cambria Math" w:hAnsi="Cambria Math"/>
                        <w:color w:val="265A9A" w:themeColor="background2"/>
                      </w:rPr>
                      <m:t>3</m:t>
                    </m:r>
                  </m:sub>
                </m:sSub>
              </m:oMath>
            </m:oMathPara>
          </w:p>
        </w:tc>
        <w:tc>
          <w:tcPr>
            <w:tcW w:w="767" w:type="pct"/>
            <w:tcBorders>
              <w:bottom w:val="nil"/>
            </w:tcBorders>
            <w:shd w:val="clear" w:color="auto" w:fill="F1F1F1"/>
          </w:tcPr>
          <w:p w14:paraId="623D3811"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1.071***</w:t>
            </w:r>
          </w:p>
        </w:tc>
        <w:tc>
          <w:tcPr>
            <w:tcW w:w="878" w:type="pct"/>
            <w:tcBorders>
              <w:bottom w:val="nil"/>
            </w:tcBorders>
            <w:shd w:val="clear" w:color="auto" w:fill="F1F1F1"/>
          </w:tcPr>
          <w:p w14:paraId="619CDA09"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1.080***</w:t>
            </w:r>
          </w:p>
        </w:tc>
        <w:tc>
          <w:tcPr>
            <w:tcW w:w="768" w:type="pct"/>
            <w:tcBorders>
              <w:bottom w:val="nil"/>
            </w:tcBorders>
            <w:shd w:val="clear" w:color="auto" w:fill="F1F1F1"/>
          </w:tcPr>
          <w:p w14:paraId="596580C2"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1.041***</w:t>
            </w:r>
          </w:p>
        </w:tc>
        <w:tc>
          <w:tcPr>
            <w:tcW w:w="768" w:type="pct"/>
            <w:tcBorders>
              <w:bottom w:val="nil"/>
            </w:tcBorders>
            <w:shd w:val="clear" w:color="auto" w:fill="F1F1F1"/>
          </w:tcPr>
          <w:p w14:paraId="26096520"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1.166***</w:t>
            </w:r>
          </w:p>
        </w:tc>
        <w:tc>
          <w:tcPr>
            <w:tcW w:w="767" w:type="pct"/>
            <w:tcBorders>
              <w:bottom w:val="nil"/>
            </w:tcBorders>
            <w:shd w:val="clear" w:color="auto" w:fill="F1F1F1"/>
          </w:tcPr>
          <w:p w14:paraId="51793D83"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1.207***</w:t>
            </w:r>
          </w:p>
        </w:tc>
      </w:tr>
      <w:tr w:rsidR="00767353" w:rsidRPr="002B2B52" w14:paraId="53D6A296" w14:textId="77777777" w:rsidTr="00604051">
        <w:tc>
          <w:tcPr>
            <w:tcW w:w="1052" w:type="pct"/>
            <w:tcBorders>
              <w:top w:val="nil"/>
              <w:bottom w:val="nil"/>
            </w:tcBorders>
            <w:shd w:val="clear" w:color="auto" w:fill="auto"/>
          </w:tcPr>
          <w:p w14:paraId="47208DB7" w14:textId="77777777" w:rsidR="00767353" w:rsidRPr="002B2B52" w:rsidRDefault="00767353" w:rsidP="00604051">
            <w:pPr>
              <w:pStyle w:val="TableBodyText"/>
              <w:spacing w:before="45" w:after="45"/>
              <w:ind w:left="57" w:right="108"/>
              <w:jc w:val="left"/>
              <w:rPr>
                <w:rFonts w:ascii="Arial (Body)" w:hAnsi="Arial (Body)"/>
                <w:b/>
                <w:color w:val="265A9A" w:themeColor="background2"/>
              </w:rPr>
            </w:pPr>
          </w:p>
        </w:tc>
        <w:tc>
          <w:tcPr>
            <w:tcW w:w="767" w:type="pct"/>
            <w:tcBorders>
              <w:top w:val="nil"/>
              <w:bottom w:val="nil"/>
            </w:tcBorders>
            <w:shd w:val="clear" w:color="auto" w:fill="auto"/>
          </w:tcPr>
          <w:p w14:paraId="46E9906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(0.222)</w:t>
            </w:r>
          </w:p>
        </w:tc>
        <w:tc>
          <w:tcPr>
            <w:tcW w:w="878" w:type="pct"/>
            <w:tcBorders>
              <w:top w:val="nil"/>
              <w:bottom w:val="nil"/>
            </w:tcBorders>
            <w:shd w:val="clear" w:color="auto" w:fill="auto"/>
          </w:tcPr>
          <w:p w14:paraId="0955A0FA"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(0.206)</w:t>
            </w:r>
          </w:p>
        </w:tc>
        <w:tc>
          <w:tcPr>
            <w:tcW w:w="768" w:type="pct"/>
            <w:tcBorders>
              <w:top w:val="nil"/>
              <w:bottom w:val="nil"/>
            </w:tcBorders>
            <w:shd w:val="clear" w:color="auto" w:fill="auto"/>
          </w:tcPr>
          <w:p w14:paraId="350D5D54"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(0.210)</w:t>
            </w:r>
          </w:p>
        </w:tc>
        <w:tc>
          <w:tcPr>
            <w:tcW w:w="768" w:type="pct"/>
            <w:tcBorders>
              <w:top w:val="nil"/>
              <w:bottom w:val="nil"/>
            </w:tcBorders>
            <w:shd w:val="clear" w:color="auto" w:fill="auto"/>
          </w:tcPr>
          <w:p w14:paraId="5CC2366E"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(0.316)</w:t>
            </w:r>
          </w:p>
        </w:tc>
        <w:tc>
          <w:tcPr>
            <w:tcW w:w="767" w:type="pct"/>
            <w:tcBorders>
              <w:top w:val="nil"/>
              <w:bottom w:val="nil"/>
            </w:tcBorders>
            <w:shd w:val="clear" w:color="auto" w:fill="auto"/>
          </w:tcPr>
          <w:p w14:paraId="21AF0EC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(0.330)</w:t>
            </w:r>
          </w:p>
        </w:tc>
      </w:tr>
      <w:tr w:rsidR="00767353" w:rsidRPr="002B2B52" w14:paraId="6F3C0B59" w14:textId="77777777" w:rsidTr="00604051">
        <w:tc>
          <w:tcPr>
            <w:tcW w:w="1052" w:type="pct"/>
            <w:tcBorders>
              <w:bottom w:val="single" w:sz="4" w:space="0" w:color="B3B3B3"/>
            </w:tcBorders>
            <w:shd w:val="clear" w:color="auto" w:fill="F1F1F1"/>
          </w:tcPr>
          <w:p w14:paraId="6C283A78" w14:textId="77777777" w:rsidR="00767353" w:rsidRPr="002B2B52" w:rsidRDefault="00767353" w:rsidP="00604051">
            <w:pPr>
              <w:pStyle w:val="TableBodyText"/>
              <w:spacing w:before="45" w:after="45"/>
              <w:ind w:left="57" w:right="108"/>
              <w:jc w:val="left"/>
              <w:rPr>
                <w:rFonts w:ascii="Arial (Body)" w:hAnsi="Arial (Body)"/>
                <w:b/>
                <w:color w:val="265A9A"/>
              </w:rPr>
            </w:pPr>
            <w:r w:rsidRPr="002B2B52">
              <w:rPr>
                <w:rFonts w:ascii="Arial (Body)" w:hAnsi="Arial (Body)"/>
                <w:b/>
                <w:color w:val="265A9A"/>
              </w:rPr>
              <w:t>Observations (all</w:t>
            </w:r>
            <w:r>
              <w:rPr>
                <w:rFonts w:ascii="Arial (Body)" w:hAnsi="Arial (Body)" w:hint="eastAsia"/>
                <w:b/>
                <w:color w:val="265A9A"/>
              </w:rPr>
              <w:t> </w:t>
            </w:r>
            <w:r w:rsidRPr="002B2B52">
              <w:rPr>
                <w:rFonts w:ascii="Arial (Body)" w:hAnsi="Arial (Body)"/>
                <w:b/>
                <w:color w:val="265A9A"/>
              </w:rPr>
              <w:t>models)</w:t>
            </w:r>
          </w:p>
        </w:tc>
        <w:tc>
          <w:tcPr>
            <w:tcW w:w="767" w:type="pct"/>
            <w:tcBorders>
              <w:bottom w:val="single" w:sz="4" w:space="0" w:color="B3B3B3"/>
            </w:tcBorders>
            <w:shd w:val="clear" w:color="auto" w:fill="F1F1F1"/>
          </w:tcPr>
          <w:p w14:paraId="5E57EF9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1 424</w:t>
            </w:r>
          </w:p>
        </w:tc>
        <w:tc>
          <w:tcPr>
            <w:tcW w:w="878" w:type="pct"/>
            <w:tcBorders>
              <w:bottom w:val="single" w:sz="4" w:space="0" w:color="B3B3B3"/>
            </w:tcBorders>
            <w:shd w:val="clear" w:color="auto" w:fill="F1F1F1"/>
          </w:tcPr>
          <w:p w14:paraId="6E8FB0E6"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2 240</w:t>
            </w:r>
          </w:p>
        </w:tc>
        <w:tc>
          <w:tcPr>
            <w:tcW w:w="768" w:type="pct"/>
            <w:tcBorders>
              <w:bottom w:val="single" w:sz="4" w:space="0" w:color="B3B3B3"/>
            </w:tcBorders>
            <w:shd w:val="clear" w:color="auto" w:fill="F1F1F1"/>
          </w:tcPr>
          <w:p w14:paraId="19824C1C"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27 678</w:t>
            </w:r>
          </w:p>
        </w:tc>
        <w:tc>
          <w:tcPr>
            <w:tcW w:w="768" w:type="pct"/>
            <w:tcBorders>
              <w:bottom w:val="single" w:sz="4" w:space="0" w:color="B3B3B3"/>
            </w:tcBorders>
            <w:shd w:val="clear" w:color="auto" w:fill="F1F1F1"/>
          </w:tcPr>
          <w:p w14:paraId="36AE9F05"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1 430</w:t>
            </w:r>
          </w:p>
        </w:tc>
        <w:tc>
          <w:tcPr>
            <w:tcW w:w="767" w:type="pct"/>
            <w:tcBorders>
              <w:bottom w:val="single" w:sz="4" w:space="0" w:color="B3B3B3"/>
            </w:tcBorders>
            <w:shd w:val="clear" w:color="auto" w:fill="F1F1F1"/>
          </w:tcPr>
          <w:p w14:paraId="64175C4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24 269</w:t>
            </w:r>
          </w:p>
        </w:tc>
      </w:tr>
    </w:tbl>
    <w:bookmarkEnd w:id="63"/>
    <w:p w14:paraId="6D8C4353" w14:textId="77777777" w:rsidR="00767353" w:rsidRPr="002B2B52" w:rsidRDefault="00767353" w:rsidP="00767353">
      <w:pPr>
        <w:pStyle w:val="Note"/>
        <w:rPr>
          <w:spacing w:val="-4"/>
        </w:rPr>
      </w:pPr>
      <w:r w:rsidRPr="002B2B52">
        <w:rPr>
          <w:b/>
          <w:bCs/>
          <w:spacing w:val="-4"/>
        </w:rPr>
        <w:t>a.</w:t>
      </w:r>
      <w:r w:rsidRPr="002B2B52">
        <w:rPr>
          <w:spacing w:val="-4"/>
        </w:rPr>
        <w:t xml:space="preserve"> Parentheses contain standard errors. </w:t>
      </w:r>
      <w:r w:rsidRPr="002B2B52">
        <w:rPr>
          <w:b/>
          <w:spacing w:val="-4"/>
        </w:rPr>
        <w:t>b.</w:t>
      </w:r>
      <w:r w:rsidRPr="002B2B52">
        <w:rPr>
          <w:spacing w:val="-4"/>
        </w:rPr>
        <w:t xml:space="preserve"> * indicates statistical significance at the 10 per cent level of significance, ** indicates significance at the 5 per cent level of significance, and *** indicates significance at the 1 per cent level of significance.</w:t>
      </w:r>
    </w:p>
    <w:p w14:paraId="38FFB9DE" w14:textId="77777777" w:rsidR="00767353" w:rsidRDefault="00767353" w:rsidP="00767353">
      <w:pPr>
        <w:pStyle w:val="Source"/>
      </w:pPr>
      <w:r w:rsidRPr="00696447">
        <w:t xml:space="preserve">Source: </w:t>
      </w:r>
      <w:r>
        <w:t>Productivity Commission estimates based on HILDA Restricted Release 19.</w:t>
      </w:r>
    </w:p>
    <w:p w14:paraId="458A5716" w14:textId="6906C9FF"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41F5D">
        <w:t>10</w:t>
      </w:r>
      <w:r>
        <w:rPr>
          <w:noProof/>
        </w:rPr>
        <w:t xml:space="preserve"> – </w:t>
      </w:r>
      <w:r>
        <w:t>Effect of inheritance on future wealth — quintile models</w:t>
      </w:r>
      <w:r w:rsidRPr="00EC0C27">
        <w:rPr>
          <w:vertAlign w:val="superscript"/>
        </w:rPr>
        <w:t>a,b</w:t>
      </w:r>
    </w:p>
    <w:p w14:paraId="673BADDF" w14:textId="77777777" w:rsidR="00767353" w:rsidRPr="00B83AD3" w:rsidRDefault="00767353" w:rsidP="00767353">
      <w:pPr>
        <w:pStyle w:val="FigureTableSubheading"/>
        <w:rPr>
          <w:rFonts w:eastAsiaTheme="minorEastAsia"/>
          <w:sz w:val="18"/>
          <w:szCs w:val="16"/>
        </w:rPr>
      </w:pPr>
      <w:r w:rsidRPr="00B83AD3">
        <w:rPr>
          <w:sz w:val="18"/>
          <w:szCs w:val="16"/>
        </w:rPr>
        <w:t xml:space="preserve">Dependent variable: </w:t>
      </w:r>
      <m:oMath>
        <m:sSub>
          <m:sSubPr>
            <m:ctrlPr>
              <w:rPr>
                <w:rFonts w:ascii="Cambria Math" w:hAnsi="Cambria Math"/>
                <w:i/>
                <w:sz w:val="18"/>
                <w:szCs w:val="16"/>
              </w:rPr>
            </m:ctrlPr>
          </m:sSubPr>
          <m:e>
            <m:r>
              <w:rPr>
                <w:rFonts w:ascii="Cambria Math" w:hAnsi="Cambria Math"/>
                <w:sz w:val="18"/>
                <w:szCs w:val="16"/>
              </w:rPr>
              <m:t>∆</m:t>
            </m:r>
          </m:e>
          <m:sub>
            <m:r>
              <w:rPr>
                <w:rFonts w:ascii="Cambria Math" w:hAnsi="Cambria Math"/>
                <w:sz w:val="18"/>
                <w:szCs w:val="16"/>
              </w:rPr>
              <m:t>t,t-y</m:t>
            </m:r>
          </m:sub>
        </m:sSub>
        <m:sSub>
          <m:sSubPr>
            <m:ctrlPr>
              <w:rPr>
                <w:rFonts w:ascii="Cambria Math" w:hAnsi="Cambria Math"/>
                <w:i/>
                <w:sz w:val="18"/>
                <w:szCs w:val="16"/>
              </w:rPr>
            </m:ctrlPr>
          </m:sSubPr>
          <m:e>
            <m:r>
              <w:rPr>
                <w:rFonts w:ascii="Cambria Math" w:hAnsi="Cambria Math"/>
                <w:sz w:val="18"/>
                <w:szCs w:val="16"/>
              </w:rPr>
              <m:t>Wealth</m:t>
            </m:r>
          </m:e>
          <m:sub>
            <m:r>
              <w:rPr>
                <w:rFonts w:ascii="Cambria Math" w:hAnsi="Cambria Math"/>
                <w:sz w:val="18"/>
                <w:szCs w:val="16"/>
              </w:rPr>
              <m:t>i</m:t>
            </m:r>
          </m:sub>
        </m:sSub>
      </m:oMath>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31"/>
        <w:gridCol w:w="1427"/>
        <w:gridCol w:w="1802"/>
        <w:gridCol w:w="1426"/>
        <w:gridCol w:w="1426"/>
        <w:gridCol w:w="1426"/>
      </w:tblGrid>
      <w:tr w:rsidR="00767353" w:rsidRPr="002B2B52" w14:paraId="1B5AD456" w14:textId="77777777" w:rsidTr="00604051">
        <w:trPr>
          <w:tblHeader/>
        </w:trPr>
        <w:tc>
          <w:tcPr>
            <w:tcW w:w="1105" w:type="pct"/>
            <w:tcBorders>
              <w:bottom w:val="single" w:sz="4" w:space="0" w:color="B3B3B3"/>
            </w:tcBorders>
            <w:shd w:val="clear" w:color="auto" w:fill="auto"/>
            <w:tcMar>
              <w:top w:w="28" w:type="dxa"/>
            </w:tcMar>
          </w:tcPr>
          <w:p w14:paraId="778A3DC4" w14:textId="77777777" w:rsidR="00767353" w:rsidRPr="002B2B52" w:rsidRDefault="00767353" w:rsidP="00604051">
            <w:pPr>
              <w:pStyle w:val="TableColumnHeading"/>
              <w:spacing w:before="45" w:after="45"/>
              <w:ind w:left="57" w:right="108"/>
              <w:jc w:val="left"/>
              <w:rPr>
                <w:rFonts w:ascii="Arial (Body)" w:hAnsi="Arial (Body)"/>
                <w:b/>
                <w:i w:val="0"/>
                <w:color w:val="265A9A"/>
              </w:rPr>
            </w:pPr>
          </w:p>
        </w:tc>
        <w:tc>
          <w:tcPr>
            <w:tcW w:w="740" w:type="pct"/>
            <w:tcBorders>
              <w:bottom w:val="single" w:sz="4" w:space="0" w:color="B3B3B3"/>
            </w:tcBorders>
            <w:shd w:val="clear" w:color="auto" w:fill="auto"/>
          </w:tcPr>
          <w:p w14:paraId="0D708EC7"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2B2B52">
              <w:rPr>
                <w:rFonts w:ascii="Arial (Body)" w:hAnsi="Arial (Body)"/>
                <w:b/>
                <w:i w:val="0"/>
                <w:color w:val="265A9A"/>
              </w:rPr>
              <w:t xml:space="preserve"> </w:t>
            </w:r>
          </w:p>
        </w:tc>
        <w:tc>
          <w:tcPr>
            <w:tcW w:w="935" w:type="pct"/>
            <w:tcBorders>
              <w:bottom w:val="single" w:sz="4" w:space="0" w:color="B3B3B3"/>
            </w:tcBorders>
            <w:shd w:val="clear" w:color="auto" w:fill="auto"/>
            <w:tcMar>
              <w:top w:w="28" w:type="dxa"/>
            </w:tcMar>
          </w:tcPr>
          <w:p w14:paraId="32222476"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2B2B52">
              <w:rPr>
                <w:rFonts w:ascii="Arial (Body)" w:hAnsi="Arial (Body)"/>
                <w:b/>
                <w:i w:val="0"/>
                <w:color w:val="265A9A"/>
              </w:rPr>
              <w:t>, includes 2015–2018 inheritances</w:t>
            </w:r>
          </w:p>
        </w:tc>
        <w:tc>
          <w:tcPr>
            <w:tcW w:w="740" w:type="pct"/>
            <w:tcBorders>
              <w:bottom w:val="single" w:sz="4" w:space="0" w:color="B3B3B3"/>
            </w:tcBorders>
            <w:shd w:val="clear" w:color="auto" w:fill="auto"/>
          </w:tcPr>
          <w:p w14:paraId="62DD973C"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2B2B52">
              <w:rPr>
                <w:rFonts w:ascii="Arial (Body)" w:hAnsi="Arial (Body)"/>
                <w:b/>
                <w:i w:val="0"/>
                <w:color w:val="265A9A"/>
              </w:rPr>
              <w:t>, includes people who did not inherit</w:t>
            </w:r>
          </w:p>
        </w:tc>
        <w:tc>
          <w:tcPr>
            <w:tcW w:w="740" w:type="pct"/>
            <w:tcBorders>
              <w:bottom w:val="single" w:sz="4" w:space="0" w:color="B3B3B3"/>
            </w:tcBorders>
            <w:shd w:val="clear" w:color="auto" w:fill="auto"/>
          </w:tcPr>
          <w:p w14:paraId="69FFC6DD"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2B2B52">
              <w:rPr>
                <w:rFonts w:ascii="Arial (Body)" w:hAnsi="Arial (Body)"/>
                <w:b/>
                <w:i w:val="0"/>
                <w:color w:val="265A9A"/>
              </w:rPr>
              <w:t xml:space="preserve"> </w:t>
            </w:r>
          </w:p>
        </w:tc>
        <w:tc>
          <w:tcPr>
            <w:tcW w:w="740" w:type="pct"/>
            <w:tcBorders>
              <w:bottom w:val="single" w:sz="4" w:space="0" w:color="B3B3B3"/>
            </w:tcBorders>
            <w:shd w:val="clear" w:color="auto" w:fill="auto"/>
            <w:tcMar>
              <w:top w:w="28" w:type="dxa"/>
            </w:tcMar>
          </w:tcPr>
          <w:p w14:paraId="147D05F9" w14:textId="77777777" w:rsidR="00767353" w:rsidRPr="002B2B52"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2B2B52">
              <w:rPr>
                <w:rFonts w:ascii="Arial (Body)" w:hAnsi="Arial (Body)"/>
                <w:b/>
                <w:i w:val="0"/>
                <w:color w:val="265A9A"/>
              </w:rPr>
              <w:t>, includes people who did not inherit</w:t>
            </w:r>
          </w:p>
        </w:tc>
      </w:tr>
      <w:tr w:rsidR="00767353" w:rsidRPr="002B2B52" w14:paraId="74626884" w14:textId="77777777" w:rsidTr="00604051">
        <w:tc>
          <w:tcPr>
            <w:tcW w:w="1105" w:type="pct"/>
            <w:tcBorders>
              <w:top w:val="single" w:sz="4" w:space="0" w:color="B3B3B3"/>
              <w:bottom w:val="nil"/>
            </w:tcBorders>
            <w:shd w:val="clear" w:color="auto" w:fill="F1F1F1"/>
          </w:tcPr>
          <w:p w14:paraId="0690A789" w14:textId="77777777" w:rsidR="00767353" w:rsidRPr="002B2B52" w:rsidRDefault="00767353" w:rsidP="00604051">
            <w:pPr>
              <w:pStyle w:val="TableColumnHeading"/>
              <w:spacing w:before="45" w:after="45"/>
              <w:ind w:left="57" w:right="108"/>
              <w:jc w:val="left"/>
              <w:rPr>
                <w:rFonts w:ascii="Arial (Body)" w:hAnsi="Arial (Body)"/>
                <w:b/>
                <w:i w:val="0"/>
                <w:color w:val="265A9A"/>
              </w:rPr>
            </w:pPr>
            <m:oMathPara>
              <m:oMath>
                <m:r>
                  <m:rPr>
                    <m:sty m:val="bi"/>
                  </m:rPr>
                  <w:rPr>
                    <w:rFonts w:ascii="Cambria Math" w:hAnsi="Cambria Math"/>
                    <w:color w:val="265A9A"/>
                  </w:rPr>
                  <m:t>k=5</m:t>
                </m:r>
              </m:oMath>
            </m:oMathPara>
          </w:p>
        </w:tc>
        <w:tc>
          <w:tcPr>
            <w:tcW w:w="740" w:type="pct"/>
            <w:tcBorders>
              <w:top w:val="single" w:sz="4" w:space="0" w:color="B3B3B3"/>
              <w:bottom w:val="nil"/>
            </w:tcBorders>
            <w:shd w:val="clear" w:color="auto" w:fill="F1F1F1"/>
          </w:tcPr>
          <w:p w14:paraId="7677E066"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1d</w:t>
            </w:r>
          </w:p>
        </w:tc>
        <w:tc>
          <w:tcPr>
            <w:tcW w:w="935" w:type="pct"/>
            <w:tcBorders>
              <w:top w:val="single" w:sz="4" w:space="0" w:color="B3B3B3"/>
              <w:bottom w:val="nil"/>
            </w:tcBorders>
            <w:shd w:val="clear" w:color="auto" w:fill="F1F1F1"/>
          </w:tcPr>
          <w:p w14:paraId="6FE89AA5"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2d</w:t>
            </w:r>
          </w:p>
        </w:tc>
        <w:tc>
          <w:tcPr>
            <w:tcW w:w="740" w:type="pct"/>
            <w:tcBorders>
              <w:top w:val="single" w:sz="4" w:space="0" w:color="B3B3B3"/>
              <w:bottom w:val="nil"/>
            </w:tcBorders>
            <w:shd w:val="clear" w:color="auto" w:fill="F1F1F1"/>
          </w:tcPr>
          <w:p w14:paraId="498193DE"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3d</w:t>
            </w:r>
          </w:p>
        </w:tc>
        <w:tc>
          <w:tcPr>
            <w:tcW w:w="740" w:type="pct"/>
            <w:tcBorders>
              <w:top w:val="single" w:sz="4" w:space="0" w:color="B3B3B3"/>
              <w:bottom w:val="nil"/>
            </w:tcBorders>
            <w:shd w:val="clear" w:color="auto" w:fill="F1F1F1"/>
          </w:tcPr>
          <w:p w14:paraId="0B128318"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4d</w:t>
            </w:r>
          </w:p>
        </w:tc>
        <w:tc>
          <w:tcPr>
            <w:tcW w:w="740" w:type="pct"/>
            <w:tcBorders>
              <w:top w:val="single" w:sz="4" w:space="0" w:color="B3B3B3"/>
              <w:bottom w:val="nil"/>
            </w:tcBorders>
            <w:shd w:val="clear" w:color="auto" w:fill="F1F1F1"/>
          </w:tcPr>
          <w:p w14:paraId="603BE238" w14:textId="77777777" w:rsidR="00767353" w:rsidRPr="002B2B52" w:rsidRDefault="00767353" w:rsidP="00604051">
            <w:pPr>
              <w:pStyle w:val="TableColumnHeading"/>
              <w:spacing w:before="45" w:after="45"/>
              <w:ind w:left="57" w:right="108"/>
              <w:rPr>
                <w:rFonts w:ascii="Arial (Body)" w:hAnsi="Arial (Body)"/>
                <w:i w:val="0"/>
                <w:color w:val="000000"/>
              </w:rPr>
            </w:pPr>
            <w:r w:rsidRPr="002B2B52">
              <w:rPr>
                <w:rFonts w:ascii="Arial (Body)" w:hAnsi="Arial (Body)"/>
                <w:i w:val="0"/>
                <w:color w:val="000000"/>
              </w:rPr>
              <w:t>Model 5d</w:t>
            </w:r>
          </w:p>
        </w:tc>
      </w:tr>
      <w:tr w:rsidR="00767353" w:rsidRPr="002B2B52" w14:paraId="52FE5312" w14:textId="77777777" w:rsidTr="00604051">
        <w:tc>
          <w:tcPr>
            <w:tcW w:w="1105" w:type="pct"/>
            <w:tcBorders>
              <w:top w:val="nil"/>
              <w:bottom w:val="nil"/>
            </w:tcBorders>
            <w:shd w:val="clear" w:color="auto" w:fill="auto"/>
          </w:tcPr>
          <w:p w14:paraId="7E50788D" w14:textId="77777777" w:rsidR="00767353" w:rsidRPr="002B2B52"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1</m:t>
                    </m:r>
                  </m:sub>
                </m:sSub>
              </m:oMath>
            </m:oMathPara>
          </w:p>
        </w:tc>
        <w:tc>
          <w:tcPr>
            <w:tcW w:w="740" w:type="pct"/>
            <w:tcBorders>
              <w:top w:val="nil"/>
              <w:bottom w:val="nil"/>
            </w:tcBorders>
            <w:shd w:val="clear" w:color="auto" w:fill="auto"/>
          </w:tcPr>
          <w:p w14:paraId="702DA8F0"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2.111***</w:t>
            </w:r>
          </w:p>
        </w:tc>
        <w:tc>
          <w:tcPr>
            <w:tcW w:w="935" w:type="pct"/>
            <w:tcBorders>
              <w:top w:val="nil"/>
              <w:bottom w:val="nil"/>
            </w:tcBorders>
            <w:shd w:val="clear" w:color="auto" w:fill="auto"/>
          </w:tcPr>
          <w:p w14:paraId="22B6F8CC"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1.988***</w:t>
            </w:r>
          </w:p>
        </w:tc>
        <w:tc>
          <w:tcPr>
            <w:tcW w:w="740" w:type="pct"/>
            <w:tcBorders>
              <w:top w:val="nil"/>
              <w:bottom w:val="nil"/>
            </w:tcBorders>
            <w:shd w:val="clear" w:color="auto" w:fill="auto"/>
          </w:tcPr>
          <w:p w14:paraId="60737C74"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2.020***</w:t>
            </w:r>
          </w:p>
        </w:tc>
        <w:tc>
          <w:tcPr>
            <w:tcW w:w="740" w:type="pct"/>
            <w:tcBorders>
              <w:top w:val="nil"/>
              <w:bottom w:val="nil"/>
            </w:tcBorders>
            <w:shd w:val="clear" w:color="auto" w:fill="auto"/>
          </w:tcPr>
          <w:p w14:paraId="497A5FE2"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2.273***</w:t>
            </w:r>
          </w:p>
        </w:tc>
        <w:tc>
          <w:tcPr>
            <w:tcW w:w="740" w:type="pct"/>
            <w:tcBorders>
              <w:top w:val="nil"/>
              <w:bottom w:val="nil"/>
            </w:tcBorders>
            <w:shd w:val="clear" w:color="auto" w:fill="auto"/>
          </w:tcPr>
          <w:p w14:paraId="76BD3099"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2.365***</w:t>
            </w:r>
          </w:p>
        </w:tc>
      </w:tr>
      <w:tr w:rsidR="00767353" w:rsidRPr="002B2B52" w14:paraId="44073BE2" w14:textId="77777777" w:rsidTr="00604051">
        <w:tc>
          <w:tcPr>
            <w:tcW w:w="1105" w:type="pct"/>
            <w:tcBorders>
              <w:bottom w:val="nil"/>
            </w:tcBorders>
            <w:shd w:val="clear" w:color="auto" w:fill="F1F1F1"/>
          </w:tcPr>
          <w:p w14:paraId="01C5AC30" w14:textId="77777777" w:rsidR="00767353" w:rsidRPr="002B2B52" w:rsidRDefault="00767353" w:rsidP="00604051">
            <w:pPr>
              <w:pStyle w:val="TableBodyText"/>
              <w:spacing w:before="45" w:after="45"/>
              <w:ind w:left="57" w:right="108"/>
              <w:jc w:val="left"/>
              <w:rPr>
                <w:rFonts w:ascii="Arial (Body)" w:hAnsi="Arial (Body)"/>
                <w:b/>
                <w:color w:val="265A9A"/>
              </w:rPr>
            </w:pPr>
          </w:p>
        </w:tc>
        <w:tc>
          <w:tcPr>
            <w:tcW w:w="740" w:type="pct"/>
            <w:tcBorders>
              <w:bottom w:val="nil"/>
            </w:tcBorders>
            <w:shd w:val="clear" w:color="auto" w:fill="F1F1F1"/>
          </w:tcPr>
          <w:p w14:paraId="176B6E54"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(0.379)</w:t>
            </w:r>
          </w:p>
        </w:tc>
        <w:tc>
          <w:tcPr>
            <w:tcW w:w="935" w:type="pct"/>
            <w:tcBorders>
              <w:bottom w:val="nil"/>
            </w:tcBorders>
            <w:shd w:val="clear" w:color="auto" w:fill="F1F1F1"/>
          </w:tcPr>
          <w:p w14:paraId="0F744B8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(0.380)</w:t>
            </w:r>
          </w:p>
        </w:tc>
        <w:tc>
          <w:tcPr>
            <w:tcW w:w="740" w:type="pct"/>
            <w:tcBorders>
              <w:bottom w:val="nil"/>
            </w:tcBorders>
            <w:shd w:val="clear" w:color="auto" w:fill="F1F1F1"/>
          </w:tcPr>
          <w:p w14:paraId="7B82880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(0.356)</w:t>
            </w:r>
          </w:p>
        </w:tc>
        <w:tc>
          <w:tcPr>
            <w:tcW w:w="740" w:type="pct"/>
            <w:tcBorders>
              <w:bottom w:val="nil"/>
            </w:tcBorders>
            <w:shd w:val="clear" w:color="auto" w:fill="F1F1F1"/>
          </w:tcPr>
          <w:p w14:paraId="59A97CC3"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(0.685)</w:t>
            </w:r>
          </w:p>
        </w:tc>
        <w:tc>
          <w:tcPr>
            <w:tcW w:w="740" w:type="pct"/>
            <w:tcBorders>
              <w:bottom w:val="nil"/>
            </w:tcBorders>
            <w:shd w:val="clear" w:color="auto" w:fill="F1F1F1"/>
          </w:tcPr>
          <w:p w14:paraId="5624275F"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(0.576)</w:t>
            </w:r>
          </w:p>
        </w:tc>
      </w:tr>
      <w:tr w:rsidR="00767353" w:rsidRPr="002B2B52" w14:paraId="37CAB40E" w14:textId="77777777" w:rsidTr="00604051">
        <w:tc>
          <w:tcPr>
            <w:tcW w:w="1105" w:type="pct"/>
            <w:tcBorders>
              <w:top w:val="nil"/>
              <w:bottom w:val="nil"/>
            </w:tcBorders>
            <w:shd w:val="clear" w:color="auto" w:fill="auto"/>
          </w:tcPr>
          <w:p w14:paraId="649114CE" w14:textId="77777777" w:rsidR="00767353" w:rsidRPr="002B2B52"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2</m:t>
                    </m:r>
                  </m:sub>
                </m:sSub>
              </m:oMath>
            </m:oMathPara>
          </w:p>
        </w:tc>
        <w:tc>
          <w:tcPr>
            <w:tcW w:w="740" w:type="pct"/>
            <w:tcBorders>
              <w:top w:val="nil"/>
              <w:bottom w:val="nil"/>
            </w:tcBorders>
            <w:shd w:val="clear" w:color="auto" w:fill="auto"/>
          </w:tcPr>
          <w:p w14:paraId="2CD81C85"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0.550**</w:t>
            </w:r>
          </w:p>
        </w:tc>
        <w:tc>
          <w:tcPr>
            <w:tcW w:w="935" w:type="pct"/>
            <w:tcBorders>
              <w:top w:val="nil"/>
              <w:bottom w:val="nil"/>
            </w:tcBorders>
            <w:shd w:val="clear" w:color="auto" w:fill="auto"/>
          </w:tcPr>
          <w:p w14:paraId="79CAF38E"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0.327***</w:t>
            </w:r>
          </w:p>
        </w:tc>
        <w:tc>
          <w:tcPr>
            <w:tcW w:w="740" w:type="pct"/>
            <w:tcBorders>
              <w:top w:val="nil"/>
              <w:bottom w:val="nil"/>
            </w:tcBorders>
            <w:shd w:val="clear" w:color="auto" w:fill="auto"/>
          </w:tcPr>
          <w:p w14:paraId="79EE753C"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0.350*</w:t>
            </w:r>
          </w:p>
        </w:tc>
        <w:tc>
          <w:tcPr>
            <w:tcW w:w="740" w:type="pct"/>
            <w:tcBorders>
              <w:top w:val="nil"/>
              <w:bottom w:val="nil"/>
            </w:tcBorders>
            <w:shd w:val="clear" w:color="auto" w:fill="auto"/>
          </w:tcPr>
          <w:p w14:paraId="4C14794E"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0.333</w:t>
            </w:r>
          </w:p>
        </w:tc>
        <w:tc>
          <w:tcPr>
            <w:tcW w:w="740" w:type="pct"/>
            <w:tcBorders>
              <w:top w:val="nil"/>
              <w:bottom w:val="nil"/>
            </w:tcBorders>
            <w:shd w:val="clear" w:color="auto" w:fill="auto"/>
          </w:tcPr>
          <w:p w14:paraId="487E7E93"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0.428</w:t>
            </w:r>
          </w:p>
        </w:tc>
      </w:tr>
      <w:tr w:rsidR="00767353" w:rsidRPr="002B2B52" w14:paraId="27A76937" w14:textId="77777777" w:rsidTr="00604051">
        <w:tc>
          <w:tcPr>
            <w:tcW w:w="1105" w:type="pct"/>
            <w:tcBorders>
              <w:bottom w:val="nil"/>
            </w:tcBorders>
            <w:shd w:val="clear" w:color="auto" w:fill="F1F1F1"/>
          </w:tcPr>
          <w:p w14:paraId="766A5114" w14:textId="77777777" w:rsidR="00767353" w:rsidRPr="002B2B52" w:rsidRDefault="00767353" w:rsidP="00604051">
            <w:pPr>
              <w:pStyle w:val="TableBodyText"/>
              <w:spacing w:before="45" w:after="45"/>
              <w:ind w:left="57" w:right="108"/>
              <w:jc w:val="left"/>
              <w:rPr>
                <w:rFonts w:ascii="Arial (Body)" w:hAnsi="Arial (Body)"/>
                <w:b/>
                <w:color w:val="265A9A"/>
              </w:rPr>
            </w:pPr>
          </w:p>
        </w:tc>
        <w:tc>
          <w:tcPr>
            <w:tcW w:w="740" w:type="pct"/>
            <w:tcBorders>
              <w:bottom w:val="nil"/>
            </w:tcBorders>
            <w:shd w:val="clear" w:color="auto" w:fill="F1F1F1"/>
          </w:tcPr>
          <w:p w14:paraId="67B55DDB"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(0.268)</w:t>
            </w:r>
          </w:p>
        </w:tc>
        <w:tc>
          <w:tcPr>
            <w:tcW w:w="935" w:type="pct"/>
            <w:tcBorders>
              <w:bottom w:val="nil"/>
            </w:tcBorders>
            <w:shd w:val="clear" w:color="auto" w:fill="F1F1F1"/>
          </w:tcPr>
          <w:p w14:paraId="33DE827C"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(0.0 742)</w:t>
            </w:r>
          </w:p>
        </w:tc>
        <w:tc>
          <w:tcPr>
            <w:tcW w:w="740" w:type="pct"/>
            <w:tcBorders>
              <w:bottom w:val="nil"/>
            </w:tcBorders>
            <w:shd w:val="clear" w:color="auto" w:fill="F1F1F1"/>
          </w:tcPr>
          <w:p w14:paraId="7A40A66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(0.201)</w:t>
            </w:r>
          </w:p>
        </w:tc>
        <w:tc>
          <w:tcPr>
            <w:tcW w:w="740" w:type="pct"/>
            <w:tcBorders>
              <w:bottom w:val="nil"/>
            </w:tcBorders>
            <w:shd w:val="clear" w:color="auto" w:fill="F1F1F1"/>
          </w:tcPr>
          <w:p w14:paraId="1D3D0268"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(0.409)</w:t>
            </w:r>
          </w:p>
        </w:tc>
        <w:tc>
          <w:tcPr>
            <w:tcW w:w="740" w:type="pct"/>
            <w:tcBorders>
              <w:bottom w:val="nil"/>
            </w:tcBorders>
            <w:shd w:val="clear" w:color="auto" w:fill="F1F1F1"/>
          </w:tcPr>
          <w:p w14:paraId="489217CA"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(0.329)</w:t>
            </w:r>
          </w:p>
        </w:tc>
      </w:tr>
      <w:tr w:rsidR="00767353" w:rsidRPr="002B2B52" w14:paraId="77FE7589" w14:textId="77777777" w:rsidTr="00604051">
        <w:tc>
          <w:tcPr>
            <w:tcW w:w="1105" w:type="pct"/>
            <w:tcBorders>
              <w:top w:val="nil"/>
              <w:bottom w:val="nil"/>
            </w:tcBorders>
            <w:shd w:val="clear" w:color="auto" w:fill="auto"/>
          </w:tcPr>
          <w:p w14:paraId="5C7C2BBC" w14:textId="77777777" w:rsidR="00767353" w:rsidRPr="002B2B52"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3</m:t>
                    </m:r>
                  </m:sub>
                </m:sSub>
              </m:oMath>
            </m:oMathPara>
          </w:p>
        </w:tc>
        <w:tc>
          <w:tcPr>
            <w:tcW w:w="740" w:type="pct"/>
            <w:tcBorders>
              <w:top w:val="nil"/>
              <w:bottom w:val="nil"/>
            </w:tcBorders>
            <w:shd w:val="clear" w:color="auto" w:fill="auto"/>
          </w:tcPr>
          <w:p w14:paraId="22A6B373"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1.686***</w:t>
            </w:r>
          </w:p>
        </w:tc>
        <w:tc>
          <w:tcPr>
            <w:tcW w:w="935" w:type="pct"/>
            <w:tcBorders>
              <w:top w:val="nil"/>
              <w:bottom w:val="nil"/>
            </w:tcBorders>
            <w:shd w:val="clear" w:color="auto" w:fill="auto"/>
          </w:tcPr>
          <w:p w14:paraId="703F08AF"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1.180***</w:t>
            </w:r>
          </w:p>
        </w:tc>
        <w:tc>
          <w:tcPr>
            <w:tcW w:w="740" w:type="pct"/>
            <w:tcBorders>
              <w:top w:val="nil"/>
              <w:bottom w:val="nil"/>
            </w:tcBorders>
            <w:shd w:val="clear" w:color="auto" w:fill="auto"/>
          </w:tcPr>
          <w:p w14:paraId="3D3D0D79"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1.546***</w:t>
            </w:r>
          </w:p>
        </w:tc>
        <w:tc>
          <w:tcPr>
            <w:tcW w:w="740" w:type="pct"/>
            <w:tcBorders>
              <w:top w:val="nil"/>
              <w:bottom w:val="nil"/>
            </w:tcBorders>
            <w:shd w:val="clear" w:color="auto" w:fill="auto"/>
          </w:tcPr>
          <w:p w14:paraId="6A3AA403"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1.066***</w:t>
            </w:r>
          </w:p>
        </w:tc>
        <w:tc>
          <w:tcPr>
            <w:tcW w:w="740" w:type="pct"/>
            <w:tcBorders>
              <w:top w:val="nil"/>
              <w:bottom w:val="nil"/>
            </w:tcBorders>
            <w:shd w:val="clear" w:color="auto" w:fill="auto"/>
          </w:tcPr>
          <w:p w14:paraId="66B2E4C0"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0.953***</w:t>
            </w:r>
          </w:p>
        </w:tc>
      </w:tr>
      <w:tr w:rsidR="00767353" w:rsidRPr="002B2B52" w14:paraId="5833A92A" w14:textId="77777777" w:rsidTr="00604051">
        <w:tc>
          <w:tcPr>
            <w:tcW w:w="1105" w:type="pct"/>
            <w:tcBorders>
              <w:bottom w:val="nil"/>
            </w:tcBorders>
            <w:shd w:val="clear" w:color="auto" w:fill="F1F1F1"/>
          </w:tcPr>
          <w:p w14:paraId="77EFF629" w14:textId="77777777" w:rsidR="00767353" w:rsidRPr="002B2B52" w:rsidRDefault="00767353" w:rsidP="00604051">
            <w:pPr>
              <w:pStyle w:val="TableBodyText"/>
              <w:spacing w:before="45" w:after="45"/>
              <w:ind w:left="57" w:right="108"/>
              <w:jc w:val="left"/>
              <w:rPr>
                <w:rFonts w:ascii="Arial (Body)" w:hAnsi="Arial (Body)"/>
                <w:b/>
                <w:color w:val="265A9A"/>
              </w:rPr>
            </w:pPr>
          </w:p>
        </w:tc>
        <w:tc>
          <w:tcPr>
            <w:tcW w:w="740" w:type="pct"/>
            <w:tcBorders>
              <w:bottom w:val="nil"/>
            </w:tcBorders>
            <w:shd w:val="clear" w:color="auto" w:fill="F1F1F1"/>
          </w:tcPr>
          <w:p w14:paraId="4BC38A9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(0.392)</w:t>
            </w:r>
          </w:p>
        </w:tc>
        <w:tc>
          <w:tcPr>
            <w:tcW w:w="935" w:type="pct"/>
            <w:tcBorders>
              <w:bottom w:val="nil"/>
            </w:tcBorders>
            <w:shd w:val="clear" w:color="auto" w:fill="F1F1F1"/>
          </w:tcPr>
          <w:p w14:paraId="27A89AE6"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(0.248)</w:t>
            </w:r>
          </w:p>
        </w:tc>
        <w:tc>
          <w:tcPr>
            <w:tcW w:w="740" w:type="pct"/>
            <w:tcBorders>
              <w:bottom w:val="nil"/>
            </w:tcBorders>
            <w:shd w:val="clear" w:color="auto" w:fill="F1F1F1"/>
          </w:tcPr>
          <w:p w14:paraId="0A4B2D71"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(0.331)</w:t>
            </w:r>
          </w:p>
        </w:tc>
        <w:tc>
          <w:tcPr>
            <w:tcW w:w="740" w:type="pct"/>
            <w:tcBorders>
              <w:bottom w:val="nil"/>
            </w:tcBorders>
            <w:shd w:val="clear" w:color="auto" w:fill="F1F1F1"/>
          </w:tcPr>
          <w:p w14:paraId="011B1143"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(0.372)</w:t>
            </w:r>
          </w:p>
        </w:tc>
        <w:tc>
          <w:tcPr>
            <w:tcW w:w="740" w:type="pct"/>
            <w:tcBorders>
              <w:bottom w:val="nil"/>
            </w:tcBorders>
            <w:shd w:val="clear" w:color="auto" w:fill="F1F1F1"/>
          </w:tcPr>
          <w:p w14:paraId="0671D63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(0.289)</w:t>
            </w:r>
          </w:p>
        </w:tc>
      </w:tr>
      <w:tr w:rsidR="00767353" w:rsidRPr="002B2B52" w14:paraId="2B8DD013" w14:textId="77777777" w:rsidTr="00604051">
        <w:tc>
          <w:tcPr>
            <w:tcW w:w="1105" w:type="pct"/>
            <w:tcBorders>
              <w:top w:val="nil"/>
              <w:bottom w:val="nil"/>
            </w:tcBorders>
            <w:shd w:val="clear" w:color="auto" w:fill="auto"/>
          </w:tcPr>
          <w:p w14:paraId="50ED8389" w14:textId="77777777" w:rsidR="00767353" w:rsidRPr="002B2B52"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4</m:t>
                    </m:r>
                  </m:sub>
                </m:sSub>
              </m:oMath>
            </m:oMathPara>
          </w:p>
        </w:tc>
        <w:tc>
          <w:tcPr>
            <w:tcW w:w="740" w:type="pct"/>
            <w:tcBorders>
              <w:top w:val="nil"/>
              <w:bottom w:val="nil"/>
            </w:tcBorders>
            <w:shd w:val="clear" w:color="auto" w:fill="auto"/>
          </w:tcPr>
          <w:p w14:paraId="42DC001A"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1.246***</w:t>
            </w:r>
          </w:p>
        </w:tc>
        <w:tc>
          <w:tcPr>
            <w:tcW w:w="935" w:type="pct"/>
            <w:tcBorders>
              <w:top w:val="nil"/>
              <w:bottom w:val="nil"/>
            </w:tcBorders>
            <w:shd w:val="clear" w:color="auto" w:fill="auto"/>
          </w:tcPr>
          <w:p w14:paraId="0CFCBD6A"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1.017***</w:t>
            </w:r>
          </w:p>
        </w:tc>
        <w:tc>
          <w:tcPr>
            <w:tcW w:w="740" w:type="pct"/>
            <w:tcBorders>
              <w:top w:val="nil"/>
              <w:bottom w:val="nil"/>
            </w:tcBorders>
            <w:shd w:val="clear" w:color="auto" w:fill="auto"/>
          </w:tcPr>
          <w:p w14:paraId="56FB486C"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1.154***</w:t>
            </w:r>
          </w:p>
        </w:tc>
        <w:tc>
          <w:tcPr>
            <w:tcW w:w="740" w:type="pct"/>
            <w:tcBorders>
              <w:top w:val="nil"/>
              <w:bottom w:val="nil"/>
            </w:tcBorders>
            <w:shd w:val="clear" w:color="auto" w:fill="auto"/>
          </w:tcPr>
          <w:p w14:paraId="01164AEE"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1.457***</w:t>
            </w:r>
          </w:p>
        </w:tc>
        <w:tc>
          <w:tcPr>
            <w:tcW w:w="740" w:type="pct"/>
            <w:tcBorders>
              <w:top w:val="nil"/>
              <w:bottom w:val="nil"/>
            </w:tcBorders>
            <w:shd w:val="clear" w:color="auto" w:fill="auto"/>
          </w:tcPr>
          <w:p w14:paraId="4F452AF5"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1.578***</w:t>
            </w:r>
          </w:p>
        </w:tc>
      </w:tr>
      <w:tr w:rsidR="00767353" w:rsidRPr="002B2B52" w14:paraId="7166D21E" w14:textId="77777777" w:rsidTr="00604051">
        <w:tc>
          <w:tcPr>
            <w:tcW w:w="1105" w:type="pct"/>
            <w:tcBorders>
              <w:bottom w:val="nil"/>
            </w:tcBorders>
            <w:shd w:val="clear" w:color="auto" w:fill="F1F1F1"/>
          </w:tcPr>
          <w:p w14:paraId="7A742A63" w14:textId="77777777" w:rsidR="00767353" w:rsidRPr="002B2B52" w:rsidRDefault="00767353" w:rsidP="00604051">
            <w:pPr>
              <w:pStyle w:val="TableBodyText"/>
              <w:spacing w:before="45" w:after="45"/>
              <w:ind w:left="57" w:right="108"/>
              <w:jc w:val="left"/>
              <w:rPr>
                <w:rFonts w:ascii="Arial (Body)" w:hAnsi="Arial (Body)"/>
                <w:b/>
                <w:color w:val="265A9A"/>
              </w:rPr>
            </w:pPr>
          </w:p>
        </w:tc>
        <w:tc>
          <w:tcPr>
            <w:tcW w:w="740" w:type="pct"/>
            <w:tcBorders>
              <w:bottom w:val="nil"/>
            </w:tcBorders>
            <w:shd w:val="clear" w:color="auto" w:fill="F1F1F1"/>
          </w:tcPr>
          <w:p w14:paraId="558B0EBA"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(0.248)</w:t>
            </w:r>
          </w:p>
        </w:tc>
        <w:tc>
          <w:tcPr>
            <w:tcW w:w="935" w:type="pct"/>
            <w:tcBorders>
              <w:bottom w:val="nil"/>
            </w:tcBorders>
            <w:shd w:val="clear" w:color="auto" w:fill="F1F1F1"/>
          </w:tcPr>
          <w:p w14:paraId="52C0CBA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(0.175)</w:t>
            </w:r>
          </w:p>
        </w:tc>
        <w:tc>
          <w:tcPr>
            <w:tcW w:w="740" w:type="pct"/>
            <w:tcBorders>
              <w:bottom w:val="nil"/>
            </w:tcBorders>
            <w:shd w:val="clear" w:color="auto" w:fill="F1F1F1"/>
          </w:tcPr>
          <w:p w14:paraId="49520748"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(0.208)</w:t>
            </w:r>
          </w:p>
        </w:tc>
        <w:tc>
          <w:tcPr>
            <w:tcW w:w="740" w:type="pct"/>
            <w:tcBorders>
              <w:bottom w:val="nil"/>
            </w:tcBorders>
            <w:shd w:val="clear" w:color="auto" w:fill="F1F1F1"/>
          </w:tcPr>
          <w:p w14:paraId="6AEE3CC8"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(0.478)</w:t>
            </w:r>
          </w:p>
        </w:tc>
        <w:tc>
          <w:tcPr>
            <w:tcW w:w="740" w:type="pct"/>
            <w:tcBorders>
              <w:bottom w:val="nil"/>
            </w:tcBorders>
            <w:shd w:val="clear" w:color="auto" w:fill="F1F1F1"/>
          </w:tcPr>
          <w:p w14:paraId="509EA683"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(0.433)</w:t>
            </w:r>
          </w:p>
        </w:tc>
      </w:tr>
      <w:tr w:rsidR="00767353" w:rsidRPr="002B2B52" w14:paraId="486E8653" w14:textId="77777777" w:rsidTr="00604051">
        <w:tc>
          <w:tcPr>
            <w:tcW w:w="1105" w:type="pct"/>
            <w:tcBorders>
              <w:top w:val="nil"/>
              <w:bottom w:val="nil"/>
            </w:tcBorders>
            <w:shd w:val="clear" w:color="auto" w:fill="auto"/>
          </w:tcPr>
          <w:p w14:paraId="1097C3A2" w14:textId="77777777" w:rsidR="00767353" w:rsidRPr="002B2B52"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5</m:t>
                    </m:r>
                  </m:sub>
                </m:sSub>
              </m:oMath>
            </m:oMathPara>
          </w:p>
        </w:tc>
        <w:tc>
          <w:tcPr>
            <w:tcW w:w="740" w:type="pct"/>
            <w:tcBorders>
              <w:top w:val="nil"/>
              <w:bottom w:val="nil"/>
            </w:tcBorders>
            <w:shd w:val="clear" w:color="auto" w:fill="auto"/>
          </w:tcPr>
          <w:p w14:paraId="2938E5B6"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1.049***</w:t>
            </w:r>
          </w:p>
        </w:tc>
        <w:tc>
          <w:tcPr>
            <w:tcW w:w="935" w:type="pct"/>
            <w:tcBorders>
              <w:top w:val="nil"/>
              <w:bottom w:val="nil"/>
            </w:tcBorders>
            <w:shd w:val="clear" w:color="auto" w:fill="auto"/>
          </w:tcPr>
          <w:p w14:paraId="06D13204"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1.071***</w:t>
            </w:r>
          </w:p>
        </w:tc>
        <w:tc>
          <w:tcPr>
            <w:tcW w:w="740" w:type="pct"/>
            <w:tcBorders>
              <w:top w:val="nil"/>
              <w:bottom w:val="nil"/>
            </w:tcBorders>
            <w:shd w:val="clear" w:color="auto" w:fill="auto"/>
          </w:tcPr>
          <w:p w14:paraId="22786E17"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1.027***</w:t>
            </w:r>
          </w:p>
        </w:tc>
        <w:tc>
          <w:tcPr>
            <w:tcW w:w="740" w:type="pct"/>
            <w:tcBorders>
              <w:top w:val="nil"/>
              <w:bottom w:val="nil"/>
            </w:tcBorders>
            <w:shd w:val="clear" w:color="auto" w:fill="auto"/>
          </w:tcPr>
          <w:p w14:paraId="01242966"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1.096***</w:t>
            </w:r>
          </w:p>
        </w:tc>
        <w:tc>
          <w:tcPr>
            <w:tcW w:w="740" w:type="pct"/>
            <w:tcBorders>
              <w:top w:val="nil"/>
              <w:bottom w:val="nil"/>
            </w:tcBorders>
            <w:shd w:val="clear" w:color="auto" w:fill="auto"/>
          </w:tcPr>
          <w:p w14:paraId="6354D4A4" w14:textId="77777777" w:rsidR="00767353" w:rsidRPr="002B2B52" w:rsidRDefault="00767353" w:rsidP="00604051">
            <w:pPr>
              <w:pStyle w:val="TableBodyText"/>
              <w:spacing w:before="45" w:after="45"/>
              <w:ind w:left="57" w:right="108"/>
              <w:rPr>
                <w:rFonts w:ascii="Arial (Body)" w:hAnsi="Arial (Body)"/>
                <w:bCs/>
                <w:color w:val="000000"/>
              </w:rPr>
            </w:pPr>
            <w:r w:rsidRPr="002B2B52">
              <w:rPr>
                <w:rFonts w:ascii="Arial (Body)" w:hAnsi="Arial (Body)"/>
                <w:bCs/>
                <w:color w:val="000000"/>
              </w:rPr>
              <w:t>1.128***</w:t>
            </w:r>
          </w:p>
        </w:tc>
      </w:tr>
      <w:tr w:rsidR="00767353" w:rsidRPr="002B2B52" w14:paraId="15FBCD5D" w14:textId="77777777" w:rsidTr="00604051">
        <w:tc>
          <w:tcPr>
            <w:tcW w:w="1105" w:type="pct"/>
            <w:tcBorders>
              <w:bottom w:val="nil"/>
            </w:tcBorders>
            <w:shd w:val="clear" w:color="auto" w:fill="F1F1F1"/>
          </w:tcPr>
          <w:p w14:paraId="5323EEED" w14:textId="77777777" w:rsidR="00767353" w:rsidRPr="002B2B52" w:rsidRDefault="00767353" w:rsidP="00604051">
            <w:pPr>
              <w:pStyle w:val="TableBodyText"/>
              <w:spacing w:before="45" w:after="45"/>
              <w:ind w:left="57" w:right="108"/>
              <w:jc w:val="left"/>
              <w:rPr>
                <w:rFonts w:ascii="Arial (Body)" w:hAnsi="Arial (Body)"/>
                <w:b/>
                <w:color w:val="265A9A"/>
              </w:rPr>
            </w:pPr>
          </w:p>
        </w:tc>
        <w:tc>
          <w:tcPr>
            <w:tcW w:w="740" w:type="pct"/>
            <w:tcBorders>
              <w:bottom w:val="nil"/>
            </w:tcBorders>
            <w:shd w:val="clear" w:color="auto" w:fill="F1F1F1"/>
          </w:tcPr>
          <w:p w14:paraId="2491CC9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(0.231)</w:t>
            </w:r>
          </w:p>
        </w:tc>
        <w:tc>
          <w:tcPr>
            <w:tcW w:w="935" w:type="pct"/>
            <w:tcBorders>
              <w:bottom w:val="nil"/>
            </w:tcBorders>
            <w:shd w:val="clear" w:color="auto" w:fill="F1F1F1"/>
          </w:tcPr>
          <w:p w14:paraId="0862BC8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(0.223)</w:t>
            </w:r>
          </w:p>
        </w:tc>
        <w:tc>
          <w:tcPr>
            <w:tcW w:w="740" w:type="pct"/>
            <w:tcBorders>
              <w:bottom w:val="nil"/>
            </w:tcBorders>
            <w:shd w:val="clear" w:color="auto" w:fill="F1F1F1"/>
          </w:tcPr>
          <w:p w14:paraId="4EE79B07"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(0.223)</w:t>
            </w:r>
          </w:p>
        </w:tc>
        <w:tc>
          <w:tcPr>
            <w:tcW w:w="740" w:type="pct"/>
            <w:tcBorders>
              <w:bottom w:val="nil"/>
            </w:tcBorders>
            <w:shd w:val="clear" w:color="auto" w:fill="F1F1F1"/>
          </w:tcPr>
          <w:p w14:paraId="26332B6B"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(0.322)</w:t>
            </w:r>
          </w:p>
        </w:tc>
        <w:tc>
          <w:tcPr>
            <w:tcW w:w="740" w:type="pct"/>
            <w:tcBorders>
              <w:bottom w:val="nil"/>
            </w:tcBorders>
            <w:shd w:val="clear" w:color="auto" w:fill="F1F1F1"/>
          </w:tcPr>
          <w:p w14:paraId="1415737A"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(0.336)</w:t>
            </w:r>
          </w:p>
        </w:tc>
      </w:tr>
      <w:tr w:rsidR="00767353" w:rsidRPr="002B2B52" w14:paraId="4F980909" w14:textId="77777777" w:rsidTr="00604051">
        <w:tc>
          <w:tcPr>
            <w:tcW w:w="1105" w:type="pct"/>
            <w:tcBorders>
              <w:top w:val="nil"/>
            </w:tcBorders>
            <w:shd w:val="clear" w:color="auto" w:fill="auto"/>
          </w:tcPr>
          <w:p w14:paraId="78022B8B" w14:textId="77777777" w:rsidR="00767353" w:rsidRPr="002B2B52" w:rsidRDefault="00767353" w:rsidP="00604051">
            <w:pPr>
              <w:pStyle w:val="TableBodyText"/>
              <w:spacing w:before="45" w:after="45"/>
              <w:ind w:left="57" w:right="108"/>
              <w:jc w:val="left"/>
              <w:rPr>
                <w:rFonts w:ascii="Arial (Body)" w:hAnsi="Arial (Body)"/>
                <w:b/>
                <w:color w:val="265A9A"/>
              </w:rPr>
            </w:pPr>
            <w:r w:rsidRPr="002B2B52">
              <w:rPr>
                <w:rFonts w:ascii="Arial (Body)" w:hAnsi="Arial (Body)"/>
                <w:b/>
                <w:color w:val="265A9A"/>
              </w:rPr>
              <w:t>Observations</w:t>
            </w:r>
          </w:p>
        </w:tc>
        <w:tc>
          <w:tcPr>
            <w:tcW w:w="740" w:type="pct"/>
            <w:tcBorders>
              <w:top w:val="nil"/>
            </w:tcBorders>
            <w:shd w:val="clear" w:color="auto" w:fill="auto"/>
          </w:tcPr>
          <w:p w14:paraId="064D6DA2"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1 424</w:t>
            </w:r>
          </w:p>
        </w:tc>
        <w:tc>
          <w:tcPr>
            <w:tcW w:w="935" w:type="pct"/>
            <w:tcBorders>
              <w:top w:val="nil"/>
            </w:tcBorders>
            <w:shd w:val="clear" w:color="auto" w:fill="auto"/>
          </w:tcPr>
          <w:p w14:paraId="63739653"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2 240</w:t>
            </w:r>
          </w:p>
        </w:tc>
        <w:tc>
          <w:tcPr>
            <w:tcW w:w="740" w:type="pct"/>
            <w:tcBorders>
              <w:top w:val="nil"/>
            </w:tcBorders>
            <w:shd w:val="clear" w:color="auto" w:fill="auto"/>
          </w:tcPr>
          <w:p w14:paraId="645ACA03"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27 678</w:t>
            </w:r>
          </w:p>
        </w:tc>
        <w:tc>
          <w:tcPr>
            <w:tcW w:w="740" w:type="pct"/>
            <w:tcBorders>
              <w:top w:val="nil"/>
            </w:tcBorders>
            <w:shd w:val="clear" w:color="auto" w:fill="auto"/>
          </w:tcPr>
          <w:p w14:paraId="0A04C975"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1 430</w:t>
            </w:r>
          </w:p>
        </w:tc>
        <w:tc>
          <w:tcPr>
            <w:tcW w:w="740" w:type="pct"/>
            <w:tcBorders>
              <w:top w:val="nil"/>
            </w:tcBorders>
            <w:shd w:val="clear" w:color="auto" w:fill="auto"/>
          </w:tcPr>
          <w:p w14:paraId="74B14459" w14:textId="77777777" w:rsidR="00767353" w:rsidRPr="002B2B52" w:rsidRDefault="00767353" w:rsidP="00604051">
            <w:pPr>
              <w:pStyle w:val="TableBodyText"/>
              <w:spacing w:before="45" w:after="45"/>
              <w:ind w:left="57" w:right="108"/>
              <w:rPr>
                <w:rFonts w:ascii="Arial (Body)" w:hAnsi="Arial (Body)"/>
                <w:color w:val="000000"/>
              </w:rPr>
            </w:pPr>
            <w:r w:rsidRPr="002B2B52">
              <w:rPr>
                <w:rFonts w:ascii="Arial (Body)" w:hAnsi="Arial (Body)"/>
                <w:color w:val="000000"/>
              </w:rPr>
              <w:t>24 269</w:t>
            </w:r>
          </w:p>
        </w:tc>
      </w:tr>
    </w:tbl>
    <w:p w14:paraId="169F7E1B" w14:textId="77777777" w:rsidR="00767353" w:rsidRPr="002B2B52" w:rsidRDefault="00767353" w:rsidP="00767353">
      <w:pPr>
        <w:pStyle w:val="Note"/>
        <w:rPr>
          <w:spacing w:val="-4"/>
        </w:rPr>
      </w:pPr>
      <w:r w:rsidRPr="002B2B52">
        <w:rPr>
          <w:b/>
          <w:bCs/>
          <w:spacing w:val="-4"/>
        </w:rPr>
        <w:t>a.</w:t>
      </w:r>
      <w:r w:rsidRPr="002B2B52">
        <w:rPr>
          <w:spacing w:val="-4"/>
        </w:rPr>
        <w:t xml:space="preserve"> Parentheses contain standard errors. </w:t>
      </w:r>
      <w:r w:rsidRPr="002B2B52">
        <w:rPr>
          <w:b/>
          <w:spacing w:val="-4"/>
        </w:rPr>
        <w:t>b.</w:t>
      </w:r>
      <w:r w:rsidRPr="002B2B52">
        <w:rPr>
          <w:spacing w:val="-4"/>
        </w:rPr>
        <w:t xml:space="preserve"> * indicates statistical significance at the 10 per cent level of significance, ** indicates significance at the 5 per cent level of significance, and *** indicates significance at the 1 per cent level of significance.</w:t>
      </w:r>
    </w:p>
    <w:p w14:paraId="7FB5917E" w14:textId="77777777" w:rsidR="00767353" w:rsidRDefault="00767353" w:rsidP="00767353">
      <w:pPr>
        <w:pStyle w:val="Source"/>
      </w:pPr>
      <w:r w:rsidRPr="00696447">
        <w:t xml:space="preserve">Source: </w:t>
      </w:r>
      <w:r>
        <w:t>Productivity Commission estimates based on HILDA Restricted Release 19.</w:t>
      </w:r>
    </w:p>
    <w:p w14:paraId="739B9E1C" w14:textId="77777777" w:rsidR="00767353" w:rsidRDefault="00767353" w:rsidP="00767353">
      <w:pPr>
        <w:pStyle w:val="BodyText"/>
      </w:pPr>
      <w:r>
        <w:t xml:space="preserve">Tables B.11 and B.12 present corresponding estimates from models for which the </w:t>
      </w:r>
      <m:oMath>
        <m:r>
          <w:rPr>
            <w:rFonts w:ascii="Cambria Math" w:hAnsi="Cambria Math"/>
          </w:rPr>
          <m:t>k</m:t>
        </m:r>
        <m:r>
          <m:rPr>
            <m:sty m:val="p"/>
          </m:rPr>
          <w:rPr>
            <w:rFonts w:ascii="Cambria Math" w:hAnsi="Cambria Math"/>
          </w:rPr>
          <w:noBreakHyphen/>
        </m:r>
      </m:oMath>
      <w:r>
        <w:t>tiles parameterise the lifecycle</w:t>
      </w:r>
      <w:r>
        <w:noBreakHyphen/>
        <w:t>adjusted wealth distribution. Importantly, it is no longer consistently the case that the effect size is highest among the initially poorest (this is not apparent for any of the quintile models). This implies that, to the extent that the pattern in models 1–5 reflects the true parameter values (and not statistical noise), it is likely a consequence of lifecycle distortions. Thus the conclusion reached in chapter 2 is that there is no clear evidence that the effect varies across the initial wealth distribution.</w:t>
      </w:r>
    </w:p>
    <w:p w14:paraId="340D8472" w14:textId="03319F10"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B</w:t>
      </w:r>
      <w:r w:rsidR="00B2270C">
        <w:rPr>
          <w:noProof/>
        </w:rPr>
        <w:fldChar w:fldCharType="end"/>
      </w:r>
      <w:r>
        <w:t>.</w:t>
      </w:r>
      <w:r w:rsidR="00341F5D">
        <w:t>11</w:t>
      </w:r>
      <w:r>
        <w:rPr>
          <w:noProof/>
        </w:rPr>
        <w:t xml:space="preserve"> – </w:t>
      </w:r>
      <w:r>
        <w:t>Effect of inheritance on future wealth — halves and tertile models with lifecycle</w:t>
      </w:r>
      <w:r>
        <w:noBreakHyphen/>
        <w:t>adjusted wealth</w:t>
      </w:r>
    </w:p>
    <w:p w14:paraId="059ECF07" w14:textId="77777777" w:rsidR="00767353" w:rsidRPr="00B83AD3" w:rsidRDefault="00767353" w:rsidP="00767353">
      <w:pPr>
        <w:pStyle w:val="FigureTableSubheading"/>
        <w:rPr>
          <w:rFonts w:eastAsiaTheme="minorEastAsia"/>
          <w:sz w:val="18"/>
          <w:szCs w:val="16"/>
        </w:rPr>
      </w:pPr>
      <w:r w:rsidRPr="00B83AD3">
        <w:rPr>
          <w:sz w:val="18"/>
          <w:szCs w:val="16"/>
        </w:rPr>
        <w:t xml:space="preserve">Dependent variable: </w:t>
      </w:r>
      <m:oMath>
        <m:sSub>
          <m:sSubPr>
            <m:ctrlPr>
              <w:rPr>
                <w:rFonts w:ascii="Cambria Math" w:hAnsi="Cambria Math"/>
                <w:i/>
                <w:sz w:val="18"/>
                <w:szCs w:val="16"/>
              </w:rPr>
            </m:ctrlPr>
          </m:sSubPr>
          <m:e>
            <m:r>
              <w:rPr>
                <w:rFonts w:ascii="Cambria Math" w:hAnsi="Cambria Math"/>
                <w:sz w:val="18"/>
                <w:szCs w:val="16"/>
              </w:rPr>
              <m:t>∆</m:t>
            </m:r>
          </m:e>
          <m:sub>
            <m:r>
              <w:rPr>
                <w:rFonts w:ascii="Cambria Math" w:hAnsi="Cambria Math"/>
                <w:sz w:val="18"/>
                <w:szCs w:val="16"/>
              </w:rPr>
              <m:t>t,t-y</m:t>
            </m:r>
          </m:sub>
        </m:sSub>
        <m:sSub>
          <m:sSubPr>
            <m:ctrlPr>
              <w:rPr>
                <w:rFonts w:ascii="Cambria Math" w:hAnsi="Cambria Math"/>
                <w:i/>
                <w:sz w:val="18"/>
                <w:szCs w:val="16"/>
              </w:rPr>
            </m:ctrlPr>
          </m:sSubPr>
          <m:e>
            <m:r>
              <w:rPr>
                <w:rFonts w:ascii="Cambria Math" w:hAnsi="Cambria Math"/>
                <w:sz w:val="18"/>
                <w:szCs w:val="16"/>
              </w:rPr>
              <m:t>Wealth</m:t>
            </m:r>
          </m:e>
          <m:sub>
            <m:r>
              <w:rPr>
                <w:rFonts w:ascii="Cambria Math" w:hAnsi="Cambria Math"/>
                <w:sz w:val="18"/>
                <w:szCs w:val="16"/>
              </w:rPr>
              <m:t>i</m:t>
            </m:r>
          </m:sub>
        </m:sSub>
      </m:oMath>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87"/>
        <w:gridCol w:w="1467"/>
        <w:gridCol w:w="1467"/>
        <w:gridCol w:w="1467"/>
        <w:gridCol w:w="1378"/>
        <w:gridCol w:w="1372"/>
      </w:tblGrid>
      <w:tr w:rsidR="00767353" w:rsidRPr="00A72D77" w14:paraId="2557E965" w14:textId="77777777" w:rsidTr="00604051">
        <w:trPr>
          <w:tblHeader/>
        </w:trPr>
        <w:tc>
          <w:tcPr>
            <w:tcW w:w="1290" w:type="pct"/>
            <w:tcBorders>
              <w:bottom w:val="single" w:sz="4" w:space="0" w:color="B3B3B3"/>
            </w:tcBorders>
            <w:shd w:val="clear" w:color="auto" w:fill="auto"/>
            <w:tcMar>
              <w:top w:w="28" w:type="dxa"/>
            </w:tcMar>
          </w:tcPr>
          <w:p w14:paraId="3878E934" w14:textId="77777777" w:rsidR="00767353" w:rsidRPr="00A72D77" w:rsidRDefault="00767353" w:rsidP="00604051">
            <w:pPr>
              <w:pStyle w:val="TableColumnHeading"/>
              <w:spacing w:before="45" w:after="45"/>
              <w:ind w:left="57" w:right="108"/>
              <w:jc w:val="left"/>
              <w:rPr>
                <w:rFonts w:ascii="Arial (Body)" w:hAnsi="Arial (Body)"/>
                <w:b/>
                <w:i w:val="0"/>
                <w:color w:val="265A9A"/>
              </w:rPr>
            </w:pPr>
          </w:p>
        </w:tc>
        <w:tc>
          <w:tcPr>
            <w:tcW w:w="761" w:type="pct"/>
            <w:tcBorders>
              <w:bottom w:val="single" w:sz="4" w:space="0" w:color="B3B3B3"/>
            </w:tcBorders>
            <w:shd w:val="clear" w:color="auto" w:fill="auto"/>
          </w:tcPr>
          <w:p w14:paraId="1197496F"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A72D77">
              <w:rPr>
                <w:rFonts w:ascii="Arial (Body)" w:hAnsi="Arial (Body)"/>
                <w:b/>
                <w:i w:val="0"/>
                <w:color w:val="265A9A"/>
              </w:rPr>
              <w:t xml:space="preserve"> </w:t>
            </w:r>
          </w:p>
        </w:tc>
        <w:tc>
          <w:tcPr>
            <w:tcW w:w="761" w:type="pct"/>
            <w:tcBorders>
              <w:bottom w:val="single" w:sz="4" w:space="0" w:color="B3B3B3"/>
            </w:tcBorders>
            <w:shd w:val="clear" w:color="auto" w:fill="auto"/>
            <w:tcMar>
              <w:top w:w="28" w:type="dxa"/>
            </w:tcMar>
          </w:tcPr>
          <w:p w14:paraId="73E8DD1F"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A72D77">
              <w:rPr>
                <w:rFonts w:ascii="Arial (Body)" w:hAnsi="Arial (Body)"/>
                <w:b/>
                <w:i w:val="0"/>
                <w:color w:val="265A9A"/>
              </w:rPr>
              <w:t>, includes 2015–2018 inheritances</w:t>
            </w:r>
          </w:p>
        </w:tc>
        <w:tc>
          <w:tcPr>
            <w:tcW w:w="761" w:type="pct"/>
            <w:tcBorders>
              <w:bottom w:val="single" w:sz="4" w:space="0" w:color="B3B3B3"/>
            </w:tcBorders>
            <w:shd w:val="clear" w:color="auto" w:fill="auto"/>
          </w:tcPr>
          <w:p w14:paraId="4777D823"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A72D77">
              <w:rPr>
                <w:rFonts w:ascii="Arial (Body)" w:hAnsi="Arial (Body)"/>
                <w:b/>
                <w:i w:val="0"/>
                <w:color w:val="265A9A"/>
              </w:rPr>
              <w:t>, includes people who did not inherit</w:t>
            </w:r>
          </w:p>
        </w:tc>
        <w:tc>
          <w:tcPr>
            <w:tcW w:w="715" w:type="pct"/>
            <w:tcBorders>
              <w:bottom w:val="single" w:sz="4" w:space="0" w:color="B3B3B3"/>
            </w:tcBorders>
            <w:shd w:val="clear" w:color="auto" w:fill="auto"/>
          </w:tcPr>
          <w:p w14:paraId="5BAB8384"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A72D77">
              <w:rPr>
                <w:rFonts w:ascii="Arial (Body)" w:hAnsi="Arial (Body)"/>
                <w:b/>
                <w:i w:val="0"/>
                <w:color w:val="265A9A"/>
              </w:rPr>
              <w:t xml:space="preserve"> </w:t>
            </w:r>
          </w:p>
        </w:tc>
        <w:tc>
          <w:tcPr>
            <w:tcW w:w="712" w:type="pct"/>
            <w:tcBorders>
              <w:bottom w:val="single" w:sz="4" w:space="0" w:color="B3B3B3"/>
            </w:tcBorders>
            <w:shd w:val="clear" w:color="auto" w:fill="auto"/>
            <w:tcMar>
              <w:top w:w="28" w:type="dxa"/>
            </w:tcMar>
          </w:tcPr>
          <w:p w14:paraId="5DE13FC2"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A72D77">
              <w:rPr>
                <w:rFonts w:ascii="Arial (Body)" w:hAnsi="Arial (Body)"/>
                <w:b/>
                <w:i w:val="0"/>
                <w:color w:val="265A9A"/>
              </w:rPr>
              <w:t>, includes people who did not inherit</w:t>
            </w:r>
          </w:p>
        </w:tc>
      </w:tr>
      <w:tr w:rsidR="00767353" w:rsidRPr="00A72D77" w14:paraId="2DED3F4B" w14:textId="77777777" w:rsidTr="00604051">
        <w:tc>
          <w:tcPr>
            <w:tcW w:w="1290" w:type="pct"/>
            <w:tcBorders>
              <w:top w:val="single" w:sz="4" w:space="0" w:color="B3B3B3"/>
              <w:bottom w:val="nil"/>
            </w:tcBorders>
            <w:shd w:val="clear" w:color="auto" w:fill="F1F1F1"/>
          </w:tcPr>
          <w:p w14:paraId="38A17B18" w14:textId="77777777" w:rsidR="00767353" w:rsidRPr="00A72D77" w:rsidRDefault="00767353" w:rsidP="00604051">
            <w:pPr>
              <w:pStyle w:val="TableColumnHeading"/>
              <w:spacing w:before="45" w:after="45"/>
              <w:ind w:left="57" w:right="108"/>
              <w:jc w:val="left"/>
              <w:rPr>
                <w:rFonts w:ascii="Arial (Body)" w:hAnsi="Arial (Body)"/>
                <w:b/>
                <w:i w:val="0"/>
                <w:color w:val="265A9A"/>
              </w:rPr>
            </w:pPr>
            <m:oMathPara>
              <m:oMath>
                <m:r>
                  <m:rPr>
                    <m:sty m:val="bi"/>
                  </m:rPr>
                  <w:rPr>
                    <w:rFonts w:ascii="Cambria Math" w:hAnsi="Cambria Math"/>
                    <w:color w:val="265A9A"/>
                  </w:rPr>
                  <m:t>k=2</m:t>
                </m:r>
              </m:oMath>
            </m:oMathPara>
          </w:p>
        </w:tc>
        <w:tc>
          <w:tcPr>
            <w:tcW w:w="761" w:type="pct"/>
            <w:tcBorders>
              <w:top w:val="single" w:sz="4" w:space="0" w:color="B3B3B3"/>
              <w:bottom w:val="nil"/>
            </w:tcBorders>
            <w:shd w:val="clear" w:color="auto" w:fill="F1F1F1"/>
          </w:tcPr>
          <w:p w14:paraId="25FC126D"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6a</w:t>
            </w:r>
          </w:p>
        </w:tc>
        <w:tc>
          <w:tcPr>
            <w:tcW w:w="761" w:type="pct"/>
            <w:tcBorders>
              <w:top w:val="single" w:sz="4" w:space="0" w:color="B3B3B3"/>
              <w:bottom w:val="nil"/>
            </w:tcBorders>
            <w:shd w:val="clear" w:color="auto" w:fill="F1F1F1"/>
          </w:tcPr>
          <w:p w14:paraId="525B96BE"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7a</w:t>
            </w:r>
          </w:p>
        </w:tc>
        <w:tc>
          <w:tcPr>
            <w:tcW w:w="761" w:type="pct"/>
            <w:tcBorders>
              <w:top w:val="single" w:sz="4" w:space="0" w:color="B3B3B3"/>
              <w:bottom w:val="nil"/>
            </w:tcBorders>
            <w:shd w:val="clear" w:color="auto" w:fill="F1F1F1"/>
          </w:tcPr>
          <w:p w14:paraId="1EB2EB3D"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8a</w:t>
            </w:r>
          </w:p>
        </w:tc>
        <w:tc>
          <w:tcPr>
            <w:tcW w:w="715" w:type="pct"/>
            <w:tcBorders>
              <w:top w:val="single" w:sz="4" w:space="0" w:color="B3B3B3"/>
              <w:bottom w:val="nil"/>
            </w:tcBorders>
            <w:shd w:val="clear" w:color="auto" w:fill="F1F1F1"/>
          </w:tcPr>
          <w:p w14:paraId="50F7526F"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9a</w:t>
            </w:r>
          </w:p>
        </w:tc>
        <w:tc>
          <w:tcPr>
            <w:tcW w:w="712" w:type="pct"/>
            <w:tcBorders>
              <w:top w:val="single" w:sz="4" w:space="0" w:color="B3B3B3"/>
              <w:bottom w:val="nil"/>
            </w:tcBorders>
            <w:shd w:val="clear" w:color="auto" w:fill="F1F1F1"/>
          </w:tcPr>
          <w:p w14:paraId="3B224CE8"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10a</w:t>
            </w:r>
          </w:p>
        </w:tc>
      </w:tr>
      <w:tr w:rsidR="00767353" w:rsidRPr="00A72D77" w14:paraId="0DAB0DBF" w14:textId="77777777" w:rsidTr="00604051">
        <w:tc>
          <w:tcPr>
            <w:tcW w:w="1290" w:type="pct"/>
            <w:tcBorders>
              <w:top w:val="nil"/>
              <w:bottom w:val="nil"/>
            </w:tcBorders>
            <w:shd w:val="clear" w:color="auto" w:fill="auto"/>
          </w:tcPr>
          <w:p w14:paraId="01A1E004"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1</m:t>
                    </m:r>
                  </m:sub>
                </m:sSub>
              </m:oMath>
            </m:oMathPara>
          </w:p>
        </w:tc>
        <w:tc>
          <w:tcPr>
            <w:tcW w:w="761" w:type="pct"/>
            <w:tcBorders>
              <w:top w:val="nil"/>
              <w:bottom w:val="nil"/>
            </w:tcBorders>
            <w:shd w:val="clear" w:color="auto" w:fill="auto"/>
          </w:tcPr>
          <w:p w14:paraId="3A1B9CAC"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1.478***</w:t>
            </w:r>
          </w:p>
        </w:tc>
        <w:tc>
          <w:tcPr>
            <w:tcW w:w="761" w:type="pct"/>
            <w:tcBorders>
              <w:top w:val="nil"/>
              <w:bottom w:val="nil"/>
            </w:tcBorders>
            <w:shd w:val="clear" w:color="auto" w:fill="auto"/>
          </w:tcPr>
          <w:p w14:paraId="50563432"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0.779**</w:t>
            </w:r>
          </w:p>
        </w:tc>
        <w:tc>
          <w:tcPr>
            <w:tcW w:w="761" w:type="pct"/>
            <w:tcBorders>
              <w:top w:val="nil"/>
              <w:bottom w:val="nil"/>
            </w:tcBorders>
            <w:shd w:val="clear" w:color="auto" w:fill="auto"/>
          </w:tcPr>
          <w:p w14:paraId="161D52EF"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1.354***</w:t>
            </w:r>
          </w:p>
        </w:tc>
        <w:tc>
          <w:tcPr>
            <w:tcW w:w="715" w:type="pct"/>
            <w:tcBorders>
              <w:top w:val="nil"/>
              <w:bottom w:val="nil"/>
            </w:tcBorders>
            <w:shd w:val="clear" w:color="auto" w:fill="auto"/>
          </w:tcPr>
          <w:p w14:paraId="7E035C75"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1.213**</w:t>
            </w:r>
          </w:p>
        </w:tc>
        <w:tc>
          <w:tcPr>
            <w:tcW w:w="712" w:type="pct"/>
            <w:tcBorders>
              <w:top w:val="nil"/>
              <w:bottom w:val="nil"/>
            </w:tcBorders>
            <w:shd w:val="clear" w:color="auto" w:fill="auto"/>
          </w:tcPr>
          <w:p w14:paraId="61FEF933"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1.213**</w:t>
            </w:r>
          </w:p>
        </w:tc>
      </w:tr>
      <w:tr w:rsidR="00767353" w:rsidRPr="00A72D77" w14:paraId="333EC26B" w14:textId="77777777" w:rsidTr="00604051">
        <w:tc>
          <w:tcPr>
            <w:tcW w:w="1290" w:type="pct"/>
            <w:tcBorders>
              <w:bottom w:val="nil"/>
            </w:tcBorders>
            <w:shd w:val="clear" w:color="auto" w:fill="F1F1F1"/>
          </w:tcPr>
          <w:p w14:paraId="763B014B"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1" w:type="pct"/>
            <w:tcBorders>
              <w:bottom w:val="nil"/>
            </w:tcBorders>
            <w:shd w:val="clear" w:color="auto" w:fill="F1F1F1"/>
          </w:tcPr>
          <w:p w14:paraId="50ADA131"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(0.346)</w:t>
            </w:r>
          </w:p>
        </w:tc>
        <w:tc>
          <w:tcPr>
            <w:tcW w:w="761" w:type="pct"/>
            <w:tcBorders>
              <w:bottom w:val="nil"/>
            </w:tcBorders>
            <w:shd w:val="clear" w:color="auto" w:fill="F1F1F1"/>
          </w:tcPr>
          <w:p w14:paraId="300DB3E3"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(0.328)</w:t>
            </w:r>
          </w:p>
        </w:tc>
        <w:tc>
          <w:tcPr>
            <w:tcW w:w="761" w:type="pct"/>
            <w:tcBorders>
              <w:bottom w:val="nil"/>
            </w:tcBorders>
            <w:shd w:val="clear" w:color="auto" w:fill="F1F1F1"/>
          </w:tcPr>
          <w:p w14:paraId="18BAD233"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(0.317)</w:t>
            </w:r>
          </w:p>
        </w:tc>
        <w:tc>
          <w:tcPr>
            <w:tcW w:w="715" w:type="pct"/>
            <w:tcBorders>
              <w:bottom w:val="nil"/>
            </w:tcBorders>
            <w:shd w:val="clear" w:color="auto" w:fill="F1F1F1"/>
          </w:tcPr>
          <w:p w14:paraId="521EB3FC"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(0.597)</w:t>
            </w:r>
          </w:p>
        </w:tc>
        <w:tc>
          <w:tcPr>
            <w:tcW w:w="712" w:type="pct"/>
            <w:tcBorders>
              <w:bottom w:val="nil"/>
            </w:tcBorders>
            <w:shd w:val="clear" w:color="auto" w:fill="F1F1F1"/>
          </w:tcPr>
          <w:p w14:paraId="7EEBB2FE"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(0.531)</w:t>
            </w:r>
          </w:p>
        </w:tc>
      </w:tr>
      <w:tr w:rsidR="00767353" w:rsidRPr="00A72D77" w14:paraId="4036594A" w14:textId="77777777" w:rsidTr="00604051">
        <w:tc>
          <w:tcPr>
            <w:tcW w:w="1290" w:type="pct"/>
            <w:tcBorders>
              <w:top w:val="nil"/>
              <w:bottom w:val="nil"/>
            </w:tcBorders>
            <w:shd w:val="clear" w:color="auto" w:fill="auto"/>
          </w:tcPr>
          <w:p w14:paraId="09B55E5D"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2</m:t>
                    </m:r>
                  </m:sub>
                </m:sSub>
              </m:oMath>
            </m:oMathPara>
          </w:p>
        </w:tc>
        <w:tc>
          <w:tcPr>
            <w:tcW w:w="761" w:type="pct"/>
            <w:tcBorders>
              <w:top w:val="nil"/>
              <w:bottom w:val="nil"/>
            </w:tcBorders>
            <w:shd w:val="clear" w:color="auto" w:fill="auto"/>
          </w:tcPr>
          <w:p w14:paraId="0DF1C0F2"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1.081***</w:t>
            </w:r>
          </w:p>
        </w:tc>
        <w:tc>
          <w:tcPr>
            <w:tcW w:w="761" w:type="pct"/>
            <w:tcBorders>
              <w:top w:val="nil"/>
              <w:bottom w:val="nil"/>
            </w:tcBorders>
            <w:shd w:val="clear" w:color="auto" w:fill="auto"/>
          </w:tcPr>
          <w:p w14:paraId="0E83CF5F"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1.068***</w:t>
            </w:r>
          </w:p>
        </w:tc>
        <w:tc>
          <w:tcPr>
            <w:tcW w:w="761" w:type="pct"/>
            <w:tcBorders>
              <w:top w:val="nil"/>
              <w:bottom w:val="nil"/>
            </w:tcBorders>
            <w:shd w:val="clear" w:color="auto" w:fill="auto"/>
          </w:tcPr>
          <w:p w14:paraId="71B71F9D"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1.050***</w:t>
            </w:r>
          </w:p>
        </w:tc>
        <w:tc>
          <w:tcPr>
            <w:tcW w:w="715" w:type="pct"/>
            <w:tcBorders>
              <w:top w:val="nil"/>
              <w:bottom w:val="nil"/>
            </w:tcBorders>
            <w:shd w:val="clear" w:color="auto" w:fill="auto"/>
          </w:tcPr>
          <w:p w14:paraId="1944BB68"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1.164***</w:t>
            </w:r>
          </w:p>
        </w:tc>
        <w:tc>
          <w:tcPr>
            <w:tcW w:w="712" w:type="pct"/>
            <w:tcBorders>
              <w:top w:val="nil"/>
              <w:bottom w:val="nil"/>
            </w:tcBorders>
            <w:shd w:val="clear" w:color="auto" w:fill="auto"/>
          </w:tcPr>
          <w:p w14:paraId="7CD63183"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1.204***</w:t>
            </w:r>
          </w:p>
        </w:tc>
      </w:tr>
      <w:tr w:rsidR="00767353" w:rsidRPr="00A72D77" w14:paraId="08126150" w14:textId="77777777" w:rsidTr="00604051">
        <w:tc>
          <w:tcPr>
            <w:tcW w:w="1290" w:type="pct"/>
            <w:tcBorders>
              <w:bottom w:val="nil"/>
            </w:tcBorders>
            <w:shd w:val="clear" w:color="auto" w:fill="F1F1F1"/>
          </w:tcPr>
          <w:p w14:paraId="000C388A"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1" w:type="pct"/>
            <w:tcBorders>
              <w:bottom w:val="nil"/>
            </w:tcBorders>
            <w:shd w:val="clear" w:color="auto" w:fill="F1F1F1"/>
          </w:tcPr>
          <w:p w14:paraId="6FE1B2A3"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(0.221)</w:t>
            </w:r>
          </w:p>
        </w:tc>
        <w:tc>
          <w:tcPr>
            <w:tcW w:w="761" w:type="pct"/>
            <w:tcBorders>
              <w:bottom w:val="nil"/>
            </w:tcBorders>
            <w:shd w:val="clear" w:color="auto" w:fill="F1F1F1"/>
          </w:tcPr>
          <w:p w14:paraId="408F135F"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(0.200)</w:t>
            </w:r>
          </w:p>
        </w:tc>
        <w:tc>
          <w:tcPr>
            <w:tcW w:w="761" w:type="pct"/>
            <w:tcBorders>
              <w:bottom w:val="nil"/>
            </w:tcBorders>
            <w:shd w:val="clear" w:color="auto" w:fill="F1F1F1"/>
          </w:tcPr>
          <w:p w14:paraId="4BE70A3D"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(0.209)</w:t>
            </w:r>
          </w:p>
        </w:tc>
        <w:tc>
          <w:tcPr>
            <w:tcW w:w="715" w:type="pct"/>
            <w:tcBorders>
              <w:bottom w:val="nil"/>
            </w:tcBorders>
            <w:shd w:val="clear" w:color="auto" w:fill="F1F1F1"/>
          </w:tcPr>
          <w:p w14:paraId="7980A11F"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(0.311)</w:t>
            </w:r>
          </w:p>
        </w:tc>
        <w:tc>
          <w:tcPr>
            <w:tcW w:w="712" w:type="pct"/>
            <w:tcBorders>
              <w:bottom w:val="nil"/>
            </w:tcBorders>
            <w:shd w:val="clear" w:color="auto" w:fill="F1F1F1"/>
          </w:tcPr>
          <w:p w14:paraId="56B20FBB"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(0.325)</w:t>
            </w:r>
          </w:p>
        </w:tc>
      </w:tr>
      <w:tr w:rsidR="00767353" w:rsidRPr="00A72D77" w14:paraId="25DD1CBB" w14:textId="77777777" w:rsidTr="00604051">
        <w:tc>
          <w:tcPr>
            <w:tcW w:w="1290" w:type="pct"/>
            <w:tcBorders>
              <w:top w:val="nil"/>
              <w:bottom w:val="nil"/>
            </w:tcBorders>
            <w:shd w:val="clear" w:color="auto" w:fill="auto"/>
          </w:tcPr>
          <w:p w14:paraId="442BEE83" w14:textId="77777777" w:rsidR="00767353" w:rsidRPr="00A72D77" w:rsidRDefault="00767353" w:rsidP="00604051">
            <w:pPr>
              <w:pStyle w:val="TableBodyText"/>
              <w:spacing w:before="45" w:after="45"/>
              <w:ind w:left="57" w:right="108"/>
              <w:jc w:val="left"/>
              <w:rPr>
                <w:rFonts w:ascii="Arial (Body)" w:hAnsi="Arial (Body)"/>
                <w:b/>
                <w:color w:val="265A9A"/>
              </w:rPr>
            </w:pPr>
            <w:r w:rsidRPr="00A72D77">
              <w:rPr>
                <w:rFonts w:ascii="Arial (Body)" w:hAnsi="Arial (Body)"/>
                <w:b/>
                <w:color w:val="265A9A"/>
              </w:rPr>
              <w:t xml:space="preserve">Test </w:t>
            </w:r>
            <m:oMath>
              <m:sSub>
                <m:sSubPr>
                  <m:ctrlPr>
                    <w:rPr>
                      <w:rFonts w:ascii="Cambria Math" w:hAnsi="Cambria Math"/>
                      <w:b/>
                      <w:color w:val="265A9A"/>
                    </w:rPr>
                  </m:ctrlPr>
                </m:sSubPr>
                <m:e>
                  <m:r>
                    <m:rPr>
                      <m:sty m:val="bi"/>
                    </m:rPr>
                    <w:rPr>
                      <w:rFonts w:ascii="Cambria Math" w:hAnsi="Cambria Math"/>
                      <w:color w:val="265A9A"/>
                    </w:rPr>
                    <m:t>H</m:t>
                  </m:r>
                </m:e>
                <m:sub>
                  <m:r>
                    <m:rPr>
                      <m:sty m:val="b"/>
                    </m:rPr>
                    <w:rPr>
                      <w:rFonts w:ascii="Cambria Math" w:hAnsi="Cambria Math"/>
                      <w:color w:val="265A9A"/>
                    </w:rPr>
                    <m:t>0</m:t>
                  </m:r>
                </m:sub>
              </m:sSub>
              <m:r>
                <m:rPr>
                  <m:sty m:val="b"/>
                </m:rPr>
                <w:rPr>
                  <w:rFonts w:ascii="Cambria Math" w:hAnsi="Cambria Math"/>
                  <w:color w:val="265A9A"/>
                </w:rPr>
                <m:t>:</m:t>
              </m:r>
            </m:oMath>
            <w:r w:rsidRPr="00A72D77">
              <w:rPr>
                <w:rFonts w:ascii="Arial (Body)" w:hAnsi="Arial (Body)"/>
                <w:b/>
                <w:color w:val="265A9A"/>
              </w:rPr>
              <w:br/>
            </w: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1</m:t>
                    </m:r>
                  </m:sub>
                </m:sSub>
                <m:r>
                  <m:rPr>
                    <m:sty m:val="b"/>
                  </m:rPr>
                  <w:rPr>
                    <w:rFonts w:ascii="Cambria Math" w:hAnsi="Cambria Math"/>
                    <w:color w:val="265A9A"/>
                  </w:rPr>
                  <m:t>=</m:t>
                </m:r>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2</m:t>
                    </m:r>
                  </m:sub>
                </m:sSub>
              </m:oMath>
            </m:oMathPara>
          </w:p>
        </w:tc>
        <w:tc>
          <w:tcPr>
            <w:tcW w:w="761" w:type="pct"/>
            <w:tcBorders>
              <w:top w:val="nil"/>
              <w:bottom w:val="nil"/>
            </w:tcBorders>
            <w:shd w:val="clear" w:color="auto" w:fill="auto"/>
          </w:tcPr>
          <w:p w14:paraId="6469F71F" w14:textId="77777777" w:rsidR="00767353" w:rsidRPr="00A72D77" w:rsidRDefault="00767353" w:rsidP="00604051">
            <w:pPr>
              <w:pStyle w:val="TableBodyText"/>
              <w:spacing w:before="45" w:after="45"/>
              <w:ind w:left="57" w:right="-283"/>
              <w:jc w:val="left"/>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=0.3019</m:t>
                </m:r>
              </m:oMath>
            </m:oMathPara>
          </w:p>
        </w:tc>
        <w:tc>
          <w:tcPr>
            <w:tcW w:w="761" w:type="pct"/>
            <w:tcBorders>
              <w:top w:val="nil"/>
              <w:bottom w:val="nil"/>
            </w:tcBorders>
            <w:shd w:val="clear" w:color="auto" w:fill="auto"/>
          </w:tcPr>
          <w:p w14:paraId="503A50CE" w14:textId="77777777" w:rsidR="00767353" w:rsidRPr="00A72D77" w:rsidRDefault="00767353" w:rsidP="00604051">
            <w:pPr>
              <w:pStyle w:val="TableBodyText"/>
              <w:spacing w:before="45" w:after="45"/>
              <w:ind w:left="57" w:right="-283"/>
              <w:jc w:val="left"/>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=0.4293</m:t>
                </m:r>
              </m:oMath>
            </m:oMathPara>
          </w:p>
        </w:tc>
        <w:tc>
          <w:tcPr>
            <w:tcW w:w="761" w:type="pct"/>
            <w:tcBorders>
              <w:top w:val="nil"/>
              <w:bottom w:val="nil"/>
            </w:tcBorders>
            <w:shd w:val="clear" w:color="auto" w:fill="auto"/>
          </w:tcPr>
          <w:p w14:paraId="683AC1EE" w14:textId="77777777" w:rsidR="00767353" w:rsidRPr="00A72D77" w:rsidRDefault="00767353" w:rsidP="00604051">
            <w:pPr>
              <w:pStyle w:val="TableBodyText"/>
              <w:spacing w:before="45" w:after="45"/>
              <w:ind w:left="57" w:right="-283"/>
              <w:jc w:val="left"/>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=0.4208</m:t>
                </m:r>
              </m:oMath>
            </m:oMathPara>
          </w:p>
        </w:tc>
        <w:tc>
          <w:tcPr>
            <w:tcW w:w="715" w:type="pct"/>
            <w:tcBorders>
              <w:top w:val="nil"/>
              <w:bottom w:val="nil"/>
            </w:tcBorders>
            <w:shd w:val="clear" w:color="auto" w:fill="auto"/>
          </w:tcPr>
          <w:p w14:paraId="312EB229" w14:textId="77777777" w:rsidR="00767353" w:rsidRPr="00A72D77" w:rsidRDefault="00767353" w:rsidP="00604051">
            <w:pPr>
              <w:pStyle w:val="TableBodyText"/>
              <w:spacing w:before="45" w:after="45"/>
              <w:ind w:left="57" w:right="-283"/>
              <w:jc w:val="left"/>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=0.9395</m:t>
                </m:r>
              </m:oMath>
            </m:oMathPara>
          </w:p>
        </w:tc>
        <w:tc>
          <w:tcPr>
            <w:tcW w:w="712" w:type="pct"/>
            <w:tcBorders>
              <w:top w:val="nil"/>
              <w:bottom w:val="nil"/>
            </w:tcBorders>
            <w:shd w:val="clear" w:color="auto" w:fill="auto"/>
          </w:tcPr>
          <w:p w14:paraId="67759B8B" w14:textId="77777777" w:rsidR="00767353" w:rsidRPr="00A72D77" w:rsidRDefault="00767353" w:rsidP="00604051">
            <w:pPr>
              <w:pStyle w:val="TableBodyText"/>
              <w:spacing w:before="45" w:after="45"/>
              <w:ind w:left="57" w:right="-283"/>
              <w:jc w:val="left"/>
              <w:rPr>
                <w:rFonts w:ascii="Arial (Body)" w:hAnsi="Arial (Body)"/>
                <w:color w:val="000000"/>
              </w:rPr>
            </w:pPr>
            <m:oMathPara>
              <m:oMath>
                <m:r>
                  <w:rPr>
                    <w:rFonts w:ascii="Cambria Math" w:hAnsi="Cambria Math"/>
                    <w:color w:val="000000"/>
                  </w:rPr>
                  <m:t>p</m:t>
                </m:r>
                <m:r>
                  <m:rPr>
                    <m:sty m:val="p"/>
                  </m:rPr>
                  <w:rPr>
                    <w:rFonts w:ascii="Cambria Math" w:hAnsi="Cambria Math"/>
                    <w:color w:val="000000"/>
                  </w:rPr>
                  <m:t>=0.9891</m:t>
                </m:r>
              </m:oMath>
            </m:oMathPara>
          </w:p>
        </w:tc>
      </w:tr>
      <w:tr w:rsidR="00767353" w:rsidRPr="00A72D77" w14:paraId="4F735A06" w14:textId="77777777" w:rsidTr="00604051">
        <w:tc>
          <w:tcPr>
            <w:tcW w:w="1290" w:type="pct"/>
            <w:tcBorders>
              <w:bottom w:val="nil"/>
            </w:tcBorders>
            <w:shd w:val="clear" w:color="auto" w:fill="F1F1F1"/>
          </w:tcPr>
          <w:p w14:paraId="2EA407BA" w14:textId="77777777" w:rsidR="00767353" w:rsidRPr="00A72D77" w:rsidRDefault="00767353" w:rsidP="00604051">
            <w:pPr>
              <w:pStyle w:val="TableColumnHeading"/>
              <w:spacing w:before="45" w:after="45"/>
              <w:ind w:left="57" w:right="108"/>
              <w:jc w:val="left"/>
              <w:rPr>
                <w:rFonts w:ascii="Arial (Body)" w:hAnsi="Arial (Body)"/>
                <w:b/>
                <w:i w:val="0"/>
                <w:color w:val="265A9A"/>
              </w:rPr>
            </w:pPr>
            <m:oMathPara>
              <m:oMath>
                <m:r>
                  <m:rPr>
                    <m:sty m:val="bi"/>
                  </m:rPr>
                  <w:rPr>
                    <w:rFonts w:ascii="Cambria Math" w:hAnsi="Cambria Math"/>
                    <w:color w:val="265A9A"/>
                  </w:rPr>
                  <m:t>k=3</m:t>
                </m:r>
              </m:oMath>
            </m:oMathPara>
          </w:p>
        </w:tc>
        <w:tc>
          <w:tcPr>
            <w:tcW w:w="761" w:type="pct"/>
            <w:tcBorders>
              <w:bottom w:val="nil"/>
            </w:tcBorders>
            <w:shd w:val="clear" w:color="auto" w:fill="F1F1F1"/>
          </w:tcPr>
          <w:p w14:paraId="65C94395"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6b</w:t>
            </w:r>
          </w:p>
        </w:tc>
        <w:tc>
          <w:tcPr>
            <w:tcW w:w="761" w:type="pct"/>
            <w:tcBorders>
              <w:bottom w:val="nil"/>
            </w:tcBorders>
            <w:shd w:val="clear" w:color="auto" w:fill="F1F1F1"/>
          </w:tcPr>
          <w:p w14:paraId="7532A33C"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7b</w:t>
            </w:r>
          </w:p>
        </w:tc>
        <w:tc>
          <w:tcPr>
            <w:tcW w:w="761" w:type="pct"/>
            <w:tcBorders>
              <w:bottom w:val="nil"/>
            </w:tcBorders>
            <w:shd w:val="clear" w:color="auto" w:fill="F1F1F1"/>
          </w:tcPr>
          <w:p w14:paraId="32AD3B85"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8b</w:t>
            </w:r>
          </w:p>
        </w:tc>
        <w:tc>
          <w:tcPr>
            <w:tcW w:w="715" w:type="pct"/>
            <w:tcBorders>
              <w:bottom w:val="nil"/>
            </w:tcBorders>
            <w:shd w:val="clear" w:color="auto" w:fill="F1F1F1"/>
          </w:tcPr>
          <w:p w14:paraId="3AD12792"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9b</w:t>
            </w:r>
          </w:p>
        </w:tc>
        <w:tc>
          <w:tcPr>
            <w:tcW w:w="712" w:type="pct"/>
            <w:tcBorders>
              <w:bottom w:val="nil"/>
            </w:tcBorders>
            <w:shd w:val="clear" w:color="auto" w:fill="F1F1F1"/>
          </w:tcPr>
          <w:p w14:paraId="04E7E61B"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10b</w:t>
            </w:r>
          </w:p>
        </w:tc>
      </w:tr>
      <w:tr w:rsidR="00767353" w:rsidRPr="00A72D77" w14:paraId="2127E053" w14:textId="77777777" w:rsidTr="00604051">
        <w:tc>
          <w:tcPr>
            <w:tcW w:w="1290" w:type="pct"/>
            <w:tcBorders>
              <w:top w:val="nil"/>
              <w:bottom w:val="nil"/>
            </w:tcBorders>
            <w:shd w:val="clear" w:color="auto" w:fill="auto"/>
          </w:tcPr>
          <w:p w14:paraId="17516535"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1</m:t>
                    </m:r>
                  </m:sub>
                </m:sSub>
              </m:oMath>
            </m:oMathPara>
          </w:p>
        </w:tc>
        <w:tc>
          <w:tcPr>
            <w:tcW w:w="761" w:type="pct"/>
            <w:tcBorders>
              <w:top w:val="nil"/>
              <w:bottom w:val="nil"/>
            </w:tcBorders>
            <w:shd w:val="clear" w:color="auto" w:fill="auto"/>
          </w:tcPr>
          <w:p w14:paraId="28A4719B"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1.683***</w:t>
            </w:r>
          </w:p>
        </w:tc>
        <w:tc>
          <w:tcPr>
            <w:tcW w:w="761" w:type="pct"/>
            <w:tcBorders>
              <w:top w:val="nil"/>
              <w:bottom w:val="nil"/>
            </w:tcBorders>
            <w:shd w:val="clear" w:color="auto" w:fill="auto"/>
          </w:tcPr>
          <w:p w14:paraId="47A7087F"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1.544***</w:t>
            </w:r>
          </w:p>
        </w:tc>
        <w:tc>
          <w:tcPr>
            <w:tcW w:w="761" w:type="pct"/>
            <w:tcBorders>
              <w:top w:val="nil"/>
              <w:bottom w:val="nil"/>
            </w:tcBorders>
            <w:shd w:val="clear" w:color="auto" w:fill="auto"/>
          </w:tcPr>
          <w:p w14:paraId="6DFDCB06"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1.593***</w:t>
            </w:r>
          </w:p>
        </w:tc>
        <w:tc>
          <w:tcPr>
            <w:tcW w:w="715" w:type="pct"/>
            <w:tcBorders>
              <w:top w:val="nil"/>
              <w:bottom w:val="nil"/>
            </w:tcBorders>
            <w:shd w:val="clear" w:color="auto" w:fill="auto"/>
          </w:tcPr>
          <w:p w14:paraId="3C628BAF"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1.570**</w:t>
            </w:r>
          </w:p>
        </w:tc>
        <w:tc>
          <w:tcPr>
            <w:tcW w:w="712" w:type="pct"/>
            <w:tcBorders>
              <w:top w:val="nil"/>
              <w:bottom w:val="nil"/>
            </w:tcBorders>
            <w:shd w:val="clear" w:color="auto" w:fill="auto"/>
          </w:tcPr>
          <w:p w14:paraId="2B957EA2"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1.604**</w:t>
            </w:r>
          </w:p>
        </w:tc>
      </w:tr>
      <w:tr w:rsidR="00767353" w:rsidRPr="00A72D77" w14:paraId="043F223F" w14:textId="77777777" w:rsidTr="00604051">
        <w:tc>
          <w:tcPr>
            <w:tcW w:w="1290" w:type="pct"/>
            <w:tcBorders>
              <w:bottom w:val="nil"/>
            </w:tcBorders>
            <w:shd w:val="clear" w:color="auto" w:fill="F1F1F1"/>
          </w:tcPr>
          <w:p w14:paraId="11D590F8"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1" w:type="pct"/>
            <w:tcBorders>
              <w:bottom w:val="nil"/>
            </w:tcBorders>
            <w:shd w:val="clear" w:color="auto" w:fill="F1F1F1"/>
          </w:tcPr>
          <w:p w14:paraId="49273224"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(0.421)</w:t>
            </w:r>
          </w:p>
        </w:tc>
        <w:tc>
          <w:tcPr>
            <w:tcW w:w="761" w:type="pct"/>
            <w:tcBorders>
              <w:bottom w:val="nil"/>
            </w:tcBorders>
            <w:shd w:val="clear" w:color="auto" w:fill="F1F1F1"/>
          </w:tcPr>
          <w:p w14:paraId="7FBB63D2"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(0.364)</w:t>
            </w:r>
          </w:p>
        </w:tc>
        <w:tc>
          <w:tcPr>
            <w:tcW w:w="761" w:type="pct"/>
            <w:tcBorders>
              <w:bottom w:val="nil"/>
            </w:tcBorders>
            <w:shd w:val="clear" w:color="auto" w:fill="F1F1F1"/>
          </w:tcPr>
          <w:p w14:paraId="52F159D6"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(0.387)</w:t>
            </w:r>
          </w:p>
        </w:tc>
        <w:tc>
          <w:tcPr>
            <w:tcW w:w="715" w:type="pct"/>
            <w:tcBorders>
              <w:bottom w:val="nil"/>
            </w:tcBorders>
            <w:shd w:val="clear" w:color="auto" w:fill="F1F1F1"/>
          </w:tcPr>
          <w:p w14:paraId="10104BF9"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(0.691)</w:t>
            </w:r>
          </w:p>
        </w:tc>
        <w:tc>
          <w:tcPr>
            <w:tcW w:w="712" w:type="pct"/>
            <w:tcBorders>
              <w:bottom w:val="nil"/>
            </w:tcBorders>
            <w:shd w:val="clear" w:color="auto" w:fill="F1F1F1"/>
          </w:tcPr>
          <w:p w14:paraId="5C3F5224"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(0.624)</w:t>
            </w:r>
          </w:p>
        </w:tc>
      </w:tr>
      <w:tr w:rsidR="00767353" w:rsidRPr="00A72D77" w14:paraId="5A0EBDB1" w14:textId="77777777" w:rsidTr="00604051">
        <w:tc>
          <w:tcPr>
            <w:tcW w:w="1290" w:type="pct"/>
            <w:tcBorders>
              <w:top w:val="nil"/>
              <w:bottom w:val="nil"/>
            </w:tcBorders>
            <w:shd w:val="clear" w:color="auto" w:fill="auto"/>
          </w:tcPr>
          <w:p w14:paraId="05118556"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2</m:t>
                    </m:r>
                  </m:sub>
                </m:sSub>
              </m:oMath>
            </m:oMathPara>
          </w:p>
        </w:tc>
        <w:tc>
          <w:tcPr>
            <w:tcW w:w="761" w:type="pct"/>
            <w:tcBorders>
              <w:top w:val="nil"/>
              <w:bottom w:val="nil"/>
            </w:tcBorders>
            <w:shd w:val="clear" w:color="auto" w:fill="auto"/>
          </w:tcPr>
          <w:p w14:paraId="0C34DB6F"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1.146***</w:t>
            </w:r>
          </w:p>
        </w:tc>
        <w:tc>
          <w:tcPr>
            <w:tcW w:w="761" w:type="pct"/>
            <w:tcBorders>
              <w:top w:val="nil"/>
              <w:bottom w:val="nil"/>
            </w:tcBorders>
            <w:shd w:val="clear" w:color="auto" w:fill="auto"/>
          </w:tcPr>
          <w:p w14:paraId="62D2E4B9"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0.606***</w:t>
            </w:r>
          </w:p>
        </w:tc>
        <w:tc>
          <w:tcPr>
            <w:tcW w:w="761" w:type="pct"/>
            <w:tcBorders>
              <w:top w:val="nil"/>
              <w:bottom w:val="nil"/>
            </w:tcBorders>
            <w:shd w:val="clear" w:color="auto" w:fill="auto"/>
          </w:tcPr>
          <w:p w14:paraId="4F9D7E46"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1.067***</w:t>
            </w:r>
          </w:p>
        </w:tc>
        <w:tc>
          <w:tcPr>
            <w:tcW w:w="715" w:type="pct"/>
            <w:tcBorders>
              <w:top w:val="nil"/>
              <w:bottom w:val="nil"/>
            </w:tcBorders>
            <w:shd w:val="clear" w:color="auto" w:fill="auto"/>
          </w:tcPr>
          <w:p w14:paraId="680220F0"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0.464*</w:t>
            </w:r>
          </w:p>
        </w:tc>
        <w:tc>
          <w:tcPr>
            <w:tcW w:w="712" w:type="pct"/>
            <w:tcBorders>
              <w:top w:val="nil"/>
              <w:bottom w:val="nil"/>
            </w:tcBorders>
            <w:shd w:val="clear" w:color="auto" w:fill="auto"/>
          </w:tcPr>
          <w:p w14:paraId="34B68B67"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0.577**</w:t>
            </w:r>
          </w:p>
        </w:tc>
      </w:tr>
      <w:tr w:rsidR="00767353" w:rsidRPr="00A72D77" w14:paraId="0B1B52CE" w14:textId="77777777" w:rsidTr="00604051">
        <w:tc>
          <w:tcPr>
            <w:tcW w:w="1290" w:type="pct"/>
            <w:tcBorders>
              <w:bottom w:val="nil"/>
            </w:tcBorders>
            <w:shd w:val="clear" w:color="auto" w:fill="F1F1F1"/>
          </w:tcPr>
          <w:p w14:paraId="02900FE3"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1" w:type="pct"/>
            <w:tcBorders>
              <w:bottom w:val="nil"/>
            </w:tcBorders>
            <w:shd w:val="clear" w:color="auto" w:fill="F1F1F1"/>
          </w:tcPr>
          <w:p w14:paraId="6BBE301C"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(0.148)</w:t>
            </w:r>
          </w:p>
        </w:tc>
        <w:tc>
          <w:tcPr>
            <w:tcW w:w="761" w:type="pct"/>
            <w:tcBorders>
              <w:bottom w:val="nil"/>
            </w:tcBorders>
            <w:shd w:val="clear" w:color="auto" w:fill="F1F1F1"/>
          </w:tcPr>
          <w:p w14:paraId="7A48884C"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(0.189)</w:t>
            </w:r>
          </w:p>
        </w:tc>
        <w:tc>
          <w:tcPr>
            <w:tcW w:w="761" w:type="pct"/>
            <w:tcBorders>
              <w:bottom w:val="nil"/>
            </w:tcBorders>
            <w:shd w:val="clear" w:color="auto" w:fill="F1F1F1"/>
          </w:tcPr>
          <w:p w14:paraId="4BA1D28E"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(0.115)</w:t>
            </w:r>
          </w:p>
        </w:tc>
        <w:tc>
          <w:tcPr>
            <w:tcW w:w="715" w:type="pct"/>
            <w:tcBorders>
              <w:bottom w:val="nil"/>
            </w:tcBorders>
            <w:shd w:val="clear" w:color="auto" w:fill="F1F1F1"/>
          </w:tcPr>
          <w:p w14:paraId="1A1770AC"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(0.278)</w:t>
            </w:r>
          </w:p>
        </w:tc>
        <w:tc>
          <w:tcPr>
            <w:tcW w:w="712" w:type="pct"/>
            <w:tcBorders>
              <w:bottom w:val="nil"/>
            </w:tcBorders>
            <w:shd w:val="clear" w:color="auto" w:fill="F1F1F1"/>
          </w:tcPr>
          <w:p w14:paraId="104A3D38"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(0.256)</w:t>
            </w:r>
          </w:p>
        </w:tc>
      </w:tr>
      <w:tr w:rsidR="00767353" w:rsidRPr="00A72D77" w14:paraId="15DF6A2E" w14:textId="77777777" w:rsidTr="00604051">
        <w:tc>
          <w:tcPr>
            <w:tcW w:w="1290" w:type="pct"/>
            <w:tcBorders>
              <w:top w:val="nil"/>
              <w:bottom w:val="nil"/>
            </w:tcBorders>
            <w:shd w:val="clear" w:color="auto" w:fill="auto"/>
          </w:tcPr>
          <w:p w14:paraId="32446AED"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3</m:t>
                    </m:r>
                  </m:sub>
                </m:sSub>
              </m:oMath>
            </m:oMathPara>
          </w:p>
        </w:tc>
        <w:tc>
          <w:tcPr>
            <w:tcW w:w="761" w:type="pct"/>
            <w:tcBorders>
              <w:top w:val="nil"/>
              <w:bottom w:val="nil"/>
            </w:tcBorders>
            <w:shd w:val="clear" w:color="auto" w:fill="auto"/>
          </w:tcPr>
          <w:p w14:paraId="05C6C185"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1.072***</w:t>
            </w:r>
          </w:p>
        </w:tc>
        <w:tc>
          <w:tcPr>
            <w:tcW w:w="761" w:type="pct"/>
            <w:tcBorders>
              <w:top w:val="nil"/>
              <w:bottom w:val="nil"/>
            </w:tcBorders>
            <w:shd w:val="clear" w:color="auto" w:fill="auto"/>
          </w:tcPr>
          <w:p w14:paraId="34FAC05E"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1.083***</w:t>
            </w:r>
          </w:p>
        </w:tc>
        <w:tc>
          <w:tcPr>
            <w:tcW w:w="761" w:type="pct"/>
            <w:tcBorders>
              <w:top w:val="nil"/>
              <w:bottom w:val="nil"/>
            </w:tcBorders>
            <w:shd w:val="clear" w:color="auto" w:fill="auto"/>
          </w:tcPr>
          <w:p w14:paraId="12B2A0B5"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1.041***</w:t>
            </w:r>
          </w:p>
        </w:tc>
        <w:tc>
          <w:tcPr>
            <w:tcW w:w="715" w:type="pct"/>
            <w:tcBorders>
              <w:top w:val="nil"/>
              <w:bottom w:val="nil"/>
            </w:tcBorders>
            <w:shd w:val="clear" w:color="auto" w:fill="auto"/>
          </w:tcPr>
          <w:p w14:paraId="69CBE8F6"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1.238***</w:t>
            </w:r>
          </w:p>
        </w:tc>
        <w:tc>
          <w:tcPr>
            <w:tcW w:w="712" w:type="pct"/>
            <w:tcBorders>
              <w:top w:val="nil"/>
              <w:bottom w:val="nil"/>
            </w:tcBorders>
            <w:shd w:val="clear" w:color="auto" w:fill="auto"/>
          </w:tcPr>
          <w:p w14:paraId="4EB521D3"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1.278***</w:t>
            </w:r>
          </w:p>
        </w:tc>
      </w:tr>
      <w:tr w:rsidR="00767353" w:rsidRPr="00A72D77" w14:paraId="4147B35A" w14:textId="77777777" w:rsidTr="00604051">
        <w:tc>
          <w:tcPr>
            <w:tcW w:w="1290" w:type="pct"/>
            <w:tcBorders>
              <w:bottom w:val="nil"/>
            </w:tcBorders>
            <w:shd w:val="clear" w:color="auto" w:fill="F1F1F1"/>
          </w:tcPr>
          <w:p w14:paraId="36F927F9"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1" w:type="pct"/>
            <w:tcBorders>
              <w:bottom w:val="nil"/>
            </w:tcBorders>
            <w:shd w:val="clear" w:color="auto" w:fill="F1F1F1"/>
          </w:tcPr>
          <w:p w14:paraId="0F7F5D51"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(0.240)</w:t>
            </w:r>
          </w:p>
        </w:tc>
        <w:tc>
          <w:tcPr>
            <w:tcW w:w="761" w:type="pct"/>
            <w:tcBorders>
              <w:bottom w:val="nil"/>
            </w:tcBorders>
            <w:shd w:val="clear" w:color="auto" w:fill="F1F1F1"/>
          </w:tcPr>
          <w:p w14:paraId="242BA872"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(0.222)</w:t>
            </w:r>
          </w:p>
        </w:tc>
        <w:tc>
          <w:tcPr>
            <w:tcW w:w="761" w:type="pct"/>
            <w:tcBorders>
              <w:bottom w:val="nil"/>
            </w:tcBorders>
            <w:shd w:val="clear" w:color="auto" w:fill="F1F1F1"/>
          </w:tcPr>
          <w:p w14:paraId="39E9E3D9"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(0.232)</w:t>
            </w:r>
          </w:p>
        </w:tc>
        <w:tc>
          <w:tcPr>
            <w:tcW w:w="715" w:type="pct"/>
            <w:tcBorders>
              <w:bottom w:val="nil"/>
            </w:tcBorders>
            <w:shd w:val="clear" w:color="auto" w:fill="F1F1F1"/>
          </w:tcPr>
          <w:p w14:paraId="5CD6CBC7"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(0.356)</w:t>
            </w:r>
          </w:p>
        </w:tc>
        <w:tc>
          <w:tcPr>
            <w:tcW w:w="712" w:type="pct"/>
            <w:tcBorders>
              <w:bottom w:val="nil"/>
            </w:tcBorders>
            <w:shd w:val="clear" w:color="auto" w:fill="F1F1F1"/>
          </w:tcPr>
          <w:p w14:paraId="37548A3A"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(0.377)</w:t>
            </w:r>
          </w:p>
        </w:tc>
      </w:tr>
      <w:tr w:rsidR="00767353" w:rsidRPr="00A72D77" w14:paraId="56923246" w14:textId="77777777" w:rsidTr="00604051">
        <w:tc>
          <w:tcPr>
            <w:tcW w:w="1290" w:type="pct"/>
            <w:tcBorders>
              <w:top w:val="nil"/>
            </w:tcBorders>
            <w:shd w:val="clear" w:color="auto" w:fill="auto"/>
          </w:tcPr>
          <w:p w14:paraId="76B86D31" w14:textId="77777777" w:rsidR="00767353" w:rsidRPr="00A72D77" w:rsidRDefault="00767353" w:rsidP="00604051">
            <w:pPr>
              <w:pStyle w:val="TableBodyText"/>
              <w:spacing w:before="45" w:after="45"/>
              <w:ind w:left="57" w:right="108"/>
              <w:jc w:val="left"/>
              <w:rPr>
                <w:rFonts w:ascii="Arial (Body)" w:hAnsi="Arial (Body)"/>
                <w:b/>
                <w:color w:val="265A9A"/>
              </w:rPr>
            </w:pPr>
            <w:r w:rsidRPr="00A72D77">
              <w:rPr>
                <w:rFonts w:ascii="Arial (Body)" w:hAnsi="Arial (Body)"/>
                <w:b/>
                <w:color w:val="265A9A"/>
              </w:rPr>
              <w:t>Observations (all models)</w:t>
            </w:r>
          </w:p>
        </w:tc>
        <w:tc>
          <w:tcPr>
            <w:tcW w:w="761" w:type="pct"/>
            <w:tcBorders>
              <w:top w:val="nil"/>
            </w:tcBorders>
            <w:shd w:val="clear" w:color="auto" w:fill="auto"/>
          </w:tcPr>
          <w:p w14:paraId="1C41E76A"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1 424</w:t>
            </w:r>
          </w:p>
        </w:tc>
        <w:tc>
          <w:tcPr>
            <w:tcW w:w="761" w:type="pct"/>
            <w:tcBorders>
              <w:top w:val="nil"/>
            </w:tcBorders>
            <w:shd w:val="clear" w:color="auto" w:fill="auto"/>
          </w:tcPr>
          <w:p w14:paraId="275795AA"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2 240</w:t>
            </w:r>
          </w:p>
        </w:tc>
        <w:tc>
          <w:tcPr>
            <w:tcW w:w="761" w:type="pct"/>
            <w:tcBorders>
              <w:top w:val="nil"/>
            </w:tcBorders>
            <w:shd w:val="clear" w:color="auto" w:fill="auto"/>
          </w:tcPr>
          <w:p w14:paraId="66157186"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27 678</w:t>
            </w:r>
          </w:p>
        </w:tc>
        <w:tc>
          <w:tcPr>
            <w:tcW w:w="715" w:type="pct"/>
            <w:tcBorders>
              <w:top w:val="nil"/>
            </w:tcBorders>
            <w:shd w:val="clear" w:color="auto" w:fill="auto"/>
          </w:tcPr>
          <w:p w14:paraId="5FB1088E"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1 430</w:t>
            </w:r>
          </w:p>
        </w:tc>
        <w:tc>
          <w:tcPr>
            <w:tcW w:w="712" w:type="pct"/>
            <w:tcBorders>
              <w:top w:val="nil"/>
            </w:tcBorders>
            <w:shd w:val="clear" w:color="auto" w:fill="auto"/>
          </w:tcPr>
          <w:p w14:paraId="25A2187D"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24 269</w:t>
            </w:r>
          </w:p>
        </w:tc>
      </w:tr>
    </w:tbl>
    <w:p w14:paraId="419F907B" w14:textId="77777777" w:rsidR="00767353" w:rsidRPr="00A72D77" w:rsidRDefault="00767353" w:rsidP="00767353">
      <w:pPr>
        <w:pStyle w:val="Note"/>
        <w:rPr>
          <w:spacing w:val="-4"/>
        </w:rPr>
      </w:pPr>
      <w:r w:rsidRPr="00A72D77">
        <w:rPr>
          <w:b/>
          <w:bCs/>
          <w:spacing w:val="-4"/>
        </w:rPr>
        <w:t>a.</w:t>
      </w:r>
      <w:r w:rsidRPr="00A72D77">
        <w:rPr>
          <w:spacing w:val="-4"/>
        </w:rPr>
        <w:t xml:space="preserve"> Parentheses contain standard errors. </w:t>
      </w:r>
      <w:r w:rsidRPr="00A72D77">
        <w:rPr>
          <w:b/>
          <w:spacing w:val="-4"/>
        </w:rPr>
        <w:t>b.</w:t>
      </w:r>
      <w:r w:rsidRPr="00A72D77">
        <w:rPr>
          <w:spacing w:val="-4"/>
        </w:rPr>
        <w:t xml:space="preserve"> * indicates statistical significance at the 10 per cent level of significance, ** indicates significance at the 5 per cent level of significance, and *** indicates significance at the 1 per cent level of significance.</w:t>
      </w:r>
    </w:p>
    <w:p w14:paraId="21768B7D" w14:textId="77777777" w:rsidR="00767353" w:rsidRDefault="00767353" w:rsidP="00767353">
      <w:pPr>
        <w:pStyle w:val="Source"/>
      </w:pPr>
      <w:r w:rsidRPr="00696447">
        <w:t xml:space="preserve">Source: </w:t>
      </w:r>
      <w:r>
        <w:t>Productivity Commission estimates based on HILDA Restricted Release 19.</w:t>
      </w:r>
    </w:p>
    <w:p w14:paraId="5BD1F4DA" w14:textId="7166A2C8" w:rsidR="00767353" w:rsidRPr="00A72D77" w:rsidRDefault="00767353" w:rsidP="00767353">
      <w:pPr>
        <w:pStyle w:val="FigureTableHeading"/>
        <w:rPr>
          <w:spacing w:val="-6"/>
        </w:rPr>
      </w:pPr>
      <w:r w:rsidRPr="00A72D77">
        <w:rPr>
          <w:spacing w:val="-6"/>
        </w:rPr>
        <w:t xml:space="preserve">Table </w:t>
      </w:r>
      <w:r w:rsidRPr="00A72D77">
        <w:rPr>
          <w:spacing w:val="-6"/>
        </w:rPr>
        <w:fldChar w:fldCharType="begin"/>
      </w:r>
      <w:r w:rsidRPr="00A72D77">
        <w:rPr>
          <w:spacing w:val="-6"/>
        </w:rPr>
        <w:instrText xml:space="preserve"> STYLEREF  \s Heading-Appendix </w:instrText>
      </w:r>
      <w:r w:rsidRPr="00A72D77">
        <w:rPr>
          <w:spacing w:val="-6"/>
        </w:rPr>
        <w:fldChar w:fldCharType="separate"/>
      </w:r>
      <w:r w:rsidR="00F3386D">
        <w:rPr>
          <w:noProof/>
          <w:spacing w:val="-6"/>
        </w:rPr>
        <w:t>B</w:t>
      </w:r>
      <w:r w:rsidRPr="00A72D77">
        <w:rPr>
          <w:spacing w:val="-6"/>
        </w:rPr>
        <w:fldChar w:fldCharType="end"/>
      </w:r>
      <w:r w:rsidRPr="00A72D77">
        <w:rPr>
          <w:spacing w:val="-6"/>
        </w:rPr>
        <w:t>.</w:t>
      </w:r>
      <w:r w:rsidR="00341F5D">
        <w:rPr>
          <w:spacing w:val="-6"/>
        </w:rPr>
        <w:t>12</w:t>
      </w:r>
      <w:r w:rsidRPr="00A72D77">
        <w:rPr>
          <w:noProof/>
          <w:spacing w:val="-6"/>
        </w:rPr>
        <w:t xml:space="preserve"> – </w:t>
      </w:r>
      <w:r w:rsidRPr="00A72D77">
        <w:rPr>
          <w:spacing w:val="-6"/>
        </w:rPr>
        <w:t>Effect of inheritance on future wealth — quintile models with lifecycle</w:t>
      </w:r>
      <w:r w:rsidRPr="00A72D77">
        <w:rPr>
          <w:spacing w:val="-6"/>
        </w:rPr>
        <w:noBreakHyphen/>
        <w:t>adjusted wealth</w:t>
      </w:r>
    </w:p>
    <w:p w14:paraId="20AB431D" w14:textId="77777777" w:rsidR="00767353" w:rsidRPr="00AC0375" w:rsidRDefault="00767353" w:rsidP="00767353">
      <w:pPr>
        <w:pStyle w:val="FigureTableSubheading"/>
        <w:spacing w:after="0"/>
        <w:rPr>
          <w:rFonts w:eastAsiaTheme="minorEastAsia"/>
          <w:sz w:val="18"/>
          <w:szCs w:val="16"/>
        </w:rPr>
      </w:pPr>
      <w:r w:rsidRPr="00AC0375">
        <w:rPr>
          <w:sz w:val="18"/>
          <w:szCs w:val="16"/>
        </w:rPr>
        <w:t xml:space="preserve">Dependent variable: </w:t>
      </w:r>
      <m:oMath>
        <m:sSub>
          <m:sSubPr>
            <m:ctrlPr>
              <w:rPr>
                <w:rFonts w:ascii="Cambria Math" w:hAnsi="Cambria Math"/>
                <w:i/>
                <w:sz w:val="18"/>
                <w:szCs w:val="16"/>
              </w:rPr>
            </m:ctrlPr>
          </m:sSubPr>
          <m:e>
            <m:r>
              <w:rPr>
                <w:rFonts w:ascii="Cambria Math" w:hAnsi="Cambria Math"/>
                <w:sz w:val="18"/>
                <w:szCs w:val="16"/>
              </w:rPr>
              <m:t>∆</m:t>
            </m:r>
          </m:e>
          <m:sub>
            <m:r>
              <w:rPr>
                <w:rFonts w:ascii="Cambria Math" w:hAnsi="Cambria Math"/>
                <w:sz w:val="18"/>
                <w:szCs w:val="16"/>
              </w:rPr>
              <m:t>t,t-y</m:t>
            </m:r>
          </m:sub>
        </m:sSub>
        <m:sSub>
          <m:sSubPr>
            <m:ctrlPr>
              <w:rPr>
                <w:rFonts w:ascii="Cambria Math" w:hAnsi="Cambria Math"/>
                <w:i/>
                <w:sz w:val="18"/>
                <w:szCs w:val="16"/>
              </w:rPr>
            </m:ctrlPr>
          </m:sSubPr>
          <m:e>
            <m:r>
              <w:rPr>
                <w:rFonts w:ascii="Cambria Math" w:hAnsi="Cambria Math"/>
                <w:sz w:val="18"/>
                <w:szCs w:val="16"/>
              </w:rPr>
              <m:t>Wealth</m:t>
            </m:r>
          </m:e>
          <m:sub>
            <m:r>
              <w:rPr>
                <w:rFonts w:ascii="Cambria Math" w:hAnsi="Cambria Math"/>
                <w:sz w:val="18"/>
                <w:szCs w:val="16"/>
              </w:rPr>
              <m:t>i</m:t>
            </m:r>
          </m:sub>
        </m:sSub>
      </m:oMath>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231"/>
        <w:gridCol w:w="1479"/>
        <w:gridCol w:w="1482"/>
        <w:gridCol w:w="1482"/>
        <w:gridCol w:w="1482"/>
        <w:gridCol w:w="1482"/>
      </w:tblGrid>
      <w:tr w:rsidR="00767353" w:rsidRPr="00A72D77" w14:paraId="46B9CD46" w14:textId="77777777" w:rsidTr="00604051">
        <w:trPr>
          <w:tblHeader/>
        </w:trPr>
        <w:tc>
          <w:tcPr>
            <w:tcW w:w="1157" w:type="pct"/>
            <w:tcBorders>
              <w:bottom w:val="single" w:sz="4" w:space="0" w:color="B3B3B3"/>
            </w:tcBorders>
            <w:shd w:val="clear" w:color="auto" w:fill="auto"/>
            <w:tcMar>
              <w:top w:w="28" w:type="dxa"/>
            </w:tcMar>
          </w:tcPr>
          <w:p w14:paraId="653A62EF" w14:textId="77777777" w:rsidR="00767353" w:rsidRPr="00A72D77" w:rsidRDefault="00767353" w:rsidP="00604051">
            <w:pPr>
              <w:pStyle w:val="TableColumnHeading"/>
              <w:spacing w:before="45" w:after="45"/>
              <w:ind w:left="57" w:right="108"/>
              <w:jc w:val="left"/>
              <w:rPr>
                <w:rFonts w:ascii="Arial (Body)" w:hAnsi="Arial (Body)"/>
                <w:b/>
                <w:i w:val="0"/>
                <w:color w:val="265A9A"/>
              </w:rPr>
            </w:pPr>
          </w:p>
        </w:tc>
        <w:tc>
          <w:tcPr>
            <w:tcW w:w="767" w:type="pct"/>
            <w:tcBorders>
              <w:bottom w:val="single" w:sz="4" w:space="0" w:color="B3B3B3"/>
            </w:tcBorders>
            <w:shd w:val="clear" w:color="auto" w:fill="auto"/>
          </w:tcPr>
          <w:p w14:paraId="0BF25BE5"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A72D77">
              <w:rPr>
                <w:rFonts w:ascii="Arial (Body)" w:hAnsi="Arial (Body)"/>
                <w:b/>
                <w:i w:val="0"/>
                <w:color w:val="265A9A"/>
              </w:rPr>
              <w:t xml:space="preserve"> </w:t>
            </w:r>
          </w:p>
        </w:tc>
        <w:tc>
          <w:tcPr>
            <w:tcW w:w="769" w:type="pct"/>
            <w:tcBorders>
              <w:bottom w:val="single" w:sz="4" w:space="0" w:color="B3B3B3"/>
            </w:tcBorders>
            <w:shd w:val="clear" w:color="auto" w:fill="auto"/>
            <w:tcMar>
              <w:top w:w="28" w:type="dxa"/>
            </w:tcMar>
          </w:tcPr>
          <w:p w14:paraId="6BBC1756"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A72D77">
              <w:rPr>
                <w:rFonts w:ascii="Arial (Body)" w:hAnsi="Arial (Body)"/>
                <w:b/>
                <w:i w:val="0"/>
                <w:color w:val="265A9A"/>
              </w:rPr>
              <w:t>, includes 2015–2018 inheritances</w:t>
            </w:r>
          </w:p>
        </w:tc>
        <w:tc>
          <w:tcPr>
            <w:tcW w:w="769" w:type="pct"/>
            <w:tcBorders>
              <w:bottom w:val="single" w:sz="4" w:space="0" w:color="B3B3B3"/>
            </w:tcBorders>
            <w:shd w:val="clear" w:color="auto" w:fill="auto"/>
          </w:tcPr>
          <w:p w14:paraId="29D83275"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y=4</m:t>
              </m:r>
            </m:oMath>
            <w:r w:rsidRPr="00A72D77">
              <w:rPr>
                <w:rFonts w:ascii="Arial (Body)" w:hAnsi="Arial (Body)"/>
                <w:b/>
                <w:i w:val="0"/>
                <w:color w:val="265A9A"/>
              </w:rPr>
              <w:t>, includes people who did not inherit</w:t>
            </w:r>
          </w:p>
        </w:tc>
        <w:tc>
          <w:tcPr>
            <w:tcW w:w="769" w:type="pct"/>
            <w:tcBorders>
              <w:bottom w:val="single" w:sz="4" w:space="0" w:color="B3B3B3"/>
            </w:tcBorders>
            <w:shd w:val="clear" w:color="auto" w:fill="auto"/>
          </w:tcPr>
          <w:p w14:paraId="661481DA"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A72D77">
              <w:rPr>
                <w:rFonts w:ascii="Arial (Body)" w:hAnsi="Arial (Body)"/>
                <w:b/>
                <w:i w:val="0"/>
                <w:color w:val="265A9A"/>
              </w:rPr>
              <w:t xml:space="preserve"> </w:t>
            </w:r>
          </w:p>
        </w:tc>
        <w:tc>
          <w:tcPr>
            <w:tcW w:w="769" w:type="pct"/>
            <w:tcBorders>
              <w:bottom w:val="single" w:sz="4" w:space="0" w:color="B3B3B3"/>
            </w:tcBorders>
            <w:shd w:val="clear" w:color="auto" w:fill="auto"/>
            <w:tcMar>
              <w:top w:w="28" w:type="dxa"/>
            </w:tcMar>
          </w:tcPr>
          <w:p w14:paraId="3BC66FBF" w14:textId="77777777" w:rsidR="00767353" w:rsidRPr="00A72D77" w:rsidRDefault="00767353" w:rsidP="00604051">
            <w:pPr>
              <w:pStyle w:val="TableColumnHeading"/>
              <w:spacing w:before="45" w:after="45"/>
              <w:ind w:left="57" w:right="108"/>
              <w:rPr>
                <w:rFonts w:ascii="Arial (Body)" w:hAnsi="Arial (Body)"/>
                <w:b/>
                <w:i w:val="0"/>
                <w:color w:val="265A9A"/>
              </w:rPr>
            </w:pPr>
            <m:oMath>
              <m:r>
                <m:rPr>
                  <m:sty m:val="bi"/>
                </m:rPr>
                <w:rPr>
                  <w:rFonts w:ascii="Cambria Math" w:hAnsi="Cambria Math"/>
                  <w:color w:val="265A9A"/>
                </w:rPr>
                <m:t>y=8</m:t>
              </m:r>
            </m:oMath>
            <w:r w:rsidRPr="00A72D77">
              <w:rPr>
                <w:rFonts w:ascii="Arial (Body)" w:hAnsi="Arial (Body)"/>
                <w:b/>
                <w:i w:val="0"/>
                <w:color w:val="265A9A"/>
              </w:rPr>
              <w:t>, includes people who did not inherit</w:t>
            </w:r>
          </w:p>
        </w:tc>
      </w:tr>
      <w:tr w:rsidR="00767353" w:rsidRPr="00A72D77" w14:paraId="7F0F4915" w14:textId="77777777" w:rsidTr="00604051">
        <w:tc>
          <w:tcPr>
            <w:tcW w:w="1157" w:type="pct"/>
            <w:tcBorders>
              <w:top w:val="single" w:sz="4" w:space="0" w:color="B3B3B3"/>
              <w:bottom w:val="nil"/>
            </w:tcBorders>
            <w:shd w:val="clear" w:color="auto" w:fill="F1F1F1"/>
          </w:tcPr>
          <w:p w14:paraId="6104DCEE" w14:textId="77777777" w:rsidR="00767353" w:rsidRPr="00A72D77" w:rsidRDefault="00767353" w:rsidP="00604051">
            <w:pPr>
              <w:pStyle w:val="TableColumnHeading"/>
              <w:spacing w:before="45" w:after="45"/>
              <w:ind w:left="57" w:right="108"/>
              <w:jc w:val="left"/>
              <w:rPr>
                <w:rFonts w:ascii="Arial (Body)" w:hAnsi="Arial (Body)"/>
                <w:b/>
                <w:i w:val="0"/>
                <w:color w:val="265A9A"/>
              </w:rPr>
            </w:pPr>
            <m:oMathPara>
              <m:oMath>
                <m:r>
                  <m:rPr>
                    <m:sty m:val="bi"/>
                  </m:rPr>
                  <w:rPr>
                    <w:rFonts w:ascii="Cambria Math" w:hAnsi="Cambria Math"/>
                    <w:color w:val="265A9A"/>
                  </w:rPr>
                  <m:t>k=5</m:t>
                </m:r>
              </m:oMath>
            </m:oMathPara>
          </w:p>
        </w:tc>
        <w:tc>
          <w:tcPr>
            <w:tcW w:w="767" w:type="pct"/>
            <w:tcBorders>
              <w:top w:val="single" w:sz="4" w:space="0" w:color="B3B3B3"/>
              <w:bottom w:val="nil"/>
            </w:tcBorders>
            <w:shd w:val="clear" w:color="auto" w:fill="F1F1F1"/>
          </w:tcPr>
          <w:p w14:paraId="129C82E3"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6c</w:t>
            </w:r>
          </w:p>
        </w:tc>
        <w:tc>
          <w:tcPr>
            <w:tcW w:w="769" w:type="pct"/>
            <w:tcBorders>
              <w:top w:val="single" w:sz="4" w:space="0" w:color="B3B3B3"/>
              <w:bottom w:val="nil"/>
            </w:tcBorders>
            <w:shd w:val="clear" w:color="auto" w:fill="F1F1F1"/>
          </w:tcPr>
          <w:p w14:paraId="1955EB93"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7c</w:t>
            </w:r>
          </w:p>
        </w:tc>
        <w:tc>
          <w:tcPr>
            <w:tcW w:w="769" w:type="pct"/>
            <w:tcBorders>
              <w:top w:val="single" w:sz="4" w:space="0" w:color="B3B3B3"/>
              <w:bottom w:val="nil"/>
            </w:tcBorders>
            <w:shd w:val="clear" w:color="auto" w:fill="F1F1F1"/>
          </w:tcPr>
          <w:p w14:paraId="103B2738"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8c</w:t>
            </w:r>
          </w:p>
        </w:tc>
        <w:tc>
          <w:tcPr>
            <w:tcW w:w="769" w:type="pct"/>
            <w:tcBorders>
              <w:top w:val="single" w:sz="4" w:space="0" w:color="B3B3B3"/>
              <w:bottom w:val="nil"/>
            </w:tcBorders>
            <w:shd w:val="clear" w:color="auto" w:fill="F1F1F1"/>
          </w:tcPr>
          <w:p w14:paraId="485C4764"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9c</w:t>
            </w:r>
          </w:p>
        </w:tc>
        <w:tc>
          <w:tcPr>
            <w:tcW w:w="769" w:type="pct"/>
            <w:tcBorders>
              <w:top w:val="single" w:sz="4" w:space="0" w:color="B3B3B3"/>
              <w:bottom w:val="nil"/>
            </w:tcBorders>
            <w:shd w:val="clear" w:color="auto" w:fill="F1F1F1"/>
          </w:tcPr>
          <w:p w14:paraId="172B9C13" w14:textId="77777777" w:rsidR="00767353" w:rsidRPr="00A72D77" w:rsidRDefault="00767353" w:rsidP="00604051">
            <w:pPr>
              <w:pStyle w:val="TableColumnHeading"/>
              <w:spacing w:before="45" w:after="45"/>
              <w:ind w:left="57" w:right="108"/>
              <w:rPr>
                <w:rFonts w:ascii="Arial (Body)" w:hAnsi="Arial (Body)"/>
                <w:i w:val="0"/>
                <w:color w:val="000000"/>
              </w:rPr>
            </w:pPr>
            <w:r w:rsidRPr="00A72D77">
              <w:rPr>
                <w:rFonts w:ascii="Arial (Body)" w:hAnsi="Arial (Body)"/>
                <w:i w:val="0"/>
                <w:color w:val="000000"/>
              </w:rPr>
              <w:t>Model 10c</w:t>
            </w:r>
          </w:p>
        </w:tc>
      </w:tr>
      <w:tr w:rsidR="00767353" w:rsidRPr="00A72D77" w14:paraId="5D23A11F" w14:textId="77777777" w:rsidTr="00604051">
        <w:tc>
          <w:tcPr>
            <w:tcW w:w="1157" w:type="pct"/>
            <w:tcBorders>
              <w:top w:val="nil"/>
              <w:bottom w:val="nil"/>
            </w:tcBorders>
            <w:shd w:val="clear" w:color="auto" w:fill="auto"/>
          </w:tcPr>
          <w:p w14:paraId="0873B613"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1</m:t>
                    </m:r>
                  </m:sub>
                </m:sSub>
              </m:oMath>
            </m:oMathPara>
          </w:p>
        </w:tc>
        <w:tc>
          <w:tcPr>
            <w:tcW w:w="767" w:type="pct"/>
            <w:tcBorders>
              <w:top w:val="nil"/>
              <w:bottom w:val="nil"/>
            </w:tcBorders>
            <w:shd w:val="clear" w:color="auto" w:fill="auto"/>
          </w:tcPr>
          <w:p w14:paraId="5A1CABBA"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0.876**</w:t>
            </w:r>
          </w:p>
        </w:tc>
        <w:tc>
          <w:tcPr>
            <w:tcW w:w="769" w:type="pct"/>
            <w:tcBorders>
              <w:top w:val="nil"/>
              <w:bottom w:val="nil"/>
            </w:tcBorders>
            <w:shd w:val="clear" w:color="auto" w:fill="auto"/>
          </w:tcPr>
          <w:p w14:paraId="18F4DA96"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0.935***</w:t>
            </w:r>
          </w:p>
        </w:tc>
        <w:tc>
          <w:tcPr>
            <w:tcW w:w="769" w:type="pct"/>
            <w:tcBorders>
              <w:top w:val="nil"/>
              <w:bottom w:val="nil"/>
            </w:tcBorders>
            <w:shd w:val="clear" w:color="auto" w:fill="auto"/>
          </w:tcPr>
          <w:p w14:paraId="04726212"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0.822***</w:t>
            </w:r>
          </w:p>
        </w:tc>
        <w:tc>
          <w:tcPr>
            <w:tcW w:w="769" w:type="pct"/>
            <w:tcBorders>
              <w:top w:val="nil"/>
              <w:bottom w:val="nil"/>
            </w:tcBorders>
            <w:shd w:val="clear" w:color="auto" w:fill="auto"/>
          </w:tcPr>
          <w:p w14:paraId="3328FB25"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0.377</w:t>
            </w:r>
          </w:p>
        </w:tc>
        <w:tc>
          <w:tcPr>
            <w:tcW w:w="769" w:type="pct"/>
            <w:tcBorders>
              <w:top w:val="nil"/>
              <w:bottom w:val="nil"/>
            </w:tcBorders>
            <w:shd w:val="clear" w:color="auto" w:fill="auto"/>
          </w:tcPr>
          <w:p w14:paraId="46379388"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0.660**</w:t>
            </w:r>
          </w:p>
        </w:tc>
      </w:tr>
      <w:tr w:rsidR="00767353" w:rsidRPr="00A72D77" w14:paraId="4D85AB99" w14:textId="77777777" w:rsidTr="00604051">
        <w:tc>
          <w:tcPr>
            <w:tcW w:w="1157" w:type="pct"/>
            <w:tcBorders>
              <w:bottom w:val="nil"/>
            </w:tcBorders>
            <w:shd w:val="clear" w:color="auto" w:fill="F1F1F1"/>
          </w:tcPr>
          <w:p w14:paraId="3AE8FE80"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7" w:type="pct"/>
            <w:tcBorders>
              <w:bottom w:val="nil"/>
            </w:tcBorders>
            <w:shd w:val="clear" w:color="auto" w:fill="F1F1F1"/>
          </w:tcPr>
          <w:p w14:paraId="17783EFB"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(0.348)</w:t>
            </w:r>
          </w:p>
        </w:tc>
        <w:tc>
          <w:tcPr>
            <w:tcW w:w="769" w:type="pct"/>
            <w:tcBorders>
              <w:bottom w:val="nil"/>
            </w:tcBorders>
            <w:shd w:val="clear" w:color="auto" w:fill="F1F1F1"/>
          </w:tcPr>
          <w:p w14:paraId="7B14EBC9"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(0.271)</w:t>
            </w:r>
          </w:p>
        </w:tc>
        <w:tc>
          <w:tcPr>
            <w:tcW w:w="769" w:type="pct"/>
            <w:tcBorders>
              <w:bottom w:val="nil"/>
            </w:tcBorders>
            <w:shd w:val="clear" w:color="auto" w:fill="F1F1F1"/>
          </w:tcPr>
          <w:p w14:paraId="6CA67E98"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(0.269)</w:t>
            </w:r>
          </w:p>
        </w:tc>
        <w:tc>
          <w:tcPr>
            <w:tcW w:w="769" w:type="pct"/>
            <w:tcBorders>
              <w:bottom w:val="nil"/>
            </w:tcBorders>
            <w:shd w:val="clear" w:color="auto" w:fill="F1F1F1"/>
          </w:tcPr>
          <w:p w14:paraId="4A5381BB"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(0.428)</w:t>
            </w:r>
          </w:p>
        </w:tc>
        <w:tc>
          <w:tcPr>
            <w:tcW w:w="769" w:type="pct"/>
            <w:tcBorders>
              <w:bottom w:val="nil"/>
            </w:tcBorders>
            <w:shd w:val="clear" w:color="auto" w:fill="F1F1F1"/>
          </w:tcPr>
          <w:p w14:paraId="00A4CE29"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(0.326)</w:t>
            </w:r>
          </w:p>
        </w:tc>
      </w:tr>
      <w:tr w:rsidR="00767353" w:rsidRPr="00A72D77" w14:paraId="375734C5" w14:textId="77777777" w:rsidTr="00604051">
        <w:tc>
          <w:tcPr>
            <w:tcW w:w="1157" w:type="pct"/>
            <w:tcBorders>
              <w:top w:val="nil"/>
              <w:bottom w:val="nil"/>
            </w:tcBorders>
            <w:shd w:val="clear" w:color="auto" w:fill="auto"/>
          </w:tcPr>
          <w:p w14:paraId="1C14E8F9"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2</m:t>
                    </m:r>
                  </m:sub>
                </m:sSub>
              </m:oMath>
            </m:oMathPara>
          </w:p>
        </w:tc>
        <w:tc>
          <w:tcPr>
            <w:tcW w:w="767" w:type="pct"/>
            <w:tcBorders>
              <w:top w:val="nil"/>
              <w:bottom w:val="nil"/>
            </w:tcBorders>
            <w:shd w:val="clear" w:color="auto" w:fill="auto"/>
          </w:tcPr>
          <w:p w14:paraId="693A55F9"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1.689***</w:t>
            </w:r>
          </w:p>
        </w:tc>
        <w:tc>
          <w:tcPr>
            <w:tcW w:w="769" w:type="pct"/>
            <w:tcBorders>
              <w:top w:val="nil"/>
              <w:bottom w:val="nil"/>
            </w:tcBorders>
            <w:shd w:val="clear" w:color="auto" w:fill="auto"/>
          </w:tcPr>
          <w:p w14:paraId="7E01102A"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1.627***</w:t>
            </w:r>
          </w:p>
        </w:tc>
        <w:tc>
          <w:tcPr>
            <w:tcW w:w="769" w:type="pct"/>
            <w:tcBorders>
              <w:top w:val="nil"/>
              <w:bottom w:val="nil"/>
            </w:tcBorders>
            <w:shd w:val="clear" w:color="auto" w:fill="auto"/>
          </w:tcPr>
          <w:p w14:paraId="09D60BE1"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1.558***</w:t>
            </w:r>
          </w:p>
        </w:tc>
        <w:tc>
          <w:tcPr>
            <w:tcW w:w="769" w:type="pct"/>
            <w:tcBorders>
              <w:top w:val="nil"/>
              <w:bottom w:val="nil"/>
            </w:tcBorders>
            <w:shd w:val="clear" w:color="auto" w:fill="auto"/>
          </w:tcPr>
          <w:p w14:paraId="73926A83"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1.398*</w:t>
            </w:r>
          </w:p>
        </w:tc>
        <w:tc>
          <w:tcPr>
            <w:tcW w:w="769" w:type="pct"/>
            <w:tcBorders>
              <w:top w:val="nil"/>
              <w:bottom w:val="nil"/>
            </w:tcBorders>
            <w:shd w:val="clear" w:color="auto" w:fill="auto"/>
          </w:tcPr>
          <w:p w14:paraId="530D1122"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1.366*</w:t>
            </w:r>
          </w:p>
        </w:tc>
      </w:tr>
      <w:tr w:rsidR="00767353" w:rsidRPr="00A72D77" w14:paraId="29D86548" w14:textId="77777777" w:rsidTr="00604051">
        <w:tc>
          <w:tcPr>
            <w:tcW w:w="1157" w:type="pct"/>
            <w:tcBorders>
              <w:bottom w:val="nil"/>
            </w:tcBorders>
            <w:shd w:val="clear" w:color="auto" w:fill="F1F1F1"/>
          </w:tcPr>
          <w:p w14:paraId="2790473B"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7" w:type="pct"/>
            <w:tcBorders>
              <w:bottom w:val="nil"/>
            </w:tcBorders>
            <w:shd w:val="clear" w:color="auto" w:fill="F1F1F1"/>
          </w:tcPr>
          <w:p w14:paraId="650957DB"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(0.443)</w:t>
            </w:r>
          </w:p>
        </w:tc>
        <w:tc>
          <w:tcPr>
            <w:tcW w:w="769" w:type="pct"/>
            <w:tcBorders>
              <w:bottom w:val="nil"/>
            </w:tcBorders>
            <w:shd w:val="clear" w:color="auto" w:fill="F1F1F1"/>
          </w:tcPr>
          <w:p w14:paraId="327C59F4"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(0.399)</w:t>
            </w:r>
          </w:p>
        </w:tc>
        <w:tc>
          <w:tcPr>
            <w:tcW w:w="769" w:type="pct"/>
            <w:tcBorders>
              <w:bottom w:val="nil"/>
            </w:tcBorders>
            <w:shd w:val="clear" w:color="auto" w:fill="F1F1F1"/>
          </w:tcPr>
          <w:p w14:paraId="6793C6F8"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(0.441)</w:t>
            </w:r>
          </w:p>
        </w:tc>
        <w:tc>
          <w:tcPr>
            <w:tcW w:w="769" w:type="pct"/>
            <w:tcBorders>
              <w:bottom w:val="nil"/>
            </w:tcBorders>
            <w:shd w:val="clear" w:color="auto" w:fill="F1F1F1"/>
          </w:tcPr>
          <w:p w14:paraId="2B45166D"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(0.785)</w:t>
            </w:r>
          </w:p>
        </w:tc>
        <w:tc>
          <w:tcPr>
            <w:tcW w:w="769" w:type="pct"/>
            <w:tcBorders>
              <w:bottom w:val="nil"/>
            </w:tcBorders>
            <w:shd w:val="clear" w:color="auto" w:fill="F1F1F1"/>
          </w:tcPr>
          <w:p w14:paraId="147A1084"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(0.747)</w:t>
            </w:r>
          </w:p>
        </w:tc>
      </w:tr>
      <w:tr w:rsidR="00767353" w:rsidRPr="00A72D77" w14:paraId="125708A4" w14:textId="77777777" w:rsidTr="00604051">
        <w:tc>
          <w:tcPr>
            <w:tcW w:w="1157" w:type="pct"/>
            <w:tcBorders>
              <w:top w:val="nil"/>
              <w:bottom w:val="nil"/>
            </w:tcBorders>
            <w:shd w:val="clear" w:color="auto" w:fill="auto"/>
          </w:tcPr>
          <w:p w14:paraId="6DB24003"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3</m:t>
                    </m:r>
                  </m:sub>
                </m:sSub>
              </m:oMath>
            </m:oMathPara>
          </w:p>
        </w:tc>
        <w:tc>
          <w:tcPr>
            <w:tcW w:w="767" w:type="pct"/>
            <w:tcBorders>
              <w:top w:val="nil"/>
              <w:bottom w:val="nil"/>
            </w:tcBorders>
            <w:shd w:val="clear" w:color="auto" w:fill="auto"/>
          </w:tcPr>
          <w:p w14:paraId="6A4EB084"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1.169***</w:t>
            </w:r>
          </w:p>
        </w:tc>
        <w:tc>
          <w:tcPr>
            <w:tcW w:w="769" w:type="pct"/>
            <w:tcBorders>
              <w:top w:val="nil"/>
              <w:bottom w:val="nil"/>
            </w:tcBorders>
            <w:shd w:val="clear" w:color="auto" w:fill="auto"/>
          </w:tcPr>
          <w:p w14:paraId="67D6BADA"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0.538***</w:t>
            </w:r>
          </w:p>
        </w:tc>
        <w:tc>
          <w:tcPr>
            <w:tcW w:w="769" w:type="pct"/>
            <w:tcBorders>
              <w:top w:val="nil"/>
              <w:bottom w:val="nil"/>
            </w:tcBorders>
            <w:shd w:val="clear" w:color="auto" w:fill="auto"/>
          </w:tcPr>
          <w:p w14:paraId="33CB238C"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1.101***</w:t>
            </w:r>
          </w:p>
        </w:tc>
        <w:tc>
          <w:tcPr>
            <w:tcW w:w="769" w:type="pct"/>
            <w:tcBorders>
              <w:top w:val="nil"/>
              <w:bottom w:val="nil"/>
            </w:tcBorders>
            <w:shd w:val="clear" w:color="auto" w:fill="auto"/>
          </w:tcPr>
          <w:p w14:paraId="131F9059"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0.402</w:t>
            </w:r>
          </w:p>
        </w:tc>
        <w:tc>
          <w:tcPr>
            <w:tcW w:w="769" w:type="pct"/>
            <w:tcBorders>
              <w:top w:val="nil"/>
              <w:bottom w:val="nil"/>
            </w:tcBorders>
            <w:shd w:val="clear" w:color="auto" w:fill="auto"/>
          </w:tcPr>
          <w:p w14:paraId="3CF15BAE"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0.454</w:t>
            </w:r>
          </w:p>
        </w:tc>
      </w:tr>
      <w:tr w:rsidR="00767353" w:rsidRPr="00A72D77" w14:paraId="10A4588F" w14:textId="77777777" w:rsidTr="00604051">
        <w:tc>
          <w:tcPr>
            <w:tcW w:w="1157" w:type="pct"/>
            <w:tcBorders>
              <w:bottom w:val="nil"/>
            </w:tcBorders>
            <w:shd w:val="clear" w:color="auto" w:fill="F1F1F1"/>
          </w:tcPr>
          <w:p w14:paraId="2FF33AAB"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7" w:type="pct"/>
            <w:tcBorders>
              <w:bottom w:val="nil"/>
            </w:tcBorders>
            <w:shd w:val="clear" w:color="auto" w:fill="F1F1F1"/>
          </w:tcPr>
          <w:p w14:paraId="211E89B7"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(0.196)</w:t>
            </w:r>
          </w:p>
        </w:tc>
        <w:tc>
          <w:tcPr>
            <w:tcW w:w="769" w:type="pct"/>
            <w:tcBorders>
              <w:bottom w:val="nil"/>
            </w:tcBorders>
            <w:shd w:val="clear" w:color="auto" w:fill="F1F1F1"/>
          </w:tcPr>
          <w:p w14:paraId="2B95F1EC"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(0.187)</w:t>
            </w:r>
          </w:p>
        </w:tc>
        <w:tc>
          <w:tcPr>
            <w:tcW w:w="769" w:type="pct"/>
            <w:tcBorders>
              <w:bottom w:val="nil"/>
            </w:tcBorders>
            <w:shd w:val="clear" w:color="auto" w:fill="F1F1F1"/>
          </w:tcPr>
          <w:p w14:paraId="326EA64E"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(0.163)</w:t>
            </w:r>
          </w:p>
        </w:tc>
        <w:tc>
          <w:tcPr>
            <w:tcW w:w="769" w:type="pct"/>
            <w:tcBorders>
              <w:bottom w:val="nil"/>
            </w:tcBorders>
            <w:shd w:val="clear" w:color="auto" w:fill="F1F1F1"/>
          </w:tcPr>
          <w:p w14:paraId="59EEC152"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(0.339)</w:t>
            </w:r>
          </w:p>
        </w:tc>
        <w:tc>
          <w:tcPr>
            <w:tcW w:w="769" w:type="pct"/>
            <w:tcBorders>
              <w:bottom w:val="nil"/>
            </w:tcBorders>
            <w:shd w:val="clear" w:color="auto" w:fill="F1F1F1"/>
          </w:tcPr>
          <w:p w14:paraId="377B4F77"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(0.328)</w:t>
            </w:r>
          </w:p>
        </w:tc>
      </w:tr>
      <w:tr w:rsidR="00767353" w:rsidRPr="00A72D77" w14:paraId="1FE8FDA7" w14:textId="77777777" w:rsidTr="00604051">
        <w:tc>
          <w:tcPr>
            <w:tcW w:w="1157" w:type="pct"/>
            <w:tcBorders>
              <w:top w:val="nil"/>
              <w:bottom w:val="nil"/>
            </w:tcBorders>
            <w:shd w:val="clear" w:color="auto" w:fill="auto"/>
          </w:tcPr>
          <w:p w14:paraId="0BE60EA4"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4</m:t>
                    </m:r>
                  </m:sub>
                </m:sSub>
              </m:oMath>
            </m:oMathPara>
          </w:p>
        </w:tc>
        <w:tc>
          <w:tcPr>
            <w:tcW w:w="767" w:type="pct"/>
            <w:tcBorders>
              <w:top w:val="nil"/>
              <w:bottom w:val="nil"/>
            </w:tcBorders>
            <w:shd w:val="clear" w:color="auto" w:fill="auto"/>
          </w:tcPr>
          <w:p w14:paraId="13CC4EE5"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1.562***</w:t>
            </w:r>
          </w:p>
        </w:tc>
        <w:tc>
          <w:tcPr>
            <w:tcW w:w="769" w:type="pct"/>
            <w:tcBorders>
              <w:top w:val="nil"/>
              <w:bottom w:val="nil"/>
            </w:tcBorders>
            <w:shd w:val="clear" w:color="auto" w:fill="auto"/>
          </w:tcPr>
          <w:p w14:paraId="1FFB6C34"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1.463***</w:t>
            </w:r>
          </w:p>
        </w:tc>
        <w:tc>
          <w:tcPr>
            <w:tcW w:w="769" w:type="pct"/>
            <w:tcBorders>
              <w:top w:val="nil"/>
              <w:bottom w:val="nil"/>
            </w:tcBorders>
            <w:shd w:val="clear" w:color="auto" w:fill="auto"/>
          </w:tcPr>
          <w:p w14:paraId="0B72C589"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1.529***</w:t>
            </w:r>
          </w:p>
        </w:tc>
        <w:tc>
          <w:tcPr>
            <w:tcW w:w="769" w:type="pct"/>
            <w:tcBorders>
              <w:top w:val="nil"/>
              <w:bottom w:val="nil"/>
            </w:tcBorders>
            <w:shd w:val="clear" w:color="auto" w:fill="auto"/>
          </w:tcPr>
          <w:p w14:paraId="4D10C68D"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1.933***</w:t>
            </w:r>
          </w:p>
        </w:tc>
        <w:tc>
          <w:tcPr>
            <w:tcW w:w="769" w:type="pct"/>
            <w:tcBorders>
              <w:top w:val="nil"/>
              <w:bottom w:val="nil"/>
            </w:tcBorders>
            <w:shd w:val="clear" w:color="auto" w:fill="auto"/>
          </w:tcPr>
          <w:p w14:paraId="179DE864"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1.993***</w:t>
            </w:r>
          </w:p>
        </w:tc>
      </w:tr>
      <w:tr w:rsidR="00767353" w:rsidRPr="00A72D77" w14:paraId="204BC34F" w14:textId="77777777" w:rsidTr="00604051">
        <w:tc>
          <w:tcPr>
            <w:tcW w:w="1157" w:type="pct"/>
            <w:tcBorders>
              <w:bottom w:val="nil"/>
            </w:tcBorders>
            <w:shd w:val="clear" w:color="auto" w:fill="F1F1F1"/>
          </w:tcPr>
          <w:p w14:paraId="4857A16C"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7" w:type="pct"/>
            <w:tcBorders>
              <w:bottom w:val="nil"/>
            </w:tcBorders>
            <w:shd w:val="clear" w:color="auto" w:fill="F1F1F1"/>
          </w:tcPr>
          <w:p w14:paraId="64D87716"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(0.115)</w:t>
            </w:r>
          </w:p>
        </w:tc>
        <w:tc>
          <w:tcPr>
            <w:tcW w:w="769" w:type="pct"/>
            <w:tcBorders>
              <w:bottom w:val="nil"/>
            </w:tcBorders>
            <w:shd w:val="clear" w:color="auto" w:fill="F1F1F1"/>
          </w:tcPr>
          <w:p w14:paraId="5F5D7270"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(0.123)</w:t>
            </w:r>
          </w:p>
        </w:tc>
        <w:tc>
          <w:tcPr>
            <w:tcW w:w="769" w:type="pct"/>
            <w:tcBorders>
              <w:bottom w:val="nil"/>
            </w:tcBorders>
            <w:shd w:val="clear" w:color="auto" w:fill="F1F1F1"/>
          </w:tcPr>
          <w:p w14:paraId="1EFC1EA9"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(0.114)</w:t>
            </w:r>
          </w:p>
        </w:tc>
        <w:tc>
          <w:tcPr>
            <w:tcW w:w="769" w:type="pct"/>
            <w:tcBorders>
              <w:bottom w:val="nil"/>
            </w:tcBorders>
            <w:shd w:val="clear" w:color="auto" w:fill="F1F1F1"/>
          </w:tcPr>
          <w:p w14:paraId="4931096B"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(0.146)</w:t>
            </w:r>
          </w:p>
        </w:tc>
        <w:tc>
          <w:tcPr>
            <w:tcW w:w="769" w:type="pct"/>
            <w:tcBorders>
              <w:bottom w:val="nil"/>
            </w:tcBorders>
            <w:shd w:val="clear" w:color="auto" w:fill="F1F1F1"/>
          </w:tcPr>
          <w:p w14:paraId="79432768"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(0.144)</w:t>
            </w:r>
          </w:p>
        </w:tc>
      </w:tr>
      <w:tr w:rsidR="00767353" w:rsidRPr="00A72D77" w14:paraId="47C43701" w14:textId="77777777" w:rsidTr="00604051">
        <w:tc>
          <w:tcPr>
            <w:tcW w:w="1157" w:type="pct"/>
            <w:tcBorders>
              <w:top w:val="nil"/>
              <w:bottom w:val="nil"/>
            </w:tcBorders>
            <w:shd w:val="clear" w:color="auto" w:fill="auto"/>
          </w:tcPr>
          <w:p w14:paraId="1590715D" w14:textId="77777777" w:rsidR="00767353" w:rsidRPr="00A72D77" w:rsidRDefault="00B2270C" w:rsidP="00604051">
            <w:pPr>
              <w:pStyle w:val="TableBodyText"/>
              <w:spacing w:before="45" w:after="45"/>
              <w:ind w:left="57" w:right="108"/>
              <w:jc w:val="left"/>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β</m:t>
                    </m:r>
                  </m:e>
                  <m:sub>
                    <m:r>
                      <m:rPr>
                        <m:sty m:val="b"/>
                      </m:rPr>
                      <w:rPr>
                        <w:rFonts w:ascii="Cambria Math" w:hAnsi="Cambria Math"/>
                        <w:color w:val="265A9A"/>
                      </w:rPr>
                      <m:t>5</m:t>
                    </m:r>
                  </m:sub>
                </m:sSub>
              </m:oMath>
            </m:oMathPara>
          </w:p>
        </w:tc>
        <w:tc>
          <w:tcPr>
            <w:tcW w:w="767" w:type="pct"/>
            <w:tcBorders>
              <w:top w:val="nil"/>
              <w:bottom w:val="nil"/>
            </w:tcBorders>
            <w:shd w:val="clear" w:color="auto" w:fill="auto"/>
          </w:tcPr>
          <w:p w14:paraId="6159B115"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0.864***</w:t>
            </w:r>
          </w:p>
        </w:tc>
        <w:tc>
          <w:tcPr>
            <w:tcW w:w="769" w:type="pct"/>
            <w:tcBorders>
              <w:top w:val="nil"/>
              <w:bottom w:val="nil"/>
            </w:tcBorders>
            <w:shd w:val="clear" w:color="auto" w:fill="auto"/>
          </w:tcPr>
          <w:p w14:paraId="48EB6A97"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0.895***</w:t>
            </w:r>
          </w:p>
        </w:tc>
        <w:tc>
          <w:tcPr>
            <w:tcW w:w="769" w:type="pct"/>
            <w:tcBorders>
              <w:top w:val="nil"/>
              <w:bottom w:val="nil"/>
            </w:tcBorders>
            <w:shd w:val="clear" w:color="auto" w:fill="auto"/>
          </w:tcPr>
          <w:p w14:paraId="0A64F548"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0.834***</w:t>
            </w:r>
          </w:p>
        </w:tc>
        <w:tc>
          <w:tcPr>
            <w:tcW w:w="769" w:type="pct"/>
            <w:tcBorders>
              <w:top w:val="nil"/>
              <w:bottom w:val="nil"/>
            </w:tcBorders>
            <w:shd w:val="clear" w:color="auto" w:fill="auto"/>
          </w:tcPr>
          <w:p w14:paraId="5E227723"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0.963***</w:t>
            </w:r>
          </w:p>
        </w:tc>
        <w:tc>
          <w:tcPr>
            <w:tcW w:w="769" w:type="pct"/>
            <w:tcBorders>
              <w:top w:val="nil"/>
              <w:bottom w:val="nil"/>
            </w:tcBorders>
            <w:shd w:val="clear" w:color="auto" w:fill="auto"/>
          </w:tcPr>
          <w:p w14:paraId="6B416B74" w14:textId="77777777" w:rsidR="00767353" w:rsidRPr="00A72D77" w:rsidRDefault="00767353" w:rsidP="00604051">
            <w:pPr>
              <w:pStyle w:val="TableBodyText"/>
              <w:spacing w:before="45" w:after="45"/>
              <w:ind w:left="57" w:right="108"/>
              <w:rPr>
                <w:rFonts w:ascii="Arial (Body)" w:hAnsi="Arial (Body)"/>
                <w:bCs/>
                <w:color w:val="000000"/>
              </w:rPr>
            </w:pPr>
            <w:r w:rsidRPr="00A72D77">
              <w:rPr>
                <w:rFonts w:ascii="Arial (Body)" w:hAnsi="Arial (Body)"/>
                <w:bCs/>
                <w:color w:val="000000"/>
              </w:rPr>
              <w:t>0.994***</w:t>
            </w:r>
          </w:p>
        </w:tc>
      </w:tr>
      <w:tr w:rsidR="00767353" w:rsidRPr="00A72D77" w14:paraId="15D53A65" w14:textId="77777777" w:rsidTr="00604051">
        <w:tc>
          <w:tcPr>
            <w:tcW w:w="1157" w:type="pct"/>
            <w:tcBorders>
              <w:bottom w:val="nil"/>
            </w:tcBorders>
            <w:shd w:val="clear" w:color="auto" w:fill="F1F1F1"/>
          </w:tcPr>
          <w:p w14:paraId="4D7EF090" w14:textId="77777777" w:rsidR="00767353" w:rsidRPr="00A72D77" w:rsidRDefault="00767353" w:rsidP="00604051">
            <w:pPr>
              <w:pStyle w:val="TableBodyText"/>
              <w:spacing w:before="45" w:after="45"/>
              <w:ind w:left="57" w:right="108"/>
              <w:jc w:val="left"/>
              <w:rPr>
                <w:rFonts w:ascii="Arial (Body)" w:hAnsi="Arial (Body)"/>
                <w:b/>
                <w:color w:val="265A9A"/>
              </w:rPr>
            </w:pPr>
          </w:p>
        </w:tc>
        <w:tc>
          <w:tcPr>
            <w:tcW w:w="767" w:type="pct"/>
            <w:tcBorders>
              <w:bottom w:val="nil"/>
            </w:tcBorders>
            <w:shd w:val="clear" w:color="auto" w:fill="F1F1F1"/>
          </w:tcPr>
          <w:p w14:paraId="19DF9DEE"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(0.213)</w:t>
            </w:r>
          </w:p>
        </w:tc>
        <w:tc>
          <w:tcPr>
            <w:tcW w:w="769" w:type="pct"/>
            <w:tcBorders>
              <w:bottom w:val="nil"/>
            </w:tcBorders>
            <w:shd w:val="clear" w:color="auto" w:fill="F1F1F1"/>
          </w:tcPr>
          <w:p w14:paraId="32BA703B"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(0.225)</w:t>
            </w:r>
          </w:p>
        </w:tc>
        <w:tc>
          <w:tcPr>
            <w:tcW w:w="769" w:type="pct"/>
            <w:tcBorders>
              <w:bottom w:val="nil"/>
            </w:tcBorders>
            <w:shd w:val="clear" w:color="auto" w:fill="F1F1F1"/>
          </w:tcPr>
          <w:p w14:paraId="357046D3"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(0.211)</w:t>
            </w:r>
          </w:p>
        </w:tc>
        <w:tc>
          <w:tcPr>
            <w:tcW w:w="769" w:type="pct"/>
            <w:tcBorders>
              <w:bottom w:val="nil"/>
            </w:tcBorders>
            <w:shd w:val="clear" w:color="auto" w:fill="F1F1F1"/>
          </w:tcPr>
          <w:p w14:paraId="2F59D9C1"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(0.309)</w:t>
            </w:r>
          </w:p>
        </w:tc>
        <w:tc>
          <w:tcPr>
            <w:tcW w:w="769" w:type="pct"/>
            <w:tcBorders>
              <w:bottom w:val="nil"/>
            </w:tcBorders>
            <w:shd w:val="clear" w:color="auto" w:fill="F1F1F1"/>
          </w:tcPr>
          <w:p w14:paraId="2503976F"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(0.339)</w:t>
            </w:r>
          </w:p>
        </w:tc>
      </w:tr>
      <w:tr w:rsidR="00767353" w:rsidRPr="00A72D77" w14:paraId="31D2E761" w14:textId="77777777" w:rsidTr="00604051">
        <w:tc>
          <w:tcPr>
            <w:tcW w:w="1157" w:type="pct"/>
            <w:tcBorders>
              <w:top w:val="nil"/>
            </w:tcBorders>
            <w:shd w:val="clear" w:color="auto" w:fill="auto"/>
          </w:tcPr>
          <w:p w14:paraId="302DE998" w14:textId="77777777" w:rsidR="00767353" w:rsidRPr="00A72D77" w:rsidRDefault="00767353" w:rsidP="00604051">
            <w:pPr>
              <w:pStyle w:val="TableBodyText"/>
              <w:spacing w:before="45" w:after="45"/>
              <w:ind w:left="57" w:right="108"/>
              <w:jc w:val="left"/>
              <w:rPr>
                <w:rFonts w:ascii="Arial (Body)" w:hAnsi="Arial (Body)"/>
                <w:b/>
                <w:color w:val="265A9A"/>
              </w:rPr>
            </w:pPr>
            <w:r w:rsidRPr="00A72D77">
              <w:rPr>
                <w:rFonts w:ascii="Arial (Body)" w:hAnsi="Arial (Body)"/>
                <w:b/>
                <w:color w:val="265A9A"/>
              </w:rPr>
              <w:t>Observations</w:t>
            </w:r>
          </w:p>
        </w:tc>
        <w:tc>
          <w:tcPr>
            <w:tcW w:w="767" w:type="pct"/>
            <w:tcBorders>
              <w:top w:val="nil"/>
            </w:tcBorders>
            <w:shd w:val="clear" w:color="auto" w:fill="auto"/>
          </w:tcPr>
          <w:p w14:paraId="6C6728D5"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1 424</w:t>
            </w:r>
          </w:p>
        </w:tc>
        <w:tc>
          <w:tcPr>
            <w:tcW w:w="769" w:type="pct"/>
            <w:tcBorders>
              <w:top w:val="nil"/>
            </w:tcBorders>
            <w:shd w:val="clear" w:color="auto" w:fill="auto"/>
          </w:tcPr>
          <w:p w14:paraId="4C96718F"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2 240</w:t>
            </w:r>
          </w:p>
        </w:tc>
        <w:tc>
          <w:tcPr>
            <w:tcW w:w="769" w:type="pct"/>
            <w:tcBorders>
              <w:top w:val="nil"/>
            </w:tcBorders>
            <w:shd w:val="clear" w:color="auto" w:fill="auto"/>
          </w:tcPr>
          <w:p w14:paraId="428F504B"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27 678</w:t>
            </w:r>
          </w:p>
        </w:tc>
        <w:tc>
          <w:tcPr>
            <w:tcW w:w="769" w:type="pct"/>
            <w:tcBorders>
              <w:top w:val="nil"/>
            </w:tcBorders>
            <w:shd w:val="clear" w:color="auto" w:fill="auto"/>
          </w:tcPr>
          <w:p w14:paraId="0F0822D1"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1 430</w:t>
            </w:r>
          </w:p>
        </w:tc>
        <w:tc>
          <w:tcPr>
            <w:tcW w:w="769" w:type="pct"/>
            <w:tcBorders>
              <w:top w:val="nil"/>
            </w:tcBorders>
            <w:shd w:val="clear" w:color="auto" w:fill="auto"/>
          </w:tcPr>
          <w:p w14:paraId="462C7009" w14:textId="77777777" w:rsidR="00767353" w:rsidRPr="00A72D77" w:rsidRDefault="00767353" w:rsidP="00604051">
            <w:pPr>
              <w:pStyle w:val="TableBodyText"/>
              <w:spacing w:before="45" w:after="45"/>
              <w:ind w:left="57" w:right="108"/>
              <w:rPr>
                <w:rFonts w:ascii="Arial (Body)" w:hAnsi="Arial (Body)"/>
                <w:color w:val="000000"/>
              </w:rPr>
            </w:pPr>
            <w:r w:rsidRPr="00A72D77">
              <w:rPr>
                <w:rFonts w:ascii="Arial (Body)" w:hAnsi="Arial (Body)"/>
                <w:color w:val="000000"/>
              </w:rPr>
              <w:t>24 269</w:t>
            </w:r>
          </w:p>
        </w:tc>
      </w:tr>
    </w:tbl>
    <w:p w14:paraId="0303537A" w14:textId="77777777" w:rsidR="00767353" w:rsidRPr="00A72D77" w:rsidRDefault="00767353" w:rsidP="00767353">
      <w:pPr>
        <w:pStyle w:val="Note"/>
        <w:spacing w:before="20"/>
        <w:rPr>
          <w:spacing w:val="-4"/>
        </w:rPr>
      </w:pPr>
      <w:r w:rsidRPr="00A72D77">
        <w:rPr>
          <w:b/>
          <w:bCs/>
          <w:spacing w:val="-4"/>
        </w:rPr>
        <w:t>a.</w:t>
      </w:r>
      <w:r w:rsidRPr="00A72D77">
        <w:rPr>
          <w:spacing w:val="-4"/>
        </w:rPr>
        <w:t xml:space="preserve"> Parentheses contain standard errors. </w:t>
      </w:r>
      <w:r w:rsidRPr="00A72D77">
        <w:rPr>
          <w:b/>
          <w:spacing w:val="-4"/>
        </w:rPr>
        <w:t>b</w:t>
      </w:r>
      <w:r w:rsidRPr="00A72D77">
        <w:rPr>
          <w:spacing w:val="-4"/>
        </w:rPr>
        <w:t xml:space="preserve"> * indicates statistical significance at the 10 per cent level of significance, ** indicates significance at the 5 per cent level of significance, and *** indicates significance at the 1 per cent level of significance.</w:t>
      </w:r>
    </w:p>
    <w:p w14:paraId="31A61DA1" w14:textId="77777777" w:rsidR="00767353" w:rsidRDefault="00767353" w:rsidP="00767353">
      <w:pPr>
        <w:pStyle w:val="Source"/>
      </w:pPr>
      <w:r w:rsidRPr="00696447">
        <w:t xml:space="preserve">Source: </w:t>
      </w:r>
      <w:r>
        <w:t>Productivity Commission estimates based on HILDA Restricted Release 19.</w:t>
      </w:r>
    </w:p>
    <w:p w14:paraId="4CCB66B5" w14:textId="77777777" w:rsidR="00767353" w:rsidRDefault="00767353" w:rsidP="00132C71">
      <w:pPr>
        <w:pStyle w:val="Heading2-Appendix"/>
      </w:pPr>
      <w:r>
        <w:lastRenderedPageBreak/>
        <w:t>Estimating the longer</w:t>
      </w:r>
      <w:r>
        <w:noBreakHyphen/>
        <w:t>term effects of inheritances on wealth inequality</w:t>
      </w:r>
    </w:p>
    <w:p w14:paraId="32300798" w14:textId="77777777" w:rsidR="00767353" w:rsidRDefault="00767353" w:rsidP="00767353">
      <w:pPr>
        <w:pStyle w:val="BodyText"/>
      </w:pPr>
      <w:r>
        <w:t>Drawing on the estimates of section B.6, chapter 2 concludes that it is most likely that the longer</w:t>
      </w:r>
      <w:r>
        <w:noBreakHyphen/>
        <w:t xml:space="preserve">term effects of inheritances on wealth inequality mirror the </w:t>
      </w:r>
      <w:r w:rsidRPr="00593B25">
        <w:rPr>
          <w:i/>
          <w:iCs/>
        </w:rPr>
        <w:t>direction</w:t>
      </w:r>
      <w:r>
        <w:t xml:space="preserve"> of the immediate</w:t>
      </w:r>
      <w:r>
        <w:noBreakHyphen/>
        <w:t xml:space="preserve">term effects (increase to absolute wealth inequality, decrease to relative wealth inequality), but their </w:t>
      </w:r>
      <w:r w:rsidRPr="00593B25">
        <w:rPr>
          <w:i/>
          <w:iCs/>
        </w:rPr>
        <w:t>magnitude</w:t>
      </w:r>
      <w:r>
        <w:t xml:space="preserve"> is unclear. A more technical discussion of this conclusion follows.</w:t>
      </w:r>
    </w:p>
    <w:p w14:paraId="77A023E3" w14:textId="77777777" w:rsidR="00767353" w:rsidRDefault="00767353" w:rsidP="00767353">
      <w:pPr>
        <w:pStyle w:val="BodyText"/>
      </w:pPr>
      <w:r>
        <w:t>The longer</w:t>
      </w:r>
      <w:r>
        <w:noBreakHyphen/>
        <w:t>term effect of inheritances on wealth inequality can be estimated by making the following assumptions:</w:t>
      </w:r>
    </w:p>
    <w:p w14:paraId="558DBB37" w14:textId="77777777" w:rsidR="00767353" w:rsidRPr="004043E5" w:rsidRDefault="00767353" w:rsidP="00767353">
      <w:pPr>
        <w:pStyle w:val="ListBullet"/>
      </w:pPr>
      <w:r>
        <w:t xml:space="preserve">The average effect of an additional $1 of inheritance on future wealth did not systematically vary across the initial </w:t>
      </w:r>
      <w:r w:rsidRPr="004043E5">
        <w:t>wealth distribution. This is consistent with the estimates of section B.6.</w:t>
      </w:r>
    </w:p>
    <w:p w14:paraId="395421A5" w14:textId="77777777" w:rsidR="00767353" w:rsidRDefault="00767353" w:rsidP="00767353">
      <w:pPr>
        <w:pStyle w:val="ListBullet"/>
      </w:pPr>
      <w:r w:rsidRPr="004043E5">
        <w:t>The initial wealth distribution is a good proxy for the ‘non</w:t>
      </w:r>
      <w:r w:rsidRPr="004043E5">
        <w:noBreakHyphen/>
        <w:t xml:space="preserve">inheritance’ wealth distribution. When studying inheritances received </w:t>
      </w:r>
      <m:oMath>
        <m:r>
          <w:rPr>
            <w:rFonts w:ascii="Cambria Math" w:hAnsi="Cambria Math"/>
          </w:rPr>
          <m:t>t</m:t>
        </m:r>
      </m:oMath>
      <w:r w:rsidRPr="004043E5">
        <w:t xml:space="preserve"> years ago, non</w:t>
      </w:r>
      <w:r w:rsidRPr="004043E5">
        <w:noBreakHyphen/>
        <w:t>inheritance wealth is equal to initial wealth (wealth immediately prior to receipt of the inheritance) plus the wealth that would have been accumulated or decumulated in the absence of that inheritance. In other words, assume that there was negligible re</w:t>
      </w:r>
      <w:r w:rsidRPr="004043E5">
        <w:noBreakHyphen/>
        <w:t>sorting of the wealth distribution over</w:t>
      </w:r>
      <w:r>
        <w:t xml:space="preserve"> the </w:t>
      </w:r>
      <m:oMath>
        <m:r>
          <w:rPr>
            <w:rFonts w:ascii="Cambria Math" w:hAnsi="Cambria Math"/>
          </w:rPr>
          <m:t>t</m:t>
        </m:r>
      </m:oMath>
      <w:r>
        <w:t xml:space="preserve"> years for reasons other than inheritance.</w:t>
      </w:r>
    </w:p>
    <w:p w14:paraId="6B9B89A9" w14:textId="77777777" w:rsidR="00767353" w:rsidRPr="004043E5" w:rsidRDefault="00767353" w:rsidP="00767353">
      <w:pPr>
        <w:pStyle w:val="BodyText"/>
        <w:rPr>
          <w:spacing w:val="2"/>
        </w:rPr>
      </w:pPr>
      <w:r w:rsidRPr="004043E5">
        <w:rPr>
          <w:spacing w:val="2"/>
        </w:rPr>
        <w:t>If these two assumptions hold, it follows that the average effect of an additional $1 of inheritance on future wealth did not vary across the non</w:t>
      </w:r>
      <w:r w:rsidRPr="004043E5">
        <w:rPr>
          <w:spacing w:val="2"/>
        </w:rPr>
        <w:noBreakHyphen/>
        <w:t>inheritance wealth distribution. This identifies the longer</w:t>
      </w:r>
      <w:r w:rsidRPr="004043E5">
        <w:rPr>
          <w:spacing w:val="2"/>
        </w:rPr>
        <w:noBreakHyphen/>
        <w:t>term effect of inheritances on wealth inequality, as it allows non</w:t>
      </w:r>
      <w:r w:rsidRPr="004043E5">
        <w:rPr>
          <w:spacing w:val="2"/>
        </w:rPr>
        <w:noBreakHyphen/>
        <w:t xml:space="preserve">inheritance wealth to be estimated both 0–3 years and 4–7 years after inheritance receipt. </w:t>
      </w:r>
    </w:p>
    <w:p w14:paraId="48FD069D" w14:textId="77777777" w:rsidR="00767353" w:rsidRDefault="00767353" w:rsidP="00767353">
      <w:pPr>
        <w:pStyle w:val="BodyText"/>
        <w:rPr>
          <w:spacing w:val="-4"/>
        </w:rPr>
      </w:pPr>
      <w:r w:rsidRPr="004043E5">
        <w:rPr>
          <w:spacing w:val="-4"/>
        </w:rPr>
        <w:t>Figure B.11 shows the resulting estimates of the longer</w:t>
      </w:r>
      <w:r w:rsidRPr="004043E5">
        <w:rPr>
          <w:spacing w:val="-4"/>
        </w:rPr>
        <w:noBreakHyphen/>
        <w:t>term effect of inheritances on wealth inequality. The increase to absolute wealth inequality due to inheritances is found to decay over time (figure B.11, panel a), while the reduction in relative wealth inequality due to inheritances is found to grow over time (figure B.11, panel b).</w:t>
      </w:r>
    </w:p>
    <w:p w14:paraId="2DF3965E" w14:textId="77777777" w:rsidR="00767353" w:rsidRDefault="00767353" w:rsidP="00767353">
      <w:pPr>
        <w:pStyle w:val="BodyText"/>
      </w:pPr>
      <w:r>
        <w:t xml:space="preserve">However, these findings should be interpreted with caution. If the average effect of an additional $1 of inheritance on future wealth </w:t>
      </w:r>
      <w:r w:rsidRPr="00133402">
        <w:rPr>
          <w:i/>
          <w:iCs/>
        </w:rPr>
        <w:t xml:space="preserve">did </w:t>
      </w:r>
      <w:r>
        <w:t>vary across the non</w:t>
      </w:r>
      <w:r>
        <w:noBreakHyphen/>
        <w:t>inheritance wealth distribution, the error would directly flow through to the estimated non</w:t>
      </w:r>
      <w:r>
        <w:noBreakHyphen/>
        <w:t>inheritance wealth. For example, suppose that each $1 of inheritance boosted the wealth of people with higher non</w:t>
      </w:r>
      <w:r>
        <w:noBreakHyphen/>
        <w:t>inheritance wealth by more than for people with lower non</w:t>
      </w:r>
      <w:r>
        <w:noBreakHyphen/>
        <w:t>inheritance wealth (as has been found in Sweden; chapter 2). That would mean that absolute and relative non</w:t>
      </w:r>
      <w:r>
        <w:noBreakHyphen/>
        <w:t>inheritance wealth inequality would be lower than modelled 0–3 years and 4–7 years after inheritance receipt, and so the true longer</w:t>
      </w:r>
      <w:r>
        <w:noBreakHyphen/>
        <w:t>term effects would be closer to the true immediate</w:t>
      </w:r>
      <w:r>
        <w:noBreakHyphen/>
        <w:t>term effects.</w:t>
      </w:r>
    </w:p>
    <w:p w14:paraId="74DC6C1D" w14:textId="77777777" w:rsidR="00767353" w:rsidRPr="00AD15C7" w:rsidRDefault="00767353" w:rsidP="00767353">
      <w:pPr>
        <w:pStyle w:val="BodyText"/>
        <w:rPr>
          <w:spacing w:val="-2"/>
        </w:rPr>
      </w:pPr>
      <w:r w:rsidRPr="004043E5">
        <w:rPr>
          <w:spacing w:val="-2"/>
        </w:rPr>
        <w:t xml:space="preserve">Because of the sensitivity of these estimates to the underlying assumptions, it is not reasonable to make claims about the </w:t>
      </w:r>
      <w:r w:rsidRPr="004043E5">
        <w:rPr>
          <w:i/>
          <w:iCs/>
          <w:spacing w:val="-2"/>
        </w:rPr>
        <w:t>magnitude</w:t>
      </w:r>
      <w:r w:rsidRPr="004043E5">
        <w:rPr>
          <w:spacing w:val="-2"/>
        </w:rPr>
        <w:t xml:space="preserve"> of the longer</w:t>
      </w:r>
      <w:r w:rsidRPr="004043E5">
        <w:rPr>
          <w:spacing w:val="-2"/>
        </w:rPr>
        <w:noBreakHyphen/>
        <w:t xml:space="preserve">term effect of inheritances on wealth inequality. However, chapter 2 makes a tentative claim about the </w:t>
      </w:r>
      <w:r w:rsidRPr="004043E5">
        <w:rPr>
          <w:i/>
          <w:iCs/>
          <w:spacing w:val="-2"/>
        </w:rPr>
        <w:t>direction</w:t>
      </w:r>
      <w:r w:rsidRPr="004043E5">
        <w:rPr>
          <w:spacing w:val="-2"/>
        </w:rPr>
        <w:t xml:space="preserve"> of the effect, as it is inherently less sensitive to these assumptions.</w:t>
      </w:r>
    </w:p>
    <w:p w14:paraId="472C77D1" w14:textId="045C5B31" w:rsidR="00767353" w:rsidRPr="00A72D77" w:rsidRDefault="00767353" w:rsidP="00767353">
      <w:pPr>
        <w:pStyle w:val="FigureTableHeading"/>
        <w:rPr>
          <w:spacing w:val="-6"/>
        </w:rPr>
      </w:pPr>
      <w:r w:rsidRPr="00A72D77">
        <w:rPr>
          <w:spacing w:val="-6"/>
        </w:rPr>
        <w:lastRenderedPageBreak/>
        <w:t xml:space="preserve">Figure </w:t>
      </w:r>
      <w:r w:rsidRPr="00A72D77">
        <w:rPr>
          <w:spacing w:val="-6"/>
        </w:rPr>
        <w:fldChar w:fldCharType="begin"/>
      </w:r>
      <w:r w:rsidRPr="00A72D77">
        <w:rPr>
          <w:spacing w:val="-6"/>
        </w:rPr>
        <w:instrText xml:space="preserve"> STYLEREF  \s Heading-Appendix </w:instrText>
      </w:r>
      <w:r w:rsidRPr="00A72D77">
        <w:rPr>
          <w:spacing w:val="-6"/>
        </w:rPr>
        <w:fldChar w:fldCharType="separate"/>
      </w:r>
      <w:r w:rsidR="00F3386D">
        <w:rPr>
          <w:noProof/>
          <w:spacing w:val="-6"/>
        </w:rPr>
        <w:t>B</w:t>
      </w:r>
      <w:r w:rsidRPr="00A72D77">
        <w:rPr>
          <w:spacing w:val="-6"/>
        </w:rPr>
        <w:fldChar w:fldCharType="end"/>
      </w:r>
      <w:r w:rsidRPr="00A72D77">
        <w:rPr>
          <w:spacing w:val="-6"/>
        </w:rPr>
        <w:t>.</w:t>
      </w:r>
      <w:r w:rsidR="004E2EBD">
        <w:rPr>
          <w:spacing w:val="-6"/>
        </w:rPr>
        <w:t>11</w:t>
      </w:r>
      <w:r w:rsidRPr="00A72D77">
        <w:rPr>
          <w:noProof/>
          <w:spacing w:val="-6"/>
        </w:rPr>
        <w:t xml:space="preserve"> </w:t>
      </w:r>
      <w:r w:rsidRPr="00A72D77">
        <w:rPr>
          <w:spacing w:val="-6"/>
        </w:rPr>
        <w:t>– Effects of inheritances on wealth inequality assuming no systematic variation in effect of inheritances on future wealth</w:t>
      </w:r>
      <w:r w:rsidRPr="00A72D77">
        <w:rPr>
          <w:spacing w:val="-6"/>
          <w:vertAlign w:val="superscript"/>
        </w:rPr>
        <w:t>a,b,c</w:t>
      </w:r>
    </w:p>
    <w:p w14:paraId="0FFD5A54" w14:textId="77777777" w:rsidR="00767353" w:rsidRPr="00AC0375" w:rsidRDefault="00767353" w:rsidP="00767353">
      <w:pPr>
        <w:pStyle w:val="FigureTableSubheading"/>
        <w:keepLines/>
        <w:rPr>
          <w:sz w:val="18"/>
          <w:szCs w:val="16"/>
        </w:rPr>
      </w:pPr>
      <w:r w:rsidRPr="00AC0375">
        <w:rPr>
          <w:sz w:val="18"/>
          <w:szCs w:val="16"/>
        </w:rPr>
        <w:t>Modelled effect of inheritances on wealth inequality in the immediate and longer terms</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A72D77" w14:paraId="5E795BC4" w14:textId="77777777" w:rsidTr="00604051">
        <w:trPr>
          <w:tblHeader/>
          <w:jc w:val="center"/>
        </w:trPr>
        <w:tc>
          <w:tcPr>
            <w:tcW w:w="2500" w:type="pct"/>
            <w:tcBorders>
              <w:top w:val="nil"/>
              <w:bottom w:val="nil"/>
            </w:tcBorders>
          </w:tcPr>
          <w:p w14:paraId="057F1459" w14:textId="77777777" w:rsidR="00767353" w:rsidRPr="00A72D77" w:rsidRDefault="00767353" w:rsidP="00604051">
            <w:pPr>
              <w:pStyle w:val="BodyText"/>
              <w:spacing w:before="0" w:after="0"/>
              <w:ind w:left="284" w:hanging="284"/>
              <w:rPr>
                <w:sz w:val="18"/>
                <w:szCs w:val="18"/>
              </w:rPr>
            </w:pPr>
            <w:r w:rsidRPr="00AC0375">
              <w:rPr>
                <w:rFonts w:asciiTheme="majorHAnsi" w:hAnsiTheme="majorHAnsi"/>
                <w:iCs/>
                <w:color w:val="58585B"/>
                <w:sz w:val="16"/>
                <w:szCs w:val="16"/>
              </w:rPr>
              <w:t>a.</w:t>
            </w:r>
            <w:r w:rsidRPr="00AC0375">
              <w:rPr>
                <w:rFonts w:asciiTheme="majorHAnsi" w:hAnsiTheme="majorHAnsi"/>
                <w:iCs/>
                <w:color w:val="58585B"/>
                <w:sz w:val="16"/>
                <w:szCs w:val="16"/>
              </w:rPr>
              <w:tab/>
              <w:t>Effect on absolute wealth inequality</w:t>
            </w:r>
          </w:p>
        </w:tc>
        <w:tc>
          <w:tcPr>
            <w:tcW w:w="2500" w:type="pct"/>
            <w:tcBorders>
              <w:top w:val="nil"/>
              <w:bottom w:val="nil"/>
            </w:tcBorders>
          </w:tcPr>
          <w:p w14:paraId="773C46E9" w14:textId="77777777" w:rsidR="00767353" w:rsidRPr="00A72D77" w:rsidRDefault="00767353" w:rsidP="00604051">
            <w:pPr>
              <w:pStyle w:val="BodyText"/>
              <w:spacing w:before="0" w:after="0"/>
              <w:ind w:left="284" w:hanging="284"/>
              <w:rPr>
                <w:sz w:val="18"/>
                <w:szCs w:val="18"/>
              </w:rPr>
            </w:pPr>
            <w:r w:rsidRPr="00AC0375">
              <w:rPr>
                <w:rFonts w:asciiTheme="majorHAnsi" w:hAnsiTheme="majorHAnsi"/>
                <w:iCs/>
                <w:color w:val="58585B"/>
                <w:sz w:val="16"/>
                <w:szCs w:val="16"/>
              </w:rPr>
              <w:t>b.</w:t>
            </w:r>
            <w:r w:rsidRPr="00AC0375">
              <w:rPr>
                <w:rFonts w:asciiTheme="majorHAnsi" w:hAnsiTheme="majorHAnsi"/>
                <w:iCs/>
                <w:color w:val="58585B"/>
                <w:sz w:val="16"/>
                <w:szCs w:val="16"/>
              </w:rPr>
              <w:tab/>
              <w:t>Effect on relative wealth inequality</w:t>
            </w:r>
          </w:p>
        </w:tc>
      </w:tr>
      <w:tr w:rsidR="00767353" w:rsidRPr="00B1465D" w14:paraId="3FFD8BAE" w14:textId="77777777" w:rsidTr="00604051">
        <w:trPr>
          <w:tblHeader/>
          <w:jc w:val="center"/>
        </w:trPr>
        <w:tc>
          <w:tcPr>
            <w:tcW w:w="2500" w:type="pct"/>
            <w:tcBorders>
              <w:top w:val="nil"/>
              <w:bottom w:val="nil"/>
            </w:tcBorders>
          </w:tcPr>
          <w:p w14:paraId="70C2699B" w14:textId="28975EBB" w:rsidR="00767353" w:rsidRPr="00B1465D" w:rsidRDefault="00546CDA" w:rsidP="00604051">
            <w:pPr>
              <w:spacing w:before="0" w:after="0"/>
              <w:rPr>
                <w:rFonts w:ascii="Arial" w:hAnsi="Arial" w:cs="Arial"/>
                <w:sz w:val="18"/>
                <w:szCs w:val="18"/>
              </w:rPr>
            </w:pPr>
            <w:r>
              <w:rPr>
                <w:rFonts w:ascii="Arial" w:hAnsi="Arial" w:cs="Arial"/>
                <w:sz w:val="18"/>
                <w:szCs w:val="18"/>
              </w:rPr>
              <w:t xml:space="preserve"> </w:t>
            </w:r>
            <w:r w:rsidRPr="00546CDA">
              <w:rPr>
                <w:rFonts w:ascii="Arial" w:hAnsi="Arial" w:cs="Arial"/>
                <w:noProof/>
                <w:sz w:val="18"/>
                <w:szCs w:val="18"/>
              </w:rPr>
              <w:drawing>
                <wp:inline distT="0" distB="0" distL="0" distR="0" wp14:anchorId="05D1CA42" wp14:editId="19C52EA4">
                  <wp:extent cx="2987040" cy="2339340"/>
                  <wp:effectExtent l="0" t="0" r="3810" b="3810"/>
                  <wp:docPr id="278" name="Picture 278" descr="Figure B.11, panel a. This chart shows the modelled effect of inheritances on absolute wealth inequality in the immediate term, 0-3 years after inheritances are received, and 4-7 years after inheritances are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Figure B.11, panel a. This chart shows the modelled effect of inheritances on absolute wealth inequality in the immediate term, 0-3 years after inheritances are received, and 4-7 years after inheritances are received. More details are contained in the text surrounding this figur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c>
          <w:tcPr>
            <w:tcW w:w="2500" w:type="pct"/>
            <w:tcBorders>
              <w:top w:val="nil"/>
              <w:bottom w:val="nil"/>
            </w:tcBorders>
          </w:tcPr>
          <w:p w14:paraId="6D5A65BA" w14:textId="1A3CA83D" w:rsidR="00767353" w:rsidRPr="00B1465D" w:rsidRDefault="00546CDA" w:rsidP="00604051">
            <w:pPr>
              <w:spacing w:before="0" w:after="0"/>
              <w:rPr>
                <w:rFonts w:ascii="Arial" w:hAnsi="Arial" w:cs="Arial"/>
                <w:sz w:val="18"/>
                <w:szCs w:val="18"/>
              </w:rPr>
            </w:pPr>
            <w:r>
              <w:rPr>
                <w:rFonts w:ascii="Arial" w:hAnsi="Arial" w:cs="Arial"/>
                <w:sz w:val="18"/>
                <w:szCs w:val="18"/>
              </w:rPr>
              <w:t xml:space="preserve"> </w:t>
            </w:r>
            <w:r w:rsidRPr="00546CDA">
              <w:rPr>
                <w:rFonts w:ascii="Arial" w:hAnsi="Arial" w:cs="Arial"/>
                <w:noProof/>
                <w:sz w:val="18"/>
                <w:szCs w:val="18"/>
              </w:rPr>
              <w:drawing>
                <wp:inline distT="0" distB="0" distL="0" distR="0" wp14:anchorId="44B6B600" wp14:editId="0DE31034">
                  <wp:extent cx="2987040" cy="2339340"/>
                  <wp:effectExtent l="0" t="0" r="3810" b="3810"/>
                  <wp:docPr id="277" name="Picture 277" descr="Figure B.11, panel b. This chart shows the modelled effect of inheritances on relative wealth inequality in the immediate term, 0-3 years after inheritances are received, and 4-7 years after inheritances are received.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igure B.11, panel b. This chart shows the modelled effect of inheritances on relative wealth inequality in the immediate term, 0-3 years after inheritances are received, and 4-7 years after inheritances are received. More details are contained in the text surrounding this figur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a:ln>
                            <a:noFill/>
                          </a:ln>
                        </pic:spPr>
                      </pic:pic>
                    </a:graphicData>
                  </a:graphic>
                </wp:inline>
              </w:drawing>
            </w:r>
          </w:p>
        </w:tc>
      </w:tr>
    </w:tbl>
    <w:p w14:paraId="7CE45678" w14:textId="77777777" w:rsidR="00767353" w:rsidRPr="00A72D77" w:rsidRDefault="00767353" w:rsidP="00767353">
      <w:pPr>
        <w:pStyle w:val="Note"/>
        <w:keepLines/>
        <w:rPr>
          <w:spacing w:val="-4"/>
        </w:rPr>
      </w:pPr>
      <w:r w:rsidRPr="00A72D77">
        <w:rPr>
          <w:b/>
          <w:bCs/>
          <w:spacing w:val="-4"/>
        </w:rPr>
        <w:t>a.</w:t>
      </w:r>
      <w:r w:rsidRPr="00A72D77">
        <w:rPr>
          <w:spacing w:val="-4"/>
        </w:rPr>
        <w:t xml:space="preserve"> The immediate</w:t>
      </w:r>
      <w:r w:rsidRPr="00A72D77">
        <w:rPr>
          <w:spacing w:val="-4"/>
        </w:rPr>
        <w:noBreakHyphen/>
        <w:t>term effect is the sum of the differences between the Gini/absolute Gini coefficient of the initial wealth distributions and the Gini/absolute Gini coefficient of the post</w:t>
      </w:r>
      <w:r w:rsidRPr="00A72D77">
        <w:rPr>
          <w:spacing w:val="-4"/>
        </w:rPr>
        <w:noBreakHyphen/>
        <w:t>inheritance wealth distributions — the difference between the Gini/absolute Gini coefficient of the 2002 wealth distribution and the Gini/absolute Gini coefficient of the 2002 wealth</w:t>
      </w:r>
      <w:r w:rsidRPr="00A72D77">
        <w:rPr>
          <w:spacing w:val="-4"/>
        </w:rPr>
        <w:noBreakHyphen/>
        <w:t>plus</w:t>
      </w:r>
      <w:r w:rsidRPr="00A72D77">
        <w:rPr>
          <w:spacing w:val="-4"/>
        </w:rPr>
        <w:noBreakHyphen/>
        <w:t>inheritances</w:t>
      </w:r>
      <w:r w:rsidRPr="00A72D77">
        <w:rPr>
          <w:spacing w:val="-4"/>
        </w:rPr>
        <w:noBreakHyphen/>
        <w:t>received</w:t>
      </w:r>
      <w:r w:rsidRPr="00A72D77">
        <w:rPr>
          <w:spacing w:val="-4"/>
        </w:rPr>
        <w:noBreakHyphen/>
        <w:t>between</w:t>
      </w:r>
      <w:r w:rsidRPr="00A72D77">
        <w:rPr>
          <w:spacing w:val="-4"/>
        </w:rPr>
        <w:noBreakHyphen/>
        <w:t>mid</w:t>
      </w:r>
      <w:r w:rsidRPr="00A72D77">
        <w:rPr>
          <w:spacing w:val="-4"/>
        </w:rPr>
        <w:noBreakHyphen/>
        <w:t>2003</w:t>
      </w:r>
      <w:r w:rsidRPr="00A72D77">
        <w:rPr>
          <w:spacing w:val="-4"/>
        </w:rPr>
        <w:noBreakHyphen/>
        <w:t>and</w:t>
      </w:r>
      <w:r w:rsidRPr="00A72D77">
        <w:rPr>
          <w:spacing w:val="-4"/>
        </w:rPr>
        <w:noBreakHyphen/>
        <w:t>mid</w:t>
      </w:r>
      <w:r w:rsidRPr="00A72D77">
        <w:rPr>
          <w:spacing w:val="-4"/>
        </w:rPr>
        <w:noBreakHyphen/>
        <w:t>2006 distribution, plus the Gini/absolute Gini coefficient of the 2006 wealth distribution and the Gini/absolute Gini coefficient of the 2006 wealth</w:t>
      </w:r>
      <w:r w:rsidRPr="00A72D77">
        <w:rPr>
          <w:spacing w:val="-4"/>
        </w:rPr>
        <w:noBreakHyphen/>
        <w:t>plus</w:t>
      </w:r>
      <w:r w:rsidRPr="00A72D77">
        <w:rPr>
          <w:spacing w:val="-4"/>
        </w:rPr>
        <w:noBreakHyphen/>
        <w:t>inheritances</w:t>
      </w:r>
      <w:r w:rsidRPr="00A72D77">
        <w:rPr>
          <w:spacing w:val="-4"/>
        </w:rPr>
        <w:noBreakHyphen/>
        <w:t>received</w:t>
      </w:r>
      <w:r w:rsidRPr="00A72D77">
        <w:rPr>
          <w:spacing w:val="-4"/>
        </w:rPr>
        <w:noBreakHyphen/>
        <w:t>between</w:t>
      </w:r>
      <w:r w:rsidRPr="00A72D77">
        <w:rPr>
          <w:spacing w:val="-4"/>
        </w:rPr>
        <w:noBreakHyphen/>
      </w:r>
      <w:r>
        <w:rPr>
          <w:spacing w:val="-4"/>
        </w:rPr>
        <w:br/>
      </w:r>
      <w:r w:rsidRPr="00A72D77">
        <w:rPr>
          <w:spacing w:val="-4"/>
        </w:rPr>
        <w:t>mid</w:t>
      </w:r>
      <w:r w:rsidRPr="00A72D77">
        <w:rPr>
          <w:spacing w:val="-4"/>
        </w:rPr>
        <w:noBreakHyphen/>
        <w:t>2007</w:t>
      </w:r>
      <w:r w:rsidRPr="00A72D77">
        <w:rPr>
          <w:spacing w:val="-4"/>
        </w:rPr>
        <w:noBreakHyphen/>
        <w:t>and</w:t>
      </w:r>
      <w:r w:rsidRPr="00A72D77">
        <w:rPr>
          <w:spacing w:val="-4"/>
        </w:rPr>
        <w:noBreakHyphen/>
        <w:t>mid</w:t>
      </w:r>
      <w:r w:rsidRPr="00A72D77">
        <w:rPr>
          <w:spacing w:val="-4"/>
        </w:rPr>
        <w:noBreakHyphen/>
        <w:t>2010 distribution, plus the Gini/absolute Gini coefficient of the 2010 wealth distribution and the absolute Gini coefficient of the 2010 wealth</w:t>
      </w:r>
      <w:r w:rsidRPr="00A72D77">
        <w:rPr>
          <w:spacing w:val="-4"/>
        </w:rPr>
        <w:noBreakHyphen/>
        <w:t>plus</w:t>
      </w:r>
      <w:r w:rsidRPr="00A72D77">
        <w:rPr>
          <w:spacing w:val="-4"/>
        </w:rPr>
        <w:noBreakHyphen/>
        <w:t>inheritances</w:t>
      </w:r>
      <w:r w:rsidRPr="00A72D77">
        <w:rPr>
          <w:spacing w:val="-4"/>
        </w:rPr>
        <w:noBreakHyphen/>
        <w:t>received</w:t>
      </w:r>
      <w:r w:rsidRPr="00A72D77">
        <w:rPr>
          <w:spacing w:val="-4"/>
        </w:rPr>
        <w:noBreakHyphen/>
        <w:t>between</w:t>
      </w:r>
      <w:r w:rsidRPr="00A72D77">
        <w:rPr>
          <w:spacing w:val="-4"/>
        </w:rPr>
        <w:noBreakHyphen/>
        <w:t>mid</w:t>
      </w:r>
      <w:r w:rsidRPr="00A72D77">
        <w:rPr>
          <w:spacing w:val="-4"/>
        </w:rPr>
        <w:noBreakHyphen/>
        <w:t>2011</w:t>
      </w:r>
      <w:r w:rsidRPr="00A72D77">
        <w:rPr>
          <w:spacing w:val="-4"/>
        </w:rPr>
        <w:noBreakHyphen/>
        <w:t>and</w:t>
      </w:r>
      <w:r w:rsidRPr="00A72D77">
        <w:rPr>
          <w:spacing w:val="-4"/>
        </w:rPr>
        <w:noBreakHyphen/>
        <w:t>mid</w:t>
      </w:r>
      <w:r w:rsidRPr="00A72D77">
        <w:rPr>
          <w:spacing w:val="-4"/>
        </w:rPr>
        <w:noBreakHyphen/>
        <w:t>2014 distribution.</w:t>
      </w:r>
      <w:r w:rsidRPr="00A72D77" w:rsidDel="00D765D5">
        <w:rPr>
          <w:spacing w:val="-4"/>
        </w:rPr>
        <w:t xml:space="preserve"> </w:t>
      </w:r>
      <w:r w:rsidRPr="00A72D77">
        <w:rPr>
          <w:b/>
          <w:spacing w:val="-4"/>
        </w:rPr>
        <w:t>b.</w:t>
      </w:r>
      <w:r w:rsidRPr="00A72D77">
        <w:rPr>
          <w:spacing w:val="-4"/>
        </w:rPr>
        <w:t xml:space="preserve"> The longer</w:t>
      </w:r>
      <w:r w:rsidRPr="00A72D77">
        <w:rPr>
          <w:spacing w:val="-4"/>
        </w:rPr>
        <w:noBreakHyphen/>
        <w:t>term effects are sums of the differences between the Gini/absolute Gini coefficient of the non</w:t>
      </w:r>
      <w:r w:rsidRPr="00A72D77">
        <w:rPr>
          <w:spacing w:val="-4"/>
        </w:rPr>
        <w:noBreakHyphen/>
        <w:t>inheritance wealth distributions and the Gini/absolute Gini coefficient of the post</w:t>
      </w:r>
      <w:r w:rsidRPr="00A72D77">
        <w:rPr>
          <w:spacing w:val="-4"/>
        </w:rPr>
        <w:noBreakHyphen/>
        <w:t>inheritance wealth distributions — the 0–3 years later effect is the difference between the Gini/absolute Gini coefficient of the 2006 wealth</w:t>
      </w:r>
      <w:r w:rsidRPr="00A72D77">
        <w:rPr>
          <w:spacing w:val="-4"/>
        </w:rPr>
        <w:noBreakHyphen/>
        <w:t>less</w:t>
      </w:r>
      <w:r w:rsidRPr="00A72D77">
        <w:rPr>
          <w:spacing w:val="-4"/>
        </w:rPr>
        <w:noBreakHyphen/>
        <w:t>the</w:t>
      </w:r>
      <w:r w:rsidRPr="00A72D77">
        <w:rPr>
          <w:spacing w:val="-4"/>
        </w:rPr>
        <w:noBreakHyphen/>
        <w:t>modelled</w:t>
      </w:r>
      <w:r w:rsidRPr="00A72D77">
        <w:rPr>
          <w:spacing w:val="-4"/>
        </w:rPr>
        <w:noBreakHyphen/>
        <w:t>contribution</w:t>
      </w:r>
      <w:r w:rsidRPr="00A72D77">
        <w:rPr>
          <w:spacing w:val="-4"/>
        </w:rPr>
        <w:noBreakHyphen/>
        <w:t>of</w:t>
      </w:r>
      <w:r w:rsidRPr="00A72D77">
        <w:rPr>
          <w:spacing w:val="-4"/>
        </w:rPr>
        <w:noBreakHyphen/>
        <w:t>inheritances</w:t>
      </w:r>
      <w:r w:rsidRPr="00A72D77">
        <w:rPr>
          <w:spacing w:val="-4"/>
        </w:rPr>
        <w:noBreakHyphen/>
        <w:t>received</w:t>
      </w:r>
      <w:r w:rsidRPr="00A72D77">
        <w:rPr>
          <w:spacing w:val="-4"/>
        </w:rPr>
        <w:noBreakHyphen/>
        <w:t>between</w:t>
      </w:r>
      <w:r w:rsidRPr="00A72D77">
        <w:rPr>
          <w:spacing w:val="-4"/>
        </w:rPr>
        <w:noBreakHyphen/>
      </w:r>
      <w:r>
        <w:rPr>
          <w:spacing w:val="-4"/>
        </w:rPr>
        <w:br/>
      </w:r>
      <w:r w:rsidRPr="00A72D77">
        <w:rPr>
          <w:spacing w:val="-4"/>
        </w:rPr>
        <w:t>mid</w:t>
      </w:r>
      <w:r w:rsidRPr="00A72D77">
        <w:rPr>
          <w:spacing w:val="-4"/>
        </w:rPr>
        <w:noBreakHyphen/>
        <w:t>2003</w:t>
      </w:r>
      <w:r w:rsidRPr="00A72D77">
        <w:rPr>
          <w:spacing w:val="-4"/>
        </w:rPr>
        <w:noBreakHyphen/>
        <w:t>and</w:t>
      </w:r>
      <w:r w:rsidRPr="00A72D77">
        <w:rPr>
          <w:spacing w:val="-4"/>
        </w:rPr>
        <w:noBreakHyphen/>
        <w:t>mid</w:t>
      </w:r>
      <w:r w:rsidRPr="00A72D77">
        <w:rPr>
          <w:spacing w:val="-4"/>
        </w:rPr>
        <w:noBreakHyphen/>
        <w:t>2006 distribution and the 2006 wealth distribution, and so on. The 4–7 years later effect is the difference between the Gini/absolute Gini coefficient of the 2010 wealth</w:t>
      </w:r>
      <w:r w:rsidRPr="00A72D77">
        <w:rPr>
          <w:spacing w:val="-4"/>
        </w:rPr>
        <w:noBreakHyphen/>
        <w:t>less</w:t>
      </w:r>
      <w:r w:rsidRPr="00A72D77">
        <w:rPr>
          <w:spacing w:val="-4"/>
        </w:rPr>
        <w:noBreakHyphen/>
        <w:t>the</w:t>
      </w:r>
      <w:r w:rsidRPr="00A72D77">
        <w:rPr>
          <w:spacing w:val="-4"/>
        </w:rPr>
        <w:noBreakHyphen/>
        <w:t>modelled</w:t>
      </w:r>
      <w:r w:rsidRPr="00A72D77">
        <w:rPr>
          <w:spacing w:val="-4"/>
        </w:rPr>
        <w:noBreakHyphen/>
        <w:t>contribution</w:t>
      </w:r>
      <w:r w:rsidRPr="00A72D77">
        <w:rPr>
          <w:spacing w:val="-4"/>
        </w:rPr>
        <w:noBreakHyphen/>
        <w:t>of</w:t>
      </w:r>
      <w:r w:rsidRPr="00A72D77">
        <w:rPr>
          <w:spacing w:val="-4"/>
        </w:rPr>
        <w:noBreakHyphen/>
        <w:t>inheritances</w:t>
      </w:r>
      <w:r w:rsidRPr="00A72D77">
        <w:rPr>
          <w:spacing w:val="-4"/>
        </w:rPr>
        <w:noBreakHyphen/>
        <w:t>received</w:t>
      </w:r>
      <w:r w:rsidRPr="00A72D77">
        <w:rPr>
          <w:spacing w:val="-4"/>
        </w:rPr>
        <w:noBreakHyphen/>
        <w:t>between</w:t>
      </w:r>
      <w:r w:rsidRPr="00A72D77">
        <w:rPr>
          <w:spacing w:val="-4"/>
        </w:rPr>
        <w:noBreakHyphen/>
      </w:r>
      <w:r>
        <w:rPr>
          <w:spacing w:val="-4"/>
        </w:rPr>
        <w:br/>
      </w:r>
      <w:r w:rsidRPr="00A72D77">
        <w:rPr>
          <w:spacing w:val="-4"/>
        </w:rPr>
        <w:t>mid</w:t>
      </w:r>
      <w:r w:rsidRPr="00A72D77">
        <w:rPr>
          <w:spacing w:val="-4"/>
        </w:rPr>
        <w:noBreakHyphen/>
        <w:t>2003</w:t>
      </w:r>
      <w:r w:rsidRPr="00A72D77">
        <w:rPr>
          <w:spacing w:val="-4"/>
        </w:rPr>
        <w:noBreakHyphen/>
        <w:t>and</w:t>
      </w:r>
      <w:r w:rsidRPr="00A72D77">
        <w:rPr>
          <w:spacing w:val="-4"/>
        </w:rPr>
        <w:noBreakHyphen/>
        <w:t>mid</w:t>
      </w:r>
      <w:r w:rsidRPr="00A72D77">
        <w:rPr>
          <w:spacing w:val="-4"/>
        </w:rPr>
        <w:noBreakHyphen/>
        <w:t xml:space="preserve">2006 distribution and the 2010 wealth distribution, and so on. </w:t>
      </w:r>
      <w:r w:rsidRPr="00A72D77">
        <w:rPr>
          <w:b/>
          <w:spacing w:val="-4"/>
        </w:rPr>
        <w:t>c.</w:t>
      </w:r>
      <w:r w:rsidRPr="00A72D77">
        <w:rPr>
          <w:spacing w:val="-4"/>
        </w:rPr>
        <w:t xml:space="preserve"> Assumes that each $1 of inheritance received 0–3 years ago increase real household wealth by $0.99, and that each $1 of inheritance received 4–7 years ago increase real household wealth by $0.91.</w:t>
      </w:r>
    </w:p>
    <w:p w14:paraId="5ED625A4" w14:textId="77777777" w:rsidR="00767353" w:rsidRDefault="00767353" w:rsidP="00767353">
      <w:pPr>
        <w:pStyle w:val="Source"/>
      </w:pPr>
      <w:r w:rsidRPr="00696447">
        <w:t xml:space="preserve">Source: </w:t>
      </w:r>
      <w:r>
        <w:t>Productivity Commission estimates based on HILDA Restricted Release 19.</w:t>
      </w:r>
    </w:p>
    <w:p w14:paraId="586EDBB8" w14:textId="77777777" w:rsidR="00767353" w:rsidRPr="00A95740" w:rsidRDefault="00767353" w:rsidP="00767353">
      <w:pPr>
        <w:pStyle w:val="BodyText"/>
      </w:pPr>
    </w:p>
    <w:p w14:paraId="2FF00533" w14:textId="77777777" w:rsidR="00767353" w:rsidRPr="00B25692" w:rsidRDefault="00767353" w:rsidP="00767353">
      <w:pPr>
        <w:pStyle w:val="BodyText"/>
        <w:sectPr w:rsidR="00767353" w:rsidRPr="00B25692" w:rsidSect="00604051">
          <w:headerReference w:type="even" r:id="rId155"/>
          <w:headerReference w:type="default" r:id="rId156"/>
          <w:footerReference w:type="even" r:id="rId157"/>
          <w:footerReference w:type="default" r:id="rId158"/>
          <w:type w:val="oddPage"/>
          <w:pgSz w:w="11906" w:h="16838" w:code="9"/>
          <w:pgMar w:top="1134" w:right="1134" w:bottom="1134" w:left="1134" w:header="794" w:footer="510" w:gutter="0"/>
          <w:cols w:space="708"/>
          <w:docGrid w:linePitch="360"/>
        </w:sectPr>
      </w:pPr>
    </w:p>
    <w:p w14:paraId="260449D3" w14:textId="77777777" w:rsidR="00767353" w:rsidRDefault="00767353" w:rsidP="00132C71">
      <w:pPr>
        <w:pStyle w:val="Heading-Appendix"/>
        <w:numPr>
          <w:ilvl w:val="0"/>
          <w:numId w:val="9"/>
        </w:numPr>
      </w:pPr>
      <w:bookmarkStart w:id="64" w:name="_Toc87543970"/>
      <w:r w:rsidRPr="00E81A66">
        <w:lastRenderedPageBreak/>
        <w:t>Modelling effects of future wealth transfers on inequality</w:t>
      </w:r>
      <w:bookmarkEnd w:id="64"/>
    </w:p>
    <w:p w14:paraId="0D90E465" w14:textId="77777777" w:rsidR="00767353" w:rsidRDefault="00767353" w:rsidP="00767353">
      <w:pPr>
        <w:pStyle w:val="BodyText"/>
      </w:pPr>
      <w:r>
        <w:t>Chapter 3 examined the potential effects of wealth transfers</w:t>
      </w:r>
      <w:r w:rsidRPr="00691E8B">
        <w:rPr>
          <w:rStyle w:val="FootnoteReference"/>
        </w:rPr>
        <w:footnoteReference w:id="66"/>
      </w:r>
      <w:r>
        <w:t xml:space="preserve"> on future wealth inequality within generations and across age groups. This appendix describes in greater detail the dynamic cohort simulation model used to produce these results, including:</w:t>
      </w:r>
    </w:p>
    <w:p w14:paraId="0A96A7C6" w14:textId="77777777" w:rsidR="00767353" w:rsidRPr="00FB2BEE" w:rsidRDefault="00767353" w:rsidP="00767353">
      <w:pPr>
        <w:pStyle w:val="ListBullet"/>
      </w:pPr>
      <w:r w:rsidRPr="00FB2BEE">
        <w:t>model selection (section C.1)</w:t>
      </w:r>
    </w:p>
    <w:p w14:paraId="50AF096E" w14:textId="77777777" w:rsidR="00767353" w:rsidRPr="00FB2BEE" w:rsidRDefault="00767353" w:rsidP="00767353">
      <w:pPr>
        <w:pStyle w:val="ListBullet"/>
      </w:pPr>
      <w:r w:rsidRPr="00FB2BEE">
        <w:t xml:space="preserve">model structure (section C.2) </w:t>
      </w:r>
    </w:p>
    <w:p w14:paraId="6609AB22" w14:textId="77777777" w:rsidR="00767353" w:rsidRPr="00FB2BEE" w:rsidRDefault="00767353" w:rsidP="00767353">
      <w:pPr>
        <w:pStyle w:val="ListBullet"/>
      </w:pPr>
      <w:r w:rsidRPr="00FB2BEE">
        <w:t xml:space="preserve">the data and parameters used in the base scenario (section C.3) </w:t>
      </w:r>
    </w:p>
    <w:p w14:paraId="1BF71FF4" w14:textId="77777777" w:rsidR="00767353" w:rsidRDefault="00767353" w:rsidP="00767353">
      <w:pPr>
        <w:pStyle w:val="ListBullet"/>
      </w:pPr>
      <w:r w:rsidRPr="00FB2BEE">
        <w:t>further details</w:t>
      </w:r>
      <w:r>
        <w:t xml:space="preserve"> of results and scenario analyses that were not covered in chapter 3 (section C.4).</w:t>
      </w:r>
    </w:p>
    <w:p w14:paraId="72919CFE" w14:textId="77777777" w:rsidR="00767353" w:rsidRDefault="00767353" w:rsidP="00132C71">
      <w:pPr>
        <w:pStyle w:val="Heading2-Appendix"/>
      </w:pPr>
      <w:r>
        <w:t>Model selection</w:t>
      </w:r>
    </w:p>
    <w:p w14:paraId="5740B5CE" w14:textId="77777777" w:rsidR="00767353" w:rsidRPr="007248C1" w:rsidRDefault="00767353" w:rsidP="00767353">
      <w:pPr>
        <w:pStyle w:val="Heading3"/>
        <w:spacing w:before="280"/>
      </w:pPr>
      <w:r>
        <w:t>Types of models for projecting wealth and wealth transfers</w:t>
      </w:r>
    </w:p>
    <w:p w14:paraId="688B91A6" w14:textId="77777777" w:rsidR="00767353" w:rsidRDefault="00767353" w:rsidP="00767353">
      <w:pPr>
        <w:pStyle w:val="BodyText"/>
      </w:pPr>
      <w:r>
        <w:t>Past empirical research focusing on wealth accumulation in the future (such as analysing retirement incomes) and wealth transfers have used a range of modelling approaches (</w:t>
      </w:r>
      <w:r w:rsidRPr="003A42D3">
        <w:t>table </w:t>
      </w:r>
      <w:r w:rsidRPr="006F537F">
        <w:t>C.1</w:t>
      </w:r>
      <w:r w:rsidRPr="003A42D3">
        <w:t>), including</w:t>
      </w:r>
      <w:r>
        <w:t>:</w:t>
      </w:r>
    </w:p>
    <w:p w14:paraId="4D5F8A22" w14:textId="77777777" w:rsidR="00767353" w:rsidRPr="00FB2BEE" w:rsidRDefault="00767353" w:rsidP="00767353">
      <w:pPr>
        <w:pStyle w:val="ListBullet"/>
      </w:pPr>
      <w:r w:rsidRPr="00FB2BEE">
        <w:t xml:space="preserve">basic projections </w:t>
      </w:r>
    </w:p>
    <w:p w14:paraId="65432BB7" w14:textId="77777777" w:rsidR="00767353" w:rsidRPr="00FB2BEE" w:rsidRDefault="00767353" w:rsidP="00767353">
      <w:pPr>
        <w:pStyle w:val="ListBullet"/>
      </w:pPr>
      <w:r w:rsidRPr="00FB2BEE">
        <w:t>dynamic cameo simulations</w:t>
      </w:r>
    </w:p>
    <w:p w14:paraId="5CF104DD" w14:textId="77777777" w:rsidR="00767353" w:rsidRPr="00FB2BEE" w:rsidRDefault="00767353" w:rsidP="00767353">
      <w:pPr>
        <w:pStyle w:val="ListBullet"/>
      </w:pPr>
      <w:r w:rsidRPr="00FB2BEE">
        <w:t>dynamic cohort simulations (or group simulations)</w:t>
      </w:r>
    </w:p>
    <w:p w14:paraId="25547604" w14:textId="77777777" w:rsidR="00767353" w:rsidRPr="00FB2BEE" w:rsidRDefault="00767353" w:rsidP="00767353">
      <w:pPr>
        <w:pStyle w:val="ListBullet"/>
      </w:pPr>
      <w:r w:rsidRPr="00FB2BEE">
        <w:t>dynamic microsimulations</w:t>
      </w:r>
    </w:p>
    <w:p w14:paraId="3440483A" w14:textId="77777777" w:rsidR="00767353" w:rsidRDefault="00767353" w:rsidP="00767353">
      <w:pPr>
        <w:pStyle w:val="ListBullet"/>
      </w:pPr>
      <w:r w:rsidRPr="00FB2BEE">
        <w:t>overlapping generations (OLG) models</w:t>
      </w:r>
      <w:r>
        <w:t xml:space="preserve"> with heterogeneous agents.</w:t>
      </w:r>
    </w:p>
    <w:p w14:paraId="211FAB92" w14:textId="77777777" w:rsidR="00767353" w:rsidRDefault="00767353" w:rsidP="00767353">
      <w:pPr>
        <w:pStyle w:val="BodyText"/>
      </w:pPr>
      <w:r>
        <w:t>Basic projections and dynamic cameo simulations are not suited to investigating the effect of wealth transfers on wealth inequality across the population, which was the key aim of this study.</w:t>
      </w:r>
    </w:p>
    <w:p w14:paraId="261BBAAE" w14:textId="77777777" w:rsidR="00FD04BB" w:rsidRDefault="00FD04BB" w:rsidP="00FD04BB">
      <w:pPr>
        <w:pStyle w:val="BodyText"/>
      </w:pPr>
      <w:r>
        <w:t>Cohort simulation, microsimulation and OLG models with heterogeneous agents can shed light on the future size of wealth transfers at an aggregate level and the potential effects on wealth inequality. Microsimulation and OLG models with heterogeneous agents are able to provide more detailed estimates but in order to achieve this are considerably more data and resource intensive than cohort simulations. Moreover, the granularity gained from added complexity is somewhat illusory, given the inherent uncertainty involved when projecting decades into the future. OLG models are also complicated by the additional challenges of calibrating behavioural parameters (described below).</w:t>
      </w:r>
    </w:p>
    <w:p w14:paraId="3625EA57" w14:textId="77777777" w:rsidR="00FD04BB" w:rsidRDefault="00FD04BB" w:rsidP="00767353">
      <w:pPr>
        <w:pStyle w:val="BodyText"/>
      </w:pPr>
    </w:p>
    <w:p w14:paraId="5705B2FD" w14:textId="6C5D7FD5" w:rsidR="00767353" w:rsidRDefault="00767353" w:rsidP="00767353">
      <w:pPr>
        <w:pStyle w:val="FigureTableHeading"/>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373EBD">
        <w:t>1</w:t>
      </w:r>
      <w:r>
        <w:rPr>
          <w:noProof/>
        </w:rPr>
        <w:t xml:space="preserve"> – </w:t>
      </w:r>
      <w:r>
        <w:t>Select modelling approaches for projecting wealth</w:t>
      </w:r>
    </w:p>
    <w:tbl>
      <w:tblPr>
        <w:tblW w:w="0" w:type="auto"/>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2079"/>
        <w:gridCol w:w="2278"/>
        <w:gridCol w:w="1537"/>
        <w:gridCol w:w="2043"/>
      </w:tblGrid>
      <w:tr w:rsidR="00767353" w:rsidRPr="00FB2BEE" w14:paraId="633F8F0E" w14:textId="77777777" w:rsidTr="00604051">
        <w:trPr>
          <w:tblHeader/>
        </w:trPr>
        <w:tc>
          <w:tcPr>
            <w:tcW w:w="1701" w:type="dxa"/>
            <w:vMerge w:val="restart"/>
            <w:tcBorders>
              <w:bottom w:val="single" w:sz="4" w:space="0" w:color="B3B3B3"/>
            </w:tcBorders>
            <w:shd w:val="clear" w:color="auto" w:fill="auto"/>
            <w:tcMar>
              <w:top w:w="28" w:type="dxa"/>
            </w:tcMar>
            <w:vAlign w:val="bottom"/>
          </w:tcPr>
          <w:p w14:paraId="10B08189" w14:textId="77777777" w:rsidR="00767353" w:rsidRPr="00FB2BEE" w:rsidRDefault="00767353" w:rsidP="00604051">
            <w:pPr>
              <w:pStyle w:val="TableColumnHeading"/>
              <w:spacing w:before="45" w:after="45"/>
              <w:ind w:left="57" w:right="108"/>
              <w:jc w:val="left"/>
              <w:rPr>
                <w:rFonts w:ascii="Arial (Body)" w:hAnsi="Arial (Body)"/>
                <w:b/>
                <w:i w:val="0"/>
                <w:color w:val="265A9A"/>
              </w:rPr>
            </w:pPr>
            <w:r w:rsidRPr="00FB2BEE">
              <w:rPr>
                <w:rFonts w:ascii="Arial (Body)" w:hAnsi="Arial (Body)"/>
                <w:b/>
                <w:i w:val="0"/>
                <w:color w:val="265A9A"/>
              </w:rPr>
              <w:t>Type of model</w:t>
            </w:r>
          </w:p>
        </w:tc>
        <w:tc>
          <w:tcPr>
            <w:tcW w:w="2079" w:type="dxa"/>
            <w:vMerge w:val="restart"/>
            <w:tcBorders>
              <w:bottom w:val="single" w:sz="4" w:space="0" w:color="B3B3B3"/>
            </w:tcBorders>
            <w:shd w:val="clear" w:color="auto" w:fill="auto"/>
            <w:vAlign w:val="bottom"/>
          </w:tcPr>
          <w:p w14:paraId="5E660E47" w14:textId="77777777" w:rsidR="00767353" w:rsidRPr="00FB2BEE" w:rsidRDefault="00767353" w:rsidP="00604051">
            <w:pPr>
              <w:pStyle w:val="TableColumnHeading"/>
              <w:spacing w:before="45" w:after="45"/>
              <w:ind w:left="57" w:right="108"/>
              <w:jc w:val="left"/>
              <w:rPr>
                <w:rFonts w:ascii="Arial (Body)" w:hAnsi="Arial (Body)"/>
                <w:b/>
                <w:i w:val="0"/>
                <w:color w:val="265A9A"/>
              </w:rPr>
            </w:pPr>
            <w:r w:rsidRPr="00FB2BEE">
              <w:rPr>
                <w:rFonts w:ascii="Arial (Body)" w:hAnsi="Arial (Body)"/>
                <w:b/>
                <w:i w:val="0"/>
                <w:color w:val="265A9A"/>
              </w:rPr>
              <w:t xml:space="preserve">Description </w:t>
            </w:r>
          </w:p>
        </w:tc>
        <w:tc>
          <w:tcPr>
            <w:tcW w:w="2278" w:type="dxa"/>
            <w:vMerge w:val="restart"/>
            <w:tcBorders>
              <w:bottom w:val="single" w:sz="4" w:space="0" w:color="B3B3B3"/>
            </w:tcBorders>
            <w:shd w:val="clear" w:color="auto" w:fill="auto"/>
            <w:vAlign w:val="bottom"/>
          </w:tcPr>
          <w:p w14:paraId="0C3EABC3" w14:textId="77777777" w:rsidR="00767353" w:rsidRPr="00FB2BEE" w:rsidRDefault="00767353" w:rsidP="00604051">
            <w:pPr>
              <w:pStyle w:val="TableColumnHeading"/>
              <w:spacing w:before="45" w:after="45"/>
              <w:ind w:left="57" w:right="108"/>
              <w:jc w:val="left"/>
              <w:rPr>
                <w:rFonts w:ascii="Arial (Body)" w:hAnsi="Arial (Body)"/>
                <w:b/>
                <w:i w:val="0"/>
                <w:color w:val="265A9A"/>
              </w:rPr>
            </w:pPr>
            <w:r w:rsidRPr="00FB2BEE">
              <w:rPr>
                <w:rFonts w:ascii="Arial (Body)" w:hAnsi="Arial (Body)"/>
                <w:b/>
                <w:i w:val="0"/>
                <w:color w:val="265A9A"/>
              </w:rPr>
              <w:t>Example</w:t>
            </w:r>
          </w:p>
        </w:tc>
        <w:tc>
          <w:tcPr>
            <w:tcW w:w="1537" w:type="dxa"/>
            <w:tcBorders>
              <w:bottom w:val="single" w:sz="4" w:space="0" w:color="B3B3B3"/>
            </w:tcBorders>
            <w:shd w:val="clear" w:color="auto" w:fill="auto"/>
          </w:tcPr>
          <w:p w14:paraId="5B5015E1" w14:textId="77777777" w:rsidR="00767353" w:rsidRPr="00FB2BEE" w:rsidRDefault="00767353" w:rsidP="00604051">
            <w:pPr>
              <w:pStyle w:val="TableColumnHeading"/>
              <w:spacing w:before="45" w:after="45"/>
              <w:ind w:left="57" w:right="108"/>
              <w:jc w:val="left"/>
              <w:rPr>
                <w:rFonts w:ascii="Arial (Body)" w:hAnsi="Arial (Body)"/>
                <w:b/>
                <w:i w:val="0"/>
                <w:color w:val="265A9A"/>
              </w:rPr>
            </w:pPr>
            <w:r w:rsidRPr="00FB2BEE">
              <w:rPr>
                <w:rFonts w:ascii="Arial (Body)" w:hAnsi="Arial (Body)"/>
                <w:b/>
                <w:i w:val="0"/>
                <w:color w:val="265A9A"/>
              </w:rPr>
              <w:t>Attributes</w:t>
            </w:r>
          </w:p>
        </w:tc>
        <w:tc>
          <w:tcPr>
            <w:tcW w:w="2043" w:type="dxa"/>
            <w:tcBorders>
              <w:bottom w:val="single" w:sz="4" w:space="0" w:color="B3B3B3"/>
            </w:tcBorders>
            <w:shd w:val="clear" w:color="auto" w:fill="auto"/>
          </w:tcPr>
          <w:p w14:paraId="2A6441DD" w14:textId="77777777" w:rsidR="00767353" w:rsidRPr="00FB2BEE" w:rsidRDefault="00767353" w:rsidP="00604051">
            <w:pPr>
              <w:pStyle w:val="TableColumnHeading"/>
              <w:spacing w:before="45" w:after="45"/>
              <w:ind w:left="57" w:right="108"/>
              <w:jc w:val="left"/>
              <w:rPr>
                <w:rFonts w:ascii="Arial (Body)" w:hAnsi="Arial (Body)"/>
                <w:b/>
                <w:i w:val="0"/>
                <w:color w:val="265A9A"/>
              </w:rPr>
            </w:pPr>
          </w:p>
        </w:tc>
      </w:tr>
      <w:tr w:rsidR="00767353" w:rsidRPr="00FB2BEE" w14:paraId="0E41CBDD" w14:textId="77777777" w:rsidTr="00604051">
        <w:trPr>
          <w:tblHeader/>
        </w:trPr>
        <w:tc>
          <w:tcPr>
            <w:tcW w:w="1701" w:type="dxa"/>
            <w:vMerge/>
            <w:tcBorders>
              <w:top w:val="single" w:sz="4" w:space="0" w:color="B3B3B3"/>
              <w:bottom w:val="single" w:sz="4" w:space="0" w:color="B3B3B3"/>
            </w:tcBorders>
            <w:shd w:val="clear" w:color="auto" w:fill="F1F1F1"/>
            <w:tcMar>
              <w:top w:w="28" w:type="dxa"/>
            </w:tcMar>
          </w:tcPr>
          <w:p w14:paraId="185FE8C6" w14:textId="77777777" w:rsidR="00767353" w:rsidRPr="00FB2BEE" w:rsidRDefault="00767353" w:rsidP="00604051">
            <w:pPr>
              <w:pStyle w:val="TableColumnHeading"/>
              <w:spacing w:before="45" w:after="45"/>
              <w:ind w:left="57" w:right="108"/>
              <w:jc w:val="left"/>
              <w:rPr>
                <w:rFonts w:ascii="Arial (Body)" w:hAnsi="Arial (Body)"/>
                <w:i w:val="0"/>
                <w:color w:val="000000"/>
              </w:rPr>
            </w:pPr>
          </w:p>
        </w:tc>
        <w:tc>
          <w:tcPr>
            <w:tcW w:w="2079" w:type="dxa"/>
            <w:vMerge/>
            <w:tcBorders>
              <w:top w:val="single" w:sz="4" w:space="0" w:color="B3B3B3"/>
              <w:bottom w:val="single" w:sz="4" w:space="0" w:color="B3B3B3"/>
            </w:tcBorders>
            <w:shd w:val="clear" w:color="auto" w:fill="F1F1F1"/>
          </w:tcPr>
          <w:p w14:paraId="3271C1DB" w14:textId="77777777" w:rsidR="00767353" w:rsidRPr="00FB2BEE" w:rsidRDefault="00767353" w:rsidP="00604051">
            <w:pPr>
              <w:pStyle w:val="TableColumnHeading"/>
              <w:spacing w:before="45" w:after="45"/>
              <w:ind w:left="57" w:right="108"/>
              <w:jc w:val="left"/>
              <w:rPr>
                <w:rFonts w:ascii="Arial (Body)" w:hAnsi="Arial (Body)"/>
                <w:i w:val="0"/>
                <w:color w:val="000000"/>
              </w:rPr>
            </w:pPr>
          </w:p>
        </w:tc>
        <w:tc>
          <w:tcPr>
            <w:tcW w:w="2278" w:type="dxa"/>
            <w:vMerge/>
            <w:tcBorders>
              <w:top w:val="single" w:sz="4" w:space="0" w:color="B3B3B3"/>
              <w:bottom w:val="single" w:sz="4" w:space="0" w:color="B3B3B3"/>
            </w:tcBorders>
            <w:shd w:val="clear" w:color="auto" w:fill="F1F1F1"/>
          </w:tcPr>
          <w:p w14:paraId="5126C4CD" w14:textId="77777777" w:rsidR="00767353" w:rsidRPr="00FB2BEE" w:rsidRDefault="00767353" w:rsidP="00604051">
            <w:pPr>
              <w:pStyle w:val="TableColumnHeading"/>
              <w:spacing w:before="45" w:after="45"/>
              <w:ind w:left="57" w:right="108"/>
              <w:jc w:val="left"/>
              <w:rPr>
                <w:rFonts w:ascii="Arial (Body)" w:hAnsi="Arial (Body)"/>
                <w:i w:val="0"/>
                <w:color w:val="000000"/>
              </w:rPr>
            </w:pPr>
          </w:p>
        </w:tc>
        <w:tc>
          <w:tcPr>
            <w:tcW w:w="1537" w:type="dxa"/>
            <w:tcBorders>
              <w:top w:val="single" w:sz="4" w:space="0" w:color="B3B3B3"/>
              <w:bottom w:val="single" w:sz="4" w:space="0" w:color="B3B3B3"/>
            </w:tcBorders>
            <w:shd w:val="clear" w:color="auto" w:fill="auto"/>
          </w:tcPr>
          <w:p w14:paraId="5758C8EF" w14:textId="77777777" w:rsidR="00767353" w:rsidRPr="00FB2BEE" w:rsidRDefault="00767353" w:rsidP="00604051">
            <w:pPr>
              <w:pStyle w:val="TableColumnHeading"/>
              <w:spacing w:before="45" w:after="45"/>
              <w:ind w:left="57" w:right="108"/>
              <w:jc w:val="left"/>
              <w:rPr>
                <w:rFonts w:ascii="Arial (Body)" w:hAnsi="Arial (Body)"/>
                <w:b/>
                <w:i w:val="0"/>
                <w:color w:val="265A9A"/>
                <w:spacing w:val="-4"/>
              </w:rPr>
            </w:pPr>
            <w:r w:rsidRPr="00FB2BEE">
              <w:rPr>
                <w:rFonts w:ascii="Arial (Body)" w:hAnsi="Arial (Body)"/>
                <w:b/>
                <w:i w:val="0"/>
                <w:color w:val="265A9A"/>
                <w:spacing w:val="-4"/>
              </w:rPr>
              <w:t>Analyses wealth inequality</w:t>
            </w:r>
          </w:p>
        </w:tc>
        <w:tc>
          <w:tcPr>
            <w:tcW w:w="2043" w:type="dxa"/>
            <w:tcBorders>
              <w:top w:val="single" w:sz="4" w:space="0" w:color="B3B3B3"/>
              <w:bottom w:val="single" w:sz="4" w:space="0" w:color="B3B3B3"/>
            </w:tcBorders>
            <w:shd w:val="clear" w:color="auto" w:fill="auto"/>
            <w:tcMar>
              <w:top w:w="28" w:type="dxa"/>
            </w:tcMar>
          </w:tcPr>
          <w:p w14:paraId="04215836" w14:textId="77777777" w:rsidR="00767353" w:rsidRPr="00FB2BEE" w:rsidRDefault="00767353" w:rsidP="00604051">
            <w:pPr>
              <w:pStyle w:val="TableColumnHeading"/>
              <w:spacing w:before="45" w:after="45"/>
              <w:ind w:left="57" w:right="108"/>
              <w:jc w:val="left"/>
              <w:rPr>
                <w:rFonts w:ascii="Arial (Body)" w:hAnsi="Arial (Body)"/>
                <w:b/>
                <w:i w:val="0"/>
                <w:color w:val="265A9A"/>
              </w:rPr>
            </w:pPr>
            <w:r w:rsidRPr="00FB2BEE">
              <w:rPr>
                <w:rFonts w:ascii="Arial (Body)" w:hAnsi="Arial (Body)"/>
                <w:b/>
                <w:i w:val="0"/>
                <w:color w:val="265A9A"/>
              </w:rPr>
              <w:t>Complexity</w:t>
            </w:r>
          </w:p>
        </w:tc>
      </w:tr>
      <w:tr w:rsidR="00767353" w:rsidRPr="00FB2BEE" w14:paraId="3C7113D2" w14:textId="77777777" w:rsidTr="00604051">
        <w:tc>
          <w:tcPr>
            <w:tcW w:w="1701" w:type="dxa"/>
            <w:tcBorders>
              <w:top w:val="single" w:sz="4" w:space="0" w:color="B3B3B3"/>
              <w:bottom w:val="nil"/>
            </w:tcBorders>
            <w:shd w:val="clear" w:color="auto" w:fill="F2F2F2" w:themeFill="background1" w:themeFillShade="F2"/>
          </w:tcPr>
          <w:p w14:paraId="0D369243" w14:textId="77777777" w:rsidR="00767353" w:rsidRPr="00C04C5B" w:rsidRDefault="00767353" w:rsidP="00604051">
            <w:pPr>
              <w:pStyle w:val="TableUnitsRow"/>
              <w:spacing w:before="45" w:after="45"/>
              <w:ind w:left="57" w:right="108"/>
              <w:jc w:val="left"/>
              <w:rPr>
                <w:rFonts w:ascii="Arial (Body)" w:hAnsi="Arial (Body)"/>
                <w:bCs/>
              </w:rPr>
            </w:pPr>
            <w:r w:rsidRPr="00C04C5B">
              <w:rPr>
                <w:rFonts w:ascii="Arial (Body)" w:hAnsi="Arial (Body)"/>
                <w:bCs/>
              </w:rPr>
              <w:t>Basic projection</w:t>
            </w:r>
          </w:p>
        </w:tc>
        <w:tc>
          <w:tcPr>
            <w:tcW w:w="2079" w:type="dxa"/>
            <w:tcBorders>
              <w:top w:val="single" w:sz="4" w:space="0" w:color="B3B3B3"/>
              <w:bottom w:val="nil"/>
            </w:tcBorders>
            <w:shd w:val="clear" w:color="auto" w:fill="F2F2F2" w:themeFill="background1" w:themeFillShade="F2"/>
          </w:tcPr>
          <w:p w14:paraId="0195D7EE" w14:textId="77777777" w:rsidR="00767353" w:rsidRPr="00FB2BEE" w:rsidRDefault="00767353" w:rsidP="00604051">
            <w:pPr>
              <w:pStyle w:val="TableUnitsRow"/>
              <w:spacing w:before="45" w:after="45"/>
              <w:ind w:left="57" w:right="0"/>
              <w:jc w:val="left"/>
              <w:rPr>
                <w:rFonts w:ascii="Arial (Body)" w:hAnsi="Arial (Body)"/>
                <w:color w:val="000000"/>
              </w:rPr>
            </w:pPr>
            <w:r w:rsidRPr="00FB2BEE">
              <w:rPr>
                <w:rFonts w:ascii="Arial (Body)" w:hAnsi="Arial (Body)"/>
                <w:color w:val="000000"/>
              </w:rPr>
              <w:t>Projections of aggregate outcomes</w:t>
            </w:r>
          </w:p>
        </w:tc>
        <w:tc>
          <w:tcPr>
            <w:tcW w:w="2278" w:type="dxa"/>
            <w:tcBorders>
              <w:top w:val="single" w:sz="4" w:space="0" w:color="B3B3B3"/>
              <w:bottom w:val="nil"/>
            </w:tcBorders>
            <w:shd w:val="clear" w:color="auto" w:fill="F2F2F2" w:themeFill="background1" w:themeFillShade="F2"/>
          </w:tcPr>
          <w:p w14:paraId="6C8972CA" w14:textId="37E1C3F3" w:rsidR="00767353" w:rsidRPr="00FB2BEE" w:rsidRDefault="00767353" w:rsidP="00604051">
            <w:pPr>
              <w:pStyle w:val="TableUnitsRow"/>
              <w:spacing w:before="45" w:after="45"/>
              <w:ind w:left="57" w:right="108"/>
              <w:jc w:val="left"/>
              <w:rPr>
                <w:rFonts w:ascii="Arial (Body)" w:hAnsi="Arial (Body)"/>
                <w:color w:val="000000"/>
              </w:rPr>
            </w:pPr>
            <w:r w:rsidRPr="00FB2BEE">
              <w:rPr>
                <w:rFonts w:ascii="Arial (Body)" w:hAnsi="Arial (Body)"/>
                <w:color w:val="000000"/>
              </w:rPr>
              <w:t xml:space="preserve">The Centre of Excellence in Population and Ageing Research </w:t>
            </w:r>
            <w:r w:rsidRPr="00FB2BEE">
              <w:rPr>
                <w:rFonts w:ascii="Arial (Body)" w:hAnsi="Arial (Body)"/>
                <w:color w:val="000000"/>
              </w:rPr>
              <w:fldChar w:fldCharType="begin"/>
            </w:r>
            <w:r w:rsidR="0047772E">
              <w:rPr>
                <w:rFonts w:ascii="Arial (Body)" w:hAnsi="Arial (Body)"/>
                <w:color w:val="000000"/>
              </w:rPr>
              <w:instrText xml:space="preserve"> ADDIN ZOTERO_ITEM CSL_CITATION {"citationID":"a2hm5qqkrge","properties":{"formattedCitation":"(2019, p.\\uc0\\u160{}36)","plainCitation":"(2019, p.</w:instrText>
            </w:r>
            <w:r w:rsidR="0047772E">
              <w:rPr>
                <w:rFonts w:ascii="Arial (Body)" w:hAnsi="Arial (Body)" w:hint="eastAsia"/>
                <w:color w:val="000000"/>
              </w:rPr>
              <w:instrText> </w:instrText>
            </w:r>
            <w:r w:rsidR="0047772E">
              <w:rPr>
                <w:rFonts w:ascii="Arial (Body)" w:hAnsi="Arial (Body)"/>
                <w:color w:val="000000"/>
              </w:rPr>
              <w:instrText xml:space="preserve">36)","noteIndex":0},"citationItems":[{"id":1655,"uris":["http://zotero.org/groups/2714158/items/M4BG4B9F"],"uri":["http://zotero.org/groups/2714158/items/M4BG4B9F"],"itemData":{"id":1655,"type":"report","genre":"CEPAR research brief","publisher":"University of New South Wales","title":"Housing in an Ageing Australia: Nest and Nest Egg?","author":[{"family":"Centre of Excellence in Population and Ageing Research","given":""}],"translator":[{"family":"CEPAR","given":""}],"issued":{"date-parts":[["2019",11]]}},"locator":"36","suppress-author":true}],"schema":"https://github.com/citation-style-language/schema/raw/master/csl-citation.json"} </w:instrText>
            </w:r>
            <w:r w:rsidRPr="00FB2BEE">
              <w:rPr>
                <w:rFonts w:ascii="Arial (Body)" w:hAnsi="Arial (Body)"/>
                <w:color w:val="000000"/>
              </w:rPr>
              <w:fldChar w:fldCharType="separate"/>
            </w:r>
            <w:r w:rsidRPr="00FB2BEE">
              <w:rPr>
                <w:rFonts w:ascii="Arial (Body)" w:hAnsi="Arial (Body)" w:cs="Arial"/>
                <w:color w:val="000000"/>
                <w:szCs w:val="24"/>
              </w:rPr>
              <w:t>(2019, p. 36)</w:t>
            </w:r>
            <w:r w:rsidRPr="00FB2BEE">
              <w:rPr>
                <w:rFonts w:ascii="Arial (Body)" w:hAnsi="Arial (Body)"/>
                <w:color w:val="000000"/>
              </w:rPr>
              <w:fldChar w:fldCharType="end"/>
            </w:r>
            <w:r w:rsidRPr="00FB2BEE">
              <w:rPr>
                <w:rFonts w:ascii="Arial (Body)" w:hAnsi="Arial (Body)"/>
                <w:color w:val="000000"/>
              </w:rPr>
              <w:t xml:space="preserve"> projected data on house values, and estimated the timing of housing bequests based on life expectancies</w:t>
            </w:r>
          </w:p>
        </w:tc>
        <w:tc>
          <w:tcPr>
            <w:tcW w:w="1537" w:type="dxa"/>
            <w:tcBorders>
              <w:top w:val="single" w:sz="4" w:space="0" w:color="B3B3B3"/>
              <w:bottom w:val="nil"/>
            </w:tcBorders>
            <w:shd w:val="clear" w:color="auto" w:fill="F2F2F2" w:themeFill="background1" w:themeFillShade="F2"/>
          </w:tcPr>
          <w:p w14:paraId="7005AB76"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No</w:t>
            </w:r>
          </w:p>
        </w:tc>
        <w:tc>
          <w:tcPr>
            <w:tcW w:w="2043" w:type="dxa"/>
            <w:tcBorders>
              <w:top w:val="single" w:sz="4" w:space="0" w:color="B3B3B3"/>
              <w:bottom w:val="nil"/>
            </w:tcBorders>
            <w:shd w:val="clear" w:color="auto" w:fill="F2F2F2" w:themeFill="background1" w:themeFillShade="F2"/>
          </w:tcPr>
          <w:p w14:paraId="248FD1D1"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Low — simple and stylised projection</w:t>
            </w:r>
          </w:p>
        </w:tc>
      </w:tr>
      <w:tr w:rsidR="00767353" w:rsidRPr="00FB2BEE" w14:paraId="49782931" w14:textId="77777777" w:rsidTr="00604051">
        <w:tc>
          <w:tcPr>
            <w:tcW w:w="1701" w:type="dxa"/>
            <w:tcBorders>
              <w:top w:val="nil"/>
              <w:bottom w:val="nil"/>
            </w:tcBorders>
            <w:shd w:val="clear" w:color="auto" w:fill="auto"/>
          </w:tcPr>
          <w:p w14:paraId="59123169" w14:textId="77777777" w:rsidR="00767353" w:rsidRPr="00C04C5B" w:rsidRDefault="00767353" w:rsidP="00604051">
            <w:pPr>
              <w:pStyle w:val="TableBodyText"/>
              <w:spacing w:before="45" w:after="45"/>
              <w:ind w:left="57" w:right="108"/>
              <w:jc w:val="left"/>
              <w:rPr>
                <w:rFonts w:ascii="Arial (Body)" w:hAnsi="Arial (Body)"/>
                <w:bCs/>
              </w:rPr>
            </w:pPr>
            <w:r w:rsidRPr="00C04C5B">
              <w:rPr>
                <w:rFonts w:ascii="Arial (Body)" w:hAnsi="Arial (Body)"/>
                <w:bCs/>
              </w:rPr>
              <w:t>Dynamic cameo simulation</w:t>
            </w:r>
          </w:p>
        </w:tc>
        <w:tc>
          <w:tcPr>
            <w:tcW w:w="2079" w:type="dxa"/>
            <w:tcBorders>
              <w:top w:val="nil"/>
              <w:bottom w:val="nil"/>
            </w:tcBorders>
            <w:shd w:val="clear" w:color="auto" w:fill="auto"/>
          </w:tcPr>
          <w:p w14:paraId="29FE65FB"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Projections of outcomes for an individual with certain characteristics</w:t>
            </w:r>
          </w:p>
        </w:tc>
        <w:tc>
          <w:tcPr>
            <w:tcW w:w="2278" w:type="dxa"/>
            <w:tcBorders>
              <w:top w:val="nil"/>
              <w:bottom w:val="nil"/>
            </w:tcBorders>
            <w:shd w:val="clear" w:color="auto" w:fill="auto"/>
          </w:tcPr>
          <w:p w14:paraId="1F9B2A0C" w14:textId="150E782B"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 xml:space="preserve">The PC </w:t>
            </w:r>
            <w:r w:rsidRPr="00FB2BEE">
              <w:rPr>
                <w:rFonts w:ascii="Arial (Body)" w:hAnsi="Arial (Body)"/>
                <w:color w:val="000000"/>
              </w:rPr>
              <w:fldChar w:fldCharType="begin"/>
            </w:r>
            <w:r w:rsidR="0047772E">
              <w:rPr>
                <w:rFonts w:ascii="Arial (Body)" w:hAnsi="Arial (Body)"/>
                <w:color w:val="000000"/>
              </w:rPr>
              <w:instrText xml:space="preserve"> ADDIN ZOTERO_ITEM CSL_CITATION {"citationID":"a1q2i5fnl09","properties":{"formattedCitation":"(2018b, technical supplement 6)","plainCitation":"(2018b, technical supplement 6)","noteIndex":0},"citationItems":[{"id":2834,"uris":["http://zotero.org/groups/164861/items/R4V34ACV"],"uri":["http://zotero.org/groups/164861/items/R4V34ACV"],"itemData":{"id":2834,"type":"report","event-place":"Canberra","number":"Report no. 91","publisher-place":"Canberra","title":"Superannuation: Assessing Efficiency and Competitiveness","author":[{"family":"Productivity Commission","given":""}],"translator":[{"family":"PC","given":""}],"issued":{"date-parts":[["2018"]]}},"suppress-author":true,"suffix":", technical supplement 6"}],"schema":"https://github.com/citation-style-language/schema/raw/master/csl-citation.json"} </w:instrText>
            </w:r>
            <w:r w:rsidRPr="00FB2BEE">
              <w:rPr>
                <w:rFonts w:ascii="Arial (Body)" w:hAnsi="Arial (Body)"/>
                <w:color w:val="000000"/>
              </w:rPr>
              <w:fldChar w:fldCharType="separate"/>
            </w:r>
            <w:r w:rsidRPr="00FB2BEE">
              <w:rPr>
                <w:rFonts w:ascii="Arial (Body)" w:hAnsi="Arial (Body)" w:cs="Arial"/>
                <w:color w:val="000000"/>
                <w:szCs w:val="24"/>
              </w:rPr>
              <w:t>(2018b, technical supplement 6)</w:t>
            </w:r>
            <w:r w:rsidRPr="00FB2BEE">
              <w:rPr>
                <w:rFonts w:ascii="Arial (Body)" w:hAnsi="Arial (Body)"/>
                <w:color w:val="000000"/>
              </w:rPr>
              <w:fldChar w:fldCharType="end"/>
            </w:r>
            <w:r w:rsidRPr="00FB2BEE">
              <w:rPr>
                <w:rFonts w:ascii="Arial (Body)" w:hAnsi="Arial (Body)"/>
                <w:color w:val="000000"/>
              </w:rPr>
              <w:t xml:space="preserve"> analysed superannuation and bequests over the lifecycle of a representative individual</w:t>
            </w:r>
          </w:p>
        </w:tc>
        <w:tc>
          <w:tcPr>
            <w:tcW w:w="1537" w:type="dxa"/>
            <w:tcBorders>
              <w:top w:val="nil"/>
              <w:bottom w:val="nil"/>
            </w:tcBorders>
            <w:shd w:val="clear" w:color="auto" w:fill="auto"/>
          </w:tcPr>
          <w:p w14:paraId="1EA8DC5D"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No</w:t>
            </w:r>
          </w:p>
        </w:tc>
        <w:tc>
          <w:tcPr>
            <w:tcW w:w="2043" w:type="dxa"/>
            <w:tcBorders>
              <w:top w:val="nil"/>
              <w:bottom w:val="nil"/>
            </w:tcBorders>
            <w:shd w:val="clear" w:color="auto" w:fill="auto"/>
          </w:tcPr>
          <w:p w14:paraId="4F1A92A2"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Low — requires assumptions about income and asset pathways of an individual</w:t>
            </w:r>
          </w:p>
        </w:tc>
      </w:tr>
      <w:tr w:rsidR="00767353" w:rsidRPr="00FB2BEE" w14:paraId="17950072" w14:textId="77777777" w:rsidTr="00604051">
        <w:tc>
          <w:tcPr>
            <w:tcW w:w="1701" w:type="dxa"/>
            <w:tcBorders>
              <w:top w:val="nil"/>
              <w:bottom w:val="nil"/>
            </w:tcBorders>
            <w:shd w:val="clear" w:color="auto" w:fill="F2F2F2" w:themeFill="background1" w:themeFillShade="F2"/>
          </w:tcPr>
          <w:p w14:paraId="21D11C90" w14:textId="77777777" w:rsidR="00767353" w:rsidRPr="00C04C5B" w:rsidRDefault="00767353" w:rsidP="00604051">
            <w:pPr>
              <w:pStyle w:val="TableBodyText"/>
              <w:spacing w:before="45" w:after="45"/>
              <w:ind w:left="57" w:right="108"/>
              <w:jc w:val="left"/>
              <w:rPr>
                <w:rFonts w:ascii="Arial (Body)" w:hAnsi="Arial (Body)"/>
                <w:bCs/>
              </w:rPr>
            </w:pPr>
            <w:r w:rsidRPr="00C04C5B">
              <w:rPr>
                <w:rFonts w:ascii="Arial (Body)" w:hAnsi="Arial (Body)"/>
                <w:bCs/>
              </w:rPr>
              <w:t>Dynamic cohort simulation</w:t>
            </w:r>
          </w:p>
        </w:tc>
        <w:tc>
          <w:tcPr>
            <w:tcW w:w="2079" w:type="dxa"/>
            <w:tcBorders>
              <w:top w:val="nil"/>
              <w:bottom w:val="nil"/>
            </w:tcBorders>
            <w:shd w:val="clear" w:color="auto" w:fill="F2F2F2" w:themeFill="background1" w:themeFillShade="F2"/>
          </w:tcPr>
          <w:p w14:paraId="6E417908"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Projections of outcomes for cohorts of people in the population</w:t>
            </w:r>
          </w:p>
        </w:tc>
        <w:tc>
          <w:tcPr>
            <w:tcW w:w="2278" w:type="dxa"/>
            <w:tcBorders>
              <w:top w:val="nil"/>
              <w:bottom w:val="nil"/>
            </w:tcBorders>
            <w:shd w:val="clear" w:color="auto" w:fill="F2F2F2" w:themeFill="background1" w:themeFillShade="F2"/>
          </w:tcPr>
          <w:p w14:paraId="60CD1500" w14:textId="1677C561"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 xml:space="preserve">Deloitte Access Economics </w:t>
            </w:r>
            <w:r w:rsidRPr="00FB2BEE">
              <w:rPr>
                <w:rFonts w:ascii="Arial (Body)" w:hAnsi="Arial (Body)"/>
                <w:color w:val="000000"/>
              </w:rPr>
              <w:fldChar w:fldCharType="begin"/>
            </w:r>
            <w:r w:rsidR="0047772E">
              <w:rPr>
                <w:rFonts w:ascii="Arial (Body)" w:hAnsi="Arial (Body)"/>
                <w:color w:val="000000"/>
              </w:rPr>
              <w:instrText xml:space="preserve"> ADDIN ZOTERO_ITEM CSL_CITATION {"citationID":"a1loro7eip4","properties":{"formattedCitation":"(2020)","plainCitation":"(2020)","noteIndex":0},"citationItems":[{"id":1924,"uris":["http://zotero.org/groups/2714158/items/2T4ZPF6K"],"uri":["http://zotero.org/groups/2714158/items/2T4ZPF6K"],"itemData":{"id":1924,"type":"report","genre":"Report for the Royal Commission into Aged Care Quality and Safety","title":"Aged Care Reform: Projecting Future Impacts","author":[{"literal":"Deloitte Access Economics"}],"translator":[{"literal":"DAE"}],"issued":{"date-parts":[["2020"]]}},"suppress-author":true}],"schema":"https://github.com/citation-style-language/schema/raw/master/csl-citation.json"} </w:instrText>
            </w:r>
            <w:r w:rsidRPr="00FB2BEE">
              <w:rPr>
                <w:rFonts w:ascii="Arial (Body)" w:hAnsi="Arial (Body)"/>
                <w:color w:val="000000"/>
              </w:rPr>
              <w:fldChar w:fldCharType="separate"/>
            </w:r>
            <w:r w:rsidRPr="00FB2BEE">
              <w:rPr>
                <w:rFonts w:ascii="Arial (Body)" w:hAnsi="Arial (Body)" w:cs="Arial"/>
                <w:color w:val="000000"/>
                <w:szCs w:val="24"/>
              </w:rPr>
              <w:t>(2020)</w:t>
            </w:r>
            <w:r w:rsidRPr="00FB2BEE">
              <w:rPr>
                <w:rFonts w:ascii="Arial (Body)" w:hAnsi="Arial (Body)"/>
                <w:color w:val="000000"/>
              </w:rPr>
              <w:fldChar w:fldCharType="end"/>
            </w:r>
            <w:r w:rsidRPr="00FB2BEE">
              <w:rPr>
                <w:rFonts w:ascii="Arial (Body)" w:hAnsi="Arial (Body)"/>
                <w:color w:val="000000"/>
              </w:rPr>
              <w:t xml:space="preserve"> used a cohort simulation of incomes and assets as part of analysis into the aged care system</w:t>
            </w:r>
          </w:p>
        </w:tc>
        <w:tc>
          <w:tcPr>
            <w:tcW w:w="1537" w:type="dxa"/>
            <w:tcBorders>
              <w:top w:val="nil"/>
              <w:bottom w:val="nil"/>
            </w:tcBorders>
            <w:shd w:val="clear" w:color="auto" w:fill="F2F2F2" w:themeFill="background1" w:themeFillShade="F2"/>
          </w:tcPr>
          <w:p w14:paraId="36AB8CD3"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 xml:space="preserve">Yes — analysis limited to structure of cohorts </w:t>
            </w:r>
          </w:p>
        </w:tc>
        <w:tc>
          <w:tcPr>
            <w:tcW w:w="2043" w:type="dxa"/>
            <w:tcBorders>
              <w:top w:val="nil"/>
              <w:bottom w:val="nil"/>
            </w:tcBorders>
            <w:shd w:val="clear" w:color="auto" w:fill="F2F2F2" w:themeFill="background1" w:themeFillShade="F2"/>
          </w:tcPr>
          <w:p w14:paraId="6E463CBD"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Medium — requires assumptions about income and asset pathways for different cohorts of the population</w:t>
            </w:r>
          </w:p>
        </w:tc>
      </w:tr>
      <w:tr w:rsidR="00767353" w:rsidRPr="00FB2BEE" w14:paraId="5CC52006" w14:textId="77777777" w:rsidTr="00604051">
        <w:tc>
          <w:tcPr>
            <w:tcW w:w="1701" w:type="dxa"/>
            <w:tcBorders>
              <w:top w:val="nil"/>
              <w:bottom w:val="nil"/>
            </w:tcBorders>
            <w:shd w:val="clear" w:color="auto" w:fill="auto"/>
          </w:tcPr>
          <w:p w14:paraId="4A3ECA8A" w14:textId="77777777" w:rsidR="00767353" w:rsidRPr="00C04C5B" w:rsidRDefault="00767353" w:rsidP="00604051">
            <w:pPr>
              <w:pStyle w:val="TableBodyText"/>
              <w:spacing w:before="45" w:after="45"/>
              <w:ind w:left="57" w:right="108"/>
              <w:jc w:val="left"/>
              <w:rPr>
                <w:rFonts w:ascii="Arial (Body)" w:hAnsi="Arial (Body)"/>
                <w:bCs/>
              </w:rPr>
            </w:pPr>
            <w:r w:rsidRPr="00C04C5B">
              <w:rPr>
                <w:rFonts w:ascii="Arial (Body)" w:hAnsi="Arial (Body)"/>
                <w:bCs/>
              </w:rPr>
              <w:t>Dynamic microsimulation</w:t>
            </w:r>
          </w:p>
        </w:tc>
        <w:tc>
          <w:tcPr>
            <w:tcW w:w="2079" w:type="dxa"/>
            <w:tcBorders>
              <w:top w:val="nil"/>
              <w:bottom w:val="nil"/>
            </w:tcBorders>
            <w:shd w:val="clear" w:color="auto" w:fill="auto"/>
          </w:tcPr>
          <w:p w14:paraId="65ECE1A7"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Projections of outcomes for individuals in the population</w:t>
            </w:r>
          </w:p>
        </w:tc>
        <w:tc>
          <w:tcPr>
            <w:tcW w:w="2278" w:type="dxa"/>
            <w:tcBorders>
              <w:top w:val="nil"/>
              <w:bottom w:val="nil"/>
            </w:tcBorders>
            <w:shd w:val="clear" w:color="auto" w:fill="auto"/>
          </w:tcPr>
          <w:p w14:paraId="4B99B57C" w14:textId="60A80CFD"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 xml:space="preserve">The Treasury </w:t>
            </w:r>
            <w:r w:rsidRPr="00FB2BEE">
              <w:rPr>
                <w:rFonts w:ascii="Arial (Body)" w:hAnsi="Arial (Body)"/>
                <w:color w:val="000000"/>
              </w:rPr>
              <w:fldChar w:fldCharType="begin"/>
            </w:r>
            <w:r w:rsidR="0047772E">
              <w:rPr>
                <w:rFonts w:ascii="Arial (Body)" w:hAnsi="Arial (Body)"/>
                <w:color w:val="000000"/>
              </w:rPr>
              <w:instrText xml:space="preserve"> ADDIN ZOTERO_ITEM CSL_CITATION {"citationID":"MPSL2KO9","properties":{"formattedCitation":"(2020)","plainCitation":"(2020)","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Treasury","given":""}],"accessed":{"date-parts":[["2021",2,4]]},"issued":{"date-parts":[["2020"]]}},"suppress-author":true}],"schema":"https://github.com/citation-style-language/schema/raw/master/csl-citation.json"} </w:instrText>
            </w:r>
            <w:r w:rsidRPr="00FB2BEE">
              <w:rPr>
                <w:rFonts w:ascii="Arial (Body)" w:hAnsi="Arial (Body)"/>
                <w:color w:val="000000"/>
              </w:rPr>
              <w:fldChar w:fldCharType="separate"/>
            </w:r>
            <w:r w:rsidRPr="00FB2BEE">
              <w:rPr>
                <w:rFonts w:ascii="Arial (Body)" w:hAnsi="Arial (Body)" w:cs="Arial"/>
                <w:color w:val="000000"/>
              </w:rPr>
              <w:t>(2020)</w:t>
            </w:r>
            <w:r w:rsidRPr="00FB2BEE">
              <w:rPr>
                <w:rFonts w:ascii="Arial (Body)" w:hAnsi="Arial (Body)"/>
                <w:color w:val="000000"/>
              </w:rPr>
              <w:fldChar w:fldCharType="end"/>
            </w:r>
            <w:r w:rsidRPr="00FB2BEE">
              <w:rPr>
                <w:rFonts w:ascii="Arial (Body)" w:hAnsi="Arial (Body)"/>
                <w:color w:val="000000"/>
              </w:rPr>
              <w:t xml:space="preserve"> used its Model of Australian Retirement Incomes and Assets model to project superannuation balances and costs of the retirement income system</w:t>
            </w:r>
          </w:p>
        </w:tc>
        <w:tc>
          <w:tcPr>
            <w:tcW w:w="1537" w:type="dxa"/>
            <w:tcBorders>
              <w:top w:val="nil"/>
              <w:bottom w:val="nil"/>
            </w:tcBorders>
            <w:shd w:val="clear" w:color="auto" w:fill="auto"/>
          </w:tcPr>
          <w:p w14:paraId="62D42C83"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Yes — ability to analyse detailed population groupings</w:t>
            </w:r>
          </w:p>
        </w:tc>
        <w:tc>
          <w:tcPr>
            <w:tcW w:w="2043" w:type="dxa"/>
            <w:tcBorders>
              <w:top w:val="nil"/>
              <w:bottom w:val="nil"/>
            </w:tcBorders>
            <w:shd w:val="clear" w:color="auto" w:fill="auto"/>
          </w:tcPr>
          <w:p w14:paraId="00BC8EF6"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High — requires adequate microdata, time and resources, and assumptions about income and asset pathways for individuals</w:t>
            </w:r>
          </w:p>
        </w:tc>
      </w:tr>
      <w:tr w:rsidR="00767353" w:rsidRPr="00FB2BEE" w14:paraId="6E9BBCBD" w14:textId="77777777" w:rsidTr="00604051">
        <w:tc>
          <w:tcPr>
            <w:tcW w:w="1701" w:type="dxa"/>
            <w:tcBorders>
              <w:top w:val="nil"/>
            </w:tcBorders>
            <w:shd w:val="clear" w:color="auto" w:fill="F2F2F2" w:themeFill="background1" w:themeFillShade="F2"/>
          </w:tcPr>
          <w:p w14:paraId="116A69EA" w14:textId="77777777" w:rsidR="00767353" w:rsidRPr="00C04C5B" w:rsidRDefault="00767353" w:rsidP="00604051">
            <w:pPr>
              <w:pStyle w:val="TableBodyText"/>
              <w:spacing w:before="45" w:after="45"/>
              <w:ind w:left="57" w:right="108"/>
              <w:jc w:val="left"/>
              <w:rPr>
                <w:rFonts w:ascii="Arial (Body)" w:hAnsi="Arial (Body)"/>
                <w:bCs/>
              </w:rPr>
            </w:pPr>
            <w:r w:rsidRPr="00C04C5B">
              <w:rPr>
                <w:rFonts w:ascii="Arial (Body)" w:hAnsi="Arial (Body)"/>
                <w:bCs/>
              </w:rPr>
              <w:t>Overlapping generations (OLG) model</w:t>
            </w:r>
          </w:p>
        </w:tc>
        <w:tc>
          <w:tcPr>
            <w:tcW w:w="2079" w:type="dxa"/>
            <w:tcBorders>
              <w:top w:val="nil"/>
            </w:tcBorders>
            <w:shd w:val="clear" w:color="auto" w:fill="F2F2F2" w:themeFill="background1" w:themeFillShade="F2"/>
          </w:tcPr>
          <w:p w14:paraId="3A6DEBE2"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Macroeconomic model with stylised representations of the household sector, that can be expanded to include production and government sectors, as a general equilibrium model</w:t>
            </w:r>
          </w:p>
        </w:tc>
        <w:tc>
          <w:tcPr>
            <w:tcW w:w="2278" w:type="dxa"/>
            <w:tcBorders>
              <w:top w:val="nil"/>
            </w:tcBorders>
            <w:shd w:val="clear" w:color="auto" w:fill="F2F2F2" w:themeFill="background1" w:themeFillShade="F2"/>
          </w:tcPr>
          <w:p w14:paraId="25FF0795" w14:textId="2013E291" w:rsidR="00767353" w:rsidRPr="00FB2BEE" w:rsidRDefault="00767353" w:rsidP="00604051">
            <w:pPr>
              <w:pStyle w:val="TableBodyText"/>
              <w:spacing w:before="45" w:after="45"/>
              <w:ind w:left="57" w:right="108"/>
              <w:jc w:val="left"/>
              <w:rPr>
                <w:rFonts w:ascii="Arial (Body)" w:hAnsi="Arial (Body)"/>
                <w:color w:val="000000"/>
              </w:rPr>
            </w:pPr>
            <w:r w:rsidRPr="00FB2BEE">
              <w:rPr>
                <w:rStyle w:val="normaltextrun"/>
                <w:rFonts w:ascii="Arial (Body)" w:hAnsi="Arial (Body)" w:cs="Arial"/>
                <w:color w:val="000000"/>
                <w:szCs w:val="18"/>
                <w:bdr w:val="none" w:sz="0" w:space="0" w:color="auto" w:frame="1"/>
              </w:rPr>
              <w:t xml:space="preserve">De Nardi </w:t>
            </w:r>
            <w:r w:rsidRPr="00FB2BEE">
              <w:rPr>
                <w:rStyle w:val="normaltextrun"/>
                <w:rFonts w:ascii="Arial (Body)" w:hAnsi="Arial (Body)" w:cs="Arial"/>
                <w:color w:val="000000"/>
                <w:szCs w:val="18"/>
                <w:bdr w:val="none" w:sz="0" w:space="0" w:color="auto" w:frame="1"/>
              </w:rPr>
              <w:fldChar w:fldCharType="begin"/>
            </w:r>
            <w:r w:rsidR="0047772E">
              <w:rPr>
                <w:rStyle w:val="normaltextrun"/>
                <w:rFonts w:ascii="Arial (Body)" w:hAnsi="Arial (Body)" w:cs="Arial"/>
                <w:color w:val="000000"/>
                <w:szCs w:val="18"/>
                <w:bdr w:val="none" w:sz="0" w:space="0" w:color="auto" w:frame="1"/>
              </w:rPr>
              <w:instrText xml:space="preserve"> ADDIN ZOTERO_ITEM CSL_CITATION {"citationID":"BlLTlSjz","properties":{"formattedCitation":"(2002)","plainCitation":"(2002)","noteIndex":0},"citationItems":[{"id":3021,"uris":["http://zotero.org/groups/2714158/items/T9E3UMS5"],"uri":["http://zotero.org/groups/2714158/items/T9E3UMS5"],"itemData":{"id":3021,"type":"report","genre":"Research Department Staff Report","number":"314","publisher":"Federal Reserve Bank of Minneapolis","title":"Wealth Inequality and Intergenerational Links","author":[{"family":"De Nardi","given":"Mariacristina"}],"issued":{"date-parts":[["2002"]]}},"suppress-author":true}],"schema":"https://github.com/citation-style-language/schema/raw/master/csl-citation.json"} </w:instrText>
            </w:r>
            <w:r w:rsidRPr="00FB2BEE">
              <w:rPr>
                <w:rStyle w:val="normaltextrun"/>
                <w:rFonts w:ascii="Arial (Body)" w:hAnsi="Arial (Body)" w:cs="Arial"/>
                <w:color w:val="000000"/>
                <w:szCs w:val="18"/>
                <w:bdr w:val="none" w:sz="0" w:space="0" w:color="auto" w:frame="1"/>
              </w:rPr>
              <w:fldChar w:fldCharType="separate"/>
            </w:r>
            <w:r w:rsidRPr="00FB2BEE">
              <w:rPr>
                <w:rFonts w:ascii="Arial (Body)" w:hAnsi="Arial (Body)" w:cs="Arial"/>
                <w:color w:val="000000"/>
              </w:rPr>
              <w:t>(2002)</w:t>
            </w:r>
            <w:r w:rsidRPr="00FB2BEE">
              <w:rPr>
                <w:rStyle w:val="normaltextrun"/>
                <w:rFonts w:ascii="Arial (Body)" w:hAnsi="Arial (Body)" w:cs="Arial"/>
                <w:color w:val="000000"/>
                <w:szCs w:val="18"/>
                <w:bdr w:val="none" w:sz="0" w:space="0" w:color="auto" w:frame="1"/>
              </w:rPr>
              <w:fldChar w:fldCharType="end"/>
            </w:r>
            <w:r w:rsidRPr="00FB2BEE">
              <w:rPr>
                <w:rStyle w:val="normaltextrun"/>
                <w:rFonts w:ascii="Arial (Body)" w:hAnsi="Arial (Body)" w:cs="Arial"/>
                <w:color w:val="000000"/>
                <w:szCs w:val="18"/>
                <w:bdr w:val="none" w:sz="0" w:space="0" w:color="auto" w:frame="1"/>
              </w:rPr>
              <w:t xml:space="preserve"> developed an OLG model to examine how the bequest motive and inherited earnings ability can affect wealth inequality</w:t>
            </w:r>
          </w:p>
        </w:tc>
        <w:tc>
          <w:tcPr>
            <w:tcW w:w="1537" w:type="dxa"/>
            <w:tcBorders>
              <w:top w:val="nil"/>
            </w:tcBorders>
            <w:shd w:val="clear" w:color="auto" w:fill="F2F2F2" w:themeFill="background1" w:themeFillShade="F2"/>
          </w:tcPr>
          <w:p w14:paraId="43D2A7BC" w14:textId="77777777" w:rsidR="00767353" w:rsidRPr="00FB2BEE" w:rsidRDefault="00767353" w:rsidP="00604051">
            <w:pPr>
              <w:pStyle w:val="TableBodyText"/>
              <w:spacing w:before="45" w:after="45"/>
              <w:ind w:left="57" w:right="108"/>
              <w:jc w:val="left"/>
              <w:rPr>
                <w:rFonts w:ascii="Arial (Body)" w:hAnsi="Arial (Body)"/>
                <w:color w:val="000000"/>
              </w:rPr>
            </w:pPr>
            <w:r w:rsidRPr="00FB2BEE">
              <w:rPr>
                <w:rFonts w:ascii="Arial (Body)" w:hAnsi="Arial (Body)"/>
                <w:color w:val="000000"/>
              </w:rPr>
              <w:t>Yes — analysis limited to structure of representative households</w:t>
            </w:r>
          </w:p>
        </w:tc>
        <w:tc>
          <w:tcPr>
            <w:tcW w:w="2043" w:type="dxa"/>
            <w:tcBorders>
              <w:top w:val="nil"/>
            </w:tcBorders>
            <w:shd w:val="clear" w:color="auto" w:fill="F2F2F2" w:themeFill="background1" w:themeFillShade="F2"/>
          </w:tcPr>
          <w:p w14:paraId="0379B184" w14:textId="77777777" w:rsidR="00767353" w:rsidRPr="00227EF0" w:rsidRDefault="00767353" w:rsidP="00604051">
            <w:pPr>
              <w:pStyle w:val="TableBodyText"/>
              <w:spacing w:before="45" w:after="45"/>
              <w:ind w:left="57" w:right="108"/>
              <w:jc w:val="left"/>
              <w:rPr>
                <w:rFonts w:ascii="Arial (Body)" w:hAnsi="Arial (Body)"/>
                <w:color w:val="000000"/>
                <w:spacing w:val="-2"/>
              </w:rPr>
            </w:pPr>
            <w:r w:rsidRPr="00227EF0">
              <w:rPr>
                <w:rFonts w:ascii="Arial (Body)" w:hAnsi="Arial (Body)"/>
                <w:color w:val="000000"/>
                <w:spacing w:val="-2"/>
              </w:rPr>
              <w:t>High — calibration of behavioural parameters can present challenges, and incorporating micro outcomes of interest (such as inequality) requires additional model complexity</w:t>
            </w:r>
          </w:p>
        </w:tc>
      </w:tr>
    </w:tbl>
    <w:p w14:paraId="67A489CE" w14:textId="77777777" w:rsidR="00767353" w:rsidRDefault="00767353" w:rsidP="00767353">
      <w:pPr>
        <w:pStyle w:val="Space"/>
      </w:pPr>
    </w:p>
    <w:p w14:paraId="0BFCF5DD" w14:textId="77777777" w:rsidR="00767353" w:rsidRDefault="00767353" w:rsidP="00767353">
      <w:pPr>
        <w:pStyle w:val="BodyText"/>
      </w:pPr>
      <w:r>
        <w:t xml:space="preserve">A dynamic cohort simulation model was chosen for this study for several reasons. This type of model is relatively simple to construct and provides a flexible framework for exploring the study’s questions of interest (including alternative scenarios and model settings), while demanding fewer resources, data and informational requirements. </w:t>
      </w:r>
    </w:p>
    <w:p w14:paraId="0270C8B9" w14:textId="77777777" w:rsidR="00767353" w:rsidRDefault="00767353" w:rsidP="00767353">
      <w:pPr>
        <w:pStyle w:val="BodyText"/>
        <w:keepNext/>
      </w:pPr>
      <w:r>
        <w:t>Cohort simulations have been used widely in past Australian research.</w:t>
      </w:r>
    </w:p>
    <w:p w14:paraId="3BD125D8" w14:textId="54127524" w:rsidR="00767353" w:rsidRPr="00E81A66" w:rsidRDefault="00767353" w:rsidP="00767353">
      <w:pPr>
        <w:pStyle w:val="ListBullet"/>
      </w:pPr>
      <w:r>
        <w:t xml:space="preserve">The </w:t>
      </w:r>
      <w:r w:rsidRPr="00E81A66">
        <w:t xml:space="preserve">Retirement Income Review drew on results produced from the Superannuation, Pension and other Retirement OUTcomes (SPROUT) model, which is jointly owned by Rice Warner and Industry Super Australia </w:t>
      </w:r>
      <w:r w:rsidRPr="00E81A66">
        <w:fldChar w:fldCharType="begin"/>
      </w:r>
      <w:r w:rsidR="0047772E">
        <w:instrText xml:space="preserve"> ADDIN ZOTERO_ITEM CSL_CITATION {"citationID":"KpxbDi5x","properties":{"formattedCitation":"(The Treasury\\uc0\\u160{}2020, p.\\uc0\\u160{}544)","plainCitation":"(The Treasury 2020, p. 544)","noteIndex":0},"citationItems":[{"id":1552,"uris":["http://zotero.org/groups/2714158/items/R5Y5AKIH"],"uri":["http://zotero.org/groups/2714158/items/R5Y5AKIH"],"itemData":{"id":1552,"type":"report","event-place":"Canberra","genre":"Final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Treasury","given":""}],"accessed":{"date-parts":[["2021",2,4]]},"issued":{"date-parts":[["2020"]]}},"locator":"544"}],"schema":"https://github.com/citation-style-language/schema/raw/master/csl-citation.json"} </w:instrText>
      </w:r>
      <w:r w:rsidRPr="00E81A66">
        <w:fldChar w:fldCharType="separate"/>
      </w:r>
      <w:r w:rsidRPr="00E81A66">
        <w:t>(The Treasury 2020, p. 544)</w:t>
      </w:r>
      <w:r w:rsidRPr="00E81A66">
        <w:fldChar w:fldCharType="end"/>
      </w:r>
      <w:r w:rsidRPr="00E81A66">
        <w:t>.</w:t>
      </w:r>
    </w:p>
    <w:p w14:paraId="61A591A2" w14:textId="1D964777" w:rsidR="00767353" w:rsidRPr="00E81A66" w:rsidRDefault="00767353" w:rsidP="00767353">
      <w:pPr>
        <w:pStyle w:val="ListBullet"/>
      </w:pPr>
      <w:r w:rsidRPr="00E81A66">
        <w:t xml:space="preserve">Deloitte Access Economics </w:t>
      </w:r>
      <w:r w:rsidRPr="00E81A66">
        <w:fldChar w:fldCharType="begin"/>
      </w:r>
      <w:r w:rsidR="0047772E">
        <w:instrText xml:space="preserve"> ADDIN ZOTERO_ITEM CSL_CITATION {"citationID":"YHa93YyW","properties":{"formattedCitation":"(2020)","plainCitation":"(2020)","noteIndex":0},"citationItems":[{"id":1924,"uris":["http://zotero.org/groups/2714158/items/2T4ZPF6K"],"uri":["http://zotero.org/groups/2714158/items/2T4ZPF6K"],"itemData":{"id":1924,"type":"report","genre":"Report for the Royal Commission into Aged Care Quality and Safety","title":"Aged Care Reform: Projecting Future Impacts","author":[{"literal":"Deloitte Access Economics"}],"translator":[{"literal":"DAE"}],"issued":{"date-parts":[["2020"]]}},"suppress-author":true}],"schema":"https://github.com/citation-style-language/schema/raw/master/csl-citation.json"} </w:instrText>
      </w:r>
      <w:r w:rsidRPr="00E81A66">
        <w:fldChar w:fldCharType="separate"/>
      </w:r>
      <w:r w:rsidRPr="00E81A66">
        <w:t>(2020)</w:t>
      </w:r>
      <w:r w:rsidRPr="00E81A66">
        <w:fldChar w:fldCharType="end"/>
      </w:r>
      <w:r w:rsidRPr="00E81A66">
        <w:t xml:space="preserve"> produced a cohort simulation of incomes and assets as part of their analysis for the Royal Commission into Aged Care Quality and Safety. </w:t>
      </w:r>
    </w:p>
    <w:p w14:paraId="27D0CD3E" w14:textId="4CA27DE5" w:rsidR="00767353" w:rsidRPr="00E81A66" w:rsidRDefault="00767353" w:rsidP="00767353">
      <w:pPr>
        <w:pStyle w:val="ListBullet"/>
      </w:pPr>
      <w:r w:rsidRPr="00E81A66">
        <w:lastRenderedPageBreak/>
        <w:t xml:space="preserve">Treasury’s RIMGROUP model (the precursor to the dynamic microsimulation model called MARIA (Model of Australian Retirement Incomes and Assets)) was used for projecting retirement incomes through four intergenerational reports </w:t>
      </w:r>
      <w:r w:rsidRPr="00E81A66">
        <w:fldChar w:fldCharType="begin"/>
      </w:r>
      <w:r w:rsidR="0047772E">
        <w:instrText xml:space="preserve"> ADDIN ZOTERO_ITEM CSL_CITATION {"citationID":"t3dZMLXp","properties":{"formattedCitation":"(Bastian et al.\\uc0\\u160{}2017; The Treasury\\uc0\\u160{}2015)","plainCitation":"(Bastian et al. 2017; The Treasury 2015)","noteIndex":0},"citationItems":[{"id":1923,"uris":["http://zotero.org/groups/2714158/items/XA76PNPQ"],"uri":["http://zotero.org/groups/2714158/items/XA76PNPQ"],"itemData":{"id":1923,"type":"report","genre":"Treasury Working Paper","publisher":"The Treasury","title":"Development of Treasury’s New Model of Australian Retirement Incomes and Assets: MARIA","author":[{"family":"Bastian","given":"Bruce"},{"family":"Smith","given":"Matthew"},{"family":"Cheong","given":"Belinda"},{"family":"Pineda","given":"Virginia"},{"family":"Stevenson","given":"Martin"},{"family":"Hutchison","given":"Owen"},{"family":"Nargar","given":"Madeleine"},{"family":"Kluth","given":"Susie"}],"issued":{"date-parts":[["2017"]]}}},{"id":1922,"uris":["http://zotero.org/groups/2714158/items/YJESGMHW"],"uri":["http://zotero.org/groups/2714158/items/YJESGMHW"],"itemData":{"id":1922,"type":"webpage","container-title":"The Treasury","title":"The RIMGROUP Model","URL":"https://treasury.gov.au/publication/projecting-the-distributions-of-superannuation-flows-and-assets/the-rimgroup-model","author":[{"literal":"The Treasury"}],"accessed":{"date-parts":[["2021",4,30]]},"issued":{"date-parts":[["2015"]]}}}],"schema":"https://github.com/citation-style-language/schema/raw/master/csl-citation.json"} </w:instrText>
      </w:r>
      <w:r w:rsidRPr="00E81A66">
        <w:fldChar w:fldCharType="separate"/>
      </w:r>
      <w:r w:rsidRPr="00E81A66">
        <w:t>(Bastian et al. 2017; The Treasury 2015)</w:t>
      </w:r>
      <w:r w:rsidRPr="00E81A66">
        <w:fldChar w:fldCharType="end"/>
      </w:r>
      <w:r w:rsidRPr="00E81A66">
        <w:t>.</w:t>
      </w:r>
    </w:p>
    <w:p w14:paraId="105E91C0" w14:textId="77777777" w:rsidR="00767353" w:rsidRDefault="00767353" w:rsidP="00767353">
      <w:pPr>
        <w:pStyle w:val="Heading3"/>
      </w:pPr>
      <w:r>
        <w:t>Model design</w:t>
      </w:r>
    </w:p>
    <w:p w14:paraId="170A3E81" w14:textId="77777777" w:rsidR="00767353" w:rsidRDefault="00767353" w:rsidP="00767353">
      <w:pPr>
        <w:pStyle w:val="BodyText"/>
      </w:pPr>
      <w:r>
        <w:t>The model</w:t>
      </w:r>
      <w:r w:rsidRPr="00EF6115">
        <w:t xml:space="preserve"> </w:t>
      </w:r>
      <w:r>
        <w:t>was built to provide insights into the impact of future wealth transfers on wealth inequality — this purpose shaped decisions made about various aspects of model design. These decisions, including trade</w:t>
      </w:r>
      <w:r>
        <w:noBreakHyphen/>
        <w:t>offs and limitations, are discussed below.</w:t>
      </w:r>
    </w:p>
    <w:p w14:paraId="7F0CA6D6" w14:textId="77777777" w:rsidR="00767353" w:rsidRDefault="00767353" w:rsidP="00767353">
      <w:pPr>
        <w:pStyle w:val="Heading4"/>
      </w:pPr>
      <w:r>
        <w:t>Choice of population unit</w:t>
      </w:r>
    </w:p>
    <w:p w14:paraId="236966FD" w14:textId="77777777" w:rsidR="00767353" w:rsidRDefault="00767353" w:rsidP="00767353">
      <w:pPr>
        <w:pStyle w:val="BodyText"/>
      </w:pPr>
      <w:r>
        <w:t>The basic unit of analysis in this model is the individual, as opposed to the household.</w:t>
      </w:r>
      <w:r w:rsidRPr="0065582E">
        <w:t xml:space="preserve"> </w:t>
      </w:r>
      <w:r>
        <w:t>Key model components, such as age, mortality, income and accumulation of superannuation are inherently specific to individuals rather than households.</w:t>
      </w:r>
      <w:r w:rsidRPr="00C13AE1">
        <w:t xml:space="preserve"> </w:t>
      </w:r>
      <w:r>
        <w:t>While it would be possible to aggregate individuals into equivalised household units (as in chapter 2) based on additional assumptions in the model about future household formation rates, this would not change the overall conclusions. The broad findings about wealth transfers and inequality are not dependent on the unit of measurement. Rather, they depend on the distributions of wealth among the units and the relative size of transfers between them (ch</w:t>
      </w:r>
      <w:r w:rsidRPr="003C425E">
        <w:t>apter </w:t>
      </w:r>
      <w:r w:rsidRPr="008F1329">
        <w:t>3</w:t>
      </w:r>
      <w:r w:rsidRPr="003C425E">
        <w:t>).</w:t>
      </w:r>
    </w:p>
    <w:p w14:paraId="1DA0CC82" w14:textId="77777777" w:rsidR="00767353" w:rsidRPr="00D326B3" w:rsidRDefault="00767353" w:rsidP="00767353">
      <w:pPr>
        <w:pStyle w:val="Heading4"/>
      </w:pPr>
      <w:r>
        <w:t>Choice of cohort structure</w:t>
      </w:r>
    </w:p>
    <w:p w14:paraId="3CD24D7A" w14:textId="77777777" w:rsidR="00767353" w:rsidRDefault="00767353" w:rsidP="00767353">
      <w:pPr>
        <w:pStyle w:val="BodyText"/>
      </w:pPr>
      <w:r>
        <w:t>Cohorts in this study’s model were based on</w:t>
      </w:r>
      <w:r w:rsidRPr="000D0294">
        <w:t xml:space="preserve"> </w:t>
      </w:r>
      <w:r w:rsidRPr="001A3526">
        <w:t>age</w:t>
      </w:r>
      <w:r>
        <w:t>,</w:t>
      </w:r>
      <w:r w:rsidRPr="001A3526">
        <w:t xml:space="preserve"> income</w:t>
      </w:r>
      <w:r>
        <w:t xml:space="preserve">, </w:t>
      </w:r>
      <w:r w:rsidRPr="001A3526">
        <w:t>starting wealth</w:t>
      </w:r>
      <w:r>
        <w:t>,</w:t>
      </w:r>
      <w:r w:rsidRPr="001A3526">
        <w:t xml:space="preserve"> homeowner status and </w:t>
      </w:r>
      <w:r>
        <w:t>inheritance</w:t>
      </w:r>
      <w:r>
        <w:noBreakHyphen/>
        <w:t xml:space="preserve">received status (section C.2) because these are the main factors of interest that influence wealth outcomes. This limits the scope of inequality analysis that can be undertaken, for example, with respect to gender, relationship status, household composition or geography. </w:t>
      </w:r>
    </w:p>
    <w:p w14:paraId="6AF30846" w14:textId="77777777" w:rsidR="00767353" w:rsidRDefault="00767353" w:rsidP="00767353">
      <w:pPr>
        <w:pStyle w:val="BodyText"/>
      </w:pPr>
      <w:r>
        <w:t>As the model evolves (ages) it produces large numbers of irregular sized cohorts. This can make it difficult to construct equal</w:t>
      </w:r>
      <w:r>
        <w:noBreakHyphen/>
        <w:t>sized quantiles, which are a common building block for inequality analysis (for example, ratios that compare the top and bottom of the wealth distribution). As such, tertiles (which divide the population into equal groups of three, rather than into a greater number of groups) were typically used for age</w:t>
      </w:r>
      <w:r>
        <w:noBreakHyphen/>
        <w:t>based quantile analysis within the model.</w:t>
      </w:r>
    </w:p>
    <w:p w14:paraId="08916629" w14:textId="77777777" w:rsidR="00767353" w:rsidRDefault="00767353" w:rsidP="00767353">
      <w:pPr>
        <w:pStyle w:val="Heading4"/>
      </w:pPr>
      <w:r>
        <w:t>Choice of projection period</w:t>
      </w:r>
    </w:p>
    <w:p w14:paraId="4D08E8C4" w14:textId="77777777" w:rsidR="00767353" w:rsidRDefault="00767353" w:rsidP="00767353">
      <w:pPr>
        <w:pStyle w:val="BodyText"/>
      </w:pPr>
      <w:r>
        <w:t xml:space="preserve">Outcomes were projected to 2050. As discussed in chapter 3, wealth transfers over this period are expected to be significant given strong asset price growth in recent years and moderate drawdowns from wealth. Declining fertility rates since the baby boom are also expected to result in larger average inheritances received in the future. Projecting to 2050 covers a period over which most baby boomers (the next generation that is approaching end of life) are expected to die. </w:t>
      </w:r>
    </w:p>
    <w:p w14:paraId="69D6980B" w14:textId="77777777" w:rsidR="00767353" w:rsidRDefault="00767353" w:rsidP="00767353">
      <w:pPr>
        <w:pStyle w:val="Heading4"/>
      </w:pPr>
      <w:r>
        <w:t>Choice of wealth types covered</w:t>
      </w:r>
    </w:p>
    <w:p w14:paraId="6893CCF6" w14:textId="77777777" w:rsidR="00767353" w:rsidRPr="00E81A66" w:rsidRDefault="00767353" w:rsidP="00767353">
      <w:pPr>
        <w:pStyle w:val="BodyText"/>
        <w:rPr>
          <w:spacing w:val="-4"/>
        </w:rPr>
      </w:pPr>
      <w:r w:rsidRPr="00E81A66">
        <w:rPr>
          <w:spacing w:val="-4"/>
        </w:rPr>
        <w:t>Three forms of wealth were represented in the model: net assets held in housing, superannuation and ‘other assets’. Housing and superannuation represent the largest sources of wealth among older Australians (chapter 3).</w:t>
      </w:r>
    </w:p>
    <w:p w14:paraId="092AF9F3" w14:textId="77777777" w:rsidR="00767353" w:rsidRPr="000F481A" w:rsidRDefault="00767353" w:rsidP="00767353">
      <w:pPr>
        <w:pStyle w:val="BodyText"/>
      </w:pPr>
      <w:r>
        <w:t>Other than housing debt, no other debt was modelled. Non</w:t>
      </w:r>
      <w:r>
        <w:noBreakHyphen/>
        <w:t>housing debt accounted for 14 per cent of total debt and was equivalent to about 2 per cent of total assets in 2018 (Productivity Commission estimates using HILDA Restricted Release 19). Non</w:t>
      </w:r>
      <w:r>
        <w:noBreakHyphen/>
        <w:t>housing debt tended to account for a larger proportion of total debt and assets held by those with lower wealth. Therefore, including non</w:t>
      </w:r>
      <w:r>
        <w:noBreakHyphen/>
        <w:t xml:space="preserve">housing debt would reduce the wealth </w:t>
      </w:r>
      <w:r>
        <w:lastRenderedPageBreak/>
        <w:t xml:space="preserve">of lower wealth groups to a larger extent, and increase the size of wealth transfers received relative to their existing wealth, all else equal. </w:t>
      </w:r>
    </w:p>
    <w:p w14:paraId="50C38710" w14:textId="77777777" w:rsidR="00767353" w:rsidRDefault="00767353" w:rsidP="00767353">
      <w:pPr>
        <w:pStyle w:val="Heading4"/>
      </w:pPr>
      <w:r>
        <w:t>Choice of wealth transfers covered</w:t>
      </w:r>
    </w:p>
    <w:p w14:paraId="78215BF5" w14:textId="77777777" w:rsidR="00767353" w:rsidRDefault="00767353" w:rsidP="00767353">
      <w:pPr>
        <w:pStyle w:val="BodyText"/>
      </w:pPr>
      <w:r>
        <w:t>The model includes inheritances and gifts from parents to children. Inheritances were based on modelled wealth at death (section C.2). The modelling of gifts provides some insights into transfers over the lifecycle and wealth inequality effects, but due to data limitations, the extent of the effects is more uncertain than for inheritances (section C.3). As such, greater focus is placed on inheritances in discussion of the results and scenario analysis.</w:t>
      </w:r>
    </w:p>
    <w:p w14:paraId="32D1BC77" w14:textId="77777777" w:rsidR="00767353" w:rsidRDefault="00767353" w:rsidP="00767353">
      <w:pPr>
        <w:pStyle w:val="BodyText"/>
      </w:pPr>
      <w:r>
        <w:t>Wealth at death was assumed to be transferred either to others in the same cohort (if partnered</w:t>
      </w:r>
      <w:r w:rsidRPr="003C425E">
        <w:t>) or to child generations as those parties account for the bulk of the value of wealth transfers (chapter </w:t>
      </w:r>
      <w:r w:rsidRPr="00EC3C63">
        <w:t>1</w:t>
      </w:r>
      <w:r w:rsidRPr="003C425E">
        <w:t>). (A small share was also assumed to be donated to charities.) In actuality, some wealth is transferred to grandchildren, other family members, friends and carers (</w:t>
      </w:r>
      <w:r w:rsidRPr="00EC3C63">
        <w:t>chapter 1</w:t>
      </w:r>
      <w:r w:rsidRPr="003C425E">
        <w:t>), which</w:t>
      </w:r>
      <w:r>
        <w:t xml:space="preserve"> means that the model slightly overestimates the size of wealth transfers to child and partner recipients. </w:t>
      </w:r>
    </w:p>
    <w:p w14:paraId="333801D0" w14:textId="77777777" w:rsidR="00767353" w:rsidRDefault="00767353" w:rsidP="00767353">
      <w:pPr>
        <w:pStyle w:val="BodyText"/>
      </w:pPr>
      <w:r>
        <w:t>Additionally, the study only considers transfers of financial (such as cash) and non</w:t>
      </w:r>
      <w:r>
        <w:noBreakHyphen/>
        <w:t>financial assets (such as houses) from parents to children. Transfers in the other direction, from children to parents, as well as in</w:t>
      </w:r>
      <w:r>
        <w:noBreakHyphen/>
        <w:t>kind transfers (such as childcare and rent</w:t>
      </w:r>
      <w:r>
        <w:noBreakHyphen/>
        <w:t xml:space="preserve">free accommodation) are out of scope of the project. </w:t>
      </w:r>
    </w:p>
    <w:p w14:paraId="06AA6793" w14:textId="77777777" w:rsidR="00767353" w:rsidRDefault="00767353" w:rsidP="00767353">
      <w:pPr>
        <w:pStyle w:val="Heading4"/>
      </w:pPr>
      <w:r>
        <w:t>Considering population growth</w:t>
      </w:r>
    </w:p>
    <w:p w14:paraId="5254322A" w14:textId="2E18899B" w:rsidR="00767353" w:rsidRDefault="00767353" w:rsidP="00767353">
      <w:pPr>
        <w:pStyle w:val="BodyText"/>
      </w:pPr>
      <w:r>
        <w:t>The model does not incorporate population growth via births. This means that the model cannot produce outcomes for new generations and thus it restricts comparisons between age groups at later years of the projection. For example, by 2048 (30 years into the model projection), there are no people under the age of</w:t>
      </w:r>
      <w:r w:rsidR="00D0431D">
        <w:t> </w:t>
      </w:r>
      <w:r>
        <w:t>30. As explained in chapter 3, comparisons of age groups between projection years are presented in multiples of five years to ensure that they are comparing the same age ranges over time</w:t>
      </w:r>
      <w:r w:rsidRPr="00AF6D1E">
        <w:t>.</w:t>
      </w:r>
    </w:p>
    <w:p w14:paraId="03156534" w14:textId="77777777" w:rsidR="00767353" w:rsidRDefault="00767353" w:rsidP="00767353">
      <w:pPr>
        <w:pStyle w:val="BodyText"/>
      </w:pPr>
      <w:r>
        <w:t>Migration is also excluded from the model. Including migration would require additional assumptions about which model cohorts have migrants join or leave over time. As discussed in chapter 3, immigrants tend to be younger and higher skilled than the general population. The addition of immigrants in the model may increase the share of wealth held by younger cohorts and reduce average wealth transfers received because total wealth transfers would be distributed across a larger number of younger people.</w:t>
      </w:r>
    </w:p>
    <w:p w14:paraId="66D83D9A" w14:textId="77777777" w:rsidR="00767353" w:rsidRDefault="00767353" w:rsidP="00767353">
      <w:pPr>
        <w:pStyle w:val="Heading4"/>
      </w:pPr>
      <w:r>
        <w:t>Considering behavioural responses</w:t>
      </w:r>
    </w:p>
    <w:p w14:paraId="10C02241" w14:textId="77777777" w:rsidR="00767353" w:rsidRPr="00E81A66" w:rsidRDefault="00767353" w:rsidP="00767353">
      <w:pPr>
        <w:pStyle w:val="BodyText"/>
        <w:rPr>
          <w:spacing w:val="-2"/>
        </w:rPr>
      </w:pPr>
      <w:r w:rsidRPr="00E81A66">
        <w:rPr>
          <w:spacing w:val="-2"/>
        </w:rPr>
        <w:t>Sensitivity analysis was conducted to test how widely outcomes differ with changes to assumptions relating to behaviour (such as saving rates and drawdown rates) rather than explicitly building behaviour into the model.</w:t>
      </w:r>
    </w:p>
    <w:p w14:paraId="35EED1E9" w14:textId="4DF8A9DF" w:rsidR="00767353" w:rsidRPr="00E81A66" w:rsidRDefault="00767353" w:rsidP="00767353">
      <w:pPr>
        <w:pStyle w:val="BodyText"/>
        <w:rPr>
          <w:spacing w:val="-2"/>
        </w:rPr>
      </w:pPr>
      <w:r w:rsidRPr="00E81A66">
        <w:rPr>
          <w:spacing w:val="-2"/>
        </w:rPr>
        <w:t xml:space="preserve">Endogenous behaviour could be incorporated in the model, for example, by allowing cohorts to make optimised consumption and investment decisions over time consistent with the lifecycle hypothesis </w:t>
      </w:r>
      <w:r w:rsidRPr="00E81A66">
        <w:rPr>
          <w:spacing w:val="-2"/>
        </w:rPr>
        <w:fldChar w:fldCharType="begin"/>
      </w:r>
      <w:r w:rsidR="0047772E">
        <w:rPr>
          <w:spacing w:val="-2"/>
        </w:rPr>
        <w:instrText xml:space="preserve"> ADDIN ZOTERO_ITEM CSL_CITATION {"citationID":"Yolgo3oX","properties":{"formattedCitation":"(Modigliani and Brumberg\\uc0\\u160{}1954)","plainCitation":"(Modigliani and Brumberg 1954)","noteIndex":0},"citationItems":[{"id":3154,"uris":["http://zotero.org/groups/2714158/items/9HXMMIS8"],"uri":["http://zotero.org/groups/2714158/items/9HXMMIS8"],"itemData":{"id":3154,"type":"chapter","container-title":"The Collected Papers of Franco Modigliani","edition":"Franco, F. (ed.)","event-place":"Cambridge","page":"3-45","publisher":"MIT Press","publisher-place":"Cambridge","title":"Utility analysis and the consumption function: An interpretation of cross-section data","volume":"6","author":[{"family":"Modigliani","given":"Franco"},{"family":"Brumberg","given":"Richard"}],"issued":{"date-parts":[["1954"]]}}}],"schema":"https://github.com/citation-style-language/schema/raw/master/csl-citation.json"} </w:instrText>
      </w:r>
      <w:r w:rsidRPr="00E81A66">
        <w:rPr>
          <w:spacing w:val="-2"/>
        </w:rPr>
        <w:fldChar w:fldCharType="separate"/>
      </w:r>
      <w:r w:rsidRPr="00E81A66">
        <w:rPr>
          <w:spacing w:val="-2"/>
          <w:szCs w:val="24"/>
        </w:rPr>
        <w:t>(Modigliani and Brumberg 1954)</w:t>
      </w:r>
      <w:r w:rsidRPr="00E81A66">
        <w:rPr>
          <w:spacing w:val="-2"/>
        </w:rPr>
        <w:fldChar w:fldCharType="end"/>
      </w:r>
      <w:r w:rsidRPr="00E81A66">
        <w:rPr>
          <w:spacing w:val="-2"/>
        </w:rPr>
        <w:t xml:space="preserve">, rather than using fixed assumptions about saving rates. Behaviour affecting the value of wealth at death, such as the bequest motive or ‘accidental’ bequests due to precautionary saving, would also need to be modelled to generate inheritances. Incorporating endogenous behaviour in such ways would allow the model to examine behavioural responses to exogenous changes in policy. However, it would require </w:t>
      </w:r>
      <w:r w:rsidRPr="00E81A66">
        <w:rPr>
          <w:spacing w:val="-2"/>
        </w:rPr>
        <w:lastRenderedPageBreak/>
        <w:t>additional calibration of parameters underlying behavioural equations in the model, and may require further simplifying assumptions in other areas to make solving the behavioural model tractable.</w:t>
      </w:r>
      <w:r w:rsidRPr="0059379B">
        <w:rPr>
          <w:rStyle w:val="FootnoteReference"/>
        </w:rPr>
        <w:footnoteReference w:id="67"/>
      </w:r>
    </w:p>
    <w:p w14:paraId="25F79743" w14:textId="77777777" w:rsidR="00767353" w:rsidRDefault="00767353" w:rsidP="00767353">
      <w:pPr>
        <w:pStyle w:val="BodyText"/>
      </w:pPr>
      <w:r>
        <w:t>It is worth noting that policy settings affect wealth accumulation and distort savings behaviour</w:t>
      </w:r>
      <w:r w:rsidRPr="008E4741">
        <w:t>. For example, superannuation involves mandatory contributions</w:t>
      </w:r>
      <w:r>
        <w:t xml:space="preserve"> and pension policy exempts certain asset classes from means testing</w:t>
      </w:r>
      <w:r w:rsidRPr="008E4741">
        <w:t>.</w:t>
      </w:r>
      <w:r>
        <w:t xml:space="preserve"> Allowing cohorts in the model to optimise their behaviour subject to these policy settings and constraints would require additional model complexity. Given policy analysis is not the aim of this report, the added model and computational complexity associated with incorporating endogenous behaviour is not considered worthwhile.</w:t>
      </w:r>
    </w:p>
    <w:p w14:paraId="2672A0FC" w14:textId="27A9F598" w:rsidR="00767353" w:rsidRDefault="00767353" w:rsidP="00767353">
      <w:pPr>
        <w:pStyle w:val="BodyText"/>
      </w:pPr>
      <w:r>
        <w:t>In addition, t</w:t>
      </w:r>
      <w:r w:rsidRPr="008E4741">
        <w:t xml:space="preserve">here is evidence that people do not behave </w:t>
      </w:r>
      <w:r>
        <w:t xml:space="preserve">in ways that are </w:t>
      </w:r>
      <w:r w:rsidRPr="008E4741">
        <w:t xml:space="preserve">consistent with standard optimisation (lifecycle </w:t>
      </w:r>
      <w:r>
        <w:t>hypothesis</w:t>
      </w:r>
      <w:r w:rsidRPr="008E4741">
        <w:t>) assumptions. For example, Australians tend to die holding most of the wealth that they had at the start of their retirement</w:t>
      </w:r>
      <w:r>
        <w:t xml:space="preserve">, but bequests do not appear to be a high priority for retirees </w:t>
      </w:r>
      <w:r>
        <w:fldChar w:fldCharType="begin"/>
      </w:r>
      <w:r w:rsidR="0047772E">
        <w:instrText xml:space="preserve"> ADDIN ZOTERO_ITEM CSL_CITATION {"citationID":"cmaaTtOK","properties":{"formattedCitation":"(The Treasury\\uc0\\u160{}2020, p.\\uc0\\u160{}436)","plainCitation":"(The Treasury 2020, p. 436)","noteIndex":0},"citationItems":[{"id":1552,"uris":["http://zotero.org/groups/2714158/items/R5Y5AKIH"],"uri":["http://zotero.org/groups/2714158/items/R5Y5AKIH"],"itemData":{"id":1552,"type":"report","event-place":"Canberra","genre":"Final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Treasury","given":""}],"accessed":{"date-parts":[["2021",2,4]]},"issued":{"date-parts":[["2020"]]}},"locator":"436"}],"schema":"https://github.com/citation-style-language/schema/raw/master/csl-citation.json"} </w:instrText>
      </w:r>
      <w:r>
        <w:fldChar w:fldCharType="separate"/>
      </w:r>
      <w:r w:rsidRPr="002A50B3">
        <w:rPr>
          <w:szCs w:val="24"/>
        </w:rPr>
        <w:t>(The Treasury 2020, p. 436)</w:t>
      </w:r>
      <w:r>
        <w:fldChar w:fldCharType="end"/>
      </w:r>
      <w:r>
        <w:t>.</w:t>
      </w:r>
      <w:r w:rsidRPr="008E4741">
        <w:t xml:space="preserve"> </w:t>
      </w:r>
      <w:r>
        <w:t>They also</w:t>
      </w:r>
      <w:r w:rsidRPr="008E4741">
        <w:t xml:space="preserve"> purchase very few products that insure against longevity risk</w:t>
      </w:r>
      <w:r>
        <w:t xml:space="preserve"> </w:t>
      </w:r>
      <w:r>
        <w:fldChar w:fldCharType="begin"/>
      </w:r>
      <w:r w:rsidR="0047772E">
        <w:instrText xml:space="preserve"> ADDIN ZOTERO_ITEM CSL_CITATION {"citationID":"H7djg8E7","properties":{"formattedCitation":"(The Treasury\\uc0\\u160{}2020, p.\\uc0\\u160{}439)","plainCitation":"(The Treasury 2020, p. 439)","noteIndex":0},"citationItems":[{"id":1552,"uris":["http://zotero.org/groups/2714158/items/R5Y5AKIH"],"uri":["http://zotero.org/groups/2714158/items/R5Y5AKIH"],"itemData":{"id":1552,"type":"report","event-place":"Canberra","genre":"Final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Treasury","given":""}],"accessed":{"date-parts":[["2021",2,4]]},"issued":{"date-parts":[["2020"]]}},"locator":"439"}],"schema":"https://github.com/citation-style-language/schema/raw/master/csl-citation.json"} </w:instrText>
      </w:r>
      <w:r>
        <w:fldChar w:fldCharType="separate"/>
      </w:r>
      <w:r w:rsidRPr="00EF22AE">
        <w:rPr>
          <w:szCs w:val="24"/>
        </w:rPr>
        <w:t>(The Treasury 2020, p. 439)</w:t>
      </w:r>
      <w:r>
        <w:fldChar w:fldCharType="end"/>
      </w:r>
      <w:r w:rsidRPr="008E4741">
        <w:t xml:space="preserve"> </w:t>
      </w:r>
      <w:r>
        <w:t>or</w:t>
      </w:r>
      <w:r w:rsidRPr="008E4741">
        <w:t xml:space="preserve"> instruments that </w:t>
      </w:r>
      <w:r>
        <w:t>facilitate</w:t>
      </w:r>
      <w:r w:rsidRPr="008E4741">
        <w:t xml:space="preserve"> </w:t>
      </w:r>
      <w:r>
        <w:t xml:space="preserve">access to </w:t>
      </w:r>
      <w:r w:rsidRPr="008E4741">
        <w:t>equity</w:t>
      </w:r>
      <w:r>
        <w:t xml:space="preserve"> in</w:t>
      </w:r>
      <w:r w:rsidRPr="008E4741">
        <w:t xml:space="preserve"> hous</w:t>
      </w:r>
      <w:r>
        <w:t>ing</w:t>
      </w:r>
      <w:r w:rsidRPr="008E4741">
        <w:t xml:space="preserve"> </w:t>
      </w:r>
      <w:r>
        <w:t>assets</w:t>
      </w:r>
      <w:r w:rsidRPr="008E4741">
        <w:t xml:space="preserve">, even </w:t>
      </w:r>
      <w:r>
        <w:t xml:space="preserve">among </w:t>
      </w:r>
      <w:r w:rsidRPr="008E4741">
        <w:t xml:space="preserve">people with low </w:t>
      </w:r>
      <w:r>
        <w:t xml:space="preserve">levels of </w:t>
      </w:r>
      <w:r w:rsidRPr="008E4741">
        <w:t>income</w:t>
      </w:r>
      <w:r>
        <w:t xml:space="preserve"> </w:t>
      </w:r>
      <w:r>
        <w:fldChar w:fldCharType="begin"/>
      </w:r>
      <w:r w:rsidR="0047772E">
        <w:instrText xml:space="preserve"> ADDIN ZOTERO_ITEM CSL_CITATION {"citationID":"JYy9PHz5","properties":{"formattedCitation":"(The Treasury\\uc0\\u160{}2020, p.\\uc0\\u160{}436)","plainCitation":"(The Treasury 2020, p. 436)","noteIndex":0},"citationItems":[{"id":1552,"uris":["http://zotero.org/groups/2714158/items/R5Y5AKIH"],"uri":["http://zotero.org/groups/2714158/items/R5Y5AKIH"],"itemData":{"id":1552,"type":"report","event-place":"Canberra","genre":"Final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Treasury","given":""}],"accessed":{"date-parts":[["2021",2,4]]},"issued":{"date-parts":[["2020"]]}},"locator":"436"}],"schema":"https://github.com/citation-style-language/schema/raw/master/csl-citation.json"} </w:instrText>
      </w:r>
      <w:r>
        <w:fldChar w:fldCharType="separate"/>
      </w:r>
      <w:r w:rsidRPr="005E7560">
        <w:rPr>
          <w:szCs w:val="24"/>
        </w:rPr>
        <w:t>(The Treasury 2020, p. 436)</w:t>
      </w:r>
      <w:r>
        <w:fldChar w:fldCharType="end"/>
      </w:r>
      <w:r w:rsidRPr="008E4741">
        <w:t xml:space="preserve">. </w:t>
      </w:r>
      <w:r>
        <w:t xml:space="preserve">Such observations may be a result of people’s responses to system complexity </w:t>
      </w:r>
      <w:r>
        <w:fldChar w:fldCharType="begin"/>
      </w:r>
      <w:r w:rsidR="0047772E">
        <w:instrText xml:space="preserve"> ADDIN ZOTERO_ITEM CSL_CITATION {"citationID":"VyFX6nPZ","properties":{"formattedCitation":"(The Treasury\\uc0\\u160{}2020, pp.\\uc0\\u160{}443\\uc0\\u8211{}445)","plainCitation":"(The Treasury 2020, pp. 443–445)","noteIndex":0},"citationItems":[{"id":1552,"uris":["http://zotero.org/groups/2714158/items/R5Y5AKIH"],"uri":["http://zotero.org/groups/2714158/items/R5Y5AKIH"],"itemData":{"id":1552,"type":"report","event-place":"Canberra","genre":"Final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Treasury","given":""}],"accessed":{"date-parts":[["2021",2,4]]},"issued":{"date-parts":[["2020"]]}},"locator":"443-445"}],"schema":"https://github.com/citation-style-language/schema/raw/master/csl-citation.json"} </w:instrText>
      </w:r>
      <w:r>
        <w:fldChar w:fldCharType="separate"/>
      </w:r>
      <w:r w:rsidRPr="00E86476">
        <w:rPr>
          <w:szCs w:val="24"/>
        </w:rPr>
        <w:t>(The Treasury 2020, pp. 443–445)</w:t>
      </w:r>
      <w:r>
        <w:fldChar w:fldCharType="end"/>
      </w:r>
      <w:r>
        <w:t xml:space="preserve"> and uncertainty about the permanency of policies in the future, which are both </w:t>
      </w:r>
      <w:r w:rsidR="002C4B9E">
        <w:t xml:space="preserve">challenging </w:t>
      </w:r>
      <w:r>
        <w:t>to model.</w:t>
      </w:r>
    </w:p>
    <w:p w14:paraId="1696AD81" w14:textId="77777777" w:rsidR="00767353" w:rsidRDefault="00767353" w:rsidP="00132C71">
      <w:pPr>
        <w:pStyle w:val="Heading2-Appendix"/>
      </w:pPr>
      <w:r>
        <w:t xml:space="preserve">Structure of the dynamic cohort simulation model </w:t>
      </w:r>
    </w:p>
    <w:p w14:paraId="2D8AEC0E" w14:textId="77777777" w:rsidR="00767353" w:rsidRDefault="00767353" w:rsidP="00767353">
      <w:pPr>
        <w:pStyle w:val="BodyText"/>
      </w:pPr>
      <w:r>
        <w:t xml:space="preserve">The model projects population, individual income and wealth for each cohort into the future, given assumptions about mortality, changes in income through time, wealth accumulation behaviour and rates of return. Each year, wealth is also transferred from older to younger generations via inheritances and gifts. </w:t>
      </w:r>
      <w:r w:rsidRPr="002128D3">
        <w:t xml:space="preserve">Figure </w:t>
      </w:r>
      <w:r w:rsidRPr="00463825">
        <w:t xml:space="preserve">C.1 </w:t>
      </w:r>
      <w:r w:rsidRPr="002128D3">
        <w:t>presents</w:t>
      </w:r>
      <w:r>
        <w:t xml:space="preserve"> a simple summary of the model structure. More information is provided on the model components below. Data sources are described in section C.3.</w:t>
      </w:r>
    </w:p>
    <w:p w14:paraId="458EA5C9" w14:textId="77777777" w:rsidR="00767353" w:rsidRDefault="00767353" w:rsidP="00767353">
      <w:pPr>
        <w:pStyle w:val="Heading3"/>
      </w:pPr>
      <w:r>
        <w:t>Population and cohort transitions</w:t>
      </w:r>
    </w:p>
    <w:p w14:paraId="0C7ADB8D" w14:textId="77777777" w:rsidR="00767353" w:rsidRDefault="00767353" w:rsidP="00767353">
      <w:pPr>
        <w:pStyle w:val="BodyText"/>
      </w:pPr>
      <w:r>
        <w:t>In the model, the initial population is split into five</w:t>
      </w:r>
      <w:r>
        <w:noBreakHyphen/>
      </w:r>
      <w:r w:rsidRPr="001A3526">
        <w:t>year age groups</w:t>
      </w:r>
      <w:r>
        <w:t xml:space="preserve"> (0–4 to 100+),</w:t>
      </w:r>
      <w:r w:rsidRPr="001A3526">
        <w:t xml:space="preserve"> five income quintiles, four starting wealth quartiles, initial homeowner status and an indicator for whether an inheritance has already been received.</w:t>
      </w:r>
      <w:r>
        <w:t xml:space="preserve"> </w:t>
      </w:r>
    </w:p>
    <w:p w14:paraId="327F2D93" w14:textId="77777777" w:rsidR="00B670F9" w:rsidRDefault="00B670F9" w:rsidP="00B670F9">
      <w:pPr>
        <w:pStyle w:val="BodyText"/>
        <w:keepNext/>
      </w:pPr>
      <w:r>
        <w:t>The number of people in each subsequent cohort changes each year depending on:</w:t>
      </w:r>
    </w:p>
    <w:p w14:paraId="54043525" w14:textId="77777777" w:rsidR="00B670F9" w:rsidRPr="00FB2BEE" w:rsidRDefault="00B670F9" w:rsidP="00B670F9">
      <w:pPr>
        <w:pStyle w:val="ListBullet"/>
        <w:rPr>
          <w:spacing w:val="-2"/>
        </w:rPr>
      </w:pPr>
      <w:r w:rsidRPr="00FB2BEE">
        <w:rPr>
          <w:spacing w:val="-2"/>
        </w:rPr>
        <w:t>inheritance receipt — at the start of each year for cohorts that had not yet received an inheritance, a share of those cohorts’ parents is assumed to have passed away in the previous year, leaving them an inheritance</w:t>
      </w:r>
    </w:p>
    <w:p w14:paraId="4077B6FD" w14:textId="77777777" w:rsidR="00B670F9" w:rsidRPr="00FB2BEE" w:rsidRDefault="00B670F9" w:rsidP="00B670F9">
      <w:pPr>
        <w:pStyle w:val="ListBullet"/>
        <w:rPr>
          <w:spacing w:val="-4"/>
        </w:rPr>
      </w:pPr>
      <w:r w:rsidRPr="00FB2BEE">
        <w:rPr>
          <w:spacing w:val="-4"/>
        </w:rPr>
        <w:t>home ownership transitions — at the start of each year, for cohorts that had not yet purchased a home, a share of those cohorts is assumed to move into home ownership and remain homeowners for the rest of their lives</w:t>
      </w:r>
    </w:p>
    <w:p w14:paraId="4BB3ECFD" w14:textId="77777777" w:rsidR="00B670F9" w:rsidRPr="00FB2BEE" w:rsidRDefault="00B670F9" w:rsidP="00B670F9">
      <w:pPr>
        <w:pStyle w:val="ListBullet"/>
      </w:pPr>
      <w:r w:rsidRPr="00FB2BEE">
        <w:t>income group transitions — at the start of each five</w:t>
      </w:r>
      <w:r w:rsidRPr="00FB2BEE">
        <w:noBreakHyphen/>
        <w:t>year interval, a share of each cohort is assumed to transition to a different income group, reflecting differences in how people experience entry into the workforce, career establishment and retirement</w:t>
      </w:r>
    </w:p>
    <w:p w14:paraId="50978106" w14:textId="77777777" w:rsidR="00B670F9" w:rsidRDefault="00B670F9" w:rsidP="00B670F9">
      <w:pPr>
        <w:pStyle w:val="ListBullet"/>
      </w:pPr>
      <w:r w:rsidRPr="00FB2BEE">
        <w:t>mortality</w:t>
      </w:r>
      <w:r w:rsidRPr="00E81A66">
        <w:t xml:space="preserve"> — at</w:t>
      </w:r>
      <w:r>
        <w:t xml:space="preserve"> the end of each year, a share of each cohort passes away.</w:t>
      </w:r>
    </w:p>
    <w:p w14:paraId="518CB551" w14:textId="77777777" w:rsidR="00B670F9" w:rsidRDefault="00B670F9" w:rsidP="00767353">
      <w:pPr>
        <w:pStyle w:val="BodyText"/>
      </w:pPr>
    </w:p>
    <w:p w14:paraId="6045674B" w14:textId="007FB2F4"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373EBD">
        <w:t>1</w:t>
      </w:r>
      <w:r>
        <w:rPr>
          <w:noProof/>
        </w:rPr>
        <w:t xml:space="preserve"> </w:t>
      </w:r>
      <w:r>
        <w:t>– Simple representation of the cohort simulation model</w:t>
      </w:r>
    </w:p>
    <w:p w14:paraId="6198957D" w14:textId="78971F2F" w:rsidR="00767353" w:rsidRPr="005550A0" w:rsidRDefault="006B08A1" w:rsidP="00767353">
      <w:pPr>
        <w:pStyle w:val="BodyText"/>
      </w:pPr>
      <w:r w:rsidRPr="006B08A1">
        <w:t xml:space="preserve"> </w:t>
      </w:r>
      <w:r w:rsidRPr="006B08A1">
        <w:rPr>
          <w:noProof/>
        </w:rPr>
        <w:drawing>
          <wp:inline distT="0" distB="0" distL="0" distR="0" wp14:anchorId="783C583E" wp14:editId="5AC08380">
            <wp:extent cx="5934075" cy="6724650"/>
            <wp:effectExtent l="0" t="0" r="9525" b="0"/>
            <wp:docPr id="179" name="Picture 179" descr="Figure C.1. This figure illustrates the population and wealth processes in the model as an infographic flowchart. The start of the simulation has population cohorts by age group, income quintile, wealth quantile, inheritance received status and homeowners status. At the start of each year, shares of each cohort receive an inheritance and/or become homeowners if they have not already. At the start of every five years, each cohort also ages to the next five-year age group and shares of the cohort move to different population income quintiles. During each year, wealth accumulates and decumulates via: housing purchases, sales and housing debt; superannuation contributions and drawdowns; saving and drawdowns in other assets; returns on assets; gifts given and saving of gifts received; and saving of inheritances received. At the end of each year, a share of each cohort passes away, leaving their wealth as inheri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Figure C.1. This figure illustrates the population and wealth processes in the model as an infographic flowchart. The start of the simulation has population cohorts by age group, income quintile, wealth quantile, inheritance received status and homeowners status. At the start of each year, shares of each cohort receive an inheritance and/or become homeowners if they have not already. At the start of every five years, each cohort also ages to the next five-year age group and shares of the cohort move to different population income quintiles. During each year, wealth accumulates and decumulates via: housing purchases, sales and housing debt; superannuation contributions and drawdowns; saving and drawdowns in other assets; returns on assets; gifts given and saving of gifts received; and saving of inheritances received. At the end of each year, a share of each cohort passes away, leaving their wealth as inheritance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4075" cy="6724650"/>
                    </a:xfrm>
                    <a:prstGeom prst="rect">
                      <a:avLst/>
                    </a:prstGeom>
                    <a:noFill/>
                    <a:ln>
                      <a:noFill/>
                    </a:ln>
                  </pic:spPr>
                </pic:pic>
              </a:graphicData>
            </a:graphic>
          </wp:inline>
        </w:drawing>
      </w:r>
    </w:p>
    <w:p w14:paraId="35ABD62B" w14:textId="77777777" w:rsidR="00767353" w:rsidRDefault="00767353" w:rsidP="00767353">
      <w:pPr>
        <w:pStyle w:val="Space"/>
      </w:pPr>
    </w:p>
    <w:p w14:paraId="4A006A3A" w14:textId="77777777" w:rsidR="00767353" w:rsidRDefault="00767353" w:rsidP="00767353">
      <w:pPr>
        <w:pStyle w:val="BodyText"/>
      </w:pPr>
      <w:r>
        <w:t>Because demographic changes due to births and migration are not modelled (section C.1), the model population declines over time as people die.</w:t>
      </w:r>
    </w:p>
    <w:p w14:paraId="0CF8020C" w14:textId="77777777" w:rsidR="00767353" w:rsidRDefault="00767353" w:rsidP="00767353">
      <w:pPr>
        <w:pStyle w:val="BodyText"/>
      </w:pPr>
      <w:r>
        <w:t xml:space="preserve">Each cohort’s previous sequence of income group transitions is recorded, thus producing an increasing number of cohorts over time as transitions occur, and a broad spread of wealth outcomes by the end of the simulation. The spreads of wealth across cohorts each year are used for analysing wealth inequality. </w:t>
      </w:r>
    </w:p>
    <w:p w14:paraId="21734B12" w14:textId="77777777" w:rsidR="00767353" w:rsidRDefault="00767353" w:rsidP="00767353">
      <w:pPr>
        <w:pStyle w:val="Heading3"/>
      </w:pPr>
      <w:r>
        <w:lastRenderedPageBreak/>
        <w:t>Income and wealth accumulation</w:t>
      </w:r>
    </w:p>
    <w:p w14:paraId="5F13BAAB" w14:textId="77777777" w:rsidR="00767353" w:rsidRDefault="00767353" w:rsidP="00767353">
      <w:pPr>
        <w:pStyle w:val="BodyText"/>
      </w:pPr>
      <w:r>
        <w:t xml:space="preserve">Income is an important source of wealth accumulation as it affects how much an individual can save. In every year of the model, people in each cohort earn income (split into wages and income from other sources) based on their current age and income group, and assumed growth over time. All income is taxed based on assumptions about future tax rates (section C.3). </w:t>
      </w:r>
    </w:p>
    <w:p w14:paraId="12ED16C1" w14:textId="77777777" w:rsidR="00767353" w:rsidRDefault="00767353" w:rsidP="00767353">
      <w:pPr>
        <w:pStyle w:val="BodyText"/>
      </w:pPr>
      <w:r>
        <w:t>Wealth was grouped into three types in the model.</w:t>
      </w:r>
    </w:p>
    <w:p w14:paraId="2C8E9B6B" w14:textId="77777777" w:rsidR="00767353" w:rsidRPr="00F72677" w:rsidRDefault="00767353" w:rsidP="00996F42">
      <w:pPr>
        <w:pStyle w:val="ListNumber"/>
        <w:numPr>
          <w:ilvl w:val="0"/>
          <w:numId w:val="52"/>
        </w:numPr>
      </w:pPr>
      <w:r>
        <w:t xml:space="preserve">Housing wealth. Individuals within a cohort that transition into home ownership gain housing assets. </w:t>
      </w:r>
      <w:r w:rsidRPr="00F72677">
        <w:t>This comes with an associated level of housing debt. Cohorts that already own a home are assumed to earn a rate of return on their housing assets, and they reduce some of their housing debt each year. They also gain additional housing assets by upsizing (which comes with additional housing debt at the same debt to asset ratio as new entrants into home ownership) or sell housing to downsize in old age. Investment housing is included in the wealth of the initial population, but it is treated the same as other housing wealth. Transaction costs were not modelled.</w:t>
      </w:r>
    </w:p>
    <w:p w14:paraId="75ED1F46" w14:textId="77777777" w:rsidR="00767353" w:rsidRPr="00F72677" w:rsidRDefault="00767353" w:rsidP="00767353">
      <w:pPr>
        <w:pStyle w:val="ListNumber"/>
        <w:numPr>
          <w:ilvl w:val="0"/>
          <w:numId w:val="1"/>
        </w:numPr>
      </w:pPr>
      <w:r w:rsidRPr="00F72677">
        <w:t>Superannuation. Contributions are modelled based on projected wage income and future superannuation guarantee rates, less contributions tax. Superannuation assets earn a rate of return each year, net of fees and taxes. Drawdowns are based on legislated minimum withdrawal rates after retirement, with low balances withdrawn as lump sums.</w:t>
      </w:r>
    </w:p>
    <w:p w14:paraId="24D5C49B" w14:textId="77777777" w:rsidR="00767353" w:rsidRPr="00F72677" w:rsidRDefault="00767353" w:rsidP="00767353">
      <w:pPr>
        <w:pStyle w:val="ListNumber"/>
        <w:numPr>
          <w:ilvl w:val="0"/>
          <w:numId w:val="1"/>
        </w:numPr>
      </w:pPr>
      <w:r w:rsidRPr="00F72677">
        <w:t>Other assets. These include assets other than housing and superannuation, such as cash, equities and vehicles. Cohorts are assumed to save a share of their income in other assets, and draw down a share of their other assets each year. A portion of wealth transfers are also assumed to be saved in other assets (described further below). The composition of other assets differs by age group, hence rates of return are also assumed to differ by age. (This assumption applies initially until all rates of return converge, as is assumed in the base scenario (section C.3).) All returns on other assets are assumed to be taxed at the cohort’s marginal tax rate and reinvested back into other assets.</w:t>
      </w:r>
    </w:p>
    <w:p w14:paraId="37E431AC" w14:textId="77777777" w:rsidR="00767353" w:rsidRDefault="00767353" w:rsidP="00767353">
      <w:pPr>
        <w:pStyle w:val="BodyText"/>
      </w:pPr>
      <w:r>
        <w:t xml:space="preserve">Box C.1 presents the equations describing the wealth accumulation process in the model. </w:t>
      </w:r>
    </w:p>
    <w:p w14:paraId="1494ED56" w14:textId="77777777" w:rsidR="00767353" w:rsidRDefault="00767353" w:rsidP="00767353">
      <w:pPr>
        <w:pStyle w:val="BodyText"/>
        <w:rPr>
          <w:highlight w:val="yellow"/>
        </w:rPr>
        <w:sectPr w:rsidR="00767353" w:rsidSect="00604051">
          <w:type w:val="oddPage"/>
          <w:pgSz w:w="11906" w:h="16838" w:code="9"/>
          <w:pgMar w:top="1134" w:right="1134" w:bottom="1134" w:left="1134" w:header="794" w:footer="510" w:gutter="0"/>
          <w:cols w:space="708"/>
          <w:docGrid w:linePitch="360"/>
        </w:sectPr>
      </w:pPr>
    </w:p>
    <w:tbl>
      <w:tblPr>
        <w:tblStyle w:val="Boxtable"/>
        <w:tblW w:w="5000" w:type="pct"/>
        <w:tblLook w:val="04A0" w:firstRow="1" w:lastRow="0" w:firstColumn="1" w:lastColumn="0" w:noHBand="0" w:noVBand="1"/>
      </w:tblPr>
      <w:tblGrid>
        <w:gridCol w:w="14570"/>
      </w:tblGrid>
      <w:tr w:rsidR="00767353" w14:paraId="30932104" w14:textId="77777777" w:rsidTr="00604051">
        <w:trPr>
          <w:tblHeader/>
        </w:trPr>
        <w:tc>
          <w:tcPr>
            <w:tcW w:w="14570" w:type="dxa"/>
            <w:tcMar>
              <w:top w:w="170" w:type="dxa"/>
              <w:left w:w="170" w:type="dxa"/>
              <w:bottom w:w="113" w:type="dxa"/>
              <w:right w:w="170" w:type="dxa"/>
            </w:tcMar>
            <w:hideMark/>
          </w:tcPr>
          <w:p w14:paraId="3061BCC2" w14:textId="45FAD837" w:rsidR="00767353" w:rsidRDefault="00767353" w:rsidP="00604051">
            <w:pPr>
              <w:pStyle w:val="BoxHeading1"/>
            </w:pPr>
            <w:r>
              <w:lastRenderedPageBreak/>
              <w:t xml:space="preserve">Box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373EBD">
              <w:t>1</w:t>
            </w:r>
            <w:r>
              <w:t xml:space="preserve"> – Equations representing the wealth accumulation process</w:t>
            </w:r>
          </w:p>
        </w:tc>
      </w:tr>
      <w:tr w:rsidR="00767353" w14:paraId="3AE458AD" w14:textId="77777777" w:rsidTr="00604051">
        <w:tc>
          <w:tcPr>
            <w:tcW w:w="14570" w:type="dxa"/>
            <w:tcMar>
              <w:top w:w="28" w:type="dxa"/>
              <w:left w:w="170" w:type="dxa"/>
              <w:bottom w:w="170" w:type="dxa"/>
              <w:right w:w="170" w:type="dxa"/>
            </w:tcMar>
            <w:hideMark/>
          </w:tcPr>
          <w:p w14:paraId="17665552" w14:textId="77777777" w:rsidR="00767353" w:rsidRPr="006F7159" w:rsidRDefault="00767353" w:rsidP="00604051">
            <w:pPr>
              <w:pStyle w:val="BodyText"/>
            </w:pPr>
            <w:r w:rsidRPr="006F7159">
              <w:t xml:space="preserve">The wealth accumulation process </w:t>
            </w:r>
            <w:r>
              <w:t xml:space="preserve">(excluding wealth received from the deaths of partners) </w:t>
            </w:r>
            <w:r w:rsidRPr="006F7159">
              <w:t xml:space="preserve">can be broadly summarised by the following equations, where </w:t>
            </w:r>
            <w:r w:rsidRPr="005A40A3">
              <w:rPr>
                <w:i/>
                <w:iCs/>
              </w:rPr>
              <w:t>c</w:t>
            </w:r>
            <w:r w:rsidRPr="005A40A3">
              <w:t xml:space="preserve"> </w:t>
            </w:r>
            <w:r w:rsidRPr="006F7159">
              <w:t xml:space="preserve">represents a cohort and </w:t>
            </w:r>
            <w:r w:rsidRPr="006F7159">
              <w:rPr>
                <w:i/>
                <w:iCs/>
              </w:rPr>
              <w:t>t</w:t>
            </w:r>
            <w:r w:rsidRPr="006F7159">
              <w:t xml:space="preserve"> represents the year.</w:t>
            </w:r>
          </w:p>
          <w:p w14:paraId="4BE3ED7A" w14:textId="77777777" w:rsidR="00767353" w:rsidRPr="006F7159" w:rsidRDefault="00B2270C" w:rsidP="00604051">
            <w:pPr>
              <w:pStyle w:val="BodyText"/>
            </w:pPr>
            <m:oMathPara>
              <m:oMathParaPr>
                <m:jc m:val="left"/>
              </m:oMathParaPr>
              <m:oMath>
                <m:sSub>
                  <m:sSubPr>
                    <m:ctrlPr>
                      <w:rPr>
                        <w:rFonts w:ascii="Cambria Math" w:hAnsi="Cambria Math"/>
                      </w:rPr>
                    </m:ctrlPr>
                  </m:sSubPr>
                  <m:e>
                    <m:r>
                      <w:rPr>
                        <w:rFonts w:ascii="Cambria Math" w:hAnsi="Cambria Math"/>
                      </w:rPr>
                      <m:t>HousingAssets</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HousingAssets</m:t>
                            </m:r>
                          </m:e>
                          <m:sub>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-1</m:t>
                            </m:r>
                          </m:sub>
                        </m:sSub>
                        <m:d>
                          <m:dPr>
                            <m:ctrlPr>
                              <w:rPr>
                                <w:rFonts w:ascii="Cambria Math" w:hAnsi="Cambria Math"/>
                              </w:rPr>
                            </m:ctrlPr>
                          </m:dPr>
                          <m:e>
                            <m:r>
                              <m:rPr>
                                <m:sty m:val="p"/>
                              </m:rPr>
                              <w:rPr>
                                <w:rFonts w:ascii="Cambria Math" w:hAnsi="Cambria Math"/>
                              </w:rPr>
                              <m:t>1+</m:t>
                            </m:r>
                            <m:sSub>
                              <m:sSubPr>
                                <m:ctrlPr>
                                  <w:rPr>
                                    <w:rFonts w:ascii="Cambria Math" w:hAnsi="Cambria Math"/>
                                    <w:iCs/>
                                  </w:rPr>
                                </m:ctrlPr>
                              </m:sSubPr>
                              <m:e>
                                <m:r>
                                  <w:rPr>
                                    <w:rFonts w:ascii="Cambria Math" w:hAnsi="Cambria Math"/>
                                  </w:rPr>
                                  <m:t>RateReturnHousing</m:t>
                                </m:r>
                                <m:ctrlPr>
                                  <w:rPr>
                                    <w:rFonts w:ascii="Cambria Math" w:hAnsi="Cambria Math"/>
                                  </w:rPr>
                                </m:ctrlPr>
                              </m:e>
                              <m:sub>
                                <m:r>
                                  <w:rPr>
                                    <w:rFonts w:ascii="Cambria Math" w:hAnsi="Cambria Math"/>
                                  </w:rPr>
                                  <m:t>t</m:t>
                                </m:r>
                              </m:sub>
                            </m:sSub>
                            <m:r>
                              <m:rPr>
                                <m:sty m:val="p"/>
                              </m:rPr>
                              <w:rPr>
                                <w:rFonts w:ascii="Cambria Math" w:hAnsi="Cambria Math"/>
                              </w:rPr>
                              <m:t>+</m:t>
                            </m:r>
                            <m:sSub>
                              <m:sSubPr>
                                <m:ctrlPr>
                                  <w:rPr>
                                    <w:rFonts w:ascii="Cambria Math" w:hAnsi="Cambria Math"/>
                                    <w:iCs/>
                                  </w:rPr>
                                </m:ctrlPr>
                              </m:sSubPr>
                              <m:e>
                                <m:r>
                                  <w:rPr>
                                    <w:rFonts w:ascii="Cambria Math" w:hAnsi="Cambria Math"/>
                                  </w:rPr>
                                  <m:t>RateNetSavingHousing</m:t>
                                </m:r>
                              </m:e>
                              <m:sub>
                                <m:r>
                                  <w:rPr>
                                    <w:rFonts w:ascii="Cambria Math" w:hAnsi="Cambria Math"/>
                                  </w:rPr>
                                  <m:t>c</m:t>
                                </m:r>
                                <m:r>
                                  <m:rPr>
                                    <m:sty m:val="p"/>
                                  </m:rPr>
                                  <w:rPr>
                                    <w:rFonts w:ascii="Cambria Math" w:hAnsi="Cambria Math"/>
                                  </w:rPr>
                                  <m:t>,</m:t>
                                </m:r>
                                <m:r>
                                  <w:rPr>
                                    <w:rFonts w:ascii="Cambria Math" w:hAnsi="Cambria Math"/>
                                  </w:rPr>
                                  <m:t>t</m:t>
                                </m:r>
                              </m:sub>
                            </m:sSub>
                          </m:e>
                        </m:d>
                      </m:e>
                      <m:e>
                        <m:r>
                          <w:rPr>
                            <w:rFonts w:ascii="Cambria Math" w:hAnsi="Cambria Math"/>
                          </w:rPr>
                          <m:t>NewHousingValu</m:t>
                        </m:r>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m:t>
                            </m:r>
                            <m:r>
                              <w:rPr>
                                <w:rFonts w:ascii="Cambria Math" w:hAnsi="Cambria Math"/>
                              </w:rPr>
                              <m:t>t</m:t>
                            </m:r>
                          </m:sub>
                        </m:sSub>
                        <m:ctrlPr>
                          <w:rPr>
                            <w:rFonts w:ascii="Cambria Math" w:eastAsia="Cambria Math" w:hAnsi="Cambria Math" w:cs="Cambria Math"/>
                          </w:rPr>
                        </m:ctrlPr>
                      </m:e>
                      <m:e>
                        <m:r>
                          <m:rPr>
                            <m:sty m:val="p"/>
                          </m:rPr>
                          <w:rPr>
                            <w:rFonts w:ascii="Cambria Math" w:eastAsia="Cambria Math" w:hAnsi="Cambria Math" w:cs="Cambria Math"/>
                          </w:rPr>
                          <m:t>0</m:t>
                        </m:r>
                      </m:e>
                    </m:eqArr>
                    <m:r>
                      <m:rPr>
                        <m:sty m:val="p"/>
                      </m:rPr>
                      <w:rPr>
                        <w:rFonts w:ascii="Cambria Math" w:hAnsi="Cambria Math"/>
                      </w:rPr>
                      <m:t xml:space="preserve">      </m:t>
                    </m:r>
                    <m:eqArr>
                      <m:eqArrPr>
                        <m:ctrlPr>
                          <w:rPr>
                            <w:rFonts w:ascii="Cambria Math" w:hAnsi="Cambria Math"/>
                          </w:rPr>
                        </m:ctrlPr>
                      </m:eqArrPr>
                      <m:e>
                        <m:r>
                          <m:rPr>
                            <m:sty m:val="p"/>
                          </m:rPr>
                          <w:rPr>
                            <w:rFonts w:ascii="Cambria Math" w:hAnsi="Cambria Math"/>
                          </w:rPr>
                          <m:t xml:space="preserve">if a homeowner in </m:t>
                        </m:r>
                        <m:r>
                          <w:rPr>
                            <w:rFonts w:ascii="Cambria Math" w:hAnsi="Cambria Math"/>
                          </w:rPr>
                          <m:t>t</m:t>
                        </m:r>
                        <m:r>
                          <m:rPr>
                            <m:sty m:val="p"/>
                          </m:rPr>
                          <w:rPr>
                            <w:rFonts w:ascii="Cambria Math" w:hAnsi="Cambria Math"/>
                          </w:rPr>
                          <m:t>-1</m:t>
                        </m:r>
                      </m:e>
                      <m:e>
                        <m:r>
                          <m:rPr>
                            <m:sty m:val="p"/>
                          </m:rPr>
                          <w:rPr>
                            <w:rFonts w:ascii="Cambria Math" w:hAnsi="Cambria Math"/>
                          </w:rPr>
                          <m:t xml:space="preserve">if not a homeowner in </m:t>
                        </m:r>
                        <m:r>
                          <w:rPr>
                            <w:rFonts w:ascii="Cambria Math" w:hAnsi="Cambria Math"/>
                          </w:rPr>
                          <m:t>t</m:t>
                        </m:r>
                        <m:r>
                          <m:rPr>
                            <m:sty m:val="p"/>
                          </m:rPr>
                          <w:rPr>
                            <w:rFonts w:ascii="Cambria Math" w:hAnsi="Cambria Math"/>
                          </w:rPr>
                          <m:t xml:space="preserve">-1 but became a homeowner in </m:t>
                        </m:r>
                        <m:r>
                          <w:rPr>
                            <w:rFonts w:ascii="Cambria Math" w:hAnsi="Cambria Math"/>
                          </w:rPr>
                          <m:t>t</m:t>
                        </m:r>
                        <m:r>
                          <m:rPr>
                            <m:sty m:val="p"/>
                          </m:rPr>
                          <w:rPr>
                            <w:rFonts w:ascii="Cambria Math" w:hAnsi="Cambria Math"/>
                          </w:rPr>
                          <m:t xml:space="preserve"> </m:t>
                        </m:r>
                      </m:e>
                      <m:e>
                        <m:r>
                          <m:rPr>
                            <m:sty m:val="p"/>
                          </m:rPr>
                          <w:rPr>
                            <w:rFonts w:ascii="Cambria Math" w:hAnsi="Cambria Math"/>
                          </w:rPr>
                          <m:t xml:space="preserve">if not a homeowner in </m:t>
                        </m:r>
                        <m:r>
                          <w:rPr>
                            <w:rFonts w:ascii="Cambria Math" w:hAnsi="Cambria Math"/>
                          </w:rPr>
                          <m:t>t</m:t>
                        </m:r>
                      </m:e>
                    </m:eqArr>
                  </m:e>
                </m:d>
              </m:oMath>
            </m:oMathPara>
          </w:p>
          <w:p w14:paraId="021A2E20" w14:textId="77777777" w:rsidR="00767353" w:rsidRPr="006F7159" w:rsidRDefault="00767353" w:rsidP="00604051">
            <w:pPr>
              <w:pStyle w:val="BodyText"/>
            </w:pPr>
            <m:oMathPara>
              <m:oMathParaPr>
                <m:jc m:val="left"/>
              </m:oMathParaPr>
              <m:oMath>
                <m:r>
                  <w:rPr>
                    <w:rFonts w:ascii="Cambria Math" w:hAnsi="Cambria Math"/>
                  </w:rPr>
                  <m:t>HousingDeb</m:t>
                </m:r>
                <m:sSub>
                  <m:sSubPr>
                    <m:ctrlPr>
                      <w:rPr>
                        <w:rFonts w:ascii="Cambria Math" w:hAnsi="Cambria Math"/>
                      </w:rPr>
                    </m:ctrlPr>
                  </m:sSubPr>
                  <m:e>
                    <m:r>
                      <w:rPr>
                        <w:rFonts w:ascii="Cambria Math" w:hAnsi="Cambria Math"/>
                      </w:rPr>
                      <m:t>t</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HousingDeb</m:t>
                        </m:r>
                        <m:sSub>
                          <m:sSubPr>
                            <m:ctrlPr>
                              <w:rPr>
                                <w:rFonts w:ascii="Cambria Math" w:hAnsi="Cambria Math"/>
                              </w:rPr>
                            </m:ctrlPr>
                          </m:sSubPr>
                          <m:e>
                            <m:r>
                              <w:rPr>
                                <w:rFonts w:ascii="Cambria Math" w:hAnsi="Cambria Math"/>
                              </w:rPr>
                              <m:t>t</m:t>
                            </m:r>
                          </m:e>
                          <m:sub>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RateDebtReductio</m:t>
                            </m:r>
                            <m:sSub>
                              <m:sSubPr>
                                <m:ctrlPr>
                                  <w:rPr>
                                    <w:rFonts w:ascii="Cambria Math" w:hAnsi="Cambria Math"/>
                                  </w:rPr>
                                </m:ctrlPr>
                              </m:sSubPr>
                              <m:e>
                                <m:r>
                                  <w:rPr>
                                    <w:rFonts w:ascii="Cambria Math" w:hAnsi="Cambria Math"/>
                                  </w:rPr>
                                  <m:t>n</m:t>
                                </m:r>
                              </m:e>
                              <m:sub>
                                <m:r>
                                  <w:rPr>
                                    <w:rFonts w:ascii="Cambria Math" w:hAnsi="Cambria Math"/>
                                  </w:rPr>
                                  <m:t>c</m:t>
                                </m:r>
                                <m:r>
                                  <m:rPr>
                                    <m:sty m:val="p"/>
                                  </m:rPr>
                                  <w:rPr>
                                    <w:rFonts w:ascii="Cambria Math" w:hAnsi="Cambria Math"/>
                                  </w:rPr>
                                  <m:t>,</m:t>
                                </m:r>
                                <m:r>
                                  <w:rPr>
                                    <w:rFonts w:ascii="Cambria Math" w:hAnsi="Cambria Math"/>
                                  </w:rPr>
                                  <m:t>t</m:t>
                                </m:r>
                              </m:sub>
                            </m:sSub>
                          </m:e>
                        </m:d>
                        <m:r>
                          <m:rPr>
                            <m:sty m:val="p"/>
                          </m:rPr>
                          <w:rPr>
                            <w:rFonts w:ascii="Cambria Math" w:hAnsi="Cambria Math"/>
                          </w:rPr>
                          <m:t>+</m:t>
                        </m:r>
                      </m:e>
                      <m:e>
                        <m:eqArr>
                          <m:eqArrPr>
                            <m:ctrlPr>
                              <w:rPr>
                                <w:rFonts w:ascii="Cambria Math" w:hAnsi="Cambria Math"/>
                              </w:rPr>
                            </m:ctrlPr>
                          </m:eqArrPr>
                          <m:e>
                            <m:r>
                              <m:rPr>
                                <m:sty m:val="p"/>
                              </m:rPr>
                              <w:rPr>
                                <w:rFonts w:ascii="Cambria Math" w:hAnsi="Cambria Math"/>
                              </w:rPr>
                              <m:t>(</m:t>
                            </m:r>
                            <m:sSub>
                              <m:sSubPr>
                                <m:ctrlPr>
                                  <w:rPr>
                                    <w:rFonts w:ascii="Cambria Math" w:hAnsi="Cambria Math"/>
                                  </w:rPr>
                                </m:ctrlPr>
                              </m:sSubPr>
                              <m:e>
                                <m:r>
                                  <w:rPr>
                                    <w:rFonts w:ascii="Cambria Math" w:hAnsi="Cambria Math"/>
                                  </w:rPr>
                                  <m:t>HousingAssets</m:t>
                                </m:r>
                              </m:e>
                              <m:sub>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-1</m:t>
                                </m:r>
                              </m:sub>
                            </m:sSub>
                            <m:sSub>
                              <m:sSubPr>
                                <m:ctrlPr>
                                  <w:rPr>
                                    <w:rFonts w:ascii="Cambria Math" w:hAnsi="Cambria Math"/>
                                    <w:iCs/>
                                  </w:rPr>
                                </m:ctrlPr>
                              </m:sSubPr>
                              <m:e>
                                <m:r>
                                  <w:rPr>
                                    <w:rFonts w:ascii="Cambria Math" w:hAnsi="Cambria Math"/>
                                  </w:rPr>
                                  <m:t>RateNetSavingHousing</m:t>
                                </m:r>
                              </m:e>
                              <m:sub>
                                <m:r>
                                  <w:rPr>
                                    <w:rFonts w:ascii="Cambria Math" w:hAnsi="Cambria Math"/>
                                  </w:rPr>
                                  <m:t>c</m:t>
                                </m:r>
                                <m:r>
                                  <m:rPr>
                                    <m:sty m:val="p"/>
                                  </m:rPr>
                                  <w:rPr>
                                    <w:rFonts w:ascii="Cambria Math" w:hAnsi="Cambria Math"/>
                                  </w:rPr>
                                  <m:t>,</m:t>
                                </m:r>
                                <m:r>
                                  <w:rPr>
                                    <w:rFonts w:ascii="Cambria Math" w:hAnsi="Cambria Math"/>
                                  </w:rPr>
                                  <m:t>t</m:t>
                                </m:r>
                              </m:sub>
                            </m:sSub>
                            <m:r>
                              <w:rPr>
                                <w:rFonts w:ascii="Cambria Math" w:hAnsi="Cambria Math"/>
                              </w:rPr>
                              <m:t>DebtToAssetRati</m:t>
                            </m:r>
                            <m:sSub>
                              <m:sSubPr>
                                <m:ctrlPr>
                                  <w:rPr>
                                    <w:rFonts w:ascii="Cambria Math" w:hAnsi="Cambria Math"/>
                                  </w:rPr>
                                </m:ctrlPr>
                              </m:sSubPr>
                              <m:e>
                                <m:r>
                                  <w:rPr>
                                    <w:rFonts w:ascii="Cambria Math" w:hAnsi="Cambria Math"/>
                                  </w:rPr>
                                  <m:t>o</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m:t>
                            </m:r>
                          </m:e>
                        </m:eqArr>
                        <m:ctrlPr>
                          <w:rPr>
                            <w:rFonts w:ascii="Cambria Math" w:eastAsia="Cambria Math" w:hAnsi="Cambria Math" w:cs="Cambria Math"/>
                          </w:rPr>
                        </m:ctrlPr>
                      </m:e>
                      <m:e>
                        <m:r>
                          <w:rPr>
                            <w:rFonts w:ascii="Cambria Math" w:hAnsi="Cambria Math"/>
                          </w:rPr>
                          <m:t>HousingDeb</m:t>
                        </m:r>
                        <m:sSub>
                          <m:sSubPr>
                            <m:ctrlPr>
                              <w:rPr>
                                <w:rFonts w:ascii="Cambria Math" w:hAnsi="Cambria Math"/>
                              </w:rPr>
                            </m:ctrlPr>
                          </m:sSubPr>
                          <m:e>
                            <m:r>
                              <w:rPr>
                                <w:rFonts w:ascii="Cambria Math" w:hAnsi="Cambria Math"/>
                              </w:rPr>
                              <m:t>t</m:t>
                            </m:r>
                          </m:e>
                          <m:sub>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RateDebtReductio</m:t>
                            </m:r>
                            <m:sSub>
                              <m:sSubPr>
                                <m:ctrlPr>
                                  <w:rPr>
                                    <w:rFonts w:ascii="Cambria Math" w:hAnsi="Cambria Math"/>
                                  </w:rPr>
                                </m:ctrlPr>
                              </m:sSubPr>
                              <m:e>
                                <m:r>
                                  <w:rPr>
                                    <w:rFonts w:ascii="Cambria Math" w:hAnsi="Cambria Math"/>
                                  </w:rPr>
                                  <m:t>n</m:t>
                                </m:r>
                              </m:e>
                              <m:sub>
                                <m:r>
                                  <w:rPr>
                                    <w:rFonts w:ascii="Cambria Math" w:hAnsi="Cambria Math"/>
                                  </w:rPr>
                                  <m:t>c</m:t>
                                </m:r>
                                <m:r>
                                  <m:rPr>
                                    <m:sty m:val="p"/>
                                  </m:rPr>
                                  <w:rPr>
                                    <w:rFonts w:ascii="Cambria Math" w:hAnsi="Cambria Math"/>
                                  </w:rPr>
                                  <m:t>,</m:t>
                                </m:r>
                                <m:r>
                                  <w:rPr>
                                    <w:rFonts w:ascii="Cambria Math" w:hAnsi="Cambria Math"/>
                                  </w:rPr>
                                  <m:t>t</m:t>
                                </m:r>
                              </m:sub>
                            </m:sSub>
                          </m:e>
                        </m:d>
                        <m:ctrlPr>
                          <w:rPr>
                            <w:rFonts w:ascii="Cambria Math" w:eastAsia="Cambria Math" w:hAnsi="Cambria Math" w:cs="Cambria Math"/>
                          </w:rPr>
                        </m:ctrlPr>
                      </m:e>
                      <m:e>
                        <m:r>
                          <w:rPr>
                            <w:rFonts w:ascii="Cambria Math" w:hAnsi="Cambria Math"/>
                          </w:rPr>
                          <m:t>NewHousingValu</m:t>
                        </m:r>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m:t>
                            </m:r>
                            <m:r>
                              <w:rPr>
                                <w:rFonts w:ascii="Cambria Math" w:hAnsi="Cambria Math"/>
                              </w:rPr>
                              <m:t>t</m:t>
                            </m:r>
                          </m:sub>
                        </m:sSub>
                        <m:r>
                          <w:rPr>
                            <w:rFonts w:ascii="Cambria Math" w:hAnsi="Cambria Math"/>
                          </w:rPr>
                          <m:t>DebtToAssetRati</m:t>
                        </m:r>
                        <m:sSub>
                          <m:sSubPr>
                            <m:ctrlPr>
                              <w:rPr>
                                <w:rFonts w:ascii="Cambria Math" w:hAnsi="Cambria Math"/>
                              </w:rPr>
                            </m:ctrlPr>
                          </m:sSubPr>
                          <m:e>
                            <m:r>
                              <w:rPr>
                                <w:rFonts w:ascii="Cambria Math" w:hAnsi="Cambria Math"/>
                              </w:rPr>
                              <m:t>o</m:t>
                            </m:r>
                          </m:e>
                          <m:sub>
                            <m:r>
                              <w:rPr>
                                <w:rFonts w:ascii="Cambria Math" w:hAnsi="Cambria Math"/>
                              </w:rPr>
                              <m:t>c</m:t>
                            </m:r>
                            <m:r>
                              <m:rPr>
                                <m:sty m:val="p"/>
                              </m:rPr>
                              <w:rPr>
                                <w:rFonts w:ascii="Cambria Math" w:hAnsi="Cambria Math"/>
                              </w:rPr>
                              <m:t>,</m:t>
                            </m:r>
                            <m:r>
                              <w:rPr>
                                <w:rFonts w:ascii="Cambria Math" w:hAnsi="Cambria Math"/>
                              </w:rPr>
                              <m:t>t</m:t>
                            </m:r>
                          </m:sub>
                        </m:sSub>
                        <m:ctrlPr>
                          <w:rPr>
                            <w:rFonts w:ascii="Cambria Math" w:eastAsia="Cambria Math" w:hAnsi="Cambria Math" w:cs="Cambria Math"/>
                          </w:rPr>
                        </m:ctrlPr>
                      </m:e>
                      <m:e>
                        <m:r>
                          <m:rPr>
                            <m:sty m:val="p"/>
                          </m:rPr>
                          <w:rPr>
                            <w:rFonts w:ascii="Cambria Math" w:hAnsi="Cambria Math"/>
                          </w:rPr>
                          <m:t>0</m:t>
                        </m:r>
                      </m:e>
                    </m:eqArr>
                    <m:r>
                      <m:rPr>
                        <m:sty m:val="p"/>
                      </m:rPr>
                      <w:rPr>
                        <w:rFonts w:ascii="Cambria Math" w:hAnsi="Cambria Math"/>
                      </w:rPr>
                      <m:t xml:space="preserve">                    </m:t>
                    </m:r>
                  </m:e>
                </m:d>
                <m:eqArr>
                  <m:eqArrPr>
                    <m:ctrlPr>
                      <w:rPr>
                        <w:rFonts w:ascii="Cambria Math" w:hAnsi="Cambria Math"/>
                      </w:rPr>
                    </m:ctrlPr>
                  </m:eqArrPr>
                  <m:e>
                    <m:r>
                      <m:rPr>
                        <m:sty m:val="p"/>
                      </m:rPr>
                      <w:rPr>
                        <w:rFonts w:ascii="Cambria Math" w:hAnsi="Cambria Math"/>
                      </w:rPr>
                      <m:t xml:space="preserve">if a homeowner in </m:t>
                    </m:r>
                    <m:r>
                      <w:rPr>
                        <w:rFonts w:ascii="Cambria Math" w:hAnsi="Cambria Math"/>
                      </w:rPr>
                      <m:t>t</m:t>
                    </m:r>
                    <m:r>
                      <m:rPr>
                        <m:sty m:val="p"/>
                      </m:rPr>
                      <w:rPr>
                        <w:rFonts w:ascii="Cambria Math" w:hAnsi="Cambria Math"/>
                      </w:rPr>
                      <m:t xml:space="preserve">-1 and </m:t>
                    </m:r>
                    <m:sSub>
                      <m:sSubPr>
                        <m:ctrlPr>
                          <w:rPr>
                            <w:rFonts w:ascii="Cambria Math" w:hAnsi="Cambria Math"/>
                            <w:iCs/>
                          </w:rPr>
                        </m:ctrlPr>
                      </m:sSubPr>
                      <m:e>
                        <m:r>
                          <w:rPr>
                            <w:rFonts w:ascii="Cambria Math" w:hAnsi="Cambria Math"/>
                          </w:rPr>
                          <m:t>RateNetSavingHousing</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&gt;0</m:t>
                    </m:r>
                  </m:e>
                  <m:e>
                    <m:ctrlPr>
                      <w:rPr>
                        <w:rFonts w:ascii="Cambria Math" w:eastAsia="Cambria Math" w:hAnsi="Cambria Math" w:cs="Cambria Math"/>
                      </w:rPr>
                    </m:ctrlPr>
                  </m:e>
                  <m:e>
                    <m:r>
                      <m:rPr>
                        <m:sty m:val="p"/>
                      </m:rPr>
                      <w:rPr>
                        <w:rFonts w:ascii="Cambria Math" w:hAnsi="Cambria Math"/>
                      </w:rPr>
                      <m:t xml:space="preserve">if a homeowner in </m:t>
                    </m:r>
                    <m:r>
                      <w:rPr>
                        <w:rFonts w:ascii="Cambria Math" w:hAnsi="Cambria Math"/>
                      </w:rPr>
                      <m:t>t</m:t>
                    </m:r>
                    <m:r>
                      <m:rPr>
                        <m:sty m:val="p"/>
                      </m:rPr>
                      <w:rPr>
                        <w:rFonts w:ascii="Cambria Math" w:hAnsi="Cambria Math"/>
                      </w:rPr>
                      <m:t xml:space="preserve">-1 and </m:t>
                    </m:r>
                    <m:sSub>
                      <m:sSubPr>
                        <m:ctrlPr>
                          <w:rPr>
                            <w:rFonts w:ascii="Cambria Math" w:hAnsi="Cambria Math"/>
                            <w:iCs/>
                          </w:rPr>
                        </m:ctrlPr>
                      </m:sSubPr>
                      <m:e>
                        <m:r>
                          <w:rPr>
                            <w:rFonts w:ascii="Cambria Math" w:hAnsi="Cambria Math"/>
                          </w:rPr>
                          <m:t>RateNetSavingHousing</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≤0</m:t>
                    </m:r>
                    <m:ctrlPr>
                      <w:rPr>
                        <w:rFonts w:ascii="Cambria Math" w:eastAsia="Cambria Math" w:hAnsi="Cambria Math" w:cs="Cambria Math"/>
                      </w:rPr>
                    </m:ctrlPr>
                  </m:e>
                  <m:e>
                    <m:r>
                      <m:rPr>
                        <m:sty m:val="p"/>
                      </m:rPr>
                      <w:rPr>
                        <w:rFonts w:ascii="Cambria Math" w:hAnsi="Cambria Math"/>
                      </w:rPr>
                      <m:t xml:space="preserve">if not a homeowner in </m:t>
                    </m:r>
                    <m:r>
                      <w:rPr>
                        <w:rFonts w:ascii="Cambria Math" w:hAnsi="Cambria Math"/>
                      </w:rPr>
                      <m:t>t</m:t>
                    </m:r>
                    <m:r>
                      <m:rPr>
                        <m:sty m:val="p"/>
                      </m:rPr>
                      <w:rPr>
                        <w:rFonts w:ascii="Cambria Math" w:hAnsi="Cambria Math"/>
                      </w:rPr>
                      <m:t xml:space="preserve">-1 but became a homeowner in </m:t>
                    </m:r>
                    <m:r>
                      <w:rPr>
                        <w:rFonts w:ascii="Cambria Math" w:hAnsi="Cambria Math"/>
                      </w:rPr>
                      <m:t>t</m:t>
                    </m:r>
                    <m:r>
                      <m:rPr>
                        <m:sty m:val="p"/>
                      </m:rPr>
                      <w:rPr>
                        <w:rFonts w:ascii="Cambria Math" w:hAnsi="Cambria Math"/>
                      </w:rPr>
                      <m:t xml:space="preserve"> </m:t>
                    </m:r>
                    <m:ctrlPr>
                      <w:rPr>
                        <w:rFonts w:ascii="Cambria Math" w:eastAsia="Cambria Math" w:hAnsi="Cambria Math" w:cs="Cambria Math"/>
                      </w:rPr>
                    </m:ctrlPr>
                  </m:e>
                  <m:e>
                    <m:r>
                      <m:rPr>
                        <m:sty m:val="p"/>
                      </m:rPr>
                      <w:rPr>
                        <w:rFonts w:ascii="Cambria Math" w:hAnsi="Cambria Math"/>
                      </w:rPr>
                      <m:t xml:space="preserve">if not a homeowner in </m:t>
                    </m:r>
                    <m:r>
                      <w:rPr>
                        <w:rFonts w:ascii="Cambria Math" w:hAnsi="Cambria Math"/>
                      </w:rPr>
                      <m:t>t</m:t>
                    </m:r>
                  </m:e>
                </m:eqArr>
              </m:oMath>
            </m:oMathPara>
          </w:p>
          <w:p w14:paraId="41683C12" w14:textId="77777777" w:rsidR="00767353" w:rsidRPr="006F7159" w:rsidRDefault="00767353" w:rsidP="00604051">
            <w:pPr>
              <w:pStyle w:val="BodyText"/>
              <w:rPr>
                <w:iCs/>
              </w:rPr>
            </w:pPr>
            <m:oMathPara>
              <m:oMathParaPr>
                <m:jc m:val="left"/>
              </m:oMathParaPr>
              <m:oMath>
                <m:r>
                  <w:rPr>
                    <w:rFonts w:ascii="Cambria Math" w:hAnsi="Cambria Math"/>
                  </w:rPr>
                  <m:t>Superannuatio</m:t>
                </m:r>
                <m:sSub>
                  <m:sSubPr>
                    <m:ctrlPr>
                      <w:rPr>
                        <w:rFonts w:ascii="Cambria Math" w:hAnsi="Cambria Math"/>
                      </w:rPr>
                    </m:ctrlPr>
                  </m:sSubPr>
                  <m:e>
                    <m:r>
                      <w:rPr>
                        <w:rFonts w:ascii="Cambria Math" w:hAnsi="Cambria Math"/>
                      </w:rPr>
                      <m:t>n</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Superannuatio</m:t>
                </m:r>
                <m:sSub>
                  <m:sSubPr>
                    <m:ctrlPr>
                      <w:rPr>
                        <w:rFonts w:ascii="Cambria Math" w:hAnsi="Cambria Math"/>
                      </w:rPr>
                    </m:ctrlPr>
                  </m:sSubPr>
                  <m:e>
                    <m:r>
                      <w:rPr>
                        <w:rFonts w:ascii="Cambria Math" w:hAnsi="Cambria Math"/>
                      </w:rPr>
                      <m:t>n</m:t>
                    </m:r>
                  </m:e>
                  <m:sub>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RateReturnSupe</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m:rPr>
                        <m:sty m:val="p"/>
                      </m:rPr>
                      <w:rPr>
                        <w:rFonts w:ascii="Cambria Math" w:hAnsi="Cambria Math"/>
                      </w:rPr>
                      <m:t>1-</m:t>
                    </m:r>
                    <m:r>
                      <w:rPr>
                        <w:rFonts w:ascii="Cambria Math" w:hAnsi="Cambria Math"/>
                      </w:rPr>
                      <m:t>RateDrawdownSupe</m:t>
                    </m:r>
                    <m:sSub>
                      <m:sSubPr>
                        <m:ctrlPr>
                          <w:rPr>
                            <w:rFonts w:ascii="Cambria Math" w:hAnsi="Cambria Math"/>
                          </w:rPr>
                        </m:ctrlPr>
                      </m:sSubPr>
                      <m:e>
                        <m:r>
                          <w:rPr>
                            <w:rFonts w:ascii="Cambria Math" w:hAnsi="Cambria Math"/>
                          </w:rPr>
                          <m:t>r</m:t>
                        </m:r>
                      </m:e>
                      <m:sub>
                        <m:r>
                          <w:rPr>
                            <w:rFonts w:ascii="Cambria Math" w:hAnsi="Cambria Math"/>
                          </w:rPr>
                          <m:t>c</m:t>
                        </m:r>
                        <m:r>
                          <m:rPr>
                            <m:sty m:val="p"/>
                          </m:rPr>
                          <w:rPr>
                            <w:rFonts w:ascii="Cambria Math" w:hAnsi="Cambria Math"/>
                          </w:rPr>
                          <m:t>,</m:t>
                        </m:r>
                        <m:r>
                          <w:rPr>
                            <w:rFonts w:ascii="Cambria Math" w:hAnsi="Cambria Math"/>
                          </w:rPr>
                          <m:t>t</m:t>
                        </m:r>
                      </m:sub>
                    </m:sSub>
                  </m:e>
                </m:d>
                <m:r>
                  <m:rPr>
                    <m:sty m:val="p"/>
                  </m:rPr>
                  <w:rPr>
                    <w:rFonts w:ascii="Cambria Math" w:hAnsi="Cambria Math"/>
                  </w:rPr>
                  <m:t>+</m:t>
                </m:r>
                <m:d>
                  <m:dPr>
                    <m:ctrlPr>
                      <w:rPr>
                        <w:rFonts w:ascii="Cambria Math" w:hAnsi="Cambria Math"/>
                      </w:rPr>
                    </m:ctrlPr>
                  </m:dPr>
                  <m:e>
                    <m:r>
                      <w:rPr>
                        <w:rFonts w:ascii="Cambria Math" w:hAnsi="Cambria Math"/>
                      </w:rPr>
                      <m:t>WageIncom</m:t>
                    </m:r>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m:t>
                        </m:r>
                        <m:r>
                          <w:rPr>
                            <w:rFonts w:ascii="Cambria Math" w:hAnsi="Cambria Math"/>
                          </w:rPr>
                          <m:t>t</m:t>
                        </m:r>
                      </m:sub>
                    </m:sSub>
                    <m:r>
                      <w:rPr>
                        <w:rFonts w:ascii="Cambria Math" w:hAnsi="Cambria Math"/>
                      </w:rPr>
                      <m:t>RateContribSupe</m:t>
                    </m:r>
                    <m:sSub>
                      <m:sSubPr>
                        <m:ctrlPr>
                          <w:rPr>
                            <w:rFonts w:ascii="Cambria Math" w:hAnsi="Cambria Math"/>
                          </w:rPr>
                        </m:ctrlPr>
                      </m:sSubPr>
                      <m:e>
                        <m:r>
                          <w:rPr>
                            <w:rFonts w:ascii="Cambria Math" w:hAnsi="Cambria Math"/>
                          </w:rPr>
                          <m:t>r</m:t>
                        </m:r>
                      </m:e>
                      <m:sub>
                        <m:r>
                          <w:rPr>
                            <w:rFonts w:ascii="Cambria Math" w:hAnsi="Cambria Math"/>
                          </w:rPr>
                          <m:t>t</m:t>
                        </m:r>
                      </m:sub>
                    </m:sSub>
                    <m:d>
                      <m:dPr>
                        <m:ctrlPr>
                          <w:rPr>
                            <w:rFonts w:ascii="Cambria Math" w:hAnsi="Cambria Math"/>
                          </w:rPr>
                        </m:ctrlPr>
                      </m:dPr>
                      <m:e>
                        <m:r>
                          <m:rPr>
                            <m:sty m:val="p"/>
                          </m:rPr>
                          <w:rPr>
                            <w:rFonts w:ascii="Cambria Math" w:hAnsi="Cambria Math"/>
                          </w:rPr>
                          <m:t>1-</m:t>
                        </m:r>
                        <m:r>
                          <w:rPr>
                            <w:rFonts w:ascii="Cambria Math" w:hAnsi="Cambria Math"/>
                          </w:rPr>
                          <m:t>RateTaxSupe</m:t>
                        </m:r>
                        <m:sSub>
                          <m:sSubPr>
                            <m:ctrlPr>
                              <w:rPr>
                                <w:rFonts w:ascii="Cambria Math" w:hAnsi="Cambria Math"/>
                              </w:rPr>
                            </m:ctrlPr>
                          </m:sSubPr>
                          <m:e>
                            <m:r>
                              <w:rPr>
                                <w:rFonts w:ascii="Cambria Math" w:hAnsi="Cambria Math"/>
                              </w:rPr>
                              <m:t>r</m:t>
                            </m:r>
                          </m:e>
                          <m:sub>
                            <m:r>
                              <w:rPr>
                                <w:rFonts w:ascii="Cambria Math" w:hAnsi="Cambria Math"/>
                              </w:rPr>
                              <m:t>t</m:t>
                            </m:r>
                          </m:sub>
                        </m:sSub>
                      </m:e>
                    </m:d>
                  </m:e>
                </m:d>
                <m:r>
                  <m:rPr>
                    <m:sty m:val="p"/>
                  </m:rPr>
                  <w:rPr>
                    <w:rFonts w:ascii="Cambria Math" w:hAnsi="Cambria Math"/>
                  </w:rPr>
                  <m:t xml:space="preserve">, </m:t>
                </m:r>
              </m:oMath>
            </m:oMathPara>
          </w:p>
          <w:p w14:paraId="56D54C17" w14:textId="77777777" w:rsidR="00767353" w:rsidRPr="005D3AC6" w:rsidRDefault="00767353" w:rsidP="00604051">
            <w:pPr>
              <w:pStyle w:val="BodyText"/>
            </w:pPr>
            <m:oMathPara>
              <m:oMathParaPr>
                <m:jc m:val="left"/>
              </m:oMathParaPr>
              <m:oMath>
                <m:r>
                  <m:rPr>
                    <m:sty m:val="p"/>
                  </m:rPr>
                  <w:rPr>
                    <w:rFonts w:ascii="Cambria Math" w:hAnsi="Cambria Math"/>
                  </w:rPr>
                  <m:t xml:space="preserve">                                 where </m:t>
                </m:r>
                <m:r>
                  <w:rPr>
                    <w:rFonts w:ascii="Cambria Math" w:hAnsi="Cambria Math"/>
                  </w:rPr>
                  <m:t>RateDrawdownSupe</m:t>
                </m:r>
                <m:sSub>
                  <m:sSubPr>
                    <m:ctrlPr>
                      <w:rPr>
                        <w:rFonts w:ascii="Cambria Math" w:hAnsi="Cambria Math"/>
                      </w:rPr>
                    </m:ctrlPr>
                  </m:sSubPr>
                  <m:e>
                    <m:r>
                      <w:rPr>
                        <w:rFonts w:ascii="Cambria Math" w:hAnsi="Cambria Math"/>
                      </w:rPr>
                      <m:t>r</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 xml:space="preserve">=1 if </m:t>
                </m:r>
                <m:d>
                  <m:dPr>
                    <m:ctrlPr>
                      <w:rPr>
                        <w:rFonts w:ascii="Cambria Math" w:hAnsi="Cambria Math"/>
                        <w:iCs/>
                      </w:rPr>
                    </m:ctrlPr>
                  </m:dPr>
                  <m:e>
                    <m:r>
                      <w:rPr>
                        <w:rFonts w:ascii="Cambria Math" w:hAnsi="Cambria Math"/>
                      </w:rPr>
                      <m:t>Superannuatio</m:t>
                    </m:r>
                    <m:sSub>
                      <m:sSubPr>
                        <m:ctrlPr>
                          <w:rPr>
                            <w:rFonts w:ascii="Cambria Math" w:hAnsi="Cambria Math"/>
                          </w:rPr>
                        </m:ctrlPr>
                      </m:sSubPr>
                      <m:e>
                        <m:r>
                          <w:rPr>
                            <w:rFonts w:ascii="Cambria Math" w:hAnsi="Cambria Math"/>
                          </w:rPr>
                          <m:t>n</m:t>
                        </m:r>
                      </m:e>
                      <m:sub>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NetIncom</m:t>
                    </m:r>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m:t>
                        </m:r>
                        <m:r>
                          <w:rPr>
                            <w:rFonts w:ascii="Cambria Math" w:hAnsi="Cambria Math"/>
                          </w:rPr>
                          <m:t>t</m:t>
                        </m:r>
                      </m:sub>
                    </m:sSub>
                    <m:ctrlPr>
                      <w:rPr>
                        <w:rFonts w:ascii="Cambria Math" w:hAnsi="Cambria Math"/>
                      </w:rPr>
                    </m:ctrlPr>
                  </m:e>
                </m:d>
                <m:r>
                  <m:rPr>
                    <m:sty m:val="p"/>
                  </m:rPr>
                  <w:rPr>
                    <w:rFonts w:ascii="Cambria Math" w:hAnsi="Cambria Math"/>
                  </w:rPr>
                  <m:t>&lt;</m:t>
                </m:r>
                <m:r>
                  <w:rPr>
                    <w:rFonts w:ascii="Cambria Math" w:hAnsi="Cambria Math"/>
                  </w:rPr>
                  <m:t>LowSuperBalThreshol</m:t>
                </m:r>
                <m:sSub>
                  <m:sSubPr>
                    <m:ctrlPr>
                      <w:rPr>
                        <w:rFonts w:ascii="Cambria Math" w:hAnsi="Cambria Math"/>
                      </w:rPr>
                    </m:ctrlPr>
                  </m:sSubPr>
                  <m:e>
                    <m:r>
                      <w:rPr>
                        <w:rFonts w:ascii="Cambria Math" w:hAnsi="Cambria Math"/>
                      </w:rPr>
                      <m:t>d</m:t>
                    </m:r>
                  </m:e>
                  <m:sub>
                    <m:r>
                      <w:rPr>
                        <w:rFonts w:ascii="Cambria Math" w:hAnsi="Cambria Math"/>
                      </w:rPr>
                      <m:t>t</m:t>
                    </m:r>
                  </m:sub>
                </m:sSub>
              </m:oMath>
            </m:oMathPara>
          </w:p>
          <w:p w14:paraId="4FD4FF1F" w14:textId="77777777" w:rsidR="00767353" w:rsidRPr="00ED6B60" w:rsidRDefault="00767353" w:rsidP="00604051">
            <w:pPr>
              <w:pStyle w:val="BodyText"/>
            </w:pPr>
            <m:oMathPara>
              <m:oMathParaPr>
                <m:jc m:val="left"/>
              </m:oMathParaPr>
              <m:oMath>
                <m:r>
                  <w:rPr>
                    <w:rFonts w:ascii="Cambria Math" w:hAnsi="Cambria Math"/>
                  </w:rPr>
                  <m:t>OtherAsset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OtherAsset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RateGiftGivin</m:t>
                    </m:r>
                    <m:sSub>
                      <m:sSubPr>
                        <m:ctrlPr>
                          <w:rPr>
                            <w:rFonts w:ascii="Cambria Math" w:hAnsi="Cambria Math"/>
                          </w:rPr>
                        </m:ctrlPr>
                      </m:sSubPr>
                      <m:e>
                        <m:r>
                          <w:rPr>
                            <w:rFonts w:ascii="Cambria Math" w:hAnsi="Cambria Math"/>
                          </w:rPr>
                          <m:t>g</m:t>
                        </m:r>
                      </m:e>
                      <m:sub>
                        <m:r>
                          <w:rPr>
                            <w:rFonts w:ascii="Cambria Math" w:hAnsi="Cambria Math"/>
                          </w:rPr>
                          <m:t>c</m:t>
                        </m:r>
                        <m:r>
                          <m:rPr>
                            <m:sty m:val="p"/>
                          </m:rPr>
                          <w:rPr>
                            <w:rFonts w:ascii="Cambria Math" w:hAnsi="Cambria Math"/>
                          </w:rPr>
                          <m:t>,</m:t>
                        </m:r>
                        <m:r>
                          <w:rPr>
                            <w:rFonts w:ascii="Cambria Math" w:hAnsi="Cambria Math"/>
                          </w:rPr>
                          <m:t>t</m:t>
                        </m:r>
                      </m:sub>
                    </m:sSub>
                  </m:e>
                </m:d>
                <m:d>
                  <m:dPr>
                    <m:ctrlPr>
                      <w:rPr>
                        <w:rFonts w:ascii="Cambria Math" w:hAnsi="Cambria Math"/>
                      </w:rPr>
                    </m:ctrlPr>
                  </m:dPr>
                  <m:e>
                    <m:r>
                      <m:rPr>
                        <m:sty m:val="p"/>
                      </m:rPr>
                      <w:rPr>
                        <w:rFonts w:ascii="Cambria Math" w:hAnsi="Cambria Math"/>
                      </w:rPr>
                      <m:t>1+</m:t>
                    </m:r>
                    <m:r>
                      <w:rPr>
                        <w:rFonts w:ascii="Cambria Math" w:hAnsi="Cambria Math"/>
                      </w:rPr>
                      <m:t>RateReturnOthe</m:t>
                    </m:r>
                    <m:sSub>
                      <m:sSubPr>
                        <m:ctrlPr>
                          <w:rPr>
                            <w:rFonts w:ascii="Cambria Math" w:hAnsi="Cambria Math"/>
                          </w:rPr>
                        </m:ctrlPr>
                      </m:sSubPr>
                      <m:e>
                        <m:r>
                          <w:rPr>
                            <w:rFonts w:ascii="Cambria Math" w:hAnsi="Cambria Math"/>
                          </w:rPr>
                          <m:t>r</m:t>
                        </m:r>
                      </m:e>
                      <m:sub>
                        <m:r>
                          <w:rPr>
                            <w:rFonts w:ascii="Cambria Math" w:hAnsi="Cambria Math"/>
                          </w:rPr>
                          <m:t>t</m:t>
                        </m:r>
                      </m:sub>
                    </m:sSub>
                    <m:d>
                      <m:dPr>
                        <m:ctrlPr>
                          <w:rPr>
                            <w:rFonts w:ascii="Cambria Math" w:hAnsi="Cambria Math"/>
                          </w:rPr>
                        </m:ctrlPr>
                      </m:dPr>
                      <m:e>
                        <m:r>
                          <m:rPr>
                            <m:sty m:val="p"/>
                          </m:rPr>
                          <w:rPr>
                            <w:rFonts w:ascii="Cambria Math" w:hAnsi="Cambria Math"/>
                          </w:rPr>
                          <m:t>1-</m:t>
                        </m:r>
                        <m:r>
                          <w:rPr>
                            <w:rFonts w:ascii="Cambria Math" w:hAnsi="Cambria Math"/>
                          </w:rPr>
                          <m:t>RateMarginalTa</m:t>
                        </m:r>
                        <m:sSub>
                          <m:sSubPr>
                            <m:ctrlPr>
                              <w:rPr>
                                <w:rFonts w:ascii="Cambria Math" w:hAnsi="Cambria Math"/>
                              </w:rPr>
                            </m:ctrlPr>
                          </m:sSubPr>
                          <m:e>
                            <m:r>
                              <w:rPr>
                                <w:rFonts w:ascii="Cambria Math" w:hAnsi="Cambria Math"/>
                              </w:rPr>
                              <m:t>x</m:t>
                            </m:r>
                          </m:e>
                          <m:sub>
                            <m:r>
                              <w:rPr>
                                <w:rFonts w:ascii="Cambria Math" w:hAnsi="Cambria Math"/>
                              </w:rPr>
                              <m:t>c</m:t>
                            </m:r>
                            <m:r>
                              <m:rPr>
                                <m:sty m:val="p"/>
                              </m:rPr>
                              <w:rPr>
                                <w:rFonts w:ascii="Cambria Math" w:hAnsi="Cambria Math"/>
                              </w:rPr>
                              <m:t>,</m:t>
                            </m:r>
                            <m:r>
                              <w:rPr>
                                <w:rFonts w:ascii="Cambria Math" w:hAnsi="Cambria Math"/>
                              </w:rPr>
                              <m:t>t</m:t>
                            </m:r>
                          </m:sub>
                        </m:sSub>
                      </m:e>
                    </m:d>
                  </m:e>
                </m:d>
                <m:d>
                  <m:dPr>
                    <m:ctrlPr>
                      <w:rPr>
                        <w:rFonts w:ascii="Cambria Math" w:hAnsi="Cambria Math"/>
                      </w:rPr>
                    </m:ctrlPr>
                  </m:dPr>
                  <m:e>
                    <m:r>
                      <m:rPr>
                        <m:sty m:val="p"/>
                      </m:rPr>
                      <w:rPr>
                        <w:rFonts w:ascii="Cambria Math" w:hAnsi="Cambria Math"/>
                      </w:rPr>
                      <m:t>1-</m:t>
                    </m:r>
                    <m:r>
                      <w:rPr>
                        <w:rFonts w:ascii="Cambria Math" w:hAnsi="Cambria Math"/>
                      </w:rPr>
                      <m:t>RateDrawdownOthe</m:t>
                    </m:r>
                    <m:sSub>
                      <m:sSubPr>
                        <m:ctrlPr>
                          <w:rPr>
                            <w:rFonts w:ascii="Cambria Math" w:hAnsi="Cambria Math"/>
                          </w:rPr>
                        </m:ctrlPr>
                      </m:sSubPr>
                      <m:e>
                        <m:r>
                          <w:rPr>
                            <w:rFonts w:ascii="Cambria Math" w:hAnsi="Cambria Math"/>
                          </w:rPr>
                          <m:t>r</m:t>
                        </m:r>
                      </m:e>
                      <m:sub>
                        <m:r>
                          <w:rPr>
                            <w:rFonts w:ascii="Cambria Math" w:hAnsi="Cambria Math"/>
                          </w:rPr>
                          <m:t>c</m:t>
                        </m:r>
                        <m:r>
                          <m:rPr>
                            <m:sty m:val="p"/>
                          </m:rPr>
                          <w:rPr>
                            <w:rFonts w:ascii="Cambria Math" w:hAnsi="Cambria Math"/>
                          </w:rPr>
                          <m:t>,</m:t>
                        </m:r>
                        <m:r>
                          <w:rPr>
                            <w:rFonts w:ascii="Cambria Math" w:hAnsi="Cambria Math"/>
                          </w:rPr>
                          <m:t>t</m:t>
                        </m:r>
                      </m:sub>
                    </m:sSub>
                  </m:e>
                </m:d>
                <m:r>
                  <m:rPr>
                    <m:sty m:val="p"/>
                  </m:rPr>
                  <w:rPr>
                    <w:rFonts w:ascii="Cambria Math" w:hAnsi="Cambria Math"/>
                  </w:rPr>
                  <m:t>+</m:t>
                </m:r>
                <m:d>
                  <m:dPr>
                    <m:ctrlPr>
                      <w:rPr>
                        <w:rFonts w:ascii="Cambria Math" w:hAnsi="Cambria Math"/>
                      </w:rPr>
                    </m:ctrlPr>
                  </m:dPr>
                  <m:e>
                    <m:r>
                      <w:rPr>
                        <w:rFonts w:ascii="Cambria Math" w:hAnsi="Cambria Math"/>
                      </w:rPr>
                      <m:t>NetIncom</m:t>
                    </m:r>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m:t>
                        </m:r>
                        <m:r>
                          <w:rPr>
                            <w:rFonts w:ascii="Cambria Math" w:hAnsi="Cambria Math"/>
                          </w:rPr>
                          <m:t>t</m:t>
                        </m:r>
                      </m:sub>
                    </m:sSub>
                    <m:r>
                      <w:rPr>
                        <w:rFonts w:ascii="Cambria Math" w:hAnsi="Cambria Math"/>
                      </w:rPr>
                      <m:t>RateSavingIncomeOthe</m:t>
                    </m:r>
                    <m:sSub>
                      <m:sSubPr>
                        <m:ctrlPr>
                          <w:rPr>
                            <w:rFonts w:ascii="Cambria Math" w:hAnsi="Cambria Math"/>
                          </w:rPr>
                        </m:ctrlPr>
                      </m:sSubPr>
                      <m:e>
                        <m:r>
                          <w:rPr>
                            <w:rFonts w:ascii="Cambria Math" w:hAnsi="Cambria Math"/>
                          </w:rPr>
                          <m:t>r</m:t>
                        </m:r>
                      </m:e>
                      <m:sub>
                        <m:r>
                          <w:rPr>
                            <w:rFonts w:ascii="Cambria Math" w:hAnsi="Cambria Math"/>
                          </w:rPr>
                          <m:t>c</m:t>
                        </m:r>
                        <m:r>
                          <m:rPr>
                            <m:sty m:val="p"/>
                          </m:rPr>
                          <w:rPr>
                            <w:rFonts w:ascii="Cambria Math" w:hAnsi="Cambria Math"/>
                          </w:rPr>
                          <m:t>,</m:t>
                        </m:r>
                        <m:r>
                          <w:rPr>
                            <w:rFonts w:ascii="Cambria Math" w:hAnsi="Cambria Math"/>
                          </w:rPr>
                          <m:t>t</m:t>
                        </m:r>
                      </m:sub>
                    </m:sSub>
                  </m:e>
                </m:d>
                <m:r>
                  <m:rPr>
                    <m:sty m:val="p"/>
                  </m:rPr>
                  <w:rPr>
                    <w:rFonts w:ascii="Cambria Math" w:hAnsi="Cambria Math"/>
                  </w:rPr>
                  <m:t>+</m:t>
                </m:r>
                <m:d>
                  <m:dPr>
                    <m:ctrlPr>
                      <w:rPr>
                        <w:rFonts w:ascii="Cambria Math" w:hAnsi="Cambria Math"/>
                      </w:rPr>
                    </m:ctrlPr>
                  </m:dPr>
                  <m:e>
                    <m:r>
                      <w:rPr>
                        <w:rFonts w:ascii="Cambria Math" w:hAnsi="Cambria Math"/>
                      </w:rPr>
                      <m:t>InheritanceReceive</m:t>
                    </m:r>
                    <m:sSub>
                      <m:sSubPr>
                        <m:ctrlPr>
                          <w:rPr>
                            <w:rFonts w:ascii="Cambria Math" w:hAnsi="Cambria Math"/>
                          </w:rPr>
                        </m:ctrlPr>
                      </m:sSubPr>
                      <m:e>
                        <m:r>
                          <w:rPr>
                            <w:rFonts w:ascii="Cambria Math" w:hAnsi="Cambria Math"/>
                          </w:rPr>
                          <m:t>d</m:t>
                        </m:r>
                      </m:e>
                      <m:sub>
                        <m:r>
                          <w:rPr>
                            <w:rFonts w:ascii="Cambria Math" w:hAnsi="Cambria Math"/>
                          </w:rPr>
                          <m:t>c</m:t>
                        </m:r>
                        <m:r>
                          <m:rPr>
                            <m:sty m:val="p"/>
                          </m:rPr>
                          <w:rPr>
                            <w:rFonts w:ascii="Cambria Math" w:hAnsi="Cambria Math"/>
                          </w:rPr>
                          <m:t>,</m:t>
                        </m:r>
                        <m:r>
                          <w:rPr>
                            <w:rFonts w:ascii="Cambria Math" w:hAnsi="Cambria Math"/>
                          </w:rPr>
                          <m:t>t</m:t>
                        </m:r>
                      </m:sub>
                    </m:sSub>
                    <m:r>
                      <w:rPr>
                        <w:rFonts w:ascii="Cambria Math" w:hAnsi="Cambria Math"/>
                      </w:rPr>
                      <m:t>RateSavingInheritanceOthe</m:t>
                    </m:r>
                    <m:sSub>
                      <m:sSubPr>
                        <m:ctrlPr>
                          <w:rPr>
                            <w:rFonts w:ascii="Cambria Math" w:hAnsi="Cambria Math"/>
                          </w:rPr>
                        </m:ctrlPr>
                      </m:sSubPr>
                      <m:e>
                        <m:r>
                          <w:rPr>
                            <w:rFonts w:ascii="Cambria Math" w:hAnsi="Cambria Math"/>
                          </w:rPr>
                          <m:t>r</m:t>
                        </m:r>
                      </m:e>
                      <m:sub>
                        <m:r>
                          <w:rPr>
                            <w:rFonts w:ascii="Cambria Math" w:hAnsi="Cambria Math"/>
                          </w:rPr>
                          <m:t>c</m:t>
                        </m:r>
                        <m:r>
                          <m:rPr>
                            <m:sty m:val="p"/>
                          </m:rPr>
                          <w:rPr>
                            <w:rFonts w:ascii="Cambria Math" w:hAnsi="Cambria Math"/>
                          </w:rPr>
                          <m:t>,</m:t>
                        </m:r>
                        <m:r>
                          <w:rPr>
                            <w:rFonts w:ascii="Cambria Math" w:hAnsi="Cambria Math"/>
                          </w:rPr>
                          <m:t>t</m:t>
                        </m:r>
                      </m:sub>
                    </m:sSub>
                  </m:e>
                </m:d>
                <m:r>
                  <m:rPr>
                    <m:sty m:val="p"/>
                  </m:rPr>
                  <w:rPr>
                    <w:rFonts w:ascii="Cambria Math" w:hAnsi="Cambria Math"/>
                  </w:rPr>
                  <m:t>+</m:t>
                </m:r>
                <m:d>
                  <m:dPr>
                    <m:ctrlPr>
                      <w:rPr>
                        <w:rFonts w:ascii="Cambria Math" w:hAnsi="Cambria Math"/>
                      </w:rPr>
                    </m:ctrlPr>
                  </m:dPr>
                  <m:e>
                    <m:r>
                      <w:rPr>
                        <w:rFonts w:ascii="Cambria Math" w:hAnsi="Cambria Math"/>
                      </w:rPr>
                      <m:t>GiftReceive</m:t>
                    </m:r>
                    <m:sSub>
                      <m:sSubPr>
                        <m:ctrlPr>
                          <w:rPr>
                            <w:rFonts w:ascii="Cambria Math" w:hAnsi="Cambria Math"/>
                          </w:rPr>
                        </m:ctrlPr>
                      </m:sSubPr>
                      <m:e>
                        <m:r>
                          <w:rPr>
                            <w:rFonts w:ascii="Cambria Math" w:hAnsi="Cambria Math"/>
                          </w:rPr>
                          <m:t>d</m:t>
                        </m:r>
                      </m:e>
                      <m:sub>
                        <m:r>
                          <w:rPr>
                            <w:rFonts w:ascii="Cambria Math" w:hAnsi="Cambria Math"/>
                          </w:rPr>
                          <m:t>c</m:t>
                        </m:r>
                        <m:r>
                          <m:rPr>
                            <m:sty m:val="p"/>
                          </m:rPr>
                          <w:rPr>
                            <w:rFonts w:ascii="Cambria Math" w:hAnsi="Cambria Math"/>
                          </w:rPr>
                          <m:t>,</m:t>
                        </m:r>
                        <m:r>
                          <w:rPr>
                            <w:rFonts w:ascii="Cambria Math" w:hAnsi="Cambria Math"/>
                          </w:rPr>
                          <m:t>t</m:t>
                        </m:r>
                      </m:sub>
                    </m:sSub>
                    <m:r>
                      <w:rPr>
                        <w:rFonts w:ascii="Cambria Math" w:hAnsi="Cambria Math"/>
                      </w:rPr>
                      <m:t>RateSavingGiftOthe</m:t>
                    </m:r>
                    <m:sSub>
                      <m:sSubPr>
                        <m:ctrlPr>
                          <w:rPr>
                            <w:rFonts w:ascii="Cambria Math" w:hAnsi="Cambria Math"/>
                          </w:rPr>
                        </m:ctrlPr>
                      </m:sSubPr>
                      <m:e>
                        <m:r>
                          <w:rPr>
                            <w:rFonts w:ascii="Cambria Math" w:hAnsi="Cambria Math"/>
                          </w:rPr>
                          <m:t>r</m:t>
                        </m:r>
                      </m:e>
                      <m:sub>
                        <m:r>
                          <w:rPr>
                            <w:rFonts w:ascii="Cambria Math" w:hAnsi="Cambria Math"/>
                          </w:rPr>
                          <m:t>c</m:t>
                        </m:r>
                        <m:r>
                          <m:rPr>
                            <m:sty m:val="p"/>
                          </m:rPr>
                          <w:rPr>
                            <w:rFonts w:ascii="Cambria Math" w:hAnsi="Cambria Math"/>
                          </w:rPr>
                          <m:t>,</m:t>
                        </m:r>
                        <m:r>
                          <w:rPr>
                            <w:rFonts w:ascii="Cambria Math" w:hAnsi="Cambria Math"/>
                          </w:rPr>
                          <m:t>t</m:t>
                        </m:r>
                      </m:sub>
                    </m:sSub>
                  </m:e>
                </m:d>
              </m:oMath>
            </m:oMathPara>
          </w:p>
          <w:p w14:paraId="394C3043" w14:textId="77777777" w:rsidR="00767353" w:rsidRPr="00AB518B" w:rsidRDefault="00767353" w:rsidP="00604051">
            <w:pPr>
              <w:pStyle w:val="Source"/>
              <w:rPr>
                <w:sz w:val="20"/>
              </w:rPr>
            </w:pPr>
            <m:oMathPara>
              <m:oMathParaPr>
                <m:jc m:val="left"/>
              </m:oMathParaPr>
              <m:oMath>
                <m:r>
                  <w:rPr>
                    <w:rFonts w:ascii="Cambria Math" w:hAnsi="Cambria Math"/>
                    <w:sz w:val="20"/>
                  </w:rPr>
                  <m:t>TotalWealt</m:t>
                </m:r>
                <m:sSub>
                  <m:sSubPr>
                    <m:ctrlPr>
                      <w:rPr>
                        <w:rFonts w:ascii="Cambria Math" w:hAnsi="Cambria Math"/>
                        <w:i/>
                        <w:sz w:val="20"/>
                      </w:rPr>
                    </m:ctrlPr>
                  </m:sSubPr>
                  <m:e>
                    <m:r>
                      <w:rPr>
                        <w:rFonts w:ascii="Cambria Math" w:hAnsi="Cambria Math"/>
                        <w:sz w:val="20"/>
                      </w:rPr>
                      <m:t>h</m:t>
                    </m:r>
                  </m:e>
                  <m:sub>
                    <m:r>
                      <w:rPr>
                        <w:rFonts w:ascii="Cambria Math" w:hAnsi="Cambria Math"/>
                        <w:sz w:val="20"/>
                      </w:rPr>
                      <m:t>c,t</m:t>
                    </m:r>
                  </m:sub>
                </m:sSub>
                <m:r>
                  <w:rPr>
                    <w:rFonts w:ascii="Cambria Math" w:hAnsi="Cambria Math"/>
                    <w:sz w:val="20"/>
                  </w:rPr>
                  <m:t>=</m:t>
                </m:r>
                <m:sSub>
                  <m:sSubPr>
                    <m:ctrlPr>
                      <w:rPr>
                        <w:rFonts w:ascii="Cambria Math" w:hAnsi="Cambria Math"/>
                        <w:sz w:val="20"/>
                      </w:rPr>
                    </m:ctrlPr>
                  </m:sSubPr>
                  <m:e>
                    <m:r>
                      <w:rPr>
                        <w:rFonts w:ascii="Cambria Math" w:hAnsi="Cambria Math"/>
                        <w:sz w:val="20"/>
                      </w:rPr>
                      <m:t>HousingAssets</m:t>
                    </m:r>
                  </m:e>
                  <m:sub>
                    <m:r>
                      <w:rPr>
                        <w:rFonts w:ascii="Cambria Math" w:hAnsi="Cambria Math"/>
                        <w:sz w:val="20"/>
                      </w:rPr>
                      <m:t>c</m:t>
                    </m:r>
                    <m:r>
                      <m:rPr>
                        <m:sty m:val="p"/>
                      </m:rPr>
                      <w:rPr>
                        <w:rFonts w:ascii="Cambria Math" w:hAnsi="Cambria Math"/>
                        <w:sz w:val="20"/>
                      </w:rPr>
                      <m:t>,</m:t>
                    </m:r>
                    <m:r>
                      <w:rPr>
                        <w:rFonts w:ascii="Cambria Math" w:hAnsi="Cambria Math"/>
                        <w:sz w:val="20"/>
                      </w:rPr>
                      <m:t>t</m:t>
                    </m:r>
                  </m:sub>
                </m:sSub>
                <m:r>
                  <w:rPr>
                    <w:rFonts w:ascii="Cambria Math" w:hAnsi="Cambria Math"/>
                    <w:sz w:val="20"/>
                  </w:rPr>
                  <m:t>-HousingDeb</m:t>
                </m:r>
                <m:sSub>
                  <m:sSubPr>
                    <m:ctrlPr>
                      <w:rPr>
                        <w:rFonts w:ascii="Cambria Math" w:hAnsi="Cambria Math"/>
                        <w:i/>
                        <w:sz w:val="20"/>
                      </w:rPr>
                    </m:ctrlPr>
                  </m:sSubPr>
                  <m:e>
                    <m:r>
                      <w:rPr>
                        <w:rFonts w:ascii="Cambria Math" w:hAnsi="Cambria Math"/>
                        <w:sz w:val="20"/>
                      </w:rPr>
                      <m:t>t</m:t>
                    </m:r>
                  </m:e>
                  <m:sub>
                    <m:r>
                      <w:rPr>
                        <w:rFonts w:ascii="Cambria Math" w:hAnsi="Cambria Math"/>
                        <w:sz w:val="20"/>
                      </w:rPr>
                      <m:t>c,t</m:t>
                    </m:r>
                  </m:sub>
                </m:sSub>
                <m:r>
                  <w:rPr>
                    <w:rFonts w:ascii="Cambria Math" w:hAnsi="Cambria Math"/>
                    <w:sz w:val="20"/>
                  </w:rPr>
                  <m:t>+Superannuatio</m:t>
                </m:r>
                <m:sSub>
                  <m:sSubPr>
                    <m:ctrlPr>
                      <w:rPr>
                        <w:rFonts w:ascii="Cambria Math" w:hAnsi="Cambria Math"/>
                        <w:i/>
                        <w:sz w:val="20"/>
                      </w:rPr>
                    </m:ctrlPr>
                  </m:sSubPr>
                  <m:e>
                    <m:r>
                      <w:rPr>
                        <w:rFonts w:ascii="Cambria Math" w:hAnsi="Cambria Math"/>
                        <w:sz w:val="20"/>
                      </w:rPr>
                      <m:t>n</m:t>
                    </m:r>
                  </m:e>
                  <m:sub>
                    <m:r>
                      <w:rPr>
                        <w:rFonts w:ascii="Cambria Math" w:hAnsi="Cambria Math"/>
                        <w:sz w:val="20"/>
                      </w:rPr>
                      <m:t>c,t</m:t>
                    </m:r>
                  </m:sub>
                </m:sSub>
                <m:r>
                  <w:rPr>
                    <w:rFonts w:ascii="Cambria Math" w:hAnsi="Cambria Math"/>
                    <w:sz w:val="20"/>
                  </w:rPr>
                  <m:t>+OtherAsset</m:t>
                </m:r>
                <m:sSub>
                  <m:sSubPr>
                    <m:ctrlPr>
                      <w:rPr>
                        <w:rFonts w:ascii="Cambria Math" w:hAnsi="Cambria Math"/>
                        <w:i/>
                        <w:sz w:val="20"/>
                      </w:rPr>
                    </m:ctrlPr>
                  </m:sSubPr>
                  <m:e>
                    <m:r>
                      <w:rPr>
                        <w:rFonts w:ascii="Cambria Math" w:hAnsi="Cambria Math"/>
                        <w:sz w:val="20"/>
                      </w:rPr>
                      <m:t>s</m:t>
                    </m:r>
                  </m:e>
                  <m:sub>
                    <m:r>
                      <w:rPr>
                        <w:rFonts w:ascii="Cambria Math" w:hAnsi="Cambria Math"/>
                        <w:sz w:val="20"/>
                      </w:rPr>
                      <m:t>c,t</m:t>
                    </m:r>
                  </m:sub>
                </m:sSub>
              </m:oMath>
            </m:oMathPara>
          </w:p>
        </w:tc>
      </w:tr>
      <w:tr w:rsidR="00767353" w14:paraId="32136C6F" w14:textId="77777777" w:rsidTr="00604051">
        <w:tc>
          <w:tcPr>
            <w:tcW w:w="14570" w:type="dxa"/>
            <w:shd w:val="clear" w:color="auto" w:fill="auto"/>
            <w:tcMar>
              <w:top w:w="0" w:type="dxa"/>
              <w:left w:w="170" w:type="dxa"/>
              <w:bottom w:w="0" w:type="dxa"/>
              <w:right w:w="170" w:type="dxa"/>
            </w:tcMar>
          </w:tcPr>
          <w:p w14:paraId="652AB29F" w14:textId="77777777" w:rsidR="00767353" w:rsidRDefault="00767353" w:rsidP="00604051">
            <w:pPr>
              <w:pStyle w:val="BodyText"/>
              <w:spacing w:before="0" w:after="0" w:line="80" w:lineRule="atLeast"/>
            </w:pPr>
          </w:p>
        </w:tc>
      </w:tr>
    </w:tbl>
    <w:p w14:paraId="2E339CAA" w14:textId="77777777" w:rsidR="00767353" w:rsidRDefault="00767353" w:rsidP="00767353">
      <w:pPr>
        <w:pStyle w:val="BodyText"/>
        <w:rPr>
          <w:highlight w:val="yellow"/>
        </w:rPr>
      </w:pPr>
    </w:p>
    <w:p w14:paraId="0D0E0465" w14:textId="77777777" w:rsidR="00767353" w:rsidRDefault="00767353" w:rsidP="00767353">
      <w:pPr>
        <w:pStyle w:val="BodyText"/>
        <w:rPr>
          <w:highlight w:val="yellow"/>
        </w:rPr>
        <w:sectPr w:rsidR="00767353" w:rsidSect="00604051">
          <w:pgSz w:w="16838" w:h="11906" w:orient="landscape" w:code="9"/>
          <w:pgMar w:top="1134" w:right="1134" w:bottom="1134" w:left="1134" w:header="794" w:footer="510" w:gutter="0"/>
          <w:cols w:space="708"/>
          <w:docGrid w:linePitch="360"/>
        </w:sectPr>
      </w:pPr>
    </w:p>
    <w:p w14:paraId="25D0EAE6" w14:textId="77777777" w:rsidR="00865251" w:rsidRDefault="00865251" w:rsidP="00865251">
      <w:pPr>
        <w:pStyle w:val="Heading3"/>
      </w:pPr>
      <w:r>
        <w:lastRenderedPageBreak/>
        <w:t>Wealth transfers</w:t>
      </w:r>
    </w:p>
    <w:p w14:paraId="5AD03592" w14:textId="77777777" w:rsidR="00865251" w:rsidRDefault="00865251" w:rsidP="00865251">
      <w:pPr>
        <w:pStyle w:val="BodyText"/>
      </w:pPr>
      <w:r>
        <w:t xml:space="preserve">Both inheritances and gifts are included in the model. A simple representation of how inheritances are modelled is displayed in </w:t>
      </w:r>
      <w:r w:rsidRPr="008C2EC3">
        <w:t>figure C.2.</w:t>
      </w:r>
    </w:p>
    <w:p w14:paraId="00A40ED7" w14:textId="60C1E4E8" w:rsidR="00865251" w:rsidRPr="00146382" w:rsidRDefault="00865251" w:rsidP="00865251">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.2</w:t>
      </w:r>
      <w:r>
        <w:rPr>
          <w:noProof/>
        </w:rPr>
        <w:t xml:space="preserve"> </w:t>
      </w:r>
      <w:r>
        <w:t>– Simple representation of inheritances in the model</w:t>
      </w:r>
    </w:p>
    <w:p w14:paraId="30D9F7B1" w14:textId="77777777" w:rsidR="00865251" w:rsidRPr="005550A0" w:rsidRDefault="00865251" w:rsidP="00865251">
      <w:pPr>
        <w:pStyle w:val="BodyText"/>
      </w:pPr>
      <w:r w:rsidRPr="008A20B2">
        <w:rPr>
          <w:noProof/>
        </w:rPr>
        <w:drawing>
          <wp:inline distT="0" distB="0" distL="0" distR="0" wp14:anchorId="350013E0" wp14:editId="32D79910">
            <wp:extent cx="6048000" cy="4410720"/>
            <wp:effectExtent l="0" t="0" r="0" b="8890"/>
            <wp:docPr id="79" name="Picture 79" descr="Figure C.2. This figure illustrates the inheritance processes in the model as an infographic flowchart. Of the deaths in each age group… wealth of partnered people stays in the same cohort… and wealth of single people forms inheritance pools by age group… which is distributed to younger cohorts based on the distributions of the ages of their parents who died… with the wealthiest in each age group receiving the largest inheri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C.2. This figure illustrates the inheritance processes in the model as an infographic flowchart. Of the deaths in each age group… wealth of partnered people stays in the same cohort… and wealth of single people forms inheritance pools by age group… which is distributed to younger cohorts based on the distributions of the ages of their parents who died… with the wealthiest in each age group receiving the largest inheritances."/>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48000" cy="4410720"/>
                    </a:xfrm>
                    <a:prstGeom prst="rect">
                      <a:avLst/>
                    </a:prstGeom>
                    <a:noFill/>
                    <a:ln>
                      <a:noFill/>
                    </a:ln>
                  </pic:spPr>
                </pic:pic>
              </a:graphicData>
            </a:graphic>
          </wp:inline>
        </w:drawing>
      </w:r>
    </w:p>
    <w:p w14:paraId="0C6D316C" w14:textId="77777777" w:rsidR="006B08A1" w:rsidRPr="005550A0" w:rsidRDefault="006B08A1" w:rsidP="00865251">
      <w:pPr>
        <w:pStyle w:val="BodyText"/>
      </w:pPr>
    </w:p>
    <w:p w14:paraId="6DCB59F9" w14:textId="77777777" w:rsidR="00767353" w:rsidRDefault="00767353" w:rsidP="00767353">
      <w:pPr>
        <w:pStyle w:val="BodyText"/>
        <w:keepNext/>
      </w:pPr>
      <w:r>
        <w:t>In modelling intergenerational inheritances, a share of deaths is assumed to be people who were in a relationship. The wealth at death of all those assumed to be in a relationship is distributed evenly among all people who are still alive in the same cohort, with housing wealth at death transferred as housing wealth but superannuation and other assets at death are combined into other assets only.</w:t>
      </w:r>
      <w:r w:rsidRPr="00675A5A">
        <w:t xml:space="preserve"> </w:t>
      </w:r>
      <w:r>
        <w:t>Wealth at death for people who were not in a relationship is placed in an ‘inheritance pool’ by age group at the end of each year, less a small proportion that is assumed to be donated to charity.</w:t>
      </w:r>
    </w:p>
    <w:p w14:paraId="2D47AA02" w14:textId="77777777" w:rsidR="00767353" w:rsidRDefault="00767353" w:rsidP="00767353">
      <w:pPr>
        <w:pStyle w:val="BodyText"/>
        <w:keepNext/>
      </w:pPr>
      <w:r>
        <w:t xml:space="preserve">For the cohorts of people who had not yet received an inheritance in the initial population data, the distribution of the age groups of their parents is recorded and follows the cohort through time (where both parents are alive, this is the age group of the youngest parent). This allows the inheritance pools by parent </w:t>
      </w:r>
      <w:r>
        <w:lastRenderedPageBreak/>
        <w:t>age group to be transformed into inheritance pools by receiving age group and distributed across cohorts in the following way.</w:t>
      </w:r>
    </w:p>
    <w:p w14:paraId="3151CEA4" w14:textId="77777777" w:rsidR="00767353" w:rsidRPr="00F72677" w:rsidRDefault="00767353" w:rsidP="00132C71">
      <w:pPr>
        <w:pStyle w:val="ListNumber"/>
        <w:numPr>
          <w:ilvl w:val="0"/>
          <w:numId w:val="37"/>
        </w:numPr>
      </w:pPr>
      <w:r>
        <w:t xml:space="preserve">As described above, at the start of each year for each cohort that had not yet received an inheritance, a share </w:t>
      </w:r>
      <w:r w:rsidRPr="00F72677">
        <w:t xml:space="preserve">of their parents is assumed to have died in the previous year based on the mortality rates associated with their parents’ ages. </w:t>
      </w:r>
    </w:p>
    <w:p w14:paraId="2A714119" w14:textId="77777777" w:rsidR="00767353" w:rsidRPr="00F72677" w:rsidRDefault="00767353" w:rsidP="00767353">
      <w:pPr>
        <w:pStyle w:val="ListNumber"/>
        <w:numPr>
          <w:ilvl w:val="0"/>
          <w:numId w:val="1"/>
        </w:numPr>
      </w:pPr>
      <w:r w:rsidRPr="00F72677">
        <w:t xml:space="preserve">The parent age group inheritance pools are then distributed in proportion to the share of assumed parent deaths (step 1), which determines the amount received by each child age group in the model. (Some adjustments are made to account for the fact that many people who die young are unlikely to have many children to bequest to in the model.) </w:t>
      </w:r>
    </w:p>
    <w:p w14:paraId="55DB158D" w14:textId="77777777" w:rsidR="00767353" w:rsidRPr="00A764BD" w:rsidRDefault="00767353" w:rsidP="00767353">
      <w:pPr>
        <w:pStyle w:val="ListNumber"/>
        <w:numPr>
          <w:ilvl w:val="0"/>
          <w:numId w:val="1"/>
        </w:numPr>
      </w:pPr>
      <w:r w:rsidRPr="00A764BD">
        <w:t>The inheritance pools by receiving age group are then distributed among cohorts of that age group according to age</w:t>
      </w:r>
      <w:r w:rsidRPr="00A764BD">
        <w:noBreakHyphen/>
        <w:t>specific wealth rankings, assuming that wealthier cohorts tend to receive larger inheritances than less wealthy cohorts — this pattern is observed historically (chapter 2). Those in the bottom third of wealth in their age group are assumed to receive the smallest share of the inheritance pool specific to their age group, while those in the top third of wealth receive the largest share of the inheritance pool.</w:t>
      </w:r>
    </w:p>
    <w:p w14:paraId="50D6A846" w14:textId="77777777" w:rsidR="00767353" w:rsidRDefault="00767353" w:rsidP="00767353">
      <w:pPr>
        <w:pStyle w:val="BodyText"/>
      </w:pPr>
      <w:r>
        <w:t>A share of received inheritances by each cohort is assumed to be saved into other assets. Cohorts that have received an inheritance are also assumed to have an increased probability of transitioning into home ownership in future years (section C.3).</w:t>
      </w:r>
    </w:p>
    <w:p w14:paraId="56026E67" w14:textId="77777777" w:rsidR="00767353" w:rsidRDefault="00767353" w:rsidP="00767353">
      <w:pPr>
        <w:pStyle w:val="BodyText"/>
      </w:pPr>
      <w:r>
        <w:t>Gifts are modelled in a similar but simpler way. Cohorts are assumed to give gifts from their other assets each year, which form ‘gift pools’ by parent age group. Cohorts that have a living parent (identified by those who have not yet received an inheritance) receive gifts based on the amounts gifted by the age groups of their living parents. Some adjustments are made to account for gifts assumed to be given to young people born during the projection period but are not included in the model. A share of gifts received by each cohort is assumed to be saved into other assets.</w:t>
      </w:r>
    </w:p>
    <w:p w14:paraId="3652519E" w14:textId="77777777" w:rsidR="00767353" w:rsidRDefault="00767353" w:rsidP="00767353">
      <w:pPr>
        <w:pStyle w:val="Heading3"/>
      </w:pPr>
      <w:r>
        <w:t>Model outputs</w:t>
      </w:r>
    </w:p>
    <w:p w14:paraId="0F11D8F8" w14:textId="77777777" w:rsidR="00767353" w:rsidRDefault="00767353" w:rsidP="00767353">
      <w:pPr>
        <w:pStyle w:val="BodyText"/>
        <w:keepNext/>
      </w:pPr>
      <w:r>
        <w:t xml:space="preserve">The model produces outputs for a number of variables each year including: </w:t>
      </w:r>
    </w:p>
    <w:p w14:paraId="3ABD48E8" w14:textId="77777777" w:rsidR="00767353" w:rsidRPr="00E81A66" w:rsidRDefault="00767353" w:rsidP="00767353">
      <w:pPr>
        <w:pStyle w:val="ListBullet"/>
      </w:pPr>
      <w:r>
        <w:t xml:space="preserve">population at </w:t>
      </w:r>
      <w:r w:rsidRPr="00E81A66">
        <w:t>start of year</w:t>
      </w:r>
    </w:p>
    <w:p w14:paraId="0AA2C992" w14:textId="77777777" w:rsidR="00767353" w:rsidRPr="00E81A66" w:rsidRDefault="00767353" w:rsidP="00767353">
      <w:pPr>
        <w:pStyle w:val="ListBullet"/>
      </w:pPr>
      <w:r w:rsidRPr="00E81A66">
        <w:t>deaths at end of year</w:t>
      </w:r>
    </w:p>
    <w:p w14:paraId="221B9EFD" w14:textId="77777777" w:rsidR="00767353" w:rsidRPr="00E81A66" w:rsidRDefault="00767353" w:rsidP="00767353">
      <w:pPr>
        <w:pStyle w:val="ListBullet"/>
      </w:pPr>
      <w:r w:rsidRPr="00E81A66">
        <w:t>average wealth of the living by wealth type</w:t>
      </w:r>
    </w:p>
    <w:p w14:paraId="18AF0530" w14:textId="77777777" w:rsidR="00767353" w:rsidRPr="00E81A66" w:rsidRDefault="00767353" w:rsidP="00767353">
      <w:pPr>
        <w:pStyle w:val="ListBullet"/>
      </w:pPr>
      <w:r w:rsidRPr="00E81A66">
        <w:t>average wealth at death by wealth type</w:t>
      </w:r>
    </w:p>
    <w:p w14:paraId="0D66BB89" w14:textId="77777777" w:rsidR="00767353" w:rsidRPr="00E81A66" w:rsidRDefault="00767353" w:rsidP="00767353">
      <w:pPr>
        <w:pStyle w:val="ListBullet"/>
      </w:pPr>
      <w:r w:rsidRPr="00E81A66">
        <w:t>average inheritances received from parents</w:t>
      </w:r>
    </w:p>
    <w:p w14:paraId="393539FB" w14:textId="77777777" w:rsidR="00767353" w:rsidRPr="00E81A66" w:rsidRDefault="00767353" w:rsidP="00767353">
      <w:pPr>
        <w:pStyle w:val="ListBullet"/>
      </w:pPr>
      <w:r w:rsidRPr="00E81A66">
        <w:t>average gifts given and received.</w:t>
      </w:r>
    </w:p>
    <w:p w14:paraId="49FE2966" w14:textId="77777777" w:rsidR="00767353" w:rsidRDefault="00767353" w:rsidP="00767353">
      <w:pPr>
        <w:pStyle w:val="BodyText"/>
      </w:pPr>
      <w:r>
        <w:t>These results are produced for each starting cohort (defined by initial age group, income quintile, wealth quantile, homeowner status and inheritance received status) along with the income pathway the cohort has transitioned through during the model span (which includes current income quintile), current homeowner status and current inheritance received status.</w:t>
      </w:r>
    </w:p>
    <w:p w14:paraId="36871861" w14:textId="77777777" w:rsidR="00767353" w:rsidRPr="00E81A66" w:rsidRDefault="00767353" w:rsidP="00767353">
      <w:pPr>
        <w:pStyle w:val="BodyText"/>
        <w:rPr>
          <w:spacing w:val="-4"/>
        </w:rPr>
      </w:pPr>
      <w:r w:rsidRPr="00E81A66">
        <w:rPr>
          <w:spacing w:val="-4"/>
        </w:rPr>
        <w:t>From these model outputs, other results can be constructed, such as measures of wealth inequality each year.</w:t>
      </w:r>
    </w:p>
    <w:p w14:paraId="77BF1169" w14:textId="77777777" w:rsidR="00767353" w:rsidRDefault="00767353" w:rsidP="00132C71">
      <w:pPr>
        <w:pStyle w:val="Heading2-Appendix"/>
      </w:pPr>
      <w:r>
        <w:lastRenderedPageBreak/>
        <w:t>Base scenario model data and parameters</w:t>
      </w:r>
    </w:p>
    <w:p w14:paraId="780BD09E" w14:textId="77777777" w:rsidR="00767353" w:rsidRPr="00E81A66" w:rsidRDefault="00767353" w:rsidP="00767353">
      <w:pPr>
        <w:pStyle w:val="BodyText"/>
        <w:rPr>
          <w:spacing w:val="-4"/>
        </w:rPr>
      </w:pPr>
      <w:r w:rsidRPr="00E81A66">
        <w:rPr>
          <w:spacing w:val="-4"/>
        </w:rPr>
        <w:t>This section covers the data and parameters used in the base scenario model. Key assumptions are described below, with full details provided in the R code published on the Commission’s website. The sensitivity of results to some of these assumptions was examined in alternative scenario analysis, described in section C.4.</w:t>
      </w:r>
    </w:p>
    <w:p w14:paraId="784F37C1" w14:textId="77777777" w:rsidR="00767353" w:rsidRDefault="00767353" w:rsidP="00767353">
      <w:pPr>
        <w:pStyle w:val="Heading3"/>
      </w:pPr>
      <w:r>
        <w:t>Initial population cohorts</w:t>
      </w:r>
    </w:p>
    <w:p w14:paraId="121AD8C8" w14:textId="77777777" w:rsidR="00767353" w:rsidRPr="00E81A66" w:rsidRDefault="00767353" w:rsidP="00767353">
      <w:pPr>
        <w:pStyle w:val="BodyText"/>
        <w:rPr>
          <w:spacing w:val="-4"/>
        </w:rPr>
      </w:pPr>
      <w:r w:rsidRPr="00E81A66">
        <w:rPr>
          <w:spacing w:val="-4"/>
        </w:rPr>
        <w:t xml:space="preserve">The model’s initial population uses data from the 2018 </w:t>
      </w:r>
      <w:r w:rsidRPr="00E81A66">
        <w:rPr>
          <w:i/>
          <w:iCs/>
          <w:spacing w:val="-4"/>
        </w:rPr>
        <w:t>Household, Income and Labour Dynamics in Australia</w:t>
      </w:r>
      <w:r w:rsidRPr="00E81A66">
        <w:rPr>
          <w:spacing w:val="-4"/>
        </w:rPr>
        <w:t xml:space="preserve"> (HILDA) </w:t>
      </w:r>
      <w:r w:rsidRPr="00E81A66">
        <w:rPr>
          <w:i/>
          <w:iCs/>
          <w:spacing w:val="-4"/>
        </w:rPr>
        <w:t>Survey</w:t>
      </w:r>
      <w:r w:rsidRPr="00E81A66">
        <w:rPr>
          <w:spacing w:val="-4"/>
        </w:rPr>
        <w:t xml:space="preserve"> (Restricted Release 19). The 2018 wave of HILDA is the latest wave that has detailed information about individual and household wealth (which has been included in the survey every four years since 2002). </w:t>
      </w:r>
    </w:p>
    <w:p w14:paraId="2AFB3943" w14:textId="77777777" w:rsidR="00767353" w:rsidRDefault="00767353" w:rsidP="00767353">
      <w:pPr>
        <w:pStyle w:val="BodyText"/>
      </w:pPr>
      <w:r w:rsidRPr="002128D3">
        <w:t xml:space="preserve">Figure </w:t>
      </w:r>
      <w:r w:rsidRPr="00112C12">
        <w:t xml:space="preserve">C.3 </w:t>
      </w:r>
      <w:r w:rsidRPr="002128D3">
        <w:t>summarises</w:t>
      </w:r>
      <w:r>
        <w:t xml:space="preserve"> the initial population by group (cohort splits are described in se</w:t>
      </w:r>
      <w:r w:rsidRPr="000F4F33">
        <w:t>ction </w:t>
      </w:r>
      <w:r w:rsidRPr="00112C12">
        <w:t>C.2</w:t>
      </w:r>
      <w:r w:rsidRPr="000F4F33">
        <w:t>). The</w:t>
      </w:r>
      <w:r>
        <w:t xml:space="preserve"> observed patterns across age groups are consistent with expected lifecycle experiences:</w:t>
      </w:r>
    </w:p>
    <w:p w14:paraId="02D0998F" w14:textId="77777777" w:rsidR="00767353" w:rsidRPr="00E81A66" w:rsidRDefault="00767353" w:rsidP="00767353">
      <w:pPr>
        <w:pStyle w:val="ListBullet"/>
      </w:pPr>
      <w:r w:rsidRPr="00E81A66">
        <w:t>incomes increase as people age and then decrease in retirement</w:t>
      </w:r>
    </w:p>
    <w:p w14:paraId="179FAABD" w14:textId="77777777" w:rsidR="00767353" w:rsidRPr="00E81A66" w:rsidRDefault="00767353" w:rsidP="00767353">
      <w:pPr>
        <w:pStyle w:val="ListBullet"/>
      </w:pPr>
      <w:r w:rsidRPr="00E81A66">
        <w:t>wealth accumulates through people’s working lives and decumulates during retirement</w:t>
      </w:r>
    </w:p>
    <w:p w14:paraId="6365D972" w14:textId="77777777" w:rsidR="00767353" w:rsidRPr="00E81A66" w:rsidRDefault="00767353" w:rsidP="00767353">
      <w:pPr>
        <w:pStyle w:val="ListBullet"/>
      </w:pPr>
      <w:r w:rsidRPr="00E81A66">
        <w:t>home ownership rates begin to spike when people are aged around their 30s</w:t>
      </w:r>
    </w:p>
    <w:p w14:paraId="5553D184" w14:textId="0838FE4A" w:rsidR="00767353" w:rsidRDefault="00767353" w:rsidP="00767353">
      <w:pPr>
        <w:pStyle w:val="ListBullet"/>
      </w:pPr>
      <w:r w:rsidRPr="00E81A66">
        <w:t>inheritances tend to</w:t>
      </w:r>
      <w:r>
        <w:t xml:space="preserve"> be received when people are aged around their 50s to 60s.</w:t>
      </w:r>
    </w:p>
    <w:p w14:paraId="0A433A02" w14:textId="77777777" w:rsidR="002920C6" w:rsidRPr="00582233" w:rsidRDefault="002920C6" w:rsidP="002920C6">
      <w:pPr>
        <w:pStyle w:val="BodyText"/>
        <w:rPr>
          <w:spacing w:val="-6"/>
        </w:rPr>
      </w:pPr>
      <w:r w:rsidRPr="00582233">
        <w:rPr>
          <w:spacing w:val="-6"/>
        </w:rPr>
        <w:t>Each initial population cohort had initial values of wealth by wealth type, which differed by age group, wealth group and homeowner status. These initial values were determined according to the weighted averages of the sample data in those cohorts. Adjustments were made for outliers and values were smoothed across age groups.</w:t>
      </w:r>
      <w:r w:rsidRPr="0059379B">
        <w:rPr>
          <w:rStyle w:val="FootnoteReference"/>
        </w:rPr>
        <w:footnoteReference w:id="68"/>
      </w:r>
      <w:r w:rsidRPr="00582233" w:rsidDel="003E3BB2">
        <w:rPr>
          <w:rStyle w:val="FootnoteReference"/>
          <w:spacing w:val="-6"/>
        </w:rPr>
        <w:t xml:space="preserve"> </w:t>
      </w:r>
    </w:p>
    <w:p w14:paraId="50151786" w14:textId="77777777" w:rsidR="002920C6" w:rsidRDefault="002920C6" w:rsidP="002920C6">
      <w:pPr>
        <w:pStyle w:val="BodyText"/>
        <w:keepNext/>
      </w:pPr>
      <w:r>
        <w:t>While grouping cohorts by age was straightforward, other groupings required additional assumptions.</w:t>
      </w:r>
    </w:p>
    <w:p w14:paraId="54343D61" w14:textId="77777777" w:rsidR="002920C6" w:rsidRPr="00FB2BEE" w:rsidRDefault="002920C6" w:rsidP="002920C6">
      <w:pPr>
        <w:pStyle w:val="ListBullet"/>
        <w:rPr>
          <w:spacing w:val="-2"/>
        </w:rPr>
      </w:pPr>
      <w:r w:rsidRPr="00FB2BEE">
        <w:rPr>
          <w:spacing w:val="-2"/>
        </w:rPr>
        <w:t>Income quintiles were based on total income, excluding income from sources of wealth that were separately modelled (income from superannuation, interest and dividends). This ensured consistency with income projections (described below), which excluded these sources to avoid double counting in the model.</w:t>
      </w:r>
    </w:p>
    <w:p w14:paraId="732399F0" w14:textId="77777777" w:rsidR="002920C6" w:rsidRDefault="002920C6" w:rsidP="002920C6">
      <w:pPr>
        <w:pStyle w:val="ListBullet"/>
      </w:pPr>
      <w:r>
        <w:t xml:space="preserve">Wealth quartiles were based on estimated individual wealth. This involved attributing wealth items reported at the household level to individuals, with assumptions about how household wealth is shared (for example, couples were assumed to own equal shares of their home). Further details of this process are in </w:t>
      </w:r>
      <w:r w:rsidRPr="005E2376">
        <w:t>appendix </w:t>
      </w:r>
      <w:r w:rsidRPr="00112C12">
        <w:t>A</w:t>
      </w:r>
      <w:r w:rsidRPr="005E2376">
        <w:t>. Non</w:t>
      </w:r>
      <w:r>
        <w:noBreakHyphen/>
        <w:t>housing debt was not modelled and was excluded in total wealth calculations (</w:t>
      </w:r>
      <w:r w:rsidRPr="005E2376">
        <w:t>section </w:t>
      </w:r>
      <w:r w:rsidRPr="00112C12">
        <w:t>C.1</w:t>
      </w:r>
      <w:r w:rsidRPr="005E2376">
        <w:t>).</w:t>
      </w:r>
    </w:p>
    <w:p w14:paraId="37D57503" w14:textId="77777777" w:rsidR="002920C6" w:rsidRDefault="002920C6" w:rsidP="002920C6">
      <w:pPr>
        <w:pStyle w:val="ListBullet"/>
      </w:pPr>
      <w:r>
        <w:t>Homeowner status was based on whether the individual owned any housing assets, using assumptions to apportion household housing assets to individuals.</w:t>
      </w:r>
    </w:p>
    <w:p w14:paraId="12F6D26D" w14:textId="77777777" w:rsidR="002920C6" w:rsidRDefault="002920C6" w:rsidP="002920C6">
      <w:pPr>
        <w:pStyle w:val="ListBullet"/>
      </w:pPr>
      <w:r>
        <w:t xml:space="preserve">Individuals without data on the ages of their parents (mostly because their parents had already passed away, but some did not answer the question) were deemed to already have received an inheritance and were not able to receive one in the model simulation. About one quarter of the 2018 model population were deemed to have received an inheritance, with most aged over 50, which is broadly consistent with expected age profiles (figure C.3). </w:t>
      </w:r>
    </w:p>
    <w:p w14:paraId="0D7FFFBA" w14:textId="57ADFFFE" w:rsidR="002920C6" w:rsidRDefault="002920C6" w:rsidP="002920C6">
      <w:pPr>
        <w:pStyle w:val="BodyText"/>
      </w:pPr>
      <w:r>
        <w:t>The initial population data used for the model also recorded the distribution of age groups of the youngest living parent, for each cohort that had not yet received an inheritance. This was used in modelling the probability of receiving an inheritance during the simulation.</w:t>
      </w:r>
    </w:p>
    <w:p w14:paraId="0B998C66" w14:textId="466D606B" w:rsidR="00767353" w:rsidRPr="00146382" w:rsidRDefault="00767353" w:rsidP="00767353">
      <w:pPr>
        <w:pStyle w:val="FigureTableHeading"/>
        <w:spacing w:after="120"/>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373EBD">
        <w:t>3</w:t>
      </w:r>
      <w:r>
        <w:rPr>
          <w:noProof/>
        </w:rPr>
        <w:t xml:space="preserve"> </w:t>
      </w:r>
      <w:r>
        <w:t>– Initial model population in 2018</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733"/>
        <w:gridCol w:w="4905"/>
      </w:tblGrid>
      <w:tr w:rsidR="00767353" w:rsidRPr="00F74A7F" w14:paraId="6B93DDEE" w14:textId="77777777" w:rsidTr="00604051">
        <w:trPr>
          <w:trHeight w:val="180"/>
          <w:tblHeader/>
          <w:jc w:val="center"/>
        </w:trPr>
        <w:tc>
          <w:tcPr>
            <w:tcW w:w="2500" w:type="pct"/>
            <w:tcBorders>
              <w:top w:val="nil"/>
              <w:bottom w:val="nil"/>
            </w:tcBorders>
          </w:tcPr>
          <w:p w14:paraId="1CABD78F" w14:textId="77777777" w:rsidR="00767353" w:rsidRPr="00A764BD" w:rsidRDefault="00767353" w:rsidP="00A764BD">
            <w:pPr>
              <w:pStyle w:val="FigureTableSubheading"/>
              <w:ind w:left="720" w:hanging="360"/>
              <w:rPr>
                <w:sz w:val="16"/>
                <w:szCs w:val="16"/>
              </w:rPr>
            </w:pPr>
            <w:r w:rsidRPr="00A764BD">
              <w:rPr>
                <w:sz w:val="16"/>
                <w:szCs w:val="16"/>
              </w:rPr>
              <w:t>a.</w:t>
            </w:r>
            <w:r w:rsidRPr="00A764BD">
              <w:rPr>
                <w:sz w:val="16"/>
                <w:szCs w:val="16"/>
              </w:rPr>
              <w:tab/>
              <w:t>By age and income quintile</w:t>
            </w:r>
          </w:p>
          <w:p w14:paraId="07794CC3" w14:textId="77777777" w:rsidR="00767353" w:rsidRPr="00F74A7F" w:rsidRDefault="00767353" w:rsidP="00604051">
            <w:pPr>
              <w:pStyle w:val="BodyText"/>
              <w:ind w:left="284" w:hanging="284"/>
              <w:rPr>
                <w:sz w:val="18"/>
                <w:szCs w:val="18"/>
              </w:rPr>
            </w:pPr>
            <w:r w:rsidRPr="00F74A7F">
              <w:rPr>
                <w:noProof/>
                <w:sz w:val="18"/>
                <w:szCs w:val="18"/>
              </w:rPr>
              <w:drawing>
                <wp:inline distT="0" distB="0" distL="0" distR="0" wp14:anchorId="460D432D" wp14:editId="55F8A52E">
                  <wp:extent cx="2974340" cy="2522220"/>
                  <wp:effectExtent l="0" t="0" r="0" b="0"/>
                  <wp:docPr id="10" name="Picture 10" descr="Figure C.3, panel a. This chart shows the initial model population in 2018 by age group and income quintile. The share of people in higher income quintiles increases as people age and then decreases at retirement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C.3, panel a. This chart shows the initial model population in 2018 by age group and income quintile. The share of people in higher income quintiles increases as people age and then decreases at retirement ag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74340" cy="2522220"/>
                          </a:xfrm>
                          <a:prstGeom prst="rect">
                            <a:avLst/>
                          </a:prstGeom>
                          <a:noFill/>
                          <a:ln>
                            <a:noFill/>
                          </a:ln>
                        </pic:spPr>
                      </pic:pic>
                    </a:graphicData>
                  </a:graphic>
                </wp:inline>
              </w:drawing>
            </w:r>
          </w:p>
        </w:tc>
        <w:tc>
          <w:tcPr>
            <w:tcW w:w="2500" w:type="pct"/>
            <w:tcBorders>
              <w:top w:val="nil"/>
              <w:bottom w:val="nil"/>
            </w:tcBorders>
          </w:tcPr>
          <w:p w14:paraId="53829713" w14:textId="77777777" w:rsidR="00767353" w:rsidRPr="00A764BD" w:rsidRDefault="00767353" w:rsidP="00A764BD">
            <w:pPr>
              <w:pStyle w:val="FigureTableSubheading"/>
              <w:ind w:left="720" w:hanging="360"/>
              <w:rPr>
                <w:sz w:val="16"/>
                <w:szCs w:val="16"/>
              </w:rPr>
            </w:pPr>
            <w:r w:rsidRPr="00A764BD">
              <w:rPr>
                <w:sz w:val="16"/>
                <w:szCs w:val="16"/>
              </w:rPr>
              <w:t>b.</w:t>
            </w:r>
            <w:r w:rsidRPr="00A764BD">
              <w:rPr>
                <w:sz w:val="16"/>
                <w:szCs w:val="16"/>
              </w:rPr>
              <w:tab/>
              <w:t>By age and wealth quartile</w:t>
            </w:r>
          </w:p>
          <w:p w14:paraId="53EAA39F" w14:textId="77777777" w:rsidR="00767353" w:rsidRPr="00F74A7F" w:rsidRDefault="00767353" w:rsidP="00604051">
            <w:pPr>
              <w:pStyle w:val="BodyText"/>
              <w:ind w:left="284" w:hanging="284"/>
              <w:rPr>
                <w:sz w:val="18"/>
                <w:szCs w:val="18"/>
              </w:rPr>
            </w:pPr>
            <w:r w:rsidRPr="00F74A7F">
              <w:rPr>
                <w:noProof/>
                <w:sz w:val="18"/>
                <w:szCs w:val="18"/>
              </w:rPr>
              <w:drawing>
                <wp:inline distT="0" distB="0" distL="0" distR="0" wp14:anchorId="218BD725" wp14:editId="417F31E4">
                  <wp:extent cx="3114675" cy="2522220"/>
                  <wp:effectExtent l="0" t="0" r="0" b="0"/>
                  <wp:docPr id="80" name="Picture 80" descr="Figure C.3, panel b. This chart shows the initial model population in 2018 by age group and wealth quartile. The share of people in higher wealth quartiles increases as people age and then decreases slightly in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C.3, panel b. This chart shows the initial model population in 2018 by age group and wealth quartile. The share of people in higher wealth quartiles increases as people age and then decreases slightly in retirement."/>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14675" cy="2522220"/>
                          </a:xfrm>
                          <a:prstGeom prst="rect">
                            <a:avLst/>
                          </a:prstGeom>
                          <a:noFill/>
                          <a:ln>
                            <a:noFill/>
                          </a:ln>
                        </pic:spPr>
                      </pic:pic>
                    </a:graphicData>
                  </a:graphic>
                </wp:inline>
              </w:drawing>
            </w:r>
          </w:p>
        </w:tc>
      </w:tr>
      <w:tr w:rsidR="00767353" w:rsidRPr="00F74A7F" w14:paraId="6392BD2D" w14:textId="77777777" w:rsidTr="00604051">
        <w:trPr>
          <w:trHeight w:val="180"/>
          <w:tblHeader/>
          <w:jc w:val="center"/>
        </w:trPr>
        <w:tc>
          <w:tcPr>
            <w:tcW w:w="2500" w:type="pct"/>
            <w:tcBorders>
              <w:top w:val="nil"/>
              <w:bottom w:val="nil"/>
            </w:tcBorders>
          </w:tcPr>
          <w:p w14:paraId="22B5E521" w14:textId="77777777" w:rsidR="00767353" w:rsidRPr="00A764BD" w:rsidRDefault="00767353" w:rsidP="00A764BD">
            <w:pPr>
              <w:pStyle w:val="FigureTableSubheading"/>
              <w:ind w:left="720" w:hanging="360"/>
              <w:rPr>
                <w:sz w:val="16"/>
                <w:szCs w:val="16"/>
              </w:rPr>
            </w:pPr>
            <w:r w:rsidRPr="00A764BD">
              <w:rPr>
                <w:sz w:val="16"/>
                <w:szCs w:val="16"/>
              </w:rPr>
              <w:t>c.</w:t>
            </w:r>
            <w:r w:rsidRPr="00A764BD">
              <w:rPr>
                <w:sz w:val="16"/>
                <w:szCs w:val="16"/>
              </w:rPr>
              <w:tab/>
              <w:t>By age and homeowner status</w:t>
            </w:r>
          </w:p>
          <w:p w14:paraId="3723EB98" w14:textId="77777777" w:rsidR="00767353" w:rsidRPr="00F74A7F" w:rsidRDefault="00767353" w:rsidP="00604051">
            <w:pPr>
              <w:pStyle w:val="BodyText"/>
              <w:ind w:left="284" w:hanging="284"/>
              <w:rPr>
                <w:sz w:val="18"/>
                <w:szCs w:val="18"/>
              </w:rPr>
            </w:pPr>
            <w:r w:rsidRPr="00F74A7F">
              <w:rPr>
                <w:noProof/>
                <w:sz w:val="18"/>
                <w:szCs w:val="18"/>
              </w:rPr>
              <w:drawing>
                <wp:inline distT="0" distB="0" distL="0" distR="0" wp14:anchorId="286AE5EB" wp14:editId="352ADBD4">
                  <wp:extent cx="2974340" cy="2662555"/>
                  <wp:effectExtent l="0" t="0" r="0" b="4445"/>
                  <wp:docPr id="81" name="Picture 81" descr="Figure C.3, panel c. This chart shows the initial model population in 2018 by age group and home ownership status. Home ownership rates begin to spike when people are aged around their 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gure C.3, panel c. This chart shows the initial model population in 2018 by age group and home ownership status. Home ownership rates begin to spike when people are aged around their 30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74340" cy="2662555"/>
                          </a:xfrm>
                          <a:prstGeom prst="rect">
                            <a:avLst/>
                          </a:prstGeom>
                          <a:noFill/>
                          <a:ln>
                            <a:noFill/>
                          </a:ln>
                        </pic:spPr>
                      </pic:pic>
                    </a:graphicData>
                  </a:graphic>
                </wp:inline>
              </w:drawing>
            </w:r>
          </w:p>
        </w:tc>
        <w:tc>
          <w:tcPr>
            <w:tcW w:w="2500" w:type="pct"/>
            <w:tcBorders>
              <w:top w:val="nil"/>
              <w:bottom w:val="nil"/>
            </w:tcBorders>
          </w:tcPr>
          <w:p w14:paraId="7812006E" w14:textId="77777777" w:rsidR="00767353" w:rsidRPr="00F74A7F" w:rsidRDefault="00767353" w:rsidP="00A764BD">
            <w:pPr>
              <w:pStyle w:val="FigureTableSubheading"/>
              <w:ind w:left="720" w:hanging="360"/>
              <w:rPr>
                <w:sz w:val="18"/>
              </w:rPr>
            </w:pPr>
            <w:r w:rsidRPr="00B83AD3">
              <w:rPr>
                <w:sz w:val="16"/>
                <w:szCs w:val="16"/>
              </w:rPr>
              <w:t>d</w:t>
            </w:r>
            <w:r w:rsidRPr="00A764BD">
              <w:rPr>
                <w:sz w:val="16"/>
                <w:szCs w:val="16"/>
              </w:rPr>
              <w:t>.</w:t>
            </w:r>
            <w:r w:rsidRPr="00A764BD">
              <w:rPr>
                <w:sz w:val="16"/>
                <w:szCs w:val="16"/>
              </w:rPr>
              <w:tab/>
              <w:t>By age and inheritance received status</w:t>
            </w:r>
          </w:p>
          <w:p w14:paraId="65A77079" w14:textId="77777777" w:rsidR="00767353" w:rsidRPr="00F74A7F" w:rsidRDefault="00767353" w:rsidP="00604051">
            <w:pPr>
              <w:pStyle w:val="BodyText"/>
              <w:ind w:left="284" w:hanging="284"/>
              <w:rPr>
                <w:sz w:val="18"/>
                <w:szCs w:val="18"/>
              </w:rPr>
            </w:pPr>
            <w:r w:rsidRPr="00F74A7F">
              <w:rPr>
                <w:noProof/>
                <w:sz w:val="18"/>
                <w:szCs w:val="18"/>
              </w:rPr>
              <w:drawing>
                <wp:inline distT="0" distB="0" distL="0" distR="0" wp14:anchorId="1C6C8D31" wp14:editId="55A81EF9">
                  <wp:extent cx="2964180" cy="2662555"/>
                  <wp:effectExtent l="0" t="0" r="0" b="0"/>
                  <wp:docPr id="17" name="Picture 17" descr="Figure C.3, panel d. This chart shows the initial model population in 2018 by age group and inheritances received status. Inheritances tend to be received when people are aged around their 50s to 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C.3, panel d. This chart shows the initial model population in 2018 by age group and inheritances received status. Inheritances tend to be received when people are aged around their 50s to 60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64180" cy="2662555"/>
                          </a:xfrm>
                          <a:prstGeom prst="rect">
                            <a:avLst/>
                          </a:prstGeom>
                          <a:noFill/>
                          <a:ln>
                            <a:noFill/>
                          </a:ln>
                        </pic:spPr>
                      </pic:pic>
                    </a:graphicData>
                  </a:graphic>
                </wp:inline>
              </w:drawing>
            </w:r>
          </w:p>
        </w:tc>
      </w:tr>
    </w:tbl>
    <w:p w14:paraId="0F7064C8" w14:textId="77777777" w:rsidR="00767353" w:rsidRDefault="00767353" w:rsidP="00767353">
      <w:pPr>
        <w:pStyle w:val="Source"/>
      </w:pPr>
      <w:r w:rsidRPr="00696447">
        <w:t xml:space="preserve">Source: </w:t>
      </w:r>
      <w:r>
        <w:t>Productivity Commission estimates using HILDA Restricted Release 19.</w:t>
      </w:r>
    </w:p>
    <w:p w14:paraId="7D948FBE" w14:textId="77777777" w:rsidR="00767353" w:rsidRDefault="00767353" w:rsidP="00767353">
      <w:pPr>
        <w:pStyle w:val="Heading3"/>
      </w:pPr>
      <w:r>
        <w:t>Mortality</w:t>
      </w:r>
    </w:p>
    <w:p w14:paraId="475B77C4" w14:textId="77777777" w:rsidR="00767353" w:rsidRDefault="00767353" w:rsidP="00767353">
      <w:pPr>
        <w:pStyle w:val="BodyText"/>
      </w:pPr>
      <w:r>
        <w:t>In the model, the cohorts effectively stay in the same age group for four years and then transition to the next five</w:t>
      </w:r>
      <w:r>
        <w:noBreakHyphen/>
        <w:t>year age group every fifth year. To prevent spikes in deaths upon reaching a new age group (which in turn affects inheritances), a ‘rolling’ mortality rate was estimated over age for each five</w:t>
      </w:r>
      <w:r>
        <w:noBreakHyphen/>
        <w:t>year age group. For example, the mortality rate used in the model for cohorts aged 60–64 in their first year at that age group was the average mortality rate at that age group, but in the second year it was the rate for people aged 61–65, in the third year it was the rate for people aged 62–66, and so on.</w:t>
      </w:r>
    </w:p>
    <w:p w14:paraId="1B0E6AE7" w14:textId="77777777" w:rsidR="00767353" w:rsidRDefault="00767353" w:rsidP="00767353">
      <w:pPr>
        <w:pStyle w:val="BodyText"/>
      </w:pPr>
      <w:r>
        <w:t xml:space="preserve">These mortality rates were also used to calculate the number of people whose parents die in each year of the simulation. </w:t>
      </w:r>
    </w:p>
    <w:p w14:paraId="1327EB73" w14:textId="2F39B6D1" w:rsidR="00767353" w:rsidRPr="00955979" w:rsidRDefault="00767353" w:rsidP="00767353">
      <w:pPr>
        <w:pStyle w:val="BodyText"/>
      </w:pPr>
      <w:r>
        <w:lastRenderedPageBreak/>
        <w:t xml:space="preserve">Data on observed deaths </w:t>
      </w:r>
      <w:r w:rsidRPr="00955979">
        <w:t>by age</w:t>
      </w:r>
      <w:r w:rsidRPr="004218E4">
        <w:t xml:space="preserve"> </w:t>
      </w:r>
      <w:r w:rsidRPr="004218E4">
        <w:fldChar w:fldCharType="begin"/>
      </w:r>
      <w:r w:rsidR="0047772E">
        <w:instrText xml:space="preserve"> ADDIN ZOTERO_ITEM CSL_CITATION {"citationID":"jU3cn6kO","properties":{"formattedCitation":"(ABS\\uc0\\u160{}2020c)","plainCitation":"(ABS 2020c)","noteIndex":0},"citationItems":[{"id":3125,"uris":["http://zotero.org/groups/2714158/items/MNLWKNHC"],"uri":["http://zotero.org/groups/2714158/items/MNLWKNHC"],"itemData":{"id":3125,"type":"webpage","container-title":"ABS.Stat","title":"Deaths, Year of Occurrence, Age at Death, Age-Specific Death Rates, Sex, States, Territories and Australia","URL":"https://stat.data.abs.gov.au/Index.aspx?DataSetCode=DEATHS_AGESPECIFIC_OCCURENCEYEAR","author":[{"literal":"Australian Bureau of Statistics"}],"translator":[{"literal":"ABS"}],"accessed":{"date-parts":[["2021",8,6]]},"issued":{"date-parts":[["2020"]]}}}],"schema":"https://github.com/citation-style-language/schema/raw/master/csl-citation.json"} </w:instrText>
      </w:r>
      <w:r w:rsidRPr="004218E4">
        <w:fldChar w:fldCharType="separate"/>
      </w:r>
      <w:r w:rsidR="007A60F8" w:rsidRPr="007A60F8">
        <w:rPr>
          <w:rFonts w:ascii="Arial" w:hAnsi="Arial" w:cs="Arial"/>
          <w:szCs w:val="24"/>
        </w:rPr>
        <w:t>(ABS 2020c)</w:t>
      </w:r>
      <w:r w:rsidRPr="004218E4">
        <w:fldChar w:fldCharType="end"/>
      </w:r>
      <w:r w:rsidRPr="004218E4">
        <w:t xml:space="preserve"> w</w:t>
      </w:r>
      <w:r>
        <w:t>as</w:t>
      </w:r>
      <w:r w:rsidRPr="004218E4">
        <w:t xml:space="preserve"> used to calculate the rolling mortality rates. These do not assume </w:t>
      </w:r>
      <w:r>
        <w:t xml:space="preserve">any </w:t>
      </w:r>
      <w:r w:rsidRPr="004218E4">
        <w:t xml:space="preserve">improvements in </w:t>
      </w:r>
      <w:r>
        <w:t>life expectancy, but</w:t>
      </w:r>
      <w:r w:rsidRPr="004218E4">
        <w:t xml:space="preserve"> </w:t>
      </w:r>
      <w:r>
        <w:t>a</w:t>
      </w:r>
      <w:r w:rsidRPr="004218E4">
        <w:t xml:space="preserve">ny improvements within the projection period are unlikely to be large. </w:t>
      </w:r>
    </w:p>
    <w:p w14:paraId="7D8051D9" w14:textId="77777777" w:rsidR="00767353" w:rsidRPr="00133823" w:rsidRDefault="00767353" w:rsidP="00767353">
      <w:pPr>
        <w:pStyle w:val="BodyText"/>
      </w:pPr>
      <w:r w:rsidRPr="00112C12">
        <w:t>Figure C.4</w:t>
      </w:r>
      <w:r w:rsidRPr="00790E3E">
        <w:t xml:space="preserve"> shows</w:t>
      </w:r>
      <w:r>
        <w:t xml:space="preserve"> the change in population size in the model simulation with the assumed mortality rates.</w:t>
      </w:r>
    </w:p>
    <w:p w14:paraId="3ED0DF14" w14:textId="6768EF04"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373EBD">
        <w:t>4</w:t>
      </w:r>
      <w:r>
        <w:rPr>
          <w:noProof/>
        </w:rPr>
        <w:t xml:space="preserve"> </w:t>
      </w:r>
      <w:r>
        <w:t>– Projected model population by generation</w:t>
      </w:r>
      <w:r w:rsidRPr="00066CF5">
        <w:rPr>
          <w:vertAlign w:val="superscript"/>
        </w:rPr>
        <w:t>a</w:t>
      </w:r>
    </w:p>
    <w:p w14:paraId="6E0AD5CF" w14:textId="77777777" w:rsidR="00767353" w:rsidRPr="005550A0" w:rsidRDefault="00767353" w:rsidP="00767353">
      <w:pPr>
        <w:pStyle w:val="BodyText"/>
      </w:pPr>
      <w:r w:rsidRPr="002C2105">
        <w:rPr>
          <w:noProof/>
        </w:rPr>
        <w:drawing>
          <wp:inline distT="0" distB="0" distL="0" distR="0" wp14:anchorId="17E434F6" wp14:editId="679C7D4D">
            <wp:extent cx="6109335" cy="2733040"/>
            <wp:effectExtent l="0" t="0" r="0" b="0"/>
            <wp:docPr id="82" name="Picture 82" descr="Figure C.4. This chart shows the projected model population by generation. The model population declines from close to 25 million to about 17 million between 2018 and 2050. By 2050, most baby boomers in the model are projected to have d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C.4. This chart shows the projected model population by generation. The model population declines from close to 25 million to about 17 million between 2018 and 2050. By 2050, most baby boomers in the model are projected to have di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109335" cy="2733040"/>
                    </a:xfrm>
                    <a:prstGeom prst="rect">
                      <a:avLst/>
                    </a:prstGeom>
                    <a:noFill/>
                    <a:ln>
                      <a:noFill/>
                    </a:ln>
                  </pic:spPr>
                </pic:pic>
              </a:graphicData>
            </a:graphic>
          </wp:inline>
        </w:drawing>
      </w:r>
    </w:p>
    <w:p w14:paraId="30B95458" w14:textId="77777777" w:rsidR="00767353" w:rsidRDefault="00767353" w:rsidP="00767353">
      <w:pPr>
        <w:pStyle w:val="Note"/>
        <w:keepLines/>
      </w:pPr>
      <w:r w:rsidRPr="00180E66">
        <w:rPr>
          <w:b/>
          <w:bCs/>
        </w:rPr>
        <w:t>a.</w:t>
      </w:r>
      <w:r>
        <w:t xml:space="preserve"> </w:t>
      </w:r>
      <w:r w:rsidRPr="00A84032">
        <w:t>Table 3.2 in chapter 3 describes the ages of generations in the model.</w:t>
      </w:r>
    </w:p>
    <w:p w14:paraId="50E58E68" w14:textId="77777777" w:rsidR="00767353" w:rsidRDefault="00767353" w:rsidP="00767353">
      <w:pPr>
        <w:pStyle w:val="Source"/>
      </w:pPr>
      <w:r w:rsidRPr="00696447">
        <w:t xml:space="preserve">Source: </w:t>
      </w:r>
      <w:r w:rsidRPr="00FF0D04">
        <w:t>Productivity Commission estimates from cohort simulation model.</w:t>
      </w:r>
    </w:p>
    <w:p w14:paraId="11950ED7" w14:textId="77777777" w:rsidR="00767353" w:rsidRDefault="00767353" w:rsidP="00767353">
      <w:pPr>
        <w:pStyle w:val="Heading3"/>
      </w:pPr>
      <w:r>
        <w:t>Income</w:t>
      </w:r>
    </w:p>
    <w:p w14:paraId="1E670687" w14:textId="77777777" w:rsidR="00767353" w:rsidRPr="00493DB1" w:rsidRDefault="00767353" w:rsidP="00767353">
      <w:pPr>
        <w:pStyle w:val="Heading4"/>
      </w:pPr>
      <w:r>
        <w:t>Income projections</w:t>
      </w:r>
    </w:p>
    <w:p w14:paraId="71723A43" w14:textId="77777777" w:rsidR="00767353" w:rsidRDefault="00767353" w:rsidP="00767353">
      <w:pPr>
        <w:pStyle w:val="BodyText"/>
      </w:pPr>
      <w:r>
        <w:t>Average incomes for the initial population cohorts in 2018 were estimated as weighted averages by age and income group. Similar to initial wealth values, some adjustments were made for outliers and values were smoothed across age groups.</w:t>
      </w:r>
      <w:r w:rsidRPr="00691E8B">
        <w:rPr>
          <w:rStyle w:val="FootnoteReference"/>
        </w:rPr>
        <w:footnoteReference w:id="69"/>
      </w:r>
      <w:r>
        <w:t xml:space="preserve"> Both wages and ‘other income’ were estimated. Other income excluded income from sources of wealth modelled separately (superannuation income, interest and dividends) to avoid double counting. </w:t>
      </w:r>
    </w:p>
    <w:p w14:paraId="463218A5" w14:textId="336DC5A6" w:rsidR="00767353" w:rsidRPr="00C41AB8" w:rsidRDefault="00767353" w:rsidP="00767353">
      <w:pPr>
        <w:pStyle w:val="BodyText"/>
        <w:rPr>
          <w:spacing w:val="-4"/>
        </w:rPr>
      </w:pPr>
      <w:r w:rsidRPr="00C41AB8">
        <w:rPr>
          <w:spacing w:val="-4"/>
        </w:rPr>
        <w:t xml:space="preserve">Growth in average incomes was then assumed to converge over 10 years to 4 per cent per year. This is significantly stronger than growth in average weekly earnings in recent years </w:t>
      </w:r>
      <w:r w:rsidRPr="00C41AB8">
        <w:rPr>
          <w:spacing w:val="-4"/>
        </w:rPr>
        <w:fldChar w:fldCharType="begin"/>
      </w:r>
      <w:r w:rsidR="0047772E">
        <w:rPr>
          <w:spacing w:val="-4"/>
        </w:rPr>
        <w:instrText xml:space="preserve"> ADDIN ZOTERO_ITEM CSL_CITATION {"citationID":"a2i04sr9pg4","properties":{"formattedCitation":"(Productivity Commission estimates using ABS\\uc0\\u160{}2021b, table 2)","plainCitation":"(Productivity Commission estimates using ABS 2021b, table 2)","noteIndex":0},"citationItems":[{"id":3003,"uris":["http://zotero.org/groups/2714158/items/Z3XTDBDL"],"uri":["http://zotero.org/groups/2714158/items/Z3XTDBDL"],"itemData":{"id":3003,"type":"webpage","abstract":"Results of the Survey of Average Weekly Earnings containing estimates of earnings classified by industry, sector and state/territory","container-title":"Cat. no. 6302.0","language":"en","title":"Average Weekly Earnings, Australia, November 2020","URL":"https://www.abs.gov.au/statistics/labour/earnings-and-work-hours/average-weekly-earnings-australia/latest-release","author":[{"literal":"Australian Bureau of Statistics"}],"translator":[{"literal":"ABS"}],"accessed":{"date-parts":[["2021",8,4]]},"issued":{"date-parts":[["2021",2,25]]}},"prefix":"Productivity Commission estimates using","suffix":", table 2"}],"schema":"https://github.com/citation-style-language/schema/raw/master/csl-citation.json"} </w:instrText>
      </w:r>
      <w:r w:rsidRPr="00C41AB8">
        <w:rPr>
          <w:spacing w:val="-4"/>
        </w:rPr>
        <w:fldChar w:fldCharType="separate"/>
      </w:r>
      <w:r w:rsidR="007A60F8" w:rsidRPr="007A60F8">
        <w:rPr>
          <w:rFonts w:ascii="Arial" w:hAnsi="Arial" w:cs="Arial"/>
          <w:szCs w:val="24"/>
        </w:rPr>
        <w:t>(Productivity Commission estimates using ABS 2021b, table 2)</w:t>
      </w:r>
      <w:r w:rsidRPr="00C41AB8">
        <w:rPr>
          <w:spacing w:val="-4"/>
        </w:rPr>
        <w:fldChar w:fldCharType="end"/>
      </w:r>
      <w:r w:rsidRPr="00C41AB8">
        <w:rPr>
          <w:spacing w:val="-4"/>
        </w:rPr>
        <w:t xml:space="preserve"> but is in line with the Intergenerational Report </w:t>
      </w:r>
      <w:r w:rsidRPr="00C41AB8">
        <w:rPr>
          <w:spacing w:val="-4"/>
        </w:rPr>
        <w:fldChar w:fldCharType="begin"/>
      </w:r>
      <w:r w:rsidR="0047772E">
        <w:rPr>
          <w:spacing w:val="-4"/>
        </w:rPr>
        <w:instrText xml:space="preserve"> ADDIN ZOTERO_ITEM CSL_CITATION {"citationID":"a1kdprdiaih","properties":{"formattedCitation":"(The Commonwealth of Australia\\uc0\\u160{}2021a, p.\\uc0\\u160{}11)","plainCitation":"(The Commonwealth of Australia 2021a, p. 11)","noteIndex":0},"citationItems":[{"id":1957,"uris":["http://zotero.org/groups/2714158/items/MUULXQ7N"],"uri":["http://zotero.org/groups/2714158/items/MUULXQ7N"],"itemData":{"id":1957,"type":"report","event-place":"Canberra","publisher-place":"Canberra","title":"2021 Intergenerational Report: Australia Over the Next 40 Years","author":[{"literal":"The Commonwealth of Australia"}],"issued":{"date-parts":[["2021"]]}},"locator":"11"}],"schema":"https://github.com/citation-style-language/schema/raw/master/csl-citation.json"} </w:instrText>
      </w:r>
      <w:r w:rsidRPr="00C41AB8">
        <w:rPr>
          <w:spacing w:val="-4"/>
        </w:rPr>
        <w:fldChar w:fldCharType="separate"/>
      </w:r>
      <w:r w:rsidRPr="00C41AB8">
        <w:rPr>
          <w:spacing w:val="-4"/>
          <w:szCs w:val="24"/>
        </w:rPr>
        <w:t>(The Commonwealth of Australia 2021a, p. 11)</w:t>
      </w:r>
      <w:r w:rsidRPr="00C41AB8">
        <w:rPr>
          <w:spacing w:val="-4"/>
        </w:rPr>
        <w:fldChar w:fldCharType="end"/>
      </w:r>
      <w:r w:rsidRPr="00C41AB8">
        <w:rPr>
          <w:spacing w:val="-4"/>
        </w:rPr>
        <w:t>, which assumed convergence to a long run inflation rate of 2.5 per cent and labour productivity growth of 1.5 per cent. Convergence assumptions are commonly used to transition from short</w:t>
      </w:r>
      <w:r w:rsidRPr="00C41AB8">
        <w:rPr>
          <w:spacing w:val="-4"/>
        </w:rPr>
        <w:noBreakHyphen/>
        <w:t>term estimates or forecasts to medium</w:t>
      </w:r>
      <w:r w:rsidRPr="00C41AB8">
        <w:rPr>
          <w:spacing w:val="-4"/>
        </w:rPr>
        <w:noBreakHyphen/>
        <w:t xml:space="preserve">term projections, such as in the Budget </w:t>
      </w:r>
      <w:r w:rsidRPr="00C41AB8">
        <w:rPr>
          <w:spacing w:val="-4"/>
        </w:rPr>
        <w:fldChar w:fldCharType="begin"/>
      </w:r>
      <w:r w:rsidR="0047772E">
        <w:rPr>
          <w:spacing w:val="-4"/>
        </w:rPr>
        <w:instrText xml:space="preserve"> ADDIN ZOTERO_ITEM CSL_CITATION {"citationID":"plLBmfjG","properties":{"formattedCitation":"(The Commonwealth of Australia\\uc0\\u160{}2021b, p.\\uc0\\u160{}65)","plainCitation":"(The Commonwealth of Australia 2021b, p. 65)","noteIndex":0},"citationItems":[{"id":2996,"uris":["http://zotero.org/groups/2714158/items/AEP4HRDY"],"uri":["http://zotero.org/groups/2714158/items/AEP4HRDY"],"itemData":{"id":2996,"type":"report","event-place":"Canberra","publisher-place":"Canberra","title":"Budget Strategy and Outlook, Budget Paper No. 1, 2021–22","author":[{"literal":"The Commonwealth of Australia"}],"issued":{"date-parts":[["2021"]]}},"locator":"65"}],"schema":"https://github.com/citation-style-language/schema/raw/master/csl-citation.json"} </w:instrText>
      </w:r>
      <w:r w:rsidRPr="00C41AB8">
        <w:rPr>
          <w:spacing w:val="-4"/>
        </w:rPr>
        <w:fldChar w:fldCharType="separate"/>
      </w:r>
      <w:r w:rsidRPr="00C41AB8">
        <w:rPr>
          <w:spacing w:val="-4"/>
          <w:szCs w:val="24"/>
        </w:rPr>
        <w:t>(The Commonwealth of Australia 2021b, p. 65)</w:t>
      </w:r>
      <w:r w:rsidRPr="00C41AB8">
        <w:rPr>
          <w:spacing w:val="-4"/>
        </w:rPr>
        <w:fldChar w:fldCharType="end"/>
      </w:r>
      <w:r w:rsidRPr="00C41AB8">
        <w:rPr>
          <w:spacing w:val="-4"/>
        </w:rPr>
        <w:t>.</w:t>
      </w:r>
    </w:p>
    <w:p w14:paraId="0AE858F9" w14:textId="77777777" w:rsidR="00767353" w:rsidRDefault="00767353" w:rsidP="00767353">
      <w:pPr>
        <w:pStyle w:val="BodyText"/>
      </w:pPr>
      <w:r>
        <w:t>Wage projections were used to project superannuation contributions (described below).</w:t>
      </w:r>
    </w:p>
    <w:p w14:paraId="0EA9F292" w14:textId="50CA07CB" w:rsidR="00767353" w:rsidRPr="00D0611B" w:rsidRDefault="00767353" w:rsidP="00767353">
      <w:pPr>
        <w:pStyle w:val="BodyText"/>
        <w:rPr>
          <w:spacing w:val="-4"/>
        </w:rPr>
      </w:pPr>
      <w:r w:rsidRPr="00D0611B">
        <w:rPr>
          <w:spacing w:val="-4"/>
        </w:rPr>
        <w:lastRenderedPageBreak/>
        <w:t xml:space="preserve">Income was also taxed in the model. Actual and expected tax rates and income tax thresholds were used up to 2026 </w:t>
      </w:r>
      <w:r w:rsidRPr="00D0611B">
        <w:rPr>
          <w:spacing w:val="-4"/>
        </w:rPr>
        <w:fldChar w:fldCharType="begin"/>
      </w:r>
      <w:r w:rsidR="0047772E">
        <w:rPr>
          <w:spacing w:val="-4"/>
        </w:rPr>
        <w:instrText xml:space="preserve"> ADDIN ZOTERO_ITEM CSL_CITATION {"citationID":"loIF2T4m","properties":{"formattedCitation":"(ATO\\uc0\\u160{}2021b, 2021a)","plainCitation":"(ATO 2021b, 2021a)","noteIndex":0},"citationItems":[{"id":3002,"uris":["http://zotero.org/groups/2714158/items/8SRFYPUE"],"uri":["http://zotero.org/groups/2714158/items/8SRFYPUE"],"itemData":{"id":3002,"type":"webpage","abstract":"On 11 May 2021, as part of the 2021–22 federal Budget, the Australian Government announced it will extend the low and middle income tax offset (LMITO) for 2021–22.","language":"en-AU","note":"Last Modified: 2021-05-11\npublisher: Australian Taxation Office","title":"JobMaker Plan - Bringing Forward the Personal Income Tax Plan","URL":"https://www.ato.gov.au/General/New-legislation/In-detail/Direct-taxes/Income-tax-for-individuals/JobMaker-Plan---bringing-forward-the-Personal-Income-Tax-Plan/?default","author":[{"literal":"Australian Taxation Office"}],"translator":[{"literal":"ATO"}],"accessed":{"date-parts":[["2021",8,4]]},"issued":{"date-parts":[["2021"]]}}},{"id":3001,"uris":["http://zotero.org/groups/2714158/items/ZQSVFX74"],"uri":["http://zotero.org/groups/2714158/items/ZQSVFX74"],"itemData":{"id":3001,"type":"webpage","abstract":"The amount of income tax and the tax rate you pay depends on how much you earn. The more you earn, the higher your rate of tax. Prior year rates are available here.","language":"en-AU","note":"Last Modified: 2021-07-01\npublisher: Australian Taxation Office","title":"Individual Income Tax for Prior Years","URL":"https://www.ato.gov.au/Rates/Individual-income-tax-for-prior-years/?default","author":[{"literal":"Australian Taxation Office"}],"translator":[{"literal":"ATO"}],"accessed":{"date-parts":[["2021",8,4]]},"issued":{"date-parts":[["2021"]]}}}],"schema":"https://github.com/citation-style-language/schema/raw/master/csl-citation.json"} </w:instrText>
      </w:r>
      <w:r w:rsidRPr="00D0611B">
        <w:rPr>
          <w:spacing w:val="-4"/>
        </w:rPr>
        <w:fldChar w:fldCharType="separate"/>
      </w:r>
      <w:r w:rsidRPr="00D0611B">
        <w:rPr>
          <w:spacing w:val="-4"/>
          <w:szCs w:val="24"/>
        </w:rPr>
        <w:t>(ATO 2021b, 2021a)</w:t>
      </w:r>
      <w:r w:rsidRPr="00D0611B">
        <w:rPr>
          <w:spacing w:val="-4"/>
        </w:rPr>
        <w:fldChar w:fldCharType="end"/>
      </w:r>
      <w:r w:rsidRPr="00D0611B">
        <w:rPr>
          <w:spacing w:val="-4"/>
        </w:rPr>
        <w:t xml:space="preserve">. From 2027 onwards, thresholds were assumed to increase with projected income growth. This indexation to income growth is consistent with assumptions used in the Retirement Income Review </w:t>
      </w:r>
      <w:r w:rsidRPr="00D0611B">
        <w:rPr>
          <w:spacing w:val="-4"/>
        </w:rPr>
        <w:fldChar w:fldCharType="begin"/>
      </w:r>
      <w:r w:rsidR="0047772E">
        <w:rPr>
          <w:spacing w:val="-4"/>
        </w:rPr>
        <w:instrText xml:space="preserve"> ADDIN ZOTERO_ITEM CSL_CITATION {"citationID":"2OTdwHaO","properties":{"formattedCitation":"(The Treasury\\uc0\\u160{}2020, pp.\\uc0\\u160{}511, 541)","plainCitation":"(The Treasury 2020, pp. 511, 541)","noteIndex":0},"citationItems":[{"id":1552,"uris":["http://zotero.org/groups/2714158/items/R5Y5AKIH"],"uri":["http://zotero.org/groups/2714158/items/R5Y5AKIH"],"itemData":{"id":1552,"type":"report","event-place":"Canberra","genre":"Final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Treasury","given":""}],"accessed":{"date-parts":[["2021",2,4]]},"issued":{"date-parts":[["2020"]]}},"locator":"511, 541"}],"schema":"https://github.com/citation-style-language/schema/raw/master/csl-citation.json"} </w:instrText>
      </w:r>
      <w:r w:rsidRPr="00D0611B">
        <w:rPr>
          <w:spacing w:val="-4"/>
        </w:rPr>
        <w:fldChar w:fldCharType="separate"/>
      </w:r>
      <w:r w:rsidRPr="00D0611B">
        <w:rPr>
          <w:spacing w:val="-4"/>
          <w:szCs w:val="24"/>
        </w:rPr>
        <w:t>(The Treasury 2020, pp. 511, 541)</w:t>
      </w:r>
      <w:r w:rsidRPr="00D0611B">
        <w:rPr>
          <w:spacing w:val="-4"/>
        </w:rPr>
        <w:fldChar w:fldCharType="end"/>
      </w:r>
      <w:r w:rsidRPr="00D0611B">
        <w:rPr>
          <w:spacing w:val="-4"/>
        </w:rPr>
        <w:t xml:space="preserve">. A simple implementation of the Medicare levy of 2 per cent on gross income was also applied in all years. Actual Medicare levy thresholds were used up to 2021 </w:t>
      </w:r>
      <w:r w:rsidRPr="00D0611B">
        <w:rPr>
          <w:spacing w:val="-4"/>
        </w:rPr>
        <w:fldChar w:fldCharType="begin"/>
      </w:r>
      <w:r w:rsidR="0047772E">
        <w:rPr>
          <w:spacing w:val="-4"/>
        </w:rPr>
        <w:instrText xml:space="preserve"> ADDIN ZOTERO_ITEM CSL_CITATION {"citationID":"8EYBlXOj","properties":{"formattedCitation":"(ATO\\uc0\\u160{}2019, 2020a, 2021d)","plainCitation":"(ATO 2019, 2020a, 2021d)","noteIndex":0},"citationItems":[{"id":2998,"uris":["http://zotero.org/groups/2714158/items/A399CDUJ"],"uri":["http://zotero.org/groups/2714158/items/A399CDUJ"],"itemData":{"id":2998,"type":"webpage","abstract":"This question is about whether you qualify for a Medicare levy reduction or exemption.","language":"en-AU","note":"Last Modified: 2019-05-30\npublisher: Australian Taxation Office","title":"M1 Medicare Levy Reduction or Exemption 2019","URL":"https://www.ato.gov.au/Individuals/Tax-return/2019/Tax-return/Medicare-levy-questions-M1-M2/M1-Medicare-levy-reduction-or-exemption-2019/?default","author":[{"literal":"Australian Taxation Office"}],"translator":[{"literal":"ATO"}],"accessed":{"date-parts":[["2021",8,4]]},"issued":{"date-parts":[["2019"]]}}},{"id":2997,"uris":["http://zotero.org/groups/2714158/items/S2SV2E6G"],"uri":["http://zotero.org/groups/2714158/items/S2SV2E6G"],"itemData":{"id":2997,"type":"webpage","abstract":"This question is about whether you qualify for a Medicare levy reduction or exemption.","language":"en-AU","note":"Last Modified: 2020-05-28\npublisher: Australian Taxation Office","title":"M1 Medicare Levy Reduction or Exemption 2020","URL":"https://www.ato.gov.au/Individuals/Tax-return/2020/Tax-return/Medicare-levy-questions-M1-M2/M1-Medicare-levy-reduction-or-exemption-2020/?default","author":[{"literal":"Australian Taxation Office"}],"translator":[{"literal":"ATO"}],"accessed":{"date-parts":[["2021",8,4]]},"issued":{"date-parts":[["2020"]]}}},{"id":3000,"uris":["http://zotero.org/groups/2714158/items/C3METFQV"],"uri":["http://zotero.org/groups/2714158/items/C3METFQV"],"itemData":{"id":3000,"type":"webpage","abstract":"Your Medicare levy is reduced if your taxable income is below a certain threshold. In some cases, you may not have to pay the levy at all.","language":"en-AU","note":"Last Modified: 2021-07-01\npublisher: Australian Taxation Office","title":"Medicare Levy Reduction for Low-Income Earners","URL":"https://www.ato.gov.au/Individuals/Medicare-and-private-health-insurance/Medicare-levy/Medicare-levy-reduction-for-low-income-earners/?default","author":[{"literal":"Australian Taxation Office"}],"translator":[{"literal":"ATO"}],"accessed":{"date-parts":[["2021",8,4]]},"issued":{"date-parts":[["2021"]]}}}],"schema":"https://github.com/citation-style-language/schema/raw/master/csl-citation.json"} </w:instrText>
      </w:r>
      <w:r w:rsidRPr="00D0611B">
        <w:rPr>
          <w:spacing w:val="-4"/>
        </w:rPr>
        <w:fldChar w:fldCharType="separate"/>
      </w:r>
      <w:r w:rsidR="007A60F8" w:rsidRPr="007A60F8">
        <w:rPr>
          <w:rFonts w:ascii="Arial" w:hAnsi="Arial" w:cs="Arial"/>
          <w:szCs w:val="24"/>
        </w:rPr>
        <w:t>(ATO 2019, 2020a, 2021d)</w:t>
      </w:r>
      <w:r w:rsidRPr="00D0611B">
        <w:rPr>
          <w:spacing w:val="-4"/>
        </w:rPr>
        <w:fldChar w:fldCharType="end"/>
      </w:r>
      <w:r w:rsidRPr="00D0611B">
        <w:rPr>
          <w:spacing w:val="-4"/>
        </w:rPr>
        <w:t xml:space="preserve">. Future thresholds were assumed to be indexed to inflation, using Budget forecasts to 2023 </w:t>
      </w:r>
      <w:r w:rsidRPr="00D0611B">
        <w:rPr>
          <w:spacing w:val="-4"/>
        </w:rPr>
        <w:fldChar w:fldCharType="begin"/>
      </w:r>
      <w:r w:rsidR="0047772E">
        <w:rPr>
          <w:spacing w:val="-4"/>
        </w:rPr>
        <w:instrText xml:space="preserve"> ADDIN ZOTERO_ITEM CSL_CITATION {"citationID":"a1nuaoe4ulj","properties":{"formattedCitation":"(The Commonwealth of Australia\\uc0\\u160{}2021b, table 2.1)","plainCitation":"(The Commonwealth of Australia 2021b, table 2.1)","noteIndex":0},"citationItems":[{"id":2996,"uris":["http://zotero.org/groups/2714158/items/AEP4HRDY"],"uri":["http://zotero.org/groups/2714158/items/AEP4HRDY"],"itemData":{"id":2996,"type":"report","event-place":"Canberra","publisher-place":"Canberra","title":"Budget Strategy and Outlook, Budget Paper No. 1, 2021–22","author":[{"literal":"The Commonwealth of Australia"}],"issued":{"date-parts":[["2021"]]}},"suffix":", table 2.1"}],"schema":"https://github.com/citation-style-language/schema/raw/master/csl-citation.json"} </w:instrText>
      </w:r>
      <w:r w:rsidRPr="00D0611B">
        <w:rPr>
          <w:spacing w:val="-4"/>
        </w:rPr>
        <w:fldChar w:fldCharType="separate"/>
      </w:r>
      <w:r w:rsidRPr="00D0611B">
        <w:rPr>
          <w:spacing w:val="-4"/>
          <w:szCs w:val="24"/>
        </w:rPr>
        <w:t>(The Commonwealth of Australia 2021b, table 2.1)</w:t>
      </w:r>
      <w:r w:rsidRPr="00D0611B">
        <w:rPr>
          <w:spacing w:val="-4"/>
        </w:rPr>
        <w:fldChar w:fldCharType="end"/>
      </w:r>
      <w:r w:rsidRPr="00D0611B">
        <w:rPr>
          <w:spacing w:val="-4"/>
        </w:rPr>
        <w:t xml:space="preserve"> and an assumption of 2.5 per cent thereafter. </w:t>
      </w:r>
    </w:p>
    <w:p w14:paraId="28CB81AA" w14:textId="23E17828" w:rsidR="00767353" w:rsidRDefault="00767353" w:rsidP="00767353">
      <w:pPr>
        <w:pStyle w:val="BodyText"/>
      </w:pPr>
      <w:r>
        <w:t xml:space="preserve">Other details of the tax system, such as tax offsets and tax deductions, were not modelled. Tax deductions are regressive (providing a greater benefit to higher income earners compared with tax offsets of the same dollar amount) while tax offsets are progressive (providing a greater relative benefit to lower income earners) </w:t>
      </w:r>
      <w:r>
        <w:fldChar w:fldCharType="begin"/>
      </w:r>
      <w:r w:rsidR="0047772E">
        <w:instrText xml:space="preserve"> ADDIN ZOTERO_ITEM CSL_CITATION {"citationID":"uArHWAJU","properties":{"formattedCitation":"(TTPI\\uc0\\u160{}2019)","plainCitation":"(TTPI 2019)","noteIndex":0},"citationItems":[{"id":3157,"uris":["http://zotero.org/groups/2714158/items/APPGHGKI"],"uri":["http://zotero.org/groups/2714158/items/APPGHGKI"],"itemData":{"id":3157,"type":"report","event-place":"Canberra","number":"Tax Fact #6","publisher-place":"Canberra","title":"Good Tax Policy: Tax Offsets or Tax Deductions?","author":[{"literal":"Tax and Transfer Policy Institute"}],"translator":[{"literal":"TTPI"}],"issued":{"date-parts":[["2019"]]}}}],"schema":"https://github.com/citation-style-language/schema/raw/master/csl-citation.json"} </w:instrText>
      </w:r>
      <w:r>
        <w:fldChar w:fldCharType="separate"/>
      </w:r>
      <w:r w:rsidRPr="00FF75D1">
        <w:rPr>
          <w:szCs w:val="24"/>
        </w:rPr>
        <w:t>(TTPI 2019)</w:t>
      </w:r>
      <w:r>
        <w:fldChar w:fldCharType="end"/>
      </w:r>
      <w:r>
        <w:t xml:space="preserve">. The net impact of their exclusion from the model depends on their relative effects on wealth accumulation for cohorts of different wealth levels. If they enable higher wealth cohorts to accumulate relatively more wealth, then any wealth transfers they receive would tend to be a smaller proportion of their existing wealth, all else equal. </w:t>
      </w:r>
    </w:p>
    <w:p w14:paraId="223A1A32" w14:textId="77777777" w:rsidR="00767353" w:rsidRDefault="00767353" w:rsidP="00767353">
      <w:pPr>
        <w:pStyle w:val="Heading4"/>
      </w:pPr>
      <w:r>
        <w:t>Transitions between income groups</w:t>
      </w:r>
    </w:p>
    <w:p w14:paraId="2A0BB5ED" w14:textId="77777777" w:rsidR="00767353" w:rsidRDefault="00767353" w:rsidP="00767353">
      <w:pPr>
        <w:pStyle w:val="BodyText"/>
      </w:pPr>
      <w:r>
        <w:t>As described in section C.2, shares of respective model cohorts transition to a different income quintile every five years. Assumptions about the probability of transitioning were based on analysis of historical rates in HILDA, by income quintile and age. This analysis showed relatively slow rates of transition — hence the use of five</w:t>
      </w:r>
      <w:r>
        <w:noBreakHyphen/>
        <w:t>year intervals between transitions. Based on similar analysis, income transitions were limited to cohorts aged 15–39 and 60–74. People at these age groups were more likely to have moved into a different income group from five years ago, reflecting ages at which people enter the workforce, establish their career and then retire. Applying these income transition probabilities to the model projections produced similar distributions of income groups within age groups over time (figure C.5).</w:t>
      </w:r>
    </w:p>
    <w:p w14:paraId="1E4EFCB2" w14:textId="6A6A6B54" w:rsidR="00767353" w:rsidRPr="00146382" w:rsidRDefault="00767353" w:rsidP="00767353">
      <w:pPr>
        <w:pStyle w:val="FigureTableHeading"/>
      </w:pPr>
      <w:r>
        <w:t xml:space="preserve">Figure </w:t>
      </w:r>
      <w:r w:rsidR="00B2270C">
        <w:fldChar w:fldCharType="begin"/>
      </w:r>
      <w:r w:rsidR="00B2270C">
        <w:instrText xml:space="preserve"> STYLE</w:instrText>
      </w:r>
      <w:r w:rsidR="00B2270C">
        <w:instrText xml:space="preserve">REF  \s Heading-Appendix </w:instrText>
      </w:r>
      <w:r w:rsidR="00B2270C">
        <w:fldChar w:fldCharType="separate"/>
      </w:r>
      <w:r w:rsidR="00F3386D">
        <w:rPr>
          <w:noProof/>
        </w:rPr>
        <w:t>C</w:t>
      </w:r>
      <w:r w:rsidR="00B2270C">
        <w:rPr>
          <w:noProof/>
        </w:rPr>
        <w:fldChar w:fldCharType="end"/>
      </w:r>
      <w:r>
        <w:t>.</w:t>
      </w:r>
      <w:r w:rsidR="00373EBD">
        <w:t>5</w:t>
      </w:r>
      <w:r>
        <w:rPr>
          <w:noProof/>
        </w:rPr>
        <w:t xml:space="preserve"> </w:t>
      </w:r>
      <w:r>
        <w:t>– Projected distribution of population by age and income group</w:t>
      </w:r>
      <w:r w:rsidRPr="00066CF5">
        <w:rPr>
          <w:vertAlign w:val="superscript"/>
        </w:rPr>
        <w:t>a</w:t>
      </w:r>
    </w:p>
    <w:p w14:paraId="574109F6" w14:textId="377E4EA4" w:rsidR="00767353" w:rsidRPr="005550A0" w:rsidRDefault="00D02137" w:rsidP="00767353">
      <w:pPr>
        <w:pStyle w:val="BodyText"/>
      </w:pPr>
      <w:r w:rsidRPr="00D02137">
        <w:rPr>
          <w:noProof/>
        </w:rPr>
        <w:drawing>
          <wp:inline distT="0" distB="0" distL="0" distR="0" wp14:anchorId="26B37B4D" wp14:editId="310EEA05">
            <wp:extent cx="6120130" cy="2689225"/>
            <wp:effectExtent l="0" t="0" r="0" b="0"/>
            <wp:docPr id="191" name="Picture 191" descr="Figure C.5. This chart shows the model population by age and income group in 2018 and projections in 2048. The distribution of income groups within each age group is similar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Figure C.5. This chart shows the model population by age and income group in 2018 and projections in 2048. The distribution of income groups within each age group is similar over time.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20130" cy="2689225"/>
                    </a:xfrm>
                    <a:prstGeom prst="rect">
                      <a:avLst/>
                    </a:prstGeom>
                    <a:noFill/>
                    <a:ln>
                      <a:noFill/>
                    </a:ln>
                  </pic:spPr>
                </pic:pic>
              </a:graphicData>
            </a:graphic>
          </wp:inline>
        </w:drawing>
      </w:r>
    </w:p>
    <w:p w14:paraId="7527FF46" w14:textId="77777777" w:rsidR="00767353" w:rsidRDefault="00767353" w:rsidP="00767353">
      <w:pPr>
        <w:pStyle w:val="Note"/>
        <w:keepLines/>
      </w:pPr>
      <w:r w:rsidRPr="00180E66">
        <w:rPr>
          <w:b/>
          <w:bCs/>
        </w:rPr>
        <w:t>a.</w:t>
      </w:r>
      <w:r>
        <w:t xml:space="preserve"> </w:t>
      </w:r>
      <w:r w:rsidRPr="0004612D">
        <w:t>Age groups under 30 not shown. Changes in population sizes due to deaths only. Births and migration are not modelled (section C.1). The projected population patterns in 2048 for ages 30 to 60 reflect patterns in the initial 2018 population of people aged under 30 (figure C.3).</w:t>
      </w:r>
    </w:p>
    <w:p w14:paraId="1A7929A0" w14:textId="77777777" w:rsidR="00767353" w:rsidRDefault="00767353" w:rsidP="00767353">
      <w:pPr>
        <w:pStyle w:val="Source"/>
      </w:pPr>
      <w:r w:rsidRPr="00696447">
        <w:t xml:space="preserve">Source: </w:t>
      </w:r>
      <w:r>
        <w:t>Productivity Commission estimates from cohort simulation model.</w:t>
      </w:r>
    </w:p>
    <w:p w14:paraId="353EA915" w14:textId="77777777" w:rsidR="00767353" w:rsidRDefault="00767353" w:rsidP="00767353">
      <w:pPr>
        <w:pStyle w:val="Heading3"/>
      </w:pPr>
      <w:r>
        <w:lastRenderedPageBreak/>
        <w:t>Rates of return on assets</w:t>
      </w:r>
    </w:p>
    <w:p w14:paraId="3FE948D2" w14:textId="77777777" w:rsidR="00767353" w:rsidRDefault="00767353" w:rsidP="00767353">
      <w:pPr>
        <w:pStyle w:val="BodyText"/>
      </w:pPr>
      <w:r>
        <w:t>The base scenario model abstracts from differences in potential long</w:t>
      </w:r>
      <w:r>
        <w:noBreakHyphen/>
        <w:t>run growth rates between asset types. Rather, it assumes that rates of return on all assets converge from historical rates to the long run growth rate of income (4 per cent) over 10 years. Different rate of return assumptions were used in alternative scenarios (section C.4).</w:t>
      </w:r>
    </w:p>
    <w:p w14:paraId="739B70FC" w14:textId="77777777" w:rsidR="00767353" w:rsidRDefault="00767353" w:rsidP="00767353">
      <w:pPr>
        <w:pStyle w:val="BodyText"/>
        <w:keepNext/>
      </w:pPr>
      <w:r>
        <w:t>At the beginning of the projection period, nominal rates of return on assets were:</w:t>
      </w:r>
    </w:p>
    <w:p w14:paraId="2D4A6570" w14:textId="18FB512D" w:rsidR="00767353" w:rsidRDefault="00767353" w:rsidP="00767353">
      <w:pPr>
        <w:pStyle w:val="ListBullet"/>
      </w:pPr>
      <w:r>
        <w:t xml:space="preserve">seven per cent for </w:t>
      </w:r>
      <w:r w:rsidRPr="00C56FD9">
        <w:rPr>
          <w:u w:val="single"/>
        </w:rPr>
        <w:t>housing assets</w:t>
      </w:r>
      <w:r>
        <w:t xml:space="preserve"> based on analysis by Vanguard and the Reserve Bank of Australia of historical returns over the past two to three decades </w:t>
      </w:r>
      <w:r>
        <w:fldChar w:fldCharType="begin"/>
      </w:r>
      <w:r w:rsidR="0047772E">
        <w:instrText xml:space="preserve"> ADDIN ZOTERO_ITEM CSL_CITATION {"citationID":"YJcQU89Q","properties":{"formattedCitation":"(Kohler and van der Merwe\\uc0\\u160{}2015; Vanguard\\uc0\\u160{}2021)","plainCitation":"(Kohler and van der Merwe 2015; Vanguard 2021)","noteIndex":0},"citationItems":[{"id":3029,"uris":["http://zotero.org/groups/2714158/items/BQ2BMRVJ"],"uri":["http://zotero.org/groups/2714158/items/BQ2BMRVJ"],"itemData":{"id":3029,"type":"report","genre":"Bulletin","note":"https://www.rba.gov.au/publications/bulletin/2015/sep/3.html","number":"September Quarter","publisher":"Reserve Bank of Australia","title":"Long-run Trends in Housing Price Growth","author":[{"family":"Kohler","given":"Marion"},{"family":"Merwe","given":"Michelle","non-dropping-particle":"van der"}],"issued":{"date-parts":[["2015"]]}}},{"id":3028,"uris":["http://zotero.org/groups/2714158/items/QQZPCJV7"],"uri":["http://zotero.org/groups/2714158/items/QQZPCJV7"],"itemData":{"id":3028,"type":"webpage","title":"Vanguard Asset Class Tool","URL":"https://insights.vanguard.com.au/static/asset-class/app.html","author":[{"literal":"Vanguard"}],"accessed":{"date-parts":[["2021",7,16]]},"issued":{"date-parts":[["2021"]]}}}],"schema":"https://github.com/citation-style-language/schema/raw/master/csl-citation.json"} </w:instrText>
      </w:r>
      <w:r>
        <w:fldChar w:fldCharType="separate"/>
      </w:r>
      <w:r w:rsidRPr="00C56FD9">
        <w:rPr>
          <w:szCs w:val="24"/>
        </w:rPr>
        <w:t>(Kohler and van der Merwe 2015; Vanguard 2021)</w:t>
      </w:r>
      <w:r>
        <w:fldChar w:fldCharType="end"/>
      </w:r>
    </w:p>
    <w:p w14:paraId="1A225720" w14:textId="796681BC" w:rsidR="00767353" w:rsidRDefault="00767353" w:rsidP="00767353">
      <w:pPr>
        <w:pStyle w:val="ListBullet"/>
      </w:pPr>
      <w:r>
        <w:t xml:space="preserve">six per cent for </w:t>
      </w:r>
      <w:r>
        <w:rPr>
          <w:u w:val="single"/>
        </w:rPr>
        <w:t>s</w:t>
      </w:r>
      <w:r w:rsidRPr="00FD3EFD">
        <w:rPr>
          <w:u w:val="single"/>
        </w:rPr>
        <w:t>uperannuation returns</w:t>
      </w:r>
      <w:r>
        <w:t xml:space="preserve"> during the accumulation phase and 5.35 per cent during the retirement phase after accounting for fees and taxes, based on analysis in the Retirement Income Review </w:t>
      </w:r>
      <w:r>
        <w:fldChar w:fldCharType="begin"/>
      </w:r>
      <w:r w:rsidR="0047772E">
        <w:instrText xml:space="preserve"> ADDIN ZOTERO_ITEM CSL_CITATION {"citationID":"l5ACpKrI","properties":{"formattedCitation":"(The Treasury\\uc0\\u160{}2020, pp.\\uc0\\u160{}516\\uc0\\u8211{}517)","plainCitation":"(The Treasury 2020, pp. 516–517)","noteIndex":0},"citationItems":[{"id":1552,"uris":["http://zotero.org/groups/2714158/items/R5Y5AKIH"],"uri":["http://zotero.org/groups/2714158/items/R5Y5AKIH"],"itemData":{"id":1552,"type":"report","event-place":"Canberra","genre":"Final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Treasury","given":""}],"accessed":{"date-parts":[["2021",2,4]]},"issued":{"date-parts":[["2020"]]}},"locator":"516-7"}],"schema":"https://github.com/citation-style-language/schema/raw/master/csl-citation.json"} </w:instrText>
      </w:r>
      <w:r>
        <w:fldChar w:fldCharType="separate"/>
      </w:r>
      <w:r w:rsidRPr="00AC4F0E">
        <w:rPr>
          <w:szCs w:val="24"/>
        </w:rPr>
        <w:t>(The Treasury 2020, pp. 516–517)</w:t>
      </w:r>
      <w:r>
        <w:fldChar w:fldCharType="end"/>
      </w:r>
    </w:p>
    <w:p w14:paraId="32752D82" w14:textId="77777777" w:rsidR="00767353" w:rsidRDefault="00767353" w:rsidP="00767353">
      <w:pPr>
        <w:pStyle w:val="ListBullet"/>
      </w:pPr>
      <w:r>
        <w:t>between 3.3–5.0 per cent for ‘</w:t>
      </w:r>
      <w:r w:rsidRPr="00BB5AFA">
        <w:rPr>
          <w:u w:val="single"/>
        </w:rPr>
        <w:t>other assets</w:t>
      </w:r>
      <w:r w:rsidRPr="00FD23D9">
        <w:t>’</w:t>
      </w:r>
      <w:r>
        <w:t xml:space="preserve"> depending on age group, based on data on the composition of other assets in HILDA and assumed rates of return by asset class.</w:t>
      </w:r>
      <w:r w:rsidRPr="00691E8B">
        <w:rPr>
          <w:rStyle w:val="FootnoteReference"/>
        </w:rPr>
        <w:footnoteReference w:id="70"/>
      </w:r>
      <w:r>
        <w:t xml:space="preserve"> </w:t>
      </w:r>
      <w:r w:rsidRPr="001F5ED4">
        <w:t>All returns on other assets were assumed to be reinvested back into other assets.</w:t>
      </w:r>
    </w:p>
    <w:p w14:paraId="545FA79F" w14:textId="00621162" w:rsidR="00767353" w:rsidRPr="00E81A66" w:rsidRDefault="00767353" w:rsidP="00767353">
      <w:pPr>
        <w:pStyle w:val="BodyText"/>
        <w:rPr>
          <w:spacing w:val="-2"/>
        </w:rPr>
      </w:pPr>
      <w:r w:rsidRPr="00E81A66">
        <w:rPr>
          <w:spacing w:val="-2"/>
        </w:rPr>
        <w:t>Rates of return do not differ by asset by wealth group in the model. Because wealthier people are more likely to have a larger share of their wealth in types of ‘other assets’ earning higher rates of return (like equities) rather than non</w:t>
      </w:r>
      <w:r w:rsidRPr="00E81A66">
        <w:rPr>
          <w:spacing w:val="-2"/>
        </w:rPr>
        <w:noBreakHyphen/>
        <w:t xml:space="preserve">appreciating assets (like vehicles), relative wealth inequality could be higher than projected (wealthier people accumulate wealth at a higher rate in other assets). Drawing on the Nekoei and Seim </w:t>
      </w:r>
      <w:r w:rsidRPr="00E81A66">
        <w:rPr>
          <w:spacing w:val="-2"/>
        </w:rPr>
        <w:fldChar w:fldCharType="begin"/>
      </w:r>
      <w:r w:rsidR="0047772E">
        <w:rPr>
          <w:spacing w:val="-2"/>
        </w:rPr>
        <w:instrText xml:space="preserve"> ADDIN ZOTERO_ITEM CSL_CITATION {"citationID":"a1fp3b493gi","properties":{"formattedCitation":"(2019)","plainCitation":"(2019)","noteIndex":0},"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suppress-author":true}],"schema":"https://github.com/citation-style-language/schema/raw/master/csl-citation.json"} </w:instrText>
      </w:r>
      <w:r w:rsidRPr="00E81A66">
        <w:rPr>
          <w:spacing w:val="-2"/>
        </w:rPr>
        <w:fldChar w:fldCharType="separate"/>
      </w:r>
      <w:r w:rsidRPr="00E81A66">
        <w:rPr>
          <w:spacing w:val="-2"/>
          <w:szCs w:val="24"/>
        </w:rPr>
        <w:t>(2019)</w:t>
      </w:r>
      <w:r w:rsidRPr="00E81A66">
        <w:rPr>
          <w:spacing w:val="-2"/>
        </w:rPr>
        <w:fldChar w:fldCharType="end"/>
      </w:r>
      <w:r w:rsidRPr="00E81A66">
        <w:rPr>
          <w:spacing w:val="-2"/>
        </w:rPr>
        <w:t xml:space="preserve"> framework (chapter 3, box 3.1), this means that wealth transfers may be found to have a greater equalising effect because, for a given size of wealth transfer, they will be an even larger share of existing wealth for less wealthy people and a smaller share for wealthier people, all else equal. While this is not examined directly, such results are seen in an alternate modelled scenario that uses historical rates of return (section C.4), where those who have more wealth in housing and superannuation (who tend to be among the wealthier cohorts) benefit from higher rates of return than less wealthy cohorts (who rely more on other assets).</w:t>
      </w:r>
    </w:p>
    <w:p w14:paraId="74AE5EF7" w14:textId="77777777" w:rsidR="00767353" w:rsidRDefault="00767353" w:rsidP="00767353">
      <w:pPr>
        <w:pStyle w:val="Heading3"/>
      </w:pPr>
      <w:r>
        <w:t>Housing wealth</w:t>
      </w:r>
    </w:p>
    <w:p w14:paraId="607E329F" w14:textId="77777777" w:rsidR="00767353" w:rsidRDefault="00767353" w:rsidP="00767353">
      <w:pPr>
        <w:pStyle w:val="BodyText"/>
      </w:pPr>
      <w:r>
        <w:t>As individuals are the unit of analysis in the model (section C.1), household</w:t>
      </w:r>
      <w:r>
        <w:noBreakHyphen/>
        <w:t>level housing wealth (available in HILDA) had to be attributed to individuals. These estimates of individual housing wealth were subsequently used in estimations of the housing</w:t>
      </w:r>
      <w:r>
        <w:noBreakHyphen/>
        <w:t xml:space="preserve">related parameters in the model, described below. The sensitivity of some of these parameter assumptions was explored in scenario analysis (section C.4). </w:t>
      </w:r>
    </w:p>
    <w:p w14:paraId="6468F891" w14:textId="77777777" w:rsidR="00767353" w:rsidRDefault="00767353" w:rsidP="00767353">
      <w:pPr>
        <w:pStyle w:val="Heading4"/>
      </w:pPr>
      <w:r>
        <w:t>Transitions into home ownership</w:t>
      </w:r>
    </w:p>
    <w:p w14:paraId="2A14C7B7" w14:textId="0C6653C7" w:rsidR="00767353" w:rsidRDefault="00767353" w:rsidP="00767353">
      <w:pPr>
        <w:pStyle w:val="BodyText"/>
      </w:pPr>
      <w:r>
        <w:t>The probability of non</w:t>
      </w:r>
      <w:r>
        <w:noBreakHyphen/>
        <w:t>homeowners transitioning into home ownership was estimated using HILDA data. First, individual home ownership rates for each age and income group were averaged over the HILDA waves containing wealth data (five waves from 2002 to 2018). These rates were smoothed across age.</w:t>
      </w:r>
      <w:r w:rsidRPr="00691E8B">
        <w:rPr>
          <w:rStyle w:val="FootnoteReference"/>
        </w:rPr>
        <w:footnoteReference w:id="71"/>
      </w:r>
      <w:r>
        <w:t xml:space="preserve"> Within each income group, an implied rate of entry into home ownership at each age was calculated such that it would produce the observed home ownership rates at the next age up. These estimates were used to calculate five</w:t>
      </w:r>
      <w:r>
        <w:noBreakHyphen/>
        <w:t xml:space="preserve">year rolling average rates of entry into home ownership (similar to the rolling mortality rate </w:t>
      </w:r>
      <w:r>
        <w:lastRenderedPageBreak/>
        <w:t xml:space="preserve">described above). It was further assumed that only cohorts aged 15–54 were able to transition into home ownership, which captures most transitions. ABS data suggests that about 95 per cent of first home buyers are under the age of 55 </w:t>
      </w:r>
      <w:r>
        <w:fldChar w:fldCharType="begin"/>
      </w:r>
      <w:r w:rsidR="0047772E">
        <w:instrText xml:space="preserve"> ADDIN ZOTERO_ITEM CSL_CITATION {"citationID":"9537M8av","properties":{"formattedCitation":"(ABS\\uc0\\u160{}2019a, table 9.5)","plainCitation":"(ABS 2019a, table 9.5)","noteIndex":0},"citationItems":[{"id":1958,"uris":["http://zotero.org/groups/2714158/items/K9KVNCMS"],"uri":["http://zotero.org/groups/2714158/items/K9KVNCMS"],"itemData":{"id":1958,"type":"webpage","container-title":"Cat. no. 4130.0","title":"Housing Occupancy and Costs, 2017-18 Financial Year","URL":"https://www.abs.gov.au/statistics/people/housing/housing-occupancy-and-costs/2017-18","author":[{"literal":"Australian Bureau of Statistics"}],"translator":[{"literal":"ABS"}],"accessed":{"date-parts":[["2021",6,28]]},"issued":{"date-parts":[["2019"]]}},"suffix":", table 9.5"}],"schema":"https://github.com/citation-style-language/schema/raw/master/csl-citation.json"} </w:instrText>
      </w:r>
      <w:r>
        <w:fldChar w:fldCharType="separate"/>
      </w:r>
      <w:r w:rsidR="00D02137" w:rsidRPr="00D02137">
        <w:rPr>
          <w:rFonts w:ascii="Arial" w:hAnsi="Arial" w:cs="Arial"/>
          <w:szCs w:val="24"/>
        </w:rPr>
        <w:t>(ABS 2019a, table 9.5)</w:t>
      </w:r>
      <w:r>
        <w:fldChar w:fldCharType="end"/>
      </w:r>
      <w:r>
        <w:t>.</w:t>
      </w:r>
    </w:p>
    <w:p w14:paraId="7A3E86AD" w14:textId="77777777" w:rsidR="00767353" w:rsidRDefault="00767353" w:rsidP="00767353">
      <w:pPr>
        <w:pStyle w:val="BodyText"/>
      </w:pPr>
      <w:r>
        <w:t>T</w:t>
      </w:r>
      <w:r w:rsidDel="00E14655">
        <w:t>ransforming household wealth into</w:t>
      </w:r>
      <w:r>
        <w:t xml:space="preserve"> individual wealth produces</w:t>
      </w:r>
      <w:r w:rsidDel="00E14655">
        <w:t xml:space="preserve"> a </w:t>
      </w:r>
      <w:r>
        <w:t>potentially counterintuitive result. While one might expect to see an increasing relationship between income and the probability of transitioning into home ownership at the household level, this relationship is not clear at an individual level. This may be because decisions about home ownership, and wealth in general, are made at the household level but there is heterogeneity in income among members of households. Therefore a low</w:t>
      </w:r>
      <w:r>
        <w:noBreakHyphen/>
        <w:t>income member of a couple may have higher housing wealth than implied by their own income because they have a partner with a much higher income, who is able to afford a house. Furthermore, working age people in the lowest income quintile may seemingly be outliers in that they only have low or negative income temporarily due to poor business income or a break in employment, but were otherwise able to afford a home.</w:t>
      </w:r>
    </w:p>
    <w:p w14:paraId="4BC19AD3" w14:textId="393E6B0D" w:rsidR="00767353" w:rsidRDefault="00767353" w:rsidP="00767353">
      <w:pPr>
        <w:pStyle w:val="BodyText"/>
      </w:pPr>
      <w:r>
        <w:t xml:space="preserve">The model allows cohorts that have received an inheritance to have a higher probability of entry into home ownership. The estimates described above on home ownership transitions excluded people in the sample who did not have living parents and were assumed to have already received an inheritance. The increased probabilities of entry into home ownership in the model were based on estimates in an Australian study (using HILDA) that found that receiving an inheritance was associated with a 3.7 percentage point higher probability of being a homeowner for people aged 25–45, and a 2.1 percentage point higher probability for people aged 25–65 </w:t>
      </w:r>
      <w:r>
        <w:fldChar w:fldCharType="begin"/>
      </w:r>
      <w:r w:rsidR="0047772E">
        <w:instrText xml:space="preserve"> ADDIN ZOTERO_ITEM CSL_CITATION {"citationID":"wF6ZqNqh","properties":{"formattedCitation":"(Cigdem and Whelan\\uc0\\u160{}2017)","plainCitation":"(Cigdem and Whelan 2017)","noteIndex":0},"citationItems":[{"id":1561,"uris":["http://zotero.org/groups/2714158/items/YFRPTTTW"],"uri":["http://zotero.org/groups/2714158/items/YFRPTTTW"],"itemData":{"id":1561,"type":"article-journal","container-title":"International Journal of Housing Policy","issue":"2","page":"227–248","source":"Google Scholar","title":"Intergenerational transfers and housing tenure–Australian evidence","volume":"17","author":[{"family":"Cigdem","given":"Melek"},{"family":"Whelan","given":"Stephen"}],"issued":{"date-parts":[["2017"]]}}}],"schema":"https://github.com/citation-style-language/schema/raw/master/csl-citation.json"} </w:instrText>
      </w:r>
      <w:r>
        <w:fldChar w:fldCharType="separate"/>
      </w:r>
      <w:r w:rsidRPr="006750DF">
        <w:rPr>
          <w:szCs w:val="24"/>
        </w:rPr>
        <w:t>(Cigdem and Whelan 2017)</w:t>
      </w:r>
      <w:r>
        <w:fldChar w:fldCharType="end"/>
      </w:r>
      <w:r>
        <w:t>. These estimates informed the assumption in the model of a 3.7 percentage point higher rate of entry into home ownership for cohorts aged 25–44 and 1 percentage point higher rate for cohorts aged 45–54.</w:t>
      </w:r>
    </w:p>
    <w:p w14:paraId="5D5D73C8" w14:textId="77777777" w:rsidR="00767353" w:rsidRDefault="00767353" w:rsidP="00767353">
      <w:pPr>
        <w:pStyle w:val="BodyText"/>
      </w:pPr>
      <w:r>
        <w:t xml:space="preserve">Applying these home ownership transition probabilities produced similar projected distributions of home ownership within age groups over time </w:t>
      </w:r>
      <w:r w:rsidRPr="00790E3E">
        <w:t>(figure </w:t>
      </w:r>
      <w:r w:rsidRPr="00AB1D7C">
        <w:t>C.6</w:t>
      </w:r>
      <w:r w:rsidRPr="00790E3E">
        <w:t>). However</w:t>
      </w:r>
      <w:r>
        <w:t xml:space="preserve">, home ownership rates have been falling among younger people in recent decades </w:t>
      </w:r>
      <w:r w:rsidRPr="008C1A32">
        <w:t>(</w:t>
      </w:r>
      <w:r w:rsidRPr="00AB1D7C">
        <w:t>chapter 3</w:t>
      </w:r>
      <w:r w:rsidRPr="008C1A32">
        <w:t>).</w:t>
      </w:r>
      <w:r>
        <w:t xml:space="preserve"> Different assumptions about home ownership rates are examined through scenario analysis (section C.4). </w:t>
      </w:r>
    </w:p>
    <w:p w14:paraId="652FA568" w14:textId="2FB2CEA4" w:rsidR="00767353" w:rsidRPr="00146382" w:rsidRDefault="00767353" w:rsidP="00767353">
      <w:pPr>
        <w:pStyle w:val="FigureTableHeading"/>
        <w:spacing w:after="120"/>
      </w:pPr>
      <w:r>
        <w:t xml:space="preserve">Figure </w:t>
      </w:r>
      <w:fldSimple w:instr=" STYLEREF  \s Heading-Appendix ">
        <w:r w:rsidR="00F3386D">
          <w:rPr>
            <w:noProof/>
          </w:rPr>
          <w:t>C</w:t>
        </w:r>
      </w:fldSimple>
      <w:r>
        <w:t>.</w:t>
      </w:r>
      <w:r w:rsidR="00373EBD">
        <w:t>6</w:t>
      </w:r>
      <w:r>
        <w:rPr>
          <w:noProof/>
        </w:rPr>
        <w:t xml:space="preserve"> </w:t>
      </w:r>
      <w:r>
        <w:t>– Projected home ownership rates by age group</w:t>
      </w:r>
    </w:p>
    <w:p w14:paraId="6FE97A3E" w14:textId="77777777" w:rsidR="00767353" w:rsidRPr="005550A0" w:rsidRDefault="00767353" w:rsidP="00767353">
      <w:pPr>
        <w:pStyle w:val="BodyText"/>
      </w:pPr>
      <w:r w:rsidRPr="003A1B60">
        <w:rPr>
          <w:noProof/>
        </w:rPr>
        <w:drawing>
          <wp:inline distT="0" distB="0" distL="0" distR="0" wp14:anchorId="64CC6AC0" wp14:editId="09BBABFB">
            <wp:extent cx="5969000" cy="3105150"/>
            <wp:effectExtent l="0" t="0" r="0" b="0"/>
            <wp:docPr id="84" name="Picture 84" descr="Figure C.6. This chart shows modelled home ownership rates by age group in 2018, 2028, 2038 and 2048. Home ownership rates within each age group are similar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C.6. This chart shows modelled home ownership rates by age group in 2018, 2028, 2038 and 2048. Home ownership rates within each age group are similar over tim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69000" cy="3105150"/>
                    </a:xfrm>
                    <a:prstGeom prst="rect">
                      <a:avLst/>
                    </a:prstGeom>
                    <a:noFill/>
                    <a:ln>
                      <a:noFill/>
                    </a:ln>
                  </pic:spPr>
                </pic:pic>
              </a:graphicData>
            </a:graphic>
          </wp:inline>
        </w:drawing>
      </w:r>
    </w:p>
    <w:p w14:paraId="6B039934" w14:textId="77777777" w:rsidR="00767353" w:rsidRDefault="00767353" w:rsidP="00767353">
      <w:pPr>
        <w:pStyle w:val="Source"/>
      </w:pPr>
      <w:r w:rsidRPr="00696447">
        <w:t xml:space="preserve">Source: </w:t>
      </w:r>
      <w:r>
        <w:t>Productivity Commission estimates from cohort simulation model.</w:t>
      </w:r>
    </w:p>
    <w:p w14:paraId="04194353" w14:textId="77777777" w:rsidR="00767353" w:rsidRDefault="00767353" w:rsidP="00767353">
      <w:pPr>
        <w:pStyle w:val="Heading4"/>
      </w:pPr>
      <w:r>
        <w:lastRenderedPageBreak/>
        <w:t>Housing values, debt, upsizing and downsizing</w:t>
      </w:r>
    </w:p>
    <w:p w14:paraId="58387C20" w14:textId="77777777" w:rsidR="00767353" w:rsidRPr="00D236C7" w:rsidRDefault="00767353" w:rsidP="00767353">
      <w:pPr>
        <w:pStyle w:val="BodyText"/>
      </w:pPr>
      <w:r>
        <w:t>Survey data on the value of housing at purchase in HILDA is not straightforward to use. Questions about the year housing was purchased and the price are only included in the survey every four years, and some survey participants report inconsistent values in different years. This information must also be apportioned to individuals in the model, and matched to available data on incomes and housing debts in previous waves of HILDA in order to calculate certain model parameters. This section provides an overview of parameter calculations, with specific details available in the R code published on the Commission’s website.</w:t>
      </w:r>
    </w:p>
    <w:p w14:paraId="09FEC194" w14:textId="0EAEB8D6" w:rsidR="00767353" w:rsidRDefault="00767353" w:rsidP="00767353">
      <w:pPr>
        <w:pStyle w:val="BodyText"/>
      </w:pPr>
      <w:r>
        <w:t xml:space="preserve">The value of housing assets at entry into home ownership was estimated by income group using available data on home purchase prices by likely first home buyers. These estimates ranged from about $252 000 to $332 000 in 2018 dollars for individuals across the five income groups. Similar to the home ownership transition probabilities discussed above, estimating individual values meant that there was no </w:t>
      </w:r>
      <w:r w:rsidDel="00E14655">
        <w:t xml:space="preserve">longer a clear increasing </w:t>
      </w:r>
      <w:r>
        <w:t>relationship between income and these estimates. The estimated values appear broadly consistent with the reported median dwelling value for first home buyer households of $500 000 in 2017</w:t>
      </w:r>
      <w:r>
        <w:noBreakHyphen/>
        <w:t xml:space="preserve">18 (noting that most were couple households) </w:t>
      </w:r>
      <w:r>
        <w:fldChar w:fldCharType="begin"/>
      </w:r>
      <w:r w:rsidR="0047772E">
        <w:instrText xml:space="preserve"> ADDIN ZOTERO_ITEM CSL_CITATION {"citationID":"a2ecq86rj0e","properties":{"formattedCitation":"(ABS\\uc0\\u160{}2019a, table 9.4)","plainCitation":"(ABS 2019a, table 9.4)","noteIndex":0},"citationItems":[{"id":1958,"uris":["http://zotero.org/groups/2714158/items/K9KVNCMS"],"uri":["http://zotero.org/groups/2714158/items/K9KVNCMS"],"itemData":{"id":1958,"type":"webpage","container-title":"Cat. no. 4130.0","title":"Housing Occupancy and Costs, 2017-18 Financial Year","URL":"https://www.abs.gov.au/statistics/people/housing/housing-occupancy-and-costs/2017-18","author":[{"literal":"Australian Bureau of Statistics"}],"translator":[{"literal":"ABS"}],"accessed":{"date-parts":[["2021",6,28]]},"issued":{"date-parts":[["2019"]]}},"suffix":", table 9.4"}],"schema":"https://github.com/citation-style-language/schema/raw/master/csl-citation.json"} </w:instrText>
      </w:r>
      <w:r>
        <w:fldChar w:fldCharType="separate"/>
      </w:r>
      <w:r w:rsidR="006D627C" w:rsidRPr="006D627C">
        <w:rPr>
          <w:rFonts w:ascii="Arial" w:hAnsi="Arial" w:cs="Arial"/>
          <w:szCs w:val="24"/>
        </w:rPr>
        <w:t>(ABS 2019a, table 9.4)</w:t>
      </w:r>
      <w:r>
        <w:fldChar w:fldCharType="end"/>
      </w:r>
      <w:r>
        <w:t>. The estimated housing asset values were then assumed to increase with income growth rates in the model rather than the rate of return on housing in all scenarios unless explicitly stated. This reflects the fact that first home buyers typically buy cheaper than average housing — for example, the median dwelling value for first home buyers in 2017</w:t>
      </w:r>
      <w:r>
        <w:noBreakHyphen/>
        <w:t xml:space="preserve">18 was about 20 per cent lower than other buyers </w:t>
      </w:r>
      <w:r>
        <w:fldChar w:fldCharType="begin"/>
      </w:r>
      <w:r w:rsidR="0047772E">
        <w:instrText xml:space="preserve"> ADDIN ZOTERO_ITEM CSL_CITATION {"citationID":"a1hcb65n431","properties":{"formattedCitation":"(ABS\\uc0\\u160{}2019a, table 9.4)","plainCitation":"(ABS 2019a, table 9.4)","noteIndex":0},"citationItems":[{"id":1958,"uris":["http://zotero.org/groups/2714158/items/K9KVNCMS"],"uri":["http://zotero.org/groups/2714158/items/K9KVNCMS"],"itemData":{"id":1958,"type":"webpage","container-title":"Cat. no. 4130.0","title":"Housing Occupancy and Costs, 2017-18 Financial Year","URL":"https://www.abs.gov.au/statistics/people/housing/housing-occupancy-and-costs/2017-18","author":[{"literal":"Australian Bureau of Statistics"}],"translator":[{"literal":"ABS"}],"accessed":{"date-parts":[["2021",6,28]]},"issued":{"date-parts":[["2019"]]}},"suffix":", table 9.4"}],"schema":"https://github.com/citation-style-language/schema/raw/master/csl-citation.json"} </w:instrText>
      </w:r>
      <w:r>
        <w:fldChar w:fldCharType="separate"/>
      </w:r>
      <w:r w:rsidR="006D627C" w:rsidRPr="006D627C">
        <w:rPr>
          <w:rFonts w:ascii="Arial" w:hAnsi="Arial" w:cs="Arial"/>
          <w:szCs w:val="24"/>
        </w:rPr>
        <w:t>(ABS 2019a, table 9.4)</w:t>
      </w:r>
      <w:r>
        <w:fldChar w:fldCharType="end"/>
      </w:r>
      <w:r>
        <w:t xml:space="preserve">. It is also assumed that there is available stock of housing at this cheaper price level to meet demand from first home buyers, even in the alternative scenarios where housing rates of return are higher than income growth. </w:t>
      </w:r>
    </w:p>
    <w:p w14:paraId="0D54F81A" w14:textId="77777777" w:rsidR="00767353" w:rsidRDefault="00767353" w:rsidP="00767353">
      <w:pPr>
        <w:pStyle w:val="BodyText"/>
      </w:pPr>
      <w:r>
        <w:t>Housing debt to asset ratios at entry into home ownership were estimated by age and income group, using HILDA data on house values and debt for likely first home buyers immediately after their first home purchase. These estimates tended to be highest for younger age groups and were lower for older first home buyers. For example, in the third income quintile the estimated debt to asset ratio was about 75 per cent for the 20–24 age group, and about 40 per cent for the 50–54 age group. The rate of debt reduction was also estimated by age group, using HILDA data on mortgage payments and estimated complete repayments as a percentage of housing debt. These estimates were relatively low for younger age groups, at about 8 per cent of housing debt, and increased at age groups older than 60, to about a third of housing debt.</w:t>
      </w:r>
    </w:p>
    <w:p w14:paraId="0FBEACCE" w14:textId="3C428125" w:rsidR="00767353" w:rsidRPr="00EF41A6" w:rsidRDefault="00767353" w:rsidP="00767353">
      <w:pPr>
        <w:pStyle w:val="BodyText"/>
      </w:pPr>
      <w:r>
        <w:t xml:space="preserve">Rates of upsizing and downsizing as a proportion of existing housing assets were estimated by age group, using HILDA data on </w:t>
      </w:r>
      <w:r w:rsidRPr="00DF548F">
        <w:t>home purchases</w:t>
      </w:r>
      <w:r>
        <w:t xml:space="preserve"> for people who were likely not first home buyers</w:t>
      </w:r>
      <w:r w:rsidRPr="00DF548F">
        <w:t xml:space="preserve">. </w:t>
      </w:r>
      <w:r>
        <w:t xml:space="preserve">People aged under 70 tended to be net upsizers, with homeowners in the 30–‍34 age group estimated to increase their housing assets by close to 5 per cent annually due to new home purchases, given historical rates of return. People aged 70 and over tended to be net downsizers, with rates of downsizing (as a proportion of existing housing assets) at less than 0.5 per cent. Recent high housing price growth likely affects the magnitude of change in housing wealth in HILDA when people purchase a new home. CoreLogic </w:t>
      </w:r>
      <w:r>
        <w:fldChar w:fldCharType="begin"/>
      </w:r>
      <w:r w:rsidR="0047772E">
        <w:instrText xml:space="preserve"> ADDIN ZOTERO_ITEM CSL_CITATION {"citationID":"a1o4iaotr9t","properties":{"formattedCitation":"(2021)","plainCitation":"(2021)","noteIndex":0},"citationItems":[{"id":3158,"uris":["http://zotero.org/groups/2714158/items/76DXQSEC"],"uri":["http://zotero.org/groups/2714158/items/76DXQSEC"],"itemData":{"id":3158,"type":"report","genre":"Hedonic Home Value Index","title":"Corelogic: Australia’s Housing Boom Rolls on with National Home Values Lifting Another 2.2% in May","author":[{"literal":"CoreLogic"}],"issued":{"date-parts":[["2021"]]}},"suppress-author":true}],"schema":"https://github.com/citation-style-language/schema/raw/master/csl-citation.json"} </w:instrText>
      </w:r>
      <w:r>
        <w:fldChar w:fldCharType="separate"/>
      </w:r>
      <w:r w:rsidRPr="00C360B1">
        <w:rPr>
          <w:szCs w:val="24"/>
        </w:rPr>
        <w:t>(2021)</w:t>
      </w:r>
      <w:r>
        <w:fldChar w:fldCharType="end"/>
      </w:r>
      <w:r>
        <w:t xml:space="preserve"> analysis found that properties in the upper quartile of the housing market increased in value by a higher percentage than those in the lower quartile over the past decade. This means that people may be paying more on average to upsize their home if prices grow quickly than if they grow slowly. Rates of upsizing </w:t>
      </w:r>
      <w:r w:rsidRPr="00B27D3F">
        <w:t xml:space="preserve">in the model </w:t>
      </w:r>
      <w:r>
        <w:t>were adjusted in proportion to the difference in historical housing rates of return and the model’s assumed rates of return. Upsizing was also assumed to come with additional debt, at the same housing debt to asset ratio as new entrants into home ownership. Transaction costs and additional investment housing were not modelled.</w:t>
      </w:r>
    </w:p>
    <w:p w14:paraId="20F80685" w14:textId="77777777" w:rsidR="00767353" w:rsidRDefault="00767353" w:rsidP="00767353">
      <w:pPr>
        <w:pStyle w:val="Heading3"/>
      </w:pPr>
      <w:r>
        <w:t>Superannuation</w:t>
      </w:r>
    </w:p>
    <w:p w14:paraId="661EF22F" w14:textId="4E22877C" w:rsidR="00767353" w:rsidRDefault="00767353" w:rsidP="00767353">
      <w:pPr>
        <w:pStyle w:val="BodyText"/>
      </w:pPr>
      <w:r>
        <w:t xml:space="preserve">Superannuation contributions in the model were assumed to be equal to the superannuation guarantee rate as a percentage of projected wage income, less contributions tax of 15 per cent. The superannuation </w:t>
      </w:r>
      <w:r>
        <w:lastRenderedPageBreak/>
        <w:t xml:space="preserve">guarantee rate was 9.5 per cent until 2021, with a gradual planned increase to 12 per cent between 2022 and 2026 </w:t>
      </w:r>
      <w:r>
        <w:fldChar w:fldCharType="begin"/>
      </w:r>
      <w:r w:rsidR="0047772E">
        <w:instrText xml:space="preserve"> ADDIN ZOTERO_ITEM CSL_CITATION {"citationID":"K9GgnIts","properties":{"formattedCitation":"(ATO\\uc0\\u160{}2021c)","plainCitation":"(ATO 2021c)","noteIndex":0},"citationItems":[{"id":2992,"uris":["http://zotero.org/groups/2714158/items/YJWKZ68U"],"uri":["http://zotero.org/groups/2714158/items/YJWKZ68U"],"itemData":{"id":2992,"type":"webpage","abstract":"These are the key rates and thresholds that apply in relation to contributions and benefits, employment termination payments, super guarantee and co-contributions.","language":"en-AU","note":"Last Modified: 2021-07-30\npublisher: Australian Taxation Office","title":"Key Superannuation Rates and Thresholds","URL":"https://www.ato.gov.au/rates/key-superannuation-rates-and-thresholds/?anchor=Superguaranteepercentage","author":[{"literal":"Australian Taxation Office"}],"translator":[{"literal":"ATO"}],"accessed":{"date-parts":[["2021",8,4]]},"issued":{"date-parts":[["2021"]]}}}],"schema":"https://github.com/citation-style-language/schema/raw/master/csl-citation.json"} </w:instrText>
      </w:r>
      <w:r>
        <w:fldChar w:fldCharType="separate"/>
      </w:r>
      <w:r w:rsidRPr="00673873">
        <w:rPr>
          <w:szCs w:val="24"/>
        </w:rPr>
        <w:t>(ATO 2021c)</w:t>
      </w:r>
      <w:r>
        <w:fldChar w:fldCharType="end"/>
      </w:r>
      <w:r>
        <w:t xml:space="preserve">. It was assumed that the rate stays at 12 per cent for the rest of the projection period. </w:t>
      </w:r>
    </w:p>
    <w:p w14:paraId="4C3DD50F" w14:textId="61E4EBC0" w:rsidR="00767353" w:rsidRDefault="00767353" w:rsidP="00767353">
      <w:pPr>
        <w:pStyle w:val="BodyText"/>
      </w:pPr>
      <w:r>
        <w:t xml:space="preserve">Superannuation balances were assumed to be drawn down for cohorts aged 65–69 and older at the legislated minimum rates, which range from 5 per cent for those aged 65–74 to 14 per cent for those aged 95 and over </w:t>
      </w:r>
      <w:r>
        <w:fldChar w:fldCharType="begin"/>
      </w:r>
      <w:r w:rsidR="0047772E">
        <w:instrText xml:space="preserve"> ADDIN ZOTERO_ITEM CSL_CITATION {"citationID":"9jqDemMh","properties":{"formattedCitation":"(ATO\\uc0\\u160{}2021e)","plainCitation":"(ATO 2021e)","noteIndex":0},"citationItems":[{"id":2991,"uris":["http://zotero.org/groups/2714158/items/HYG8ZHY7"],"uri":["http://zotero.org/groups/2714158/items/HYG8ZHY7"],"itemData":{"id":2991,"type":"webpage","abstract":"These are the key rates and thresholds that apply in relation to contributions and benefits, employment termination payments, super guarantee and co-contributions.","language":"en-AU","note":"Last Modified: 2021-07-30\npublisher: Australian Taxation Office","title":"Minimum Annual Payments for Super Income Streams","URL":"https://www.ato.gov.au/Rates/Key-superannuation-rates-and-thresholds/?page=8","author":[{"literal":"Australian Taxation Office"}],"translator":[{"literal":"ATO"}],"accessed":{"date-parts":[["2021",8,4]]},"issued":{"date-parts":[["2021"]]}}}],"schema":"https://github.com/citation-style-language/schema/raw/master/csl-citation.json"} </w:instrText>
      </w:r>
      <w:r>
        <w:fldChar w:fldCharType="separate"/>
      </w:r>
      <w:r w:rsidRPr="00860805">
        <w:rPr>
          <w:szCs w:val="24"/>
        </w:rPr>
        <w:t>(ATO 2021e)</w:t>
      </w:r>
      <w:r>
        <w:fldChar w:fldCharType="end"/>
      </w:r>
      <w:r>
        <w:t xml:space="preserve">. Cohorts that had a combined net income and superannuation balance of less than $20 000 in 2018 dollars in a given year were assumed to draw down all their superannuation as a lump sum. This reflects research that shows that people who withdraw their superannuation as a lump sum tend to have low balances </w:t>
      </w:r>
      <w:r>
        <w:fldChar w:fldCharType="begin"/>
      </w:r>
      <w:r w:rsidR="0047772E">
        <w:instrText xml:space="preserve"> ADDIN ZOTERO_ITEM CSL_CITATION {"citationID":"ai09dvltcd","properties":{"formattedCitation":"(PC\\uc0\\u160{}2015, p.\\uc0\\u160{}16)","plainCitation":"(PC 2015, p. 16)","noteIndex":0},"citationItems":[{"id":2564,"uris":["http://zotero.org/groups/164861/items/VJ3FD6AB"],"uri":["http://zotero.org/groups/164861/items/VJ3FD6AB"],"itemData":{"id":2564,"type":"report","event-place":"Canberra","genre":"Commission Research Paper","publisher-place":"Canberra","title":"Superannuation Policy for Post-Retirement","URL":"http://www.pc.gov.au/research/completed/superannuation-post-retirement","author":[{"family":"Productivity Commission","given":""}],"translator":[{"family":"PC","given":""}],"issued":{"date-parts":[["2015"]]}},"locator":"16"}],"schema":"https://github.com/citation-style-language/schema/raw/master/csl-citation.json"} </w:instrText>
      </w:r>
      <w:r>
        <w:fldChar w:fldCharType="separate"/>
      </w:r>
      <w:r w:rsidRPr="007916F0">
        <w:rPr>
          <w:szCs w:val="24"/>
        </w:rPr>
        <w:t>(PC 2015, p. 16)</w:t>
      </w:r>
      <w:r>
        <w:fldChar w:fldCharType="end"/>
      </w:r>
      <w:r>
        <w:t>.</w:t>
      </w:r>
    </w:p>
    <w:p w14:paraId="7B236E12" w14:textId="77777777" w:rsidR="00767353" w:rsidRDefault="00767353" w:rsidP="00767353">
      <w:pPr>
        <w:pStyle w:val="BodyText"/>
      </w:pPr>
      <w:r>
        <w:t>Voluntary superannuation contributions and other drawdowns above minimum rates were not modelled.</w:t>
      </w:r>
      <w:r w:rsidRPr="00175F61">
        <w:t xml:space="preserve"> </w:t>
      </w:r>
      <w:r>
        <w:t>The temporary reduction in minimum drawdown rates due to COVID</w:t>
      </w:r>
      <w:r>
        <w:noBreakHyphen/>
        <w:t>19 was also not incorporated as the model has not been designed to capture the impacts of COVID</w:t>
      </w:r>
      <w:r>
        <w:noBreakHyphen/>
        <w:t xml:space="preserve">19. </w:t>
      </w:r>
    </w:p>
    <w:p w14:paraId="1942AFA3" w14:textId="77777777" w:rsidR="00767353" w:rsidRDefault="00767353" w:rsidP="00767353">
      <w:pPr>
        <w:pStyle w:val="Heading3"/>
      </w:pPr>
      <w:r>
        <w:t>Other assets</w:t>
      </w:r>
    </w:p>
    <w:p w14:paraId="2E58C6E0" w14:textId="6DB666FD" w:rsidR="00767353" w:rsidRDefault="00767353" w:rsidP="00767353">
      <w:pPr>
        <w:pStyle w:val="BodyText"/>
      </w:pPr>
      <w:r>
        <w:t>Saving rates from income into other assets were estimated using 2015</w:t>
      </w:r>
      <w:r>
        <w:noBreakHyphen/>
        <w:t xml:space="preserve">16 Household Expenditure Survey (HES) data </w:t>
      </w:r>
      <w:r>
        <w:fldChar w:fldCharType="begin"/>
      </w:r>
      <w:r w:rsidR="0047772E">
        <w:instrText xml:space="preserve"> ADDIN ZOTERO_ITEM CSL_CITATION {"citationID":"NH6BPgct","properties":{"formattedCitation":"(ABS\\uc0\\u160{}2017a)","plainCitation":"(ABS 2017a)","noteIndex":0},"citationItems":[{"id":3010,"uris":["http://zotero.org/groups/2714158/items/JL4G5XWD"],"uri":["http://zotero.org/groups/2714158/items/JL4G5XWD"],"itemData":{"id":3010,"type":"webpage","abstract":"This is a summary from publication Data Items which contains key figures, key points and notes from the publication.","language":"en","title":"6540.0 - Microdata: Household Expenditure, Income and Housing, 2015-16","URL":"https://www.abs.gov.au/ausstats/abs@.nsf/Latestproducts/6540.0Main%20Features42015-16?opendocument&amp;tabname=Summary&amp;prodno=6540.0&amp;issue=2015-16&amp;num=&amp;view=","author":[{"literal":"Australian Bureau of Statistics"}],"translator":[{"literal":"ABS"}],"accessed":{"date-parts":[["2021",7,30]]},"issued":{"date-parts":[["2017"]]}}}],"schema":"https://github.com/citation-style-language/schema/raw/master/csl-citation.json"} </w:instrText>
      </w:r>
      <w:r>
        <w:fldChar w:fldCharType="separate"/>
      </w:r>
      <w:r w:rsidRPr="00927409">
        <w:rPr>
          <w:szCs w:val="24"/>
        </w:rPr>
        <w:t>(ABS 2017a)</w:t>
      </w:r>
      <w:r>
        <w:fldChar w:fldCharType="end"/>
      </w:r>
      <w:r>
        <w:t xml:space="preserve"> rather than HILDA because the HES contains more categories of expenditure </w:t>
      </w:r>
      <w:r>
        <w:fldChar w:fldCharType="begin"/>
      </w:r>
      <w:r w:rsidR="0047772E">
        <w:instrText xml:space="preserve"> ADDIN ZOTERO_ITEM CSL_CITATION {"citationID":"CUCQUfJw","properties":{"formattedCitation":"(Coates and Nolan\\uc0\\u160{}2019)","plainCitation":"(Coates and Nolan 2019)","noteIndex":0},"citationItems":[{"id":2990,"uris":["http://zotero.org/groups/2714158/items/H6PDU3L4"],"uri":["http://zotero.org/groups/2714158/items/H6PDU3L4"],"itemData":{"id":2990,"type":"webpage","abstract":"A case study on why you shouldn't use the Melbourne Institute’s HILDA survey to analyse household spending in Australia. It’s missing half of all household expenditure!","container-title":"Grattan Institute","language":"en-AU","title":"Using the Right Survey to Measure Retiree Spending","URL":"https://grattan.edu.au/news/using-the-right-survey-to-measure-retiree-spending/","author":[{"family":"Coates","given":"Brendan"},{"family":"Nolan","given":"Jonathan"}],"accessed":{"date-parts":[["2021",8,5]]},"issued":{"date-parts":[["2019"]]}}}],"schema":"https://github.com/citation-style-language/schema/raw/master/csl-citation.json"} </w:instrText>
      </w:r>
      <w:r>
        <w:fldChar w:fldCharType="separate"/>
      </w:r>
      <w:r w:rsidRPr="009C7B38">
        <w:rPr>
          <w:szCs w:val="24"/>
        </w:rPr>
        <w:t>(Coates and Nolan 2019)</w:t>
      </w:r>
      <w:r>
        <w:fldChar w:fldCharType="end"/>
      </w:r>
      <w:r>
        <w:t xml:space="preserve">. That said, the HES is not designed to comprehensively measure saving </w:t>
      </w:r>
      <w:r>
        <w:fldChar w:fldCharType="begin"/>
      </w:r>
      <w:r w:rsidR="0047772E">
        <w:instrText xml:space="preserve"> ADDIN ZOTERO_ITEM CSL_CITATION {"citationID":"ACYPRVxu","properties":{"formattedCitation":"(ABS\\uc0\\u160{}2017b)","plainCitation":"(ABS 2017b)","noteIndex":0},"citationItems":[{"id":2989,"uris":["http://zotero.org/groups/2714158/items/RNAU4ED4"],"uri":["http://zotero.org/groups/2714158/items/RNAU4ED4"],"itemData":{"id":2989,"type":"webpage","abstract":"This publication features key information about household spending, income and wealth based on various characteristics","language":"en","title":"Household Expenditure Survey, Australia: Summary of Results Methodology, 2015-16 Financial Year","title-short":"Household Expenditure Survey, Australia","URL":"https://www.abs.gov.au/methodologies/household-expenditure-survey-australia-summary-results-methodology/2015-16","author":[{"literal":"Australian Bureau of Statistics"}],"translator":[{"literal":"ABS"}],"accessed":{"date-parts":[["2021",8,5]]},"issued":{"date-parts":[["2017",9,13]]}}}],"schema":"https://github.com/citation-style-language/schema/raw/master/csl-citation.json"} </w:instrText>
      </w:r>
      <w:r>
        <w:fldChar w:fldCharType="separate"/>
      </w:r>
      <w:r w:rsidRPr="00927409">
        <w:rPr>
          <w:szCs w:val="24"/>
        </w:rPr>
        <w:t>(ABS 2017b)</w:t>
      </w:r>
      <w:r>
        <w:fldChar w:fldCharType="end"/>
      </w:r>
      <w:r>
        <w:t xml:space="preserve">. The ABS stated that measures of income and expenditure in the HES are not classified consistently with the concept of wealth and saving, and there are timing differences between collected data on income and expenditure. Nevertheless, the HES remains the most comprehensive source of income and expenditure data at the micro level in Australia, and has also been used to measure saving in past research </w:t>
      </w:r>
      <w:r>
        <w:fldChar w:fldCharType="begin"/>
      </w:r>
      <w:r w:rsidR="0047772E">
        <w:instrText xml:space="preserve"> ADDIN ZOTERO_ITEM CSL_CITATION {"citationID":"2irP4Nrg","properties":{"formattedCitation":"(for example, Finlay and Price\\uc0\\u160{}2014)","plainCitation":"(for example, Finlay and Price 2014)","noteIndex":0},"citationItems":[{"id":3155,"uris":["http://zotero.org/groups/2714158/items/FAFUCF6G"],"uri":["http://zotero.org/groups/2714158/items/FAFUCF6G"],"itemData":{"id":3155,"type":"report","event-place":"Sydney","genre":"Research Discussion Paper","number":"RDP 2014-03","publisher":"Reserve Bank of Australia","publisher-place":"Sydney","title":"Household Saving in Australia","author":[{"family":"Finlay","given":"Richard"},{"family":"Price","given":"Fiona"}],"issued":{"date-parts":[["2014"]]}},"prefix":"for example, "}],"schema":"https://github.com/citation-style-language/schema/raw/master/csl-citation.json"} </w:instrText>
      </w:r>
      <w:r>
        <w:fldChar w:fldCharType="separate"/>
      </w:r>
      <w:r w:rsidRPr="00A13019">
        <w:rPr>
          <w:szCs w:val="24"/>
        </w:rPr>
        <w:t>(for example, Finlay and Price 2014)</w:t>
      </w:r>
      <w:r>
        <w:fldChar w:fldCharType="end"/>
      </w:r>
      <w:r>
        <w:t xml:space="preserve">. Where possible, total income and expenditure data in the HES have been adjusted to be more consistent with the concepts in the model (for example by excluding superannuation contributions from expenditure, described below). </w:t>
      </w:r>
    </w:p>
    <w:p w14:paraId="1ED23DDE" w14:textId="77777777" w:rsidR="00767353" w:rsidRDefault="00767353" w:rsidP="00767353">
      <w:pPr>
        <w:pStyle w:val="BodyText"/>
        <w:keepNext/>
      </w:pPr>
      <w:r>
        <w:t>Individual saving in other assets as a percentage of post</w:t>
      </w:r>
      <w:r>
        <w:noBreakHyphen/>
        <w:t>tax income was calculated for each age group, income group and homeowner status. The steps involved are summarised as follows.</w:t>
      </w:r>
    </w:p>
    <w:p w14:paraId="029C33DC" w14:textId="77777777" w:rsidR="00767353" w:rsidRPr="00373EBD" w:rsidRDefault="00767353" w:rsidP="00132C71">
      <w:pPr>
        <w:pStyle w:val="ListNumber"/>
        <w:numPr>
          <w:ilvl w:val="0"/>
          <w:numId w:val="39"/>
        </w:numPr>
        <w:rPr>
          <w:spacing w:val="-2"/>
        </w:rPr>
      </w:pPr>
      <w:r w:rsidRPr="00373EBD">
        <w:rPr>
          <w:spacing w:val="-2"/>
        </w:rPr>
        <w:t>Using HES data, total household expenditure (excluding income tax and superannuation contributions) was apportioned to individuals in the household based on their shares of post</w:t>
      </w:r>
      <w:r w:rsidRPr="00373EBD">
        <w:rPr>
          <w:spacing w:val="-2"/>
        </w:rPr>
        <w:noBreakHyphen/>
        <w:t>tax income (excluding superannuation income, interest and dividends for consistency with how income is captured in the model).</w:t>
      </w:r>
    </w:p>
    <w:p w14:paraId="3D7E39F7" w14:textId="77777777" w:rsidR="00767353" w:rsidRPr="007E2CF7" w:rsidRDefault="00767353" w:rsidP="00132C71">
      <w:pPr>
        <w:pStyle w:val="ListNumber"/>
        <w:numPr>
          <w:ilvl w:val="0"/>
          <w:numId w:val="21"/>
        </w:numPr>
        <w:rPr>
          <w:spacing w:val="-6"/>
        </w:rPr>
      </w:pPr>
      <w:r w:rsidRPr="007E2CF7">
        <w:rPr>
          <w:spacing w:val="-6"/>
        </w:rPr>
        <w:t>Saving rates — the shares of post</w:t>
      </w:r>
      <w:r w:rsidRPr="007E2CF7">
        <w:rPr>
          <w:spacing w:val="-6"/>
        </w:rPr>
        <w:noBreakHyphen/>
        <w:t>tax income that were not consumed — were calculated for each individual.</w:t>
      </w:r>
    </w:p>
    <w:p w14:paraId="2E8297AB" w14:textId="77777777" w:rsidR="00767353" w:rsidRPr="00931A26" w:rsidRDefault="00767353" w:rsidP="00132C71">
      <w:pPr>
        <w:pStyle w:val="ListNumber"/>
        <w:numPr>
          <w:ilvl w:val="0"/>
          <w:numId w:val="21"/>
        </w:numPr>
        <w:rPr>
          <w:spacing w:val="-2"/>
        </w:rPr>
      </w:pPr>
      <w:r w:rsidRPr="00931A26">
        <w:rPr>
          <w:spacing w:val="-2"/>
        </w:rPr>
        <w:t>HILDA records incomes for people of all ages, and calculations of income quintiles for the model cohorts described above were based on the whole HILDA population. HES data alone cannot be used to construct income quintiles for the whole population because people aged under 15 are not included in the survey. To make the income quintiles from HES consistent with those constructed using HILDA, the income quintile shares by age group in the initial model population (estimated using HILDA and shown in figure C.3) were applied to the HES population. These income groups were used in the next step.</w:t>
      </w:r>
    </w:p>
    <w:p w14:paraId="63014AEB" w14:textId="77777777" w:rsidR="00767353" w:rsidRDefault="00767353" w:rsidP="00132C71">
      <w:pPr>
        <w:pStyle w:val="ListNumber"/>
        <w:numPr>
          <w:ilvl w:val="0"/>
          <w:numId w:val="21"/>
        </w:numPr>
      </w:pPr>
      <w:r>
        <w:t>Weighted average shares of saved income were calculated by age group, income group and homeowner status. These were used as the saving rates into other assets in the model for cohorts aged 15 and over. Cohorts aged 0–14 that received an income were assumed to not consume any of it, saving all their income in other assets.</w:t>
      </w:r>
    </w:p>
    <w:p w14:paraId="43A4045E" w14:textId="77777777" w:rsidR="00767353" w:rsidRDefault="00767353" w:rsidP="00767353">
      <w:pPr>
        <w:pStyle w:val="BodyText"/>
      </w:pPr>
      <w:r>
        <w:t>Estimated saving rates from income into other assets ranged from 0 to 38 per cent for those aged 15 years and over. They tended to be higher for higher income groups and lower for homeowners (who make mortgage repayments), all else equal. Across age groups, saving rates into other assets tended to be highest when young, fell during middle age, and then increased slightly again in old age.</w:t>
      </w:r>
    </w:p>
    <w:p w14:paraId="064872AD" w14:textId="77777777" w:rsidR="00767353" w:rsidRPr="004D1CF0" w:rsidRDefault="00767353" w:rsidP="00767353">
      <w:pPr>
        <w:pStyle w:val="BodyText"/>
      </w:pPr>
      <w:r>
        <w:lastRenderedPageBreak/>
        <w:t>There is limited data and research on how inheritances and gifts are saved in Australia (section C.4). In the base scenario projection, in addition to inheritances increasing the probability of home ownership, inheritances and gifts received were assumed to be saved in other assets at the same rates as was estimated from income into other assets. The rates of saving used in the model can be relatively low depending on age, income and homeowner status — for example, a 60–64 year old homeowner in the third income quintile was assumed to save about 12 per cent of their inheritance into other assets. The effect of changing these saving rates are investigated in scenario analysis (section C.4).</w:t>
      </w:r>
    </w:p>
    <w:p w14:paraId="2464193C" w14:textId="77777777" w:rsidR="00767353" w:rsidRPr="00C04C5B" w:rsidRDefault="00767353" w:rsidP="00767353">
      <w:pPr>
        <w:pStyle w:val="BodyText"/>
        <w:rPr>
          <w:spacing w:val="-6"/>
        </w:rPr>
      </w:pPr>
      <w:r w:rsidRPr="00C04C5B">
        <w:rPr>
          <w:spacing w:val="-4"/>
        </w:rPr>
        <w:t xml:space="preserve">Drawdowns from other assets were estimated from HILDA using a deemed rate of return on other assets (estimates of historical rates by age group described above) and a deemed saving rate (estimated from the HES described above). Using balanced samples of HILDA between each wave containing wealth data (every four years), the differences between observed changes and expected changes in other assets (given deemed rates of return and saving) were assumed to be due to drawdowns. A weighted average annual rate of drawdowns was calculated by age group and homeowner status (no clear pattern was observed across income groups). These drawdown rates ranged from about 0 to 11 per cent per year. </w:t>
      </w:r>
      <w:r w:rsidRPr="00C04C5B">
        <w:rPr>
          <w:spacing w:val="-6"/>
        </w:rPr>
        <w:t>At younger age groups, drawdown rates were relatively high for non</w:t>
      </w:r>
      <w:r w:rsidRPr="00C04C5B">
        <w:rPr>
          <w:spacing w:val="-6"/>
        </w:rPr>
        <w:noBreakHyphen/>
        <w:t>homeowners (who also tended to have fewer other assets) and relatively low for homeowners, and then rates stabilised at older ages. Alternative drawdown assumptions are tested in section C.4.</w:t>
      </w:r>
    </w:p>
    <w:p w14:paraId="2F28EA17" w14:textId="77777777" w:rsidR="00767353" w:rsidRDefault="00767353" w:rsidP="00767353">
      <w:pPr>
        <w:pStyle w:val="Heading3"/>
      </w:pPr>
      <w:r>
        <w:t>Wealth transfers</w:t>
      </w:r>
    </w:p>
    <w:p w14:paraId="4FA93F48" w14:textId="77777777" w:rsidR="00767353" w:rsidRPr="00DB753A" w:rsidRDefault="00767353" w:rsidP="00767353">
      <w:pPr>
        <w:pStyle w:val="Heading4"/>
      </w:pPr>
      <w:r>
        <w:t>Inheritances</w:t>
      </w:r>
    </w:p>
    <w:p w14:paraId="2AED9F93" w14:textId="5F70CF24" w:rsidR="00767353" w:rsidRPr="00152F65" w:rsidRDefault="00767353" w:rsidP="00767353">
      <w:pPr>
        <w:pStyle w:val="BodyText"/>
        <w:rPr>
          <w:spacing w:val="-4"/>
        </w:rPr>
      </w:pPr>
      <w:r w:rsidRPr="00152F65">
        <w:rPr>
          <w:spacing w:val="-4"/>
        </w:rPr>
        <w:t xml:space="preserve">The size of wealth at death in the model is driven by mortality rates and wealth accumulation over the projection period. The probability of being in a relationship at death by age group was estimated using ABS.Stat data on deaths </w:t>
      </w:r>
      <w:r w:rsidRPr="00152F65">
        <w:rPr>
          <w:spacing w:val="-4"/>
        </w:rPr>
        <w:fldChar w:fldCharType="begin"/>
      </w:r>
      <w:r w:rsidR="0047772E">
        <w:rPr>
          <w:spacing w:val="-4"/>
        </w:rPr>
        <w:instrText xml:space="preserve"> ADDIN ZOTERO_ITEM CSL_CITATION {"citationID":"mtkpj4cq","properties":{"formattedCitation":"(ABS\\uc0\\u160{}2020d)","plainCitation":"(ABS 2020d)","noteIndex":0},"citationItems":[{"id":2988,"uris":["http://zotero.org/groups/2714158/items/6HJQPLAK"],"uri":["http://zotero.org/groups/2714158/items/6HJQPLAK"],"itemData":{"id":2988,"type":"webpage","container-title":"ABS.Stat","title":"Deaths, Year of Registration, Marital Status, Age at Death, Sex, Australia","URL":"https://stat.data.abs.gov.au/Index.aspx?DataSetCode=DEATHS_MARITAL_STATUS","author":[{"literal":"Australian Bureau of Statistics"}],"translator":[{"literal":"ABS"}],"accessed":{"date-parts":[["2021",8,5]]},"issued":{"date-parts":[["2020"]]}}}],"schema":"https://github.com/citation-style-language/schema/raw/master/csl-citation.json"} </w:instrText>
      </w:r>
      <w:r w:rsidRPr="00152F65">
        <w:rPr>
          <w:spacing w:val="-4"/>
        </w:rPr>
        <w:fldChar w:fldCharType="separate"/>
      </w:r>
      <w:r w:rsidR="006D627C" w:rsidRPr="006D627C">
        <w:rPr>
          <w:rFonts w:ascii="Arial" w:hAnsi="Arial" w:cs="Arial"/>
          <w:szCs w:val="24"/>
        </w:rPr>
        <w:t>(ABS 2020d)</w:t>
      </w:r>
      <w:r w:rsidRPr="00152F65">
        <w:rPr>
          <w:spacing w:val="-4"/>
        </w:rPr>
        <w:fldChar w:fldCharType="end"/>
      </w:r>
      <w:r w:rsidRPr="00152F65">
        <w:rPr>
          <w:spacing w:val="-4"/>
        </w:rPr>
        <w:t>. For people who had a living partner, wealth at death was assumed to stay within the same cohort. (The effect of adjusting this assumption is examined in section C.4.) Of the wealth at death of single people, 2 per cent was assumed to be distributed to charities (this wealth disappears from the model) based on estimates from other studies (appendix A). The remainder of wealth at death was assumed to be distributed to younger generations based on the distribution of parent age (section C.2). This resulted in fairly stable shares of the population by age group who have received an inheritance over the projection period, with most people having received an inheritance by the time they reach the 60–64 age group (figure C.7).</w:t>
      </w:r>
    </w:p>
    <w:p w14:paraId="790F8BE3" w14:textId="2E37A7B7"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373EBD">
        <w:t>7</w:t>
      </w:r>
      <w:r>
        <w:rPr>
          <w:noProof/>
        </w:rPr>
        <w:t xml:space="preserve"> </w:t>
      </w:r>
      <w:r>
        <w:t>– Projected share of population who have received an inheritance</w:t>
      </w:r>
    </w:p>
    <w:p w14:paraId="64767A39" w14:textId="77777777" w:rsidR="00767353" w:rsidRPr="005550A0" w:rsidRDefault="00767353" w:rsidP="00767353">
      <w:pPr>
        <w:pStyle w:val="BodyText"/>
      </w:pPr>
      <w:r w:rsidRPr="007E2CF7">
        <w:rPr>
          <w:noProof/>
        </w:rPr>
        <w:drawing>
          <wp:inline distT="0" distB="0" distL="0" distR="0" wp14:anchorId="4BA8EF02" wp14:editId="141B4FC3">
            <wp:extent cx="6119495" cy="3265805"/>
            <wp:effectExtent l="0" t="0" r="0" b="0"/>
            <wp:docPr id="86" name="Picture 86" descr="Figure C.7. This chart shows modelled shares of the population who have received an inheritance by age group in 2018, 2028, 2038 and 2048. The shares are similar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C.7. This chart shows modelled shares of the population who have received an inheritance by age group in 2018, 2028, 2038 and 2048. The shares are similar over time. "/>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19495" cy="3265805"/>
                    </a:xfrm>
                    <a:prstGeom prst="rect">
                      <a:avLst/>
                    </a:prstGeom>
                    <a:noFill/>
                    <a:ln>
                      <a:noFill/>
                    </a:ln>
                  </pic:spPr>
                </pic:pic>
              </a:graphicData>
            </a:graphic>
          </wp:inline>
        </w:drawing>
      </w:r>
    </w:p>
    <w:p w14:paraId="303BD92A" w14:textId="77777777" w:rsidR="00767353" w:rsidRDefault="00767353" w:rsidP="00767353">
      <w:pPr>
        <w:pStyle w:val="Source"/>
      </w:pPr>
      <w:r w:rsidRPr="00696447">
        <w:t xml:space="preserve">Source: </w:t>
      </w:r>
      <w:r>
        <w:t>Productivity Commission estimates from cohort simulation model.</w:t>
      </w:r>
    </w:p>
    <w:p w14:paraId="0306EEC9" w14:textId="3D74A0AA" w:rsidR="00767353" w:rsidRDefault="00767353" w:rsidP="00767353">
      <w:pPr>
        <w:pStyle w:val="BodyText"/>
      </w:pPr>
      <w:r>
        <w:t>Within age groups receiving inheritances, the distributions of inheritances to the wealthy and the less wealthy were parametrised using HILDA data based on the pre</w:t>
      </w:r>
      <w:r>
        <w:noBreakHyphen/>
        <w:t>inheritance wealth of inheritance recipients. (Inheritance recipients excluded those who likely received inheritances due to the death of their partner</w:t>
      </w:r>
      <w:r w:rsidRPr="009B2D4B">
        <w:t>.</w:t>
      </w:r>
      <w:r w:rsidRPr="00AD157E">
        <w:t>)</w:t>
      </w:r>
      <w:r>
        <w:t xml:space="preserve"> Specifically, within the waves containing wealth data (every four years), each age group from 30–34 to 85–</w:t>
      </w:r>
      <w:r w:rsidR="00C373CD">
        <w:t>‍</w:t>
      </w:r>
      <w:r>
        <w:t>89 was split into age</w:t>
      </w:r>
      <w:r>
        <w:noBreakHyphen/>
        <w:t>specific wealth tertiles. An individual’s last recorded wealth tertile prior to receiving an inheritance was assumed to be their pre</w:t>
      </w:r>
      <w:r>
        <w:noBreakHyphen/>
        <w:t xml:space="preserve">inheritance wealth tertile. </w:t>
      </w:r>
    </w:p>
    <w:p w14:paraId="3C035648" w14:textId="77777777" w:rsidR="00767353" w:rsidRDefault="00767353" w:rsidP="00767353">
      <w:pPr>
        <w:pStyle w:val="BodyText"/>
      </w:pPr>
      <w:r>
        <w:t>The share of total inheritances received by each pre</w:t>
      </w:r>
      <w:r>
        <w:noBreakHyphen/>
        <w:t xml:space="preserve">inheritance wealth tertile was calculated for each age group and wave, and then averaged. In the base scenario model, about 13 per cent of inheritances received by the 30–34 to 85–89 age groups was assumed to go to the bottom wealth tertile, 33 per cent to the middle tertile and 54 per cent to the top tertile. Inheritances received by age groups younger than 30–34 or older than 85–89 were assumed to be split evenly among tertiles — very few people in these age groups receive inheritances, and for those younger than 30, there tends to be much less disparity in wealth. </w:t>
      </w:r>
    </w:p>
    <w:p w14:paraId="6711EA03" w14:textId="77777777" w:rsidR="00767353" w:rsidRDefault="00767353" w:rsidP="00767353">
      <w:pPr>
        <w:pStyle w:val="BodyText"/>
      </w:pPr>
      <w:r>
        <w:t>As discussed in chapter 1, inflow measures of inheritances may be affected by non</w:t>
      </w:r>
      <w:r>
        <w:noBreakHyphen/>
        <w:t>reporting, particularly small inheritances that tend to be received by less wealthy recipients. If this is in fact the case, then the share of inheritances projected to go to the lowest wealth groups may be underestimated, and inheritances may have a greater equalising effect on the distribution of wealth than estimated.</w:t>
      </w:r>
    </w:p>
    <w:p w14:paraId="354B6E7A" w14:textId="77777777" w:rsidR="00767353" w:rsidRDefault="00767353" w:rsidP="00767353">
      <w:pPr>
        <w:pStyle w:val="BodyText"/>
      </w:pPr>
      <w:r>
        <w:t xml:space="preserve">Conversely, if higher wealth groups actually receive a larger share of inheritances (for example, because the wealthiest people in the population are under sampled in survey data </w:t>
      </w:r>
      <w:r w:rsidRPr="00443FF0">
        <w:t>(appendix A)), then inheritances</w:t>
      </w:r>
      <w:r>
        <w:t xml:space="preserve"> could have a less equalising (or even disequalising) effect on wealth distributions than estimated. Such a scenario is investigated in section C.4.</w:t>
      </w:r>
    </w:p>
    <w:p w14:paraId="29D9FBB0" w14:textId="77777777" w:rsidR="00767353" w:rsidRDefault="00767353" w:rsidP="00767353">
      <w:pPr>
        <w:pStyle w:val="Heading4"/>
      </w:pPr>
      <w:r>
        <w:lastRenderedPageBreak/>
        <w:t>Inter vivos gifts</w:t>
      </w:r>
    </w:p>
    <w:p w14:paraId="2A995FB6" w14:textId="77777777" w:rsidR="00767353" w:rsidRDefault="00767353" w:rsidP="00767353">
      <w:pPr>
        <w:pStyle w:val="BodyText"/>
      </w:pPr>
      <w:r>
        <w:t xml:space="preserve">Modelling gifts is more complicated than inheritances because of the need to estimate parameters for both gift givers and gift receivers (whereas with inheritances, giving is informed by mortality rates and parameters relating to wealth accumulation). </w:t>
      </w:r>
    </w:p>
    <w:p w14:paraId="58F99B9D" w14:textId="77777777" w:rsidR="00767353" w:rsidRPr="00CB392C" w:rsidRDefault="00767353" w:rsidP="00767353">
      <w:pPr>
        <w:pStyle w:val="BodyText"/>
      </w:pPr>
      <w:r>
        <w:t xml:space="preserve">There is some data on gift receiving in HILDA, though people likely underreport gifts </w:t>
      </w:r>
      <w:r w:rsidRPr="00443FF0">
        <w:t>(chapter 1). The estimates</w:t>
      </w:r>
      <w:r>
        <w:t xml:space="preserve"> on gift giving have been inferred from gift receiving, but there is a lack of information on who is more likely to give larger gifts to their children. As stated in section C.1, the extent of the effects of gifts are uncertain and may be understated in the model.</w:t>
      </w:r>
    </w:p>
    <w:p w14:paraId="7AD3AF59" w14:textId="77777777" w:rsidR="00767353" w:rsidRDefault="00767353" w:rsidP="00767353">
      <w:pPr>
        <w:pStyle w:val="BodyText"/>
      </w:pPr>
      <w:r>
        <w:t>Gifting rates from parents to children were estimated in the following way.</w:t>
      </w:r>
    </w:p>
    <w:p w14:paraId="25FAD6F4" w14:textId="77777777" w:rsidR="00767353" w:rsidRDefault="00767353" w:rsidP="00132C71">
      <w:pPr>
        <w:pStyle w:val="ListNumber"/>
        <w:numPr>
          <w:ilvl w:val="0"/>
          <w:numId w:val="38"/>
        </w:numPr>
      </w:pPr>
      <w:r>
        <w:t xml:space="preserve">In the waves containing wealth data, the sample was split by the parent age groups recorded by survey respondents. </w:t>
      </w:r>
    </w:p>
    <w:p w14:paraId="23151E97" w14:textId="77777777" w:rsidR="00767353" w:rsidRDefault="00767353" w:rsidP="00767353">
      <w:pPr>
        <w:pStyle w:val="ListNumber"/>
        <w:numPr>
          <w:ilvl w:val="0"/>
          <w:numId w:val="1"/>
        </w:numPr>
      </w:pPr>
      <w:r>
        <w:t xml:space="preserve">For each parent age group, based on the number and value of gifts reported as received by children within those groups, the probability of children receiving a gift and average gift size were calculated. </w:t>
      </w:r>
    </w:p>
    <w:p w14:paraId="7C43596C" w14:textId="77777777" w:rsidR="00767353" w:rsidRDefault="00767353" w:rsidP="00767353">
      <w:pPr>
        <w:pStyle w:val="ListNumber"/>
        <w:numPr>
          <w:ilvl w:val="0"/>
          <w:numId w:val="1"/>
        </w:numPr>
      </w:pPr>
      <w:r>
        <w:t>In those same waves, the share of the population having children and the size of ‘other assets’ held were calculated by age group. This information was combined with the information in step 2 to estimate total gifts given to children as a proportion of other assets, by age group. Cohorts aged 80–84 and over were assumed to not give gifts as raw estimated gifting rates tended to decline at these older age groups. Their children would typically be over the age at which significant gifts are given (such as for housing and education) and most of their wealth would soon be passed on as inheritances.</w:t>
      </w:r>
    </w:p>
    <w:p w14:paraId="3ECA8AE2" w14:textId="77777777" w:rsidR="00767353" w:rsidRDefault="00767353" w:rsidP="00767353">
      <w:pPr>
        <w:pStyle w:val="ListNumber"/>
        <w:numPr>
          <w:ilvl w:val="0"/>
          <w:numId w:val="1"/>
        </w:numPr>
      </w:pPr>
      <w:r>
        <w:t>Gift sizes reported in HILDA have increased significantly over time (</w:t>
      </w:r>
      <w:r w:rsidRPr="00443FF0">
        <w:t>chapter 1). To</w:t>
      </w:r>
      <w:r>
        <w:t xml:space="preserve"> ensure that the model’s gifting rates reflected more recent gift sizes, gifting rates were scaled up to replicate the total size of gifts received in HILDA in 2018. </w:t>
      </w:r>
    </w:p>
    <w:p w14:paraId="7B3EC34F" w14:textId="77777777" w:rsidR="00767353" w:rsidRDefault="00767353" w:rsidP="00767353">
      <w:pPr>
        <w:pStyle w:val="BodyText"/>
      </w:pPr>
      <w:r>
        <w:t>Estimated gifting rates were small. The 50–54 age group had the largest rate, gifting 0.9</w:t>
      </w:r>
      <w:r w:rsidDel="00AB61FC">
        <w:t> per</w:t>
      </w:r>
      <w:r>
        <w:t> cent of their other assets each year. The sensitivity of assumptions about the size of gifts were investigated in additional model scenarios (section C.4).</w:t>
      </w:r>
    </w:p>
    <w:p w14:paraId="31D7AB48" w14:textId="77777777" w:rsidR="00767353" w:rsidRDefault="00767353" w:rsidP="00767353">
      <w:pPr>
        <w:pStyle w:val="BodyText"/>
      </w:pPr>
      <w:r>
        <w:t>Gifts given by each age group in the model were assumed to be received in equal amounts by people in cohorts who had parents of those ages. Unlike inheritances, the model does not redistribute gifts according to pre</w:t>
      </w:r>
      <w:r>
        <w:noBreakHyphen/>
        <w:t>gift wealth. Gifts received in HILDA appear to be more equally distributed across wealth than inheritances are, especially at younger age groups.</w:t>
      </w:r>
    </w:p>
    <w:p w14:paraId="39D2AD1E" w14:textId="77777777" w:rsidR="00767353" w:rsidRDefault="00767353" w:rsidP="00767353">
      <w:pPr>
        <w:pStyle w:val="Heading3"/>
      </w:pPr>
      <w:r>
        <w:t>Discount rate</w:t>
      </w:r>
    </w:p>
    <w:p w14:paraId="62482812" w14:textId="05358DCF" w:rsidR="00767353" w:rsidRDefault="002C4B9E" w:rsidP="00767353">
      <w:pPr>
        <w:pStyle w:val="BodyText"/>
        <w:keepNext/>
      </w:pPr>
      <w:r>
        <w:t>The model produced projections of w</w:t>
      </w:r>
      <w:r w:rsidR="00767353">
        <w:t>ealth and wealth transfers in nominal dollars.</w:t>
      </w:r>
      <w:r w:rsidR="00767353" w:rsidDel="002C4B9E">
        <w:t xml:space="preserve"> </w:t>
      </w:r>
      <w:r>
        <w:t>These nominal values</w:t>
      </w:r>
      <w:r w:rsidR="00767353">
        <w:t xml:space="preserve"> were adjusted to real 2018 values using projected income growth as the discount rate. The income growth rate provides a useful reference point for growth in wealth, especially in analysis of wealth inequality. Piketty </w:t>
      </w:r>
      <w:r w:rsidR="00767353">
        <w:fldChar w:fldCharType="begin"/>
      </w:r>
      <w:r w:rsidR="0047772E">
        <w:instrText xml:space="preserve"> ADDIN ZOTERO_ITEM CSL_CITATION {"citationID":"pg8lUyML","properties":{"formattedCitation":"(2014, p.\\uc0\\u160{}267)","plainCitation":"(2014, p. 267)","noteIndex":0},"citationItems":[{"id":1687,"uris":["http://zotero.org/groups/2714158/items/8VI8XQ7V"],"uri":["http://zotero.org/groups/2714158/items/8VI8XQ7V"],"itemData":{"id":1687,"type":"book","call-number":"HB501 .P43613 2014","event-place":"Cambridge Massachusetts","ISBN":"978-0-674-43000-6","language":"eng","number-of-pages":"685","publisher":"The Belknap Press of Harvard University Press","publisher-place":"Cambridge Massachusetts","source":"Library of Congress ISBN","title":"Capital in the Twenty-First Century","author":[{"family":"Piketty","given":"Thomas"}],"accessed":{"date-parts":[["2021",2,22]]},"issued":{"date-parts":[["2014"]]}},"locator":"267","suppress-author":true}],"schema":"https://github.com/citation-style-language/schema/raw/master/csl-citation.json"} </w:instrText>
      </w:r>
      <w:r w:rsidR="00767353">
        <w:fldChar w:fldCharType="separate"/>
      </w:r>
      <w:r w:rsidR="00767353" w:rsidRPr="008F5B0D">
        <w:rPr>
          <w:szCs w:val="24"/>
        </w:rPr>
        <w:t>(2014, p. 267)</w:t>
      </w:r>
      <w:r w:rsidR="00767353">
        <w:fldChar w:fldCharType="end"/>
      </w:r>
      <w:r w:rsidR="00767353">
        <w:t xml:space="preserve"> noted that when the rate of return on capital is higher than the growth rate of the economy and incomes: </w:t>
      </w:r>
    </w:p>
    <w:p w14:paraId="05362205" w14:textId="77777777" w:rsidR="00767353" w:rsidRDefault="00767353" w:rsidP="00767353">
      <w:pPr>
        <w:pStyle w:val="Quote"/>
      </w:pPr>
      <w:r>
        <w:t>wealth originating in the past automatically grows more rapidly, even without labor, than wealth stemming from work, which can be saved. Almost inevitably, this tends to give lasting, disproportionate importance to inequalities created in the past, and therefore to inheritance.</w:t>
      </w:r>
    </w:p>
    <w:p w14:paraId="08C3C760" w14:textId="73A11372" w:rsidR="00767353" w:rsidRDefault="00767353" w:rsidP="00767353">
      <w:pPr>
        <w:pStyle w:val="BodyText"/>
      </w:pPr>
      <w:r>
        <w:t xml:space="preserve">The Retirement Income Review also discounted estimates of assets at retirement and superannuation balances by average weekly earnings </w:t>
      </w:r>
      <w:r>
        <w:fldChar w:fldCharType="begin"/>
      </w:r>
      <w:r w:rsidR="0047772E">
        <w:instrText xml:space="preserve"> ADDIN ZOTERO_ITEM CSL_CITATION {"citationID":"a2ijvsodvl3","properties":{"formattedCitation":"(The Treasury\\uc0\\u160{}2020, p.\\uc0\\u160{}207)","plainCitation":"(The Treasury 2020, p. 207)","noteIndex":0},"citationItems":[{"id":1552,"uris":["http://zotero.org/groups/2714158/items/R5Y5AKIH"],"uri":["http://zotero.org/groups/2714158/items/R5Y5AKIH"],"itemData":{"id":1552,"type":"report","event-place":"Canberra","genre":"Final Report","publisher-place":"Canberra","title":"Retirement Income Review","author":[{"family":"The Treasury","given":""}],"accessed":{"date-parts":[["2021",2,4]]},"issued":{"date-parts":[["2020"]]}},"locator":"207"}],"schema":"https://github.com/citation-style-language/schema/raw/master/csl-citation.json"} </w:instrText>
      </w:r>
      <w:r>
        <w:fldChar w:fldCharType="separate"/>
      </w:r>
      <w:r w:rsidRPr="00C360B1">
        <w:rPr>
          <w:szCs w:val="24"/>
        </w:rPr>
        <w:t>(The Treasury 2020, p. 207)</w:t>
      </w:r>
      <w:r>
        <w:fldChar w:fldCharType="end"/>
      </w:r>
      <w:r>
        <w:t xml:space="preserve">. </w:t>
      </w:r>
    </w:p>
    <w:p w14:paraId="59C47222" w14:textId="2C1BDF98" w:rsidR="00767353" w:rsidRDefault="00767353" w:rsidP="00132C71">
      <w:pPr>
        <w:pStyle w:val="Heading2-Appendix"/>
      </w:pPr>
      <w:r>
        <w:lastRenderedPageBreak/>
        <w:fldChar w:fldCharType="begin"/>
      </w:r>
      <w:r>
        <w:instrText xml:space="preserve"> COMMENTS  \* MERGEFORMAT </w:instrText>
      </w:r>
      <w:r>
        <w:fldChar w:fldCharType="end"/>
      </w:r>
      <w:r>
        <w:t>Further details of results and scenario analyses</w:t>
      </w:r>
    </w:p>
    <w:p w14:paraId="605B6E66" w14:textId="77777777" w:rsidR="00767353" w:rsidRDefault="00767353" w:rsidP="00767353">
      <w:pPr>
        <w:pStyle w:val="BodyText"/>
      </w:pPr>
      <w:r>
        <w:t>As discussed in chapter 3, the base scenario model projections to 2050 suggest that:</w:t>
      </w:r>
    </w:p>
    <w:p w14:paraId="2EA7160C" w14:textId="77777777" w:rsidR="00767353" w:rsidRPr="00FB2BEE" w:rsidRDefault="00767353" w:rsidP="00767353">
      <w:pPr>
        <w:pStyle w:val="ListBullet"/>
      </w:pPr>
      <w:r>
        <w:t xml:space="preserve">wealth </w:t>
      </w:r>
      <w:r w:rsidRPr="00FB2BEE">
        <w:t>becomes more concentrated towards older cohorts</w:t>
      </w:r>
    </w:p>
    <w:p w14:paraId="5B059FC7" w14:textId="77777777" w:rsidR="00767353" w:rsidRPr="00FB2BEE" w:rsidRDefault="00767353" w:rsidP="00767353">
      <w:pPr>
        <w:pStyle w:val="ListBullet"/>
      </w:pPr>
      <w:r w:rsidRPr="00FB2BEE">
        <w:t xml:space="preserve">wealth transfers reduce relative inequality (when compared with a world without future wealth transfers) but the effect is small. </w:t>
      </w:r>
    </w:p>
    <w:p w14:paraId="01CF71D5" w14:textId="77777777" w:rsidR="00767353" w:rsidRDefault="00767353" w:rsidP="00767353">
      <w:pPr>
        <w:pStyle w:val="BodyText"/>
      </w:pPr>
      <w:r>
        <w:t xml:space="preserve">In analysing the effect of wealth transfers on relative wealth inequality, chapter 3 largely focused on </w:t>
      </w:r>
      <w:r w:rsidRPr="00B33BD2">
        <w:rPr>
          <w:i/>
          <w:iCs/>
        </w:rPr>
        <w:t xml:space="preserve">differences </w:t>
      </w:r>
      <w:r>
        <w:t>in projections of the Gini coefficient. The underlying values of the Gini coefficient were produced for this purpose, but are not designed to be used as predictions of future wealth inequality (box C.2).</w:t>
      </w:r>
    </w:p>
    <w:p w14:paraId="0E4EB85F" w14:textId="77777777" w:rsidR="00767353" w:rsidRDefault="00767353" w:rsidP="00767353">
      <w:pPr>
        <w:pStyle w:val="BodyText"/>
      </w:pPr>
      <w:r>
        <w:t xml:space="preserve">There is uncertainty in the parameters used in this model, including around future rates of return and behaviour, and parameters that are estimated based on limited data. A number of changes to the base scenario assumptions were examined in alternate model scenarios to investigate their importance to the results. Chapter 3 provides a summary of these results, which found that wealth transfers only increase relative wealth inequality in scenarios that help the wealthy accumulate more wealth from wealth transfers than the less wealthy. </w:t>
      </w:r>
    </w:p>
    <w:p w14:paraId="7D03CCA2" w14:textId="77777777" w:rsidR="00767353" w:rsidRDefault="00767353" w:rsidP="00767353">
      <w:pPr>
        <w:pStyle w:val="BodyText"/>
      </w:pPr>
      <w:r>
        <w:t xml:space="preserve">The remainder of this section presents further details from sensitivity analysis of the results to changes in assumptions. The scenarios analysed are grouped into four types: </w:t>
      </w:r>
    </w:p>
    <w:p w14:paraId="15CE5592" w14:textId="77777777" w:rsidR="00767353" w:rsidRPr="00FB2BEE" w:rsidRDefault="00767353" w:rsidP="00767353">
      <w:pPr>
        <w:pStyle w:val="ListBullet"/>
      </w:pPr>
      <w:r w:rsidRPr="00FB2BEE">
        <w:t>rate of return adjustments</w:t>
      </w:r>
    </w:p>
    <w:p w14:paraId="27B5791D" w14:textId="77777777" w:rsidR="00767353" w:rsidRPr="00FB2BEE" w:rsidRDefault="00767353" w:rsidP="00767353">
      <w:pPr>
        <w:pStyle w:val="ListBullet"/>
      </w:pPr>
      <w:r w:rsidRPr="00FB2BEE">
        <w:t>wealth transfer adjustments</w:t>
      </w:r>
    </w:p>
    <w:p w14:paraId="77F4146A" w14:textId="77777777" w:rsidR="00767353" w:rsidRPr="00FB2BEE" w:rsidRDefault="00767353" w:rsidP="00767353">
      <w:pPr>
        <w:pStyle w:val="ListBullet"/>
      </w:pPr>
      <w:r w:rsidRPr="00FB2BEE">
        <w:t>housing adjustments</w:t>
      </w:r>
    </w:p>
    <w:p w14:paraId="69C02044" w14:textId="77777777" w:rsidR="00767353" w:rsidRPr="00FB2BEE" w:rsidRDefault="00767353" w:rsidP="00767353">
      <w:pPr>
        <w:pStyle w:val="ListBullet"/>
      </w:pPr>
      <w:r w:rsidRPr="00FB2BEE">
        <w:t>other adjustments.</w:t>
      </w:r>
    </w:p>
    <w:p w14:paraId="0AA2B0FD" w14:textId="77777777" w:rsidR="00767353" w:rsidRDefault="00767353" w:rsidP="00767353">
      <w:pPr>
        <w:pStyle w:val="BodyText"/>
        <w:keepNext/>
      </w:pPr>
      <w:r>
        <w:t>Figures are presented for each of the scenarios relating to:</w:t>
      </w:r>
    </w:p>
    <w:p w14:paraId="1E6C9D0C" w14:textId="77777777" w:rsidR="00767353" w:rsidRPr="00FB2BEE" w:rsidRDefault="00767353" w:rsidP="00767353">
      <w:pPr>
        <w:pStyle w:val="ListBullet"/>
      </w:pPr>
      <w:r w:rsidRPr="00FB2BEE">
        <w:t>total wealth by age group in 2048 (panel a in the figures)</w:t>
      </w:r>
    </w:p>
    <w:p w14:paraId="47D1A59C" w14:textId="77777777" w:rsidR="00767353" w:rsidRPr="00FB2BEE" w:rsidRDefault="00767353" w:rsidP="00767353">
      <w:pPr>
        <w:pStyle w:val="ListBullet"/>
      </w:pPr>
      <w:r w:rsidRPr="00FB2BEE">
        <w:t>percentage of wealth held by age group in 2048 (panel b, and comparable to figure 3.3 in chapter 3)</w:t>
      </w:r>
    </w:p>
    <w:p w14:paraId="50CB19C1" w14:textId="77777777" w:rsidR="00767353" w:rsidRPr="00FB2BEE" w:rsidRDefault="00767353" w:rsidP="00767353">
      <w:pPr>
        <w:pStyle w:val="ListBullet"/>
      </w:pPr>
      <w:r w:rsidRPr="00FB2BEE">
        <w:t>improvement in wealth inequality due to wealth transfers (panel c, and comparable to figures 3.6 and 3.8 in chapter 3).</w:t>
      </w:r>
    </w:p>
    <w:p w14:paraId="1AA7D0EA" w14:textId="77777777" w:rsidR="00767353" w:rsidRDefault="00767353" w:rsidP="00767353">
      <w:pPr>
        <w:pStyle w:val="BodyText"/>
      </w:pPr>
    </w:p>
    <w:tbl>
      <w:tblPr>
        <w:tblStyle w:val="Boxtable"/>
        <w:tblW w:w="5000" w:type="pct"/>
        <w:tblLook w:val="04A0" w:firstRow="1" w:lastRow="0" w:firstColumn="1" w:lastColumn="0" w:noHBand="0" w:noVBand="1"/>
      </w:tblPr>
      <w:tblGrid>
        <w:gridCol w:w="9638"/>
      </w:tblGrid>
      <w:tr w:rsidR="00767353" w14:paraId="17762D1B" w14:textId="77777777" w:rsidTr="00604051">
        <w:trPr>
          <w:tblHeader/>
        </w:trPr>
        <w:tc>
          <w:tcPr>
            <w:tcW w:w="9638" w:type="dxa"/>
            <w:tcMar>
              <w:top w:w="170" w:type="dxa"/>
              <w:left w:w="170" w:type="dxa"/>
              <w:bottom w:w="113" w:type="dxa"/>
              <w:right w:w="170" w:type="dxa"/>
            </w:tcMar>
            <w:hideMark/>
          </w:tcPr>
          <w:p w14:paraId="330665A5" w14:textId="6B1EB3D7" w:rsidR="00767353" w:rsidRDefault="00767353" w:rsidP="00604051">
            <w:pPr>
              <w:pStyle w:val="BoxHeading1"/>
            </w:pPr>
            <w:r>
              <w:t xml:space="preserve">Box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7E2901">
              <w:t>2</w:t>
            </w:r>
            <w:r>
              <w:t xml:space="preserve"> – Projections of the Gini coefficient</w:t>
            </w:r>
          </w:p>
        </w:tc>
      </w:tr>
      <w:tr w:rsidR="00767353" w14:paraId="64DDF1DF" w14:textId="77777777" w:rsidTr="00604051">
        <w:tc>
          <w:tcPr>
            <w:tcW w:w="9638" w:type="dxa"/>
            <w:tcMar>
              <w:top w:w="28" w:type="dxa"/>
              <w:left w:w="170" w:type="dxa"/>
              <w:bottom w:w="170" w:type="dxa"/>
              <w:right w:w="170" w:type="dxa"/>
            </w:tcMar>
            <w:hideMark/>
          </w:tcPr>
          <w:p w14:paraId="2BAD2732" w14:textId="77777777" w:rsidR="00767353" w:rsidRPr="00CB4EAC" w:rsidRDefault="00767353" w:rsidP="00604051">
            <w:pPr>
              <w:pStyle w:val="BodyText"/>
            </w:pPr>
            <w:r w:rsidRPr="00CB4EAC">
              <w:t>The model was not optimised to predict wealth inequality outcomes for the future Australian population. The projections of wealth inequality from the model do not include factors that could affect wealth inequality in the future, and the wealth accumulation processes in the model are much simpler than what occurs in reality. Importantly, the model excludes some drivers of population demographics: there are no births (which restricts analysis to the population aged 30 and over by 2048) and no new immigrants (who tend to be younger and higher skilled, so their outcomes are likely to affect wealth inequality in the future) (section C.1).</w:t>
            </w:r>
          </w:p>
          <w:p w14:paraId="2CC58075" w14:textId="46C31F7B" w:rsidR="00767353" w:rsidRPr="00CB4EAC" w:rsidRDefault="00767353" w:rsidP="00604051">
            <w:pPr>
              <w:pStyle w:val="BodyText"/>
              <w:rPr>
                <w:spacing w:val="-2"/>
              </w:rPr>
            </w:pPr>
            <w:r w:rsidRPr="00CB4EAC">
              <w:rPr>
                <w:spacing w:val="-2"/>
              </w:rPr>
              <w:t xml:space="preserve">Projections of the Gini coefficient for the 30–99 age group in the base scenario indicated a fall in inequality by about 5 percentage points between 2018 and 2048. These projections were sensitive to rate of return assumptions — for example, when historical rates of return on assets were assumed in the model, the Gini was projected to be little changed in 2048. The projected trend when historical returns are used is consistent with the relatively flat trend in the Gini coefficient of equivalised household wealth observed in </w:t>
            </w:r>
            <w:r w:rsidRPr="00CB4EAC">
              <w:rPr>
                <w:spacing w:val="-2"/>
              </w:rPr>
              <w:lastRenderedPageBreak/>
              <w:t xml:space="preserve">HILDA for the whole population since 2002. (Estimates of the Gini coefficient from the ABS Survey of Income and Housing (SIH) indicated increasing wealth inequality over the period </w:t>
            </w:r>
            <w:r w:rsidRPr="00CB4EAC">
              <w:rPr>
                <w:spacing w:val="-2"/>
              </w:rPr>
              <w:fldChar w:fldCharType="begin"/>
            </w:r>
            <w:r w:rsidR="0047772E">
              <w:rPr>
                <w:spacing w:val="-2"/>
              </w:rPr>
              <w:instrText xml:space="preserve"> ADDIN ZOTERO_ITEM CSL_CITATION {"citationID":"a2133amckun","properties":{"formattedCitation":"(PC\\uc0\\u160{}2018a, p.\\uc0\\u160{}74)","plainCitation":"(PC 2018a, p. 74)","noteIndex":0},"citationItems":[{"id":2793,"uris":["http://zotero.org/groups/164861/items/7NVJM2JN"],"uri":["http://zotero.org/groups/164861/items/7NVJM2JN"],"itemData":{"id":2793,"type":"report","event-place":"Canberra","genre":"Commission Research Paper","publisher-place":"Canberra","title":"Rising inequality? A stocktake of the evidence","author":[{"family":"Productivity Commission","given":""}],"translator":[{"family":"PC","given":""}],"issued":{"date-parts":[["2018"]]}},"locator":"74"}],"schema":"https://github.com/citation-style-language/schema/raw/master/csl-citation.json"} </w:instrText>
            </w:r>
            <w:r w:rsidRPr="00CB4EAC">
              <w:rPr>
                <w:spacing w:val="-2"/>
              </w:rPr>
              <w:fldChar w:fldCharType="separate"/>
            </w:r>
            <w:r w:rsidRPr="00CB4EAC">
              <w:rPr>
                <w:spacing w:val="-2"/>
              </w:rPr>
              <w:t>(PC 2018a, p. 74)</w:t>
            </w:r>
            <w:r w:rsidRPr="00CB4EAC">
              <w:rPr>
                <w:spacing w:val="-2"/>
              </w:rPr>
              <w:fldChar w:fldCharType="end"/>
            </w:r>
            <w:r w:rsidRPr="00CB4EAC">
              <w:rPr>
                <w:spacing w:val="-2"/>
              </w:rPr>
              <w:t>. The Commission has not undertaken, and is not aware of, any analysis seeking to explain the differences between the estimates based on SIH and HILDA.)</w:t>
            </w:r>
          </w:p>
          <w:p w14:paraId="2FDDD36F" w14:textId="77777777" w:rsidR="00767353" w:rsidRPr="00CB4EAC" w:rsidRDefault="00767353" w:rsidP="00604051">
            <w:pPr>
              <w:pStyle w:val="BodyText"/>
            </w:pPr>
            <w:r w:rsidRPr="00CB4EAC">
              <w:t>The decreasing trend in the projected Gini in the base scenario is driven by a number of factors.</w:t>
            </w:r>
          </w:p>
          <w:p w14:paraId="6C051560" w14:textId="77777777" w:rsidR="00767353" w:rsidRPr="00CB4EAC" w:rsidRDefault="00767353" w:rsidP="00604051">
            <w:pPr>
              <w:pStyle w:val="ListBullet"/>
            </w:pPr>
            <w:r w:rsidRPr="00CB4EAC">
              <w:t xml:space="preserve">An ageing population: Older people tend to have more wealth than younger people, so an ageing population increases the share of the population with relatively higher wealth. All else equal, this results in a reduction in measured wealth inequality. </w:t>
            </w:r>
          </w:p>
          <w:p w14:paraId="1A11EBBA" w14:textId="77777777" w:rsidR="00767353" w:rsidRPr="00CB4EAC" w:rsidRDefault="00767353" w:rsidP="00604051">
            <w:pPr>
              <w:pStyle w:val="ListBullet"/>
            </w:pPr>
            <w:r w:rsidRPr="00CB4EAC">
              <w:t>Continued maturation of the compulsory superannuation system: Lower income earners have low saving rates, but when superannuation was made compulsory in 1992, their saving rates rose to between 3–10 per cent of wages, with a continued increase to 12 per cent by 2025. This increases the relative wealth of the less wealthy, which reduces relative wealth inequality.</w:t>
            </w:r>
          </w:p>
          <w:p w14:paraId="3C8D0F1E" w14:textId="4B1B4EE2" w:rsidR="00767353" w:rsidRPr="00CB4EAC" w:rsidRDefault="00767353" w:rsidP="00604051">
            <w:pPr>
              <w:pStyle w:val="ListBullet"/>
            </w:pPr>
            <w:r w:rsidRPr="00CB4EAC">
              <w:t xml:space="preserve">The model’s wealth accumulation processes and diversity of possible outcomes are much simpler than in reality: For example, in </w:t>
            </w:r>
            <w:r w:rsidR="00B71E21">
              <w:t>reality</w:t>
            </w:r>
            <w:r w:rsidRPr="00CB4EAC">
              <w:t>, wealthier people tended to have a larger share of their wealth in types of ‘other assets’ that earn higher rates of return than less wealthy people, but the model assumes that all people of the same age group earn the same rate of return on ‘other assets’ during the projection (section C.3). This reduces relative wealth inequality in the model, all else equal. Similar wealth</w:t>
            </w:r>
            <w:r w:rsidRPr="00CB4EAC">
              <w:noBreakHyphen/>
              <w:t>related variations exist for housing prices and voluntary superannuation contributions.</w:t>
            </w:r>
          </w:p>
          <w:p w14:paraId="0A89D5DB" w14:textId="77777777" w:rsidR="00767353" w:rsidRDefault="00767353" w:rsidP="00604051">
            <w:pPr>
              <w:pStyle w:val="BodyText"/>
            </w:pPr>
            <w:r w:rsidRPr="00086736">
              <w:t>As the focus of the study was on analysing the effect of wealth transfers on relative wealth inequality, differences in the Gini coefficient were examined between simulations with wealth transfers and those without transfers. This approach abstracted away from the issues affecting the aggregate Gini.</w:t>
            </w:r>
          </w:p>
        </w:tc>
      </w:tr>
      <w:tr w:rsidR="00767353" w14:paraId="380F29AA" w14:textId="77777777" w:rsidTr="00604051">
        <w:tc>
          <w:tcPr>
            <w:tcW w:w="9638" w:type="dxa"/>
            <w:shd w:val="clear" w:color="auto" w:fill="auto"/>
            <w:tcMar>
              <w:top w:w="0" w:type="dxa"/>
              <w:left w:w="170" w:type="dxa"/>
              <w:bottom w:w="0" w:type="dxa"/>
              <w:right w:w="170" w:type="dxa"/>
            </w:tcMar>
          </w:tcPr>
          <w:p w14:paraId="3194E482" w14:textId="77777777" w:rsidR="00767353" w:rsidRDefault="00767353" w:rsidP="00604051">
            <w:pPr>
              <w:pStyle w:val="BodyText"/>
              <w:spacing w:before="0" w:after="0" w:line="80" w:lineRule="atLeast"/>
            </w:pPr>
          </w:p>
        </w:tc>
      </w:tr>
    </w:tbl>
    <w:p w14:paraId="38BE41D0" w14:textId="77777777" w:rsidR="00767353" w:rsidRDefault="00767353" w:rsidP="00767353">
      <w:pPr>
        <w:pStyle w:val="Heading3"/>
      </w:pPr>
      <w:r>
        <w:t>Rate of return adjustments</w:t>
      </w:r>
    </w:p>
    <w:p w14:paraId="75EFA758" w14:textId="77777777" w:rsidR="00767353" w:rsidRDefault="00767353" w:rsidP="00767353">
      <w:pPr>
        <w:pStyle w:val="BodyText"/>
      </w:pPr>
      <w:r>
        <w:t xml:space="preserve">There is substantial uncertainty around future rates of return on assets. A number of alternate rate of return scenarios were </w:t>
      </w:r>
      <w:r w:rsidRPr="001274F0">
        <w:t xml:space="preserve">investigated (table </w:t>
      </w:r>
      <w:r w:rsidRPr="00A63F2E">
        <w:t>C.2</w:t>
      </w:r>
      <w:r w:rsidRPr="001274F0">
        <w:t>).</w:t>
      </w:r>
      <w:r>
        <w:t xml:space="preserve"> As described in chapter 3, these can lead to large differences in projected wealth and hence wealth transfers (figure C.8, panel a). Scenarios that had higher rates of return also had greater levels of wealth inequality (as measured by the Gini coefficient) (box C.2).</w:t>
      </w:r>
    </w:p>
    <w:p w14:paraId="75E16787" w14:textId="7FE1706E" w:rsidR="00767353" w:rsidRDefault="00767353" w:rsidP="00767353">
      <w:pPr>
        <w:pStyle w:val="FigureTableHeading"/>
      </w:pPr>
      <w:r>
        <w:t xml:space="preserve">Table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294BFB">
        <w:t>2</w:t>
      </w:r>
      <w:r>
        <w:rPr>
          <w:noProof/>
        </w:rPr>
        <w:t xml:space="preserve"> – </w:t>
      </w:r>
      <w:r>
        <w:t>Rate of return adjustments in scenario analyses</w:t>
      </w:r>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928"/>
        <w:gridCol w:w="7710"/>
      </w:tblGrid>
      <w:tr w:rsidR="00767353" w:rsidRPr="00B63191" w14:paraId="3ADDF1ED" w14:textId="77777777" w:rsidTr="00604051">
        <w:trPr>
          <w:tblHeader/>
        </w:trPr>
        <w:tc>
          <w:tcPr>
            <w:tcW w:w="1000" w:type="pct"/>
            <w:tcBorders>
              <w:bottom w:val="single" w:sz="4" w:space="0" w:color="B3B3B3"/>
            </w:tcBorders>
            <w:shd w:val="clear" w:color="auto" w:fill="auto"/>
            <w:tcMar>
              <w:top w:w="28" w:type="dxa"/>
            </w:tcMar>
          </w:tcPr>
          <w:p w14:paraId="634D8CFE" w14:textId="77777777" w:rsidR="00767353" w:rsidRPr="00B63191" w:rsidRDefault="00767353" w:rsidP="00604051">
            <w:pPr>
              <w:pStyle w:val="TableColumnHeading"/>
              <w:spacing w:before="45" w:after="45"/>
              <w:ind w:left="57" w:right="108"/>
              <w:jc w:val="left"/>
              <w:rPr>
                <w:rFonts w:ascii="Arial (Body)" w:hAnsi="Arial (Body)"/>
                <w:b/>
                <w:i w:val="0"/>
                <w:color w:val="265A9A"/>
              </w:rPr>
            </w:pPr>
            <w:r w:rsidRPr="00B63191">
              <w:rPr>
                <w:rFonts w:ascii="Arial (Body)" w:hAnsi="Arial (Body)"/>
                <w:b/>
                <w:i w:val="0"/>
                <w:color w:val="265A9A"/>
              </w:rPr>
              <w:t>Scenario</w:t>
            </w:r>
          </w:p>
        </w:tc>
        <w:tc>
          <w:tcPr>
            <w:tcW w:w="4000" w:type="pct"/>
            <w:tcBorders>
              <w:bottom w:val="single" w:sz="4" w:space="0" w:color="B3B3B3"/>
            </w:tcBorders>
            <w:shd w:val="clear" w:color="auto" w:fill="auto"/>
          </w:tcPr>
          <w:p w14:paraId="3126DC4B" w14:textId="77777777" w:rsidR="00767353" w:rsidRPr="00B63191" w:rsidRDefault="00767353" w:rsidP="00604051">
            <w:pPr>
              <w:pStyle w:val="TableColumnHeading"/>
              <w:spacing w:before="45" w:after="45"/>
              <w:ind w:left="57" w:right="108"/>
              <w:jc w:val="left"/>
              <w:rPr>
                <w:rFonts w:ascii="Arial (Body)" w:hAnsi="Arial (Body)"/>
                <w:b/>
                <w:i w:val="0"/>
                <w:color w:val="265A9A"/>
              </w:rPr>
            </w:pPr>
            <w:r w:rsidRPr="00B63191">
              <w:rPr>
                <w:rFonts w:ascii="Arial (Body)" w:hAnsi="Arial (Body)"/>
                <w:b/>
                <w:i w:val="0"/>
                <w:color w:val="265A9A"/>
              </w:rPr>
              <w:t>Description</w:t>
            </w:r>
          </w:p>
        </w:tc>
      </w:tr>
      <w:tr w:rsidR="00767353" w:rsidRPr="00B63191" w14:paraId="0ECABC9A" w14:textId="77777777" w:rsidTr="00604051">
        <w:tc>
          <w:tcPr>
            <w:tcW w:w="1000" w:type="pct"/>
            <w:tcBorders>
              <w:top w:val="single" w:sz="4" w:space="0" w:color="B3B3B3"/>
              <w:bottom w:val="nil"/>
            </w:tcBorders>
            <w:shd w:val="clear" w:color="auto" w:fill="F1F1F1"/>
          </w:tcPr>
          <w:p w14:paraId="6F96F247" w14:textId="77777777" w:rsidR="00767353" w:rsidRPr="007427E8" w:rsidRDefault="00767353" w:rsidP="00604051">
            <w:pPr>
              <w:pStyle w:val="TableBodyText"/>
              <w:spacing w:before="45" w:after="45"/>
              <w:ind w:left="57" w:right="108" w:hanging="1"/>
              <w:jc w:val="left"/>
              <w:rPr>
                <w:rFonts w:ascii="Arial (Body)" w:hAnsi="Arial (Body)"/>
                <w:bCs/>
              </w:rPr>
            </w:pPr>
            <w:r w:rsidRPr="007427E8">
              <w:rPr>
                <w:rFonts w:ascii="Arial (Body)" w:hAnsi="Arial (Body)"/>
                <w:bCs/>
              </w:rPr>
              <w:t>1a: Historical rates</w:t>
            </w:r>
          </w:p>
        </w:tc>
        <w:tc>
          <w:tcPr>
            <w:tcW w:w="4000" w:type="pct"/>
            <w:tcBorders>
              <w:top w:val="single" w:sz="4" w:space="0" w:color="B3B3B3"/>
              <w:bottom w:val="nil"/>
            </w:tcBorders>
            <w:shd w:val="clear" w:color="auto" w:fill="F1F1F1"/>
          </w:tcPr>
          <w:p w14:paraId="0CD97E30" w14:textId="77777777" w:rsidR="00767353" w:rsidRPr="00B63191" w:rsidRDefault="00767353" w:rsidP="00604051">
            <w:pPr>
              <w:pStyle w:val="TableBodyText"/>
              <w:spacing w:before="45" w:after="45"/>
              <w:ind w:left="57" w:right="108"/>
              <w:jc w:val="left"/>
              <w:rPr>
                <w:rFonts w:ascii="Arial (Body)" w:hAnsi="Arial (Body)"/>
                <w:color w:val="000000"/>
              </w:rPr>
            </w:pPr>
            <w:r w:rsidRPr="00B63191">
              <w:rPr>
                <w:rFonts w:ascii="Arial (Body)" w:hAnsi="Arial (Body)"/>
                <w:color w:val="000000"/>
              </w:rPr>
              <w:t>Historical rates of return used (housing 7 per cent, superannuation 5.35–6.00 per cent, other assets 3.3–5.0 per cent).</w:t>
            </w:r>
          </w:p>
        </w:tc>
      </w:tr>
      <w:tr w:rsidR="00767353" w:rsidRPr="00B63191" w14:paraId="56E15206" w14:textId="77777777" w:rsidTr="00604051">
        <w:tc>
          <w:tcPr>
            <w:tcW w:w="1000" w:type="pct"/>
            <w:tcBorders>
              <w:top w:val="nil"/>
              <w:bottom w:val="nil"/>
            </w:tcBorders>
            <w:shd w:val="clear" w:color="auto" w:fill="auto"/>
          </w:tcPr>
          <w:p w14:paraId="12B20629" w14:textId="77777777" w:rsidR="00767353" w:rsidRPr="007427E8" w:rsidRDefault="00767353" w:rsidP="00604051">
            <w:pPr>
              <w:pStyle w:val="TableBodyText"/>
              <w:spacing w:before="45" w:after="45"/>
              <w:ind w:left="57" w:right="108" w:hanging="1"/>
              <w:jc w:val="left"/>
              <w:rPr>
                <w:rFonts w:ascii="Arial (Body)" w:hAnsi="Arial (Body)"/>
                <w:bCs/>
              </w:rPr>
            </w:pPr>
            <w:r w:rsidRPr="007427E8">
              <w:rPr>
                <w:rFonts w:ascii="Arial (Body)" w:hAnsi="Arial (Body)"/>
                <w:bCs/>
              </w:rPr>
              <w:t>1b: High returns</w:t>
            </w:r>
          </w:p>
        </w:tc>
        <w:tc>
          <w:tcPr>
            <w:tcW w:w="4000" w:type="pct"/>
            <w:tcBorders>
              <w:top w:val="nil"/>
              <w:bottom w:val="nil"/>
            </w:tcBorders>
            <w:shd w:val="clear" w:color="auto" w:fill="auto"/>
          </w:tcPr>
          <w:p w14:paraId="52A31ECC" w14:textId="77777777" w:rsidR="00767353" w:rsidRPr="00B63191" w:rsidRDefault="00767353" w:rsidP="00604051">
            <w:pPr>
              <w:pStyle w:val="TableBodyText"/>
              <w:spacing w:before="45" w:after="45"/>
              <w:ind w:left="57" w:right="108"/>
              <w:jc w:val="left"/>
              <w:rPr>
                <w:rFonts w:ascii="Arial (Body)" w:hAnsi="Arial (Body)"/>
                <w:color w:val="000000"/>
              </w:rPr>
            </w:pPr>
            <w:r w:rsidRPr="00B63191">
              <w:rPr>
                <w:rFonts w:ascii="Arial (Body)" w:hAnsi="Arial (Body)"/>
                <w:color w:val="000000"/>
              </w:rPr>
              <w:t>All rates of return on assets converge to 5.6 per cent.</w:t>
            </w:r>
          </w:p>
        </w:tc>
      </w:tr>
      <w:tr w:rsidR="00767353" w:rsidRPr="00B63191" w14:paraId="032EFD8E" w14:textId="77777777" w:rsidTr="00604051">
        <w:tc>
          <w:tcPr>
            <w:tcW w:w="1000" w:type="pct"/>
            <w:tcBorders>
              <w:top w:val="nil"/>
              <w:bottom w:val="nil"/>
            </w:tcBorders>
            <w:shd w:val="clear" w:color="auto" w:fill="F1F1F1"/>
          </w:tcPr>
          <w:p w14:paraId="1D1488D3" w14:textId="77777777" w:rsidR="00767353" w:rsidRPr="007427E8" w:rsidRDefault="00767353" w:rsidP="00604051">
            <w:pPr>
              <w:pStyle w:val="TableBodyText"/>
              <w:spacing w:before="45" w:after="45"/>
              <w:ind w:left="57" w:right="108" w:hanging="1"/>
              <w:jc w:val="left"/>
              <w:rPr>
                <w:rFonts w:ascii="Arial (Body)" w:hAnsi="Arial (Body)"/>
                <w:bCs/>
              </w:rPr>
            </w:pPr>
            <w:r w:rsidRPr="007427E8">
              <w:rPr>
                <w:rFonts w:ascii="Arial (Body)" w:hAnsi="Arial (Body)"/>
                <w:bCs/>
              </w:rPr>
              <w:t>1c: Low returns</w:t>
            </w:r>
          </w:p>
        </w:tc>
        <w:tc>
          <w:tcPr>
            <w:tcW w:w="4000" w:type="pct"/>
            <w:tcBorders>
              <w:top w:val="nil"/>
              <w:bottom w:val="nil"/>
            </w:tcBorders>
            <w:shd w:val="clear" w:color="auto" w:fill="F1F1F1"/>
          </w:tcPr>
          <w:p w14:paraId="37D1B58F" w14:textId="77777777" w:rsidR="00767353" w:rsidRPr="00B63191" w:rsidRDefault="00767353" w:rsidP="00604051">
            <w:pPr>
              <w:pStyle w:val="TableBodyText"/>
              <w:spacing w:before="45" w:after="45"/>
              <w:ind w:left="57" w:right="108"/>
              <w:jc w:val="left"/>
              <w:rPr>
                <w:rFonts w:ascii="Arial (Body)" w:hAnsi="Arial (Body)"/>
                <w:color w:val="000000"/>
              </w:rPr>
            </w:pPr>
            <w:r w:rsidRPr="00B63191">
              <w:rPr>
                <w:rFonts w:ascii="Arial (Body)" w:hAnsi="Arial (Body)"/>
                <w:color w:val="000000"/>
              </w:rPr>
              <w:t>All rates of return on assets converge to 2.4 per cent.</w:t>
            </w:r>
          </w:p>
        </w:tc>
      </w:tr>
      <w:tr w:rsidR="00767353" w:rsidRPr="00B63191" w14:paraId="6CBD5022" w14:textId="77777777" w:rsidTr="00604051">
        <w:tc>
          <w:tcPr>
            <w:tcW w:w="1000" w:type="pct"/>
            <w:tcBorders>
              <w:top w:val="nil"/>
              <w:bottom w:val="nil"/>
            </w:tcBorders>
            <w:shd w:val="clear" w:color="auto" w:fill="auto"/>
          </w:tcPr>
          <w:p w14:paraId="3CC1D274" w14:textId="77777777" w:rsidR="00767353" w:rsidRPr="007427E8" w:rsidRDefault="00767353" w:rsidP="00604051">
            <w:pPr>
              <w:pStyle w:val="TableBodyText"/>
              <w:spacing w:before="45" w:after="45"/>
              <w:ind w:left="57" w:right="108" w:hanging="1"/>
              <w:jc w:val="left"/>
              <w:rPr>
                <w:rFonts w:ascii="Arial (Body)" w:hAnsi="Arial (Body)"/>
                <w:bCs/>
              </w:rPr>
            </w:pPr>
            <w:r w:rsidRPr="007427E8">
              <w:rPr>
                <w:rFonts w:ascii="Arial (Body)" w:hAnsi="Arial (Body)"/>
                <w:bCs/>
              </w:rPr>
              <w:t>1d: Zero returns</w:t>
            </w:r>
          </w:p>
        </w:tc>
        <w:tc>
          <w:tcPr>
            <w:tcW w:w="4000" w:type="pct"/>
            <w:tcBorders>
              <w:top w:val="nil"/>
              <w:bottom w:val="nil"/>
            </w:tcBorders>
            <w:shd w:val="clear" w:color="auto" w:fill="auto"/>
          </w:tcPr>
          <w:p w14:paraId="72B389E0" w14:textId="77777777" w:rsidR="00767353" w:rsidRPr="00B63191" w:rsidRDefault="00767353" w:rsidP="00604051">
            <w:pPr>
              <w:pStyle w:val="TableBodyText"/>
              <w:spacing w:before="45" w:after="45"/>
              <w:ind w:left="57" w:right="108"/>
              <w:jc w:val="left"/>
              <w:rPr>
                <w:rFonts w:ascii="Arial (Body)" w:hAnsi="Arial (Body)"/>
                <w:color w:val="000000"/>
              </w:rPr>
            </w:pPr>
            <w:r w:rsidRPr="00B63191">
              <w:rPr>
                <w:rFonts w:ascii="Arial (Body)" w:hAnsi="Arial (Body)"/>
                <w:color w:val="000000"/>
              </w:rPr>
              <w:t xml:space="preserve">All rates of return on assets are zero. </w:t>
            </w:r>
          </w:p>
        </w:tc>
      </w:tr>
      <w:tr w:rsidR="00767353" w:rsidRPr="00B63191" w14:paraId="0025E4D2" w14:textId="77777777" w:rsidTr="00604051">
        <w:tc>
          <w:tcPr>
            <w:tcW w:w="1000" w:type="pct"/>
            <w:tcBorders>
              <w:top w:val="nil"/>
            </w:tcBorders>
            <w:shd w:val="clear" w:color="auto" w:fill="F1F1F1"/>
          </w:tcPr>
          <w:p w14:paraId="35B808A3" w14:textId="77777777" w:rsidR="00767353" w:rsidRPr="007427E8" w:rsidRDefault="00767353" w:rsidP="00604051">
            <w:pPr>
              <w:pStyle w:val="TableBodyText"/>
              <w:spacing w:before="45" w:after="45"/>
              <w:ind w:left="57" w:right="108" w:hanging="1"/>
              <w:jc w:val="left"/>
              <w:rPr>
                <w:rFonts w:ascii="Arial (Body)" w:hAnsi="Arial (Body)"/>
                <w:bCs/>
              </w:rPr>
            </w:pPr>
            <w:r w:rsidRPr="007427E8">
              <w:rPr>
                <w:rFonts w:ascii="Arial (Body)" w:hAnsi="Arial (Body)"/>
                <w:bCs/>
              </w:rPr>
              <w:t>1e: Housing return 5%</w:t>
            </w:r>
          </w:p>
        </w:tc>
        <w:tc>
          <w:tcPr>
            <w:tcW w:w="4000" w:type="pct"/>
            <w:tcBorders>
              <w:top w:val="nil"/>
            </w:tcBorders>
            <w:shd w:val="clear" w:color="auto" w:fill="F1F1F1"/>
          </w:tcPr>
          <w:p w14:paraId="7030186C" w14:textId="77777777" w:rsidR="00767353" w:rsidRPr="00B63191" w:rsidRDefault="00767353" w:rsidP="00604051">
            <w:pPr>
              <w:pStyle w:val="TableBodyText"/>
              <w:spacing w:before="45" w:after="45"/>
              <w:ind w:left="57" w:right="108"/>
              <w:jc w:val="left"/>
              <w:rPr>
                <w:rFonts w:ascii="Arial (Body)" w:hAnsi="Arial (Body)"/>
                <w:color w:val="000000"/>
              </w:rPr>
            </w:pPr>
            <w:r w:rsidRPr="00B63191">
              <w:rPr>
                <w:rFonts w:ascii="Arial (Body)" w:hAnsi="Arial (Body)"/>
                <w:color w:val="000000"/>
              </w:rPr>
              <w:t>Counterfactual housing return assumption — housing rate of return converges to 5 per cent instead of 4 per cent.</w:t>
            </w:r>
          </w:p>
        </w:tc>
      </w:tr>
    </w:tbl>
    <w:p w14:paraId="48C7E9E3" w14:textId="77777777" w:rsidR="00767353" w:rsidRDefault="00767353" w:rsidP="00767353">
      <w:pPr>
        <w:pStyle w:val="Space"/>
      </w:pPr>
    </w:p>
    <w:p w14:paraId="3F183E66" w14:textId="4AD7CAEE" w:rsidR="003104ED" w:rsidRDefault="00A054CA" w:rsidP="003104ED">
      <w:pPr>
        <w:pStyle w:val="BodyText"/>
      </w:pPr>
      <w:r>
        <w:t>T</w:t>
      </w:r>
      <w:r w:rsidR="003104ED">
        <w:t xml:space="preserve">he finding that wealth becomes more concentrated towards older cohorts and that wealth transfers reduce relative inequality remained </w:t>
      </w:r>
      <w:r w:rsidR="003104ED" w:rsidRPr="001274F0">
        <w:t xml:space="preserve">unchanged (figure </w:t>
      </w:r>
      <w:r w:rsidR="003104ED" w:rsidRPr="00A63F2E">
        <w:t>C.8, panels b and c</w:t>
      </w:r>
      <w:r w:rsidR="003104ED" w:rsidRPr="001274F0">
        <w:t xml:space="preserve">). As discussed in chapter 3, the </w:t>
      </w:r>
      <w:r w:rsidR="003104ED" w:rsidRPr="001274F0">
        <w:lastRenderedPageBreak/>
        <w:t>underlying value of the Gini was higher in the scenarios that had higher rates of return</w:t>
      </w:r>
      <w:r w:rsidR="002571F3">
        <w:t>,</w:t>
      </w:r>
      <w:r w:rsidR="003104ED" w:rsidRPr="001274F0">
        <w:t xml:space="preserve"> and wealth transfers led to greater</w:t>
      </w:r>
      <w:r w:rsidR="003104ED">
        <w:t xml:space="preserve"> reductions in the Gini from those higher levels.</w:t>
      </w:r>
    </w:p>
    <w:p w14:paraId="18F9EE7B" w14:textId="3C44000B"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7E2901">
        <w:t>8</w:t>
      </w:r>
      <w:r>
        <w:rPr>
          <w:noProof/>
        </w:rPr>
        <w:t xml:space="preserve"> </w:t>
      </w:r>
      <w:r>
        <w:t>– Rate of return adjustment results</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294BFB" w14:paraId="65F89201" w14:textId="77777777" w:rsidTr="00604051">
        <w:trPr>
          <w:tblHeader/>
          <w:jc w:val="center"/>
        </w:trPr>
        <w:tc>
          <w:tcPr>
            <w:tcW w:w="2500" w:type="pct"/>
            <w:tcBorders>
              <w:top w:val="nil"/>
              <w:bottom w:val="nil"/>
            </w:tcBorders>
          </w:tcPr>
          <w:p w14:paraId="473EA51F" w14:textId="41594F29" w:rsidR="00767353" w:rsidRPr="00C373CD" w:rsidRDefault="00767353" w:rsidP="00C373CD">
            <w:pPr>
              <w:pStyle w:val="FigureTableSubheading"/>
              <w:ind w:left="720" w:hanging="360"/>
              <w:rPr>
                <w:sz w:val="16"/>
                <w:szCs w:val="16"/>
              </w:rPr>
            </w:pPr>
            <w:r w:rsidRPr="00C373CD">
              <w:rPr>
                <w:sz w:val="16"/>
                <w:szCs w:val="16"/>
              </w:rPr>
              <w:t>a.</w:t>
            </w:r>
            <w:r w:rsidRPr="00C373CD">
              <w:rPr>
                <w:sz w:val="16"/>
                <w:szCs w:val="16"/>
              </w:rPr>
              <w:tab/>
              <w:t>Total wealth by age group in 2048 (2018</w:t>
            </w:r>
            <w:r w:rsidR="00E971F4" w:rsidRPr="00C373CD">
              <w:rPr>
                <w:sz w:val="16"/>
                <w:szCs w:val="16"/>
              </w:rPr>
              <w:t> </w:t>
            </w:r>
            <w:r w:rsidRPr="00C373CD">
              <w:rPr>
                <w:sz w:val="16"/>
                <w:szCs w:val="16"/>
              </w:rPr>
              <w:t>dollars)</w:t>
            </w:r>
          </w:p>
          <w:p w14:paraId="49517831" w14:textId="77777777" w:rsidR="00767353" w:rsidRPr="00294BFB" w:rsidRDefault="00767353" w:rsidP="00604051">
            <w:pPr>
              <w:pStyle w:val="BodyText"/>
              <w:ind w:left="284" w:hanging="284"/>
              <w:rPr>
                <w:sz w:val="18"/>
                <w:szCs w:val="18"/>
              </w:rPr>
            </w:pPr>
            <w:r w:rsidRPr="00294BFB">
              <w:rPr>
                <w:noProof/>
                <w:sz w:val="18"/>
                <w:szCs w:val="18"/>
              </w:rPr>
              <w:drawing>
                <wp:inline distT="0" distB="0" distL="0" distR="0" wp14:anchorId="56DA1C5C" wp14:editId="7A26A154">
                  <wp:extent cx="2984500" cy="2472055"/>
                  <wp:effectExtent l="0" t="0" r="6350" b="0"/>
                  <wp:docPr id="121" name="Picture 121" descr="Figure C.8, panel a. This chart shows total wealth projected in 2048 by 5-year age group, under the base scenario and alternate rate of return scenario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igure C.8, panel a. This chart shows total wealth projected in 2048 by 5-year age group, under the base scenario and alternate rate of return scenarios. More details are contained in the text surrounding this figur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84500" cy="2472055"/>
                          </a:xfrm>
                          <a:prstGeom prst="rect">
                            <a:avLst/>
                          </a:prstGeom>
                          <a:noFill/>
                          <a:ln>
                            <a:noFill/>
                          </a:ln>
                        </pic:spPr>
                      </pic:pic>
                    </a:graphicData>
                  </a:graphic>
                </wp:inline>
              </w:drawing>
            </w:r>
          </w:p>
        </w:tc>
        <w:tc>
          <w:tcPr>
            <w:tcW w:w="2500" w:type="pct"/>
            <w:tcBorders>
              <w:top w:val="nil"/>
              <w:bottom w:val="nil"/>
            </w:tcBorders>
          </w:tcPr>
          <w:p w14:paraId="557CD926" w14:textId="21BF06DF" w:rsidR="00767353" w:rsidRPr="00335C09" w:rsidRDefault="00767353" w:rsidP="00C373CD">
            <w:pPr>
              <w:pStyle w:val="FigureTableSubheading"/>
              <w:ind w:left="720" w:hanging="360"/>
              <w:rPr>
                <w:spacing w:val="-4"/>
                <w:sz w:val="16"/>
                <w:szCs w:val="16"/>
              </w:rPr>
            </w:pPr>
            <w:r w:rsidRPr="00C373CD">
              <w:rPr>
                <w:sz w:val="16"/>
                <w:szCs w:val="16"/>
              </w:rPr>
              <w:t>b.</w:t>
            </w:r>
            <w:r w:rsidRPr="00C373CD">
              <w:rPr>
                <w:sz w:val="16"/>
                <w:szCs w:val="16"/>
              </w:rPr>
              <w:tab/>
            </w:r>
            <w:r w:rsidRPr="00335C09">
              <w:rPr>
                <w:spacing w:val="-4"/>
                <w:sz w:val="16"/>
                <w:szCs w:val="16"/>
              </w:rPr>
              <w:t>Percentage wealth held by age group in 2048</w:t>
            </w:r>
            <w:r w:rsidR="00E971F4" w:rsidRPr="00335C09">
              <w:rPr>
                <w:spacing w:val="-4"/>
                <w:sz w:val="16"/>
                <w:szCs w:val="16"/>
              </w:rPr>
              <w:t xml:space="preserve"> </w:t>
            </w:r>
            <w:r w:rsidRPr="00335C09">
              <w:rPr>
                <w:spacing w:val="-4"/>
                <w:sz w:val="16"/>
                <w:szCs w:val="16"/>
              </w:rPr>
              <w:t>(percentage of projected 30–99 year old wealth)</w:t>
            </w:r>
          </w:p>
          <w:p w14:paraId="31A36F7B" w14:textId="77777777" w:rsidR="00767353" w:rsidRPr="00294BFB" w:rsidRDefault="00767353" w:rsidP="00604051">
            <w:pPr>
              <w:pStyle w:val="BodyText"/>
              <w:ind w:left="284" w:hanging="284"/>
              <w:rPr>
                <w:sz w:val="18"/>
                <w:szCs w:val="18"/>
              </w:rPr>
            </w:pPr>
            <w:r w:rsidRPr="00294BFB">
              <w:rPr>
                <w:noProof/>
                <w:sz w:val="18"/>
                <w:szCs w:val="18"/>
              </w:rPr>
              <w:drawing>
                <wp:inline distT="0" distB="0" distL="0" distR="0" wp14:anchorId="0568FD6D" wp14:editId="3BBBE62C">
                  <wp:extent cx="2994660" cy="2472055"/>
                  <wp:effectExtent l="0" t="0" r="0" b="0"/>
                  <wp:docPr id="124" name="Picture 124" descr="Figure C.8, panel b. This chart shows the projected shares of the population and wealth held by each 5-year age group in 2048, under the base scenario and alternate rate of return scenarios. Older age groups hold a disproportionately large share of wealth under eac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C.8, panel b. This chart shows the projected shares of the population and wealth held by each 5-year age group in 2048, under the base scenario and alternate rate of return scenarios. Older age groups hold a disproportionately large share of wealth under each scenario."/>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94660" cy="2472055"/>
                          </a:xfrm>
                          <a:prstGeom prst="rect">
                            <a:avLst/>
                          </a:prstGeom>
                          <a:noFill/>
                          <a:ln>
                            <a:noFill/>
                          </a:ln>
                        </pic:spPr>
                      </pic:pic>
                    </a:graphicData>
                  </a:graphic>
                </wp:inline>
              </w:drawing>
            </w:r>
          </w:p>
        </w:tc>
      </w:tr>
      <w:tr w:rsidR="00767353" w:rsidRPr="00294BFB" w14:paraId="621F2B77" w14:textId="77777777" w:rsidTr="00604051">
        <w:trPr>
          <w:tblHeader/>
          <w:jc w:val="center"/>
        </w:trPr>
        <w:tc>
          <w:tcPr>
            <w:tcW w:w="5000" w:type="pct"/>
            <w:gridSpan w:val="2"/>
            <w:tcBorders>
              <w:top w:val="nil"/>
              <w:bottom w:val="nil"/>
            </w:tcBorders>
          </w:tcPr>
          <w:p w14:paraId="0C0625C8" w14:textId="77777777" w:rsidR="00767353" w:rsidRPr="00C373CD" w:rsidRDefault="00767353" w:rsidP="00C373CD">
            <w:pPr>
              <w:pStyle w:val="FigureTableSubheading"/>
              <w:ind w:left="720" w:hanging="360"/>
              <w:rPr>
                <w:sz w:val="16"/>
                <w:szCs w:val="16"/>
              </w:rPr>
            </w:pPr>
            <w:r w:rsidRPr="00C373CD">
              <w:rPr>
                <w:sz w:val="16"/>
                <w:szCs w:val="16"/>
              </w:rPr>
              <w:t>c.</w:t>
            </w:r>
            <w:r w:rsidRPr="00C373CD">
              <w:rPr>
                <w:sz w:val="16"/>
                <w:szCs w:val="16"/>
              </w:rPr>
              <w:tab/>
              <w:t>Improvement in wealth inequality due to wealth transfers (reduction in Gini coefficient on a 100 point scale)</w:t>
            </w:r>
          </w:p>
          <w:p w14:paraId="62E40EF8" w14:textId="77777777" w:rsidR="00767353" w:rsidRPr="00294BFB" w:rsidRDefault="00767353" w:rsidP="00604051">
            <w:pPr>
              <w:pStyle w:val="BodyText"/>
              <w:ind w:left="284" w:hanging="284"/>
              <w:rPr>
                <w:sz w:val="18"/>
                <w:szCs w:val="18"/>
              </w:rPr>
            </w:pPr>
            <w:r w:rsidRPr="00294BFB">
              <w:rPr>
                <w:noProof/>
                <w:sz w:val="18"/>
                <w:szCs w:val="18"/>
              </w:rPr>
              <w:drawing>
                <wp:inline distT="0" distB="0" distL="0" distR="0" wp14:anchorId="4B573B7C" wp14:editId="3B8B3C8E">
                  <wp:extent cx="6119495" cy="2532380"/>
                  <wp:effectExtent l="0" t="0" r="0" b="0"/>
                  <wp:docPr id="126" name="Picture 126" descr="Figure C.8, panel c. This chart shows the cumulative change in the Gini coefficient for millennials and Gen X due to wealth transfers, under the base scenario and alternate rate of return scenarios. Wealth transfers are equalising under each scenario.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Figure C.8, panel c. This chart shows the cumulative change in the Gini coefficient for millennials and Gen X due to wealth transfers, under the base scenario and alternate rate of return scenarios. Wealth transfers are equalising under each scenario. More details are contained in the text surrounding this figur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19495" cy="2532380"/>
                          </a:xfrm>
                          <a:prstGeom prst="rect">
                            <a:avLst/>
                          </a:prstGeom>
                          <a:noFill/>
                          <a:ln>
                            <a:noFill/>
                          </a:ln>
                        </pic:spPr>
                      </pic:pic>
                    </a:graphicData>
                  </a:graphic>
                </wp:inline>
              </w:drawing>
            </w:r>
          </w:p>
        </w:tc>
      </w:tr>
      <w:tr w:rsidR="00767353" w:rsidRPr="0027747F" w14:paraId="271326F1" w14:textId="77777777" w:rsidTr="00604051">
        <w:trPr>
          <w:tblHeader/>
          <w:jc w:val="center"/>
        </w:trPr>
        <w:tc>
          <w:tcPr>
            <w:tcW w:w="5000" w:type="pct"/>
            <w:gridSpan w:val="2"/>
            <w:tcBorders>
              <w:top w:val="nil"/>
              <w:bottom w:val="nil"/>
            </w:tcBorders>
          </w:tcPr>
          <w:p w14:paraId="60D3593B" w14:textId="77777777" w:rsidR="00767353" w:rsidRPr="0027747F" w:rsidRDefault="00767353" w:rsidP="00604051">
            <w:pPr>
              <w:pStyle w:val="BodyText"/>
              <w:jc w:val="center"/>
            </w:pPr>
            <w:r w:rsidRPr="00EA1580">
              <w:rPr>
                <w:noProof/>
              </w:rPr>
              <w:drawing>
                <wp:inline distT="0" distB="0" distL="0" distR="0" wp14:anchorId="33D4954F" wp14:editId="6489DE6F">
                  <wp:extent cx="4481830" cy="653415"/>
                  <wp:effectExtent l="0" t="0" r="0" b="0"/>
                  <wp:docPr id="134" name="Picture 134" descr="Figure C.8,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Figure C.8, Legen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481830" cy="653415"/>
                          </a:xfrm>
                          <a:prstGeom prst="rect">
                            <a:avLst/>
                          </a:prstGeom>
                          <a:noFill/>
                          <a:ln>
                            <a:noFill/>
                          </a:ln>
                        </pic:spPr>
                      </pic:pic>
                    </a:graphicData>
                  </a:graphic>
                </wp:inline>
              </w:drawing>
            </w:r>
          </w:p>
        </w:tc>
      </w:tr>
    </w:tbl>
    <w:p w14:paraId="24C9C4B8" w14:textId="77777777" w:rsidR="00767353" w:rsidRDefault="00767353" w:rsidP="00767353">
      <w:pPr>
        <w:pStyle w:val="Source"/>
      </w:pPr>
      <w:r w:rsidRPr="00696447">
        <w:t xml:space="preserve">Source: </w:t>
      </w:r>
      <w:r w:rsidRPr="0064015A">
        <w:t>Productivity Commission estimates from cohort simulation model.</w:t>
      </w:r>
    </w:p>
    <w:p w14:paraId="39FC0191" w14:textId="77777777" w:rsidR="003104ED" w:rsidRDefault="003104ED" w:rsidP="003104ED">
      <w:pPr>
        <w:pStyle w:val="Heading3"/>
      </w:pPr>
      <w:r>
        <w:lastRenderedPageBreak/>
        <w:t>Wealth transfer adjustments</w:t>
      </w:r>
    </w:p>
    <w:p w14:paraId="13D4F74A" w14:textId="77777777" w:rsidR="003104ED" w:rsidRDefault="003104ED" w:rsidP="003104ED">
      <w:pPr>
        <w:pStyle w:val="BodyText"/>
        <w:keepNext/>
      </w:pPr>
      <w:r>
        <w:t>Chapter 3 presented the results of three wealth transfer adjustment scenarios (table C.3, scenarios 2a to 2c), where:</w:t>
      </w:r>
    </w:p>
    <w:p w14:paraId="6C1F7CAA" w14:textId="77777777" w:rsidR="003104ED" w:rsidRDefault="003104ED" w:rsidP="003104ED">
      <w:pPr>
        <w:pStyle w:val="ListBullet"/>
      </w:pPr>
      <w:r>
        <w:t>the wealthy receive larger inheritances</w:t>
      </w:r>
    </w:p>
    <w:p w14:paraId="0EFE7B19" w14:textId="77777777" w:rsidR="003104ED" w:rsidRDefault="003104ED" w:rsidP="003104ED">
      <w:pPr>
        <w:pStyle w:val="ListBullet"/>
      </w:pPr>
      <w:r>
        <w:t>the wealthy save more of their inheritance</w:t>
      </w:r>
    </w:p>
    <w:p w14:paraId="53C532F1" w14:textId="77777777" w:rsidR="003104ED" w:rsidRDefault="003104ED" w:rsidP="003104ED">
      <w:pPr>
        <w:pStyle w:val="ListBullet"/>
      </w:pPr>
      <w:r>
        <w:t>the less wealthy save less before receiving an inheritance (in anticipation of receipt).</w:t>
      </w:r>
    </w:p>
    <w:p w14:paraId="4F401E9E" w14:textId="77777777" w:rsidR="003104ED" w:rsidRDefault="003104ED" w:rsidP="003104ED">
      <w:pPr>
        <w:pStyle w:val="BodyText"/>
      </w:pPr>
      <w:r>
        <w:t>The assumptions in these scenarios increased the extent to which the wealthy benefit from receiving inheritances, and led to wealth transfers worsening relative wealth inequality within generations for at least part of the projection period (chapter 3).</w:t>
      </w:r>
    </w:p>
    <w:p w14:paraId="69E36FC8" w14:textId="77777777" w:rsidR="003104ED" w:rsidRDefault="003104ED" w:rsidP="003104ED">
      <w:pPr>
        <w:pStyle w:val="BodyText"/>
      </w:pPr>
      <w:r>
        <w:t xml:space="preserve">Three other wealth transfer adjustments were also </w:t>
      </w:r>
      <w:r w:rsidRPr="001274F0">
        <w:t xml:space="preserve">examined (table </w:t>
      </w:r>
      <w:r w:rsidRPr="00A63F2E">
        <w:t>C.3, scenarios 2d to 2f</w:t>
      </w:r>
      <w:r w:rsidRPr="001274F0">
        <w:t>). In each of these scenarios, wealth transfers were found to reduce wealth inequality</w:t>
      </w:r>
      <w:r>
        <w:t xml:space="preserve"> in the long run, as in the base scenario (figure C.9, panel c), but there were some other notable results.</w:t>
      </w:r>
    </w:p>
    <w:p w14:paraId="6B8C8029" w14:textId="1B16AD45" w:rsidR="00767353" w:rsidRDefault="00767353" w:rsidP="00767353">
      <w:pPr>
        <w:pStyle w:val="FigureTableHeading"/>
        <w:spacing w:after="120"/>
      </w:pPr>
      <w:r>
        <w:t xml:space="preserve">Table </w:t>
      </w:r>
      <w:fldSimple w:instr=" STYLEREF  \s Heading-Appendix ">
        <w:r w:rsidR="00F3386D">
          <w:rPr>
            <w:noProof/>
          </w:rPr>
          <w:t>C</w:t>
        </w:r>
      </w:fldSimple>
      <w:r>
        <w:t>.</w:t>
      </w:r>
      <w:r w:rsidR="00132C71">
        <w:t>3</w:t>
      </w:r>
      <w:r>
        <w:rPr>
          <w:noProof/>
        </w:rPr>
        <w:t xml:space="preserve"> – </w:t>
      </w:r>
      <w:r>
        <w:t>Wealth transfer adjustments in scenario analysis</w:t>
      </w:r>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090"/>
        <w:gridCol w:w="7548"/>
      </w:tblGrid>
      <w:tr w:rsidR="00767353" w:rsidRPr="005B0C20" w14:paraId="5A521F04" w14:textId="77777777" w:rsidTr="00604051">
        <w:trPr>
          <w:tblHeader/>
        </w:trPr>
        <w:tc>
          <w:tcPr>
            <w:tcW w:w="1084" w:type="pct"/>
            <w:tcBorders>
              <w:bottom w:val="single" w:sz="4" w:space="0" w:color="B3B3B3"/>
            </w:tcBorders>
            <w:shd w:val="clear" w:color="auto" w:fill="auto"/>
            <w:tcMar>
              <w:top w:w="28" w:type="dxa"/>
            </w:tcMar>
          </w:tcPr>
          <w:p w14:paraId="081DA361" w14:textId="77777777" w:rsidR="00767353" w:rsidRPr="005B0C20" w:rsidRDefault="00767353" w:rsidP="00604051">
            <w:pPr>
              <w:pStyle w:val="TableColumnHeading"/>
              <w:spacing w:before="45" w:after="45"/>
              <w:ind w:left="57" w:right="108"/>
              <w:jc w:val="left"/>
              <w:rPr>
                <w:rFonts w:ascii="Arial (Body)" w:hAnsi="Arial (Body)"/>
                <w:b/>
                <w:i w:val="0"/>
                <w:color w:val="265A9A"/>
              </w:rPr>
            </w:pPr>
            <w:r w:rsidRPr="005B0C20">
              <w:rPr>
                <w:rFonts w:ascii="Arial (Body)" w:hAnsi="Arial (Body)"/>
                <w:b/>
                <w:i w:val="0"/>
                <w:color w:val="265A9A"/>
              </w:rPr>
              <w:t>Scenario</w:t>
            </w:r>
          </w:p>
        </w:tc>
        <w:tc>
          <w:tcPr>
            <w:tcW w:w="3916" w:type="pct"/>
            <w:tcBorders>
              <w:bottom w:val="single" w:sz="4" w:space="0" w:color="B3B3B3"/>
            </w:tcBorders>
            <w:shd w:val="clear" w:color="auto" w:fill="auto"/>
          </w:tcPr>
          <w:p w14:paraId="741164BA" w14:textId="77777777" w:rsidR="00767353" w:rsidRPr="005B0C20" w:rsidRDefault="00767353" w:rsidP="00604051">
            <w:pPr>
              <w:pStyle w:val="TableColumnHeading"/>
              <w:spacing w:before="45" w:after="45"/>
              <w:ind w:left="57" w:right="108"/>
              <w:jc w:val="left"/>
              <w:rPr>
                <w:rFonts w:ascii="Arial (Body)" w:hAnsi="Arial (Body)"/>
                <w:b/>
                <w:i w:val="0"/>
                <w:color w:val="265A9A"/>
              </w:rPr>
            </w:pPr>
            <w:r w:rsidRPr="005B0C20">
              <w:rPr>
                <w:rFonts w:ascii="Arial (Body)" w:hAnsi="Arial (Body)"/>
                <w:b/>
                <w:i w:val="0"/>
                <w:color w:val="265A9A"/>
              </w:rPr>
              <w:t>Description</w:t>
            </w:r>
          </w:p>
        </w:tc>
      </w:tr>
      <w:tr w:rsidR="00767353" w:rsidRPr="005B0C20" w14:paraId="1166FA16" w14:textId="77777777" w:rsidTr="00604051">
        <w:tc>
          <w:tcPr>
            <w:tcW w:w="1084" w:type="pct"/>
            <w:tcBorders>
              <w:top w:val="single" w:sz="4" w:space="0" w:color="B3B3B3"/>
              <w:bottom w:val="nil"/>
            </w:tcBorders>
            <w:shd w:val="clear" w:color="auto" w:fill="F1F1F1"/>
          </w:tcPr>
          <w:p w14:paraId="1B7CC894" w14:textId="77777777" w:rsidR="00767353" w:rsidRPr="00AC792D" w:rsidRDefault="00767353" w:rsidP="00604051">
            <w:pPr>
              <w:pStyle w:val="TableBodyText"/>
              <w:spacing w:before="45" w:after="45"/>
              <w:ind w:left="57" w:right="108"/>
              <w:jc w:val="left"/>
              <w:rPr>
                <w:rFonts w:ascii="Arial (Body)" w:hAnsi="Arial (Body)"/>
                <w:bCs/>
              </w:rPr>
            </w:pPr>
            <w:r w:rsidRPr="00AC792D">
              <w:rPr>
                <w:rFonts w:ascii="Arial (Body)" w:hAnsi="Arial (Body)"/>
                <w:bCs/>
              </w:rPr>
              <w:t>2a: Wealthy receive larger inheritances than in base scenario</w:t>
            </w:r>
          </w:p>
        </w:tc>
        <w:tc>
          <w:tcPr>
            <w:tcW w:w="3916" w:type="pct"/>
            <w:tcBorders>
              <w:top w:val="single" w:sz="4" w:space="0" w:color="B3B3B3"/>
              <w:bottom w:val="nil"/>
            </w:tcBorders>
            <w:shd w:val="clear" w:color="auto" w:fill="F1F1F1"/>
          </w:tcPr>
          <w:p w14:paraId="1D278D5D" w14:textId="77777777" w:rsidR="00767353" w:rsidRPr="005B0C20" w:rsidRDefault="00767353" w:rsidP="00604051">
            <w:pPr>
              <w:pStyle w:val="TableBodyText"/>
              <w:spacing w:before="45" w:after="45"/>
              <w:ind w:left="57" w:right="108"/>
              <w:jc w:val="left"/>
              <w:rPr>
                <w:rFonts w:ascii="Arial (Body)" w:hAnsi="Arial (Body)"/>
                <w:color w:val="000000"/>
              </w:rPr>
            </w:pPr>
            <w:r w:rsidRPr="005B0C20">
              <w:rPr>
                <w:rFonts w:ascii="Arial (Body)" w:hAnsi="Arial (Body)"/>
                <w:color w:val="000000"/>
              </w:rPr>
              <w:t>Inheritance recipients aged 30–89 in the top third of the wealth distribution for their age group receive 65 per cent of the pool of inheritances for their age group, the middle third receive 30 per cent, and the bottom third receive 5 per cent. (Base scenario distributions are about 54, 33 and 13 per cent respectively.) It is also assumed that receiving an inheritance does not lead to an increased probability of home ownership.</w:t>
            </w:r>
          </w:p>
        </w:tc>
      </w:tr>
      <w:tr w:rsidR="00767353" w:rsidRPr="005B0C20" w14:paraId="5921919C" w14:textId="77777777" w:rsidTr="00604051">
        <w:tc>
          <w:tcPr>
            <w:tcW w:w="1084" w:type="pct"/>
            <w:tcBorders>
              <w:top w:val="nil"/>
              <w:bottom w:val="nil"/>
            </w:tcBorders>
            <w:shd w:val="clear" w:color="auto" w:fill="auto"/>
          </w:tcPr>
          <w:p w14:paraId="3694D48A" w14:textId="77777777" w:rsidR="00767353" w:rsidRPr="00AC792D" w:rsidRDefault="00767353" w:rsidP="00604051">
            <w:pPr>
              <w:pStyle w:val="TableBodyText"/>
              <w:spacing w:before="45" w:after="45"/>
              <w:ind w:left="57" w:right="108"/>
              <w:jc w:val="left"/>
              <w:rPr>
                <w:rFonts w:ascii="Arial (Body)" w:hAnsi="Arial (Body)"/>
                <w:bCs/>
              </w:rPr>
            </w:pPr>
            <w:r w:rsidRPr="00AC792D">
              <w:rPr>
                <w:rFonts w:ascii="Arial (Body)" w:hAnsi="Arial (Body)"/>
                <w:bCs/>
              </w:rPr>
              <w:t>2b: Wealthy save more of inheritance than in base scenario</w:t>
            </w:r>
          </w:p>
        </w:tc>
        <w:tc>
          <w:tcPr>
            <w:tcW w:w="3916" w:type="pct"/>
            <w:tcBorders>
              <w:top w:val="nil"/>
              <w:bottom w:val="nil"/>
            </w:tcBorders>
            <w:shd w:val="clear" w:color="auto" w:fill="auto"/>
          </w:tcPr>
          <w:p w14:paraId="06AA94F8" w14:textId="77777777" w:rsidR="00767353" w:rsidRPr="005B0C20" w:rsidRDefault="00767353" w:rsidP="00604051">
            <w:pPr>
              <w:pStyle w:val="TableBodyText"/>
              <w:spacing w:before="45" w:after="45"/>
              <w:ind w:left="57" w:right="108"/>
              <w:jc w:val="left"/>
              <w:rPr>
                <w:rFonts w:ascii="Arial (Body)" w:hAnsi="Arial (Body)"/>
                <w:color w:val="000000"/>
              </w:rPr>
            </w:pPr>
            <w:r w:rsidRPr="005B0C20">
              <w:rPr>
                <w:rFonts w:ascii="Arial (Body)" w:hAnsi="Arial (Body)"/>
                <w:color w:val="000000"/>
              </w:rPr>
              <w:t>Inheritance recipients aged 30–89 in the top third of the wealth distribution for their age group save 40 per cent of their received inheritance in other assets upon receipt, the middle third saves 20 per cent, and the bottom third saves 5 per cent.</w:t>
            </w:r>
          </w:p>
        </w:tc>
      </w:tr>
      <w:tr w:rsidR="00767353" w:rsidRPr="005B0C20" w14:paraId="1EE6B844" w14:textId="77777777" w:rsidTr="00604051">
        <w:tc>
          <w:tcPr>
            <w:tcW w:w="1084" w:type="pct"/>
            <w:tcBorders>
              <w:top w:val="nil"/>
              <w:bottom w:val="nil"/>
            </w:tcBorders>
            <w:shd w:val="clear" w:color="auto" w:fill="F1F1F1"/>
          </w:tcPr>
          <w:p w14:paraId="77DBEB41" w14:textId="77777777" w:rsidR="00767353" w:rsidRPr="00AC792D" w:rsidRDefault="00767353" w:rsidP="00604051">
            <w:pPr>
              <w:pStyle w:val="TableBodyText"/>
              <w:spacing w:before="45" w:after="45"/>
              <w:ind w:left="57" w:right="108"/>
              <w:jc w:val="left"/>
              <w:rPr>
                <w:rFonts w:ascii="Arial (Body)" w:hAnsi="Arial (Body)"/>
                <w:bCs/>
              </w:rPr>
            </w:pPr>
            <w:r w:rsidRPr="00AC792D">
              <w:rPr>
                <w:rFonts w:ascii="Arial (Body)" w:hAnsi="Arial (Body)"/>
                <w:bCs/>
              </w:rPr>
              <w:t>2c: Less wealthy save less than the wealthy before receiving inheritance</w:t>
            </w:r>
          </w:p>
        </w:tc>
        <w:tc>
          <w:tcPr>
            <w:tcW w:w="3916" w:type="pct"/>
            <w:tcBorders>
              <w:top w:val="nil"/>
              <w:bottom w:val="nil"/>
            </w:tcBorders>
            <w:shd w:val="clear" w:color="auto" w:fill="F1F1F1"/>
          </w:tcPr>
          <w:p w14:paraId="4ADD17CC" w14:textId="77777777" w:rsidR="00767353" w:rsidRPr="005B0C20" w:rsidRDefault="00767353" w:rsidP="00604051">
            <w:pPr>
              <w:pStyle w:val="TableBodyText"/>
              <w:spacing w:before="45" w:after="45"/>
              <w:ind w:left="57" w:right="108"/>
              <w:jc w:val="left"/>
              <w:rPr>
                <w:rFonts w:ascii="Arial (Body)" w:hAnsi="Arial (Body)"/>
                <w:color w:val="000000"/>
              </w:rPr>
            </w:pPr>
            <w:r w:rsidRPr="005B0C20">
              <w:rPr>
                <w:rFonts w:ascii="Arial (Body)" w:hAnsi="Arial (Body)"/>
                <w:color w:val="000000"/>
              </w:rPr>
              <w:t>Cohorts aged 30–89 that have not yet received an inheritance and are in the top third of the wealth distribution for their age group have a rate of saving on income in other assets that is 10 per cent lower than under the base scenario, the middle third have a saving rate that is 20 per cent lower, and the bottom third have a saving rate that is 40 per cent lower. Saving rates on income in other assets revert to base scenario rates upon receiving an inheritance.</w:t>
            </w:r>
          </w:p>
        </w:tc>
      </w:tr>
      <w:tr w:rsidR="00767353" w:rsidRPr="005B0C20" w14:paraId="13F88E9B" w14:textId="77777777" w:rsidTr="00604051">
        <w:tc>
          <w:tcPr>
            <w:tcW w:w="1084" w:type="pct"/>
            <w:tcBorders>
              <w:top w:val="nil"/>
              <w:bottom w:val="nil"/>
            </w:tcBorders>
            <w:shd w:val="clear" w:color="auto" w:fill="auto"/>
          </w:tcPr>
          <w:p w14:paraId="1437C34D" w14:textId="77777777" w:rsidR="00767353" w:rsidRPr="00AC792D" w:rsidRDefault="00767353" w:rsidP="00604051">
            <w:pPr>
              <w:pStyle w:val="TableBodyText"/>
              <w:spacing w:before="45" w:after="45"/>
              <w:ind w:left="57" w:right="0"/>
              <w:jc w:val="left"/>
              <w:rPr>
                <w:rFonts w:ascii="Arial (Body)" w:hAnsi="Arial (Body)"/>
                <w:bCs/>
              </w:rPr>
            </w:pPr>
            <w:r w:rsidRPr="00AC792D">
              <w:rPr>
                <w:rFonts w:ascii="Arial (Body)" w:hAnsi="Arial (Body)"/>
                <w:bCs/>
              </w:rPr>
              <w:t>2d: Older cohorts save more of inheritance</w:t>
            </w:r>
          </w:p>
        </w:tc>
        <w:tc>
          <w:tcPr>
            <w:tcW w:w="3916" w:type="pct"/>
            <w:tcBorders>
              <w:top w:val="nil"/>
              <w:bottom w:val="nil"/>
            </w:tcBorders>
            <w:shd w:val="clear" w:color="auto" w:fill="auto"/>
          </w:tcPr>
          <w:p w14:paraId="3A4C1619" w14:textId="77777777" w:rsidR="00767353" w:rsidRPr="005B0C20" w:rsidRDefault="00767353" w:rsidP="00604051">
            <w:pPr>
              <w:pStyle w:val="TableBodyText"/>
              <w:spacing w:before="45" w:after="45"/>
              <w:ind w:left="57" w:right="108"/>
              <w:jc w:val="left"/>
              <w:rPr>
                <w:rFonts w:ascii="Arial (Body)" w:hAnsi="Arial (Body)"/>
                <w:color w:val="000000"/>
              </w:rPr>
            </w:pPr>
            <w:r w:rsidRPr="005B0C20">
              <w:rPr>
                <w:rFonts w:ascii="Arial (Body)" w:hAnsi="Arial (Body)"/>
                <w:color w:val="000000"/>
              </w:rPr>
              <w:t>Cohorts aged 55 and over who receive an inheritance save their inheritance in other assets at double the saving rate of income in other assets.</w:t>
            </w:r>
          </w:p>
        </w:tc>
      </w:tr>
      <w:tr w:rsidR="00767353" w:rsidRPr="005B0C20" w14:paraId="765DC7B3" w14:textId="77777777" w:rsidTr="00604051">
        <w:tc>
          <w:tcPr>
            <w:tcW w:w="1084" w:type="pct"/>
            <w:tcBorders>
              <w:top w:val="nil"/>
              <w:bottom w:val="nil"/>
            </w:tcBorders>
            <w:shd w:val="clear" w:color="auto" w:fill="F1F1F1"/>
          </w:tcPr>
          <w:p w14:paraId="41839BC3" w14:textId="77777777" w:rsidR="00767353" w:rsidRPr="00AC792D" w:rsidRDefault="00767353" w:rsidP="00604051">
            <w:pPr>
              <w:pStyle w:val="TableBodyText"/>
              <w:spacing w:before="45" w:after="45"/>
              <w:ind w:left="57" w:right="108"/>
              <w:jc w:val="left"/>
              <w:rPr>
                <w:rFonts w:ascii="Arial (Body)" w:hAnsi="Arial (Body)"/>
                <w:bCs/>
              </w:rPr>
            </w:pPr>
            <w:r w:rsidRPr="00AC792D">
              <w:rPr>
                <w:rFonts w:ascii="Arial (Body)" w:hAnsi="Arial (Body)"/>
                <w:bCs/>
              </w:rPr>
              <w:t>2e: Save 80 per cent of inheritances</w:t>
            </w:r>
          </w:p>
        </w:tc>
        <w:tc>
          <w:tcPr>
            <w:tcW w:w="3916" w:type="pct"/>
            <w:tcBorders>
              <w:top w:val="nil"/>
              <w:bottom w:val="nil"/>
            </w:tcBorders>
            <w:shd w:val="clear" w:color="auto" w:fill="F1F1F1"/>
          </w:tcPr>
          <w:p w14:paraId="70FB5E4E" w14:textId="77777777" w:rsidR="00767353" w:rsidRPr="005B0C20" w:rsidRDefault="00767353" w:rsidP="00604051">
            <w:pPr>
              <w:pStyle w:val="TableBodyText"/>
              <w:spacing w:before="45" w:after="45"/>
              <w:ind w:left="57" w:right="108"/>
              <w:jc w:val="left"/>
              <w:rPr>
                <w:rFonts w:ascii="Arial (Body)" w:hAnsi="Arial (Body)"/>
                <w:color w:val="000000"/>
              </w:rPr>
            </w:pPr>
            <w:r w:rsidRPr="005B0C20">
              <w:rPr>
                <w:rFonts w:ascii="Arial (Body)" w:hAnsi="Arial (Body)"/>
                <w:color w:val="000000"/>
              </w:rPr>
              <w:t>All cohorts save 80 per cent of their inheritance in other assets. Receiving an inheritance does not lead to an increased probability of home ownership.</w:t>
            </w:r>
          </w:p>
        </w:tc>
      </w:tr>
      <w:tr w:rsidR="00767353" w:rsidRPr="005B0C20" w14:paraId="229F7DE9" w14:textId="77777777" w:rsidTr="00604051">
        <w:tc>
          <w:tcPr>
            <w:tcW w:w="1084" w:type="pct"/>
            <w:tcBorders>
              <w:top w:val="nil"/>
            </w:tcBorders>
            <w:shd w:val="clear" w:color="auto" w:fill="auto"/>
          </w:tcPr>
          <w:p w14:paraId="06C3177D" w14:textId="77777777" w:rsidR="00767353" w:rsidRPr="00AC792D" w:rsidRDefault="00767353" w:rsidP="00604051">
            <w:pPr>
              <w:pStyle w:val="TableBodyText"/>
              <w:spacing w:before="45" w:after="45"/>
              <w:ind w:left="57" w:right="108"/>
              <w:jc w:val="left"/>
              <w:rPr>
                <w:rFonts w:ascii="Arial (Body)" w:hAnsi="Arial (Body)"/>
                <w:bCs/>
              </w:rPr>
            </w:pPr>
            <w:r w:rsidRPr="00AC792D">
              <w:rPr>
                <w:rFonts w:ascii="Arial (Body)" w:hAnsi="Arial (Body)"/>
                <w:bCs/>
              </w:rPr>
              <w:t>2f: Housing for gifts</w:t>
            </w:r>
          </w:p>
        </w:tc>
        <w:tc>
          <w:tcPr>
            <w:tcW w:w="3916" w:type="pct"/>
            <w:tcBorders>
              <w:top w:val="nil"/>
            </w:tcBorders>
            <w:shd w:val="clear" w:color="auto" w:fill="auto"/>
          </w:tcPr>
          <w:p w14:paraId="0568DAD3" w14:textId="77777777" w:rsidR="00767353" w:rsidRPr="005B0C20" w:rsidRDefault="00767353" w:rsidP="00604051">
            <w:pPr>
              <w:pStyle w:val="TableBodyText"/>
              <w:spacing w:before="45" w:after="45"/>
              <w:ind w:left="57" w:right="108"/>
              <w:jc w:val="left"/>
              <w:rPr>
                <w:rFonts w:ascii="Arial (Body)" w:hAnsi="Arial (Body)"/>
                <w:color w:val="000000"/>
              </w:rPr>
            </w:pPr>
            <w:r w:rsidRPr="005B0C20">
              <w:rPr>
                <w:rFonts w:ascii="Arial (Body)" w:hAnsi="Arial (Body)"/>
                <w:color w:val="000000"/>
              </w:rPr>
              <w:t>Cohorts aged 60–79 withdraw 0.3 per cent from housing assets each year to give as gifts (similar to assumed housing drawdowns for the age group). (No assumptions were made on the use of gifts to purchase housing.)</w:t>
            </w:r>
          </w:p>
        </w:tc>
      </w:tr>
    </w:tbl>
    <w:p w14:paraId="5BAE2265" w14:textId="77777777" w:rsidR="00767353" w:rsidRDefault="00767353" w:rsidP="00767353">
      <w:pPr>
        <w:pStyle w:val="BodyText"/>
      </w:pPr>
      <w:r>
        <w:t xml:space="preserve">Assumptions about how cohorts save their received inheritances were changed in two of the scenarios (2d and 2e), due to the uncertainty and lack of data around this measure. </w:t>
      </w:r>
    </w:p>
    <w:p w14:paraId="426A52DC" w14:textId="75AB1D49" w:rsidR="00767353" w:rsidRDefault="00767353" w:rsidP="00767353">
      <w:pPr>
        <w:pStyle w:val="BodyText"/>
      </w:pPr>
      <w:r>
        <w:t xml:space="preserve">In scenario 2d, </w:t>
      </w:r>
      <w:r w:rsidRPr="007414C9">
        <w:t>older people</w:t>
      </w:r>
      <w:r>
        <w:t xml:space="preserve"> (aged 55 and over)</w:t>
      </w:r>
      <w:r w:rsidRPr="007414C9">
        <w:t xml:space="preserve"> </w:t>
      </w:r>
      <w:r>
        <w:t>were</w:t>
      </w:r>
      <w:r w:rsidRPr="007414C9">
        <w:t xml:space="preserve"> assumed to save more of their inheritance</w:t>
      </w:r>
      <w:r>
        <w:t xml:space="preserve">. This </w:t>
      </w:r>
      <w:r w:rsidR="001B4042">
        <w:t xml:space="preserve">might happen because </w:t>
      </w:r>
      <w:r>
        <w:t xml:space="preserve">older people have </w:t>
      </w:r>
      <w:r w:rsidR="001B4042">
        <w:t xml:space="preserve">a </w:t>
      </w:r>
      <w:r>
        <w:t xml:space="preserve">longer history of habit formation, leading to slower adjustments in consumption in response to changes to income </w:t>
      </w:r>
      <w:r>
        <w:fldChar w:fldCharType="begin"/>
      </w:r>
      <w:r w:rsidR="0047772E">
        <w:instrText xml:space="preserve"> ADDIN ZOTERO_ITEM CSL_CITATION {"citationID":"2eEWjCLj","properties":{"formattedCitation":"(Carroll, Overland and Weil\\uc0\\u160{}2000)","plainCitation":"(Carroll, Overland and Weil 2000)","noteIndex":0},"citationItems":[{"id":3159,"uris":["http://zotero.org/groups/2714158/items/FQ7SWMEF"],"uri":["http://zotero.org/groups/2714158/items/FQ7SWMEF"],"itemData":{"id":3159,"type":"article-journal","abstract":"Saving and growth are strongly positively correlated across countries. Recent empirical evidence suggests that this correlation holds largely because high growth leads to high saving, not the other way around. This evidence is difficult to reconcile with standard growth models, since forward-looking consumers with standard utility should save less in a fast-growing economy because they know they will be richer in the future than they are today. We show that if utility depends partly on how consumption compares to a \"habit stock\" determined by past consumption, an otherwise-standard growth model can imply that increases in growth can cause increased saving.","container-title":"American Economic Review","DOI":"10.1257/aer.90.3.341","ISSN":"0002-8282","issue":"3","language":"en","page":"341-355","source":"www.aeaweb.org","title":"Saving and growth with habit formation","volume":"90","author":[{"family":"Carroll","given":"Christopher D."},{"family":"Overland","given":"Jody"},{"family":"Weil","given":"David N."}],"issued":{"date-parts":[["2000"]]}}}],"schema":"https://github.com/citation-style-language/schema/raw/master/csl-citation.json"} </w:instrText>
      </w:r>
      <w:r>
        <w:fldChar w:fldCharType="separate"/>
      </w:r>
      <w:r w:rsidRPr="00DD7697">
        <w:rPr>
          <w:szCs w:val="24"/>
        </w:rPr>
        <w:t>(Carroll, Overland and Weil 2000)</w:t>
      </w:r>
      <w:r>
        <w:fldChar w:fldCharType="end"/>
      </w:r>
      <w:r>
        <w:t>.</w:t>
      </w:r>
      <w:r w:rsidRPr="007414C9">
        <w:t xml:space="preserve"> </w:t>
      </w:r>
      <w:r>
        <w:t>T</w:t>
      </w:r>
      <w:r w:rsidRPr="007414C9">
        <w:t xml:space="preserve">here </w:t>
      </w:r>
      <w:r>
        <w:t>was</w:t>
      </w:r>
      <w:r w:rsidRPr="007414C9">
        <w:t xml:space="preserve"> a larger ‘timing effect’ of inheritances</w:t>
      </w:r>
      <w:r>
        <w:t xml:space="preserve"> on relative wealth inequality observed in this scenario</w:t>
      </w:r>
      <w:r w:rsidRPr="007414C9">
        <w:t xml:space="preserve">. </w:t>
      </w:r>
      <w:r>
        <w:t>This can be seen most obviously in the later years of the projection for millennials — in scenario 2d, the equalising effect of transfers falls so it is lower than under the base scenario (</w:t>
      </w:r>
      <w:r w:rsidRPr="00953AB7">
        <w:t>figure </w:t>
      </w:r>
      <w:r w:rsidRPr="00A63F2E">
        <w:t>C.9</w:t>
      </w:r>
      <w:r w:rsidRPr="00953AB7">
        <w:t>, panel</w:t>
      </w:r>
      <w:r>
        <w:t xml:space="preserve"> c)</w:t>
      </w:r>
      <w:r w:rsidRPr="007414C9">
        <w:t>. Once all people within the generation have received a</w:t>
      </w:r>
      <w:r>
        <w:t>n</w:t>
      </w:r>
      <w:r w:rsidRPr="007414C9">
        <w:t xml:space="preserve"> inheritance in the model, there is a greater equalising effect</w:t>
      </w:r>
      <w:r>
        <w:t>, as seen in the middle to later years of the projection period for generation X.</w:t>
      </w:r>
    </w:p>
    <w:p w14:paraId="03F9976B" w14:textId="776E5008" w:rsidR="00767353" w:rsidRPr="00146382"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132C71">
        <w:t>9</w:t>
      </w:r>
      <w:r>
        <w:rPr>
          <w:noProof/>
        </w:rPr>
        <w:t xml:space="preserve"> </w:t>
      </w:r>
      <w:r>
        <w:t>– Wealth transfer adjustment results</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252EAB" w14:paraId="543333F5" w14:textId="77777777" w:rsidTr="00604051">
        <w:trPr>
          <w:tblHeader/>
          <w:jc w:val="center"/>
        </w:trPr>
        <w:tc>
          <w:tcPr>
            <w:tcW w:w="2500" w:type="pct"/>
            <w:tcBorders>
              <w:top w:val="nil"/>
              <w:bottom w:val="nil"/>
            </w:tcBorders>
          </w:tcPr>
          <w:p w14:paraId="1932A104" w14:textId="052ACEE6" w:rsidR="00767353" w:rsidRPr="00252EAB" w:rsidRDefault="00767353" w:rsidP="00C373CD">
            <w:pPr>
              <w:pStyle w:val="FigureTableSubheading"/>
              <w:ind w:left="720" w:hanging="360"/>
              <w:rPr>
                <w:sz w:val="18"/>
              </w:rPr>
            </w:pPr>
            <w:r w:rsidRPr="00C373CD">
              <w:rPr>
                <w:sz w:val="16"/>
                <w:szCs w:val="16"/>
              </w:rPr>
              <w:t>a.</w:t>
            </w:r>
            <w:r w:rsidR="00252EAB" w:rsidRPr="00C373CD">
              <w:rPr>
                <w:sz w:val="16"/>
                <w:szCs w:val="16"/>
              </w:rPr>
              <w:tab/>
            </w:r>
            <w:r w:rsidRPr="00C373CD">
              <w:rPr>
                <w:sz w:val="16"/>
                <w:szCs w:val="16"/>
              </w:rPr>
              <w:t>Total wealth in 2048 by age group (2018</w:t>
            </w:r>
            <w:r w:rsidR="00E971F4">
              <w:rPr>
                <w:sz w:val="16"/>
                <w:szCs w:val="16"/>
              </w:rPr>
              <w:t> </w:t>
            </w:r>
            <w:r w:rsidRPr="00C373CD">
              <w:rPr>
                <w:sz w:val="16"/>
                <w:szCs w:val="16"/>
              </w:rPr>
              <w:t>dollars)</w:t>
            </w:r>
          </w:p>
          <w:p w14:paraId="4657D252" w14:textId="77777777" w:rsidR="00767353" w:rsidRPr="00252EAB" w:rsidRDefault="00767353" w:rsidP="00604051">
            <w:pPr>
              <w:pStyle w:val="BodyText"/>
              <w:spacing w:after="0"/>
              <w:ind w:left="284" w:hanging="284"/>
              <w:rPr>
                <w:sz w:val="18"/>
                <w:szCs w:val="18"/>
              </w:rPr>
            </w:pPr>
            <w:r w:rsidRPr="00252EAB">
              <w:rPr>
                <w:noProof/>
                <w:sz w:val="18"/>
                <w:szCs w:val="18"/>
              </w:rPr>
              <w:drawing>
                <wp:inline distT="0" distB="0" distL="0" distR="0" wp14:anchorId="6B26782F" wp14:editId="5098B22A">
                  <wp:extent cx="2994660" cy="2472055"/>
                  <wp:effectExtent l="0" t="0" r="0" b="0"/>
                  <wp:docPr id="140" name="Picture 140" descr="Figure C.9, panel a. This chart shows total wealth projected in 2048 by 5-year age group, under the base scenario and alternate wealth transfer scenarios. More details are contained in the text surrounding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Figure C.9, panel a. This chart shows total wealth projected in 2048 by 5-year age group, under the base scenario and alternate wealth transfer scenarios. More details are contained in the text surrounding this figure.&#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94660" cy="2472055"/>
                          </a:xfrm>
                          <a:prstGeom prst="rect">
                            <a:avLst/>
                          </a:prstGeom>
                          <a:noFill/>
                          <a:ln>
                            <a:noFill/>
                          </a:ln>
                        </pic:spPr>
                      </pic:pic>
                    </a:graphicData>
                  </a:graphic>
                </wp:inline>
              </w:drawing>
            </w:r>
          </w:p>
        </w:tc>
        <w:tc>
          <w:tcPr>
            <w:tcW w:w="2500" w:type="pct"/>
            <w:tcBorders>
              <w:top w:val="nil"/>
              <w:bottom w:val="nil"/>
            </w:tcBorders>
          </w:tcPr>
          <w:p w14:paraId="322C72A6" w14:textId="655752A3" w:rsidR="00767353" w:rsidRPr="00335C09" w:rsidRDefault="00767353" w:rsidP="003104ED">
            <w:pPr>
              <w:pStyle w:val="FigureTableSubheading"/>
              <w:ind w:left="720" w:hanging="360"/>
              <w:rPr>
                <w:spacing w:val="-4"/>
                <w:sz w:val="16"/>
                <w:szCs w:val="16"/>
              </w:rPr>
            </w:pPr>
            <w:r w:rsidRPr="00C373CD">
              <w:rPr>
                <w:sz w:val="16"/>
                <w:szCs w:val="16"/>
              </w:rPr>
              <w:t>b.</w:t>
            </w:r>
            <w:r w:rsidR="00252EAB" w:rsidRPr="00C373CD">
              <w:rPr>
                <w:sz w:val="16"/>
                <w:szCs w:val="16"/>
              </w:rPr>
              <w:tab/>
            </w:r>
            <w:r w:rsidRPr="00C373CD">
              <w:rPr>
                <w:sz w:val="16"/>
                <w:szCs w:val="16"/>
              </w:rPr>
              <w:t>Percentage wealth held by age group in 2048</w:t>
            </w:r>
            <w:r w:rsidRPr="00C373CD">
              <w:rPr>
                <w:sz w:val="16"/>
                <w:szCs w:val="16"/>
              </w:rPr>
              <w:br/>
            </w:r>
            <w:r w:rsidRPr="00335C09">
              <w:rPr>
                <w:spacing w:val="-4"/>
                <w:sz w:val="16"/>
                <w:szCs w:val="16"/>
              </w:rPr>
              <w:t>(percentage of projected 30–99 year old wealth)</w:t>
            </w:r>
          </w:p>
          <w:p w14:paraId="6E37227E" w14:textId="77777777" w:rsidR="00767353" w:rsidRPr="00252EAB" w:rsidRDefault="00767353" w:rsidP="00604051">
            <w:pPr>
              <w:pStyle w:val="BodyText"/>
              <w:spacing w:after="0"/>
              <w:ind w:left="284" w:hanging="284"/>
              <w:rPr>
                <w:sz w:val="18"/>
                <w:szCs w:val="18"/>
              </w:rPr>
            </w:pPr>
            <w:r w:rsidRPr="00252EAB">
              <w:rPr>
                <w:noProof/>
                <w:sz w:val="18"/>
                <w:szCs w:val="18"/>
              </w:rPr>
              <w:drawing>
                <wp:inline distT="0" distB="0" distL="0" distR="0" wp14:anchorId="779D5144" wp14:editId="3F70E00C">
                  <wp:extent cx="2994660" cy="2472055"/>
                  <wp:effectExtent l="0" t="0" r="0" b="0"/>
                  <wp:docPr id="141" name="Picture 141" descr="Figure C.9, panel b. This chart shows the projected shares of the population and wealth held by each 5-year age group in 2048, under the base scenario and alternate wealth transfer scenarios. Older age groups hold a disproportionately large share of wealth under eac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Figure C.9, panel b. This chart shows the projected shares of the population and wealth held by each 5-year age group in 2048, under the base scenario and alternate wealth transfer scenarios. Older age groups hold a disproportionately large share of wealth under each scenario."/>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994660" cy="2472055"/>
                          </a:xfrm>
                          <a:prstGeom prst="rect">
                            <a:avLst/>
                          </a:prstGeom>
                          <a:noFill/>
                          <a:ln>
                            <a:noFill/>
                          </a:ln>
                        </pic:spPr>
                      </pic:pic>
                    </a:graphicData>
                  </a:graphic>
                </wp:inline>
              </w:drawing>
            </w:r>
          </w:p>
        </w:tc>
      </w:tr>
      <w:tr w:rsidR="00767353" w:rsidRPr="00252EAB" w14:paraId="483131C9" w14:textId="77777777" w:rsidTr="00604051">
        <w:trPr>
          <w:tblHeader/>
          <w:jc w:val="center"/>
        </w:trPr>
        <w:tc>
          <w:tcPr>
            <w:tcW w:w="5000" w:type="pct"/>
            <w:gridSpan w:val="2"/>
            <w:tcBorders>
              <w:top w:val="nil"/>
              <w:bottom w:val="nil"/>
            </w:tcBorders>
          </w:tcPr>
          <w:p w14:paraId="4B5D2554" w14:textId="6C854C45" w:rsidR="00767353" w:rsidRPr="00C373CD" w:rsidRDefault="00767353" w:rsidP="003104ED">
            <w:pPr>
              <w:pStyle w:val="FigureTableSubheading"/>
              <w:ind w:left="720" w:hanging="360"/>
              <w:rPr>
                <w:sz w:val="16"/>
                <w:szCs w:val="16"/>
              </w:rPr>
            </w:pPr>
            <w:r w:rsidRPr="00C373CD">
              <w:rPr>
                <w:sz w:val="16"/>
                <w:szCs w:val="16"/>
              </w:rPr>
              <w:t>c.</w:t>
            </w:r>
            <w:r w:rsidR="00252EAB" w:rsidRPr="00C373CD">
              <w:rPr>
                <w:sz w:val="16"/>
                <w:szCs w:val="16"/>
              </w:rPr>
              <w:tab/>
            </w:r>
            <w:r w:rsidRPr="00C373CD">
              <w:rPr>
                <w:sz w:val="16"/>
                <w:szCs w:val="16"/>
              </w:rPr>
              <w:t>Change in wealth inequality due to wealth transfers (reduction in Gini coefficient on a 100 point scale)</w:t>
            </w:r>
          </w:p>
          <w:p w14:paraId="4F6DF3DC" w14:textId="77777777" w:rsidR="00767353" w:rsidRPr="00252EAB" w:rsidRDefault="00767353" w:rsidP="00604051">
            <w:pPr>
              <w:pStyle w:val="BodyText"/>
              <w:spacing w:after="0"/>
              <w:ind w:left="284" w:hanging="284"/>
              <w:rPr>
                <w:sz w:val="18"/>
                <w:szCs w:val="18"/>
              </w:rPr>
            </w:pPr>
            <w:r w:rsidRPr="00252EAB">
              <w:rPr>
                <w:noProof/>
                <w:sz w:val="18"/>
                <w:szCs w:val="18"/>
              </w:rPr>
              <w:drawing>
                <wp:inline distT="0" distB="0" distL="0" distR="0" wp14:anchorId="60335471" wp14:editId="243737C5">
                  <wp:extent cx="6049010" cy="2874010"/>
                  <wp:effectExtent l="0" t="0" r="0" b="0"/>
                  <wp:docPr id="142" name="Picture 142" descr="Figure C.9, panel c. This chart shows the cumulative change in the Gini coefficient for millennials and Gen X due to wealth transfers, under the base scenario and alternate wealth transfer scenario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Figure C.9, panel c. This chart shows the cumulative change in the Gini coefficient for millennials and Gen X due to wealth transfers, under the base scenario and alternate wealth transfer scenarios. More details are contained in the text surrounding this figur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49010" cy="2874010"/>
                          </a:xfrm>
                          <a:prstGeom prst="rect">
                            <a:avLst/>
                          </a:prstGeom>
                          <a:noFill/>
                          <a:ln>
                            <a:noFill/>
                          </a:ln>
                        </pic:spPr>
                      </pic:pic>
                    </a:graphicData>
                  </a:graphic>
                </wp:inline>
              </w:drawing>
            </w:r>
          </w:p>
        </w:tc>
      </w:tr>
      <w:tr w:rsidR="00767353" w:rsidRPr="00B1465D" w14:paraId="6C041C75" w14:textId="77777777" w:rsidTr="00604051">
        <w:trPr>
          <w:tblHeader/>
          <w:jc w:val="center"/>
        </w:trPr>
        <w:tc>
          <w:tcPr>
            <w:tcW w:w="5000" w:type="pct"/>
            <w:gridSpan w:val="2"/>
            <w:tcBorders>
              <w:top w:val="nil"/>
              <w:bottom w:val="nil"/>
            </w:tcBorders>
          </w:tcPr>
          <w:p w14:paraId="224FD752" w14:textId="77777777" w:rsidR="00767353" w:rsidRPr="00EA1580" w:rsidRDefault="00767353" w:rsidP="00604051">
            <w:pPr>
              <w:pStyle w:val="BodyText"/>
              <w:spacing w:before="0" w:after="0"/>
              <w:ind w:left="284" w:hanging="284"/>
              <w:jc w:val="center"/>
            </w:pPr>
            <w:r w:rsidRPr="00BF009D">
              <w:rPr>
                <w:noProof/>
              </w:rPr>
              <w:drawing>
                <wp:inline distT="0" distB="0" distL="0" distR="0" wp14:anchorId="7A71B374" wp14:editId="3E5F66CF">
                  <wp:extent cx="4923790" cy="1014730"/>
                  <wp:effectExtent l="0" t="0" r="0" b="0"/>
                  <wp:docPr id="143" name="Picture 143" descr="Figure C.9.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Figure C.9. Legen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23790" cy="1014730"/>
                          </a:xfrm>
                          <a:prstGeom prst="rect">
                            <a:avLst/>
                          </a:prstGeom>
                          <a:noFill/>
                          <a:ln>
                            <a:noFill/>
                          </a:ln>
                        </pic:spPr>
                      </pic:pic>
                    </a:graphicData>
                  </a:graphic>
                </wp:inline>
              </w:drawing>
            </w:r>
          </w:p>
        </w:tc>
      </w:tr>
    </w:tbl>
    <w:p w14:paraId="74C4B321" w14:textId="77777777" w:rsidR="00767353" w:rsidRDefault="00767353" w:rsidP="00767353">
      <w:pPr>
        <w:pStyle w:val="Source"/>
      </w:pPr>
      <w:r w:rsidRPr="00696447">
        <w:t xml:space="preserve">Source: </w:t>
      </w:r>
      <w:r>
        <w:t>Productivity Commission estimates from cohort simulation model.</w:t>
      </w:r>
    </w:p>
    <w:p w14:paraId="3918F84B" w14:textId="77777777" w:rsidR="00767353" w:rsidRDefault="00767353" w:rsidP="00767353">
      <w:pPr>
        <w:pStyle w:val="BodyText"/>
      </w:pPr>
      <w:r>
        <w:lastRenderedPageBreak/>
        <w:t>Scenario 2e assumed that all cohorts saved the same share of their inheritance in other assets, at a much higher rate than in the base scenario in order to reduce the implied depletion of inheritances.</w:t>
      </w:r>
      <w:r w:rsidRPr="00691E8B">
        <w:rPr>
          <w:rStyle w:val="FootnoteReference"/>
        </w:rPr>
        <w:footnoteReference w:id="72"/>
      </w:r>
      <w:r>
        <w:t xml:space="preserve"> This scenario is designed to reflect behaviour observed in this study (chapter 2), which found that Australians have typically been ‘net investors’ of their inheritances (but not by enough to overcome inflation). There was also insufficient evidence to reject the possibility that Australians were typically net consumers of inheritances. This result is at odds with international studies, which suggested that recipients typically depleted half to three quarters of their inheritance within a decade after receipt in nominal terms.</w:t>
      </w:r>
    </w:p>
    <w:p w14:paraId="0DFA201A" w14:textId="3F2E5E34" w:rsidR="00767353" w:rsidRDefault="00767353" w:rsidP="00767353">
      <w:pPr>
        <w:pStyle w:val="BodyText"/>
      </w:pPr>
      <w:r>
        <w:t xml:space="preserve">In scenario 2e the timing effect of inheritances was amplified, suggesting that there can be </w:t>
      </w:r>
      <w:r w:rsidR="00B40114">
        <w:t>worse</w:t>
      </w:r>
      <w:r>
        <w:t xml:space="preserve"> wealth inequality outcomes within generations earlier in life when only some receive large wealth transfers and use them to accumulate more wealth (observed among millennials during the projection period in this scenario), but the effect is reversed within the generation after a greater share of people have received an inheritance (observed among generation X) (figure C.9, panel c).</w:t>
      </w:r>
    </w:p>
    <w:p w14:paraId="4FAE4A87" w14:textId="77777777" w:rsidR="00767353" w:rsidRDefault="00767353" w:rsidP="00767353">
      <w:pPr>
        <w:pStyle w:val="BodyText"/>
      </w:pPr>
      <w:r>
        <w:t>In scenario 2f, assumptions about gifting behaviour were adjusted. O</w:t>
      </w:r>
      <w:r w:rsidRPr="00575E9D">
        <w:t xml:space="preserve">lder people </w:t>
      </w:r>
      <w:r>
        <w:t>were</w:t>
      </w:r>
      <w:r w:rsidRPr="00575E9D">
        <w:t xml:space="preserve"> assumed to draw down on their housing </w:t>
      </w:r>
      <w:r>
        <w:t xml:space="preserve">wealth </w:t>
      </w:r>
      <w:r w:rsidRPr="00575E9D">
        <w:t xml:space="preserve">and gift it to younger generations, </w:t>
      </w:r>
      <w:r>
        <w:t xml:space="preserve">and the </w:t>
      </w:r>
      <w:r w:rsidRPr="00575E9D">
        <w:t xml:space="preserve">equalising effects </w:t>
      </w:r>
      <w:r>
        <w:t>were</w:t>
      </w:r>
      <w:r w:rsidRPr="00575E9D">
        <w:t xml:space="preserve"> </w:t>
      </w:r>
      <w:r>
        <w:t xml:space="preserve">found to be </w:t>
      </w:r>
      <w:r w:rsidRPr="00575E9D">
        <w:t>stronger</w:t>
      </w:r>
      <w:r>
        <w:t xml:space="preserve"> (</w:t>
      </w:r>
      <w:r w:rsidRPr="00953AB7">
        <w:t xml:space="preserve">figure </w:t>
      </w:r>
      <w:r w:rsidRPr="00C034F4">
        <w:t>C.9</w:t>
      </w:r>
      <w:r w:rsidRPr="00953AB7">
        <w:t>, panel</w:t>
      </w:r>
      <w:r>
        <w:t xml:space="preserve"> c). This is partly because gifts given by parents of the same age were assumed to be distributed equally in the model so the less wealthy receive a gift that is a higher proportion of their existing wealth than wealthier people. In addition, </w:t>
      </w:r>
      <w:r w:rsidRPr="00575E9D">
        <w:t xml:space="preserve">homeowners tend to have higher wealth, so gifting it away reduces </w:t>
      </w:r>
      <w:r>
        <w:t xml:space="preserve">wealth </w:t>
      </w:r>
      <w:r w:rsidRPr="00575E9D">
        <w:t xml:space="preserve">inequality among </w:t>
      </w:r>
      <w:r>
        <w:t xml:space="preserve">the giving </w:t>
      </w:r>
      <w:r w:rsidRPr="00575E9D">
        <w:t>generation</w:t>
      </w:r>
      <w:r>
        <w:t>.</w:t>
      </w:r>
    </w:p>
    <w:p w14:paraId="6C6E0903" w14:textId="77777777" w:rsidR="00767353" w:rsidRPr="005D21B5" w:rsidRDefault="00767353" w:rsidP="00767353">
      <w:pPr>
        <w:pStyle w:val="BodyText"/>
        <w:rPr>
          <w:spacing w:val="-4"/>
        </w:rPr>
      </w:pPr>
      <w:r w:rsidRPr="005D21B5">
        <w:rPr>
          <w:spacing w:val="-4"/>
        </w:rPr>
        <w:t xml:space="preserve">A separate scenario (not depicted) examined increases in gifting rates from other assets by 2 per cent each year. While this resulted in a slightly greater equalising effect for ages at which people </w:t>
      </w:r>
      <w:r w:rsidRPr="005D21B5">
        <w:rPr>
          <w:i/>
          <w:spacing w:val="-4"/>
        </w:rPr>
        <w:t>receive</w:t>
      </w:r>
      <w:r w:rsidRPr="005D21B5">
        <w:rPr>
          <w:spacing w:val="-4"/>
        </w:rPr>
        <w:t xml:space="preserve"> gifts, there was a slightly greater disequalising effect at ages at which people </w:t>
      </w:r>
      <w:r w:rsidRPr="005D21B5">
        <w:rPr>
          <w:i/>
          <w:iCs/>
          <w:spacing w:val="-4"/>
        </w:rPr>
        <w:t>give</w:t>
      </w:r>
      <w:r w:rsidRPr="005D21B5">
        <w:rPr>
          <w:spacing w:val="-4"/>
        </w:rPr>
        <w:t xml:space="preserve"> gifts. This is due to the assumption that both wealthy and less wealthy cohorts of the same age group gift at the same rates from their other assets — and other assets are a higher proportion of total wealth for the less wealthy. Noting that there is high uncertainty around these gifting parameters, if wealthier people do gift a larger proportion of their existing wealth than less wealthy people do (as seen in scenario 2f), then gift giving has the potential to be equalising as well.</w:t>
      </w:r>
    </w:p>
    <w:p w14:paraId="545CAE7A" w14:textId="77777777" w:rsidR="00767353" w:rsidRDefault="00767353" w:rsidP="00767353">
      <w:pPr>
        <w:pStyle w:val="BodyText"/>
      </w:pPr>
      <w:r>
        <w:t xml:space="preserve">Across all wealth transfer adjustment scenarios, the results of wealth held by age group were largely </w:t>
      </w:r>
      <w:r w:rsidRPr="00953AB7">
        <w:t xml:space="preserve">unchanged (figure </w:t>
      </w:r>
      <w:r w:rsidRPr="00C034F4">
        <w:t>C.9, panels a and b</w:t>
      </w:r>
      <w:r w:rsidRPr="00953AB7">
        <w:t>).</w:t>
      </w:r>
    </w:p>
    <w:p w14:paraId="029E57DD" w14:textId="77777777" w:rsidR="00767353" w:rsidRDefault="00767353" w:rsidP="00767353">
      <w:pPr>
        <w:pStyle w:val="Heading3"/>
      </w:pPr>
      <w:r>
        <w:t>Housing adjustments</w:t>
      </w:r>
    </w:p>
    <w:p w14:paraId="0F9D6F16" w14:textId="77777777" w:rsidR="00767353" w:rsidRDefault="00767353" w:rsidP="00767353">
      <w:pPr>
        <w:pStyle w:val="BodyText"/>
      </w:pPr>
      <w:r>
        <w:t xml:space="preserve">Housing makes up the largest share of wealth in the model. A number of adjustments were made to investigate the effects of housing parameters on the </w:t>
      </w:r>
      <w:r w:rsidRPr="00C034F4">
        <w:t>results (table C.4).</w:t>
      </w:r>
    </w:p>
    <w:p w14:paraId="25BB6282" w14:textId="6E959C3A" w:rsidR="00767353" w:rsidRDefault="00767353" w:rsidP="00767353">
      <w:pPr>
        <w:pStyle w:val="FigureTableHeading"/>
        <w:spacing w:after="120"/>
      </w:pPr>
      <w:r>
        <w:lastRenderedPageBreak/>
        <w:t xml:space="preserve">Table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132C71">
        <w:t>4</w:t>
      </w:r>
      <w:r>
        <w:rPr>
          <w:noProof/>
        </w:rPr>
        <w:t xml:space="preserve"> – </w:t>
      </w:r>
      <w:r>
        <w:t>Housing adjustments in scenario analyses</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6943"/>
      </w:tblGrid>
      <w:tr w:rsidR="00767353" w:rsidRPr="00F71D88" w14:paraId="04679FC6" w14:textId="77777777" w:rsidTr="00604051">
        <w:trPr>
          <w:tblHeader/>
        </w:trPr>
        <w:tc>
          <w:tcPr>
            <w:tcW w:w="1398" w:type="pct"/>
            <w:tcBorders>
              <w:bottom w:val="single" w:sz="4" w:space="0" w:color="B3B3B3"/>
            </w:tcBorders>
            <w:shd w:val="clear" w:color="auto" w:fill="auto"/>
            <w:tcMar>
              <w:top w:w="28" w:type="dxa"/>
            </w:tcMar>
          </w:tcPr>
          <w:p w14:paraId="20BED298" w14:textId="77777777" w:rsidR="00767353" w:rsidRPr="00F71D88" w:rsidRDefault="00767353" w:rsidP="00604051">
            <w:pPr>
              <w:pStyle w:val="TableColumnHeading"/>
              <w:spacing w:before="45" w:after="45"/>
              <w:ind w:left="57" w:right="108"/>
              <w:jc w:val="left"/>
              <w:rPr>
                <w:rFonts w:ascii="Arial (Body)" w:hAnsi="Arial (Body)"/>
                <w:b/>
                <w:i w:val="0"/>
                <w:color w:val="265A9A"/>
              </w:rPr>
            </w:pPr>
            <w:r w:rsidRPr="00F71D88">
              <w:rPr>
                <w:rFonts w:ascii="Arial (Body)" w:hAnsi="Arial (Body)"/>
                <w:b/>
                <w:i w:val="0"/>
                <w:color w:val="265A9A"/>
              </w:rPr>
              <w:t>Scenario</w:t>
            </w:r>
          </w:p>
        </w:tc>
        <w:tc>
          <w:tcPr>
            <w:tcW w:w="3602" w:type="pct"/>
            <w:tcBorders>
              <w:bottom w:val="single" w:sz="4" w:space="0" w:color="B3B3B3"/>
            </w:tcBorders>
            <w:shd w:val="clear" w:color="auto" w:fill="auto"/>
          </w:tcPr>
          <w:p w14:paraId="53A1E1FE" w14:textId="77777777" w:rsidR="00767353" w:rsidRPr="00F71D88" w:rsidRDefault="00767353" w:rsidP="00604051">
            <w:pPr>
              <w:pStyle w:val="TableColumnHeading"/>
              <w:spacing w:before="45" w:after="45"/>
              <w:ind w:left="57" w:right="108"/>
              <w:jc w:val="left"/>
              <w:rPr>
                <w:rFonts w:ascii="Arial (Body)" w:hAnsi="Arial (Body)"/>
                <w:b/>
                <w:i w:val="0"/>
                <w:color w:val="265A9A"/>
              </w:rPr>
            </w:pPr>
            <w:r w:rsidRPr="00F71D88">
              <w:rPr>
                <w:rFonts w:ascii="Arial (Body)" w:hAnsi="Arial (Body)"/>
                <w:b/>
                <w:i w:val="0"/>
                <w:color w:val="265A9A"/>
              </w:rPr>
              <w:t>Description</w:t>
            </w:r>
          </w:p>
        </w:tc>
      </w:tr>
      <w:tr w:rsidR="00767353" w:rsidRPr="00F71D88" w14:paraId="3C72734C" w14:textId="77777777" w:rsidTr="00604051">
        <w:tc>
          <w:tcPr>
            <w:tcW w:w="1398" w:type="pct"/>
            <w:tcBorders>
              <w:top w:val="single" w:sz="4" w:space="0" w:color="B3B3B3"/>
              <w:bottom w:val="nil"/>
            </w:tcBorders>
            <w:shd w:val="clear" w:color="auto" w:fill="F1F1F1"/>
          </w:tcPr>
          <w:p w14:paraId="166921E2" w14:textId="77777777" w:rsidR="00767353" w:rsidRPr="007427E8" w:rsidRDefault="00767353" w:rsidP="00604051">
            <w:pPr>
              <w:pStyle w:val="TableBodyText"/>
              <w:spacing w:before="45" w:after="45"/>
              <w:ind w:left="57" w:right="108"/>
              <w:jc w:val="left"/>
              <w:rPr>
                <w:rFonts w:ascii="Arial (Body)" w:hAnsi="Arial (Body)"/>
                <w:bCs/>
              </w:rPr>
            </w:pPr>
            <w:r w:rsidRPr="007427E8">
              <w:rPr>
                <w:rFonts w:ascii="Arial (Body)" w:hAnsi="Arial (Body)"/>
                <w:bCs/>
              </w:rPr>
              <w:t>3a: Alternate method for estimating probability of home ownership</w:t>
            </w:r>
          </w:p>
        </w:tc>
        <w:tc>
          <w:tcPr>
            <w:tcW w:w="3602" w:type="pct"/>
            <w:tcBorders>
              <w:top w:val="single" w:sz="4" w:space="0" w:color="B3B3B3"/>
              <w:bottom w:val="nil"/>
            </w:tcBorders>
            <w:shd w:val="clear" w:color="auto" w:fill="F1F1F1"/>
          </w:tcPr>
          <w:p w14:paraId="5A45A25B" w14:textId="77777777" w:rsidR="00767353" w:rsidRPr="00F71D88" w:rsidRDefault="00767353" w:rsidP="00604051">
            <w:pPr>
              <w:pStyle w:val="TableBodyText"/>
              <w:spacing w:before="45" w:after="45"/>
              <w:ind w:left="57" w:right="108"/>
              <w:jc w:val="left"/>
              <w:rPr>
                <w:rFonts w:ascii="Arial (Body)" w:hAnsi="Arial (Body)"/>
                <w:color w:val="000000"/>
              </w:rPr>
            </w:pPr>
            <w:r w:rsidRPr="00F71D88">
              <w:rPr>
                <w:rFonts w:ascii="Arial (Body)" w:hAnsi="Arial (Body)"/>
                <w:color w:val="000000"/>
              </w:rPr>
              <w:t>Longitudinal panel HILDA data (rather than cross</w:t>
            </w:r>
            <w:r w:rsidRPr="00F71D88">
              <w:rPr>
                <w:rFonts w:ascii="Arial (Body)" w:hAnsi="Arial (Body)"/>
                <w:color w:val="000000"/>
              </w:rPr>
              <w:noBreakHyphen/>
              <w:t>sectional data across age groups) used to estimate probability of home ownership. This resulted in younger cohorts taking longer to get into home ownership but overall higher home ownership rates by the time cohorts reach age 50.</w:t>
            </w:r>
          </w:p>
        </w:tc>
      </w:tr>
      <w:tr w:rsidR="00767353" w:rsidRPr="00F71D88" w14:paraId="21D95AF1" w14:textId="77777777" w:rsidTr="00604051">
        <w:tc>
          <w:tcPr>
            <w:tcW w:w="1398" w:type="pct"/>
            <w:tcBorders>
              <w:top w:val="nil"/>
              <w:bottom w:val="nil"/>
            </w:tcBorders>
            <w:shd w:val="clear" w:color="auto" w:fill="auto"/>
          </w:tcPr>
          <w:p w14:paraId="0DBDF637" w14:textId="77777777" w:rsidR="00767353" w:rsidRPr="007427E8" w:rsidRDefault="00767353" w:rsidP="00604051">
            <w:pPr>
              <w:pStyle w:val="TableBodyText"/>
              <w:spacing w:before="45" w:after="45"/>
              <w:ind w:left="57" w:right="108"/>
              <w:jc w:val="left"/>
              <w:rPr>
                <w:rFonts w:ascii="Arial (Body)" w:hAnsi="Arial (Body)"/>
                <w:bCs/>
              </w:rPr>
            </w:pPr>
            <w:r w:rsidRPr="007427E8">
              <w:rPr>
                <w:rFonts w:ascii="Arial (Body)" w:hAnsi="Arial (Body)"/>
                <w:bCs/>
              </w:rPr>
              <w:t>3b: Housing debt to asset ratio on purchase is 83 per cent</w:t>
            </w:r>
          </w:p>
        </w:tc>
        <w:tc>
          <w:tcPr>
            <w:tcW w:w="3602" w:type="pct"/>
            <w:tcBorders>
              <w:top w:val="nil"/>
              <w:bottom w:val="nil"/>
            </w:tcBorders>
            <w:shd w:val="clear" w:color="auto" w:fill="auto"/>
          </w:tcPr>
          <w:p w14:paraId="4B9B5A05" w14:textId="3B49BA87" w:rsidR="00767353" w:rsidRPr="00F71D88" w:rsidRDefault="00767353" w:rsidP="00604051">
            <w:pPr>
              <w:pStyle w:val="TableBodyText"/>
              <w:spacing w:before="45" w:after="45"/>
              <w:ind w:left="57" w:right="108"/>
              <w:jc w:val="left"/>
              <w:rPr>
                <w:rFonts w:ascii="Arial (Body)" w:hAnsi="Arial (Body)"/>
                <w:color w:val="000000"/>
                <w:spacing w:val="-4"/>
              </w:rPr>
            </w:pPr>
            <w:r w:rsidRPr="00F71D88">
              <w:rPr>
                <w:rFonts w:ascii="Arial (Body)" w:hAnsi="Arial (Body)"/>
                <w:color w:val="000000"/>
                <w:spacing w:val="-4"/>
              </w:rPr>
              <w:t xml:space="preserve">Housing debt to asset ratio on housing purchases assumed to be 83 per cent across all cohorts (higher than base case), based on RBA estimate for indebted first home buyer households (which excluded those with no debt) </w:t>
            </w:r>
            <w:r w:rsidRPr="00F71D88">
              <w:rPr>
                <w:rFonts w:ascii="Arial (Body)" w:hAnsi="Arial (Body)"/>
                <w:color w:val="000000"/>
                <w:spacing w:val="-4"/>
              </w:rPr>
              <w:fldChar w:fldCharType="begin"/>
            </w:r>
            <w:r w:rsidR="0047772E">
              <w:rPr>
                <w:rFonts w:ascii="Arial (Body)" w:hAnsi="Arial (Body)"/>
                <w:color w:val="000000"/>
                <w:spacing w:val="-4"/>
              </w:rPr>
              <w:instrText xml:space="preserve"> ADDIN ZOTERO_ITEM CSL_CITATION {"citationID":"UJ0CRL5r","properties":{"formattedCitation":"(Simon and Stone\\uc0\\u160{}2017, p.\\uc0\\u160{}14)","plainCitation":"(Simon and Stone</w:instrText>
            </w:r>
            <w:r w:rsidR="0047772E">
              <w:rPr>
                <w:rFonts w:ascii="Arial (Body)" w:hAnsi="Arial (Body)" w:hint="eastAsia"/>
                <w:color w:val="000000"/>
                <w:spacing w:val="-4"/>
              </w:rPr>
              <w:instrText> </w:instrText>
            </w:r>
            <w:r w:rsidR="0047772E">
              <w:rPr>
                <w:rFonts w:ascii="Arial (Body)" w:hAnsi="Arial (Body)"/>
                <w:color w:val="000000"/>
                <w:spacing w:val="-4"/>
              </w:rPr>
              <w:instrText>2017, p.</w:instrText>
            </w:r>
            <w:r w:rsidR="0047772E">
              <w:rPr>
                <w:rFonts w:ascii="Arial (Body)" w:hAnsi="Arial (Body)" w:hint="eastAsia"/>
                <w:color w:val="000000"/>
                <w:spacing w:val="-4"/>
              </w:rPr>
              <w:instrText> </w:instrText>
            </w:r>
            <w:r w:rsidR="0047772E">
              <w:rPr>
                <w:rFonts w:ascii="Arial (Body)" w:hAnsi="Arial (Body)"/>
                <w:color w:val="000000"/>
                <w:spacing w:val="-4"/>
              </w:rPr>
              <w:instrText xml:space="preserve">14)","noteIndex":0},"citationItems":[{"id":3147,"uris":["http://zotero.org/groups/2714158/items/TGMBGNP2"],"uri":["http://zotero.org/groups/2714158/items/TGMBGNP2"],"itemData":{"id":3147,"type":"report","genre":"Research Discussion Paper","note":"https://www.rba.gov.au/publications/bulletin/2015/sep/3.html","number":"2017-05","publisher":"Reserve Bank of Australia","title":"The Property Ladder after the Financial Crisis: The First Step is a Stretch but Those Who Make It Are Doing OK","author":[{"family":"Simon","given":"John"},{"family":"Stone","given":"Tahlee"}],"issued":{"date-parts":[["2017"]]}},"locator":"14"}],"schema":"https://github.com/citation-style-language/schema/raw/master/csl-citation.json"} </w:instrText>
            </w:r>
            <w:r w:rsidRPr="00F71D88">
              <w:rPr>
                <w:rFonts w:ascii="Arial (Body)" w:hAnsi="Arial (Body)"/>
                <w:color w:val="000000"/>
                <w:spacing w:val="-4"/>
              </w:rPr>
              <w:fldChar w:fldCharType="separate"/>
            </w:r>
            <w:r w:rsidRPr="00F71D88">
              <w:rPr>
                <w:rFonts w:ascii="Arial (Body)" w:hAnsi="Arial (Body)" w:cs="Arial"/>
                <w:color w:val="000000"/>
                <w:spacing w:val="-4"/>
                <w:szCs w:val="24"/>
              </w:rPr>
              <w:t>(Simon and Stone 2017, p. 14)</w:t>
            </w:r>
            <w:r w:rsidRPr="00F71D88">
              <w:rPr>
                <w:rFonts w:ascii="Arial (Body)" w:hAnsi="Arial (Body)"/>
                <w:color w:val="000000"/>
                <w:spacing w:val="-4"/>
              </w:rPr>
              <w:fldChar w:fldCharType="end"/>
            </w:r>
            <w:r w:rsidRPr="00F71D88">
              <w:rPr>
                <w:rFonts w:ascii="Arial (Body)" w:hAnsi="Arial (Body)"/>
                <w:color w:val="000000"/>
                <w:spacing w:val="-4"/>
              </w:rPr>
              <w:t xml:space="preserve">. </w:t>
            </w:r>
          </w:p>
        </w:tc>
      </w:tr>
      <w:tr w:rsidR="00767353" w:rsidRPr="00F71D88" w14:paraId="1ECEDF40" w14:textId="77777777" w:rsidTr="00604051">
        <w:tc>
          <w:tcPr>
            <w:tcW w:w="1398" w:type="pct"/>
            <w:tcBorders>
              <w:top w:val="nil"/>
              <w:bottom w:val="nil"/>
            </w:tcBorders>
            <w:shd w:val="clear" w:color="auto" w:fill="F1F1F1"/>
          </w:tcPr>
          <w:p w14:paraId="2A82A352" w14:textId="77777777" w:rsidR="00767353" w:rsidRPr="007427E8" w:rsidRDefault="00767353" w:rsidP="00604051">
            <w:pPr>
              <w:pStyle w:val="TableBodyText"/>
              <w:spacing w:before="45" w:after="45"/>
              <w:ind w:left="57" w:right="108"/>
              <w:jc w:val="left"/>
              <w:rPr>
                <w:rFonts w:ascii="Arial (Body)" w:hAnsi="Arial (Body)"/>
                <w:bCs/>
              </w:rPr>
            </w:pPr>
            <w:r w:rsidRPr="007427E8">
              <w:rPr>
                <w:rFonts w:ascii="Arial (Body)" w:hAnsi="Arial (Body)"/>
                <w:bCs/>
              </w:rPr>
              <w:t>3c: Same housing entry price across all income groups</w:t>
            </w:r>
          </w:p>
        </w:tc>
        <w:tc>
          <w:tcPr>
            <w:tcW w:w="3602" w:type="pct"/>
            <w:tcBorders>
              <w:top w:val="nil"/>
              <w:bottom w:val="nil"/>
            </w:tcBorders>
            <w:shd w:val="clear" w:color="auto" w:fill="F1F1F1"/>
          </w:tcPr>
          <w:p w14:paraId="70C05D79" w14:textId="77777777" w:rsidR="00767353" w:rsidRPr="00F71D88" w:rsidRDefault="00767353" w:rsidP="00604051">
            <w:pPr>
              <w:pStyle w:val="TableBodyText"/>
              <w:spacing w:before="45" w:after="45"/>
              <w:ind w:left="57" w:right="108"/>
              <w:jc w:val="left"/>
              <w:rPr>
                <w:rFonts w:ascii="Arial (Body)" w:hAnsi="Arial (Body)"/>
                <w:color w:val="000000"/>
              </w:rPr>
            </w:pPr>
            <w:r w:rsidRPr="00F71D88">
              <w:rPr>
                <w:rFonts w:ascii="Arial (Body)" w:hAnsi="Arial (Body)"/>
                <w:color w:val="000000"/>
              </w:rPr>
              <w:t>All cohorts in the same income quintile enter property market with same housing entry price as top income quintile in the base scenario.</w:t>
            </w:r>
          </w:p>
        </w:tc>
      </w:tr>
      <w:tr w:rsidR="00767353" w:rsidRPr="00F71D88" w14:paraId="4A550B29" w14:textId="77777777" w:rsidTr="00604051">
        <w:tc>
          <w:tcPr>
            <w:tcW w:w="1398" w:type="pct"/>
            <w:tcBorders>
              <w:top w:val="nil"/>
              <w:bottom w:val="nil"/>
            </w:tcBorders>
            <w:shd w:val="clear" w:color="auto" w:fill="auto"/>
          </w:tcPr>
          <w:p w14:paraId="01574A22" w14:textId="77777777" w:rsidR="00767353" w:rsidRPr="007427E8" w:rsidRDefault="00767353" w:rsidP="00604051">
            <w:pPr>
              <w:pStyle w:val="TableBodyText"/>
              <w:spacing w:before="45" w:after="45"/>
              <w:ind w:left="57" w:right="108"/>
              <w:jc w:val="left"/>
              <w:rPr>
                <w:rFonts w:ascii="Arial (Body)" w:hAnsi="Arial (Body)"/>
                <w:bCs/>
              </w:rPr>
            </w:pPr>
            <w:r w:rsidRPr="007427E8">
              <w:rPr>
                <w:rFonts w:ascii="Arial (Body)" w:hAnsi="Arial (Body)"/>
                <w:bCs/>
              </w:rPr>
              <w:t>3d: Housing entry prices increase over time</w:t>
            </w:r>
          </w:p>
        </w:tc>
        <w:tc>
          <w:tcPr>
            <w:tcW w:w="3602" w:type="pct"/>
            <w:tcBorders>
              <w:top w:val="nil"/>
              <w:bottom w:val="nil"/>
            </w:tcBorders>
            <w:shd w:val="clear" w:color="auto" w:fill="auto"/>
          </w:tcPr>
          <w:p w14:paraId="0CC3B074" w14:textId="77777777" w:rsidR="00767353" w:rsidRPr="00F71D88" w:rsidRDefault="00767353" w:rsidP="00604051">
            <w:pPr>
              <w:pStyle w:val="TableBodyText"/>
              <w:spacing w:before="45" w:after="45"/>
              <w:ind w:left="57" w:right="108"/>
              <w:jc w:val="left"/>
              <w:rPr>
                <w:rFonts w:ascii="Arial (Body)" w:hAnsi="Arial (Body)"/>
                <w:color w:val="000000"/>
              </w:rPr>
            </w:pPr>
            <w:r w:rsidRPr="00F71D88">
              <w:rPr>
                <w:rFonts w:ascii="Arial (Body)" w:hAnsi="Arial (Body)"/>
                <w:color w:val="000000"/>
              </w:rPr>
              <w:t>Housing entry prices increase by 2 per cent more than base scenario housing entry price each year. Housing returns are at historical rates.</w:t>
            </w:r>
          </w:p>
        </w:tc>
      </w:tr>
      <w:tr w:rsidR="00767353" w:rsidRPr="00F71D88" w14:paraId="52BA04F9" w14:textId="77777777" w:rsidTr="00604051">
        <w:tc>
          <w:tcPr>
            <w:tcW w:w="1398" w:type="pct"/>
            <w:tcBorders>
              <w:top w:val="nil"/>
              <w:bottom w:val="nil"/>
            </w:tcBorders>
            <w:shd w:val="clear" w:color="auto" w:fill="F1F1F1"/>
          </w:tcPr>
          <w:p w14:paraId="3B9A1201" w14:textId="77777777" w:rsidR="00767353" w:rsidRPr="007427E8" w:rsidRDefault="00767353" w:rsidP="00604051">
            <w:pPr>
              <w:pStyle w:val="TableBodyText"/>
              <w:spacing w:before="45" w:after="45"/>
              <w:ind w:left="57" w:right="108"/>
              <w:jc w:val="left"/>
              <w:rPr>
                <w:rFonts w:ascii="Arial (Body)" w:hAnsi="Arial (Body)"/>
                <w:bCs/>
              </w:rPr>
            </w:pPr>
            <w:r w:rsidRPr="007427E8">
              <w:rPr>
                <w:rFonts w:ascii="Arial (Body)" w:hAnsi="Arial (Body)"/>
                <w:bCs/>
              </w:rPr>
              <w:t>3e: Housing affordability declines over time</w:t>
            </w:r>
          </w:p>
        </w:tc>
        <w:tc>
          <w:tcPr>
            <w:tcW w:w="3602" w:type="pct"/>
            <w:tcBorders>
              <w:top w:val="nil"/>
              <w:bottom w:val="nil"/>
            </w:tcBorders>
            <w:shd w:val="clear" w:color="auto" w:fill="F1F1F1"/>
          </w:tcPr>
          <w:p w14:paraId="20B173F3" w14:textId="77777777" w:rsidR="00767353" w:rsidRPr="00F71D88" w:rsidRDefault="00767353" w:rsidP="00604051">
            <w:pPr>
              <w:pStyle w:val="TableBodyText"/>
              <w:spacing w:before="45" w:after="45"/>
              <w:ind w:left="57" w:right="108"/>
              <w:jc w:val="left"/>
              <w:rPr>
                <w:rFonts w:ascii="Arial (Body)" w:hAnsi="Arial (Body)"/>
                <w:color w:val="000000"/>
              </w:rPr>
            </w:pPr>
            <w:r w:rsidRPr="00F71D88">
              <w:rPr>
                <w:rFonts w:ascii="Arial (Body)" w:hAnsi="Arial (Body)"/>
                <w:color w:val="000000"/>
              </w:rPr>
              <w:t>Probability of entry into home ownership falls by 2 per cent each year for everyone but the highest income quintile. Entry prices for housing increase 2</w:t>
            </w:r>
            <w:r w:rsidRPr="00F71D88" w:rsidDel="00AB61FC">
              <w:rPr>
                <w:rFonts w:ascii="Arial (Body)" w:hAnsi="Arial (Body)"/>
                <w:color w:val="000000"/>
              </w:rPr>
              <w:t> per</w:t>
            </w:r>
            <w:r w:rsidRPr="00F71D88">
              <w:rPr>
                <w:rFonts w:ascii="Arial (Body)" w:hAnsi="Arial (Body)"/>
                <w:color w:val="000000"/>
              </w:rPr>
              <w:t> cent faster each year. Housing returns are at historical rates.</w:t>
            </w:r>
          </w:p>
        </w:tc>
      </w:tr>
      <w:tr w:rsidR="00767353" w:rsidRPr="00F71D88" w14:paraId="4FC7328F" w14:textId="77777777" w:rsidTr="00604051">
        <w:tc>
          <w:tcPr>
            <w:tcW w:w="1398" w:type="pct"/>
            <w:tcBorders>
              <w:top w:val="nil"/>
            </w:tcBorders>
            <w:shd w:val="clear" w:color="auto" w:fill="auto"/>
          </w:tcPr>
          <w:p w14:paraId="455D9A2D" w14:textId="77777777" w:rsidR="00767353" w:rsidRPr="007427E8" w:rsidRDefault="00767353" w:rsidP="00604051">
            <w:pPr>
              <w:pStyle w:val="TableBodyText"/>
              <w:spacing w:before="45" w:after="45"/>
              <w:ind w:left="57" w:right="108"/>
              <w:jc w:val="left"/>
              <w:rPr>
                <w:rFonts w:ascii="Arial (Body)" w:hAnsi="Arial (Body)"/>
                <w:bCs/>
              </w:rPr>
            </w:pPr>
            <w:r w:rsidRPr="007427E8">
              <w:rPr>
                <w:rFonts w:ascii="Arial (Body)" w:hAnsi="Arial (Body)"/>
                <w:bCs/>
              </w:rPr>
              <w:t>3f: Lower housing demand</w:t>
            </w:r>
          </w:p>
        </w:tc>
        <w:tc>
          <w:tcPr>
            <w:tcW w:w="3602" w:type="pct"/>
            <w:tcBorders>
              <w:top w:val="nil"/>
            </w:tcBorders>
            <w:shd w:val="clear" w:color="auto" w:fill="auto"/>
          </w:tcPr>
          <w:p w14:paraId="32F08265" w14:textId="77777777" w:rsidR="00767353" w:rsidRPr="00F71D88" w:rsidRDefault="00767353" w:rsidP="00604051">
            <w:pPr>
              <w:pStyle w:val="TableBodyText"/>
              <w:spacing w:before="45" w:after="45"/>
              <w:ind w:left="57" w:right="108"/>
              <w:jc w:val="left"/>
              <w:rPr>
                <w:rFonts w:ascii="Arial (Body)" w:hAnsi="Arial (Body)"/>
                <w:color w:val="000000"/>
              </w:rPr>
            </w:pPr>
            <w:r w:rsidRPr="00F71D88">
              <w:rPr>
                <w:rFonts w:ascii="Arial (Body)" w:hAnsi="Arial (Body)"/>
                <w:color w:val="000000"/>
              </w:rPr>
              <w:t>Probability of entry into home ownership falls by 5 per cent each year in first 5 years and then stays stable. Housing entry prices grow 2 per cent slower than base scenario each year in first 5 years and then 0.5 per cent slower each year thereafter. Housing returns fall from 7 to 5 per cent within 5 years.</w:t>
            </w:r>
          </w:p>
        </w:tc>
      </w:tr>
    </w:tbl>
    <w:p w14:paraId="27EB77EF" w14:textId="77777777" w:rsidR="00767353" w:rsidRDefault="00767353" w:rsidP="00767353">
      <w:pPr>
        <w:pStyle w:val="Space"/>
      </w:pPr>
    </w:p>
    <w:p w14:paraId="0F64D974" w14:textId="77777777" w:rsidR="00767353" w:rsidRDefault="00767353" w:rsidP="00767353">
      <w:pPr>
        <w:pStyle w:val="BodyText"/>
      </w:pPr>
      <w:r>
        <w:t>The first three scenarios (3a to 3c) analysed alternate housing parameters due to uncertainty in their estimation for the base scenario. In particular, different estimates were used for the probability of entering home ownership, housing debt to asset ratios, and housing entry prices. These changes affected outcomes only slightly for younger people in the model, who were more likely to become homeowners during the projection period. The changes were not large enough to significantly affect patterns of wealth held across age groups (figure C.10, panels a and b). These changes also did not have a large effect on the size of inheritances in the model because young people were much less likely to have died during the projection. The overall equalising effect of wealth transfers remained (figure C.10, panel c).</w:t>
      </w:r>
    </w:p>
    <w:p w14:paraId="2AF6F183" w14:textId="77777777" w:rsidR="00767353" w:rsidRDefault="00767353" w:rsidP="00767353">
      <w:pPr>
        <w:pStyle w:val="BodyText"/>
      </w:pPr>
      <w:r>
        <w:t xml:space="preserve">The last three scenarios (3d to 3f) adjusted assumptions relating to the future of the housing market, including around growth rates, affordability and demand. Projected wealth and wealth inequality in these scenarios were higher than that projected under the base scenario because of the higher assumed rate of return on housing (figure C.10, panel a). However, wealth transfers were still projected to have an equalising effect (figure C.10, panel c). While the future of the housing market could affect the extent of wealth inequality more generally, it is not projected to change the equalising effect of wealth transfers, unless it also significantly increases the extent to which the wealthy benefit from wealth transfers. </w:t>
      </w:r>
    </w:p>
    <w:p w14:paraId="5E9BF52C" w14:textId="55A5BAF7" w:rsidR="00767353" w:rsidRDefault="00767353" w:rsidP="00767353">
      <w:pPr>
        <w:pStyle w:val="FigureTableHeading"/>
      </w:pPr>
      <w:r>
        <w:lastRenderedPageBreak/>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132C71">
        <w:t>10</w:t>
      </w:r>
      <w:r>
        <w:rPr>
          <w:noProof/>
        </w:rPr>
        <w:t xml:space="preserve"> </w:t>
      </w:r>
      <w:r>
        <w:t>– Housing adjustment results</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1A0BC7" w14:paraId="041B5FE4" w14:textId="77777777" w:rsidTr="00604051">
        <w:trPr>
          <w:tblHeader/>
          <w:jc w:val="center"/>
        </w:trPr>
        <w:tc>
          <w:tcPr>
            <w:tcW w:w="2500" w:type="pct"/>
            <w:tcBorders>
              <w:top w:val="nil"/>
              <w:bottom w:val="nil"/>
            </w:tcBorders>
          </w:tcPr>
          <w:p w14:paraId="201976DF" w14:textId="12909387" w:rsidR="00767353" w:rsidRPr="001A0BC7" w:rsidRDefault="00767353" w:rsidP="00C373CD">
            <w:pPr>
              <w:pStyle w:val="FigureTableSubheading"/>
              <w:ind w:left="720" w:hanging="360"/>
              <w:rPr>
                <w:sz w:val="18"/>
              </w:rPr>
            </w:pPr>
            <w:r w:rsidRPr="00C373CD">
              <w:rPr>
                <w:sz w:val="16"/>
                <w:szCs w:val="16"/>
              </w:rPr>
              <w:t>a.</w:t>
            </w:r>
            <w:r w:rsidRPr="00C373CD">
              <w:rPr>
                <w:sz w:val="16"/>
                <w:szCs w:val="16"/>
              </w:rPr>
              <w:tab/>
              <w:t>Total wealth in 2048 by age group (2018</w:t>
            </w:r>
            <w:r w:rsidR="00FB5487">
              <w:rPr>
                <w:sz w:val="16"/>
                <w:szCs w:val="16"/>
              </w:rPr>
              <w:t> </w:t>
            </w:r>
            <w:r w:rsidRPr="00C373CD">
              <w:rPr>
                <w:sz w:val="16"/>
                <w:szCs w:val="16"/>
              </w:rPr>
              <w:t>dollars)</w:t>
            </w:r>
          </w:p>
          <w:p w14:paraId="0BF21358" w14:textId="77777777" w:rsidR="00767353" w:rsidRPr="001A0BC7" w:rsidRDefault="00767353" w:rsidP="00604051">
            <w:pPr>
              <w:pStyle w:val="BodyText"/>
              <w:spacing w:after="0"/>
              <w:ind w:left="284" w:hanging="284"/>
              <w:rPr>
                <w:sz w:val="18"/>
                <w:szCs w:val="18"/>
              </w:rPr>
            </w:pPr>
            <w:r w:rsidRPr="001A0BC7">
              <w:rPr>
                <w:noProof/>
                <w:sz w:val="18"/>
                <w:szCs w:val="18"/>
              </w:rPr>
              <w:drawing>
                <wp:inline distT="0" distB="0" distL="0" distR="0" wp14:anchorId="17F413F7" wp14:editId="29CC6F8F">
                  <wp:extent cx="2994660" cy="2391410"/>
                  <wp:effectExtent l="0" t="0" r="0" b="8890"/>
                  <wp:docPr id="144" name="Picture 144" descr="Figure C.10, panel a. This chart shows total wealth projected in 2048 by 5-year age group, under the base scenario and alternate housing scenario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Figure C.10, panel a. This chart shows total wealth projected in 2048 by 5-year age group, under the base scenario and alternate housing scenarios. More details are contained in the text surrounding this figur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994660" cy="2391410"/>
                          </a:xfrm>
                          <a:prstGeom prst="rect">
                            <a:avLst/>
                          </a:prstGeom>
                          <a:noFill/>
                          <a:ln>
                            <a:noFill/>
                          </a:ln>
                        </pic:spPr>
                      </pic:pic>
                    </a:graphicData>
                  </a:graphic>
                </wp:inline>
              </w:drawing>
            </w:r>
          </w:p>
        </w:tc>
        <w:tc>
          <w:tcPr>
            <w:tcW w:w="2500" w:type="pct"/>
            <w:tcBorders>
              <w:top w:val="nil"/>
              <w:bottom w:val="nil"/>
            </w:tcBorders>
          </w:tcPr>
          <w:p w14:paraId="60DCD1A3" w14:textId="77777777" w:rsidR="00767353" w:rsidRPr="0081544F" w:rsidRDefault="00767353" w:rsidP="00C373CD">
            <w:pPr>
              <w:pStyle w:val="FigureTableSubheading"/>
              <w:ind w:left="720" w:hanging="360"/>
              <w:rPr>
                <w:spacing w:val="-4"/>
                <w:sz w:val="16"/>
                <w:szCs w:val="16"/>
              </w:rPr>
            </w:pPr>
            <w:r w:rsidRPr="00C373CD">
              <w:rPr>
                <w:sz w:val="16"/>
                <w:szCs w:val="16"/>
              </w:rPr>
              <w:t>b.</w:t>
            </w:r>
            <w:r w:rsidRPr="00C373CD">
              <w:rPr>
                <w:sz w:val="16"/>
                <w:szCs w:val="16"/>
              </w:rPr>
              <w:tab/>
            </w:r>
            <w:r w:rsidRPr="0081544F">
              <w:rPr>
                <w:spacing w:val="-4"/>
                <w:sz w:val="16"/>
                <w:szCs w:val="16"/>
              </w:rPr>
              <w:t>Percentage wealth held by age group in 2048</w:t>
            </w:r>
            <w:r w:rsidRPr="0081544F">
              <w:rPr>
                <w:spacing w:val="-4"/>
                <w:sz w:val="16"/>
                <w:szCs w:val="16"/>
              </w:rPr>
              <w:br/>
              <w:t>(percentage of projected 30–99 year old wealth)</w:t>
            </w:r>
          </w:p>
          <w:p w14:paraId="12633CAC" w14:textId="77777777" w:rsidR="00767353" w:rsidRPr="001A0BC7" w:rsidRDefault="00767353" w:rsidP="00604051">
            <w:pPr>
              <w:pStyle w:val="BodyText"/>
              <w:spacing w:after="0"/>
              <w:ind w:left="284" w:hanging="284"/>
              <w:rPr>
                <w:sz w:val="18"/>
                <w:szCs w:val="18"/>
              </w:rPr>
            </w:pPr>
            <w:r w:rsidRPr="001A0BC7">
              <w:rPr>
                <w:noProof/>
                <w:sz w:val="18"/>
                <w:szCs w:val="18"/>
              </w:rPr>
              <w:drawing>
                <wp:inline distT="0" distB="0" distL="0" distR="0" wp14:anchorId="0B48A54F" wp14:editId="0AE69EE9">
                  <wp:extent cx="2984500" cy="2472055"/>
                  <wp:effectExtent l="0" t="0" r="6350" b="0"/>
                  <wp:docPr id="113" name="Picture 113" descr="Figure C.10, panel b. This chart shows the projected shares of the population and wealth held by each 5-year age group in 2048, under the base scenario and alternate housing scenarios. Older age groups hold a disproportionately large share of wealth under eac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C.10, panel b. This chart shows the projected shares of the population and wealth held by each 5-year age group in 2048, under the base scenario and alternate housing scenarios. Older age groups hold a disproportionately large share of wealth under each scenario."/>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84500" cy="2472055"/>
                          </a:xfrm>
                          <a:prstGeom prst="rect">
                            <a:avLst/>
                          </a:prstGeom>
                          <a:noFill/>
                          <a:ln>
                            <a:noFill/>
                          </a:ln>
                        </pic:spPr>
                      </pic:pic>
                    </a:graphicData>
                  </a:graphic>
                </wp:inline>
              </w:drawing>
            </w:r>
          </w:p>
        </w:tc>
      </w:tr>
      <w:tr w:rsidR="00767353" w:rsidRPr="001A0BC7" w14:paraId="60442F8F" w14:textId="77777777" w:rsidTr="00604051">
        <w:trPr>
          <w:tblHeader/>
          <w:jc w:val="center"/>
        </w:trPr>
        <w:tc>
          <w:tcPr>
            <w:tcW w:w="5000" w:type="pct"/>
            <w:gridSpan w:val="2"/>
            <w:tcBorders>
              <w:top w:val="nil"/>
              <w:bottom w:val="nil"/>
            </w:tcBorders>
          </w:tcPr>
          <w:p w14:paraId="293A534B" w14:textId="77777777" w:rsidR="00767353" w:rsidRPr="00C373CD" w:rsidRDefault="00767353" w:rsidP="00C373CD">
            <w:pPr>
              <w:pStyle w:val="FigureTableSubheading"/>
              <w:ind w:left="720" w:hanging="360"/>
              <w:rPr>
                <w:sz w:val="16"/>
                <w:szCs w:val="16"/>
              </w:rPr>
            </w:pPr>
            <w:r w:rsidRPr="00C373CD">
              <w:rPr>
                <w:sz w:val="16"/>
                <w:szCs w:val="16"/>
              </w:rPr>
              <w:t>c.</w:t>
            </w:r>
            <w:r w:rsidRPr="00C373CD">
              <w:rPr>
                <w:sz w:val="16"/>
                <w:szCs w:val="16"/>
              </w:rPr>
              <w:tab/>
              <w:t>Improvement in wealth inequality due to wealth transfers (reduction in Gini coefficient on a 100 point scale)</w:t>
            </w:r>
          </w:p>
          <w:p w14:paraId="3D9A3731" w14:textId="77777777" w:rsidR="00767353" w:rsidRPr="001A0BC7" w:rsidRDefault="00767353" w:rsidP="00604051">
            <w:pPr>
              <w:pStyle w:val="BodyText"/>
              <w:spacing w:after="0"/>
              <w:ind w:left="284" w:hanging="284"/>
              <w:rPr>
                <w:sz w:val="18"/>
                <w:szCs w:val="18"/>
              </w:rPr>
            </w:pPr>
            <w:r w:rsidRPr="001A0BC7">
              <w:rPr>
                <w:noProof/>
                <w:sz w:val="18"/>
                <w:szCs w:val="18"/>
              </w:rPr>
              <w:drawing>
                <wp:inline distT="0" distB="0" distL="0" distR="0" wp14:anchorId="30378050" wp14:editId="39277F08">
                  <wp:extent cx="6119495" cy="2572385"/>
                  <wp:effectExtent l="0" t="0" r="0" b="0"/>
                  <wp:docPr id="145" name="Picture 145" descr="Figure C.10, panel c. This chart shows the cumulative change in the Gini coefficient for millennials and Gen X due to wealth transfers, under the base scenario and alternate housing scenario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Figure C.10, panel c. This chart shows the cumulative change in the Gini coefficient for millennials and Gen X due to wealth transfers, under the base scenario and alternate housing scenarios. More details are contained in the text surrounding this figur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19495" cy="2572385"/>
                          </a:xfrm>
                          <a:prstGeom prst="rect">
                            <a:avLst/>
                          </a:prstGeom>
                          <a:noFill/>
                          <a:ln>
                            <a:noFill/>
                          </a:ln>
                        </pic:spPr>
                      </pic:pic>
                    </a:graphicData>
                  </a:graphic>
                </wp:inline>
              </w:drawing>
            </w:r>
          </w:p>
        </w:tc>
      </w:tr>
      <w:tr w:rsidR="00767353" w:rsidRPr="00B1465D" w14:paraId="0F66CF61" w14:textId="77777777" w:rsidTr="00604051">
        <w:trPr>
          <w:tblHeader/>
          <w:jc w:val="center"/>
        </w:trPr>
        <w:tc>
          <w:tcPr>
            <w:tcW w:w="5000" w:type="pct"/>
            <w:gridSpan w:val="2"/>
            <w:tcBorders>
              <w:top w:val="nil"/>
              <w:bottom w:val="nil"/>
            </w:tcBorders>
          </w:tcPr>
          <w:p w14:paraId="32E17C35" w14:textId="77777777" w:rsidR="00767353" w:rsidRPr="00216020" w:rsidRDefault="00767353" w:rsidP="00604051">
            <w:pPr>
              <w:pStyle w:val="BodyText"/>
              <w:spacing w:before="0" w:after="0"/>
              <w:ind w:left="284" w:hanging="284"/>
              <w:jc w:val="center"/>
            </w:pPr>
            <w:r w:rsidRPr="00B53F76">
              <w:rPr>
                <w:noProof/>
              </w:rPr>
              <w:drawing>
                <wp:inline distT="0" distB="0" distL="0" distR="0" wp14:anchorId="7868A973" wp14:editId="5B8346E1">
                  <wp:extent cx="4601845" cy="1014730"/>
                  <wp:effectExtent l="0" t="0" r="0" b="0"/>
                  <wp:docPr id="111" name="Picture 111" descr="Figure C.10,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C.10, Legen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01845" cy="1014730"/>
                          </a:xfrm>
                          <a:prstGeom prst="rect">
                            <a:avLst/>
                          </a:prstGeom>
                          <a:noFill/>
                          <a:ln>
                            <a:noFill/>
                          </a:ln>
                        </pic:spPr>
                      </pic:pic>
                    </a:graphicData>
                  </a:graphic>
                </wp:inline>
              </w:drawing>
            </w:r>
          </w:p>
        </w:tc>
      </w:tr>
    </w:tbl>
    <w:p w14:paraId="762E72B5" w14:textId="77777777" w:rsidR="00767353" w:rsidRDefault="00767353" w:rsidP="00767353">
      <w:pPr>
        <w:pStyle w:val="Source"/>
      </w:pPr>
      <w:r w:rsidRPr="00696447">
        <w:t xml:space="preserve">Source: </w:t>
      </w:r>
      <w:r w:rsidRPr="003946F2">
        <w:t>Productivity Commission estimates from cohort simulation model.</w:t>
      </w:r>
    </w:p>
    <w:p w14:paraId="6EF38BFA" w14:textId="77777777" w:rsidR="00767353" w:rsidRDefault="00767353" w:rsidP="00767353">
      <w:pPr>
        <w:pStyle w:val="Heading3"/>
      </w:pPr>
      <w:r>
        <w:lastRenderedPageBreak/>
        <w:t>Other adjustments</w:t>
      </w:r>
    </w:p>
    <w:p w14:paraId="104DEA56" w14:textId="77777777" w:rsidR="00767353" w:rsidRDefault="00767353" w:rsidP="00767353">
      <w:pPr>
        <w:pStyle w:val="BodyText"/>
        <w:keepNext/>
      </w:pPr>
      <w:r>
        <w:t>A number of other adjustments to model assumptions were investigated (table C.5).</w:t>
      </w:r>
    </w:p>
    <w:p w14:paraId="1823AA1B" w14:textId="45FFDD5C" w:rsidR="00767353" w:rsidRDefault="00767353" w:rsidP="00767353">
      <w:pPr>
        <w:pStyle w:val="FigureTableHeading"/>
        <w:spacing w:after="120"/>
      </w:pPr>
      <w:r>
        <w:t xml:space="preserve">Table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132C71">
        <w:t>5</w:t>
      </w:r>
      <w:r>
        <w:rPr>
          <w:noProof/>
        </w:rPr>
        <w:t xml:space="preserve"> – </w:t>
      </w:r>
      <w:r>
        <w:t>Other adjustments in scenario analyses</w:t>
      </w:r>
    </w:p>
    <w:tbl>
      <w:tblPr>
        <w:tblW w:w="0" w:type="auto"/>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7511"/>
      </w:tblGrid>
      <w:tr w:rsidR="00767353" w:rsidRPr="00CD21C4" w14:paraId="1AFFA63D" w14:textId="77777777" w:rsidTr="00604051">
        <w:trPr>
          <w:tblHeader/>
        </w:trPr>
        <w:tc>
          <w:tcPr>
            <w:tcW w:w="2127" w:type="dxa"/>
            <w:tcBorders>
              <w:bottom w:val="single" w:sz="4" w:space="0" w:color="B3B3B3"/>
            </w:tcBorders>
            <w:shd w:val="clear" w:color="auto" w:fill="auto"/>
            <w:tcMar>
              <w:top w:w="28" w:type="dxa"/>
            </w:tcMar>
          </w:tcPr>
          <w:p w14:paraId="2B417E83" w14:textId="77777777" w:rsidR="00767353" w:rsidRPr="00CD21C4" w:rsidRDefault="00767353" w:rsidP="00604051">
            <w:pPr>
              <w:pStyle w:val="TableColumnHeading"/>
              <w:spacing w:before="45" w:after="45"/>
              <w:ind w:left="57" w:right="108"/>
              <w:jc w:val="left"/>
              <w:rPr>
                <w:rFonts w:ascii="Arial (Body)" w:hAnsi="Arial (Body)"/>
                <w:b/>
                <w:i w:val="0"/>
                <w:color w:val="265A9A"/>
              </w:rPr>
            </w:pPr>
            <w:r w:rsidRPr="00CD21C4">
              <w:rPr>
                <w:rFonts w:ascii="Arial (Body)" w:hAnsi="Arial (Body)"/>
                <w:b/>
                <w:i w:val="0"/>
                <w:color w:val="265A9A"/>
              </w:rPr>
              <w:t>Scenario</w:t>
            </w:r>
          </w:p>
        </w:tc>
        <w:tc>
          <w:tcPr>
            <w:tcW w:w="7511" w:type="dxa"/>
            <w:tcBorders>
              <w:bottom w:val="single" w:sz="4" w:space="0" w:color="B3B3B3"/>
            </w:tcBorders>
            <w:shd w:val="clear" w:color="auto" w:fill="auto"/>
          </w:tcPr>
          <w:p w14:paraId="0A9F43FB" w14:textId="77777777" w:rsidR="00767353" w:rsidRPr="00CD21C4" w:rsidRDefault="00767353" w:rsidP="00604051">
            <w:pPr>
              <w:pStyle w:val="TableColumnHeading"/>
              <w:spacing w:before="45" w:after="45"/>
              <w:ind w:left="57" w:right="108"/>
              <w:jc w:val="left"/>
              <w:rPr>
                <w:rFonts w:ascii="Arial (Body)" w:hAnsi="Arial (Body)"/>
                <w:b/>
                <w:i w:val="0"/>
                <w:color w:val="265A9A"/>
              </w:rPr>
            </w:pPr>
            <w:r w:rsidRPr="00CD21C4">
              <w:rPr>
                <w:rFonts w:ascii="Arial (Body)" w:hAnsi="Arial (Body)"/>
                <w:b/>
                <w:i w:val="0"/>
                <w:color w:val="265A9A"/>
              </w:rPr>
              <w:t>Description</w:t>
            </w:r>
          </w:p>
        </w:tc>
      </w:tr>
      <w:tr w:rsidR="00767353" w:rsidRPr="00CD21C4" w14:paraId="75C8960C" w14:textId="77777777" w:rsidTr="00604051">
        <w:tc>
          <w:tcPr>
            <w:tcW w:w="2127" w:type="dxa"/>
            <w:tcBorders>
              <w:top w:val="single" w:sz="4" w:space="0" w:color="B3B3B3"/>
              <w:bottom w:val="nil"/>
            </w:tcBorders>
            <w:shd w:val="clear" w:color="auto" w:fill="F1F1F1"/>
          </w:tcPr>
          <w:p w14:paraId="5C993286" w14:textId="77777777" w:rsidR="00767353" w:rsidRPr="00CD21C4" w:rsidRDefault="00767353" w:rsidP="00604051">
            <w:pPr>
              <w:pStyle w:val="TableBodyText"/>
              <w:spacing w:before="45" w:after="45"/>
              <w:ind w:left="57" w:right="108"/>
              <w:jc w:val="left"/>
              <w:rPr>
                <w:rFonts w:ascii="Arial (Body)" w:hAnsi="Arial (Body)"/>
                <w:bCs/>
              </w:rPr>
            </w:pPr>
            <w:r w:rsidRPr="00CD21C4">
              <w:rPr>
                <w:rFonts w:ascii="Arial (Body)" w:hAnsi="Arial (Body)"/>
                <w:bCs/>
              </w:rPr>
              <w:t>4a: Alternate method for estimating drawdowns in other assets</w:t>
            </w:r>
          </w:p>
        </w:tc>
        <w:tc>
          <w:tcPr>
            <w:tcW w:w="7511" w:type="dxa"/>
            <w:tcBorders>
              <w:top w:val="single" w:sz="4" w:space="0" w:color="B3B3B3"/>
              <w:bottom w:val="nil"/>
            </w:tcBorders>
            <w:shd w:val="clear" w:color="auto" w:fill="F1F1F1"/>
          </w:tcPr>
          <w:p w14:paraId="7C3419A4" w14:textId="77777777" w:rsidR="00767353" w:rsidRPr="00CD21C4" w:rsidRDefault="00767353" w:rsidP="00604051">
            <w:pPr>
              <w:pStyle w:val="TableBodyText"/>
              <w:spacing w:before="45" w:after="45"/>
              <w:ind w:left="57" w:right="108"/>
              <w:jc w:val="left"/>
              <w:rPr>
                <w:rFonts w:ascii="Arial (Body)" w:hAnsi="Arial (Body)"/>
                <w:color w:val="000000"/>
              </w:rPr>
            </w:pPr>
            <w:r w:rsidRPr="00CD21C4">
              <w:rPr>
                <w:rFonts w:ascii="Arial (Body)" w:hAnsi="Arial (Body)"/>
                <w:color w:val="000000"/>
              </w:rPr>
              <w:t>Cross</w:t>
            </w:r>
            <w:r w:rsidRPr="00CD21C4">
              <w:rPr>
                <w:rFonts w:ascii="Arial (Body)" w:hAnsi="Arial (Body)"/>
                <w:color w:val="000000"/>
              </w:rPr>
              <w:noBreakHyphen/>
              <w:t>sectional HILDA data across age groups (rather than balanced longitudinal panel data) used to estimate difference between observed change in wealth and estimated change (given assumed rates of return and saving). Results in similar patterns of drawdowns but some higher rates, particularly for older homeowners.</w:t>
            </w:r>
          </w:p>
        </w:tc>
      </w:tr>
      <w:tr w:rsidR="00767353" w:rsidRPr="00CD21C4" w14:paraId="198FBE94" w14:textId="77777777" w:rsidTr="00604051">
        <w:tc>
          <w:tcPr>
            <w:tcW w:w="2127" w:type="dxa"/>
            <w:tcBorders>
              <w:top w:val="nil"/>
              <w:bottom w:val="nil"/>
            </w:tcBorders>
            <w:shd w:val="clear" w:color="auto" w:fill="auto"/>
          </w:tcPr>
          <w:p w14:paraId="2B3132BC" w14:textId="77777777" w:rsidR="00767353" w:rsidRPr="00CD21C4" w:rsidRDefault="00767353" w:rsidP="00604051">
            <w:pPr>
              <w:pStyle w:val="TableBodyText"/>
              <w:spacing w:before="45" w:after="45"/>
              <w:ind w:left="57" w:right="108"/>
              <w:jc w:val="left"/>
              <w:rPr>
                <w:rFonts w:ascii="Arial (Body)" w:hAnsi="Arial (Body)"/>
                <w:bCs/>
              </w:rPr>
            </w:pPr>
            <w:r w:rsidRPr="00CD21C4">
              <w:rPr>
                <w:rFonts w:ascii="Arial (Body)" w:hAnsi="Arial (Body)"/>
                <w:bCs/>
              </w:rPr>
              <w:t>4b: Older cohorts’ drawdowns from wealth increase over time</w:t>
            </w:r>
          </w:p>
        </w:tc>
        <w:tc>
          <w:tcPr>
            <w:tcW w:w="7511" w:type="dxa"/>
            <w:tcBorders>
              <w:top w:val="nil"/>
              <w:bottom w:val="nil"/>
            </w:tcBorders>
            <w:shd w:val="clear" w:color="auto" w:fill="auto"/>
          </w:tcPr>
          <w:p w14:paraId="19743130" w14:textId="463C78F7" w:rsidR="00767353" w:rsidRPr="00CD21C4" w:rsidRDefault="00767353" w:rsidP="00604051">
            <w:pPr>
              <w:pStyle w:val="TableBodyText"/>
              <w:spacing w:before="45" w:after="45"/>
              <w:ind w:left="57" w:right="108"/>
              <w:jc w:val="left"/>
              <w:rPr>
                <w:rFonts w:ascii="Arial (Body)" w:hAnsi="Arial (Body)"/>
                <w:color w:val="000000"/>
              </w:rPr>
            </w:pPr>
            <w:r w:rsidRPr="00CD21C4">
              <w:rPr>
                <w:rFonts w:ascii="Arial (Body)" w:hAnsi="Arial (Body)"/>
                <w:color w:val="000000"/>
              </w:rPr>
              <w:t>Drawdown rates on other assets for cohorts aged 65+ increase by 5 per cent of base scenario rates each year for next 10 years and then stay stable (new rates range from 6–</w:t>
            </w:r>
            <w:r w:rsidR="003C6139">
              <w:rPr>
                <w:rFonts w:ascii="Arial (Body)" w:hAnsi="Arial (Body)"/>
                <w:color w:val="000000"/>
              </w:rPr>
              <w:t>‍</w:t>
            </w:r>
            <w:r w:rsidRPr="00CD21C4">
              <w:rPr>
                <w:rFonts w:ascii="Arial (Body)" w:hAnsi="Arial (Body)"/>
                <w:color w:val="000000"/>
              </w:rPr>
              <w:t>10 </w:t>
            </w:r>
            <w:r w:rsidRPr="00CD21C4" w:rsidDel="00AB61FC">
              <w:rPr>
                <w:rFonts w:ascii="Arial (Body)" w:hAnsi="Arial (Body)"/>
                <w:color w:val="000000"/>
              </w:rPr>
              <w:t>per</w:t>
            </w:r>
            <w:r w:rsidRPr="00CD21C4">
              <w:rPr>
                <w:rFonts w:ascii="Arial (Body)" w:hAnsi="Arial (Body)"/>
                <w:color w:val="000000"/>
              </w:rPr>
              <w:t> </w:t>
            </w:r>
            <w:r w:rsidRPr="00CD21C4" w:rsidDel="00AB61FC">
              <w:rPr>
                <w:rFonts w:ascii="Arial (Body)" w:hAnsi="Arial (Body)"/>
                <w:color w:val="000000"/>
              </w:rPr>
              <w:t>cent</w:t>
            </w:r>
            <w:r w:rsidRPr="00CD21C4">
              <w:rPr>
                <w:rFonts w:ascii="Arial (Body)" w:hAnsi="Arial (Body)"/>
                <w:color w:val="000000"/>
              </w:rPr>
              <w:t>). Drawdown rates on housing for cohorts aged 70+ increase by 15 per cent of base scenario rates each year for next 10 years and then stay stable (new rates range from 0.7–1.3 per cent).</w:t>
            </w:r>
          </w:p>
        </w:tc>
      </w:tr>
      <w:tr w:rsidR="00767353" w:rsidRPr="00CD21C4" w14:paraId="62397770" w14:textId="77777777" w:rsidTr="00604051">
        <w:tc>
          <w:tcPr>
            <w:tcW w:w="2127" w:type="dxa"/>
            <w:tcBorders>
              <w:top w:val="nil"/>
            </w:tcBorders>
            <w:shd w:val="clear" w:color="auto" w:fill="F1F1F1"/>
          </w:tcPr>
          <w:p w14:paraId="3A8EF9D3" w14:textId="77777777" w:rsidR="00767353" w:rsidRPr="00CD21C4" w:rsidRDefault="00767353" w:rsidP="00604051">
            <w:pPr>
              <w:pStyle w:val="TableBodyText"/>
              <w:spacing w:before="45" w:after="45"/>
              <w:ind w:left="57" w:right="108"/>
              <w:jc w:val="left"/>
              <w:rPr>
                <w:rFonts w:ascii="Arial (Body)" w:hAnsi="Arial (Body)"/>
                <w:bCs/>
              </w:rPr>
            </w:pPr>
            <w:r w:rsidRPr="00CD21C4">
              <w:rPr>
                <w:rFonts w:ascii="Arial (Body)" w:hAnsi="Arial (Body)"/>
                <w:bCs/>
              </w:rPr>
              <w:t>4c: All wealth to younger generations at death</w:t>
            </w:r>
          </w:p>
        </w:tc>
        <w:tc>
          <w:tcPr>
            <w:tcW w:w="7511" w:type="dxa"/>
            <w:tcBorders>
              <w:top w:val="nil"/>
            </w:tcBorders>
            <w:shd w:val="clear" w:color="auto" w:fill="F1F1F1"/>
          </w:tcPr>
          <w:p w14:paraId="1A12E720" w14:textId="77777777" w:rsidR="00767353" w:rsidRPr="00CD21C4" w:rsidRDefault="00767353" w:rsidP="00604051">
            <w:pPr>
              <w:pStyle w:val="TableBodyText"/>
              <w:spacing w:before="45" w:after="45"/>
              <w:ind w:left="57" w:right="108"/>
              <w:jc w:val="left"/>
              <w:rPr>
                <w:rFonts w:ascii="Arial (Body)" w:hAnsi="Arial (Body)"/>
                <w:color w:val="000000"/>
              </w:rPr>
            </w:pPr>
            <w:r w:rsidRPr="00CD21C4">
              <w:rPr>
                <w:rFonts w:ascii="Arial (Body)" w:hAnsi="Arial (Body)"/>
                <w:color w:val="000000"/>
              </w:rPr>
              <w:t>All wealth at death is passed onto younger generations, and no wealth is passed onto surviving spouses. This effectively assumes that nobody is partnered at death, or everyone who is partnered dies at the same time as their partner.</w:t>
            </w:r>
          </w:p>
        </w:tc>
      </w:tr>
    </w:tbl>
    <w:p w14:paraId="51A7E219" w14:textId="77777777" w:rsidR="00767353" w:rsidRPr="00567FFE" w:rsidRDefault="00767353" w:rsidP="00767353">
      <w:pPr>
        <w:pStyle w:val="Space"/>
      </w:pPr>
    </w:p>
    <w:p w14:paraId="3099ADD4" w14:textId="3B5863CE" w:rsidR="00767353" w:rsidRPr="00E55DC3" w:rsidRDefault="00767353" w:rsidP="00767353">
      <w:pPr>
        <w:pStyle w:val="BodyText"/>
      </w:pPr>
      <w:r>
        <w:t>Scenarios 4a and 4b relate to drawdowns from wealth. As mentioned in section C.3, there is high uncertainty around drawdown parameters, especially for other assets. Drawdown behaviour may also change in the future — a</w:t>
      </w:r>
      <w:r w:rsidRPr="00E55DC3">
        <w:t xml:space="preserve">lthough </w:t>
      </w:r>
      <w:r>
        <w:t>past</w:t>
      </w:r>
      <w:r w:rsidRPr="00E55DC3">
        <w:t xml:space="preserve"> generations </w:t>
      </w:r>
      <w:r>
        <w:t xml:space="preserve">of retirees </w:t>
      </w:r>
      <w:r w:rsidRPr="00E55DC3">
        <w:t xml:space="preserve">have tended to draw down on their wealth slowly, there is some evidence to suggest that </w:t>
      </w:r>
      <w:r>
        <w:t xml:space="preserve">newer generations of retirees </w:t>
      </w:r>
      <w:r w:rsidRPr="00E55DC3">
        <w:t xml:space="preserve">might behave differently. For example, </w:t>
      </w:r>
      <w:r>
        <w:t xml:space="preserve">more recent generations of </w:t>
      </w:r>
      <w:r w:rsidRPr="00E55DC3">
        <w:t xml:space="preserve">Australian homeowners </w:t>
      </w:r>
      <w:r>
        <w:t>are more likely</w:t>
      </w:r>
      <w:r w:rsidRPr="00E55DC3">
        <w:t xml:space="preserve"> to be carrying mortgage debt later in their working lives than generations before them </w:t>
      </w:r>
      <w:r w:rsidRPr="00E55DC3">
        <w:fldChar w:fldCharType="begin"/>
      </w:r>
      <w:r w:rsidR="0047772E">
        <w:instrText xml:space="preserve"> ADDIN ZOTERO_ITEM CSL_CITATION {"citationID":"a2ds0grb8ij","properties":{"formattedCitation":"(Wood, Ong and Cigdem\\uc0\\u160{}2014, pp.\\uc0\\u160{}5\\uc0\\u8211{}6)","plainCitation":"(Wood, Ong and Cigdem 2014, pp. 5–6)","noteIndex":0},"citationItems":[{"id":1926,"uris":["http://zotero.org/groups/2714158/items/666AVPEJ"],"uri":["http://zotero.org/groups/2714158/items/666AVPEJ"],"itemData":{"id":1926,"type":"report","event-place":"Melbourne","genre":"AHURI Final Report","number":"233","publisher":"Australian Housing and Urban Research Institute","publisher-place":"Melbourne","title":"Housing Affordability Dynamics: New Insights from the Last Decade","author":[{"family":"Wood","given":"Gavin"},{"family":"Ong","given":"Rachel"},{"family":"Cigdem","given":"Melek"}],"issued":{"date-parts":[["2014"]]}},"locator":"5-6"}],"schema":"https://github.com/citation-style-language/schema/raw/master/csl-citation.json"} </w:instrText>
      </w:r>
      <w:r w:rsidRPr="00E55DC3">
        <w:fldChar w:fldCharType="separate"/>
      </w:r>
      <w:r w:rsidRPr="007916F0">
        <w:rPr>
          <w:szCs w:val="24"/>
        </w:rPr>
        <w:t>(Wood, Ong and Cigdem 2014, pp. 5–6)</w:t>
      </w:r>
      <w:r w:rsidRPr="00E55DC3">
        <w:fldChar w:fldCharType="end"/>
      </w:r>
      <w:r w:rsidRPr="00E55DC3">
        <w:t xml:space="preserve">. Older homeowners </w:t>
      </w:r>
      <w:r>
        <w:t xml:space="preserve">were also found to be </w:t>
      </w:r>
      <w:r w:rsidRPr="00E55DC3">
        <w:t xml:space="preserve">increasingly likely to draw down on their housing wealth </w:t>
      </w:r>
      <w:r w:rsidRPr="00E55DC3">
        <w:fldChar w:fldCharType="begin"/>
      </w:r>
      <w:r w:rsidR="0047772E">
        <w:instrText xml:space="preserve"> ADDIN ZOTERO_ITEM CSL_CITATION {"citationID":"a2gh3nt5oce","properties":{"formattedCitation":"(Ong et al.\\uc0\\u160{}2013, pp.\\uc0\\u160{}16\\uc0\\u8211{}17)","plainCitation":"(Ong et al. 2013, pp. 16–17)","noteIndex":0},"citationItems":[{"id":1925,"uris":["http://zotero.org/groups/2714158/items/QY6DV328"],"uri":["http://zotero.org/groups/2714158/items/QY6DV328"],"itemData":{"id":1925,"type":"report","event-place":"Melbourne","genre":"AHURI Final Report","number":"217","publisher":"Australian Housing and Urban Research Institute","publisher-place":"Melbourne","title":"Housing Equity Withdrawal: Uses, Risks, and Barriers to Alternative Mechanisms in Later Life","author":[{"family":"Ong","given":"Rachel"},{"family":"Jefferson","given":"Therese"},{"family":"Wood","given":"Gavin"},{"family":"Haffner","given":"Marietta"},{"family":"Austen","given":"Siobhan"}],"issued":{"date-parts":[["2013"]]}},"locator":"16-17"}],"schema":"https://github.com/citation-style-language/schema/raw/master/csl-citation.json"} </w:instrText>
      </w:r>
      <w:r w:rsidRPr="00E55DC3">
        <w:fldChar w:fldCharType="separate"/>
      </w:r>
      <w:r w:rsidRPr="007916F0">
        <w:rPr>
          <w:szCs w:val="24"/>
        </w:rPr>
        <w:t>(Ong et al. 2013, pp. 16–17)</w:t>
      </w:r>
      <w:r w:rsidRPr="00E55DC3">
        <w:fldChar w:fldCharType="end"/>
      </w:r>
      <w:r w:rsidRPr="00E55DC3">
        <w:t>. If baby boomers continue to have a higher propensity for taking on debt in retirement, then the inheritances</w:t>
      </w:r>
      <w:r>
        <w:t xml:space="preserve"> they leave</w:t>
      </w:r>
      <w:r w:rsidRPr="00E55DC3">
        <w:t xml:space="preserve"> might be smaller in size than anticipated.</w:t>
      </w:r>
    </w:p>
    <w:p w14:paraId="12AE6234" w14:textId="76EE23DD" w:rsidR="00767353" w:rsidRDefault="00767353" w:rsidP="00767353">
      <w:pPr>
        <w:pStyle w:val="BodyText"/>
      </w:pPr>
      <w:r>
        <w:t xml:space="preserve">Scenario 4a used an alternate method for estimating drawdown rates, which led to higher drawdown rates, especially for older homeowners. The size of gifts and inheritances were therefore smaller in this scenario, and wealth </w:t>
      </w:r>
      <w:r w:rsidRPr="00C034F4">
        <w:t>transfers were found to have a smaller equalising effect compared with the base scenario (figure</w:t>
      </w:r>
      <w:r w:rsidR="003C6139">
        <w:t> </w:t>
      </w:r>
      <w:r w:rsidRPr="00C034F4">
        <w:t xml:space="preserve">C.11, panel c). </w:t>
      </w:r>
      <w:r w:rsidRPr="0011488D">
        <w:t>Scenario 4b assumed that drawdown rates on housing and other assets for older cohorts gradually increase over time. This largely reduced inheritances in the model, and hence reduced the equalising effect of wealth transfers when inheritances are received</w:t>
      </w:r>
      <w:r w:rsidRPr="00C034F4">
        <w:t xml:space="preserve"> (figure C.11, panel c)</w:t>
      </w:r>
      <w:r w:rsidRPr="0011488D">
        <w:t>.</w:t>
      </w:r>
      <w:r>
        <w:t xml:space="preserve"> In both scenarios, total wealth within age groups was similar to the base scenario (figure C.11, panels a and b).</w:t>
      </w:r>
    </w:p>
    <w:p w14:paraId="78CF1DCD" w14:textId="77777777" w:rsidR="003104ED" w:rsidRDefault="003104ED" w:rsidP="003104ED">
      <w:pPr>
        <w:pStyle w:val="BodyText"/>
      </w:pPr>
      <w:r>
        <w:t>Under the base scenario, a fixed age</w:t>
      </w:r>
      <w:r>
        <w:noBreakHyphen/>
        <w:t>based percentage of wealth at death was assumed to remain within the same cohort, as a simple and tractable way of accounting for the fact that not all wealth is passed on to younger generations at death when there is a surviving spouse. However, because the wealth is spread evenly among all surviving members of the cohort in the model, this assumption leads to higher wealth among older generations than if couples were explicitly modelled and had their wealth passed on when both members die. Scenario 4c examines the effect of undoing this assumption and instead assuming that no wealth stays in the same cohort at death and is passed entirely to younger generations.</w:t>
      </w:r>
    </w:p>
    <w:p w14:paraId="73D6AFBC" w14:textId="1A7304E9" w:rsidR="003104ED" w:rsidRDefault="003104ED" w:rsidP="00767353">
      <w:pPr>
        <w:pStyle w:val="BodyText"/>
      </w:pPr>
      <w:r w:rsidRPr="00751AA1">
        <w:t xml:space="preserve">As expected, older age groups hold a slightly lower share of wealth in scenario 4c </w:t>
      </w:r>
      <w:r>
        <w:t xml:space="preserve">than in </w:t>
      </w:r>
      <w:r w:rsidRPr="00A35259">
        <w:t>the base scenario (figure C.11, panels a and b). However, as in the base scenario, older people were still projected to hold a disproportionately larger share of wealth over time (</w:t>
      </w:r>
      <w:r>
        <w:t>that is, as a percentage of the population aged 30–99, there was a</w:t>
      </w:r>
      <w:r w:rsidRPr="0098038D">
        <w:t xml:space="preserve"> 19 percentage point increase in </w:t>
      </w:r>
      <w:r>
        <w:t xml:space="preserve">the </w:t>
      </w:r>
      <w:r w:rsidRPr="0098038D">
        <w:t xml:space="preserve">wealth </w:t>
      </w:r>
      <w:r>
        <w:t xml:space="preserve">share </w:t>
      </w:r>
      <w:r w:rsidRPr="0098038D">
        <w:t xml:space="preserve">compared </w:t>
      </w:r>
      <w:r>
        <w:t>with</w:t>
      </w:r>
      <w:r w:rsidRPr="0098038D">
        <w:t xml:space="preserve"> a 12 per</w:t>
      </w:r>
      <w:r w:rsidRPr="00F82701">
        <w:t xml:space="preserve">centage point increase in population share for </w:t>
      </w:r>
      <w:r w:rsidRPr="00A35259">
        <w:t>people who were 60 and over</w:t>
      </w:r>
      <w:r w:rsidRPr="00F82701">
        <w:t>)</w:t>
      </w:r>
      <w:r w:rsidRPr="00A35259">
        <w:t xml:space="preserve">. The finding that wealth transfers are equalising is also </w:t>
      </w:r>
      <w:r w:rsidRPr="00A35259">
        <w:lastRenderedPageBreak/>
        <w:t>unchanged (figure C.11, panel c). However the magnitudes of effects are slightly altered</w:t>
      </w:r>
      <w:r w:rsidRPr="00A35259" w:rsidDel="00347868">
        <w:t xml:space="preserve"> </w:t>
      </w:r>
      <w:r w:rsidRPr="00A35259">
        <w:t>— scenario 4c brings forward the size of inheritances received and increases the timing effect because inheritances are bigger among those who receive theirs earlier. Those who receive an inheritance later than their peers may receive smaller inheritances than under the base scenario because older people hold less wealth.</w:t>
      </w:r>
    </w:p>
    <w:p w14:paraId="46FA239B" w14:textId="29BB38B7" w:rsidR="00767353" w:rsidRPr="00146382" w:rsidRDefault="00767353" w:rsidP="00767353">
      <w:pPr>
        <w:pStyle w:val="FigureTableHeading"/>
      </w:pPr>
      <w:r>
        <w:t xml:space="preserve">Figure </w:t>
      </w:r>
      <w:r w:rsidR="00B2270C">
        <w:fldChar w:fldCharType="begin"/>
      </w:r>
      <w:r w:rsidR="00B2270C">
        <w:instrText xml:space="preserve"> STYLEREF  \s Heading-Appendix </w:instrText>
      </w:r>
      <w:r w:rsidR="00B2270C">
        <w:fldChar w:fldCharType="separate"/>
      </w:r>
      <w:r w:rsidR="00F3386D">
        <w:rPr>
          <w:noProof/>
        </w:rPr>
        <w:t>C</w:t>
      </w:r>
      <w:r w:rsidR="00B2270C">
        <w:rPr>
          <w:noProof/>
        </w:rPr>
        <w:fldChar w:fldCharType="end"/>
      </w:r>
      <w:r>
        <w:t>.</w:t>
      </w:r>
      <w:r w:rsidR="00132C71">
        <w:t>11</w:t>
      </w:r>
      <w:r>
        <w:rPr>
          <w:noProof/>
        </w:rPr>
        <w:t xml:space="preserve"> </w:t>
      </w:r>
      <w:r>
        <w:t>– Other adjustment results</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767353" w:rsidRPr="00132C71" w14:paraId="1698BFFF" w14:textId="77777777" w:rsidTr="00604051">
        <w:trPr>
          <w:tblHeader/>
          <w:jc w:val="center"/>
        </w:trPr>
        <w:tc>
          <w:tcPr>
            <w:tcW w:w="2500" w:type="pct"/>
            <w:tcBorders>
              <w:top w:val="nil"/>
              <w:bottom w:val="nil"/>
            </w:tcBorders>
          </w:tcPr>
          <w:p w14:paraId="0534CC6D" w14:textId="1CFF9851" w:rsidR="00767353" w:rsidRPr="00132C71" w:rsidRDefault="00767353" w:rsidP="00C373CD">
            <w:pPr>
              <w:pStyle w:val="FigureTableSubheading"/>
              <w:ind w:left="720" w:hanging="360"/>
              <w:rPr>
                <w:sz w:val="18"/>
              </w:rPr>
            </w:pPr>
            <w:r w:rsidRPr="00C373CD">
              <w:rPr>
                <w:sz w:val="16"/>
                <w:szCs w:val="16"/>
              </w:rPr>
              <w:t>a.</w:t>
            </w:r>
            <w:r w:rsidRPr="00C373CD">
              <w:rPr>
                <w:sz w:val="16"/>
                <w:szCs w:val="16"/>
              </w:rPr>
              <w:tab/>
              <w:t>Total wealth in 2048 by age group (2018</w:t>
            </w:r>
            <w:r w:rsidR="002C4B9E">
              <w:rPr>
                <w:sz w:val="16"/>
                <w:szCs w:val="16"/>
              </w:rPr>
              <w:t> </w:t>
            </w:r>
            <w:r w:rsidRPr="00C373CD">
              <w:rPr>
                <w:sz w:val="16"/>
                <w:szCs w:val="16"/>
              </w:rPr>
              <w:t>dollars)</w:t>
            </w:r>
          </w:p>
          <w:p w14:paraId="55932047" w14:textId="77777777" w:rsidR="00767353" w:rsidRPr="00132C71" w:rsidRDefault="00767353" w:rsidP="00604051">
            <w:pPr>
              <w:pStyle w:val="BodyText"/>
              <w:spacing w:after="0"/>
              <w:ind w:left="284" w:hanging="284"/>
              <w:rPr>
                <w:sz w:val="18"/>
                <w:szCs w:val="18"/>
              </w:rPr>
            </w:pPr>
            <w:r w:rsidRPr="00132C71">
              <w:rPr>
                <w:noProof/>
                <w:sz w:val="18"/>
                <w:szCs w:val="18"/>
              </w:rPr>
              <w:drawing>
                <wp:inline distT="0" distB="0" distL="0" distR="0" wp14:anchorId="554C6CAD" wp14:editId="2FA65DF8">
                  <wp:extent cx="2994660" cy="2472055"/>
                  <wp:effectExtent l="0" t="0" r="0" b="0"/>
                  <wp:docPr id="146" name="Picture 146" descr="Figure C.11, panel a. This chart shows total wealth projected in 2048 by 5-year age group, under the base scenario and other adjustment scenario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Figure C.11, panel a. This chart shows total wealth projected in 2048 by 5-year age group, under the base scenario and other adjustment scenarios. More details are contained in the text surrounding this figur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994660" cy="2472055"/>
                          </a:xfrm>
                          <a:prstGeom prst="rect">
                            <a:avLst/>
                          </a:prstGeom>
                          <a:noFill/>
                          <a:ln>
                            <a:noFill/>
                          </a:ln>
                        </pic:spPr>
                      </pic:pic>
                    </a:graphicData>
                  </a:graphic>
                </wp:inline>
              </w:drawing>
            </w:r>
          </w:p>
        </w:tc>
        <w:tc>
          <w:tcPr>
            <w:tcW w:w="2500" w:type="pct"/>
            <w:tcBorders>
              <w:top w:val="nil"/>
              <w:bottom w:val="nil"/>
            </w:tcBorders>
          </w:tcPr>
          <w:p w14:paraId="084A23DB" w14:textId="77777777" w:rsidR="00767353" w:rsidRPr="0081544F" w:rsidRDefault="00767353" w:rsidP="003104ED">
            <w:pPr>
              <w:pStyle w:val="FigureTableSubheading"/>
              <w:ind w:left="720" w:hanging="360"/>
              <w:rPr>
                <w:spacing w:val="-4"/>
                <w:sz w:val="16"/>
                <w:szCs w:val="16"/>
              </w:rPr>
            </w:pPr>
            <w:r w:rsidRPr="00C373CD">
              <w:rPr>
                <w:sz w:val="16"/>
                <w:szCs w:val="16"/>
              </w:rPr>
              <w:t>b.</w:t>
            </w:r>
            <w:r w:rsidRPr="00C373CD">
              <w:rPr>
                <w:sz w:val="16"/>
                <w:szCs w:val="16"/>
              </w:rPr>
              <w:tab/>
            </w:r>
            <w:r w:rsidRPr="0081544F">
              <w:rPr>
                <w:spacing w:val="-4"/>
                <w:sz w:val="16"/>
                <w:szCs w:val="16"/>
              </w:rPr>
              <w:t>Percentage wealth held by age group in 2048 (percentage of projected 30–99 year old wealth)</w:t>
            </w:r>
          </w:p>
          <w:p w14:paraId="1F4E36CB" w14:textId="77777777" w:rsidR="00767353" w:rsidRPr="00132C71" w:rsidRDefault="00767353" w:rsidP="00604051">
            <w:pPr>
              <w:pStyle w:val="BodyText"/>
              <w:spacing w:after="0"/>
              <w:ind w:left="284" w:hanging="284"/>
              <w:rPr>
                <w:sz w:val="18"/>
                <w:szCs w:val="18"/>
              </w:rPr>
            </w:pPr>
            <w:r w:rsidRPr="00132C71">
              <w:rPr>
                <w:noProof/>
                <w:sz w:val="18"/>
                <w:szCs w:val="18"/>
              </w:rPr>
              <w:drawing>
                <wp:inline distT="0" distB="0" distL="0" distR="0" wp14:anchorId="31A8D3C2" wp14:editId="7424E857">
                  <wp:extent cx="2994660" cy="2472055"/>
                  <wp:effectExtent l="0" t="0" r="0" b="0"/>
                  <wp:docPr id="147" name="Picture 147" descr="Figure C.11, panel b. This chart shows the projected shares of the population and wealth held by each 5-year age group in 2048, under the base scenario and other adjustment scenarios. Older age groups hold a disproportionately large share of wealth under eac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Figure C.11, panel b. This chart shows the projected shares of the population and wealth held by each 5-year age group in 2048, under the base scenario and other adjustment scenarios. Older age groups hold a disproportionately large share of wealth under each scenario."/>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94660" cy="2472055"/>
                          </a:xfrm>
                          <a:prstGeom prst="rect">
                            <a:avLst/>
                          </a:prstGeom>
                          <a:noFill/>
                          <a:ln>
                            <a:noFill/>
                          </a:ln>
                        </pic:spPr>
                      </pic:pic>
                    </a:graphicData>
                  </a:graphic>
                </wp:inline>
              </w:drawing>
            </w:r>
          </w:p>
        </w:tc>
      </w:tr>
      <w:tr w:rsidR="00767353" w:rsidRPr="00132C71" w14:paraId="37000D5E" w14:textId="77777777" w:rsidTr="00604051">
        <w:trPr>
          <w:tblHeader/>
          <w:jc w:val="center"/>
        </w:trPr>
        <w:tc>
          <w:tcPr>
            <w:tcW w:w="5000" w:type="pct"/>
            <w:gridSpan w:val="2"/>
            <w:tcBorders>
              <w:top w:val="nil"/>
              <w:bottom w:val="nil"/>
            </w:tcBorders>
          </w:tcPr>
          <w:p w14:paraId="7D0A6097" w14:textId="77777777" w:rsidR="00767353" w:rsidRPr="00132C71" w:rsidRDefault="00767353" w:rsidP="00C373CD">
            <w:pPr>
              <w:pStyle w:val="FigureTableSubheading"/>
              <w:ind w:left="720" w:hanging="360"/>
              <w:rPr>
                <w:spacing w:val="-4"/>
                <w:sz w:val="18"/>
              </w:rPr>
            </w:pPr>
            <w:r w:rsidRPr="00C373CD">
              <w:rPr>
                <w:sz w:val="16"/>
                <w:szCs w:val="16"/>
              </w:rPr>
              <w:t>c.</w:t>
            </w:r>
            <w:r w:rsidRPr="00C373CD">
              <w:rPr>
                <w:sz w:val="16"/>
                <w:szCs w:val="16"/>
              </w:rPr>
              <w:tab/>
              <w:t>Improvement in wealth inequality due to wealth transfers (reduction in Gini coefficient on a 100 point scale)</w:t>
            </w:r>
          </w:p>
          <w:p w14:paraId="12288196" w14:textId="77777777" w:rsidR="00767353" w:rsidRPr="00132C71" w:rsidRDefault="00767353" w:rsidP="00604051">
            <w:pPr>
              <w:pStyle w:val="BodyText"/>
              <w:spacing w:before="0" w:after="0"/>
              <w:ind w:left="284" w:hanging="284"/>
              <w:rPr>
                <w:sz w:val="18"/>
                <w:szCs w:val="18"/>
              </w:rPr>
            </w:pPr>
            <w:r w:rsidRPr="00132C71">
              <w:rPr>
                <w:noProof/>
                <w:sz w:val="18"/>
                <w:szCs w:val="18"/>
              </w:rPr>
              <w:drawing>
                <wp:inline distT="0" distB="0" distL="0" distR="0" wp14:anchorId="3F4BEC22" wp14:editId="4F34BB0F">
                  <wp:extent cx="6069330" cy="2874010"/>
                  <wp:effectExtent l="0" t="0" r="0" b="0"/>
                  <wp:docPr id="148" name="Picture 148" descr="Figure C.11, panel c. This chart shows the cumulative change in the Gini coefficient for millennials and Gen X due to wealth transfers, under the base scenario and other adjustment scenarios.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Figure C.11, panel c. This chart shows the cumulative change in the Gini coefficient for millennials and Gen X due to wealth transfers, under the base scenario and other adjustment scenarios. More details are contained in the text surrounding this figure."/>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69330" cy="2874010"/>
                          </a:xfrm>
                          <a:prstGeom prst="rect">
                            <a:avLst/>
                          </a:prstGeom>
                          <a:noFill/>
                          <a:ln>
                            <a:noFill/>
                          </a:ln>
                        </pic:spPr>
                      </pic:pic>
                    </a:graphicData>
                  </a:graphic>
                </wp:inline>
              </w:drawing>
            </w:r>
          </w:p>
        </w:tc>
      </w:tr>
      <w:tr w:rsidR="00767353" w:rsidRPr="00B1465D" w14:paraId="5CCB7E18" w14:textId="77777777" w:rsidTr="00604051">
        <w:trPr>
          <w:tblHeader/>
          <w:jc w:val="center"/>
        </w:trPr>
        <w:tc>
          <w:tcPr>
            <w:tcW w:w="5000" w:type="pct"/>
            <w:gridSpan w:val="2"/>
            <w:tcBorders>
              <w:top w:val="nil"/>
              <w:bottom w:val="nil"/>
            </w:tcBorders>
          </w:tcPr>
          <w:p w14:paraId="180D99A1" w14:textId="77777777" w:rsidR="00767353" w:rsidRPr="002B425D" w:rsidRDefault="00767353" w:rsidP="00604051">
            <w:pPr>
              <w:pStyle w:val="BodyText"/>
              <w:spacing w:before="0" w:after="0"/>
              <w:ind w:left="284" w:hanging="284"/>
              <w:jc w:val="center"/>
            </w:pPr>
            <w:r w:rsidRPr="00806F31">
              <w:rPr>
                <w:noProof/>
              </w:rPr>
              <w:drawing>
                <wp:inline distT="0" distB="0" distL="0" distR="0" wp14:anchorId="70238B09" wp14:editId="7B7193CC">
                  <wp:extent cx="5174615" cy="653415"/>
                  <wp:effectExtent l="0" t="0" r="0" b="0"/>
                  <wp:docPr id="149" name="Picture 149" descr="Figure C.11,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Figure C.11, Legend"/>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174615" cy="653415"/>
                          </a:xfrm>
                          <a:prstGeom prst="rect">
                            <a:avLst/>
                          </a:prstGeom>
                          <a:noFill/>
                          <a:ln>
                            <a:noFill/>
                          </a:ln>
                        </pic:spPr>
                      </pic:pic>
                    </a:graphicData>
                  </a:graphic>
                </wp:inline>
              </w:drawing>
            </w:r>
          </w:p>
        </w:tc>
      </w:tr>
    </w:tbl>
    <w:p w14:paraId="3DDE30E3" w14:textId="60FB2753" w:rsidR="00767353" w:rsidRDefault="00767353" w:rsidP="003104ED">
      <w:pPr>
        <w:pStyle w:val="Source"/>
      </w:pPr>
      <w:r w:rsidRPr="00696447">
        <w:t xml:space="preserve">Source: </w:t>
      </w:r>
      <w:r w:rsidRPr="00674B5D">
        <w:t>Data source: Productivity Commission estimates from cohort simulation model.</w:t>
      </w:r>
    </w:p>
    <w:p w14:paraId="641585C7" w14:textId="61EF8C17" w:rsidR="00767353" w:rsidRDefault="00767353" w:rsidP="00767353">
      <w:pPr>
        <w:pStyle w:val="BodyText"/>
        <w:sectPr w:rsidR="00767353" w:rsidSect="003E0201">
          <w:pgSz w:w="11906" w:h="16838" w:code="9"/>
          <w:pgMar w:top="1134" w:right="1134" w:bottom="1134" w:left="1134" w:header="794" w:footer="510" w:gutter="0"/>
          <w:cols w:space="708"/>
          <w:docGrid w:linePitch="360"/>
        </w:sectPr>
      </w:pPr>
    </w:p>
    <w:p w14:paraId="2DA4B3CF" w14:textId="1885E7AD" w:rsidR="006E0ED6" w:rsidRPr="00BE661A" w:rsidRDefault="006E0ED6" w:rsidP="00BE661A">
      <w:pPr>
        <w:pStyle w:val="Heading1-nobackground"/>
      </w:pPr>
      <w:r w:rsidRPr="00BE661A">
        <w:lastRenderedPageBreak/>
        <w:t>Public consultations</w:t>
      </w:r>
    </w:p>
    <w:p w14:paraId="2292E25E" w14:textId="1CF79490" w:rsidR="006E0ED6" w:rsidRPr="00AA5653" w:rsidRDefault="006E0ED6" w:rsidP="00450703">
      <w:pPr>
        <w:pStyle w:val="BodyText"/>
        <w:spacing w:after="240"/>
        <w:rPr>
          <w:spacing w:val="-4"/>
        </w:rPr>
      </w:pPr>
      <w:r w:rsidRPr="00AA5653">
        <w:rPr>
          <w:spacing w:val="-4"/>
        </w:rPr>
        <w:t>In preparing this research paper, the Commission consulted with a range of organisations, individuals, industry bodies, government departments and agencies. The Commission is grateful for their assistance.</w:t>
      </w:r>
    </w:p>
    <w:tbl>
      <w:tblPr>
        <w:tblW w:w="5000" w:type="pct"/>
        <w:tblBorders>
          <w:bottom w:val="single" w:sz="4" w:space="0" w:color="B3B3B3"/>
          <w:insideH w:val="single" w:sz="4" w:space="0" w:color="B3B3B3"/>
          <w:insideV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6E0ED6" w:rsidRPr="00AA5653" w14:paraId="37662FDC" w14:textId="77777777" w:rsidTr="001625EC">
        <w:trPr>
          <w:tblHeader/>
        </w:trPr>
        <w:tc>
          <w:tcPr>
            <w:tcW w:w="5000" w:type="pct"/>
            <w:tcBorders>
              <w:bottom w:val="single" w:sz="4" w:space="0" w:color="B3B3B3"/>
            </w:tcBorders>
            <w:shd w:val="clear" w:color="000000" w:fill="auto"/>
          </w:tcPr>
          <w:p w14:paraId="26FC4816" w14:textId="77777777" w:rsidR="006E0ED6" w:rsidRPr="00AA5653" w:rsidRDefault="006E0ED6" w:rsidP="001625EC">
            <w:pPr>
              <w:pStyle w:val="BodyText"/>
              <w:spacing w:before="45" w:after="45"/>
              <w:ind w:left="57" w:right="108"/>
              <w:rPr>
                <w:rFonts w:ascii="Arial (Body)" w:hAnsi="Arial (Body)"/>
                <w:b/>
                <w:color w:val="265A9A"/>
                <w:sz w:val="18"/>
              </w:rPr>
            </w:pPr>
            <w:r w:rsidRPr="00AA5653">
              <w:rPr>
                <w:rFonts w:ascii="Arial (Body)" w:hAnsi="Arial (Body)"/>
                <w:b/>
                <w:color w:val="265A9A"/>
                <w:sz w:val="18"/>
              </w:rPr>
              <w:t>Individual/organisation</w:t>
            </w:r>
          </w:p>
        </w:tc>
      </w:tr>
      <w:tr w:rsidR="006E0ED6" w:rsidRPr="00AA5653" w14:paraId="498375D9" w14:textId="77777777" w:rsidTr="001625EC">
        <w:tblPrEx>
          <w:tblCellMar>
            <w:top w:w="28" w:type="dxa"/>
          </w:tblCellMar>
        </w:tblPrEx>
        <w:trPr>
          <w:trHeight w:val="113"/>
        </w:trPr>
        <w:tc>
          <w:tcPr>
            <w:tcW w:w="5000" w:type="pct"/>
            <w:tcBorders>
              <w:top w:val="single" w:sz="4" w:space="0" w:color="B3B3B3"/>
              <w:bottom w:val="nil"/>
            </w:tcBorders>
            <w:shd w:val="clear" w:color="000000" w:fill="auto"/>
          </w:tcPr>
          <w:p w14:paraId="6646E9C7" w14:textId="77777777" w:rsidR="006E0ED6" w:rsidRPr="00AA5653" w:rsidRDefault="006E0ED6" w:rsidP="001625EC">
            <w:pPr>
              <w:pStyle w:val="TableBody"/>
              <w:spacing w:after="40" w:line="240" w:lineRule="atLeast"/>
            </w:pPr>
            <w:r w:rsidRPr="00AA5653">
              <w:t>ACT Supreme Court</w:t>
            </w:r>
          </w:p>
        </w:tc>
      </w:tr>
      <w:tr w:rsidR="006E0ED6" w:rsidRPr="00AA5653" w14:paraId="45FA08FE" w14:textId="77777777" w:rsidTr="001625EC">
        <w:tblPrEx>
          <w:tblCellMar>
            <w:top w:w="28" w:type="dxa"/>
          </w:tblCellMar>
        </w:tblPrEx>
        <w:trPr>
          <w:trHeight w:val="113"/>
        </w:trPr>
        <w:tc>
          <w:tcPr>
            <w:tcW w:w="5000" w:type="pct"/>
            <w:tcBorders>
              <w:top w:val="nil"/>
              <w:bottom w:val="nil"/>
            </w:tcBorders>
            <w:shd w:val="clear" w:color="000000" w:fill="F1F1F1"/>
          </w:tcPr>
          <w:p w14:paraId="534CD7A7" w14:textId="77777777" w:rsidR="006E0ED6" w:rsidRPr="00AA5653" w:rsidRDefault="006E0ED6" w:rsidP="001625EC">
            <w:pPr>
              <w:pStyle w:val="TableBody"/>
              <w:spacing w:after="40" w:line="240" w:lineRule="atLeast"/>
            </w:pPr>
            <w:r w:rsidRPr="00AA5653">
              <w:t>Aged Care Steps</w:t>
            </w:r>
          </w:p>
        </w:tc>
      </w:tr>
      <w:tr w:rsidR="006E0ED6" w:rsidRPr="00AA5653" w14:paraId="0F4A7444" w14:textId="77777777" w:rsidTr="001625EC">
        <w:tblPrEx>
          <w:tblCellMar>
            <w:top w:w="28" w:type="dxa"/>
          </w:tblCellMar>
        </w:tblPrEx>
        <w:trPr>
          <w:trHeight w:val="113"/>
        </w:trPr>
        <w:tc>
          <w:tcPr>
            <w:tcW w:w="5000" w:type="pct"/>
            <w:tcBorders>
              <w:top w:val="nil"/>
              <w:bottom w:val="nil"/>
            </w:tcBorders>
            <w:shd w:val="clear" w:color="000000" w:fill="auto"/>
          </w:tcPr>
          <w:p w14:paraId="2437E49F" w14:textId="77777777" w:rsidR="006E0ED6" w:rsidRPr="00AA5653" w:rsidRDefault="006E0ED6" w:rsidP="001625EC">
            <w:pPr>
              <w:pStyle w:val="TableBody"/>
              <w:spacing w:after="40" w:line="240" w:lineRule="atLeast"/>
            </w:pPr>
            <w:r w:rsidRPr="00AA5653">
              <w:t>Australia and New Zealand Banking Group</w:t>
            </w:r>
          </w:p>
        </w:tc>
      </w:tr>
      <w:tr w:rsidR="006E0ED6" w:rsidRPr="00AA5653" w14:paraId="5FF36040" w14:textId="77777777" w:rsidTr="001625EC">
        <w:tblPrEx>
          <w:tblCellMar>
            <w:top w:w="28" w:type="dxa"/>
          </w:tblCellMar>
        </w:tblPrEx>
        <w:trPr>
          <w:trHeight w:val="113"/>
        </w:trPr>
        <w:tc>
          <w:tcPr>
            <w:tcW w:w="5000" w:type="pct"/>
            <w:tcBorders>
              <w:top w:val="nil"/>
              <w:bottom w:val="nil"/>
            </w:tcBorders>
            <w:shd w:val="clear" w:color="000000" w:fill="F1F1F1"/>
          </w:tcPr>
          <w:p w14:paraId="365B19A3" w14:textId="77777777" w:rsidR="006E0ED6" w:rsidRPr="00AA5653" w:rsidRDefault="006E0ED6" w:rsidP="001625EC">
            <w:pPr>
              <w:pStyle w:val="TableBody"/>
              <w:spacing w:after="40" w:line="240" w:lineRule="atLeast"/>
            </w:pPr>
            <w:r w:rsidRPr="00AA5653">
              <w:t>Australian Bureau of Statistics</w:t>
            </w:r>
          </w:p>
        </w:tc>
      </w:tr>
      <w:tr w:rsidR="006E0ED6" w:rsidRPr="00AA5653" w14:paraId="6AB753BE" w14:textId="77777777" w:rsidTr="001625EC">
        <w:tblPrEx>
          <w:tblCellMar>
            <w:top w:w="28" w:type="dxa"/>
          </w:tblCellMar>
        </w:tblPrEx>
        <w:trPr>
          <w:trHeight w:val="113"/>
        </w:trPr>
        <w:tc>
          <w:tcPr>
            <w:tcW w:w="5000" w:type="pct"/>
            <w:tcBorders>
              <w:top w:val="nil"/>
              <w:bottom w:val="nil"/>
            </w:tcBorders>
            <w:shd w:val="clear" w:color="000000" w:fill="auto"/>
          </w:tcPr>
          <w:p w14:paraId="16C04F85" w14:textId="77777777" w:rsidR="006E0ED6" w:rsidRPr="00AA5653" w:rsidRDefault="006E0ED6" w:rsidP="001625EC">
            <w:pPr>
              <w:pStyle w:val="TableBody"/>
              <w:spacing w:after="40" w:line="240" w:lineRule="atLeast"/>
            </w:pPr>
            <w:r w:rsidRPr="00AA5653">
              <w:t>Australian Institute of Health and Welfare</w:t>
            </w:r>
          </w:p>
        </w:tc>
      </w:tr>
      <w:tr w:rsidR="006E0ED6" w:rsidRPr="00AA5653" w14:paraId="2BFB34CB" w14:textId="77777777" w:rsidTr="001625EC">
        <w:tblPrEx>
          <w:tblCellMar>
            <w:top w:w="28" w:type="dxa"/>
          </w:tblCellMar>
        </w:tblPrEx>
        <w:trPr>
          <w:trHeight w:val="113"/>
        </w:trPr>
        <w:tc>
          <w:tcPr>
            <w:tcW w:w="5000" w:type="pct"/>
            <w:tcBorders>
              <w:top w:val="nil"/>
              <w:bottom w:val="nil"/>
            </w:tcBorders>
            <w:shd w:val="clear" w:color="000000" w:fill="F1F1F1"/>
          </w:tcPr>
          <w:p w14:paraId="1614833B" w14:textId="77777777" w:rsidR="006E0ED6" w:rsidRPr="00AA5653" w:rsidRDefault="006E0ED6" w:rsidP="001625EC">
            <w:pPr>
              <w:pStyle w:val="TableBody"/>
              <w:spacing w:after="40" w:line="240" w:lineRule="atLeast"/>
            </w:pPr>
            <w:r w:rsidRPr="00AA5653">
              <w:t>Australian Taxation Office</w:t>
            </w:r>
          </w:p>
        </w:tc>
      </w:tr>
      <w:tr w:rsidR="006E0ED6" w:rsidRPr="00AA5653" w14:paraId="2D326E44" w14:textId="77777777" w:rsidTr="001625EC">
        <w:tblPrEx>
          <w:tblCellMar>
            <w:top w:w="28" w:type="dxa"/>
          </w:tblCellMar>
        </w:tblPrEx>
        <w:trPr>
          <w:trHeight w:val="113"/>
        </w:trPr>
        <w:tc>
          <w:tcPr>
            <w:tcW w:w="5000" w:type="pct"/>
            <w:tcBorders>
              <w:top w:val="nil"/>
              <w:bottom w:val="nil"/>
            </w:tcBorders>
            <w:shd w:val="clear" w:color="000000" w:fill="auto"/>
          </w:tcPr>
          <w:p w14:paraId="5F2518BA" w14:textId="77777777" w:rsidR="006E0ED6" w:rsidRPr="00AA5653" w:rsidRDefault="006E0ED6" w:rsidP="001625EC">
            <w:pPr>
              <w:pStyle w:val="TableBody"/>
              <w:spacing w:after="40" w:line="240" w:lineRule="atLeast"/>
            </w:pPr>
            <w:r w:rsidRPr="00AA5653">
              <w:t>Centre of Excellence in Population Ageing Research</w:t>
            </w:r>
          </w:p>
        </w:tc>
      </w:tr>
      <w:tr w:rsidR="006E0ED6" w:rsidRPr="00AA5653" w14:paraId="22F3BDE9" w14:textId="77777777" w:rsidTr="001625EC">
        <w:tblPrEx>
          <w:tblCellMar>
            <w:top w:w="28" w:type="dxa"/>
          </w:tblCellMar>
        </w:tblPrEx>
        <w:trPr>
          <w:trHeight w:val="113"/>
        </w:trPr>
        <w:tc>
          <w:tcPr>
            <w:tcW w:w="5000" w:type="pct"/>
            <w:tcBorders>
              <w:top w:val="nil"/>
              <w:bottom w:val="nil"/>
            </w:tcBorders>
            <w:shd w:val="clear" w:color="000000" w:fill="F1F1F1"/>
          </w:tcPr>
          <w:p w14:paraId="02BCE041" w14:textId="77777777" w:rsidR="006E0ED6" w:rsidRPr="00AA5653" w:rsidRDefault="006E0ED6" w:rsidP="001625EC">
            <w:pPr>
              <w:pStyle w:val="TableBody"/>
              <w:spacing w:after="40" w:line="240" w:lineRule="atLeast"/>
            </w:pPr>
            <w:r w:rsidRPr="00AA5653">
              <w:t>Cobb-Clark, Deborah (University of Sydney)</w:t>
            </w:r>
          </w:p>
        </w:tc>
      </w:tr>
      <w:tr w:rsidR="006E0ED6" w:rsidRPr="00AA5653" w14:paraId="7560E5EC" w14:textId="77777777" w:rsidTr="001625EC">
        <w:tblPrEx>
          <w:tblCellMar>
            <w:top w:w="28" w:type="dxa"/>
          </w:tblCellMar>
        </w:tblPrEx>
        <w:trPr>
          <w:trHeight w:val="113"/>
        </w:trPr>
        <w:tc>
          <w:tcPr>
            <w:tcW w:w="5000" w:type="pct"/>
            <w:tcBorders>
              <w:top w:val="nil"/>
              <w:bottom w:val="nil"/>
            </w:tcBorders>
            <w:shd w:val="clear" w:color="000000" w:fill="auto"/>
          </w:tcPr>
          <w:p w14:paraId="7BC95222" w14:textId="77777777" w:rsidR="006E0ED6" w:rsidRPr="00AA5653" w:rsidRDefault="006E0ED6" w:rsidP="001625EC">
            <w:pPr>
              <w:pStyle w:val="TableBody"/>
              <w:spacing w:after="40" w:line="240" w:lineRule="atLeast"/>
            </w:pPr>
            <w:r w:rsidRPr="00AA5653">
              <w:t>Commonwealth Bank of Australia</w:t>
            </w:r>
          </w:p>
        </w:tc>
      </w:tr>
      <w:tr w:rsidR="006E0ED6" w:rsidRPr="00AA5653" w14:paraId="367BE186" w14:textId="77777777" w:rsidTr="001625EC">
        <w:tblPrEx>
          <w:tblCellMar>
            <w:top w:w="28" w:type="dxa"/>
          </w:tblCellMar>
        </w:tblPrEx>
        <w:trPr>
          <w:trHeight w:val="113"/>
        </w:trPr>
        <w:tc>
          <w:tcPr>
            <w:tcW w:w="5000" w:type="pct"/>
            <w:tcBorders>
              <w:top w:val="nil"/>
              <w:bottom w:val="nil"/>
            </w:tcBorders>
            <w:shd w:val="clear" w:color="000000" w:fill="F1F1F1"/>
          </w:tcPr>
          <w:p w14:paraId="21618D71" w14:textId="77777777" w:rsidR="006E0ED6" w:rsidRPr="00AA5653" w:rsidRDefault="006E0ED6" w:rsidP="001625EC">
            <w:pPr>
              <w:pStyle w:val="TableBody"/>
              <w:spacing w:after="40" w:line="240" w:lineRule="atLeast"/>
            </w:pPr>
            <w:r w:rsidRPr="00AA5653">
              <w:t>Courts Administration Authority of South Australia</w:t>
            </w:r>
          </w:p>
        </w:tc>
      </w:tr>
      <w:tr w:rsidR="006E0ED6" w:rsidRPr="00AA5653" w14:paraId="70E0AC1F" w14:textId="77777777" w:rsidTr="001625EC">
        <w:tblPrEx>
          <w:tblCellMar>
            <w:top w:w="28" w:type="dxa"/>
          </w:tblCellMar>
        </w:tblPrEx>
        <w:trPr>
          <w:trHeight w:val="113"/>
        </w:trPr>
        <w:tc>
          <w:tcPr>
            <w:tcW w:w="5000" w:type="pct"/>
            <w:tcBorders>
              <w:top w:val="nil"/>
              <w:bottom w:val="nil"/>
            </w:tcBorders>
            <w:shd w:val="clear" w:color="000000" w:fill="auto"/>
          </w:tcPr>
          <w:p w14:paraId="4987915E" w14:textId="77777777" w:rsidR="006E0ED6" w:rsidRPr="00AA5653" w:rsidRDefault="006E0ED6" w:rsidP="001625EC">
            <w:pPr>
              <w:pStyle w:val="TableBody"/>
              <w:spacing w:after="40" w:line="240" w:lineRule="atLeast"/>
            </w:pPr>
            <w:r w:rsidRPr="00AA5653">
              <w:t>Deloitte Access Economics</w:t>
            </w:r>
          </w:p>
        </w:tc>
      </w:tr>
      <w:tr w:rsidR="006E0ED6" w:rsidRPr="00AA5653" w14:paraId="5F69266E" w14:textId="77777777" w:rsidTr="001625EC">
        <w:tblPrEx>
          <w:tblCellMar>
            <w:top w:w="28" w:type="dxa"/>
          </w:tblCellMar>
        </w:tblPrEx>
        <w:trPr>
          <w:trHeight w:val="113"/>
        </w:trPr>
        <w:tc>
          <w:tcPr>
            <w:tcW w:w="5000" w:type="pct"/>
            <w:tcBorders>
              <w:top w:val="nil"/>
              <w:bottom w:val="nil"/>
            </w:tcBorders>
            <w:shd w:val="clear" w:color="000000" w:fill="F1F1F1"/>
          </w:tcPr>
          <w:p w14:paraId="76380D75" w14:textId="77777777" w:rsidR="006E0ED6" w:rsidRPr="00AA5653" w:rsidRDefault="006E0ED6" w:rsidP="001625EC">
            <w:pPr>
              <w:pStyle w:val="TableBody"/>
              <w:spacing w:after="40" w:line="240" w:lineRule="atLeast"/>
            </w:pPr>
            <w:r w:rsidRPr="00AA5653">
              <w:t>Department of Health</w:t>
            </w:r>
          </w:p>
        </w:tc>
      </w:tr>
      <w:tr w:rsidR="006E0ED6" w:rsidRPr="00AA5653" w14:paraId="37EB14A8" w14:textId="77777777" w:rsidTr="001625EC">
        <w:tblPrEx>
          <w:tblCellMar>
            <w:top w:w="28" w:type="dxa"/>
          </w:tblCellMar>
        </w:tblPrEx>
        <w:trPr>
          <w:trHeight w:val="113"/>
        </w:trPr>
        <w:tc>
          <w:tcPr>
            <w:tcW w:w="5000" w:type="pct"/>
            <w:tcBorders>
              <w:top w:val="nil"/>
              <w:bottom w:val="nil"/>
            </w:tcBorders>
            <w:shd w:val="clear" w:color="000000" w:fill="auto"/>
          </w:tcPr>
          <w:p w14:paraId="5FF43D93" w14:textId="77777777" w:rsidR="006E0ED6" w:rsidRPr="00AA5653" w:rsidRDefault="006E0ED6" w:rsidP="001625EC">
            <w:pPr>
              <w:pStyle w:val="TableBody"/>
              <w:spacing w:after="40" w:line="240" w:lineRule="atLeast"/>
            </w:pPr>
            <w:r w:rsidRPr="00AA5653">
              <w:t>Department of Social Services</w:t>
            </w:r>
          </w:p>
        </w:tc>
      </w:tr>
      <w:tr w:rsidR="006E0ED6" w:rsidRPr="00AA5653" w14:paraId="7E6CDC5A" w14:textId="77777777" w:rsidTr="001625EC">
        <w:tblPrEx>
          <w:tblCellMar>
            <w:top w:w="28" w:type="dxa"/>
          </w:tblCellMar>
        </w:tblPrEx>
        <w:trPr>
          <w:trHeight w:val="113"/>
        </w:trPr>
        <w:tc>
          <w:tcPr>
            <w:tcW w:w="5000" w:type="pct"/>
            <w:tcBorders>
              <w:top w:val="nil"/>
              <w:bottom w:val="nil"/>
            </w:tcBorders>
            <w:shd w:val="clear" w:color="000000" w:fill="F1F1F1"/>
          </w:tcPr>
          <w:p w14:paraId="50844C38" w14:textId="77777777" w:rsidR="006E0ED6" w:rsidRPr="00AA5653" w:rsidRDefault="006E0ED6" w:rsidP="001625EC">
            <w:pPr>
              <w:pStyle w:val="TableBody"/>
              <w:spacing w:after="40" w:line="240" w:lineRule="atLeast"/>
            </w:pPr>
            <w:r w:rsidRPr="00AA5653">
              <w:t>Department of Treasury</w:t>
            </w:r>
          </w:p>
        </w:tc>
      </w:tr>
      <w:tr w:rsidR="006E0ED6" w:rsidRPr="00AA5653" w14:paraId="286B8DAF" w14:textId="77777777" w:rsidTr="001625EC">
        <w:tblPrEx>
          <w:tblCellMar>
            <w:top w:w="28" w:type="dxa"/>
          </w:tblCellMar>
        </w:tblPrEx>
        <w:trPr>
          <w:trHeight w:val="113"/>
        </w:trPr>
        <w:tc>
          <w:tcPr>
            <w:tcW w:w="5000" w:type="pct"/>
            <w:tcBorders>
              <w:top w:val="nil"/>
              <w:bottom w:val="nil"/>
            </w:tcBorders>
            <w:shd w:val="clear" w:color="000000" w:fill="auto"/>
          </w:tcPr>
          <w:p w14:paraId="314E6AFF" w14:textId="77777777" w:rsidR="006E0ED6" w:rsidRPr="00AA5653" w:rsidRDefault="006E0ED6" w:rsidP="001625EC">
            <w:pPr>
              <w:pStyle w:val="TableBody"/>
              <w:spacing w:after="40" w:line="240" w:lineRule="atLeast"/>
            </w:pPr>
            <w:r w:rsidRPr="00AA5653">
              <w:t>Finder</w:t>
            </w:r>
          </w:p>
        </w:tc>
      </w:tr>
      <w:tr w:rsidR="006E0ED6" w:rsidRPr="00AA5653" w14:paraId="16DA27AA" w14:textId="77777777" w:rsidTr="001625EC">
        <w:tblPrEx>
          <w:tblCellMar>
            <w:top w:w="28" w:type="dxa"/>
          </w:tblCellMar>
        </w:tblPrEx>
        <w:trPr>
          <w:trHeight w:val="113"/>
        </w:trPr>
        <w:tc>
          <w:tcPr>
            <w:tcW w:w="5000" w:type="pct"/>
            <w:tcBorders>
              <w:top w:val="nil"/>
              <w:bottom w:val="nil"/>
            </w:tcBorders>
            <w:shd w:val="clear" w:color="000000" w:fill="F1F1F1"/>
          </w:tcPr>
          <w:p w14:paraId="41272C45" w14:textId="77777777" w:rsidR="006E0ED6" w:rsidRPr="00AA5653" w:rsidRDefault="006E0ED6" w:rsidP="001625EC">
            <w:pPr>
              <w:pStyle w:val="TableBody"/>
              <w:spacing w:after="40" w:line="240" w:lineRule="atLeast"/>
            </w:pPr>
            <w:r w:rsidRPr="00AA5653">
              <w:t>Grattan Institute</w:t>
            </w:r>
          </w:p>
        </w:tc>
      </w:tr>
      <w:tr w:rsidR="006E0ED6" w:rsidRPr="00AA5653" w14:paraId="3C2022AF" w14:textId="77777777" w:rsidTr="001625EC">
        <w:tblPrEx>
          <w:tblCellMar>
            <w:top w:w="28" w:type="dxa"/>
          </w:tblCellMar>
        </w:tblPrEx>
        <w:trPr>
          <w:trHeight w:val="113"/>
        </w:trPr>
        <w:tc>
          <w:tcPr>
            <w:tcW w:w="5000" w:type="pct"/>
            <w:tcBorders>
              <w:top w:val="nil"/>
              <w:bottom w:val="nil"/>
            </w:tcBorders>
            <w:shd w:val="clear" w:color="000000" w:fill="auto"/>
          </w:tcPr>
          <w:p w14:paraId="4A305B01" w14:textId="77777777" w:rsidR="006E0ED6" w:rsidRPr="00AA5653" w:rsidRDefault="006E0ED6" w:rsidP="001625EC">
            <w:pPr>
              <w:pStyle w:val="TableBody"/>
              <w:spacing w:after="40" w:line="240" w:lineRule="atLeast"/>
            </w:pPr>
            <w:r w:rsidRPr="00AA5653">
              <w:t>Gross, Isaac (Monash University)</w:t>
            </w:r>
          </w:p>
        </w:tc>
      </w:tr>
      <w:tr w:rsidR="006E0ED6" w:rsidRPr="00AA5653" w14:paraId="11896C47" w14:textId="77777777" w:rsidTr="001625EC">
        <w:tblPrEx>
          <w:tblCellMar>
            <w:top w:w="28" w:type="dxa"/>
          </w:tblCellMar>
        </w:tblPrEx>
        <w:trPr>
          <w:trHeight w:val="113"/>
        </w:trPr>
        <w:tc>
          <w:tcPr>
            <w:tcW w:w="5000" w:type="pct"/>
            <w:tcBorders>
              <w:top w:val="nil"/>
              <w:bottom w:val="nil"/>
            </w:tcBorders>
            <w:shd w:val="clear" w:color="000000" w:fill="F1F1F1"/>
          </w:tcPr>
          <w:p w14:paraId="37DF6DF0" w14:textId="77777777" w:rsidR="006E0ED6" w:rsidRPr="00AA5653" w:rsidRDefault="006E0ED6" w:rsidP="001625EC">
            <w:pPr>
              <w:pStyle w:val="TableBody"/>
              <w:spacing w:after="40" w:line="240" w:lineRule="atLeast"/>
            </w:pPr>
            <w:r w:rsidRPr="00AA5653">
              <w:t>Laurie, Mark</w:t>
            </w:r>
          </w:p>
        </w:tc>
      </w:tr>
      <w:tr w:rsidR="006E0ED6" w:rsidRPr="00AA5653" w14:paraId="38796017" w14:textId="77777777" w:rsidTr="001625EC">
        <w:tblPrEx>
          <w:tblCellMar>
            <w:top w:w="28" w:type="dxa"/>
          </w:tblCellMar>
        </w:tblPrEx>
        <w:trPr>
          <w:trHeight w:val="113"/>
        </w:trPr>
        <w:tc>
          <w:tcPr>
            <w:tcW w:w="5000" w:type="pct"/>
            <w:tcBorders>
              <w:top w:val="nil"/>
              <w:bottom w:val="nil"/>
            </w:tcBorders>
            <w:shd w:val="clear" w:color="000000" w:fill="auto"/>
          </w:tcPr>
          <w:p w14:paraId="600B9C55" w14:textId="77777777" w:rsidR="006E0ED6" w:rsidRPr="00AA5653" w:rsidRDefault="006E0ED6" w:rsidP="001625EC">
            <w:pPr>
              <w:pStyle w:val="TableBody"/>
              <w:spacing w:after="40" w:line="240" w:lineRule="atLeast"/>
            </w:pPr>
            <w:r w:rsidRPr="00AA5653">
              <w:t>Melbourne Institute</w:t>
            </w:r>
          </w:p>
        </w:tc>
      </w:tr>
      <w:tr w:rsidR="006E0ED6" w:rsidRPr="00AA5653" w14:paraId="6E65EC7B" w14:textId="77777777" w:rsidTr="001625EC">
        <w:tblPrEx>
          <w:tblCellMar>
            <w:top w:w="28" w:type="dxa"/>
          </w:tblCellMar>
        </w:tblPrEx>
        <w:trPr>
          <w:trHeight w:val="113"/>
        </w:trPr>
        <w:tc>
          <w:tcPr>
            <w:tcW w:w="5000" w:type="pct"/>
            <w:tcBorders>
              <w:top w:val="nil"/>
              <w:bottom w:val="nil"/>
            </w:tcBorders>
            <w:shd w:val="clear" w:color="000000" w:fill="F1F1F1"/>
          </w:tcPr>
          <w:p w14:paraId="23682BD2" w14:textId="77777777" w:rsidR="006E0ED6" w:rsidRPr="00AA5653" w:rsidRDefault="006E0ED6" w:rsidP="001625EC">
            <w:pPr>
              <w:pStyle w:val="TableBody"/>
              <w:spacing w:after="40" w:line="240" w:lineRule="atLeast"/>
            </w:pPr>
            <w:r w:rsidRPr="00AA5653">
              <w:t>Mozo</w:t>
            </w:r>
          </w:p>
        </w:tc>
      </w:tr>
      <w:tr w:rsidR="006E0ED6" w:rsidRPr="00AA5653" w14:paraId="1E759791" w14:textId="77777777" w:rsidTr="001625EC">
        <w:tblPrEx>
          <w:tblCellMar>
            <w:top w:w="28" w:type="dxa"/>
          </w:tblCellMar>
        </w:tblPrEx>
        <w:trPr>
          <w:trHeight w:val="113"/>
        </w:trPr>
        <w:tc>
          <w:tcPr>
            <w:tcW w:w="5000" w:type="pct"/>
            <w:tcBorders>
              <w:top w:val="nil"/>
              <w:bottom w:val="nil"/>
            </w:tcBorders>
            <w:shd w:val="clear" w:color="000000" w:fill="auto"/>
          </w:tcPr>
          <w:p w14:paraId="572E18AD" w14:textId="77777777" w:rsidR="006E0ED6" w:rsidRPr="00AA5653" w:rsidRDefault="006E0ED6" w:rsidP="001625EC">
            <w:pPr>
              <w:pStyle w:val="TableBody"/>
              <w:spacing w:after="40" w:line="240" w:lineRule="atLeast"/>
            </w:pPr>
            <w:r w:rsidRPr="00AA5653">
              <w:t>National Australia Bank</w:t>
            </w:r>
          </w:p>
        </w:tc>
      </w:tr>
      <w:tr w:rsidR="006E0ED6" w:rsidRPr="00AA5653" w14:paraId="773E48C2" w14:textId="77777777" w:rsidTr="001625EC">
        <w:tblPrEx>
          <w:tblCellMar>
            <w:top w:w="28" w:type="dxa"/>
          </w:tblCellMar>
        </w:tblPrEx>
        <w:trPr>
          <w:trHeight w:val="113"/>
        </w:trPr>
        <w:tc>
          <w:tcPr>
            <w:tcW w:w="5000" w:type="pct"/>
            <w:tcBorders>
              <w:top w:val="nil"/>
              <w:bottom w:val="nil"/>
            </w:tcBorders>
            <w:shd w:val="clear" w:color="000000" w:fill="F1F1F1"/>
          </w:tcPr>
          <w:p w14:paraId="20444CAD" w14:textId="77777777" w:rsidR="006E0ED6" w:rsidRPr="00AA5653" w:rsidRDefault="006E0ED6" w:rsidP="001625EC">
            <w:pPr>
              <w:pStyle w:val="TableBody"/>
              <w:spacing w:after="40" w:line="240" w:lineRule="atLeast"/>
            </w:pPr>
            <w:r w:rsidRPr="00AA5653">
              <w:t>Reserve Bank of Australia</w:t>
            </w:r>
          </w:p>
        </w:tc>
      </w:tr>
      <w:tr w:rsidR="006E0ED6" w:rsidRPr="00AA5653" w14:paraId="0AD0DAE5" w14:textId="77777777" w:rsidTr="001625EC">
        <w:tblPrEx>
          <w:tblCellMar>
            <w:top w:w="28" w:type="dxa"/>
          </w:tblCellMar>
        </w:tblPrEx>
        <w:trPr>
          <w:trHeight w:val="113"/>
        </w:trPr>
        <w:tc>
          <w:tcPr>
            <w:tcW w:w="5000" w:type="pct"/>
            <w:tcBorders>
              <w:top w:val="nil"/>
              <w:bottom w:val="nil"/>
            </w:tcBorders>
            <w:shd w:val="clear" w:color="000000" w:fill="auto"/>
          </w:tcPr>
          <w:p w14:paraId="2B7A385C" w14:textId="77777777" w:rsidR="006E0ED6" w:rsidRPr="00AA5653" w:rsidRDefault="006E0ED6" w:rsidP="001625EC">
            <w:pPr>
              <w:pStyle w:val="TableBody"/>
              <w:spacing w:after="40" w:line="240" w:lineRule="atLeast"/>
            </w:pPr>
            <w:r w:rsidRPr="00AA5653">
              <w:t>Rice Warner Actuaries</w:t>
            </w:r>
          </w:p>
        </w:tc>
      </w:tr>
      <w:tr w:rsidR="006E0ED6" w:rsidRPr="00AA5653" w14:paraId="4C949AB6" w14:textId="77777777" w:rsidTr="001625EC">
        <w:tblPrEx>
          <w:tblCellMar>
            <w:top w:w="28" w:type="dxa"/>
          </w:tblCellMar>
        </w:tblPrEx>
        <w:trPr>
          <w:trHeight w:val="113"/>
        </w:trPr>
        <w:tc>
          <w:tcPr>
            <w:tcW w:w="5000" w:type="pct"/>
            <w:tcBorders>
              <w:top w:val="nil"/>
              <w:bottom w:val="nil"/>
            </w:tcBorders>
            <w:shd w:val="clear" w:color="000000" w:fill="F1F1F1"/>
          </w:tcPr>
          <w:p w14:paraId="096A42E2" w14:textId="77777777" w:rsidR="006E0ED6" w:rsidRPr="00AA5653" w:rsidRDefault="006E0ED6" w:rsidP="001625EC">
            <w:pPr>
              <w:pStyle w:val="TableBody"/>
              <w:spacing w:after="40" w:line="240" w:lineRule="atLeast"/>
            </w:pPr>
            <w:r w:rsidRPr="00AA5653">
              <w:t>Roach, Joe</w:t>
            </w:r>
          </w:p>
        </w:tc>
      </w:tr>
      <w:tr w:rsidR="006E0ED6" w:rsidRPr="00AA5653" w14:paraId="2C7DF5FE" w14:textId="77777777" w:rsidTr="001625EC">
        <w:tblPrEx>
          <w:tblCellMar>
            <w:top w:w="28" w:type="dxa"/>
          </w:tblCellMar>
        </w:tblPrEx>
        <w:trPr>
          <w:trHeight w:val="113"/>
        </w:trPr>
        <w:tc>
          <w:tcPr>
            <w:tcW w:w="5000" w:type="pct"/>
            <w:tcBorders>
              <w:top w:val="nil"/>
              <w:bottom w:val="nil"/>
            </w:tcBorders>
            <w:shd w:val="clear" w:color="000000" w:fill="auto"/>
          </w:tcPr>
          <w:p w14:paraId="7C00244F" w14:textId="77777777" w:rsidR="006E0ED6" w:rsidRPr="00AA5653" w:rsidRDefault="006E0ED6" w:rsidP="001625EC">
            <w:pPr>
              <w:pStyle w:val="TableBody"/>
              <w:spacing w:after="40" w:line="240" w:lineRule="atLeast"/>
            </w:pPr>
            <w:r w:rsidRPr="00AA5653">
              <w:t>Services Australia</w:t>
            </w:r>
          </w:p>
        </w:tc>
      </w:tr>
      <w:tr w:rsidR="006E0ED6" w:rsidRPr="00AA5653" w14:paraId="412F9EEF" w14:textId="77777777" w:rsidTr="001625EC">
        <w:tblPrEx>
          <w:tblCellMar>
            <w:top w:w="28" w:type="dxa"/>
          </w:tblCellMar>
        </w:tblPrEx>
        <w:trPr>
          <w:trHeight w:val="113"/>
        </w:trPr>
        <w:tc>
          <w:tcPr>
            <w:tcW w:w="5000" w:type="pct"/>
            <w:tcBorders>
              <w:top w:val="nil"/>
              <w:bottom w:val="nil"/>
            </w:tcBorders>
            <w:shd w:val="clear" w:color="000000" w:fill="F1F1F1"/>
          </w:tcPr>
          <w:p w14:paraId="7752DE85" w14:textId="77777777" w:rsidR="006E0ED6" w:rsidRPr="00AA5653" w:rsidRDefault="006E0ED6" w:rsidP="001625EC">
            <w:pPr>
              <w:pStyle w:val="TableBody"/>
              <w:spacing w:after="40" w:line="240" w:lineRule="atLeast"/>
            </w:pPr>
            <w:r w:rsidRPr="00AA5653">
              <w:t>Siminski, Peter (University of Technology Sydney)</w:t>
            </w:r>
          </w:p>
        </w:tc>
      </w:tr>
      <w:tr w:rsidR="006E0ED6" w:rsidRPr="00AA5653" w14:paraId="6D5298D7" w14:textId="77777777" w:rsidTr="001625EC">
        <w:tblPrEx>
          <w:tblCellMar>
            <w:top w:w="28" w:type="dxa"/>
          </w:tblCellMar>
        </w:tblPrEx>
        <w:trPr>
          <w:trHeight w:val="113"/>
        </w:trPr>
        <w:tc>
          <w:tcPr>
            <w:tcW w:w="5000" w:type="pct"/>
            <w:tcBorders>
              <w:top w:val="nil"/>
              <w:bottom w:val="nil"/>
            </w:tcBorders>
            <w:shd w:val="clear" w:color="000000" w:fill="auto"/>
          </w:tcPr>
          <w:p w14:paraId="5AF11229" w14:textId="77777777" w:rsidR="006E0ED6" w:rsidRPr="00AA5653" w:rsidRDefault="006E0ED6" w:rsidP="001625EC">
            <w:pPr>
              <w:pStyle w:val="TableBody"/>
              <w:spacing w:after="40" w:line="240" w:lineRule="atLeast"/>
            </w:pPr>
            <w:r w:rsidRPr="00AA5653">
              <w:t>Supreme Court of Victoria</w:t>
            </w:r>
          </w:p>
        </w:tc>
      </w:tr>
      <w:tr w:rsidR="006E0ED6" w:rsidRPr="00AA5653" w14:paraId="67FBA30C" w14:textId="77777777" w:rsidTr="001625EC">
        <w:tblPrEx>
          <w:tblCellMar>
            <w:top w:w="28" w:type="dxa"/>
          </w:tblCellMar>
        </w:tblPrEx>
        <w:trPr>
          <w:trHeight w:val="113"/>
        </w:trPr>
        <w:tc>
          <w:tcPr>
            <w:tcW w:w="5000" w:type="pct"/>
            <w:tcBorders>
              <w:top w:val="nil"/>
              <w:bottom w:val="nil"/>
            </w:tcBorders>
            <w:shd w:val="clear" w:color="000000" w:fill="F1F1F1"/>
          </w:tcPr>
          <w:p w14:paraId="14BE6A2B" w14:textId="77777777" w:rsidR="006E0ED6" w:rsidRPr="00AA5653" w:rsidRDefault="006E0ED6" w:rsidP="001625EC">
            <w:pPr>
              <w:pStyle w:val="TableBody"/>
              <w:spacing w:after="40" w:line="240" w:lineRule="atLeast"/>
            </w:pPr>
            <w:r w:rsidRPr="00AA5653">
              <w:t>Tax and Transfer Policy Institute (Australian National University)</w:t>
            </w:r>
          </w:p>
        </w:tc>
      </w:tr>
      <w:tr w:rsidR="006E0ED6" w:rsidRPr="00AA5653" w14:paraId="2A94DE69" w14:textId="77777777" w:rsidTr="001625EC">
        <w:tblPrEx>
          <w:tblCellMar>
            <w:top w:w="28" w:type="dxa"/>
          </w:tblCellMar>
        </w:tblPrEx>
        <w:trPr>
          <w:trHeight w:val="113"/>
        </w:trPr>
        <w:tc>
          <w:tcPr>
            <w:tcW w:w="5000" w:type="pct"/>
            <w:tcBorders>
              <w:top w:val="nil"/>
              <w:bottom w:val="nil"/>
            </w:tcBorders>
            <w:shd w:val="clear" w:color="000000" w:fill="auto"/>
          </w:tcPr>
          <w:p w14:paraId="3BAB02BD" w14:textId="77777777" w:rsidR="006E0ED6" w:rsidRPr="00AA5653" w:rsidRDefault="006E0ED6" w:rsidP="001625EC">
            <w:pPr>
              <w:pStyle w:val="TableBody"/>
              <w:spacing w:after="40" w:line="240" w:lineRule="atLeast"/>
            </w:pPr>
            <w:r w:rsidRPr="00AA5653">
              <w:t>ViforJ, Rachel (Curtin University)</w:t>
            </w:r>
          </w:p>
        </w:tc>
      </w:tr>
      <w:tr w:rsidR="006E0ED6" w:rsidRPr="00AA5653" w14:paraId="26B55B2F" w14:textId="77777777" w:rsidTr="001625EC">
        <w:tblPrEx>
          <w:tblCellMar>
            <w:top w:w="28" w:type="dxa"/>
          </w:tblCellMar>
        </w:tblPrEx>
        <w:trPr>
          <w:trHeight w:val="113"/>
        </w:trPr>
        <w:tc>
          <w:tcPr>
            <w:tcW w:w="5000" w:type="pct"/>
            <w:tcBorders>
              <w:top w:val="nil"/>
            </w:tcBorders>
            <w:shd w:val="clear" w:color="000000" w:fill="F1F1F1"/>
          </w:tcPr>
          <w:p w14:paraId="2C251C24" w14:textId="77777777" w:rsidR="006E0ED6" w:rsidRPr="00AA5653" w:rsidRDefault="006E0ED6" w:rsidP="001625EC">
            <w:pPr>
              <w:pStyle w:val="TableBody"/>
              <w:spacing w:after="40" w:line="240" w:lineRule="atLeast"/>
            </w:pPr>
            <w:r w:rsidRPr="00AA5653">
              <w:t>Westpac Banking Corporation</w:t>
            </w:r>
          </w:p>
        </w:tc>
      </w:tr>
    </w:tbl>
    <w:p w14:paraId="1677E634" w14:textId="77777777" w:rsidR="006E0ED6" w:rsidRDefault="006E0ED6" w:rsidP="006E0ED6">
      <w:pPr>
        <w:pStyle w:val="BodyText"/>
        <w:sectPr w:rsidR="006E0ED6" w:rsidSect="00942C44">
          <w:headerReference w:type="default" r:id="rId185"/>
          <w:type w:val="oddPage"/>
          <w:pgSz w:w="11906" w:h="16838" w:code="9"/>
          <w:pgMar w:top="1134" w:right="1134" w:bottom="1134" w:left="1134" w:header="794" w:footer="510" w:gutter="0"/>
          <w:cols w:space="708"/>
          <w:docGrid w:linePitch="360"/>
        </w:sectPr>
      </w:pPr>
    </w:p>
    <w:p w14:paraId="10C72159" w14:textId="77777777" w:rsidR="006E0ED6" w:rsidRPr="00781537" w:rsidRDefault="006E0ED6" w:rsidP="00781537">
      <w:pPr>
        <w:pStyle w:val="Heading1-nobackground"/>
      </w:pPr>
      <w:bookmarkStart w:id="65" w:name="_Toc78901540"/>
      <w:r w:rsidRPr="00781537">
        <w:lastRenderedPageBreak/>
        <w:t>Abbreviations</w:t>
      </w:r>
      <w:bookmarkEnd w:id="65"/>
    </w:p>
    <w:tbl>
      <w:tblPr>
        <w:tblW w:w="5000" w:type="pct"/>
        <w:tblBorders>
          <w:top w:val="single" w:sz="4" w:space="0" w:color="B3B3B3"/>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6E0ED6" w:rsidRPr="001772A8" w14:paraId="60ABA236" w14:textId="77777777" w:rsidTr="001625EC">
        <w:tc>
          <w:tcPr>
            <w:tcW w:w="882" w:type="pct"/>
            <w:shd w:val="clear" w:color="000000" w:fill="auto"/>
          </w:tcPr>
          <w:p w14:paraId="42571F9C"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ABS</w:t>
            </w:r>
          </w:p>
        </w:tc>
        <w:tc>
          <w:tcPr>
            <w:tcW w:w="4118" w:type="pct"/>
            <w:shd w:val="clear" w:color="000000" w:fill="auto"/>
          </w:tcPr>
          <w:p w14:paraId="23647A11"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Australian Bureau of Statistics</w:t>
            </w:r>
          </w:p>
        </w:tc>
      </w:tr>
      <w:tr w:rsidR="006E0ED6" w:rsidRPr="001772A8" w14:paraId="7CD7C8AB" w14:textId="77777777" w:rsidTr="001625EC">
        <w:tc>
          <w:tcPr>
            <w:tcW w:w="882" w:type="pct"/>
            <w:shd w:val="clear" w:color="000000" w:fill="F1F1F1"/>
          </w:tcPr>
          <w:p w14:paraId="337AC8C3"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ATO</w:t>
            </w:r>
          </w:p>
        </w:tc>
        <w:tc>
          <w:tcPr>
            <w:tcW w:w="4118" w:type="pct"/>
            <w:shd w:val="clear" w:color="000000" w:fill="F1F1F1"/>
          </w:tcPr>
          <w:p w14:paraId="08749DD6"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Australian Tax Office</w:t>
            </w:r>
          </w:p>
        </w:tc>
      </w:tr>
      <w:tr w:rsidR="006E0ED6" w:rsidRPr="001772A8" w14:paraId="0398D3C5" w14:textId="77777777" w:rsidTr="001625EC">
        <w:tc>
          <w:tcPr>
            <w:tcW w:w="882" w:type="pct"/>
            <w:shd w:val="clear" w:color="000000" w:fill="auto"/>
          </w:tcPr>
          <w:p w14:paraId="7D3A5595"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ALife</w:t>
            </w:r>
          </w:p>
        </w:tc>
        <w:tc>
          <w:tcPr>
            <w:tcW w:w="4118" w:type="pct"/>
            <w:shd w:val="clear" w:color="000000" w:fill="auto"/>
          </w:tcPr>
          <w:p w14:paraId="41F232EF"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ATO Longitudinal Information Files</w:t>
            </w:r>
          </w:p>
        </w:tc>
      </w:tr>
      <w:tr w:rsidR="006E0ED6" w:rsidRPr="001772A8" w14:paraId="66D8707C" w14:textId="77777777" w:rsidTr="001625EC">
        <w:tc>
          <w:tcPr>
            <w:tcW w:w="882" w:type="pct"/>
            <w:shd w:val="clear" w:color="000000" w:fill="F1F1F1"/>
          </w:tcPr>
          <w:p w14:paraId="1900D0FC"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BOMD</w:t>
            </w:r>
          </w:p>
        </w:tc>
        <w:tc>
          <w:tcPr>
            <w:tcW w:w="4118" w:type="pct"/>
            <w:shd w:val="clear" w:color="000000" w:fill="F1F1F1"/>
          </w:tcPr>
          <w:p w14:paraId="4F5E11A9"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Bank of Mum and Dad</w:t>
            </w:r>
          </w:p>
        </w:tc>
      </w:tr>
      <w:tr w:rsidR="006E0ED6" w:rsidRPr="001772A8" w14:paraId="61E2EAFE" w14:textId="77777777" w:rsidTr="001625EC">
        <w:tc>
          <w:tcPr>
            <w:tcW w:w="882" w:type="pct"/>
            <w:shd w:val="clear" w:color="000000" w:fill="auto"/>
          </w:tcPr>
          <w:p w14:paraId="18603B10"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CBA</w:t>
            </w:r>
          </w:p>
        </w:tc>
        <w:tc>
          <w:tcPr>
            <w:tcW w:w="4118" w:type="pct"/>
            <w:shd w:val="clear" w:color="000000" w:fill="auto"/>
          </w:tcPr>
          <w:p w14:paraId="3EC68B83"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Commonwealth Bank of Australia</w:t>
            </w:r>
          </w:p>
        </w:tc>
      </w:tr>
      <w:tr w:rsidR="006E0ED6" w:rsidRPr="001772A8" w14:paraId="7C8385FA" w14:textId="77777777" w:rsidTr="001625EC">
        <w:tc>
          <w:tcPr>
            <w:tcW w:w="882" w:type="pct"/>
            <w:shd w:val="clear" w:color="000000" w:fill="F1F1F1"/>
          </w:tcPr>
          <w:p w14:paraId="595DFA46"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DFA</w:t>
            </w:r>
          </w:p>
        </w:tc>
        <w:tc>
          <w:tcPr>
            <w:tcW w:w="4118" w:type="pct"/>
            <w:shd w:val="clear" w:color="000000" w:fill="F1F1F1"/>
          </w:tcPr>
          <w:p w14:paraId="05572DC5"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Digital Finance Analytics</w:t>
            </w:r>
          </w:p>
        </w:tc>
      </w:tr>
      <w:tr w:rsidR="006E0ED6" w:rsidRPr="001772A8" w14:paraId="5EED1D0A" w14:textId="77777777" w:rsidTr="001625EC">
        <w:tc>
          <w:tcPr>
            <w:tcW w:w="882" w:type="pct"/>
            <w:shd w:val="clear" w:color="000000" w:fill="auto"/>
          </w:tcPr>
          <w:p w14:paraId="5CB7B67D"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HES</w:t>
            </w:r>
          </w:p>
        </w:tc>
        <w:tc>
          <w:tcPr>
            <w:tcW w:w="4118" w:type="pct"/>
            <w:shd w:val="clear" w:color="000000" w:fill="auto"/>
          </w:tcPr>
          <w:p w14:paraId="0EE0BE31"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Household Expenditure Survey</w:t>
            </w:r>
          </w:p>
        </w:tc>
      </w:tr>
      <w:tr w:rsidR="006E0ED6" w:rsidRPr="001772A8" w14:paraId="7DA039D1" w14:textId="77777777" w:rsidTr="001625EC">
        <w:tc>
          <w:tcPr>
            <w:tcW w:w="882" w:type="pct"/>
            <w:shd w:val="clear" w:color="000000" w:fill="F1F1F1"/>
          </w:tcPr>
          <w:p w14:paraId="497FEE29"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HILDA</w:t>
            </w:r>
          </w:p>
        </w:tc>
        <w:tc>
          <w:tcPr>
            <w:tcW w:w="4118" w:type="pct"/>
            <w:shd w:val="clear" w:color="000000" w:fill="F1F1F1"/>
          </w:tcPr>
          <w:p w14:paraId="4BE07974"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 xml:space="preserve">Household, Income and Labour Dynamics in Australia (Survey) </w:t>
            </w:r>
          </w:p>
        </w:tc>
      </w:tr>
      <w:tr w:rsidR="006E0ED6" w:rsidRPr="001772A8" w14:paraId="18A0406F" w14:textId="77777777" w:rsidTr="001625EC">
        <w:tc>
          <w:tcPr>
            <w:tcW w:w="882" w:type="pct"/>
            <w:shd w:val="clear" w:color="000000" w:fill="auto"/>
          </w:tcPr>
          <w:p w14:paraId="06D70F99"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IWP</w:t>
            </w:r>
          </w:p>
        </w:tc>
        <w:tc>
          <w:tcPr>
            <w:tcW w:w="4118" w:type="pct"/>
            <w:shd w:val="clear" w:color="000000" w:fill="auto"/>
          </w:tcPr>
          <w:p w14:paraId="037E200D"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Intergenerational wealth persistence</w:t>
            </w:r>
          </w:p>
        </w:tc>
      </w:tr>
      <w:tr w:rsidR="006E0ED6" w:rsidRPr="001772A8" w14:paraId="4A3B52FC" w14:textId="77777777" w:rsidTr="001625EC">
        <w:tc>
          <w:tcPr>
            <w:tcW w:w="882" w:type="pct"/>
            <w:shd w:val="clear" w:color="000000" w:fill="F1F1F1"/>
          </w:tcPr>
          <w:p w14:paraId="56D48E28"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MADIP</w:t>
            </w:r>
          </w:p>
        </w:tc>
        <w:tc>
          <w:tcPr>
            <w:tcW w:w="4118" w:type="pct"/>
            <w:shd w:val="clear" w:color="000000" w:fill="F1F1F1"/>
          </w:tcPr>
          <w:p w14:paraId="335E7856"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Multi-Agency Data Integration Project</w:t>
            </w:r>
          </w:p>
        </w:tc>
      </w:tr>
      <w:tr w:rsidR="006E0ED6" w:rsidRPr="001772A8" w14:paraId="63C48755" w14:textId="77777777" w:rsidTr="001625EC">
        <w:tc>
          <w:tcPr>
            <w:tcW w:w="882" w:type="pct"/>
            <w:shd w:val="clear" w:color="000000" w:fill="auto"/>
          </w:tcPr>
          <w:p w14:paraId="60EB5BEC"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OECD</w:t>
            </w:r>
          </w:p>
        </w:tc>
        <w:tc>
          <w:tcPr>
            <w:tcW w:w="4118" w:type="pct"/>
            <w:shd w:val="clear" w:color="000000" w:fill="auto"/>
          </w:tcPr>
          <w:p w14:paraId="4032466D"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Organisation for Economic Co-operation and Development</w:t>
            </w:r>
          </w:p>
        </w:tc>
      </w:tr>
      <w:tr w:rsidR="006E0ED6" w:rsidRPr="001772A8" w14:paraId="1A6362F9" w14:textId="77777777" w:rsidTr="001625EC">
        <w:tc>
          <w:tcPr>
            <w:tcW w:w="882" w:type="pct"/>
            <w:shd w:val="clear" w:color="000000" w:fill="F1F1F1"/>
          </w:tcPr>
          <w:p w14:paraId="0588A984"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OLG</w:t>
            </w:r>
          </w:p>
        </w:tc>
        <w:tc>
          <w:tcPr>
            <w:tcW w:w="4118" w:type="pct"/>
            <w:shd w:val="clear" w:color="000000" w:fill="F1F1F1"/>
          </w:tcPr>
          <w:p w14:paraId="66DBD410"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Overlapping generations</w:t>
            </w:r>
          </w:p>
        </w:tc>
      </w:tr>
      <w:tr w:rsidR="006E0ED6" w:rsidRPr="001772A8" w14:paraId="6037FAB1" w14:textId="77777777" w:rsidTr="001625EC">
        <w:tc>
          <w:tcPr>
            <w:tcW w:w="882" w:type="pct"/>
            <w:shd w:val="clear" w:color="000000" w:fill="auto"/>
          </w:tcPr>
          <w:p w14:paraId="71D8B947"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PC</w:t>
            </w:r>
          </w:p>
        </w:tc>
        <w:tc>
          <w:tcPr>
            <w:tcW w:w="4118" w:type="pct"/>
            <w:shd w:val="clear" w:color="000000" w:fill="auto"/>
          </w:tcPr>
          <w:p w14:paraId="2248DC4B"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Productivity Commission</w:t>
            </w:r>
          </w:p>
        </w:tc>
      </w:tr>
      <w:tr w:rsidR="006E0ED6" w:rsidRPr="001772A8" w14:paraId="1B6D6453" w14:textId="77777777" w:rsidTr="001625EC">
        <w:tc>
          <w:tcPr>
            <w:tcW w:w="882" w:type="pct"/>
            <w:shd w:val="clear" w:color="000000" w:fill="F1F1F1"/>
          </w:tcPr>
          <w:p w14:paraId="5E994326"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RAD</w:t>
            </w:r>
          </w:p>
        </w:tc>
        <w:tc>
          <w:tcPr>
            <w:tcW w:w="4118" w:type="pct"/>
            <w:shd w:val="clear" w:color="000000" w:fill="F1F1F1"/>
          </w:tcPr>
          <w:p w14:paraId="38B1E365"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Refundable accommodation deposit</w:t>
            </w:r>
          </w:p>
        </w:tc>
      </w:tr>
      <w:tr w:rsidR="006E0ED6" w:rsidRPr="001772A8" w14:paraId="5D272418" w14:textId="77777777" w:rsidTr="001625EC">
        <w:tc>
          <w:tcPr>
            <w:tcW w:w="882" w:type="pct"/>
            <w:shd w:val="clear" w:color="000000" w:fill="auto"/>
          </w:tcPr>
          <w:p w14:paraId="4EAE7455"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RBA</w:t>
            </w:r>
          </w:p>
        </w:tc>
        <w:tc>
          <w:tcPr>
            <w:tcW w:w="4118" w:type="pct"/>
            <w:shd w:val="clear" w:color="000000" w:fill="auto"/>
          </w:tcPr>
          <w:p w14:paraId="15B1B2DA"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Reserve Bank of Australia</w:t>
            </w:r>
          </w:p>
        </w:tc>
      </w:tr>
      <w:tr w:rsidR="006E0ED6" w:rsidRPr="001772A8" w14:paraId="1395712D" w14:textId="77777777" w:rsidTr="001625EC">
        <w:tc>
          <w:tcPr>
            <w:tcW w:w="882" w:type="pct"/>
            <w:shd w:val="clear" w:color="000000" w:fill="F1F1F1"/>
          </w:tcPr>
          <w:p w14:paraId="41A090D3"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SIH</w:t>
            </w:r>
          </w:p>
        </w:tc>
        <w:tc>
          <w:tcPr>
            <w:tcW w:w="4118" w:type="pct"/>
            <w:shd w:val="clear" w:color="000000" w:fill="F1F1F1"/>
          </w:tcPr>
          <w:p w14:paraId="47E0BBE7"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Survey of Income and Housing</w:t>
            </w:r>
          </w:p>
        </w:tc>
      </w:tr>
      <w:tr w:rsidR="006E0ED6" w:rsidRPr="001772A8" w14:paraId="04B55994" w14:textId="77777777" w:rsidTr="001625EC">
        <w:tc>
          <w:tcPr>
            <w:tcW w:w="882" w:type="pct"/>
            <w:shd w:val="clear" w:color="000000" w:fill="auto"/>
          </w:tcPr>
          <w:p w14:paraId="6723802C"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UK</w:t>
            </w:r>
          </w:p>
        </w:tc>
        <w:tc>
          <w:tcPr>
            <w:tcW w:w="4118" w:type="pct"/>
            <w:shd w:val="clear" w:color="000000" w:fill="auto"/>
          </w:tcPr>
          <w:p w14:paraId="57F8F3FF"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 xml:space="preserve">United Kingdom </w:t>
            </w:r>
          </w:p>
        </w:tc>
      </w:tr>
      <w:tr w:rsidR="006E0ED6" w:rsidRPr="001772A8" w14:paraId="47F606A9" w14:textId="77777777" w:rsidTr="001625EC">
        <w:tc>
          <w:tcPr>
            <w:tcW w:w="882" w:type="pct"/>
            <w:shd w:val="clear" w:color="000000" w:fill="F1F1F1"/>
          </w:tcPr>
          <w:p w14:paraId="3C3A315F"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US</w:t>
            </w:r>
          </w:p>
        </w:tc>
        <w:tc>
          <w:tcPr>
            <w:tcW w:w="4118" w:type="pct"/>
            <w:shd w:val="clear" w:color="000000" w:fill="F1F1F1"/>
          </w:tcPr>
          <w:p w14:paraId="1F84E29B"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United States</w:t>
            </w:r>
          </w:p>
        </w:tc>
      </w:tr>
      <w:tr w:rsidR="006E0ED6" w:rsidRPr="001772A8" w14:paraId="1942B77D" w14:textId="77777777" w:rsidTr="001625EC">
        <w:tc>
          <w:tcPr>
            <w:tcW w:w="882" w:type="pct"/>
            <w:shd w:val="clear" w:color="000000" w:fill="auto"/>
          </w:tcPr>
          <w:p w14:paraId="446A5DA2" w14:textId="77777777" w:rsidR="006E0ED6" w:rsidRPr="001772A8" w:rsidRDefault="006E0ED6" w:rsidP="001625EC">
            <w:pPr>
              <w:spacing w:before="45" w:after="45"/>
              <w:ind w:left="57" w:right="108"/>
              <w:rPr>
                <w:rFonts w:ascii="Arial (Body)" w:hAnsi="Arial (Body)"/>
                <w:b/>
                <w:color w:val="265A9A"/>
                <w:sz w:val="18"/>
              </w:rPr>
            </w:pPr>
            <w:r w:rsidRPr="001772A8">
              <w:rPr>
                <w:rFonts w:ascii="Arial (Body)" w:hAnsi="Arial (Body)"/>
                <w:b/>
                <w:color w:val="265A9A"/>
                <w:sz w:val="18"/>
              </w:rPr>
              <w:t>YIF</w:t>
            </w:r>
          </w:p>
        </w:tc>
        <w:tc>
          <w:tcPr>
            <w:tcW w:w="4118" w:type="pct"/>
            <w:shd w:val="clear" w:color="000000" w:fill="auto"/>
          </w:tcPr>
          <w:p w14:paraId="3F96DA55" w14:textId="77777777" w:rsidR="006E0ED6" w:rsidRPr="001772A8" w:rsidRDefault="006E0ED6" w:rsidP="001625EC">
            <w:pPr>
              <w:spacing w:before="45" w:after="45"/>
              <w:ind w:left="57" w:right="108"/>
              <w:rPr>
                <w:rFonts w:ascii="Arial (Body)" w:hAnsi="Arial (Body)"/>
                <w:color w:val="000000"/>
                <w:sz w:val="18"/>
              </w:rPr>
            </w:pPr>
            <w:r w:rsidRPr="001772A8">
              <w:rPr>
                <w:rFonts w:ascii="Arial (Body)" w:hAnsi="Arial (Body)"/>
                <w:color w:val="000000"/>
                <w:sz w:val="18"/>
              </w:rPr>
              <w:t>Youth in Focus (Survey)</w:t>
            </w:r>
          </w:p>
        </w:tc>
      </w:tr>
    </w:tbl>
    <w:p w14:paraId="2F85EA43" w14:textId="77777777" w:rsidR="006E0ED6" w:rsidRDefault="006E0ED6" w:rsidP="006E0ED6">
      <w:pPr>
        <w:pStyle w:val="BodyText"/>
      </w:pPr>
    </w:p>
    <w:p w14:paraId="3F78DA7E" w14:textId="77777777" w:rsidR="006E0ED6" w:rsidRDefault="006E0ED6" w:rsidP="006E0ED6">
      <w:pPr>
        <w:pStyle w:val="BodyText"/>
        <w:sectPr w:rsidR="006E0ED6" w:rsidSect="006D76A5">
          <w:headerReference w:type="default" r:id="rId186"/>
          <w:pgSz w:w="11906" w:h="16838" w:code="9"/>
          <w:pgMar w:top="1134" w:right="1134" w:bottom="1134" w:left="1134" w:header="794" w:footer="510" w:gutter="0"/>
          <w:cols w:space="708"/>
          <w:docGrid w:linePitch="360"/>
        </w:sectPr>
      </w:pPr>
    </w:p>
    <w:p w14:paraId="1A62D88F" w14:textId="77777777" w:rsidR="006E0ED6" w:rsidRDefault="006E0ED6" w:rsidP="006E0ED6">
      <w:pPr>
        <w:pStyle w:val="Heading1-nobackground"/>
      </w:pPr>
      <w:bookmarkStart w:id="66" w:name="_Toc78901541"/>
      <w:r w:rsidRPr="00AC587D">
        <w:lastRenderedPageBreak/>
        <w:t>Glossary</w:t>
      </w:r>
      <w:bookmarkEnd w:id="66"/>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7795"/>
      </w:tblGrid>
      <w:tr w:rsidR="006E0ED6" w:rsidRPr="00866F5F" w14:paraId="39617EB1" w14:textId="77777777" w:rsidTr="001625EC">
        <w:trPr>
          <w:tblHeader/>
        </w:trPr>
        <w:tc>
          <w:tcPr>
            <w:tcW w:w="1843" w:type="dxa"/>
            <w:tcBorders>
              <w:bottom w:val="single" w:sz="4" w:space="0" w:color="B3B3B3"/>
            </w:tcBorders>
            <w:shd w:val="clear" w:color="000000" w:fill="auto"/>
          </w:tcPr>
          <w:p w14:paraId="5D1AB60C" w14:textId="77777777" w:rsidR="006E0ED6" w:rsidRPr="00866F5F" w:rsidRDefault="006E0ED6" w:rsidP="001625EC">
            <w:pPr>
              <w:spacing w:before="45" w:after="45" w:line="259" w:lineRule="auto"/>
              <w:ind w:left="57" w:right="108"/>
              <w:rPr>
                <w:rFonts w:ascii="Arial (Body)" w:hAnsi="Arial (Body)"/>
                <w:b/>
                <w:color w:val="265A9A"/>
                <w:sz w:val="18"/>
              </w:rPr>
            </w:pPr>
            <w:bookmarkStart w:id="67" w:name="_Toc30502210"/>
            <w:r w:rsidRPr="00866F5F">
              <w:rPr>
                <w:rFonts w:ascii="Arial (Body)" w:hAnsi="Arial (Body)"/>
                <w:b/>
                <w:color w:val="265A9A"/>
                <w:sz w:val="18"/>
              </w:rPr>
              <w:t>Term</w:t>
            </w:r>
          </w:p>
        </w:tc>
        <w:tc>
          <w:tcPr>
            <w:tcW w:w="7795" w:type="dxa"/>
            <w:tcBorders>
              <w:bottom w:val="single" w:sz="4" w:space="0" w:color="B3B3B3"/>
            </w:tcBorders>
            <w:shd w:val="clear" w:color="000000" w:fill="auto"/>
          </w:tcPr>
          <w:p w14:paraId="64C6CADD"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Description</w:t>
            </w:r>
          </w:p>
        </w:tc>
      </w:tr>
      <w:bookmarkEnd w:id="67"/>
      <w:tr w:rsidR="006E0ED6" w:rsidRPr="00866F5F" w14:paraId="1555E141" w14:textId="77777777" w:rsidTr="001625EC">
        <w:tc>
          <w:tcPr>
            <w:tcW w:w="1843" w:type="dxa"/>
            <w:tcBorders>
              <w:top w:val="single" w:sz="4" w:space="0" w:color="B3B3B3"/>
              <w:bottom w:val="nil"/>
            </w:tcBorders>
            <w:shd w:val="clear" w:color="000000" w:fill="auto"/>
          </w:tcPr>
          <w:p w14:paraId="6C46102F"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Absolute inequality</w:t>
            </w:r>
          </w:p>
        </w:tc>
        <w:tc>
          <w:tcPr>
            <w:tcW w:w="7795" w:type="dxa"/>
            <w:tcBorders>
              <w:top w:val="single" w:sz="4" w:space="0" w:color="B3B3B3"/>
              <w:bottom w:val="nil"/>
            </w:tcBorders>
            <w:shd w:val="clear" w:color="000000" w:fill="auto"/>
          </w:tcPr>
          <w:p w14:paraId="56E7CAA4"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inequality</w:t>
            </w:r>
            <w:r w:rsidRPr="00866F5F">
              <w:rPr>
                <w:rFonts w:ascii="Arial (Body)" w:hAnsi="Arial (Body)"/>
                <w:color w:val="000000"/>
                <w:sz w:val="18"/>
              </w:rPr>
              <w:t>.</w:t>
            </w:r>
          </w:p>
        </w:tc>
      </w:tr>
      <w:tr w:rsidR="006E0ED6" w:rsidRPr="00866F5F" w14:paraId="550970F3" w14:textId="77777777" w:rsidTr="001625EC">
        <w:tc>
          <w:tcPr>
            <w:tcW w:w="1843" w:type="dxa"/>
            <w:tcBorders>
              <w:top w:val="nil"/>
              <w:bottom w:val="nil"/>
            </w:tcBorders>
            <w:shd w:val="clear" w:color="000000" w:fill="F1F1F1"/>
          </w:tcPr>
          <w:p w14:paraId="1AAF2EC4"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Bequest</w:t>
            </w:r>
          </w:p>
        </w:tc>
        <w:tc>
          <w:tcPr>
            <w:tcW w:w="7795" w:type="dxa"/>
            <w:tcBorders>
              <w:top w:val="nil"/>
              <w:bottom w:val="nil"/>
            </w:tcBorders>
            <w:shd w:val="clear" w:color="000000" w:fill="F1F1F1"/>
          </w:tcPr>
          <w:p w14:paraId="4DA1D8DD"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inheritance</w:t>
            </w:r>
            <w:r w:rsidRPr="00866F5F">
              <w:rPr>
                <w:rFonts w:ascii="Arial (Body)" w:hAnsi="Arial (Body)"/>
                <w:color w:val="000000"/>
                <w:sz w:val="18"/>
              </w:rPr>
              <w:t>.</w:t>
            </w:r>
          </w:p>
        </w:tc>
      </w:tr>
      <w:tr w:rsidR="006E0ED6" w:rsidRPr="00866F5F" w14:paraId="6D9CDE74" w14:textId="77777777" w:rsidTr="001625EC">
        <w:tc>
          <w:tcPr>
            <w:tcW w:w="1843" w:type="dxa"/>
            <w:tcBorders>
              <w:top w:val="nil"/>
              <w:bottom w:val="nil"/>
            </w:tcBorders>
            <w:shd w:val="clear" w:color="000000" w:fill="auto"/>
          </w:tcPr>
          <w:p w14:paraId="663EEBDF"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Equivalisation</w:t>
            </w:r>
          </w:p>
        </w:tc>
        <w:tc>
          <w:tcPr>
            <w:tcW w:w="7795" w:type="dxa"/>
            <w:tcBorders>
              <w:top w:val="nil"/>
              <w:bottom w:val="nil"/>
            </w:tcBorders>
            <w:shd w:val="clear" w:color="000000" w:fill="auto"/>
          </w:tcPr>
          <w:p w14:paraId="16EBC2CD" w14:textId="77777777" w:rsidR="006E0ED6" w:rsidRPr="00866F5F" w:rsidRDefault="006E0ED6" w:rsidP="001625EC">
            <w:pPr>
              <w:spacing w:before="45" w:after="45" w:line="259" w:lineRule="auto"/>
              <w:ind w:left="57" w:right="108"/>
              <w:rPr>
                <w:rFonts w:ascii="Arial (Body)" w:hAnsi="Arial (Body)"/>
                <w:color w:val="000000"/>
                <w:spacing w:val="-2"/>
                <w:sz w:val="18"/>
              </w:rPr>
            </w:pPr>
            <w:r w:rsidRPr="00866F5F">
              <w:rPr>
                <w:rFonts w:ascii="Arial (Body)" w:hAnsi="Arial (Body)"/>
                <w:color w:val="000000"/>
                <w:spacing w:val="-2"/>
                <w:sz w:val="18"/>
              </w:rPr>
              <w:t>Adjusting household-level variables for differences in the number and age of people in each household. This enables comparison of the economic resources available to different households, by accounting for the fact that larger households need more income to achieve the same standard of living as a smaller household, and households generally have some ‘economies of scale’ due to sharing living costs.</w:t>
            </w:r>
          </w:p>
        </w:tc>
      </w:tr>
      <w:tr w:rsidR="006E0ED6" w:rsidRPr="00866F5F" w14:paraId="2F62FCD0" w14:textId="77777777" w:rsidTr="001625EC">
        <w:tc>
          <w:tcPr>
            <w:tcW w:w="1843" w:type="dxa"/>
            <w:tcBorders>
              <w:top w:val="nil"/>
              <w:bottom w:val="nil"/>
            </w:tcBorders>
            <w:shd w:val="clear" w:color="000000" w:fill="F1F1F1"/>
          </w:tcPr>
          <w:p w14:paraId="360EF9E2"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Gift</w:t>
            </w:r>
          </w:p>
        </w:tc>
        <w:tc>
          <w:tcPr>
            <w:tcW w:w="7795" w:type="dxa"/>
            <w:tcBorders>
              <w:top w:val="nil"/>
              <w:bottom w:val="nil"/>
            </w:tcBorders>
            <w:shd w:val="clear" w:color="000000" w:fill="F1F1F1"/>
          </w:tcPr>
          <w:p w14:paraId="779522BF"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inter vivos gift</w:t>
            </w:r>
            <w:r w:rsidRPr="00866F5F">
              <w:rPr>
                <w:rFonts w:ascii="Arial (Body)" w:hAnsi="Arial (Body)"/>
                <w:color w:val="000000"/>
                <w:sz w:val="18"/>
              </w:rPr>
              <w:t>.</w:t>
            </w:r>
          </w:p>
        </w:tc>
      </w:tr>
      <w:tr w:rsidR="006E0ED6" w:rsidRPr="00866F5F" w14:paraId="4BED600D" w14:textId="77777777" w:rsidTr="001625EC">
        <w:tc>
          <w:tcPr>
            <w:tcW w:w="1843" w:type="dxa"/>
            <w:tcBorders>
              <w:top w:val="nil"/>
              <w:bottom w:val="nil"/>
            </w:tcBorders>
            <w:shd w:val="clear" w:color="000000" w:fill="auto"/>
          </w:tcPr>
          <w:p w14:paraId="0389821F"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Gini coefficient</w:t>
            </w:r>
          </w:p>
        </w:tc>
        <w:tc>
          <w:tcPr>
            <w:tcW w:w="7795" w:type="dxa"/>
            <w:tcBorders>
              <w:top w:val="nil"/>
              <w:bottom w:val="nil"/>
            </w:tcBorders>
            <w:shd w:val="clear" w:color="000000" w:fill="auto"/>
          </w:tcPr>
          <w:p w14:paraId="4D518879" w14:textId="2B8307F6"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A summary indicator of </w:t>
            </w:r>
            <w:r w:rsidRPr="00866F5F">
              <w:rPr>
                <w:rFonts w:ascii="Arial (Body)" w:hAnsi="Arial (Body)"/>
                <w:b/>
                <w:bCs/>
                <w:color w:val="000000"/>
                <w:sz w:val="18"/>
              </w:rPr>
              <w:t>relative inequality</w:t>
            </w:r>
            <w:r w:rsidRPr="00866F5F">
              <w:rPr>
                <w:rFonts w:ascii="Arial (Body)" w:hAnsi="Arial (Body)"/>
                <w:color w:val="000000"/>
                <w:sz w:val="18"/>
              </w:rPr>
              <w:t xml:space="preserve"> that typically takes a value between 0 and 1 (or 0 to 100 on a 100-point scale). A value of 0 indicates perfect equality (all people have the same wealth) and a value of 1 indicates perfect inequality (one person has all the wealth). The smaller the value, the more equal the distribution. Other indicators of inequality, including the </w:t>
            </w:r>
            <w:r w:rsidR="00B947BA">
              <w:rPr>
                <w:rFonts w:ascii="Arial (Body)" w:hAnsi="Arial (Body)"/>
                <w:color w:val="000000"/>
                <w:sz w:val="18"/>
              </w:rPr>
              <w:t>a</w:t>
            </w:r>
            <w:r w:rsidRPr="00866F5F">
              <w:rPr>
                <w:rFonts w:ascii="Arial (Body)" w:hAnsi="Arial (Body)"/>
                <w:color w:val="000000"/>
                <w:sz w:val="18"/>
              </w:rPr>
              <w:t xml:space="preserve">bsolute Gini coefficient and the </w:t>
            </w:r>
            <w:r w:rsidR="00B947BA">
              <w:rPr>
                <w:rFonts w:ascii="Arial (Body)" w:hAnsi="Arial (Body)"/>
                <w:color w:val="000000"/>
                <w:sz w:val="18"/>
              </w:rPr>
              <w:t>g</w:t>
            </w:r>
            <w:r w:rsidRPr="00866F5F">
              <w:rPr>
                <w:rFonts w:ascii="Arial (Body)" w:hAnsi="Arial (Body)"/>
                <w:color w:val="000000"/>
                <w:sz w:val="18"/>
              </w:rPr>
              <w:t>eneralised entropy class 2 coefficient are defined in appendix</w:t>
            </w:r>
            <w:r w:rsidR="00625B9A">
              <w:rPr>
                <w:rFonts w:ascii="Arial (Body)" w:hAnsi="Arial (Body)" w:hint="eastAsia"/>
                <w:color w:val="000000"/>
                <w:sz w:val="18"/>
              </w:rPr>
              <w:t> </w:t>
            </w:r>
            <w:r w:rsidRPr="00866F5F">
              <w:rPr>
                <w:rFonts w:ascii="Arial (Body)" w:hAnsi="Arial (Body)"/>
                <w:color w:val="000000"/>
                <w:sz w:val="18"/>
              </w:rPr>
              <w:t>B.</w:t>
            </w:r>
          </w:p>
        </w:tc>
      </w:tr>
      <w:tr w:rsidR="006E0ED6" w:rsidRPr="00866F5F" w14:paraId="68608195" w14:textId="77777777" w:rsidTr="001625EC">
        <w:tc>
          <w:tcPr>
            <w:tcW w:w="1843" w:type="dxa"/>
            <w:tcBorders>
              <w:top w:val="nil"/>
              <w:bottom w:val="nil"/>
            </w:tcBorders>
            <w:shd w:val="clear" w:color="000000" w:fill="F1F1F1"/>
          </w:tcPr>
          <w:p w14:paraId="6C8AA13F"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Inequality</w:t>
            </w:r>
          </w:p>
        </w:tc>
        <w:tc>
          <w:tcPr>
            <w:tcW w:w="7795" w:type="dxa"/>
            <w:tcBorders>
              <w:top w:val="nil"/>
              <w:bottom w:val="nil"/>
            </w:tcBorders>
            <w:shd w:val="clear" w:color="000000" w:fill="F1F1F1"/>
          </w:tcPr>
          <w:p w14:paraId="1D58D584"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b/>
                <w:bCs/>
                <w:color w:val="000000"/>
                <w:sz w:val="18"/>
              </w:rPr>
              <w:t>Absolute inequality</w:t>
            </w:r>
            <w:r w:rsidRPr="00866F5F">
              <w:rPr>
                <w:rFonts w:ascii="Arial (Body)" w:hAnsi="Arial (Body)"/>
                <w:color w:val="000000"/>
                <w:sz w:val="18"/>
              </w:rPr>
              <w:t xml:space="preserve"> refers to the degree of variation in an outcome (such as wealth) based on the numeric differences in the value of that outcome between individuals or households. An example of an absolute measure of inequality is the dollar difference in wealth held by the most and least wealthy households.</w:t>
            </w:r>
          </w:p>
          <w:p w14:paraId="7403E485"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In contrast, </w:t>
            </w:r>
            <w:r w:rsidRPr="00866F5F">
              <w:rPr>
                <w:rFonts w:ascii="Arial (Body)" w:hAnsi="Arial (Body)"/>
                <w:b/>
                <w:bCs/>
                <w:color w:val="000000"/>
                <w:sz w:val="18"/>
              </w:rPr>
              <w:t>relative inequality</w:t>
            </w:r>
            <w:r w:rsidRPr="00866F5F">
              <w:rPr>
                <w:rFonts w:ascii="Arial (Body)" w:hAnsi="Arial (Body)"/>
                <w:color w:val="000000"/>
                <w:sz w:val="18"/>
              </w:rPr>
              <w:t xml:space="preserve"> refers to the degree of variation in an outcome based on the proportional differences in the value of that outcome. An example of a relative measure of inequality is the ratio of wealth held by the most and least wealthy households.</w:t>
            </w:r>
          </w:p>
          <w:p w14:paraId="5462ABAA"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Gini coefficient</w:t>
            </w:r>
            <w:r w:rsidRPr="00866F5F">
              <w:rPr>
                <w:rFonts w:ascii="Arial (Body)" w:hAnsi="Arial (Body)"/>
                <w:color w:val="000000"/>
                <w:sz w:val="18"/>
              </w:rPr>
              <w:t>.</w:t>
            </w:r>
          </w:p>
        </w:tc>
      </w:tr>
      <w:tr w:rsidR="006E0ED6" w:rsidRPr="00866F5F" w14:paraId="6D50A924" w14:textId="77777777" w:rsidTr="001625EC">
        <w:tc>
          <w:tcPr>
            <w:tcW w:w="1843" w:type="dxa"/>
            <w:tcBorders>
              <w:top w:val="nil"/>
              <w:bottom w:val="nil"/>
            </w:tcBorders>
            <w:shd w:val="clear" w:color="000000" w:fill="auto"/>
          </w:tcPr>
          <w:p w14:paraId="59580F63"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Inheritance</w:t>
            </w:r>
          </w:p>
        </w:tc>
        <w:tc>
          <w:tcPr>
            <w:tcW w:w="7795" w:type="dxa"/>
            <w:tcBorders>
              <w:top w:val="nil"/>
              <w:bottom w:val="nil"/>
            </w:tcBorders>
            <w:shd w:val="clear" w:color="000000" w:fill="auto"/>
          </w:tcPr>
          <w:p w14:paraId="22533623"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Wealth that is passed on upon the death of the donor.</w:t>
            </w:r>
          </w:p>
        </w:tc>
      </w:tr>
      <w:tr w:rsidR="006E0ED6" w:rsidRPr="00866F5F" w14:paraId="581087F3" w14:textId="77777777" w:rsidTr="001625EC">
        <w:tc>
          <w:tcPr>
            <w:tcW w:w="1843" w:type="dxa"/>
            <w:tcBorders>
              <w:top w:val="nil"/>
              <w:bottom w:val="nil"/>
            </w:tcBorders>
            <w:shd w:val="clear" w:color="000000" w:fill="F1F1F1"/>
          </w:tcPr>
          <w:p w14:paraId="4A75AE68"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Inter vivos gift</w:t>
            </w:r>
          </w:p>
        </w:tc>
        <w:tc>
          <w:tcPr>
            <w:tcW w:w="7795" w:type="dxa"/>
            <w:tcBorders>
              <w:top w:val="nil"/>
              <w:bottom w:val="nil"/>
            </w:tcBorders>
            <w:shd w:val="clear" w:color="000000" w:fill="F1F1F1"/>
          </w:tcPr>
          <w:p w14:paraId="1FB0AE04"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Wealth that is passed on during the life of the donor.</w:t>
            </w:r>
          </w:p>
        </w:tc>
      </w:tr>
      <w:tr w:rsidR="006E0ED6" w:rsidRPr="00866F5F" w14:paraId="63ECB7D5" w14:textId="77777777" w:rsidTr="001625EC">
        <w:tc>
          <w:tcPr>
            <w:tcW w:w="1843" w:type="dxa"/>
            <w:tcBorders>
              <w:top w:val="nil"/>
              <w:bottom w:val="nil"/>
            </w:tcBorders>
            <w:shd w:val="clear" w:color="000000" w:fill="auto"/>
          </w:tcPr>
          <w:p w14:paraId="0D3C4D79"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Intergenerational</w:t>
            </w:r>
          </w:p>
        </w:tc>
        <w:tc>
          <w:tcPr>
            <w:tcW w:w="7795" w:type="dxa"/>
            <w:tcBorders>
              <w:top w:val="nil"/>
              <w:bottom w:val="nil"/>
            </w:tcBorders>
            <w:shd w:val="clear" w:color="000000" w:fill="auto"/>
          </w:tcPr>
          <w:p w14:paraId="5D74C66A"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Between generations (for example, between parents and children).</w:t>
            </w:r>
          </w:p>
        </w:tc>
      </w:tr>
      <w:tr w:rsidR="006E0ED6" w:rsidRPr="00866F5F" w14:paraId="13E57BD7" w14:textId="77777777" w:rsidTr="001625EC">
        <w:tc>
          <w:tcPr>
            <w:tcW w:w="1843" w:type="dxa"/>
            <w:tcBorders>
              <w:top w:val="nil"/>
              <w:bottom w:val="nil"/>
            </w:tcBorders>
            <w:shd w:val="clear" w:color="000000" w:fill="F1F1F1"/>
          </w:tcPr>
          <w:p w14:paraId="0B5552BB"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Intergenerational wealth persistence</w:t>
            </w:r>
          </w:p>
        </w:tc>
        <w:tc>
          <w:tcPr>
            <w:tcW w:w="7795" w:type="dxa"/>
            <w:tcBorders>
              <w:top w:val="nil"/>
              <w:bottom w:val="nil"/>
            </w:tcBorders>
            <w:shd w:val="clear" w:color="000000" w:fill="F1F1F1"/>
          </w:tcPr>
          <w:p w14:paraId="63537612"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The association between an adult child’s rank in the wealth distribution among their peers and their parent’s rank in the wealth distribution among their peers. The greater the association, the greater is intergenerational wealth persistence (or, conversely, the lower is intergenerational wealth mobility). The respective ranks are usually calculated by comparing adults and children when they were roughly the same age. </w:t>
            </w:r>
          </w:p>
        </w:tc>
      </w:tr>
      <w:tr w:rsidR="006E0ED6" w:rsidRPr="00866F5F" w14:paraId="2F2C16BE" w14:textId="77777777" w:rsidTr="001625EC">
        <w:tc>
          <w:tcPr>
            <w:tcW w:w="1843" w:type="dxa"/>
            <w:tcBorders>
              <w:top w:val="nil"/>
              <w:bottom w:val="nil"/>
            </w:tcBorders>
            <w:shd w:val="clear" w:color="000000" w:fill="auto"/>
          </w:tcPr>
          <w:p w14:paraId="65CC9EC6"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Intragenerational</w:t>
            </w:r>
          </w:p>
        </w:tc>
        <w:tc>
          <w:tcPr>
            <w:tcW w:w="7795" w:type="dxa"/>
            <w:tcBorders>
              <w:top w:val="nil"/>
              <w:bottom w:val="nil"/>
            </w:tcBorders>
            <w:shd w:val="clear" w:color="000000" w:fill="auto"/>
          </w:tcPr>
          <w:p w14:paraId="75F4108E"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Within the same generation.</w:t>
            </w:r>
          </w:p>
        </w:tc>
      </w:tr>
      <w:tr w:rsidR="006E0ED6" w:rsidRPr="00866F5F" w14:paraId="0837899A" w14:textId="77777777" w:rsidTr="001625EC">
        <w:tc>
          <w:tcPr>
            <w:tcW w:w="1843" w:type="dxa"/>
            <w:tcBorders>
              <w:top w:val="nil"/>
              <w:bottom w:val="nil"/>
            </w:tcBorders>
            <w:shd w:val="clear" w:color="000000" w:fill="F1F1F1"/>
          </w:tcPr>
          <w:p w14:paraId="497133F1"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Probate</w:t>
            </w:r>
          </w:p>
        </w:tc>
        <w:tc>
          <w:tcPr>
            <w:tcW w:w="7795" w:type="dxa"/>
            <w:tcBorders>
              <w:top w:val="nil"/>
              <w:bottom w:val="nil"/>
            </w:tcBorders>
            <w:shd w:val="clear" w:color="000000" w:fill="F1F1F1"/>
          </w:tcPr>
          <w:p w14:paraId="16E271E1" w14:textId="3BD858CE"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The legal process to prove the validity of a person’s will. A grant of probate is an </w:t>
            </w:r>
            <w:r w:rsidR="00133091">
              <w:rPr>
                <w:rFonts w:ascii="Arial (Body)" w:hAnsi="Arial (Body)"/>
                <w:color w:val="000000"/>
                <w:sz w:val="18"/>
              </w:rPr>
              <w:t>o</w:t>
            </w:r>
            <w:r w:rsidRPr="00866F5F">
              <w:rPr>
                <w:rFonts w:ascii="Arial (Body)" w:hAnsi="Arial (Body)"/>
                <w:color w:val="000000"/>
                <w:sz w:val="18"/>
              </w:rPr>
              <w:t xml:space="preserve">rder passed by the relevant State or Territory’s </w:t>
            </w:r>
            <w:r w:rsidR="00133091">
              <w:rPr>
                <w:rFonts w:ascii="Arial (Body)" w:hAnsi="Arial (Body)"/>
                <w:color w:val="000000"/>
                <w:sz w:val="18"/>
              </w:rPr>
              <w:t>s</w:t>
            </w:r>
            <w:r w:rsidRPr="00866F5F">
              <w:rPr>
                <w:rFonts w:ascii="Arial (Body)" w:hAnsi="Arial (Body)"/>
                <w:color w:val="000000"/>
                <w:sz w:val="18"/>
              </w:rPr>
              <w:t xml:space="preserve">upreme </w:t>
            </w:r>
            <w:r w:rsidR="00133091">
              <w:rPr>
                <w:rFonts w:ascii="Arial (Body)" w:hAnsi="Arial (Body)"/>
                <w:color w:val="000000"/>
                <w:sz w:val="18"/>
              </w:rPr>
              <w:t>c</w:t>
            </w:r>
            <w:r w:rsidRPr="00866F5F">
              <w:rPr>
                <w:rFonts w:ascii="Arial (Body)" w:hAnsi="Arial (Body)"/>
                <w:color w:val="000000"/>
                <w:sz w:val="18"/>
              </w:rPr>
              <w:t>ourt confirming that a will is the last valid will of the deceased and allowing an executor, named in the will, to collect and distribute the estate in accordance with the will. Once probate is formally declared, probate records document the amount of assets held by the deceased persons and how they are distributed.</w:t>
            </w:r>
          </w:p>
        </w:tc>
      </w:tr>
      <w:tr w:rsidR="006E0ED6" w:rsidRPr="00866F5F" w14:paraId="6040A213" w14:textId="77777777" w:rsidTr="001625EC">
        <w:tc>
          <w:tcPr>
            <w:tcW w:w="1843" w:type="dxa"/>
            <w:tcBorders>
              <w:top w:val="nil"/>
              <w:bottom w:val="nil"/>
            </w:tcBorders>
            <w:shd w:val="clear" w:color="000000" w:fill="auto"/>
          </w:tcPr>
          <w:p w14:paraId="55A689A6"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Quantile</w:t>
            </w:r>
          </w:p>
        </w:tc>
        <w:tc>
          <w:tcPr>
            <w:tcW w:w="7795" w:type="dxa"/>
            <w:tcBorders>
              <w:top w:val="nil"/>
              <w:bottom w:val="nil"/>
            </w:tcBorders>
            <w:shd w:val="clear" w:color="000000" w:fill="auto"/>
          </w:tcPr>
          <w:p w14:paraId="70FB81B0"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Units of analysis formed by ranking all observations in a distribution (for example, incomes of people or households) from smallest to largest and then dividing these into a certain number of equal-sized groups.</w:t>
            </w:r>
          </w:p>
          <w:p w14:paraId="7BAB3BB6" w14:textId="77777777" w:rsidR="006E0ED6" w:rsidRPr="00866F5F" w:rsidRDefault="006E0ED6" w:rsidP="001625EC">
            <w:pPr>
              <w:spacing w:before="0" w:after="0" w:line="259" w:lineRule="auto"/>
              <w:ind w:left="57" w:right="108"/>
              <w:rPr>
                <w:rFonts w:ascii="Arial (Body)" w:hAnsi="Arial (Body)"/>
                <w:color w:val="000000"/>
                <w:sz w:val="18"/>
              </w:rPr>
            </w:pPr>
            <w:r w:rsidRPr="00866F5F">
              <w:rPr>
                <w:rFonts w:ascii="Arial (Body)" w:hAnsi="Arial (Body)"/>
                <w:b/>
                <w:bCs/>
                <w:color w:val="000000"/>
                <w:sz w:val="18"/>
              </w:rPr>
              <w:t>Tertile</w:t>
            </w:r>
            <w:r w:rsidRPr="00866F5F">
              <w:rPr>
                <w:rFonts w:ascii="Arial (Body)" w:hAnsi="Arial (Body)"/>
                <w:color w:val="000000"/>
                <w:sz w:val="18"/>
              </w:rPr>
              <w:t>: Formed by dividing ranked observations into three groups.</w:t>
            </w:r>
          </w:p>
          <w:p w14:paraId="731EC234" w14:textId="77777777" w:rsidR="006E0ED6" w:rsidRPr="00866F5F" w:rsidRDefault="006E0ED6" w:rsidP="001625EC">
            <w:pPr>
              <w:spacing w:before="0" w:after="0" w:line="259" w:lineRule="auto"/>
              <w:ind w:left="57" w:right="108"/>
              <w:rPr>
                <w:rFonts w:ascii="Arial (Body)" w:hAnsi="Arial (Body)"/>
                <w:color w:val="000000"/>
                <w:sz w:val="18"/>
              </w:rPr>
            </w:pPr>
            <w:r w:rsidRPr="00866F5F">
              <w:rPr>
                <w:rFonts w:ascii="Arial (Body)" w:hAnsi="Arial (Body)"/>
                <w:b/>
                <w:bCs/>
                <w:color w:val="000000"/>
                <w:sz w:val="18"/>
              </w:rPr>
              <w:t>Quartile</w:t>
            </w:r>
            <w:r w:rsidRPr="00866F5F">
              <w:rPr>
                <w:rFonts w:ascii="Arial (Body)" w:hAnsi="Arial (Body)"/>
                <w:color w:val="000000"/>
                <w:sz w:val="18"/>
              </w:rPr>
              <w:t>: Formed by dividing ranked observations into four groups.</w:t>
            </w:r>
          </w:p>
          <w:p w14:paraId="7E0D464A" w14:textId="77777777" w:rsidR="006E0ED6" w:rsidRPr="00866F5F" w:rsidRDefault="006E0ED6" w:rsidP="001625EC">
            <w:pPr>
              <w:spacing w:before="0" w:after="0" w:line="259" w:lineRule="auto"/>
              <w:ind w:left="57" w:right="108"/>
              <w:rPr>
                <w:rFonts w:ascii="Arial (Body)" w:hAnsi="Arial (Body)"/>
                <w:color w:val="000000"/>
                <w:sz w:val="18"/>
              </w:rPr>
            </w:pPr>
            <w:r w:rsidRPr="00866F5F">
              <w:rPr>
                <w:rFonts w:ascii="Arial (Body)" w:hAnsi="Arial (Body)"/>
                <w:b/>
                <w:bCs/>
                <w:color w:val="000000"/>
                <w:sz w:val="18"/>
              </w:rPr>
              <w:t>Quintile</w:t>
            </w:r>
            <w:r w:rsidRPr="00866F5F">
              <w:rPr>
                <w:rFonts w:ascii="Arial (Body)" w:hAnsi="Arial (Body)"/>
                <w:color w:val="000000"/>
                <w:sz w:val="18"/>
              </w:rPr>
              <w:t>: Formed by dividing ranked observations into five groups.</w:t>
            </w:r>
          </w:p>
          <w:p w14:paraId="5E4E7965" w14:textId="77777777" w:rsidR="006E0ED6" w:rsidRPr="00866F5F" w:rsidRDefault="006E0ED6" w:rsidP="001625EC">
            <w:pPr>
              <w:spacing w:before="0" w:after="0" w:line="259" w:lineRule="auto"/>
              <w:ind w:left="57" w:right="108"/>
              <w:rPr>
                <w:rFonts w:ascii="Arial (Body)" w:hAnsi="Arial (Body)"/>
                <w:color w:val="000000"/>
                <w:sz w:val="18"/>
              </w:rPr>
            </w:pPr>
            <w:r w:rsidRPr="00866F5F">
              <w:rPr>
                <w:rFonts w:ascii="Arial (Body)" w:hAnsi="Arial (Body)"/>
                <w:b/>
                <w:bCs/>
                <w:color w:val="000000"/>
                <w:sz w:val="18"/>
              </w:rPr>
              <w:t>Decile</w:t>
            </w:r>
            <w:r w:rsidRPr="00866F5F">
              <w:rPr>
                <w:rFonts w:ascii="Arial (Body)" w:hAnsi="Arial (Body)"/>
                <w:color w:val="000000"/>
                <w:sz w:val="18"/>
              </w:rPr>
              <w:t>: Formed by dividing ranked observations into 10 groups.</w:t>
            </w:r>
          </w:p>
          <w:p w14:paraId="039402EB" w14:textId="77777777" w:rsidR="006E0ED6" w:rsidRPr="00866F5F" w:rsidRDefault="006E0ED6" w:rsidP="001625EC">
            <w:pPr>
              <w:spacing w:before="0" w:after="45" w:line="259" w:lineRule="auto"/>
              <w:ind w:left="57" w:right="108"/>
              <w:rPr>
                <w:rFonts w:ascii="Arial (Body)" w:hAnsi="Arial (Body)"/>
                <w:color w:val="000000"/>
                <w:sz w:val="18"/>
              </w:rPr>
            </w:pPr>
            <w:r w:rsidRPr="00866F5F">
              <w:rPr>
                <w:rFonts w:ascii="Arial (Body)" w:hAnsi="Arial (Body)"/>
                <w:b/>
                <w:bCs/>
                <w:color w:val="000000"/>
                <w:sz w:val="18"/>
              </w:rPr>
              <w:t>Percentile</w:t>
            </w:r>
            <w:r w:rsidRPr="00866F5F">
              <w:rPr>
                <w:rFonts w:ascii="Arial (Body)" w:hAnsi="Arial (Body)"/>
                <w:color w:val="000000"/>
                <w:sz w:val="18"/>
              </w:rPr>
              <w:t>: Formed by dividing ranked observations into 100 groups.</w:t>
            </w:r>
          </w:p>
        </w:tc>
      </w:tr>
      <w:tr w:rsidR="006E0ED6" w:rsidRPr="00866F5F" w14:paraId="490D6456" w14:textId="77777777" w:rsidTr="001625EC">
        <w:tc>
          <w:tcPr>
            <w:tcW w:w="1843" w:type="dxa"/>
            <w:tcBorders>
              <w:top w:val="nil"/>
              <w:bottom w:val="nil"/>
            </w:tcBorders>
            <w:shd w:val="clear" w:color="000000" w:fill="F1F1F1"/>
          </w:tcPr>
          <w:p w14:paraId="2A968F4A"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Quartile</w:t>
            </w:r>
          </w:p>
        </w:tc>
        <w:tc>
          <w:tcPr>
            <w:tcW w:w="7795" w:type="dxa"/>
            <w:tcBorders>
              <w:top w:val="nil"/>
              <w:bottom w:val="nil"/>
            </w:tcBorders>
            <w:shd w:val="clear" w:color="000000" w:fill="F1F1F1"/>
          </w:tcPr>
          <w:p w14:paraId="6D03E24C"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quantile</w:t>
            </w:r>
            <w:r w:rsidRPr="00866F5F">
              <w:rPr>
                <w:rFonts w:ascii="Arial (Body)" w:hAnsi="Arial (Body)"/>
                <w:color w:val="000000"/>
                <w:sz w:val="18"/>
              </w:rPr>
              <w:t>.</w:t>
            </w:r>
          </w:p>
        </w:tc>
      </w:tr>
      <w:tr w:rsidR="006E0ED6" w:rsidRPr="00866F5F" w14:paraId="4D17159D" w14:textId="77777777" w:rsidTr="001625EC">
        <w:tc>
          <w:tcPr>
            <w:tcW w:w="1843" w:type="dxa"/>
            <w:tcBorders>
              <w:top w:val="nil"/>
              <w:bottom w:val="nil"/>
            </w:tcBorders>
            <w:shd w:val="clear" w:color="000000" w:fill="auto"/>
          </w:tcPr>
          <w:p w14:paraId="21CF1248"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lastRenderedPageBreak/>
              <w:t>Quintile</w:t>
            </w:r>
          </w:p>
        </w:tc>
        <w:tc>
          <w:tcPr>
            <w:tcW w:w="7795" w:type="dxa"/>
            <w:tcBorders>
              <w:top w:val="nil"/>
              <w:bottom w:val="nil"/>
            </w:tcBorders>
            <w:shd w:val="clear" w:color="000000" w:fill="auto"/>
          </w:tcPr>
          <w:p w14:paraId="1FFD223C"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quantile</w:t>
            </w:r>
            <w:r w:rsidRPr="00866F5F">
              <w:rPr>
                <w:rFonts w:ascii="Arial (Body)" w:hAnsi="Arial (Body)"/>
                <w:color w:val="000000"/>
                <w:sz w:val="18"/>
              </w:rPr>
              <w:t>.</w:t>
            </w:r>
          </w:p>
        </w:tc>
      </w:tr>
      <w:tr w:rsidR="006E0ED6" w:rsidRPr="00866F5F" w14:paraId="32445FF3" w14:textId="77777777" w:rsidTr="001625EC">
        <w:tc>
          <w:tcPr>
            <w:tcW w:w="1843" w:type="dxa"/>
            <w:tcBorders>
              <w:top w:val="nil"/>
              <w:bottom w:val="nil"/>
            </w:tcBorders>
            <w:shd w:val="clear" w:color="000000" w:fill="F1F1F1"/>
          </w:tcPr>
          <w:p w14:paraId="09A4FC42"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Relative inequality</w:t>
            </w:r>
          </w:p>
        </w:tc>
        <w:tc>
          <w:tcPr>
            <w:tcW w:w="7795" w:type="dxa"/>
            <w:tcBorders>
              <w:top w:val="nil"/>
              <w:bottom w:val="nil"/>
            </w:tcBorders>
            <w:shd w:val="clear" w:color="000000" w:fill="F1F1F1"/>
          </w:tcPr>
          <w:p w14:paraId="196E29C0"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inequality</w:t>
            </w:r>
            <w:r w:rsidRPr="00866F5F">
              <w:rPr>
                <w:rFonts w:ascii="Arial (Body)" w:hAnsi="Arial (Body)"/>
                <w:color w:val="000000"/>
                <w:sz w:val="18"/>
              </w:rPr>
              <w:t>.</w:t>
            </w:r>
          </w:p>
        </w:tc>
      </w:tr>
      <w:tr w:rsidR="006E0ED6" w:rsidRPr="00866F5F" w14:paraId="68C99765" w14:textId="77777777" w:rsidTr="001625EC">
        <w:tc>
          <w:tcPr>
            <w:tcW w:w="1843" w:type="dxa"/>
            <w:tcBorders>
              <w:top w:val="nil"/>
              <w:bottom w:val="nil"/>
            </w:tcBorders>
            <w:shd w:val="clear" w:color="000000" w:fill="auto"/>
          </w:tcPr>
          <w:p w14:paraId="0421C5C6"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Tertile</w:t>
            </w:r>
          </w:p>
        </w:tc>
        <w:tc>
          <w:tcPr>
            <w:tcW w:w="7795" w:type="dxa"/>
            <w:tcBorders>
              <w:top w:val="nil"/>
              <w:bottom w:val="nil"/>
            </w:tcBorders>
            <w:shd w:val="clear" w:color="000000" w:fill="auto"/>
          </w:tcPr>
          <w:p w14:paraId="1EACDDE7"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 xml:space="preserve">See </w:t>
            </w:r>
            <w:r w:rsidRPr="00866F5F">
              <w:rPr>
                <w:rFonts w:ascii="Arial (Body)" w:hAnsi="Arial (Body)"/>
                <w:b/>
                <w:bCs/>
                <w:color w:val="000000"/>
                <w:sz w:val="18"/>
              </w:rPr>
              <w:t>quantile</w:t>
            </w:r>
            <w:r w:rsidRPr="00866F5F">
              <w:rPr>
                <w:rFonts w:ascii="Arial (Body)" w:hAnsi="Arial (Body)"/>
                <w:color w:val="000000"/>
                <w:sz w:val="18"/>
              </w:rPr>
              <w:t>.</w:t>
            </w:r>
          </w:p>
        </w:tc>
      </w:tr>
      <w:tr w:rsidR="006E0ED6" w:rsidRPr="00866F5F" w14:paraId="5C0E9F76" w14:textId="77777777" w:rsidTr="001625EC">
        <w:tc>
          <w:tcPr>
            <w:tcW w:w="1843" w:type="dxa"/>
            <w:tcBorders>
              <w:top w:val="nil"/>
              <w:bottom w:val="nil"/>
            </w:tcBorders>
            <w:shd w:val="clear" w:color="000000" w:fill="F1F1F1"/>
          </w:tcPr>
          <w:p w14:paraId="18C1EB8A"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Wealth</w:t>
            </w:r>
          </w:p>
        </w:tc>
        <w:tc>
          <w:tcPr>
            <w:tcW w:w="7795" w:type="dxa"/>
            <w:tcBorders>
              <w:top w:val="nil"/>
              <w:bottom w:val="nil"/>
            </w:tcBorders>
            <w:shd w:val="clear" w:color="000000" w:fill="F1F1F1"/>
          </w:tcPr>
          <w:p w14:paraId="6275CB8C" w14:textId="4F503E3A"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color w:val="000000"/>
                <w:sz w:val="18"/>
              </w:rPr>
              <w:t>The total value of assets less debt</w:t>
            </w:r>
            <w:r w:rsidR="00E0650C">
              <w:rPr>
                <w:rFonts w:ascii="Arial (Body)" w:hAnsi="Arial (Body)"/>
                <w:color w:val="000000"/>
                <w:sz w:val="18"/>
              </w:rPr>
              <w:t>s</w:t>
            </w:r>
            <w:r w:rsidRPr="00866F5F">
              <w:rPr>
                <w:rFonts w:ascii="Arial (Body)" w:hAnsi="Arial (Body)"/>
                <w:color w:val="000000"/>
                <w:sz w:val="18"/>
              </w:rPr>
              <w:t>.</w:t>
            </w:r>
          </w:p>
        </w:tc>
      </w:tr>
      <w:tr w:rsidR="006E0ED6" w:rsidRPr="00866F5F" w14:paraId="2C3025EF" w14:textId="77777777" w:rsidTr="001625EC">
        <w:tc>
          <w:tcPr>
            <w:tcW w:w="1843" w:type="dxa"/>
            <w:tcBorders>
              <w:top w:val="nil"/>
            </w:tcBorders>
            <w:shd w:val="clear" w:color="000000" w:fill="auto"/>
          </w:tcPr>
          <w:p w14:paraId="38085765" w14:textId="77777777" w:rsidR="006E0ED6" w:rsidRPr="00866F5F" w:rsidRDefault="006E0ED6" w:rsidP="001625EC">
            <w:pPr>
              <w:spacing w:before="45" w:after="45" w:line="259" w:lineRule="auto"/>
              <w:ind w:left="57" w:right="108"/>
              <w:rPr>
                <w:rFonts w:ascii="Arial (Body)" w:hAnsi="Arial (Body)"/>
                <w:b/>
                <w:color w:val="265A9A"/>
                <w:sz w:val="18"/>
              </w:rPr>
            </w:pPr>
            <w:r w:rsidRPr="00866F5F">
              <w:rPr>
                <w:rFonts w:ascii="Arial (Body)" w:hAnsi="Arial (Body)"/>
                <w:b/>
                <w:color w:val="265A9A"/>
                <w:sz w:val="18"/>
              </w:rPr>
              <w:t>Wealth transfers</w:t>
            </w:r>
          </w:p>
        </w:tc>
        <w:tc>
          <w:tcPr>
            <w:tcW w:w="7795" w:type="dxa"/>
            <w:tcBorders>
              <w:top w:val="nil"/>
            </w:tcBorders>
            <w:shd w:val="clear" w:color="000000" w:fill="auto"/>
          </w:tcPr>
          <w:p w14:paraId="330D9C41" w14:textId="77777777" w:rsidR="006E0ED6" w:rsidRPr="00866F5F" w:rsidRDefault="006E0ED6" w:rsidP="001625EC">
            <w:pPr>
              <w:spacing w:before="45" w:after="45" w:line="259" w:lineRule="auto"/>
              <w:ind w:left="57" w:right="108"/>
              <w:rPr>
                <w:rFonts w:ascii="Arial (Body)" w:hAnsi="Arial (Body)"/>
                <w:color w:val="000000"/>
                <w:sz w:val="18"/>
              </w:rPr>
            </w:pPr>
            <w:r w:rsidRPr="00866F5F">
              <w:rPr>
                <w:rFonts w:ascii="Arial (Body)" w:hAnsi="Arial (Body)"/>
                <w:b/>
                <w:bCs/>
                <w:color w:val="000000"/>
                <w:sz w:val="18"/>
              </w:rPr>
              <w:t xml:space="preserve">Inheritances </w:t>
            </w:r>
            <w:r w:rsidRPr="00866F5F">
              <w:rPr>
                <w:rFonts w:ascii="Arial (Body)" w:hAnsi="Arial (Body)"/>
                <w:color w:val="000000"/>
                <w:sz w:val="18"/>
              </w:rPr>
              <w:t>and</w:t>
            </w:r>
            <w:r w:rsidRPr="00866F5F">
              <w:rPr>
                <w:rFonts w:ascii="Arial (Body)" w:hAnsi="Arial (Body)"/>
                <w:b/>
                <w:bCs/>
                <w:color w:val="000000"/>
                <w:sz w:val="18"/>
              </w:rPr>
              <w:t xml:space="preserve"> inter vivos gifts</w:t>
            </w:r>
            <w:r w:rsidRPr="00866F5F">
              <w:rPr>
                <w:rFonts w:ascii="Arial (Body)" w:hAnsi="Arial (Body)"/>
                <w:color w:val="000000"/>
                <w:sz w:val="18"/>
              </w:rPr>
              <w:t xml:space="preserve">. </w:t>
            </w:r>
          </w:p>
        </w:tc>
      </w:tr>
    </w:tbl>
    <w:p w14:paraId="4E2BFDC4" w14:textId="77777777" w:rsidR="006E0ED6" w:rsidRPr="008E7BD4" w:rsidRDefault="006E0ED6" w:rsidP="006E0ED6">
      <w:pPr>
        <w:pStyle w:val="BodyText"/>
      </w:pPr>
    </w:p>
    <w:p w14:paraId="08B32E09" w14:textId="77777777" w:rsidR="006E0ED6" w:rsidRDefault="006E0ED6" w:rsidP="006E0ED6">
      <w:pPr>
        <w:pStyle w:val="BodyText"/>
        <w:sectPr w:rsidR="006E0ED6" w:rsidSect="001625EC">
          <w:type w:val="oddPage"/>
          <w:pgSz w:w="11906" w:h="16838" w:code="9"/>
          <w:pgMar w:top="1134" w:right="1134" w:bottom="1134" w:left="1134" w:header="794" w:footer="510" w:gutter="0"/>
          <w:cols w:space="708"/>
          <w:docGrid w:linePitch="360"/>
        </w:sectPr>
      </w:pPr>
    </w:p>
    <w:p w14:paraId="108C65B1" w14:textId="569CFB0A" w:rsidR="006E0ED6" w:rsidRDefault="006E0ED6" w:rsidP="006E0ED6">
      <w:pPr>
        <w:pStyle w:val="Heading1-nobackground"/>
      </w:pPr>
      <w:r>
        <w:lastRenderedPageBreak/>
        <w:t>References</w:t>
      </w:r>
    </w:p>
    <w:p w14:paraId="122CF36D" w14:textId="77777777" w:rsidR="00C86DB9" w:rsidRDefault="00C86DB9" w:rsidP="00C86DB9">
      <w:pPr>
        <w:pStyle w:val="Reference"/>
        <w:sectPr w:rsidR="00C86DB9" w:rsidSect="001625EC">
          <w:type w:val="oddPage"/>
          <w:pgSz w:w="11906" w:h="16838" w:code="9"/>
          <w:pgMar w:top="1134" w:right="1134" w:bottom="1134" w:left="1134" w:header="794" w:footer="510" w:gutter="0"/>
          <w:cols w:space="708"/>
          <w:docGrid w:linePitch="360"/>
        </w:sectPr>
      </w:pPr>
    </w:p>
    <w:p w14:paraId="36057F3B" w14:textId="34DA4DC4"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ABS (Australian Bureau of Statistics) 2015, </w:t>
      </w:r>
      <w:r w:rsidRPr="006D627C">
        <w:rPr>
          <w:rFonts w:ascii="Arial" w:hAnsi="Arial" w:cs="Arial"/>
          <w:i/>
          <w:iCs/>
          <w:sz w:val="16"/>
        </w:rPr>
        <w:t>Australian System of National Accounts - Concepts, Sources and Methods</w:t>
      </w:r>
      <w:r w:rsidRPr="006D627C">
        <w:rPr>
          <w:rFonts w:ascii="Arial" w:hAnsi="Arial" w:cs="Arial"/>
          <w:sz w:val="16"/>
        </w:rPr>
        <w:t>, Cat.</w:t>
      </w:r>
      <w:r w:rsidR="00B772B6">
        <w:rPr>
          <w:rFonts w:ascii="Arial" w:hAnsi="Arial" w:cs="Arial"/>
          <w:sz w:val="16"/>
        </w:rPr>
        <w:t> </w:t>
      </w:r>
      <w:r w:rsidRPr="006D627C">
        <w:rPr>
          <w:rFonts w:ascii="Arial" w:hAnsi="Arial" w:cs="Arial"/>
          <w:sz w:val="16"/>
        </w:rPr>
        <w:t>no. 5216.0, https://www.ausstats.abs.gov.au/ausstats/</w:t>
      </w:r>
      <w:r w:rsidR="00B772B6">
        <w:rPr>
          <w:rFonts w:ascii="Arial" w:hAnsi="Arial" w:cs="Arial"/>
          <w:sz w:val="16"/>
        </w:rPr>
        <w:br/>
      </w:r>
      <w:r w:rsidRPr="006D627C">
        <w:rPr>
          <w:rFonts w:ascii="Arial" w:hAnsi="Arial" w:cs="Arial"/>
          <w:sz w:val="16"/>
        </w:rPr>
        <w:t>subscriber.nsf/0/C5ACA29422243B56CA257F7D00177D09/$File/52160_2015_.pdf (accessed 7 April 2021).</w:t>
      </w:r>
    </w:p>
    <w:p w14:paraId="0BEED3E7" w14:textId="6F841321"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2017a, </w:t>
      </w:r>
      <w:r w:rsidRPr="006D627C">
        <w:rPr>
          <w:rFonts w:ascii="Arial" w:hAnsi="Arial" w:cs="Arial"/>
          <w:i/>
          <w:iCs/>
          <w:sz w:val="16"/>
        </w:rPr>
        <w:t>6540.0 - Microdata: Household Expenditure, Income and Housing, 2015-16</w:t>
      </w:r>
      <w:r w:rsidRPr="006D627C">
        <w:rPr>
          <w:rFonts w:ascii="Arial" w:hAnsi="Arial" w:cs="Arial"/>
          <w:sz w:val="16"/>
        </w:rPr>
        <w:t>, https://www.abs.gov.au/</w:t>
      </w:r>
      <w:r w:rsidR="00B772B6">
        <w:rPr>
          <w:rFonts w:ascii="Arial" w:hAnsi="Arial" w:cs="Arial"/>
          <w:sz w:val="16"/>
        </w:rPr>
        <w:br/>
      </w:r>
      <w:r w:rsidRPr="006D627C">
        <w:rPr>
          <w:rFonts w:ascii="Arial" w:hAnsi="Arial" w:cs="Arial"/>
          <w:sz w:val="16"/>
        </w:rPr>
        <w:t>ausstats/abs@.nsf/Latestproducts/6540.0Main%20Features42015-16?opendocument&amp;tabname=Summary&amp;prodno=6540.0&amp;</w:t>
      </w:r>
      <w:r w:rsidR="00B772B6">
        <w:rPr>
          <w:rFonts w:ascii="Arial" w:hAnsi="Arial" w:cs="Arial"/>
          <w:sz w:val="16"/>
        </w:rPr>
        <w:br/>
      </w:r>
      <w:r w:rsidRPr="006D627C">
        <w:rPr>
          <w:rFonts w:ascii="Arial" w:hAnsi="Arial" w:cs="Arial"/>
          <w:sz w:val="16"/>
        </w:rPr>
        <w:t>issue=2015-16&amp;num=&amp;view= (accessed 30 July 2021).</w:t>
      </w:r>
    </w:p>
    <w:p w14:paraId="6443F3BF" w14:textId="1D592DB9"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2017b, </w:t>
      </w:r>
      <w:r w:rsidRPr="006D627C">
        <w:rPr>
          <w:rFonts w:ascii="Arial" w:hAnsi="Arial" w:cs="Arial"/>
          <w:i/>
          <w:iCs/>
          <w:sz w:val="16"/>
        </w:rPr>
        <w:t>Household Expenditure Survey, Australia: Summary of Results Methodology, 2015-16 Financial Year</w:t>
      </w:r>
      <w:r w:rsidRPr="006D627C">
        <w:rPr>
          <w:rFonts w:ascii="Arial" w:hAnsi="Arial" w:cs="Arial"/>
          <w:sz w:val="16"/>
        </w:rPr>
        <w:t>, https://www.abs.gov.au/methodologies/household-expenditure-survey-australia-summary-results-methodology/2015-16 (accessed 5 August 2021).</w:t>
      </w:r>
    </w:p>
    <w:p w14:paraId="1DEAD462" w14:textId="10CB2F4F"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2018, </w:t>
      </w:r>
      <w:r w:rsidRPr="006D627C">
        <w:rPr>
          <w:rFonts w:ascii="Arial" w:hAnsi="Arial" w:cs="Arial"/>
          <w:i/>
          <w:iCs/>
          <w:sz w:val="16"/>
        </w:rPr>
        <w:t>Population Projections, Australia, 2017-2066</w:t>
      </w:r>
      <w:r w:rsidRPr="006D627C">
        <w:rPr>
          <w:rFonts w:ascii="Arial" w:hAnsi="Arial" w:cs="Arial"/>
          <w:sz w:val="16"/>
        </w:rPr>
        <w:t>, ABS.Stat, https://stat.data.abs.gov.au/Index.aspx?</w:t>
      </w:r>
      <w:r w:rsidR="00B772B6">
        <w:rPr>
          <w:rFonts w:ascii="Arial" w:hAnsi="Arial" w:cs="Arial"/>
          <w:sz w:val="16"/>
        </w:rPr>
        <w:br/>
      </w:r>
      <w:r w:rsidRPr="006D627C">
        <w:rPr>
          <w:rFonts w:ascii="Arial" w:hAnsi="Arial" w:cs="Arial"/>
          <w:sz w:val="16"/>
        </w:rPr>
        <w:t>DatasetCode=POP_PROJ_2011# (accessed 18 August 2021).</w:t>
      </w:r>
    </w:p>
    <w:p w14:paraId="54E27FF4" w14:textId="7CE3BEC9"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2019a, </w:t>
      </w:r>
      <w:r w:rsidRPr="006D627C">
        <w:rPr>
          <w:rFonts w:ascii="Arial" w:hAnsi="Arial" w:cs="Arial"/>
          <w:i/>
          <w:iCs/>
          <w:sz w:val="16"/>
        </w:rPr>
        <w:t>Housing Occupancy and Costs, 2017-18 Financial Year</w:t>
      </w:r>
      <w:r w:rsidRPr="006D627C">
        <w:rPr>
          <w:rFonts w:ascii="Arial" w:hAnsi="Arial" w:cs="Arial"/>
          <w:sz w:val="16"/>
        </w:rPr>
        <w:t>, Cat. no. 4130.0, https://www.abs.gov.au/statistics/</w:t>
      </w:r>
      <w:r w:rsidR="00A627A5">
        <w:rPr>
          <w:rFonts w:ascii="Arial" w:hAnsi="Arial" w:cs="Arial"/>
          <w:sz w:val="16"/>
        </w:rPr>
        <w:br/>
      </w:r>
      <w:r w:rsidRPr="006D627C">
        <w:rPr>
          <w:rFonts w:ascii="Arial" w:hAnsi="Arial" w:cs="Arial"/>
          <w:sz w:val="16"/>
        </w:rPr>
        <w:t>people/housing/housing-occupancy-and-costs/2017-18 (accessed 28 June 2021).</w:t>
      </w:r>
    </w:p>
    <w:p w14:paraId="10539101" w14:textId="7557DCF9"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2019b, </w:t>
      </w:r>
      <w:r w:rsidRPr="006D627C">
        <w:rPr>
          <w:rFonts w:ascii="Arial" w:hAnsi="Arial" w:cs="Arial"/>
          <w:i/>
          <w:iCs/>
          <w:sz w:val="16"/>
        </w:rPr>
        <w:t>Main Features - Wealth or Net Worth</w:t>
      </w:r>
      <w:r w:rsidRPr="006D627C">
        <w:rPr>
          <w:rFonts w:ascii="Arial" w:hAnsi="Arial" w:cs="Arial"/>
          <w:sz w:val="16"/>
        </w:rPr>
        <w:t>, https://www.abs.gov.au/ausstats/abs@.nsf/Lookup/by%20Subject/6553.0~2017-18~Main%20Features~Wealth%20or%20Net</w:t>
      </w:r>
      <w:r w:rsidR="00B772B6">
        <w:rPr>
          <w:rFonts w:ascii="Arial" w:hAnsi="Arial" w:cs="Arial"/>
          <w:sz w:val="16"/>
        </w:rPr>
        <w:br/>
      </w:r>
      <w:r w:rsidRPr="006D627C">
        <w:rPr>
          <w:rFonts w:ascii="Arial" w:hAnsi="Arial" w:cs="Arial"/>
          <w:sz w:val="16"/>
        </w:rPr>
        <w:t>%20Worth~3 (accessed 22 March 2021).</w:t>
      </w:r>
    </w:p>
    <w:p w14:paraId="70EE9346" w14:textId="3C6D7F68"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2019c, </w:t>
      </w:r>
      <w:r w:rsidRPr="006D627C">
        <w:rPr>
          <w:rFonts w:ascii="Arial" w:hAnsi="Arial" w:cs="Arial"/>
          <w:i/>
          <w:iCs/>
          <w:sz w:val="16"/>
        </w:rPr>
        <w:t>Survey of Income and Housing, User Guide, Australia, 2017-18</w:t>
      </w:r>
      <w:r w:rsidRPr="006D627C">
        <w:rPr>
          <w:rFonts w:ascii="Arial" w:hAnsi="Arial" w:cs="Arial"/>
          <w:sz w:val="16"/>
        </w:rPr>
        <w:t>, https://www.abs.gov.au/ausstats/abs@.nsf/</w:t>
      </w:r>
      <w:r w:rsidR="00B772B6">
        <w:rPr>
          <w:rFonts w:ascii="Arial" w:hAnsi="Arial" w:cs="Arial"/>
          <w:sz w:val="16"/>
        </w:rPr>
        <w:br/>
      </w:r>
      <w:r w:rsidRPr="006D627C">
        <w:rPr>
          <w:rFonts w:ascii="Arial" w:hAnsi="Arial" w:cs="Arial"/>
          <w:sz w:val="16"/>
        </w:rPr>
        <w:t>Lookup/by%20Subject/6553.0~2017-18~Main%20Features~</w:t>
      </w:r>
      <w:r w:rsidR="00B772B6">
        <w:rPr>
          <w:rFonts w:ascii="Arial" w:hAnsi="Arial" w:cs="Arial"/>
          <w:sz w:val="16"/>
        </w:rPr>
        <w:br/>
      </w:r>
      <w:r w:rsidRPr="006D627C">
        <w:rPr>
          <w:rFonts w:ascii="Arial" w:hAnsi="Arial" w:cs="Arial"/>
          <w:sz w:val="16"/>
        </w:rPr>
        <w:t>Wealth%20Comparison~32 (accessed 16 September 2021).</w:t>
      </w:r>
    </w:p>
    <w:p w14:paraId="0B94E250" w14:textId="30D266FC"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2020a, </w:t>
      </w:r>
      <w:r w:rsidRPr="006D627C">
        <w:rPr>
          <w:rFonts w:ascii="Arial" w:hAnsi="Arial" w:cs="Arial"/>
          <w:i/>
          <w:iCs/>
          <w:sz w:val="16"/>
        </w:rPr>
        <w:t>Australian System of National Accounts, 2019-20 Financial Year</w:t>
      </w:r>
      <w:r w:rsidRPr="006D627C">
        <w:rPr>
          <w:rFonts w:ascii="Arial" w:hAnsi="Arial" w:cs="Arial"/>
          <w:sz w:val="16"/>
        </w:rPr>
        <w:t>, https://www.abs.gov.au/statistics/economy/</w:t>
      </w:r>
      <w:r w:rsidR="00B772B6">
        <w:rPr>
          <w:rFonts w:ascii="Arial" w:hAnsi="Arial" w:cs="Arial"/>
          <w:sz w:val="16"/>
        </w:rPr>
        <w:br/>
      </w:r>
      <w:r w:rsidRPr="006D627C">
        <w:rPr>
          <w:rFonts w:ascii="Arial" w:hAnsi="Arial" w:cs="Arial"/>
          <w:sz w:val="16"/>
        </w:rPr>
        <w:t>national-accounts/australian-system-national-accounts/latest-release (accessed 18 February 2021).</w:t>
      </w:r>
    </w:p>
    <w:p w14:paraId="69BAD088" w14:textId="63F84BDE"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2020b, </w:t>
      </w:r>
      <w:r w:rsidRPr="006D627C">
        <w:rPr>
          <w:rFonts w:ascii="Arial" w:hAnsi="Arial" w:cs="Arial"/>
          <w:i/>
          <w:iCs/>
          <w:sz w:val="16"/>
        </w:rPr>
        <w:t>Births, Australia, 2019</w:t>
      </w:r>
      <w:r w:rsidRPr="006D627C">
        <w:rPr>
          <w:rFonts w:ascii="Arial" w:hAnsi="Arial" w:cs="Arial"/>
          <w:sz w:val="16"/>
        </w:rPr>
        <w:t>, Cat. no. 3301.0, https://www.abs.gov.au/statistics/people/population/births-australia/latest-release (accessed 26 July 2021).</w:t>
      </w:r>
    </w:p>
    <w:p w14:paraId="3EDED775" w14:textId="62704076"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2020c, </w:t>
      </w:r>
      <w:r w:rsidRPr="006D627C">
        <w:rPr>
          <w:rFonts w:ascii="Arial" w:hAnsi="Arial" w:cs="Arial"/>
          <w:i/>
          <w:iCs/>
          <w:sz w:val="16"/>
        </w:rPr>
        <w:t>Deaths, Year of Occurrence, Age at Death, Age-Specific Death Rates, Sex, States, Territories and Australia</w:t>
      </w:r>
      <w:r w:rsidRPr="006D627C">
        <w:rPr>
          <w:rFonts w:ascii="Arial" w:hAnsi="Arial" w:cs="Arial"/>
          <w:sz w:val="16"/>
        </w:rPr>
        <w:t>, ABS.Stat, https://stat.data.abs.gov.au/Index.aspx?</w:t>
      </w:r>
      <w:r w:rsidR="00B772B6">
        <w:rPr>
          <w:rFonts w:ascii="Arial" w:hAnsi="Arial" w:cs="Arial"/>
          <w:sz w:val="16"/>
        </w:rPr>
        <w:br/>
      </w:r>
      <w:r w:rsidRPr="006D627C">
        <w:rPr>
          <w:rFonts w:ascii="Arial" w:hAnsi="Arial" w:cs="Arial"/>
          <w:sz w:val="16"/>
        </w:rPr>
        <w:t>DataSetCode=DEATHS_AGESPECIFIC_OCCURENCEYEAR (accessed 6 August 2021).</w:t>
      </w:r>
    </w:p>
    <w:p w14:paraId="05FC8C7B" w14:textId="014C0B04"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2020d, </w:t>
      </w:r>
      <w:r w:rsidRPr="006D627C">
        <w:rPr>
          <w:rFonts w:ascii="Arial" w:hAnsi="Arial" w:cs="Arial"/>
          <w:i/>
          <w:iCs/>
          <w:sz w:val="16"/>
        </w:rPr>
        <w:t>Deaths, Year of Registration, Marital Status, Age at Death, Sex, Australia</w:t>
      </w:r>
      <w:r w:rsidRPr="006D627C">
        <w:rPr>
          <w:rFonts w:ascii="Arial" w:hAnsi="Arial" w:cs="Arial"/>
          <w:sz w:val="16"/>
        </w:rPr>
        <w:t>, ABS.Stat, https://stat.data.abs.gov.au/Index.aspx?DataSetCode=DEATHS_MARITAL_STATUS (accessed 5 August 2021).</w:t>
      </w:r>
    </w:p>
    <w:p w14:paraId="44A61084" w14:textId="0300584E"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2021a, </w:t>
      </w:r>
      <w:r w:rsidRPr="006D627C">
        <w:rPr>
          <w:rFonts w:ascii="Arial" w:hAnsi="Arial" w:cs="Arial"/>
          <w:i/>
          <w:iCs/>
          <w:sz w:val="16"/>
        </w:rPr>
        <w:t>Australian National Accounts: Distribution of Household Income, Consumption and Wealth, 2003-04 to 2019-20</w:t>
      </w:r>
      <w:r w:rsidRPr="006D627C">
        <w:rPr>
          <w:rFonts w:ascii="Arial" w:hAnsi="Arial" w:cs="Arial"/>
          <w:sz w:val="16"/>
        </w:rPr>
        <w:t>, https://www.abs.gov.au/statistics/economy/national-accounts/australian-national-accounts-distribution-household-income-consumption-and-wealth/latest-release#data-download (accessed 21 June 2021).</w:t>
      </w:r>
    </w:p>
    <w:p w14:paraId="31D47CE2" w14:textId="61E9C424"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2021b, </w:t>
      </w:r>
      <w:r w:rsidRPr="006D627C">
        <w:rPr>
          <w:rFonts w:ascii="Arial" w:hAnsi="Arial" w:cs="Arial"/>
          <w:i/>
          <w:iCs/>
          <w:sz w:val="16"/>
        </w:rPr>
        <w:t>Average Weekly Earnings, Australia, November 2020</w:t>
      </w:r>
      <w:r w:rsidRPr="006D627C">
        <w:rPr>
          <w:rFonts w:ascii="Arial" w:hAnsi="Arial" w:cs="Arial"/>
          <w:sz w:val="16"/>
        </w:rPr>
        <w:t>, Cat. no. 6302.0, https://www.abs.gov.au/statistics/</w:t>
      </w:r>
      <w:r w:rsidR="00B772B6">
        <w:rPr>
          <w:rFonts w:ascii="Arial" w:hAnsi="Arial" w:cs="Arial"/>
          <w:sz w:val="16"/>
        </w:rPr>
        <w:br/>
      </w:r>
      <w:r w:rsidRPr="006D627C">
        <w:rPr>
          <w:rFonts w:ascii="Arial" w:hAnsi="Arial" w:cs="Arial"/>
          <w:sz w:val="16"/>
        </w:rPr>
        <w:t>labour/earnings-and-work-hours/average-weekly-earnings-australia/latest-release (accessed 4 August 2021).</w:t>
      </w:r>
    </w:p>
    <w:p w14:paraId="3FC7B747" w14:textId="3621A5EE"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2021c, </w:t>
      </w:r>
      <w:r w:rsidRPr="006D627C">
        <w:rPr>
          <w:rFonts w:ascii="Arial" w:hAnsi="Arial" w:cs="Arial"/>
          <w:i/>
          <w:iCs/>
          <w:sz w:val="16"/>
        </w:rPr>
        <w:t>National, State and Territory Population, December 2020</w:t>
      </w:r>
      <w:r w:rsidRPr="006D627C">
        <w:rPr>
          <w:rFonts w:ascii="Arial" w:hAnsi="Arial" w:cs="Arial"/>
          <w:sz w:val="16"/>
        </w:rPr>
        <w:t>, Cat. no. 3101.0, https://www.abs.gov.au/</w:t>
      </w:r>
      <w:r w:rsidR="00B772B6">
        <w:rPr>
          <w:rFonts w:ascii="Arial" w:hAnsi="Arial" w:cs="Arial"/>
          <w:sz w:val="16"/>
        </w:rPr>
        <w:br/>
      </w:r>
      <w:r w:rsidRPr="006D627C">
        <w:rPr>
          <w:rFonts w:ascii="Arial" w:hAnsi="Arial" w:cs="Arial"/>
          <w:sz w:val="16"/>
        </w:rPr>
        <w:t>statistics/people/population/national-state-and-territory-population/latest-release (accessed 30 July 2021).</w:t>
      </w:r>
    </w:p>
    <w:p w14:paraId="6BCEFC14" w14:textId="0460C428"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nd, </w:t>
      </w:r>
      <w:r w:rsidRPr="006D627C">
        <w:rPr>
          <w:rFonts w:ascii="Arial" w:hAnsi="Arial" w:cs="Arial"/>
          <w:i/>
          <w:iCs/>
          <w:sz w:val="16"/>
        </w:rPr>
        <w:t>Statistical Language - Estimate and Projection</w:t>
      </w:r>
      <w:r w:rsidRPr="006D627C">
        <w:rPr>
          <w:rFonts w:ascii="Arial" w:hAnsi="Arial" w:cs="Arial"/>
          <w:sz w:val="16"/>
        </w:rPr>
        <w:t>, https://www.abs.gov.au/websitedbs/D3310114.nsf/Home/Statistical+Language+-+estimate+and+projection (accessed 6</w:t>
      </w:r>
      <w:r w:rsidR="00B950D6">
        <w:rPr>
          <w:rFonts w:ascii="Arial" w:hAnsi="Arial" w:cs="Arial"/>
          <w:sz w:val="16"/>
        </w:rPr>
        <w:t> </w:t>
      </w:r>
      <w:r w:rsidRPr="006D627C">
        <w:rPr>
          <w:rFonts w:ascii="Arial" w:hAnsi="Arial" w:cs="Arial"/>
          <w:sz w:val="16"/>
        </w:rPr>
        <w:t>August 2021).</w:t>
      </w:r>
    </w:p>
    <w:p w14:paraId="7EA96A92" w14:textId="77777777" w:rsidR="006D627C" w:rsidRPr="00CF1F8E" w:rsidRDefault="006D627C" w:rsidP="00B950D6">
      <w:pPr>
        <w:pStyle w:val="Bibliography"/>
        <w:spacing w:after="60" w:line="200" w:lineRule="exact"/>
        <w:ind w:left="0" w:firstLine="0"/>
        <w:rPr>
          <w:rFonts w:ascii="Arial" w:hAnsi="Arial" w:cs="Arial"/>
          <w:spacing w:val="-4"/>
          <w:sz w:val="16"/>
        </w:rPr>
      </w:pPr>
      <w:r w:rsidRPr="00CF1F8E">
        <w:rPr>
          <w:rFonts w:ascii="Arial" w:hAnsi="Arial" w:cs="Arial"/>
          <w:spacing w:val="-4"/>
          <w:sz w:val="16"/>
        </w:rPr>
        <w:t xml:space="preserve">Acciari, P. and Morelli, S. 2020, </w:t>
      </w:r>
      <w:r w:rsidRPr="00CF1F8E">
        <w:rPr>
          <w:rFonts w:ascii="Arial" w:hAnsi="Arial" w:cs="Arial"/>
          <w:i/>
          <w:iCs/>
          <w:spacing w:val="-4"/>
          <w:sz w:val="16"/>
        </w:rPr>
        <w:t>Wealth Transfers and Net Wealth at Death: Evidence from the Italian Inheritance Tax Records 1995–2016</w:t>
      </w:r>
      <w:r w:rsidRPr="00CF1F8E">
        <w:rPr>
          <w:rFonts w:ascii="Arial" w:hAnsi="Arial" w:cs="Arial"/>
          <w:spacing w:val="-4"/>
          <w:sz w:val="16"/>
        </w:rPr>
        <w:t>, National Bureau of Economic Research, p. 46.</w:t>
      </w:r>
    </w:p>
    <w:p w14:paraId="446A650A" w14:textId="77777777" w:rsidR="006D627C" w:rsidRPr="00CF1F8E" w:rsidRDefault="006D627C" w:rsidP="00B950D6">
      <w:pPr>
        <w:pStyle w:val="Bibliography"/>
        <w:spacing w:after="60" w:line="200" w:lineRule="exact"/>
        <w:ind w:left="0" w:firstLine="0"/>
        <w:rPr>
          <w:rFonts w:ascii="Arial" w:hAnsi="Arial" w:cs="Arial"/>
          <w:spacing w:val="-2"/>
          <w:sz w:val="16"/>
        </w:rPr>
      </w:pPr>
      <w:r w:rsidRPr="00CF1F8E">
        <w:rPr>
          <w:rFonts w:ascii="Arial" w:hAnsi="Arial" w:cs="Arial"/>
          <w:spacing w:val="-2"/>
          <w:sz w:val="16"/>
        </w:rPr>
        <w:t xml:space="preserve">ACFA (Aged Care Financing Authority) 2020a, </w:t>
      </w:r>
      <w:r w:rsidRPr="00CF1F8E">
        <w:rPr>
          <w:rFonts w:ascii="Arial" w:hAnsi="Arial" w:cs="Arial"/>
          <w:i/>
          <w:iCs/>
          <w:spacing w:val="-2"/>
          <w:sz w:val="16"/>
        </w:rPr>
        <w:t>Eighth report on the Funding and Financing of the Aged Care Industry</w:t>
      </w:r>
      <w:r w:rsidRPr="00CF1F8E">
        <w:rPr>
          <w:rFonts w:ascii="Arial" w:hAnsi="Arial" w:cs="Arial"/>
          <w:spacing w:val="-2"/>
          <w:sz w:val="16"/>
        </w:rPr>
        <w:t>, July, 8.</w:t>
      </w:r>
    </w:p>
    <w:p w14:paraId="40B3102B" w14:textId="401CF45D" w:rsidR="006D627C" w:rsidRPr="00956812" w:rsidRDefault="006D627C" w:rsidP="00B950D6">
      <w:pPr>
        <w:pStyle w:val="Bibliography"/>
        <w:spacing w:after="60" w:line="200" w:lineRule="exact"/>
        <w:ind w:left="0" w:firstLine="0"/>
        <w:rPr>
          <w:rFonts w:ascii="Arial" w:hAnsi="Arial" w:cs="Arial"/>
          <w:spacing w:val="-4"/>
          <w:sz w:val="16"/>
        </w:rPr>
      </w:pPr>
      <w:r w:rsidRPr="00956812">
        <w:rPr>
          <w:rFonts w:ascii="Arial" w:hAnsi="Arial" w:cs="Arial"/>
          <w:spacing w:val="-4"/>
          <w:sz w:val="16"/>
        </w:rPr>
        <w:t xml:space="preserve">—— 2020b, </w:t>
      </w:r>
      <w:r w:rsidRPr="00956812">
        <w:rPr>
          <w:rFonts w:ascii="Arial" w:hAnsi="Arial" w:cs="Arial"/>
          <w:i/>
          <w:iCs/>
          <w:spacing w:val="-4"/>
          <w:sz w:val="16"/>
        </w:rPr>
        <w:t>The Protection of Residential Aged Care Accommodation Lump Sump Accommodation Payments</w:t>
      </w:r>
      <w:r w:rsidRPr="00956812">
        <w:rPr>
          <w:rFonts w:ascii="Arial" w:hAnsi="Arial" w:cs="Arial"/>
          <w:spacing w:val="-4"/>
          <w:sz w:val="16"/>
        </w:rPr>
        <w:t>, p. 116.</w:t>
      </w:r>
    </w:p>
    <w:p w14:paraId="30800BCD" w14:textId="700F02BE"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 </w:t>
      </w:r>
      <w:r w:rsidRPr="006D627C">
        <w:rPr>
          <w:rFonts w:ascii="Arial" w:hAnsi="Arial" w:cs="Arial"/>
          <w:i/>
          <w:iCs/>
          <w:sz w:val="16"/>
        </w:rPr>
        <w:t>Review of the Current and Future Role of Refundable Accommodation Deposits in Aged Care</w:t>
      </w:r>
      <w:r w:rsidRPr="006D627C">
        <w:rPr>
          <w:rFonts w:ascii="Arial" w:hAnsi="Arial" w:cs="Arial"/>
          <w:sz w:val="16"/>
        </w:rPr>
        <w:t>, 24 March.</w:t>
      </w:r>
    </w:p>
    <w:p w14:paraId="3B518A9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Adermon, A., Lindahl, M. and Waldenström, D. 2018, ‘Intergenerational wealth mobility and the role of inheritance: Evidence from multiple generations’, </w:t>
      </w:r>
      <w:r w:rsidRPr="006D627C">
        <w:rPr>
          <w:rFonts w:ascii="Arial" w:hAnsi="Arial" w:cs="Arial"/>
          <w:i/>
          <w:iCs/>
          <w:sz w:val="16"/>
        </w:rPr>
        <w:t>The Economic Journal</w:t>
      </w:r>
      <w:r w:rsidRPr="006D627C">
        <w:rPr>
          <w:rFonts w:ascii="Arial" w:hAnsi="Arial" w:cs="Arial"/>
          <w:sz w:val="16"/>
        </w:rPr>
        <w:t>, vol. 128, no. 612, pp. F482–F513.</w:t>
      </w:r>
    </w:p>
    <w:p w14:paraId="423DC760" w14:textId="245C41CF"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AIHW (Australian Institute of Health and Welfare) 2021a, </w:t>
      </w:r>
      <w:r w:rsidRPr="006D627C">
        <w:rPr>
          <w:rFonts w:ascii="Arial" w:hAnsi="Arial" w:cs="Arial"/>
          <w:i/>
          <w:iCs/>
          <w:sz w:val="16"/>
        </w:rPr>
        <w:t>Home Ownership and Housing Tenure</w:t>
      </w:r>
      <w:r w:rsidRPr="006D627C">
        <w:rPr>
          <w:rFonts w:ascii="Arial" w:hAnsi="Arial" w:cs="Arial"/>
          <w:sz w:val="16"/>
        </w:rPr>
        <w:t>, Australian Institute of Health and Welfare, https://www.aihw.gov.au/reports/</w:t>
      </w:r>
      <w:r w:rsidR="00B950D6">
        <w:rPr>
          <w:rFonts w:ascii="Arial" w:hAnsi="Arial" w:cs="Arial"/>
          <w:sz w:val="16"/>
        </w:rPr>
        <w:br/>
      </w:r>
      <w:r w:rsidRPr="006D627C">
        <w:rPr>
          <w:rFonts w:ascii="Arial" w:hAnsi="Arial" w:cs="Arial"/>
          <w:sz w:val="16"/>
        </w:rPr>
        <w:t>australias-welfare/home-ownership-and-housing-tenure (accessed 12 August 2021).</w:t>
      </w:r>
    </w:p>
    <w:p w14:paraId="57167A87" w14:textId="05BAD439" w:rsid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2021b, </w:t>
      </w:r>
      <w:r w:rsidRPr="006D627C">
        <w:rPr>
          <w:rFonts w:ascii="Arial" w:hAnsi="Arial" w:cs="Arial"/>
          <w:i/>
          <w:iCs/>
          <w:sz w:val="16"/>
        </w:rPr>
        <w:t>People Leaving Aged Care</w:t>
      </w:r>
      <w:r w:rsidRPr="006D627C">
        <w:rPr>
          <w:rFonts w:ascii="Arial" w:hAnsi="Arial" w:cs="Arial"/>
          <w:sz w:val="16"/>
        </w:rPr>
        <w:t>, GEN Aged Care Data, https://www.gen-agedcaredata.gov.au/Topics/People-leaving-aged-care (accessed 1 April 2021).</w:t>
      </w:r>
    </w:p>
    <w:p w14:paraId="5611E6C2" w14:textId="485ED8E9" w:rsidR="00596ACD" w:rsidRDefault="00596ACD" w:rsidP="00596ACD">
      <w:pPr>
        <w:pStyle w:val="Bibliography"/>
        <w:spacing w:after="60" w:line="200" w:lineRule="exact"/>
        <w:ind w:left="0" w:firstLine="0"/>
        <w:rPr>
          <w:rFonts w:ascii="Arial" w:hAnsi="Arial" w:cs="Arial"/>
          <w:sz w:val="16"/>
        </w:rPr>
      </w:pPr>
      <w:r w:rsidRPr="006D627C">
        <w:rPr>
          <w:rFonts w:ascii="Arial" w:hAnsi="Arial" w:cs="Arial"/>
          <w:sz w:val="16"/>
        </w:rPr>
        <w:t>—— 2021</w:t>
      </w:r>
      <w:r>
        <w:rPr>
          <w:rFonts w:ascii="Arial" w:hAnsi="Arial" w:cs="Arial"/>
          <w:sz w:val="16"/>
        </w:rPr>
        <w:t>c</w:t>
      </w:r>
      <w:r w:rsidRPr="006D627C">
        <w:rPr>
          <w:rFonts w:ascii="Arial" w:hAnsi="Arial" w:cs="Arial"/>
          <w:sz w:val="16"/>
        </w:rPr>
        <w:t xml:space="preserve">, </w:t>
      </w:r>
      <w:r w:rsidRPr="006D627C">
        <w:rPr>
          <w:rFonts w:ascii="Arial" w:hAnsi="Arial" w:cs="Arial"/>
          <w:i/>
          <w:iCs/>
          <w:sz w:val="16"/>
        </w:rPr>
        <w:t xml:space="preserve">People </w:t>
      </w:r>
      <w:r>
        <w:rPr>
          <w:rFonts w:ascii="Arial" w:hAnsi="Arial" w:cs="Arial"/>
          <w:i/>
          <w:iCs/>
          <w:sz w:val="16"/>
        </w:rPr>
        <w:t>Using</w:t>
      </w:r>
      <w:r w:rsidRPr="006D627C">
        <w:rPr>
          <w:rFonts w:ascii="Arial" w:hAnsi="Arial" w:cs="Arial"/>
          <w:i/>
          <w:iCs/>
          <w:sz w:val="16"/>
        </w:rPr>
        <w:t xml:space="preserve"> Aged Care</w:t>
      </w:r>
      <w:r w:rsidRPr="006D627C">
        <w:rPr>
          <w:rFonts w:ascii="Arial" w:hAnsi="Arial" w:cs="Arial"/>
          <w:sz w:val="16"/>
        </w:rPr>
        <w:t xml:space="preserve">, GEN Aged Care Data, </w:t>
      </w:r>
      <w:r w:rsidR="00C20AE8" w:rsidRPr="00C20AE8">
        <w:rPr>
          <w:rFonts w:ascii="Arial" w:hAnsi="Arial" w:cs="Arial"/>
          <w:sz w:val="16"/>
        </w:rPr>
        <w:t>https://www.gen-agedcaredata.gov.au/Topics/People-using-aged-care</w:t>
      </w:r>
      <w:r w:rsidRPr="006D627C">
        <w:rPr>
          <w:rFonts w:ascii="Arial" w:hAnsi="Arial" w:cs="Arial"/>
          <w:sz w:val="16"/>
        </w:rPr>
        <w:t xml:space="preserve"> (accessed </w:t>
      </w:r>
      <w:r w:rsidR="002D2317">
        <w:rPr>
          <w:rFonts w:ascii="Arial" w:hAnsi="Arial" w:cs="Arial"/>
          <w:sz w:val="16"/>
        </w:rPr>
        <w:t>15 November 2021</w:t>
      </w:r>
      <w:r w:rsidRPr="006D627C">
        <w:rPr>
          <w:rFonts w:ascii="Arial" w:hAnsi="Arial" w:cs="Arial"/>
          <w:sz w:val="16"/>
        </w:rPr>
        <w:t>).</w:t>
      </w:r>
    </w:p>
    <w:p w14:paraId="14675FEB"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Asher, A., Meyricke, R., Thorp, S. and Wu, S. 2017, ‘Age pensioner decumulation: Responses to incentives, uncertainty and family need’, </w:t>
      </w:r>
      <w:r w:rsidRPr="006D627C">
        <w:rPr>
          <w:rFonts w:ascii="Arial" w:hAnsi="Arial" w:cs="Arial"/>
          <w:i/>
          <w:iCs/>
          <w:sz w:val="16"/>
        </w:rPr>
        <w:t>Australian Journal of Management</w:t>
      </w:r>
      <w:r w:rsidRPr="006D627C">
        <w:rPr>
          <w:rFonts w:ascii="Arial" w:hAnsi="Arial" w:cs="Arial"/>
          <w:sz w:val="16"/>
        </w:rPr>
        <w:t>, vol. 42, no. 4, pp. 583–607.</w:t>
      </w:r>
    </w:p>
    <w:p w14:paraId="5CD769CD"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ASIC (Australian Securities and Investments Commission) 2021, </w:t>
      </w:r>
      <w:r w:rsidRPr="006D627C">
        <w:rPr>
          <w:rFonts w:ascii="Arial" w:hAnsi="Arial" w:cs="Arial"/>
          <w:i/>
          <w:iCs/>
          <w:sz w:val="16"/>
        </w:rPr>
        <w:t>Paying for Your Funeral</w:t>
      </w:r>
      <w:r w:rsidRPr="006D627C">
        <w:rPr>
          <w:rFonts w:ascii="Arial" w:hAnsi="Arial" w:cs="Arial"/>
          <w:sz w:val="16"/>
        </w:rPr>
        <w:t>, Moneysmart, https://moneysmart.gov.au/paying-for-your-funeral (accessed 30 July 2021).</w:t>
      </w:r>
    </w:p>
    <w:p w14:paraId="4F02B67D"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Atkinson, A.B. 2018, ‘Wealth and inheritance in Britain from 1896 to the present’, </w:t>
      </w:r>
      <w:r w:rsidRPr="006D627C">
        <w:rPr>
          <w:rFonts w:ascii="Arial" w:hAnsi="Arial" w:cs="Arial"/>
          <w:i/>
          <w:iCs/>
          <w:sz w:val="16"/>
        </w:rPr>
        <w:t>The Journal of Economic Inequality</w:t>
      </w:r>
      <w:r w:rsidRPr="006D627C">
        <w:rPr>
          <w:rFonts w:ascii="Arial" w:hAnsi="Arial" w:cs="Arial"/>
          <w:sz w:val="16"/>
        </w:rPr>
        <w:t>, vol. 16, no. 2, pp. 137–169.</w:t>
      </w:r>
    </w:p>
    <w:p w14:paraId="361FAB28" w14:textId="77777777" w:rsidR="006D627C" w:rsidRPr="00956812" w:rsidRDefault="006D627C" w:rsidP="00B950D6">
      <w:pPr>
        <w:pStyle w:val="Bibliography"/>
        <w:spacing w:after="60" w:line="200" w:lineRule="exact"/>
        <w:ind w:left="0" w:firstLine="0"/>
        <w:rPr>
          <w:rFonts w:ascii="Arial" w:hAnsi="Arial" w:cs="Arial"/>
          <w:spacing w:val="-4"/>
          <w:sz w:val="16"/>
        </w:rPr>
      </w:pPr>
      <w:r w:rsidRPr="00956812">
        <w:rPr>
          <w:rFonts w:ascii="Arial" w:hAnsi="Arial" w:cs="Arial"/>
          <w:spacing w:val="-4"/>
          <w:sz w:val="16"/>
        </w:rPr>
        <w:t xml:space="preserve">ATO (Australian Taxation Office) 2019, </w:t>
      </w:r>
      <w:r w:rsidRPr="00956812">
        <w:rPr>
          <w:rFonts w:ascii="Arial" w:hAnsi="Arial" w:cs="Arial"/>
          <w:i/>
          <w:iCs/>
          <w:spacing w:val="-4"/>
          <w:sz w:val="16"/>
        </w:rPr>
        <w:t>M1 Medicare Levy Reduction or Exemption 2019</w:t>
      </w:r>
      <w:r w:rsidRPr="00956812">
        <w:rPr>
          <w:rFonts w:ascii="Arial" w:hAnsi="Arial" w:cs="Arial"/>
          <w:spacing w:val="-4"/>
          <w:sz w:val="16"/>
        </w:rPr>
        <w:t>, Australian Taxation Office, https://www.ato.gov.au/Individuals/Tax-return/2019/Tax-return/Medicare-levy-questions-M1-M2/M1-Medicare-levy-reduction-or-exemption-2019/?default (accessed 4 August 2021).</w:t>
      </w:r>
    </w:p>
    <w:p w14:paraId="77F5FDE3" w14:textId="1FB041BD" w:rsidR="006D627C" w:rsidRPr="00956812" w:rsidRDefault="006D627C" w:rsidP="00B950D6">
      <w:pPr>
        <w:pStyle w:val="Bibliography"/>
        <w:spacing w:after="60" w:line="200" w:lineRule="exact"/>
        <w:ind w:left="0" w:firstLine="0"/>
        <w:rPr>
          <w:rFonts w:ascii="Arial" w:hAnsi="Arial" w:cs="Arial"/>
          <w:spacing w:val="-6"/>
          <w:sz w:val="16"/>
        </w:rPr>
      </w:pPr>
      <w:r w:rsidRPr="00956812">
        <w:rPr>
          <w:rFonts w:ascii="Arial" w:hAnsi="Arial" w:cs="Arial"/>
          <w:spacing w:val="-6"/>
          <w:sz w:val="16"/>
        </w:rPr>
        <w:t xml:space="preserve">—— 2020a, </w:t>
      </w:r>
      <w:r w:rsidRPr="00956812">
        <w:rPr>
          <w:rFonts w:ascii="Arial" w:hAnsi="Arial" w:cs="Arial"/>
          <w:i/>
          <w:iCs/>
          <w:spacing w:val="-6"/>
          <w:sz w:val="16"/>
        </w:rPr>
        <w:t>M1 Medicare Levy Reduction or Exemption 2020</w:t>
      </w:r>
      <w:r w:rsidRPr="00956812">
        <w:rPr>
          <w:rFonts w:ascii="Arial" w:hAnsi="Arial" w:cs="Arial"/>
          <w:spacing w:val="-6"/>
          <w:sz w:val="16"/>
        </w:rPr>
        <w:t>, Australian Taxation Office, https://www.ato.gov.au/Individuals/Tax-return/2020/Tax-return/Medicare-levy-questions-M1-M2/M1-</w:t>
      </w:r>
      <w:r w:rsidRPr="00956812">
        <w:rPr>
          <w:rFonts w:ascii="Arial" w:hAnsi="Arial" w:cs="Arial"/>
          <w:spacing w:val="-6"/>
          <w:sz w:val="16"/>
        </w:rPr>
        <w:lastRenderedPageBreak/>
        <w:t>Medicare-levy-reduction-or-exemption-2020/?default (accessed 4 August 2021).</w:t>
      </w:r>
    </w:p>
    <w:p w14:paraId="3319DDEF" w14:textId="729143E5"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2020b, </w:t>
      </w:r>
      <w:r w:rsidRPr="006D627C">
        <w:rPr>
          <w:rFonts w:ascii="Arial" w:hAnsi="Arial" w:cs="Arial"/>
          <w:i/>
          <w:iCs/>
          <w:sz w:val="16"/>
        </w:rPr>
        <w:t>Withdrawing Your Super and Paying Tax</w:t>
      </w:r>
      <w:r w:rsidRPr="006D627C">
        <w:rPr>
          <w:rFonts w:ascii="Arial" w:hAnsi="Arial" w:cs="Arial"/>
          <w:sz w:val="16"/>
        </w:rPr>
        <w:t>, https://www.ato.gov.au/Individuals/Super/In-detail/</w:t>
      </w:r>
      <w:r w:rsidR="00B950D6">
        <w:rPr>
          <w:rFonts w:ascii="Arial" w:hAnsi="Arial" w:cs="Arial"/>
          <w:sz w:val="16"/>
        </w:rPr>
        <w:br/>
      </w:r>
      <w:r w:rsidRPr="006D627C">
        <w:rPr>
          <w:rFonts w:ascii="Arial" w:hAnsi="Arial" w:cs="Arial"/>
          <w:sz w:val="16"/>
        </w:rPr>
        <w:t>Withdrawing-and-using-your-super/Withdrawing-your-super-and-paying-tax/?page=6 (accessed 2 February 2021).</w:t>
      </w:r>
    </w:p>
    <w:p w14:paraId="0263E608" w14:textId="1423CA5B"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2021a, </w:t>
      </w:r>
      <w:r w:rsidRPr="006D627C">
        <w:rPr>
          <w:rFonts w:ascii="Arial" w:hAnsi="Arial" w:cs="Arial"/>
          <w:i/>
          <w:iCs/>
          <w:sz w:val="16"/>
        </w:rPr>
        <w:t>Individual Income Tax for Prior Years</w:t>
      </w:r>
      <w:r w:rsidRPr="006D627C">
        <w:rPr>
          <w:rFonts w:ascii="Arial" w:hAnsi="Arial" w:cs="Arial"/>
          <w:sz w:val="16"/>
        </w:rPr>
        <w:t>, Australian Taxation Office, https://www.ato.gov.au/Rates/Individual-income-tax-for-prior-years/?default (accessed 4 August 2021).</w:t>
      </w:r>
    </w:p>
    <w:p w14:paraId="4D7C69F7" w14:textId="181BF555"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2021b, </w:t>
      </w:r>
      <w:r w:rsidRPr="006D627C">
        <w:rPr>
          <w:rFonts w:ascii="Arial" w:hAnsi="Arial" w:cs="Arial"/>
          <w:i/>
          <w:iCs/>
          <w:sz w:val="16"/>
        </w:rPr>
        <w:t>JobMaker Plan - Bringing Forward the Personal Income Tax Plan</w:t>
      </w:r>
      <w:r w:rsidRPr="006D627C">
        <w:rPr>
          <w:rFonts w:ascii="Arial" w:hAnsi="Arial" w:cs="Arial"/>
          <w:sz w:val="16"/>
        </w:rPr>
        <w:t>, Australian Taxation Office, https://www.ato.gov.au/General/New-legislation/In-detail/Direct-taxes/Income-tax-for-individuals/JobMaker-Plan---bringing-forward-the-Personal-Income-Tax-Plan/?default (accessed 4 August 2021).</w:t>
      </w:r>
    </w:p>
    <w:p w14:paraId="38FA1741" w14:textId="78DE2F14"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2021c, </w:t>
      </w:r>
      <w:r w:rsidRPr="006D627C">
        <w:rPr>
          <w:rFonts w:ascii="Arial" w:hAnsi="Arial" w:cs="Arial"/>
          <w:i/>
          <w:iCs/>
          <w:sz w:val="16"/>
        </w:rPr>
        <w:t>Key Superannuation Rates and Thresholds</w:t>
      </w:r>
      <w:r w:rsidRPr="006D627C">
        <w:rPr>
          <w:rFonts w:ascii="Arial" w:hAnsi="Arial" w:cs="Arial"/>
          <w:sz w:val="16"/>
        </w:rPr>
        <w:t>, Australian Taxation Office, https://www.ato.gov.au/rates/key-superannuation-rates-and-thresholds/?anchor=</w:t>
      </w:r>
      <w:r w:rsidR="00B950D6">
        <w:rPr>
          <w:rFonts w:ascii="Arial" w:hAnsi="Arial" w:cs="Arial"/>
          <w:sz w:val="16"/>
        </w:rPr>
        <w:br/>
      </w:r>
      <w:r w:rsidRPr="006D627C">
        <w:rPr>
          <w:rFonts w:ascii="Arial" w:hAnsi="Arial" w:cs="Arial"/>
          <w:sz w:val="16"/>
        </w:rPr>
        <w:t>Superguaranteepercentage (accessed 4 August 2021).</w:t>
      </w:r>
    </w:p>
    <w:p w14:paraId="6D5AE004" w14:textId="697E4EB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2021d, </w:t>
      </w:r>
      <w:r w:rsidRPr="006D627C">
        <w:rPr>
          <w:rFonts w:ascii="Arial" w:hAnsi="Arial" w:cs="Arial"/>
          <w:i/>
          <w:iCs/>
          <w:sz w:val="16"/>
        </w:rPr>
        <w:t>Medicare Levy Reduction for Low-Income Earners</w:t>
      </w:r>
      <w:r w:rsidRPr="006D627C">
        <w:rPr>
          <w:rFonts w:ascii="Arial" w:hAnsi="Arial" w:cs="Arial"/>
          <w:sz w:val="16"/>
        </w:rPr>
        <w:t>, Australian Taxation Office, https://www.ato.gov.au/</w:t>
      </w:r>
      <w:r w:rsidR="00B950D6">
        <w:rPr>
          <w:rFonts w:ascii="Arial" w:hAnsi="Arial" w:cs="Arial"/>
          <w:sz w:val="16"/>
        </w:rPr>
        <w:br/>
      </w:r>
      <w:r w:rsidRPr="006D627C">
        <w:rPr>
          <w:rFonts w:ascii="Arial" w:hAnsi="Arial" w:cs="Arial"/>
          <w:sz w:val="16"/>
        </w:rPr>
        <w:t>Individuals/Medicare-and-private-health-insurance/Medicare-levy/Medicare-levy-reduction-for-low-income-earners/?default (accessed 4 August 2021).</w:t>
      </w:r>
    </w:p>
    <w:p w14:paraId="5250FDA0" w14:textId="23CF1A59"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2021e, </w:t>
      </w:r>
      <w:r w:rsidRPr="006D627C">
        <w:rPr>
          <w:rFonts w:ascii="Arial" w:hAnsi="Arial" w:cs="Arial"/>
          <w:i/>
          <w:iCs/>
          <w:sz w:val="16"/>
        </w:rPr>
        <w:t>Minimum Annual Payments for Super Income Streams</w:t>
      </w:r>
      <w:r w:rsidRPr="006D627C">
        <w:rPr>
          <w:rFonts w:ascii="Arial" w:hAnsi="Arial" w:cs="Arial"/>
          <w:sz w:val="16"/>
        </w:rPr>
        <w:t>, Australian Taxation Office, https://www.ato.gov.au/</w:t>
      </w:r>
      <w:r w:rsidR="00B950D6">
        <w:rPr>
          <w:rFonts w:ascii="Arial" w:hAnsi="Arial" w:cs="Arial"/>
          <w:sz w:val="16"/>
        </w:rPr>
        <w:br/>
      </w:r>
      <w:r w:rsidRPr="006D627C">
        <w:rPr>
          <w:rFonts w:ascii="Arial" w:hAnsi="Arial" w:cs="Arial"/>
          <w:sz w:val="16"/>
        </w:rPr>
        <w:t>Rates/Key-superannuation-rates-and-thresholds/?page=8 (accessed 4 August 2021).</w:t>
      </w:r>
    </w:p>
    <w:p w14:paraId="081ECCDA" w14:textId="76BD0F4F"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Baker, C. 2014, </w:t>
      </w:r>
      <w:r w:rsidRPr="006D627C">
        <w:rPr>
          <w:rFonts w:ascii="Arial" w:hAnsi="Arial" w:cs="Arial"/>
          <w:i/>
          <w:iCs/>
          <w:sz w:val="16"/>
        </w:rPr>
        <w:t>Encouraging Charitable Bequests by Australians</w:t>
      </w:r>
      <w:r w:rsidRPr="006D627C">
        <w:rPr>
          <w:rFonts w:ascii="Arial" w:hAnsi="Arial" w:cs="Arial"/>
          <w:sz w:val="16"/>
        </w:rPr>
        <w:t>, February, Asia-Pacific Centre for Social Investment and Philanthropy, Swinburne University of Technology, Melbourne, https://www.swinburne.edu.au/</w:t>
      </w:r>
      <w:r w:rsidR="00B950D6">
        <w:rPr>
          <w:rFonts w:ascii="Arial" w:hAnsi="Arial" w:cs="Arial"/>
          <w:sz w:val="16"/>
        </w:rPr>
        <w:br/>
      </w:r>
      <w:r w:rsidRPr="006D627C">
        <w:rPr>
          <w:rFonts w:ascii="Arial" w:hAnsi="Arial" w:cs="Arial"/>
          <w:sz w:val="16"/>
        </w:rPr>
        <w:t>media/swinburneeduau/research/research-centres/csis/</w:t>
      </w:r>
      <w:r w:rsidR="00B950D6">
        <w:rPr>
          <w:rFonts w:ascii="Arial" w:hAnsi="Arial" w:cs="Arial"/>
          <w:sz w:val="16"/>
        </w:rPr>
        <w:br/>
      </w:r>
      <w:r w:rsidRPr="006D627C">
        <w:rPr>
          <w:rFonts w:ascii="Arial" w:hAnsi="Arial" w:cs="Arial"/>
          <w:sz w:val="16"/>
        </w:rPr>
        <w:t>documents/Encouraging-Charitable-Gifts-by-Australians-Baker.pdf (accessed 19 January 2021).</w:t>
      </w:r>
    </w:p>
    <w:p w14:paraId="20A585FD"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Baker, C. and Gilding, M. 2011, ‘Inheritance in Australia: family and charitable distributions from personal estates’, </w:t>
      </w:r>
      <w:r w:rsidRPr="006D627C">
        <w:rPr>
          <w:rFonts w:ascii="Arial" w:hAnsi="Arial" w:cs="Arial"/>
          <w:i/>
          <w:iCs/>
          <w:sz w:val="16"/>
        </w:rPr>
        <w:t>Australian Journal of Social Issues</w:t>
      </w:r>
      <w:r w:rsidRPr="006D627C">
        <w:rPr>
          <w:rFonts w:ascii="Arial" w:hAnsi="Arial" w:cs="Arial"/>
          <w:sz w:val="16"/>
        </w:rPr>
        <w:t>, vol. 46, no. 3, pp. 273–289.</w:t>
      </w:r>
    </w:p>
    <w:p w14:paraId="0911F6A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Barrett, G., Cigdem, M., Whelan, S. and Wood, G. 2015, </w:t>
      </w:r>
      <w:r w:rsidRPr="006D627C">
        <w:rPr>
          <w:rFonts w:ascii="Arial" w:hAnsi="Arial" w:cs="Arial"/>
          <w:i/>
          <w:iCs/>
          <w:sz w:val="16"/>
        </w:rPr>
        <w:t>The Relationship Between Intergenerational Transfers, Housing and Economic Outcomes</w:t>
      </w:r>
      <w:r w:rsidRPr="006D627C">
        <w:rPr>
          <w:rFonts w:ascii="Arial" w:hAnsi="Arial" w:cs="Arial"/>
          <w:sz w:val="16"/>
        </w:rPr>
        <w:t>, October, Final Report No. 250, Australian Housing and Urban Research Institute.</w:t>
      </w:r>
    </w:p>
    <w:p w14:paraId="112F4F6A" w14:textId="77777777" w:rsidR="006D627C" w:rsidRPr="00CD2443" w:rsidRDefault="006D627C" w:rsidP="00B950D6">
      <w:pPr>
        <w:pStyle w:val="Bibliography"/>
        <w:spacing w:after="60" w:line="200" w:lineRule="exact"/>
        <w:ind w:left="0" w:firstLine="0"/>
        <w:rPr>
          <w:rFonts w:ascii="Arial" w:hAnsi="Arial" w:cs="Arial"/>
          <w:spacing w:val="-4"/>
          <w:sz w:val="16"/>
        </w:rPr>
      </w:pPr>
      <w:r w:rsidRPr="00CD2443">
        <w:rPr>
          <w:rFonts w:ascii="Arial" w:hAnsi="Arial" w:cs="Arial"/>
          <w:spacing w:val="-4"/>
          <w:sz w:val="16"/>
        </w:rPr>
        <w:t xml:space="preserve">Basiglio, S., Rossi, M.C. and van Soest, A. 2019, </w:t>
      </w:r>
      <w:r w:rsidRPr="00CD2443">
        <w:rPr>
          <w:rFonts w:ascii="Arial" w:hAnsi="Arial" w:cs="Arial"/>
          <w:i/>
          <w:iCs/>
          <w:spacing w:val="-4"/>
          <w:sz w:val="16"/>
        </w:rPr>
        <w:t>Subjective Inheritance Expectations and Economic Outcomes</w:t>
      </w:r>
      <w:r w:rsidRPr="00CD2443">
        <w:rPr>
          <w:rFonts w:ascii="Arial" w:hAnsi="Arial" w:cs="Arial"/>
          <w:spacing w:val="-4"/>
          <w:sz w:val="16"/>
        </w:rPr>
        <w:t>, Working Paper, 190/19, Center for Research on Pensions and Welfare Policies.</w:t>
      </w:r>
    </w:p>
    <w:p w14:paraId="5F064F93"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Bastian, B., Smith, M., Cheong, B., Pineda, V., Stevenson, M., Hutchison, O., Nargar, M. and Kluth, S. 2017, </w:t>
      </w:r>
      <w:r w:rsidRPr="006D627C">
        <w:rPr>
          <w:rFonts w:ascii="Arial" w:hAnsi="Arial" w:cs="Arial"/>
          <w:i/>
          <w:iCs/>
          <w:sz w:val="16"/>
        </w:rPr>
        <w:t>Development of Treasury’s New Model of Australian Retirement Incomes and Assets: MARIA</w:t>
      </w:r>
      <w:r w:rsidRPr="006D627C">
        <w:rPr>
          <w:rFonts w:ascii="Arial" w:hAnsi="Arial" w:cs="Arial"/>
          <w:sz w:val="16"/>
        </w:rPr>
        <w:t>, Treasury Working Paper, The Treasury.</w:t>
      </w:r>
    </w:p>
    <w:p w14:paraId="1027B1D7"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Beresford Research 2021, </w:t>
      </w:r>
      <w:r w:rsidRPr="006D627C">
        <w:rPr>
          <w:rFonts w:ascii="Arial" w:hAnsi="Arial" w:cs="Arial"/>
          <w:i/>
          <w:iCs/>
          <w:sz w:val="16"/>
        </w:rPr>
        <w:t>Age Range by Generation</w:t>
      </w:r>
      <w:r w:rsidRPr="006D627C">
        <w:rPr>
          <w:rFonts w:ascii="Arial" w:hAnsi="Arial" w:cs="Arial"/>
          <w:sz w:val="16"/>
        </w:rPr>
        <w:t>, Beresford Research, https://www.beresfordresearch.com/age-range-by-generation/ (accessed 19 July 2021).</w:t>
      </w:r>
    </w:p>
    <w:p w14:paraId="5DDE4D1C" w14:textId="2500A45B"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Bergmann, M. 2020, </w:t>
      </w:r>
      <w:r w:rsidRPr="006D627C">
        <w:rPr>
          <w:rFonts w:ascii="Arial" w:hAnsi="Arial" w:cs="Arial"/>
          <w:i/>
          <w:iCs/>
          <w:sz w:val="16"/>
        </w:rPr>
        <w:t>The Determinants of Mortgage Defaults in Australia – Evidence for the Double-trigger Hypothesis</w:t>
      </w:r>
      <w:r w:rsidRPr="006D627C">
        <w:rPr>
          <w:rFonts w:ascii="Arial" w:hAnsi="Arial" w:cs="Arial"/>
          <w:sz w:val="16"/>
        </w:rPr>
        <w:t>, Research Discussion Paper, 2020–03, Reserve Bank of Australia, p. 58, https://www.rba.gov.au/publications/rdp/</w:t>
      </w:r>
      <w:r w:rsidR="00B950D6">
        <w:rPr>
          <w:rFonts w:ascii="Arial" w:hAnsi="Arial" w:cs="Arial"/>
          <w:sz w:val="16"/>
        </w:rPr>
        <w:br/>
      </w:r>
      <w:r w:rsidRPr="006D627C">
        <w:rPr>
          <w:rFonts w:ascii="Arial" w:hAnsi="Arial" w:cs="Arial"/>
          <w:sz w:val="16"/>
        </w:rPr>
        <w:t>2020/pdf/rdp2020-03.pdf (accessed 2 November 2021).</w:t>
      </w:r>
    </w:p>
    <w:p w14:paraId="34411A5E"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Black, S.E., Devereux, P.J., Lundborg, P. and Majlesi, K. 2015, </w:t>
      </w:r>
      <w:r w:rsidRPr="006D627C">
        <w:rPr>
          <w:rFonts w:ascii="Arial" w:hAnsi="Arial" w:cs="Arial"/>
          <w:i/>
          <w:iCs/>
          <w:sz w:val="16"/>
        </w:rPr>
        <w:t>Poor Little Rich Kids? The Determinants of the Intergenerational Transmission of Wealth</w:t>
      </w:r>
      <w:r w:rsidRPr="006D627C">
        <w:rPr>
          <w:rFonts w:ascii="Arial" w:hAnsi="Arial" w:cs="Arial"/>
          <w:sz w:val="16"/>
        </w:rPr>
        <w:t>, Working Paper 21409, National Bureau of Economic Research.</w:t>
      </w:r>
    </w:p>
    <w:p w14:paraId="409D50E7"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Bloxham, P. and Betts, T. 2009, ‘Measures of household wealth for Australia’, </w:t>
      </w:r>
      <w:r w:rsidRPr="006D627C">
        <w:rPr>
          <w:rFonts w:ascii="Arial" w:hAnsi="Arial" w:cs="Arial"/>
          <w:i/>
          <w:iCs/>
          <w:sz w:val="16"/>
        </w:rPr>
        <w:t>Australian Economic Review</w:t>
      </w:r>
      <w:r w:rsidRPr="006D627C">
        <w:rPr>
          <w:rFonts w:ascii="Arial" w:hAnsi="Arial" w:cs="Arial"/>
          <w:sz w:val="16"/>
        </w:rPr>
        <w:t>, vol. 42, no. 2, pp. 217–231.</w:t>
      </w:r>
    </w:p>
    <w:p w14:paraId="6E359611" w14:textId="77777777" w:rsidR="006D627C" w:rsidRPr="00CD2443" w:rsidRDefault="006D627C" w:rsidP="00B950D6">
      <w:pPr>
        <w:pStyle w:val="Bibliography"/>
        <w:spacing w:after="60" w:line="200" w:lineRule="exact"/>
        <w:ind w:left="0" w:firstLine="0"/>
        <w:rPr>
          <w:rFonts w:ascii="Arial" w:hAnsi="Arial" w:cs="Arial"/>
          <w:spacing w:val="-4"/>
          <w:sz w:val="16"/>
        </w:rPr>
      </w:pPr>
      <w:r w:rsidRPr="00CD2443">
        <w:rPr>
          <w:rFonts w:ascii="Arial" w:hAnsi="Arial" w:cs="Arial"/>
          <w:spacing w:val="-4"/>
          <w:sz w:val="16"/>
        </w:rPr>
        <w:t xml:space="preserve">Boserup, S.H., Kopczuk, W. and Kreiner, C.T. 2017, </w:t>
      </w:r>
      <w:r w:rsidRPr="00CD2443">
        <w:rPr>
          <w:rFonts w:ascii="Arial" w:hAnsi="Arial" w:cs="Arial"/>
          <w:i/>
          <w:iCs/>
          <w:spacing w:val="-4"/>
          <w:sz w:val="16"/>
        </w:rPr>
        <w:t>Intergenerational Wealth Formation Over the Life Cycle: Evidence from Danish Wealth Records 1984-2013</w:t>
      </w:r>
      <w:r w:rsidRPr="00CD2443">
        <w:rPr>
          <w:rFonts w:ascii="Arial" w:hAnsi="Arial" w:cs="Arial"/>
          <w:spacing w:val="-4"/>
          <w:sz w:val="16"/>
        </w:rPr>
        <w:t>, Working Paper.</w:t>
      </w:r>
    </w:p>
    <w:p w14:paraId="18CAF673"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Bound, J., Brown, C., Duncan, G.J. and Rodgers, W.L. 1994, ‘Evidence on the validity of cross-sectional and longitudinal labor market data’, University of Chicago Press, </w:t>
      </w:r>
      <w:r w:rsidRPr="006D627C">
        <w:rPr>
          <w:rFonts w:ascii="Arial" w:hAnsi="Arial" w:cs="Arial"/>
          <w:i/>
          <w:iCs/>
          <w:sz w:val="16"/>
        </w:rPr>
        <w:t>Journal of Labor Economics</w:t>
      </w:r>
      <w:r w:rsidRPr="006D627C">
        <w:rPr>
          <w:rFonts w:ascii="Arial" w:hAnsi="Arial" w:cs="Arial"/>
          <w:sz w:val="16"/>
        </w:rPr>
        <w:t>, vol. 12, no. 3, pp. 345–368.</w:t>
      </w:r>
    </w:p>
    <w:p w14:paraId="3D5D5F63"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Bourquin, P., Joyce, R. and Sturrock, D. 2020, </w:t>
      </w:r>
      <w:r w:rsidRPr="006D627C">
        <w:rPr>
          <w:rFonts w:ascii="Arial" w:hAnsi="Arial" w:cs="Arial"/>
          <w:i/>
          <w:iCs/>
          <w:sz w:val="16"/>
        </w:rPr>
        <w:t>Inheritances and Inequality Within Generations</w:t>
      </w:r>
      <w:r w:rsidRPr="006D627C">
        <w:rPr>
          <w:rFonts w:ascii="Arial" w:hAnsi="Arial" w:cs="Arial"/>
          <w:sz w:val="16"/>
        </w:rPr>
        <w:t>, IFS Report, R173, Institute for Fiscal Studies, London.</w:t>
      </w:r>
    </w:p>
    <w:p w14:paraId="422128FD"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 and ——</w:t>
      </w:r>
      <w:r w:rsidR="00B772B6">
        <w:rPr>
          <w:rFonts w:ascii="Arial" w:hAnsi="Arial" w:cs="Arial"/>
          <w:sz w:val="16"/>
        </w:rPr>
        <w:t> </w:t>
      </w:r>
      <w:r w:rsidRPr="006D627C">
        <w:rPr>
          <w:rFonts w:ascii="Arial" w:hAnsi="Arial" w:cs="Arial"/>
          <w:sz w:val="16"/>
        </w:rPr>
        <w:t xml:space="preserve">2021, </w:t>
      </w:r>
      <w:r w:rsidRPr="006D627C">
        <w:rPr>
          <w:rFonts w:ascii="Arial" w:hAnsi="Arial" w:cs="Arial"/>
          <w:i/>
          <w:iCs/>
          <w:sz w:val="16"/>
        </w:rPr>
        <w:t>Inheritances and Inequality Over the Life Cycle: What Will They Mean for Younger Generations?</w:t>
      </w:r>
      <w:r w:rsidRPr="006D627C">
        <w:rPr>
          <w:rFonts w:ascii="Arial" w:hAnsi="Arial" w:cs="Arial"/>
          <w:sz w:val="16"/>
        </w:rPr>
        <w:t>, IFS Report, R188, Institute for Fiscal Studies, London.</w:t>
      </w:r>
    </w:p>
    <w:p w14:paraId="0D2E4B74"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Breunig, R., Cobb-Clark, D., Gørgens, T. and Sartbayeva, A. 2007, </w:t>
      </w:r>
      <w:r w:rsidRPr="006D627C">
        <w:rPr>
          <w:rFonts w:ascii="Arial" w:hAnsi="Arial" w:cs="Arial"/>
          <w:i/>
          <w:iCs/>
          <w:sz w:val="16"/>
        </w:rPr>
        <w:t>User’s Guide to the Youth in Focus Data</w:t>
      </w:r>
      <w:r w:rsidRPr="006D627C">
        <w:rPr>
          <w:rFonts w:ascii="Arial" w:hAnsi="Arial" w:cs="Arial"/>
          <w:sz w:val="16"/>
        </w:rPr>
        <w:t>, 1, Youth in Focus Project Discussion Paper Series.</w:t>
      </w:r>
    </w:p>
    <w:p w14:paraId="441156F0" w14:textId="77777777" w:rsidR="006D627C" w:rsidRPr="00CD2443" w:rsidRDefault="006D627C" w:rsidP="00B950D6">
      <w:pPr>
        <w:pStyle w:val="Bibliography"/>
        <w:spacing w:after="60" w:line="200" w:lineRule="exact"/>
        <w:ind w:left="0" w:firstLine="0"/>
        <w:rPr>
          <w:rFonts w:ascii="Arial" w:hAnsi="Arial" w:cs="Arial"/>
          <w:spacing w:val="-2"/>
          <w:sz w:val="16"/>
        </w:rPr>
      </w:pPr>
      <w:r w:rsidRPr="00CD2443">
        <w:rPr>
          <w:rFonts w:ascii="Arial" w:hAnsi="Arial" w:cs="Arial"/>
          <w:spacing w:val="-2"/>
          <w:sz w:val="16"/>
        </w:rPr>
        <w:t xml:space="preserve">Brimble, M., Hunt, K., Johnson, D. and MacDonald, K. 2017, </w:t>
      </w:r>
      <w:r w:rsidRPr="00CD2443">
        <w:rPr>
          <w:rFonts w:ascii="Arial" w:hAnsi="Arial" w:cs="Arial"/>
          <w:i/>
          <w:iCs/>
          <w:spacing w:val="-2"/>
          <w:sz w:val="16"/>
        </w:rPr>
        <w:t>Intergenerational Wealth Transfer: The Opportunity of Gen X &amp; Y in Australia</w:t>
      </w:r>
      <w:r w:rsidRPr="00CD2443">
        <w:rPr>
          <w:rFonts w:ascii="Arial" w:hAnsi="Arial" w:cs="Arial"/>
          <w:spacing w:val="-2"/>
          <w:sz w:val="16"/>
        </w:rPr>
        <w:t>, Griffith University &amp; No More Practice Education.</w:t>
      </w:r>
    </w:p>
    <w:p w14:paraId="68411F0F"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Carroll, C.D., Overland, J. and Weil, D.N. 2000, ‘Saving and growth with habit formation’, </w:t>
      </w:r>
      <w:r w:rsidRPr="006D627C">
        <w:rPr>
          <w:rFonts w:ascii="Arial" w:hAnsi="Arial" w:cs="Arial"/>
          <w:i/>
          <w:iCs/>
          <w:sz w:val="16"/>
        </w:rPr>
        <w:t>American Economic Review</w:t>
      </w:r>
      <w:r w:rsidRPr="006D627C">
        <w:rPr>
          <w:rFonts w:ascii="Arial" w:hAnsi="Arial" w:cs="Arial"/>
          <w:sz w:val="16"/>
        </w:rPr>
        <w:t>, vol. 90, no. 3, pp. 341–355.</w:t>
      </w:r>
    </w:p>
    <w:p w14:paraId="2551758B"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Causa, O., Woloszko, N. and Leite, D. 2019, </w:t>
      </w:r>
      <w:r w:rsidRPr="006D627C">
        <w:rPr>
          <w:rFonts w:ascii="Arial" w:hAnsi="Arial" w:cs="Arial"/>
          <w:i/>
          <w:iCs/>
          <w:sz w:val="16"/>
        </w:rPr>
        <w:t>Housing, Wealth Accumulation and Wealth Distribution: Evidence and Stylized Facts</w:t>
      </w:r>
      <w:r w:rsidRPr="006D627C">
        <w:rPr>
          <w:rFonts w:ascii="Arial" w:hAnsi="Arial" w:cs="Arial"/>
          <w:sz w:val="16"/>
        </w:rPr>
        <w:t>, Economics Department Working Papers, No. 1588, Organisation for Economic Co-operation and Development.</w:t>
      </w:r>
    </w:p>
    <w:p w14:paraId="411708F9"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CEPAR (Centre of Excellence in Population and Ageing Research) 2019, </w:t>
      </w:r>
      <w:r w:rsidRPr="006D627C">
        <w:rPr>
          <w:rFonts w:ascii="Arial" w:hAnsi="Arial" w:cs="Arial"/>
          <w:i/>
          <w:iCs/>
          <w:sz w:val="16"/>
        </w:rPr>
        <w:t>Housing in an Ageing Australia: Nest and Nest Egg?</w:t>
      </w:r>
      <w:r w:rsidRPr="006D627C">
        <w:rPr>
          <w:rFonts w:ascii="Arial" w:hAnsi="Arial" w:cs="Arial"/>
          <w:sz w:val="16"/>
        </w:rPr>
        <w:t>, CEPAR research brief, November, University of New South Wales.</w:t>
      </w:r>
    </w:p>
    <w:p w14:paraId="2BC00A21"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Cigdem, M. and Whelan, S. 2017, ‘Intergenerational transfers and housing tenure–Australian evidence’, </w:t>
      </w:r>
      <w:r w:rsidRPr="006D627C">
        <w:rPr>
          <w:rFonts w:ascii="Arial" w:hAnsi="Arial" w:cs="Arial"/>
          <w:i/>
          <w:iCs/>
          <w:sz w:val="16"/>
        </w:rPr>
        <w:t>International Journal of Housing Policy</w:t>
      </w:r>
      <w:r w:rsidRPr="006D627C">
        <w:rPr>
          <w:rFonts w:ascii="Arial" w:hAnsi="Arial" w:cs="Arial"/>
          <w:sz w:val="16"/>
        </w:rPr>
        <w:t>, vol. 17, no. 2, pp. 227–248.</w:t>
      </w:r>
    </w:p>
    <w:p w14:paraId="01516D6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Clark, G., Leigh, A. and Pottenger, M. 2020, ‘Frontiers of mobility: Was Australia 1870–2017 a more socially mobile society than England?’, Elsevier, </w:t>
      </w:r>
      <w:r w:rsidRPr="006D627C">
        <w:rPr>
          <w:rFonts w:ascii="Arial" w:hAnsi="Arial" w:cs="Arial"/>
          <w:i/>
          <w:iCs/>
          <w:sz w:val="16"/>
        </w:rPr>
        <w:t>Explorations in Economic History</w:t>
      </w:r>
      <w:r w:rsidRPr="006D627C">
        <w:rPr>
          <w:rFonts w:ascii="Arial" w:hAnsi="Arial" w:cs="Arial"/>
          <w:sz w:val="16"/>
        </w:rPr>
        <w:t>, vol. 76, p. 101327.</w:t>
      </w:r>
    </w:p>
    <w:p w14:paraId="2BDDF077" w14:textId="4DDE7100"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Coates, B. and Chen, T. 2019, </w:t>
      </w:r>
      <w:r w:rsidRPr="006D627C">
        <w:rPr>
          <w:rFonts w:ascii="Arial" w:hAnsi="Arial" w:cs="Arial"/>
          <w:i/>
          <w:iCs/>
          <w:sz w:val="16"/>
        </w:rPr>
        <w:t>Retiree Home Ownership Is About to Plummet. Soon Little More Than Half Will Own Where They Live</w:t>
      </w:r>
      <w:r w:rsidRPr="006D627C">
        <w:rPr>
          <w:rFonts w:ascii="Arial" w:hAnsi="Arial" w:cs="Arial"/>
          <w:sz w:val="16"/>
        </w:rPr>
        <w:t>, The Conversation, http://theconversation.com/</w:t>
      </w:r>
      <w:r w:rsidR="00B950D6">
        <w:rPr>
          <w:rFonts w:ascii="Arial" w:hAnsi="Arial" w:cs="Arial"/>
          <w:sz w:val="16"/>
        </w:rPr>
        <w:br/>
      </w:r>
      <w:r w:rsidRPr="006D627C">
        <w:rPr>
          <w:rFonts w:ascii="Arial" w:hAnsi="Arial" w:cs="Arial"/>
          <w:sz w:val="16"/>
        </w:rPr>
        <w:t>retiree-home-ownership-is-about-to-plummet-soon-little-more-than-half-will-own-where-they-live-115255 (accessed 6</w:t>
      </w:r>
      <w:r w:rsidR="00B950D6">
        <w:rPr>
          <w:rFonts w:ascii="Arial" w:hAnsi="Arial" w:cs="Arial"/>
          <w:sz w:val="16"/>
        </w:rPr>
        <w:t> </w:t>
      </w:r>
      <w:r w:rsidRPr="006D627C">
        <w:rPr>
          <w:rFonts w:ascii="Arial" w:hAnsi="Arial" w:cs="Arial"/>
          <w:sz w:val="16"/>
        </w:rPr>
        <w:t>October 2021).</w:t>
      </w:r>
    </w:p>
    <w:p w14:paraId="7C5ED0FB" w14:textId="3179A64B"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and Nolan, J. 2019, </w:t>
      </w:r>
      <w:r w:rsidRPr="006D627C">
        <w:rPr>
          <w:rFonts w:ascii="Arial" w:hAnsi="Arial" w:cs="Arial"/>
          <w:i/>
          <w:iCs/>
          <w:sz w:val="16"/>
        </w:rPr>
        <w:t>Using the Right Survey to Measure Retiree Spending</w:t>
      </w:r>
      <w:r w:rsidRPr="006D627C">
        <w:rPr>
          <w:rFonts w:ascii="Arial" w:hAnsi="Arial" w:cs="Arial"/>
          <w:sz w:val="16"/>
        </w:rPr>
        <w:t>, Grattan Institute, https://grattan.edu.au/</w:t>
      </w:r>
      <w:r w:rsidR="00B950D6">
        <w:rPr>
          <w:rFonts w:ascii="Arial" w:hAnsi="Arial" w:cs="Arial"/>
          <w:sz w:val="16"/>
        </w:rPr>
        <w:br/>
      </w:r>
      <w:r w:rsidRPr="006D627C">
        <w:rPr>
          <w:rFonts w:ascii="Arial" w:hAnsi="Arial" w:cs="Arial"/>
          <w:sz w:val="16"/>
        </w:rPr>
        <w:t>news/using-the-right-survey-to-measure-retiree-spending/ (accessed 5 August 2021).</w:t>
      </w:r>
    </w:p>
    <w:p w14:paraId="5C842B06"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Cobb-Clark, D. and Gørgens, T. 2011, </w:t>
      </w:r>
      <w:r w:rsidRPr="006D627C">
        <w:rPr>
          <w:rFonts w:ascii="Arial" w:hAnsi="Arial" w:cs="Arial"/>
          <w:i/>
          <w:iCs/>
          <w:sz w:val="16"/>
        </w:rPr>
        <w:t>The Capacity of Families to Support Young Australians: Financial Transfers from Parents, Co-Residence, and Youth Outcomes</w:t>
      </w:r>
      <w:r w:rsidRPr="006D627C">
        <w:rPr>
          <w:rFonts w:ascii="Arial" w:hAnsi="Arial" w:cs="Arial"/>
          <w:sz w:val="16"/>
        </w:rPr>
        <w:t>, 10, Youth in Focus Project Discussion Paper Series.</w:t>
      </w:r>
    </w:p>
    <w:p w14:paraId="557374BF"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CoreLogic 2021, </w:t>
      </w:r>
      <w:r w:rsidRPr="006D627C">
        <w:rPr>
          <w:rFonts w:ascii="Arial" w:hAnsi="Arial" w:cs="Arial"/>
          <w:i/>
          <w:iCs/>
          <w:sz w:val="16"/>
        </w:rPr>
        <w:t>Corelogic: Australia’s Housing Boom Rolls on with National Home Values Lifting Another 2.2% in May</w:t>
      </w:r>
      <w:r w:rsidRPr="006D627C">
        <w:rPr>
          <w:rFonts w:ascii="Arial" w:hAnsi="Arial" w:cs="Arial"/>
          <w:sz w:val="16"/>
        </w:rPr>
        <w:t>, Hedonic Home Value Index.</w:t>
      </w:r>
    </w:p>
    <w:p w14:paraId="4952AEFC"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Crawford, R. and Hood, A. 2016, ‘Lifetime receipt of inheritances and the distribution of wealth in England’, </w:t>
      </w:r>
      <w:r w:rsidRPr="006D627C">
        <w:rPr>
          <w:rFonts w:ascii="Arial" w:hAnsi="Arial" w:cs="Arial"/>
          <w:i/>
          <w:iCs/>
          <w:sz w:val="16"/>
        </w:rPr>
        <w:t>Fiscal Studies</w:t>
      </w:r>
      <w:r w:rsidRPr="006D627C">
        <w:rPr>
          <w:rFonts w:ascii="Arial" w:hAnsi="Arial" w:cs="Arial"/>
          <w:sz w:val="16"/>
        </w:rPr>
        <w:t>, vol. 37, no. 1, pp. 55–75.</w:t>
      </w:r>
    </w:p>
    <w:p w14:paraId="040FCD19" w14:textId="37746695"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lastRenderedPageBreak/>
        <w:t xml:space="preserve">Cutler, H., Gu, Y., Gu, M., Aghdaee, M., Hasan, M. and Shen, C. 2021, </w:t>
      </w:r>
      <w:r w:rsidRPr="006D627C">
        <w:rPr>
          <w:rFonts w:ascii="Arial" w:hAnsi="Arial" w:cs="Arial"/>
          <w:i/>
          <w:iCs/>
          <w:sz w:val="16"/>
        </w:rPr>
        <w:t xml:space="preserve">The </w:t>
      </w:r>
      <w:r w:rsidR="003D2344">
        <w:rPr>
          <w:rFonts w:ascii="Arial" w:hAnsi="Arial" w:cs="Arial"/>
          <w:i/>
          <w:iCs/>
          <w:sz w:val="16"/>
        </w:rPr>
        <w:t>R</w:t>
      </w:r>
      <w:r w:rsidRPr="006D627C">
        <w:rPr>
          <w:rFonts w:ascii="Arial" w:hAnsi="Arial" w:cs="Arial"/>
          <w:i/>
          <w:iCs/>
          <w:sz w:val="16"/>
        </w:rPr>
        <w:t xml:space="preserve">ole of </w:t>
      </w:r>
      <w:r w:rsidR="003D2344">
        <w:rPr>
          <w:rFonts w:ascii="Arial" w:hAnsi="Arial" w:cs="Arial"/>
          <w:i/>
          <w:iCs/>
          <w:sz w:val="16"/>
        </w:rPr>
        <w:t>R</w:t>
      </w:r>
      <w:r w:rsidRPr="006D627C">
        <w:rPr>
          <w:rFonts w:ascii="Arial" w:hAnsi="Arial" w:cs="Arial"/>
          <w:i/>
          <w:iCs/>
          <w:sz w:val="16"/>
        </w:rPr>
        <w:t xml:space="preserve">efundable </w:t>
      </w:r>
      <w:r w:rsidR="003D2344">
        <w:rPr>
          <w:rFonts w:ascii="Arial" w:hAnsi="Arial" w:cs="Arial"/>
          <w:i/>
          <w:iCs/>
          <w:sz w:val="16"/>
        </w:rPr>
        <w:t>A</w:t>
      </w:r>
      <w:r w:rsidRPr="006D627C">
        <w:rPr>
          <w:rFonts w:ascii="Arial" w:hAnsi="Arial" w:cs="Arial"/>
          <w:i/>
          <w:iCs/>
          <w:sz w:val="16"/>
        </w:rPr>
        <w:t xml:space="preserve">ccommodation </w:t>
      </w:r>
      <w:r w:rsidR="003D2344">
        <w:rPr>
          <w:rFonts w:ascii="Arial" w:hAnsi="Arial" w:cs="Arial"/>
          <w:i/>
          <w:iCs/>
          <w:sz w:val="16"/>
        </w:rPr>
        <w:t>D</w:t>
      </w:r>
      <w:r w:rsidRPr="006D627C">
        <w:rPr>
          <w:rFonts w:ascii="Arial" w:hAnsi="Arial" w:cs="Arial"/>
          <w:i/>
          <w:iCs/>
          <w:sz w:val="16"/>
        </w:rPr>
        <w:t>eposits</w:t>
      </w:r>
      <w:r w:rsidRPr="006D627C">
        <w:rPr>
          <w:rFonts w:ascii="Arial" w:hAnsi="Arial" w:cs="Arial"/>
          <w:sz w:val="16"/>
        </w:rPr>
        <w:t>, 24 March, Macquarie University.</w:t>
      </w:r>
    </w:p>
    <w:p w14:paraId="6D3BD97F"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DAE (Deloitte Access Economics) 2020, </w:t>
      </w:r>
      <w:r w:rsidRPr="006D627C">
        <w:rPr>
          <w:rFonts w:ascii="Arial" w:hAnsi="Arial" w:cs="Arial"/>
          <w:i/>
          <w:iCs/>
          <w:sz w:val="16"/>
        </w:rPr>
        <w:t>Aged Care Reform: Projecting Future Impacts</w:t>
      </w:r>
      <w:r w:rsidRPr="006D627C">
        <w:rPr>
          <w:rFonts w:ascii="Arial" w:hAnsi="Arial" w:cs="Arial"/>
          <w:sz w:val="16"/>
        </w:rPr>
        <w:t>, Report for the Royal Commission into Aged Care Quality and Safety.</w:t>
      </w:r>
    </w:p>
    <w:p w14:paraId="2C13DDCA" w14:textId="7C52850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Davies, J. and Shorrocks, A.F. 2000, ‘The distribution of wealth’, in Atkinson, A.B. and Bourguignon, F. (eds), </w:t>
      </w:r>
      <w:r w:rsidRPr="006D627C">
        <w:rPr>
          <w:rFonts w:ascii="Arial" w:hAnsi="Arial" w:cs="Arial"/>
          <w:i/>
          <w:iCs/>
          <w:sz w:val="16"/>
        </w:rPr>
        <w:t>Handbook of Income Distribution</w:t>
      </w:r>
      <w:r w:rsidRPr="006D627C">
        <w:rPr>
          <w:rFonts w:ascii="Arial" w:hAnsi="Arial" w:cs="Arial"/>
          <w:sz w:val="16"/>
        </w:rPr>
        <w:t>, 1st edn, vol 1, Elsevier, pp. 605–675, https://EconPapers.repec.org/RePEc:eee:</w:t>
      </w:r>
      <w:r w:rsidR="00B950D6">
        <w:rPr>
          <w:rFonts w:ascii="Arial" w:hAnsi="Arial" w:cs="Arial"/>
          <w:sz w:val="16"/>
        </w:rPr>
        <w:br/>
      </w:r>
      <w:r w:rsidRPr="006D627C">
        <w:rPr>
          <w:rFonts w:ascii="Arial" w:hAnsi="Arial" w:cs="Arial"/>
          <w:sz w:val="16"/>
        </w:rPr>
        <w:t>incchp:1-11 (accessed 15 September 2021).</w:t>
      </w:r>
    </w:p>
    <w:p w14:paraId="11306394"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De Nardi, M. 2002, </w:t>
      </w:r>
      <w:r w:rsidRPr="006D627C">
        <w:rPr>
          <w:rFonts w:ascii="Arial" w:hAnsi="Arial" w:cs="Arial"/>
          <w:i/>
          <w:iCs/>
          <w:sz w:val="16"/>
        </w:rPr>
        <w:t>Wealth Inequality and Intergenerational Links</w:t>
      </w:r>
      <w:r w:rsidRPr="006D627C">
        <w:rPr>
          <w:rFonts w:ascii="Arial" w:hAnsi="Arial" w:cs="Arial"/>
          <w:sz w:val="16"/>
        </w:rPr>
        <w:t>, Research Department Staff Report, 314, Federal Reserve Bank of Minneapolis.</w:t>
      </w:r>
    </w:p>
    <w:p w14:paraId="0868EC67"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Deutscher, N. and Mazumder, B. 2020, ‘Intergenerational mobility across Australia and the stability of regional estimates’, </w:t>
      </w:r>
      <w:r w:rsidRPr="006D627C">
        <w:rPr>
          <w:rFonts w:ascii="Arial" w:hAnsi="Arial" w:cs="Arial"/>
          <w:i/>
          <w:iCs/>
          <w:sz w:val="16"/>
        </w:rPr>
        <w:t>Labour Economics</w:t>
      </w:r>
      <w:r w:rsidRPr="006D627C">
        <w:rPr>
          <w:rFonts w:ascii="Arial" w:hAnsi="Arial" w:cs="Arial"/>
          <w:sz w:val="16"/>
        </w:rPr>
        <w:t>, vol. 66, p. 101861.</w:t>
      </w:r>
    </w:p>
    <w:p w14:paraId="3C41D168" w14:textId="77777777" w:rsidR="006D627C" w:rsidRPr="00CD2443" w:rsidRDefault="006D627C" w:rsidP="00B950D6">
      <w:pPr>
        <w:pStyle w:val="Bibliography"/>
        <w:spacing w:after="60" w:line="200" w:lineRule="exact"/>
        <w:ind w:left="0" w:firstLine="0"/>
        <w:rPr>
          <w:rFonts w:ascii="Arial" w:hAnsi="Arial" w:cs="Arial"/>
          <w:spacing w:val="-4"/>
          <w:sz w:val="16"/>
        </w:rPr>
      </w:pPr>
      <w:r w:rsidRPr="00CD2443">
        <w:rPr>
          <w:rFonts w:ascii="Arial" w:hAnsi="Arial" w:cs="Arial"/>
          <w:spacing w:val="-4"/>
          <w:sz w:val="16"/>
        </w:rPr>
        <w:t xml:space="preserve">Dimock, M. 2019, </w:t>
      </w:r>
      <w:r w:rsidRPr="00CD2443">
        <w:rPr>
          <w:rFonts w:ascii="Arial" w:hAnsi="Arial" w:cs="Arial"/>
          <w:i/>
          <w:iCs/>
          <w:spacing w:val="-4"/>
          <w:sz w:val="16"/>
        </w:rPr>
        <w:t>Defining Generations: Where Millennials End and Generation Z Begins</w:t>
      </w:r>
      <w:r w:rsidRPr="00CD2443">
        <w:rPr>
          <w:rFonts w:ascii="Arial" w:hAnsi="Arial" w:cs="Arial"/>
          <w:spacing w:val="-4"/>
          <w:sz w:val="16"/>
        </w:rPr>
        <w:t>, Pew Research Center, https://www.pewresearch.org/fact-tank/2019/01/17/where-millennials-end-and-generation-z-begins/ (accessed 19 July 2021).</w:t>
      </w:r>
    </w:p>
    <w:p w14:paraId="440B6024"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DoH (Department of Health) 2021, </w:t>
      </w:r>
      <w:r w:rsidRPr="006D627C">
        <w:rPr>
          <w:rFonts w:ascii="Arial" w:hAnsi="Arial" w:cs="Arial"/>
          <w:i/>
          <w:iCs/>
          <w:sz w:val="16"/>
        </w:rPr>
        <w:t>Schedule of Fees and Charges for Residential and Home Care: From 20 March 2021</w:t>
      </w:r>
      <w:r w:rsidRPr="006D627C">
        <w:rPr>
          <w:rFonts w:ascii="Arial" w:hAnsi="Arial" w:cs="Arial"/>
          <w:sz w:val="16"/>
        </w:rPr>
        <w:t>.</w:t>
      </w:r>
    </w:p>
    <w:p w14:paraId="03742B5C"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Druedahl, J. and Martinello, A. 2017, ‘Long-run saving dynamics: Evidence from unexpected inheritances’, </w:t>
      </w:r>
      <w:r w:rsidRPr="006D627C">
        <w:rPr>
          <w:rFonts w:ascii="Arial" w:hAnsi="Arial" w:cs="Arial"/>
          <w:i/>
          <w:iCs/>
          <w:sz w:val="16"/>
        </w:rPr>
        <w:t>The Review of Economics and Statistics</w:t>
      </w:r>
      <w:r w:rsidRPr="006D627C">
        <w:rPr>
          <w:rFonts w:ascii="Arial" w:hAnsi="Arial" w:cs="Arial"/>
          <w:sz w:val="16"/>
        </w:rPr>
        <w:t>, pp. 1–44.</w:t>
      </w:r>
    </w:p>
    <w:p w14:paraId="1AB01994"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DSS (Department of Social Services) 2020, </w:t>
      </w:r>
      <w:r w:rsidRPr="006D627C">
        <w:rPr>
          <w:rFonts w:ascii="Arial" w:hAnsi="Arial" w:cs="Arial"/>
          <w:i/>
          <w:iCs/>
          <w:sz w:val="16"/>
        </w:rPr>
        <w:t>4.6.3.70 Exempting the Principal Home - Care Situations</w:t>
      </w:r>
      <w:r w:rsidRPr="006D627C">
        <w:rPr>
          <w:rFonts w:ascii="Arial" w:hAnsi="Arial" w:cs="Arial"/>
          <w:sz w:val="16"/>
        </w:rPr>
        <w:t>, Social Security Guide, https://guides.dss.gov.au/guide-social-security-law/4/6/3/70 (accessed 18 August 2021).</w:t>
      </w:r>
    </w:p>
    <w:p w14:paraId="70D1FC3C" w14:textId="77777777" w:rsidR="006D627C" w:rsidRPr="00CD2443" w:rsidRDefault="006D627C" w:rsidP="00B950D6">
      <w:pPr>
        <w:pStyle w:val="Bibliography"/>
        <w:spacing w:after="60" w:line="200" w:lineRule="exact"/>
        <w:ind w:left="0" w:firstLine="0"/>
        <w:rPr>
          <w:rFonts w:ascii="Arial" w:hAnsi="Arial" w:cs="Arial"/>
          <w:spacing w:val="-4"/>
          <w:sz w:val="16"/>
        </w:rPr>
      </w:pPr>
      <w:r w:rsidRPr="00CD2443">
        <w:rPr>
          <w:rFonts w:ascii="Arial" w:hAnsi="Arial" w:cs="Arial"/>
          <w:spacing w:val="-4"/>
          <w:sz w:val="16"/>
        </w:rPr>
        <w:t xml:space="preserve">Elinder, M., Erixson, O. and Ohlsson, H. 2012, ‘The impact of inheritances on heirs’ labor and capital income’, </w:t>
      </w:r>
      <w:r w:rsidRPr="00CD2443">
        <w:rPr>
          <w:rFonts w:ascii="Arial" w:hAnsi="Arial" w:cs="Arial"/>
          <w:i/>
          <w:iCs/>
          <w:spacing w:val="-4"/>
          <w:sz w:val="16"/>
        </w:rPr>
        <w:t>The BE Journal of Economic Analysis &amp; Policy</w:t>
      </w:r>
      <w:r w:rsidRPr="00CD2443">
        <w:rPr>
          <w:rFonts w:ascii="Arial" w:hAnsi="Arial" w:cs="Arial"/>
          <w:spacing w:val="-4"/>
          <w:sz w:val="16"/>
        </w:rPr>
        <w:t>, vol. 12, no. 1, pp. 1–35.</w:t>
      </w:r>
    </w:p>
    <w:p w14:paraId="42C66FD9"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 and Waldenström, D. 2018, ‘Inheritance and wealth inequality: Evidence from population registers’, </w:t>
      </w:r>
      <w:r w:rsidRPr="006D627C">
        <w:rPr>
          <w:rFonts w:ascii="Arial" w:hAnsi="Arial" w:cs="Arial"/>
          <w:i/>
          <w:iCs/>
          <w:sz w:val="16"/>
        </w:rPr>
        <w:t>Journal of Public Economics</w:t>
      </w:r>
      <w:r w:rsidRPr="006D627C">
        <w:rPr>
          <w:rFonts w:ascii="Arial" w:hAnsi="Arial" w:cs="Arial"/>
          <w:sz w:val="16"/>
        </w:rPr>
        <w:t>, vol. 165, pp. 17–30.</w:t>
      </w:r>
    </w:p>
    <w:p w14:paraId="51BDC0F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Evans, A.C. 2019, ‘Why we use private trusts in Australia: The income tax dimension explained’, </w:t>
      </w:r>
      <w:r w:rsidRPr="006D627C">
        <w:rPr>
          <w:rFonts w:ascii="Arial" w:hAnsi="Arial" w:cs="Arial"/>
          <w:i/>
          <w:iCs/>
          <w:sz w:val="16"/>
        </w:rPr>
        <w:t>Sydney Law Review</w:t>
      </w:r>
      <w:r w:rsidRPr="006D627C">
        <w:rPr>
          <w:rFonts w:ascii="Arial" w:hAnsi="Arial" w:cs="Arial"/>
          <w:sz w:val="16"/>
        </w:rPr>
        <w:t>, vol. 41, no. 2, pp. 217–254.</w:t>
      </w:r>
    </w:p>
    <w:p w14:paraId="77A04AC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Fagereng, A., Holm, M.B. and Natvik, G.J.J. 2018, </w:t>
      </w:r>
      <w:r w:rsidRPr="006D627C">
        <w:rPr>
          <w:rFonts w:ascii="Arial" w:hAnsi="Arial" w:cs="Arial"/>
          <w:i/>
          <w:iCs/>
          <w:sz w:val="16"/>
        </w:rPr>
        <w:t>MPC Heterogeneity and Household Balance Sheets</w:t>
      </w:r>
      <w:r w:rsidRPr="006D627C">
        <w:rPr>
          <w:rFonts w:ascii="Arial" w:hAnsi="Arial" w:cs="Arial"/>
          <w:sz w:val="16"/>
        </w:rPr>
        <w:t>, CESifo Working Paper, No. 7134.</w:t>
      </w:r>
    </w:p>
    <w:p w14:paraId="5B616A9D"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Fagereng, A., Mogstad, M. and Ronning, M. 2021, ‘Why do wealthy parents have wealthy children?’, </w:t>
      </w:r>
      <w:r w:rsidRPr="006D627C">
        <w:rPr>
          <w:rFonts w:ascii="Arial" w:hAnsi="Arial" w:cs="Arial"/>
          <w:i/>
          <w:iCs/>
          <w:sz w:val="16"/>
        </w:rPr>
        <w:t>Journal of Political Economy</w:t>
      </w:r>
      <w:r w:rsidRPr="006D627C">
        <w:rPr>
          <w:rFonts w:ascii="Arial" w:hAnsi="Arial" w:cs="Arial"/>
          <w:sz w:val="16"/>
        </w:rPr>
        <w:t>, vol. 129, no. 3, pp. 703–756.</w:t>
      </w:r>
    </w:p>
    <w:p w14:paraId="4343FD66"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Finlay, R. and Price, F. 2014, </w:t>
      </w:r>
      <w:r w:rsidRPr="006D627C">
        <w:rPr>
          <w:rFonts w:ascii="Arial" w:hAnsi="Arial" w:cs="Arial"/>
          <w:i/>
          <w:iCs/>
          <w:sz w:val="16"/>
        </w:rPr>
        <w:t>Household Saving in Australia</w:t>
      </w:r>
      <w:r w:rsidRPr="006D627C">
        <w:rPr>
          <w:rFonts w:ascii="Arial" w:hAnsi="Arial" w:cs="Arial"/>
          <w:sz w:val="16"/>
        </w:rPr>
        <w:t>, Research Discussion Paper, RDP 2014-03, Reserve Bank of Australia, Sydney.</w:t>
      </w:r>
    </w:p>
    <w:p w14:paraId="225D0F4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Goda, T. 2016, ‘Global trends in relative and absolute income inequality’, Universidad EAFIT, </w:t>
      </w:r>
      <w:r w:rsidRPr="006D627C">
        <w:rPr>
          <w:rFonts w:ascii="Arial" w:hAnsi="Arial" w:cs="Arial"/>
          <w:i/>
          <w:iCs/>
          <w:sz w:val="16"/>
        </w:rPr>
        <w:t>Ecos de Economía</w:t>
      </w:r>
      <w:r w:rsidRPr="006D627C">
        <w:rPr>
          <w:rFonts w:ascii="Arial" w:hAnsi="Arial" w:cs="Arial"/>
          <w:sz w:val="16"/>
        </w:rPr>
        <w:t>, vol. 20, no. 42, pp. 46–69.</w:t>
      </w:r>
    </w:p>
    <w:p w14:paraId="671F7C0B"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Goode, A. 2007, </w:t>
      </w:r>
      <w:r w:rsidRPr="006D627C">
        <w:rPr>
          <w:rFonts w:ascii="Arial" w:hAnsi="Arial" w:cs="Arial"/>
          <w:i/>
          <w:iCs/>
          <w:sz w:val="16"/>
        </w:rPr>
        <w:t>Recall Bias in Reported Events: HILDA, Waves 1 - 5</w:t>
      </w:r>
      <w:r w:rsidRPr="006D627C">
        <w:rPr>
          <w:rFonts w:ascii="Arial" w:hAnsi="Arial" w:cs="Arial"/>
          <w:sz w:val="16"/>
        </w:rPr>
        <w:t>, HILDA Project Discussion Paper Series, June, 2/07, The University of Melbourne, p. 31.</w:t>
      </w:r>
    </w:p>
    <w:p w14:paraId="3DE691C1"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Hasell, J. and Roser, M. 2019, </w:t>
      </w:r>
      <w:r w:rsidRPr="006D627C">
        <w:rPr>
          <w:rFonts w:ascii="Arial" w:hAnsi="Arial" w:cs="Arial"/>
          <w:i/>
          <w:iCs/>
          <w:sz w:val="16"/>
        </w:rPr>
        <w:t>How Do We Know the History of Extreme Poverty?</w:t>
      </w:r>
      <w:r w:rsidRPr="006D627C">
        <w:rPr>
          <w:rFonts w:ascii="Arial" w:hAnsi="Arial" w:cs="Arial"/>
          <w:sz w:val="16"/>
        </w:rPr>
        <w:t>, Our World in Data, https://ourworldindata.org/extreme-history-methods (accessed 2 September 2021).</w:t>
      </w:r>
    </w:p>
    <w:p w14:paraId="51727832" w14:textId="2DF4E44E"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Hayes, C. 2008, </w:t>
      </w:r>
      <w:r w:rsidRPr="006D627C">
        <w:rPr>
          <w:rFonts w:ascii="Arial" w:hAnsi="Arial" w:cs="Arial"/>
          <w:i/>
          <w:iCs/>
          <w:sz w:val="16"/>
        </w:rPr>
        <w:t>HILDA Standard Errors: A Users Guide</w:t>
      </w:r>
      <w:r w:rsidRPr="006D627C">
        <w:rPr>
          <w:rFonts w:ascii="Arial" w:hAnsi="Arial" w:cs="Arial"/>
          <w:sz w:val="16"/>
        </w:rPr>
        <w:t>, No.</w:t>
      </w:r>
      <w:r w:rsidR="00B950D6">
        <w:rPr>
          <w:rFonts w:ascii="Arial" w:hAnsi="Arial" w:cs="Arial"/>
          <w:sz w:val="16"/>
        </w:rPr>
        <w:t> </w:t>
      </w:r>
      <w:r w:rsidRPr="006D627C">
        <w:rPr>
          <w:rFonts w:ascii="Arial" w:hAnsi="Arial" w:cs="Arial"/>
          <w:sz w:val="16"/>
        </w:rPr>
        <w:t>2/08, February, HILDA project technical paper series.</w:t>
      </w:r>
    </w:p>
    <w:p w14:paraId="2F7A0343"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Headey, B., Warren, D. and Wooden, M. 2008, </w:t>
      </w:r>
      <w:r w:rsidRPr="006D627C">
        <w:rPr>
          <w:rFonts w:ascii="Arial" w:hAnsi="Arial" w:cs="Arial"/>
          <w:i/>
          <w:iCs/>
          <w:sz w:val="16"/>
        </w:rPr>
        <w:t>The Structure and Distribution of Household Wealth in Australia: Cohort Differences and Retirement Issues</w:t>
      </w:r>
      <w:r w:rsidRPr="006D627C">
        <w:rPr>
          <w:rFonts w:ascii="Arial" w:hAnsi="Arial" w:cs="Arial"/>
          <w:sz w:val="16"/>
        </w:rPr>
        <w:t>, Social Policy Research Paper, 33, Department of Families, Housing, Community Services and Indigenous Affairs.</w:t>
      </w:r>
    </w:p>
    <w:p w14:paraId="76DBE6CC" w14:textId="0942904E"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Hughes, D. 2021, ‘Huge rise in Bank of Mum and Dad loans’, </w:t>
      </w:r>
      <w:r w:rsidRPr="006D627C">
        <w:rPr>
          <w:rFonts w:ascii="Arial" w:hAnsi="Arial" w:cs="Arial"/>
          <w:i/>
          <w:iCs/>
          <w:sz w:val="16"/>
        </w:rPr>
        <w:t>Australian Financial Review</w:t>
      </w:r>
      <w:r w:rsidRPr="006D627C">
        <w:rPr>
          <w:rFonts w:ascii="Arial" w:hAnsi="Arial" w:cs="Arial"/>
          <w:sz w:val="16"/>
        </w:rPr>
        <w:t>, 7 May, https://www.afr.com/</w:t>
      </w:r>
      <w:r w:rsidR="00B950D6">
        <w:rPr>
          <w:rFonts w:ascii="Arial" w:hAnsi="Arial" w:cs="Arial"/>
          <w:sz w:val="16"/>
        </w:rPr>
        <w:br/>
      </w:r>
      <w:r w:rsidRPr="006D627C">
        <w:rPr>
          <w:rFonts w:ascii="Arial" w:hAnsi="Arial" w:cs="Arial"/>
          <w:sz w:val="16"/>
        </w:rPr>
        <w:t>wealth/personal-finance/huge-rise-in-bank-of-mum-and-dad-loans-20210506-p57peh (accessed 4 November 2021).</w:t>
      </w:r>
    </w:p>
    <w:p w14:paraId="6D32088F"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Joulfaian, D. 2006, </w:t>
      </w:r>
      <w:r w:rsidRPr="006D627C">
        <w:rPr>
          <w:rFonts w:ascii="Arial" w:hAnsi="Arial" w:cs="Arial"/>
          <w:i/>
          <w:iCs/>
          <w:sz w:val="16"/>
        </w:rPr>
        <w:t>Inheritance and Saving</w:t>
      </w:r>
      <w:r w:rsidRPr="006D627C">
        <w:rPr>
          <w:rFonts w:ascii="Arial" w:hAnsi="Arial" w:cs="Arial"/>
          <w:sz w:val="16"/>
        </w:rPr>
        <w:t>, Working Paper 12569, National Bureau of Economic Research.</w:t>
      </w:r>
    </w:p>
    <w:p w14:paraId="337F37E2" w14:textId="59183AD9"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Karagiannaki, E. 2017, ‘The impact of inheritance on the distribution of wealth: </w:t>
      </w:r>
      <w:r w:rsidR="00B950D6">
        <w:rPr>
          <w:rFonts w:ascii="Arial" w:hAnsi="Arial" w:cs="Arial"/>
          <w:sz w:val="16"/>
        </w:rPr>
        <w:t>E</w:t>
      </w:r>
      <w:r w:rsidRPr="006D627C">
        <w:rPr>
          <w:rFonts w:ascii="Arial" w:hAnsi="Arial" w:cs="Arial"/>
          <w:sz w:val="16"/>
        </w:rPr>
        <w:t xml:space="preserve">vidence from </w:t>
      </w:r>
      <w:r w:rsidR="00B950D6">
        <w:rPr>
          <w:rFonts w:ascii="Arial" w:hAnsi="Arial" w:cs="Arial"/>
          <w:sz w:val="16"/>
        </w:rPr>
        <w:t>G</w:t>
      </w:r>
      <w:r w:rsidRPr="006D627C">
        <w:rPr>
          <w:rFonts w:ascii="Arial" w:hAnsi="Arial" w:cs="Arial"/>
          <w:sz w:val="16"/>
        </w:rPr>
        <w:t xml:space="preserve">reat </w:t>
      </w:r>
      <w:r w:rsidR="00B950D6">
        <w:rPr>
          <w:rFonts w:ascii="Arial" w:hAnsi="Arial" w:cs="Arial"/>
          <w:sz w:val="16"/>
        </w:rPr>
        <w:t>B</w:t>
      </w:r>
      <w:r w:rsidRPr="006D627C">
        <w:rPr>
          <w:rFonts w:ascii="Arial" w:hAnsi="Arial" w:cs="Arial"/>
          <w:sz w:val="16"/>
        </w:rPr>
        <w:t xml:space="preserve">ritain’, </w:t>
      </w:r>
      <w:r w:rsidRPr="006D627C">
        <w:rPr>
          <w:rFonts w:ascii="Arial" w:hAnsi="Arial" w:cs="Arial"/>
          <w:i/>
          <w:iCs/>
          <w:sz w:val="16"/>
        </w:rPr>
        <w:t>Review of Income and Wealth</w:t>
      </w:r>
      <w:r w:rsidRPr="006D627C">
        <w:rPr>
          <w:rFonts w:ascii="Arial" w:hAnsi="Arial" w:cs="Arial"/>
          <w:sz w:val="16"/>
        </w:rPr>
        <w:t>, vol. 63, no. 2, pp. 394–408.</w:t>
      </w:r>
    </w:p>
    <w:p w14:paraId="328F9C2A"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Katic, P. and Leigh, A. 2016, ‘Top wealth shares in Australia 1915–2012’, </w:t>
      </w:r>
      <w:r w:rsidRPr="006D627C">
        <w:rPr>
          <w:rFonts w:ascii="Arial" w:hAnsi="Arial" w:cs="Arial"/>
          <w:i/>
          <w:iCs/>
          <w:sz w:val="16"/>
        </w:rPr>
        <w:t>Review of Income and Wealth</w:t>
      </w:r>
      <w:r w:rsidRPr="006D627C">
        <w:rPr>
          <w:rFonts w:ascii="Arial" w:hAnsi="Arial" w:cs="Arial"/>
          <w:sz w:val="16"/>
        </w:rPr>
        <w:t>, vol. 62, no. 2, pp. 209–222.</w:t>
      </w:r>
    </w:p>
    <w:p w14:paraId="4A66C08A"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Kohler, M. and van der Merwe, M. 2015, </w:t>
      </w:r>
      <w:r w:rsidRPr="006D627C">
        <w:rPr>
          <w:rFonts w:ascii="Arial" w:hAnsi="Arial" w:cs="Arial"/>
          <w:i/>
          <w:iCs/>
          <w:sz w:val="16"/>
        </w:rPr>
        <w:t>Long-run Trends in Housing Price Growth</w:t>
      </w:r>
      <w:r w:rsidRPr="006D627C">
        <w:rPr>
          <w:rFonts w:ascii="Arial" w:hAnsi="Arial" w:cs="Arial"/>
          <w:sz w:val="16"/>
        </w:rPr>
        <w:t>, Bulletin, September Quarter, Reserve Bank of Australia.</w:t>
      </w:r>
    </w:p>
    <w:p w14:paraId="62F53A5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La Cava, G. 2019, </w:t>
      </w:r>
      <w:r w:rsidRPr="006D627C">
        <w:rPr>
          <w:rFonts w:ascii="Arial" w:hAnsi="Arial" w:cs="Arial"/>
          <w:i/>
          <w:iCs/>
          <w:sz w:val="16"/>
        </w:rPr>
        <w:t>The Labour and Capital Shares of Income in Australia</w:t>
      </w:r>
      <w:r w:rsidRPr="006D627C">
        <w:rPr>
          <w:rFonts w:ascii="Arial" w:hAnsi="Arial" w:cs="Arial"/>
          <w:sz w:val="16"/>
        </w:rPr>
        <w:t>, Bulletin, March, Reserve Bank of Australia.</w:t>
      </w:r>
    </w:p>
    <w:p w14:paraId="74CBC4AA"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Lerman, R.I. and Yitzhaki, S. 1985, ‘Income inequality effects by income source: A new approach and applications to the United States’, JSTOR, </w:t>
      </w:r>
      <w:r w:rsidRPr="006D627C">
        <w:rPr>
          <w:rFonts w:ascii="Arial" w:hAnsi="Arial" w:cs="Arial"/>
          <w:i/>
          <w:iCs/>
          <w:sz w:val="16"/>
        </w:rPr>
        <w:t>The Review of Economics and Statistics</w:t>
      </w:r>
      <w:r w:rsidRPr="006D627C">
        <w:rPr>
          <w:rFonts w:ascii="Arial" w:hAnsi="Arial" w:cs="Arial"/>
          <w:sz w:val="16"/>
        </w:rPr>
        <w:t>, pp. 151–156.</w:t>
      </w:r>
    </w:p>
    <w:p w14:paraId="48449C47"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Lundberg, E. 2020, </w:t>
      </w:r>
      <w:r w:rsidRPr="006D627C">
        <w:rPr>
          <w:rFonts w:ascii="Arial" w:hAnsi="Arial" w:cs="Arial"/>
          <w:i/>
          <w:iCs/>
          <w:sz w:val="16"/>
        </w:rPr>
        <w:t>The Effects of Inheritance Expectation on Current Economic Behavior</w:t>
      </w:r>
      <w:r w:rsidRPr="006D627C">
        <w:rPr>
          <w:rFonts w:ascii="Arial" w:hAnsi="Arial" w:cs="Arial"/>
          <w:sz w:val="16"/>
        </w:rPr>
        <w:t>, Master’s Thesis, Uppsala University.</w:t>
      </w:r>
    </w:p>
    <w:p w14:paraId="0B2C26A3"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McCrindle 2016, </w:t>
      </w:r>
      <w:r w:rsidRPr="006D627C">
        <w:rPr>
          <w:rFonts w:ascii="Arial" w:hAnsi="Arial" w:cs="Arial"/>
          <w:i/>
          <w:iCs/>
          <w:sz w:val="16"/>
        </w:rPr>
        <w:t>Wealth Transfer Report</w:t>
      </w:r>
      <w:r w:rsidRPr="006D627C">
        <w:rPr>
          <w:rFonts w:ascii="Arial" w:hAnsi="Arial" w:cs="Arial"/>
          <w:sz w:val="16"/>
        </w:rPr>
        <w:t>, A report for No More Practice.</w:t>
      </w:r>
    </w:p>
    <w:p w14:paraId="37D302B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McDonald, P. 2020, </w:t>
      </w:r>
      <w:r w:rsidRPr="006D627C">
        <w:rPr>
          <w:rFonts w:ascii="Arial" w:hAnsi="Arial" w:cs="Arial"/>
          <w:i/>
          <w:iCs/>
          <w:sz w:val="16"/>
        </w:rPr>
        <w:t>A Projection of Australia’s Future Fertility Rates</w:t>
      </w:r>
      <w:r w:rsidRPr="006D627C">
        <w:rPr>
          <w:rFonts w:ascii="Arial" w:hAnsi="Arial" w:cs="Arial"/>
          <w:sz w:val="16"/>
        </w:rPr>
        <w:t>, Centre for Population Research Paper, The Australian Government, Canberra.</w:t>
      </w:r>
    </w:p>
    <w:p w14:paraId="351B4B7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Modigliani, F. and Brumberg, R. 1954, ‘Utility analysis and the consumption function: An interpretation of cross-section data’, </w:t>
      </w:r>
      <w:r w:rsidRPr="006D627C">
        <w:rPr>
          <w:rFonts w:ascii="Arial" w:hAnsi="Arial" w:cs="Arial"/>
          <w:i/>
          <w:iCs/>
          <w:sz w:val="16"/>
        </w:rPr>
        <w:t>The Collected Papers of Franco Modigliani</w:t>
      </w:r>
      <w:r w:rsidRPr="006D627C">
        <w:rPr>
          <w:rFonts w:ascii="Arial" w:hAnsi="Arial" w:cs="Arial"/>
          <w:sz w:val="16"/>
        </w:rPr>
        <w:t>, Franco, F. (ed.), vol 6, MIT Press, Cambridge, pp. 3–45.</w:t>
      </w:r>
    </w:p>
    <w:p w14:paraId="732A13A7" w14:textId="14503601"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Mozo 2020, </w:t>
      </w:r>
      <w:r w:rsidRPr="006D627C">
        <w:rPr>
          <w:rFonts w:ascii="Arial" w:hAnsi="Arial" w:cs="Arial"/>
          <w:i/>
          <w:iCs/>
          <w:sz w:val="16"/>
        </w:rPr>
        <w:t>Bank of Mum and Dad report 2020: Meet Australia’s fifth biggest home loan lender</w:t>
      </w:r>
      <w:r w:rsidRPr="006D627C">
        <w:rPr>
          <w:rFonts w:ascii="Arial" w:hAnsi="Arial" w:cs="Arial"/>
          <w:sz w:val="16"/>
        </w:rPr>
        <w:t>, https://mozo.com.au/</w:t>
      </w:r>
      <w:r w:rsidR="00B950D6">
        <w:rPr>
          <w:rFonts w:ascii="Arial" w:hAnsi="Arial" w:cs="Arial"/>
          <w:sz w:val="16"/>
        </w:rPr>
        <w:br/>
      </w:r>
      <w:r w:rsidRPr="006D627C">
        <w:rPr>
          <w:rFonts w:ascii="Arial" w:hAnsi="Arial" w:cs="Arial"/>
          <w:sz w:val="16"/>
        </w:rPr>
        <w:t>home-loans/articles/bank-of-mum-and-and-dad-report-2020 (accessed 10 June 2021).</w:t>
      </w:r>
    </w:p>
    <w:p w14:paraId="3040D33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Murray, C., Clark, R.G., Mendolia, S. and Siminski, P. 2018, ‘Direct measures of intergenerational income mobility for Australia’, </w:t>
      </w:r>
      <w:r w:rsidRPr="006D627C">
        <w:rPr>
          <w:rFonts w:ascii="Arial" w:hAnsi="Arial" w:cs="Arial"/>
          <w:i/>
          <w:iCs/>
          <w:sz w:val="16"/>
        </w:rPr>
        <w:t>Economic Record</w:t>
      </w:r>
      <w:r w:rsidRPr="006D627C">
        <w:rPr>
          <w:rFonts w:ascii="Arial" w:hAnsi="Arial" w:cs="Arial"/>
          <w:sz w:val="16"/>
        </w:rPr>
        <w:t>, vol. 94, no. 307, pp. 445–468.</w:t>
      </w:r>
    </w:p>
    <w:p w14:paraId="41F303CC" w14:textId="6A85EE6F"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National Probate and Estates Group 2021, </w:t>
      </w:r>
      <w:r w:rsidRPr="006D627C">
        <w:rPr>
          <w:rFonts w:ascii="Arial" w:hAnsi="Arial" w:cs="Arial"/>
          <w:i/>
          <w:iCs/>
          <w:sz w:val="16"/>
        </w:rPr>
        <w:t>Costs and Fees</w:t>
      </w:r>
      <w:r w:rsidRPr="006D627C">
        <w:rPr>
          <w:rFonts w:ascii="Arial" w:hAnsi="Arial" w:cs="Arial"/>
          <w:sz w:val="16"/>
        </w:rPr>
        <w:t>, Costs and Fees, https://www.nationalprobate.com.au/vic/</w:t>
      </w:r>
      <w:r w:rsidR="00B950D6">
        <w:rPr>
          <w:rFonts w:ascii="Arial" w:hAnsi="Arial" w:cs="Arial"/>
          <w:sz w:val="16"/>
        </w:rPr>
        <w:br/>
      </w:r>
      <w:r w:rsidRPr="006D627C">
        <w:rPr>
          <w:rFonts w:ascii="Arial" w:hAnsi="Arial" w:cs="Arial"/>
          <w:sz w:val="16"/>
        </w:rPr>
        <w:t>probate/costs (accessed 23 September 2021).</w:t>
      </w:r>
    </w:p>
    <w:p w14:paraId="22E592C3"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Nederhof, A.J. 1985, ‘Methods of coping with social desirability bias: A review’, </w:t>
      </w:r>
      <w:r w:rsidRPr="006D627C">
        <w:rPr>
          <w:rFonts w:ascii="Arial" w:hAnsi="Arial" w:cs="Arial"/>
          <w:i/>
          <w:iCs/>
          <w:sz w:val="16"/>
        </w:rPr>
        <w:t>European Journal of Social Psychology</w:t>
      </w:r>
      <w:r w:rsidRPr="006D627C">
        <w:rPr>
          <w:rFonts w:ascii="Arial" w:hAnsi="Arial" w:cs="Arial"/>
          <w:sz w:val="16"/>
        </w:rPr>
        <w:t>, vol. 15, no. 3, pp. 263–280.</w:t>
      </w:r>
    </w:p>
    <w:p w14:paraId="5C3BFAA9" w14:textId="77777777" w:rsidR="006D627C" w:rsidRPr="00FE3299" w:rsidRDefault="006D627C" w:rsidP="00B950D6">
      <w:pPr>
        <w:pStyle w:val="Bibliography"/>
        <w:spacing w:after="60" w:line="200" w:lineRule="exact"/>
        <w:ind w:left="0" w:firstLine="0"/>
        <w:rPr>
          <w:rFonts w:ascii="Arial" w:hAnsi="Arial" w:cs="Arial"/>
          <w:spacing w:val="-6"/>
          <w:sz w:val="16"/>
        </w:rPr>
      </w:pPr>
      <w:r w:rsidRPr="00FE3299">
        <w:rPr>
          <w:rFonts w:ascii="Arial" w:hAnsi="Arial" w:cs="Arial"/>
          <w:spacing w:val="-6"/>
          <w:sz w:val="16"/>
        </w:rPr>
        <w:t xml:space="preserve">Nekoei, A. and Seim, D. 2019, </w:t>
      </w:r>
      <w:r w:rsidRPr="00FE3299">
        <w:rPr>
          <w:rFonts w:ascii="Arial" w:hAnsi="Arial" w:cs="Arial"/>
          <w:i/>
          <w:iCs/>
          <w:spacing w:val="-6"/>
          <w:sz w:val="16"/>
        </w:rPr>
        <w:t>How Do Inheritances Shape Wealth Inequality? Theory and Evidence from Sweden</w:t>
      </w:r>
      <w:r w:rsidRPr="00FE3299">
        <w:rPr>
          <w:rFonts w:ascii="Arial" w:hAnsi="Arial" w:cs="Arial"/>
          <w:spacing w:val="-6"/>
          <w:sz w:val="16"/>
        </w:rPr>
        <w:t>, Discussion Paper DP13199, Centre for Economic Policy Research.</w:t>
      </w:r>
    </w:p>
    <w:p w14:paraId="040C0B9A"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Niño-Zarazúa, M., Roope, L. and Tarp, F. 2017, ‘Global inequality: Relatively lower, absolutely higher’, </w:t>
      </w:r>
      <w:r w:rsidRPr="006D627C">
        <w:rPr>
          <w:rFonts w:ascii="Arial" w:hAnsi="Arial" w:cs="Arial"/>
          <w:i/>
          <w:iCs/>
          <w:sz w:val="16"/>
        </w:rPr>
        <w:t>Review of Income and Wealth</w:t>
      </w:r>
      <w:r w:rsidRPr="006D627C">
        <w:rPr>
          <w:rFonts w:ascii="Arial" w:hAnsi="Arial" w:cs="Arial"/>
          <w:sz w:val="16"/>
        </w:rPr>
        <w:t>, vol. 63, no. 4, pp. 661–684.</w:t>
      </w:r>
    </w:p>
    <w:p w14:paraId="5D25BD21"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Nolan, B., Palomino, J.C., Van Kerm, P. and Morelli, S. 2021, ‘Intergenerational wealth transfers and wealth inequality in rich countries: What do we learn from Gini decomposition?’, </w:t>
      </w:r>
      <w:r w:rsidRPr="006D627C">
        <w:rPr>
          <w:rFonts w:ascii="Arial" w:hAnsi="Arial" w:cs="Arial"/>
          <w:i/>
          <w:iCs/>
          <w:sz w:val="16"/>
        </w:rPr>
        <w:t>Economics Letters</w:t>
      </w:r>
      <w:r w:rsidRPr="006D627C">
        <w:rPr>
          <w:rFonts w:ascii="Arial" w:hAnsi="Arial" w:cs="Arial"/>
          <w:sz w:val="16"/>
        </w:rPr>
        <w:t>, vol. 199, p. 109701.</w:t>
      </w:r>
    </w:p>
    <w:p w14:paraId="0BD57EF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lastRenderedPageBreak/>
        <w:t xml:space="preserve">OECD (Organisation for Economic Co-operation and Development) 2013, </w:t>
      </w:r>
      <w:r w:rsidRPr="006D627C">
        <w:rPr>
          <w:rFonts w:ascii="Arial" w:hAnsi="Arial" w:cs="Arial"/>
          <w:i/>
          <w:iCs/>
          <w:sz w:val="16"/>
        </w:rPr>
        <w:t>OECD Guidelines for Micro Statistics on Household Wealth</w:t>
      </w:r>
      <w:r w:rsidRPr="006D627C">
        <w:rPr>
          <w:rFonts w:ascii="Arial" w:hAnsi="Arial" w:cs="Arial"/>
          <w:sz w:val="16"/>
        </w:rPr>
        <w:t>, OECD, Paris.</w:t>
      </w:r>
    </w:p>
    <w:p w14:paraId="1873C93B" w14:textId="1FDDD371"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2020, </w:t>
      </w:r>
      <w:r w:rsidRPr="006D627C">
        <w:rPr>
          <w:rFonts w:ascii="Arial" w:hAnsi="Arial" w:cs="Arial"/>
          <w:i/>
          <w:iCs/>
          <w:sz w:val="16"/>
        </w:rPr>
        <w:t>Inheritance Taxation in OECD Countries</w:t>
      </w:r>
      <w:r w:rsidRPr="006D627C">
        <w:rPr>
          <w:rFonts w:ascii="Arial" w:hAnsi="Arial" w:cs="Arial"/>
          <w:sz w:val="16"/>
        </w:rPr>
        <w:t>, Working Party No.2 on Tax Policy Analysis and Tax Statistics.</w:t>
      </w:r>
    </w:p>
    <w:p w14:paraId="2CFBA291" w14:textId="77777777" w:rsidR="006D627C" w:rsidRPr="00CD2443" w:rsidRDefault="006D627C" w:rsidP="00B950D6">
      <w:pPr>
        <w:pStyle w:val="Bibliography"/>
        <w:spacing w:after="60" w:line="200" w:lineRule="exact"/>
        <w:ind w:left="0" w:firstLine="0"/>
        <w:rPr>
          <w:rFonts w:ascii="Arial" w:hAnsi="Arial" w:cs="Arial"/>
          <w:spacing w:val="-4"/>
          <w:sz w:val="16"/>
        </w:rPr>
      </w:pPr>
      <w:r w:rsidRPr="00CD2443">
        <w:rPr>
          <w:rFonts w:ascii="Arial" w:hAnsi="Arial" w:cs="Arial"/>
          <w:spacing w:val="-4"/>
          <w:sz w:val="16"/>
        </w:rPr>
        <w:t xml:space="preserve">Ong, R., Jefferson, T., Wood, G., Haffner, M. and Austen, S. 2013, </w:t>
      </w:r>
      <w:r w:rsidRPr="00CD2443">
        <w:rPr>
          <w:rFonts w:ascii="Arial" w:hAnsi="Arial" w:cs="Arial"/>
          <w:i/>
          <w:iCs/>
          <w:spacing w:val="-4"/>
          <w:sz w:val="16"/>
        </w:rPr>
        <w:t>Housing Equity Withdrawal: Uses, Risks, and Barriers to Alternative Mechanisms in Later Life</w:t>
      </w:r>
      <w:r w:rsidRPr="00CD2443">
        <w:rPr>
          <w:rFonts w:ascii="Arial" w:hAnsi="Arial" w:cs="Arial"/>
          <w:spacing w:val="-4"/>
          <w:sz w:val="16"/>
        </w:rPr>
        <w:t>, AHURI Final Report, 217, Australian Housing and Urban Research Institute, Melbourne.</w:t>
      </w:r>
    </w:p>
    <w:p w14:paraId="4C986F1D"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PC (Productivity Commission) 2014, </w:t>
      </w:r>
      <w:r w:rsidRPr="006D627C">
        <w:rPr>
          <w:rFonts w:ascii="Arial" w:hAnsi="Arial" w:cs="Arial"/>
          <w:i/>
          <w:iCs/>
          <w:sz w:val="16"/>
        </w:rPr>
        <w:t>Modelling the Effects of Childcare Policy Changes</w:t>
      </w:r>
      <w:r w:rsidRPr="006D627C">
        <w:rPr>
          <w:rFonts w:ascii="Arial" w:hAnsi="Arial" w:cs="Arial"/>
          <w:sz w:val="16"/>
        </w:rPr>
        <w:t>, Childcare and Early Childhood Learning: Technical Supplement to the Final Report, Canberra.</w:t>
      </w:r>
    </w:p>
    <w:p w14:paraId="0EEB8E98" w14:textId="0DD411B1"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2015, </w:t>
      </w:r>
      <w:r w:rsidRPr="006D627C">
        <w:rPr>
          <w:rFonts w:ascii="Arial" w:hAnsi="Arial" w:cs="Arial"/>
          <w:i/>
          <w:iCs/>
          <w:sz w:val="16"/>
        </w:rPr>
        <w:t>Superannuation Policy for Post-Retirement</w:t>
      </w:r>
      <w:r w:rsidRPr="006D627C">
        <w:rPr>
          <w:rFonts w:ascii="Arial" w:hAnsi="Arial" w:cs="Arial"/>
          <w:sz w:val="16"/>
        </w:rPr>
        <w:t>, Commission Research Paper, Canberra.</w:t>
      </w:r>
    </w:p>
    <w:p w14:paraId="7DCA15A3" w14:textId="508CD77B"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2018a, </w:t>
      </w:r>
      <w:r w:rsidRPr="006D627C">
        <w:rPr>
          <w:rFonts w:ascii="Arial" w:hAnsi="Arial" w:cs="Arial"/>
          <w:i/>
          <w:iCs/>
          <w:sz w:val="16"/>
        </w:rPr>
        <w:t>Rising inequality? A stocktake of the evidence</w:t>
      </w:r>
      <w:r w:rsidRPr="006D627C">
        <w:rPr>
          <w:rFonts w:ascii="Arial" w:hAnsi="Arial" w:cs="Arial"/>
          <w:sz w:val="16"/>
        </w:rPr>
        <w:t>, Commission Research Paper, Canberra.</w:t>
      </w:r>
    </w:p>
    <w:p w14:paraId="4CAD05CD" w14:textId="4A5C32A0"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2018b, </w:t>
      </w:r>
      <w:r w:rsidRPr="006D627C">
        <w:rPr>
          <w:rFonts w:ascii="Arial" w:hAnsi="Arial" w:cs="Arial"/>
          <w:i/>
          <w:iCs/>
          <w:sz w:val="16"/>
        </w:rPr>
        <w:t>Superannuation: Assessing Efficiency and Competitiveness</w:t>
      </w:r>
      <w:r w:rsidRPr="006D627C">
        <w:rPr>
          <w:rFonts w:ascii="Arial" w:hAnsi="Arial" w:cs="Arial"/>
          <w:sz w:val="16"/>
        </w:rPr>
        <w:t>, Report no. 91, Canberra.</w:t>
      </w:r>
    </w:p>
    <w:p w14:paraId="24C45F6B"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Pedrick, W.H. 1981, ‘Oh, to die down under! Abolition of death and gift duties in Australia’, American Bar Association, </w:t>
      </w:r>
      <w:r w:rsidRPr="006D627C">
        <w:rPr>
          <w:rFonts w:ascii="Arial" w:hAnsi="Arial" w:cs="Arial"/>
          <w:i/>
          <w:iCs/>
          <w:sz w:val="16"/>
        </w:rPr>
        <w:t>The Tax Lawyer</w:t>
      </w:r>
      <w:r w:rsidRPr="006D627C">
        <w:rPr>
          <w:rFonts w:ascii="Arial" w:hAnsi="Arial" w:cs="Arial"/>
          <w:sz w:val="16"/>
        </w:rPr>
        <w:t>, vol. 35, no. 1, pp. 113–141.</w:t>
      </w:r>
    </w:p>
    <w:p w14:paraId="1C8D4C76"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Pencavel, J. 1986, ‘Labor supply of men: a survey’, </w:t>
      </w:r>
      <w:r w:rsidRPr="006D627C">
        <w:rPr>
          <w:rFonts w:ascii="Arial" w:hAnsi="Arial" w:cs="Arial"/>
          <w:i/>
          <w:iCs/>
          <w:sz w:val="16"/>
        </w:rPr>
        <w:t>Handbook of Labor Economics</w:t>
      </w:r>
      <w:r w:rsidRPr="006D627C">
        <w:rPr>
          <w:rFonts w:ascii="Arial" w:hAnsi="Arial" w:cs="Arial"/>
          <w:sz w:val="16"/>
        </w:rPr>
        <w:t>, vol 1, pp. 3–102.</w:t>
      </w:r>
    </w:p>
    <w:p w14:paraId="73BB145E"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Pfeffer, F.T. and Killewald, A. 2015, </w:t>
      </w:r>
      <w:r w:rsidRPr="006D627C">
        <w:rPr>
          <w:rFonts w:ascii="Arial" w:hAnsi="Arial" w:cs="Arial"/>
          <w:i/>
          <w:iCs/>
          <w:sz w:val="16"/>
        </w:rPr>
        <w:t>How Rigid is the Wealth Structure and Why? Inter-and Multigenerational Associations in Family Wealth</w:t>
      </w:r>
      <w:r w:rsidRPr="006D627C">
        <w:rPr>
          <w:rFonts w:ascii="Arial" w:hAnsi="Arial" w:cs="Arial"/>
          <w:sz w:val="16"/>
        </w:rPr>
        <w:t>, Report 15-845, Population Studies Centre.</w:t>
      </w:r>
    </w:p>
    <w:p w14:paraId="6B09619E"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and ——</w:t>
      </w:r>
      <w:r w:rsidR="00B772B6">
        <w:rPr>
          <w:rFonts w:ascii="Arial" w:hAnsi="Arial" w:cs="Arial"/>
          <w:sz w:val="16"/>
        </w:rPr>
        <w:t> </w:t>
      </w:r>
      <w:r w:rsidRPr="006D627C">
        <w:rPr>
          <w:rFonts w:ascii="Arial" w:hAnsi="Arial" w:cs="Arial"/>
          <w:sz w:val="16"/>
        </w:rPr>
        <w:t xml:space="preserve">2018, ‘Generations of advantage. Multigenerational correlations in family wealth’, Oxford University Press, </w:t>
      </w:r>
      <w:r w:rsidRPr="006D627C">
        <w:rPr>
          <w:rFonts w:ascii="Arial" w:hAnsi="Arial" w:cs="Arial"/>
          <w:i/>
          <w:iCs/>
          <w:sz w:val="16"/>
        </w:rPr>
        <w:t>Social Forces</w:t>
      </w:r>
      <w:r w:rsidRPr="006D627C">
        <w:rPr>
          <w:rFonts w:ascii="Arial" w:hAnsi="Arial" w:cs="Arial"/>
          <w:sz w:val="16"/>
        </w:rPr>
        <w:t>, vol. 96, no. 4, pp. 1411–1442.</w:t>
      </w:r>
    </w:p>
    <w:p w14:paraId="61F2D3D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Piketty, T. 2011, ‘On the long-run evolution of inheritance: France 1820–2050’, </w:t>
      </w:r>
      <w:r w:rsidRPr="006D627C">
        <w:rPr>
          <w:rFonts w:ascii="Arial" w:hAnsi="Arial" w:cs="Arial"/>
          <w:i/>
          <w:iCs/>
          <w:sz w:val="16"/>
        </w:rPr>
        <w:t>The Quarterly Journal of Economics</w:t>
      </w:r>
      <w:r w:rsidRPr="006D627C">
        <w:rPr>
          <w:rFonts w:ascii="Arial" w:hAnsi="Arial" w:cs="Arial"/>
          <w:sz w:val="16"/>
        </w:rPr>
        <w:t>, vol. 126, no. 3, pp. 1071–1131.</w:t>
      </w:r>
    </w:p>
    <w:p w14:paraId="3BB50F0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w:t>
      </w:r>
      <w:r w:rsidR="00B772B6">
        <w:rPr>
          <w:rFonts w:ascii="Arial" w:hAnsi="Arial" w:cs="Arial"/>
          <w:sz w:val="16"/>
        </w:rPr>
        <w:t> </w:t>
      </w:r>
      <w:r w:rsidRPr="006D627C">
        <w:rPr>
          <w:rFonts w:ascii="Arial" w:hAnsi="Arial" w:cs="Arial"/>
          <w:sz w:val="16"/>
        </w:rPr>
        <w:t xml:space="preserve">2014, </w:t>
      </w:r>
      <w:r w:rsidRPr="006D627C">
        <w:rPr>
          <w:rFonts w:ascii="Arial" w:hAnsi="Arial" w:cs="Arial"/>
          <w:i/>
          <w:iCs/>
          <w:sz w:val="16"/>
        </w:rPr>
        <w:t>Capital in the Twenty-First Century</w:t>
      </w:r>
      <w:r w:rsidRPr="006D627C">
        <w:rPr>
          <w:rFonts w:ascii="Arial" w:hAnsi="Arial" w:cs="Arial"/>
          <w:sz w:val="16"/>
        </w:rPr>
        <w:t>, The Belknap Press of Harvard University Press, Cambridge Massachusetts.</w:t>
      </w:r>
    </w:p>
    <w:p w14:paraId="2C0D92E6"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Polidano, C., Carter, A., Chan, M., Chigavazira, A., To, H., Holland, J., Nguyen, S., Vu, H. and Wilkins, R. 2020, </w:t>
      </w:r>
      <w:r w:rsidRPr="006D627C">
        <w:rPr>
          <w:rFonts w:ascii="Arial" w:hAnsi="Arial" w:cs="Arial"/>
          <w:i/>
          <w:iCs/>
          <w:sz w:val="16"/>
        </w:rPr>
        <w:t>The ATO Longitudinal Information Files (ALife): A New Resource for Retirement Policy Research</w:t>
      </w:r>
      <w:r w:rsidRPr="006D627C">
        <w:rPr>
          <w:rFonts w:ascii="Arial" w:hAnsi="Arial" w:cs="Arial"/>
          <w:sz w:val="16"/>
        </w:rPr>
        <w:t>, TTPI Working Paper, 2/2020, Tax and Transfer Policy Institute.</w:t>
      </w:r>
    </w:p>
    <w:p w14:paraId="1FC94CDC"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Pya, N. 2021, </w:t>
      </w:r>
      <w:r w:rsidRPr="006D627C">
        <w:rPr>
          <w:rFonts w:ascii="Arial" w:hAnsi="Arial" w:cs="Arial"/>
          <w:i/>
          <w:iCs/>
          <w:sz w:val="16"/>
        </w:rPr>
        <w:t>Package ‘scam’</w:t>
      </w:r>
      <w:r w:rsidRPr="006D627C">
        <w:rPr>
          <w:rFonts w:ascii="Arial" w:hAnsi="Arial" w:cs="Arial"/>
          <w:sz w:val="16"/>
        </w:rPr>
        <w:t>, Version 1.2-11.</w:t>
      </w:r>
    </w:p>
    <w:p w14:paraId="08965C7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Rice Warner 2021, </w:t>
      </w:r>
      <w:r w:rsidRPr="006D627C">
        <w:rPr>
          <w:rFonts w:ascii="Arial" w:hAnsi="Arial" w:cs="Arial"/>
          <w:i/>
          <w:iCs/>
          <w:sz w:val="16"/>
        </w:rPr>
        <w:t>Using Retirement Funds More Efficiently</w:t>
      </w:r>
      <w:r w:rsidRPr="006D627C">
        <w:rPr>
          <w:rFonts w:ascii="Arial" w:hAnsi="Arial" w:cs="Arial"/>
          <w:sz w:val="16"/>
        </w:rPr>
        <w:t>, Rice Warner, https://www.ricewarner.com/using-retirement-funds-more-efficiently/ (accessed 9 April 2021).</w:t>
      </w:r>
    </w:p>
    <w:p w14:paraId="0B65A164"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Rigobon, R. and Stoker, T.M. 2007, ‘Estimation with censored regressors: Basic issues’, Wiley Online Library, </w:t>
      </w:r>
      <w:r w:rsidRPr="006D627C">
        <w:rPr>
          <w:rFonts w:ascii="Arial" w:hAnsi="Arial" w:cs="Arial"/>
          <w:i/>
          <w:iCs/>
          <w:sz w:val="16"/>
        </w:rPr>
        <w:t>International Economic Review</w:t>
      </w:r>
      <w:r w:rsidRPr="006D627C">
        <w:rPr>
          <w:rFonts w:ascii="Arial" w:hAnsi="Arial" w:cs="Arial"/>
          <w:sz w:val="16"/>
        </w:rPr>
        <w:t>, vol. 48, no. 4, pp. 1441–1467.</w:t>
      </w:r>
    </w:p>
    <w:p w14:paraId="54ED253C"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Roach, J. 2018, </w:t>
      </w:r>
      <w:r w:rsidRPr="006D627C">
        <w:rPr>
          <w:rFonts w:ascii="Arial" w:hAnsi="Arial" w:cs="Arial"/>
          <w:i/>
          <w:iCs/>
          <w:sz w:val="16"/>
        </w:rPr>
        <w:t>Costing an Inter-Generational Transfer Tax</w:t>
      </w:r>
      <w:r w:rsidRPr="006D627C">
        <w:rPr>
          <w:rFonts w:ascii="Arial" w:hAnsi="Arial" w:cs="Arial"/>
          <w:sz w:val="16"/>
        </w:rPr>
        <w:t>.</w:t>
      </w:r>
    </w:p>
    <w:p w14:paraId="28BA599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Saunders, T. and Tulip, P. 2019, </w:t>
      </w:r>
      <w:r w:rsidRPr="006D627C">
        <w:rPr>
          <w:rFonts w:ascii="Arial" w:hAnsi="Arial" w:cs="Arial"/>
          <w:i/>
          <w:iCs/>
          <w:sz w:val="16"/>
        </w:rPr>
        <w:t>A Model of the Australian Housing Market</w:t>
      </w:r>
      <w:r w:rsidRPr="006D627C">
        <w:rPr>
          <w:rFonts w:ascii="Arial" w:hAnsi="Arial" w:cs="Arial"/>
          <w:sz w:val="16"/>
        </w:rPr>
        <w:t>, Research Discussion Paper, March, Reserve Bank of Australia.</w:t>
      </w:r>
    </w:p>
    <w:p w14:paraId="100B09AA" w14:textId="77777777" w:rsidR="006D627C" w:rsidRPr="00CD2443" w:rsidRDefault="006D627C" w:rsidP="00B950D6">
      <w:pPr>
        <w:pStyle w:val="Bibliography"/>
        <w:spacing w:after="60" w:line="200" w:lineRule="exact"/>
        <w:ind w:left="0" w:firstLine="0"/>
        <w:rPr>
          <w:rFonts w:ascii="Arial" w:hAnsi="Arial" w:cs="Arial"/>
          <w:spacing w:val="-4"/>
          <w:sz w:val="16"/>
        </w:rPr>
      </w:pPr>
      <w:r w:rsidRPr="00CD2443">
        <w:rPr>
          <w:rFonts w:ascii="Arial" w:hAnsi="Arial" w:cs="Arial"/>
          <w:spacing w:val="-4"/>
          <w:sz w:val="16"/>
        </w:rPr>
        <w:t xml:space="preserve">SCRGSP (Steering Committee for the Review of Government Service Provision) 2021a, </w:t>
      </w:r>
      <w:r w:rsidRPr="00CD2443">
        <w:rPr>
          <w:rFonts w:ascii="Arial" w:hAnsi="Arial" w:cs="Arial"/>
          <w:i/>
          <w:iCs/>
          <w:spacing w:val="-4"/>
          <w:sz w:val="16"/>
        </w:rPr>
        <w:t>Report on Government Services 2021 - Part C Justice</w:t>
      </w:r>
      <w:r w:rsidRPr="00CD2443">
        <w:rPr>
          <w:rFonts w:ascii="Arial" w:hAnsi="Arial" w:cs="Arial"/>
          <w:spacing w:val="-4"/>
          <w:sz w:val="16"/>
        </w:rPr>
        <w:t>, Productivity Commission, Canberra, 22 January.</w:t>
      </w:r>
    </w:p>
    <w:p w14:paraId="127E6726" w14:textId="5B41A463"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 2021b, </w:t>
      </w:r>
      <w:r w:rsidRPr="006D627C">
        <w:rPr>
          <w:rFonts w:ascii="Arial" w:hAnsi="Arial" w:cs="Arial"/>
          <w:i/>
          <w:iCs/>
          <w:sz w:val="16"/>
        </w:rPr>
        <w:t>Report on Government Services 2021</w:t>
      </w:r>
      <w:r w:rsidRPr="006D627C">
        <w:rPr>
          <w:rFonts w:ascii="Arial" w:hAnsi="Arial" w:cs="Arial"/>
          <w:sz w:val="16"/>
        </w:rPr>
        <w:t>, Productivity Commission, Canberra.</w:t>
      </w:r>
    </w:p>
    <w:p w14:paraId="1647CC9D" w14:textId="77777777" w:rsidR="006D627C" w:rsidRPr="00CD2443" w:rsidRDefault="006D627C" w:rsidP="00B950D6">
      <w:pPr>
        <w:pStyle w:val="Bibliography"/>
        <w:spacing w:after="60" w:line="200" w:lineRule="exact"/>
        <w:ind w:left="0" w:firstLine="0"/>
        <w:rPr>
          <w:rFonts w:ascii="Arial" w:hAnsi="Arial" w:cs="Arial"/>
          <w:spacing w:val="-4"/>
          <w:sz w:val="16"/>
        </w:rPr>
      </w:pPr>
      <w:r w:rsidRPr="00CD2443">
        <w:rPr>
          <w:rFonts w:ascii="Arial" w:hAnsi="Arial" w:cs="Arial"/>
          <w:spacing w:val="-4"/>
          <w:sz w:val="16"/>
        </w:rPr>
        <w:t xml:space="preserve">Siminski, P. and Yu, S.H. 2021, </w:t>
      </w:r>
      <w:r w:rsidRPr="00CD2443">
        <w:rPr>
          <w:rFonts w:ascii="Arial" w:hAnsi="Arial" w:cs="Arial"/>
          <w:i/>
          <w:iCs/>
          <w:spacing w:val="-4"/>
          <w:sz w:val="16"/>
        </w:rPr>
        <w:t>The Correlation of Wealth Between Parents and Children in Australia</w:t>
      </w:r>
      <w:r w:rsidRPr="00CD2443">
        <w:rPr>
          <w:rFonts w:ascii="Arial" w:hAnsi="Arial" w:cs="Arial"/>
          <w:spacing w:val="-4"/>
          <w:sz w:val="16"/>
        </w:rPr>
        <w:t>, IZA Discussion Paper.</w:t>
      </w:r>
    </w:p>
    <w:p w14:paraId="5B81522A"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Simon, J. and Stone, T. 2017, </w:t>
      </w:r>
      <w:r w:rsidRPr="006D627C">
        <w:rPr>
          <w:rFonts w:ascii="Arial" w:hAnsi="Arial" w:cs="Arial"/>
          <w:i/>
          <w:iCs/>
          <w:sz w:val="16"/>
        </w:rPr>
        <w:t>The Property Ladder after the Financial Crisis: The First Step is a Stretch but Those Who Make It Are Doing OK</w:t>
      </w:r>
      <w:r w:rsidRPr="006D627C">
        <w:rPr>
          <w:rFonts w:ascii="Arial" w:hAnsi="Arial" w:cs="Arial"/>
          <w:sz w:val="16"/>
        </w:rPr>
        <w:t>, Research Discussion Paper, 2017–05, Reserve Bank of Australia.</w:t>
      </w:r>
    </w:p>
    <w:p w14:paraId="0B39F8C4"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Stensholt, J. 2018, ‘2018 AFR Rich List: Who are Australia’s richest people?’, </w:t>
      </w:r>
      <w:r w:rsidRPr="006D627C">
        <w:rPr>
          <w:rFonts w:ascii="Arial" w:hAnsi="Arial" w:cs="Arial"/>
          <w:i/>
          <w:iCs/>
          <w:sz w:val="16"/>
        </w:rPr>
        <w:t>Australian Financial Review</w:t>
      </w:r>
      <w:r w:rsidRPr="006D627C">
        <w:rPr>
          <w:rFonts w:ascii="Arial" w:hAnsi="Arial" w:cs="Arial"/>
          <w:sz w:val="16"/>
        </w:rPr>
        <w:t>, 24 May, https://www.afr.com/life-and-luxury/rich-list-overview-20180413-h0yqo5 (accessed 9 April 2021).</w:t>
      </w:r>
    </w:p>
    <w:p w14:paraId="4A093312"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Strategic Intelligence 2014, </w:t>
      </w:r>
      <w:r w:rsidRPr="006D627C">
        <w:rPr>
          <w:rFonts w:ascii="Arial" w:hAnsi="Arial" w:cs="Arial"/>
          <w:i/>
          <w:iCs/>
          <w:sz w:val="16"/>
        </w:rPr>
        <w:t>Analysis of the Funeral Insurance Sector in Australia</w:t>
      </w:r>
      <w:r w:rsidRPr="006D627C">
        <w:rPr>
          <w:rFonts w:ascii="Arial" w:hAnsi="Arial" w:cs="Arial"/>
          <w:sz w:val="16"/>
        </w:rPr>
        <w:t>, April, p. 30.</w:t>
      </w:r>
    </w:p>
    <w:p w14:paraId="5DF91866" w14:textId="77777777" w:rsidR="006D627C" w:rsidRPr="009B75C4" w:rsidRDefault="006D627C" w:rsidP="00B950D6">
      <w:pPr>
        <w:pStyle w:val="Bibliography"/>
        <w:spacing w:after="60" w:line="200" w:lineRule="exact"/>
        <w:ind w:left="0" w:firstLine="0"/>
        <w:rPr>
          <w:rFonts w:ascii="Arial" w:hAnsi="Arial" w:cs="Arial"/>
          <w:spacing w:val="-2"/>
          <w:sz w:val="16"/>
        </w:rPr>
      </w:pPr>
      <w:r w:rsidRPr="009B75C4">
        <w:rPr>
          <w:rFonts w:ascii="Arial" w:hAnsi="Arial" w:cs="Arial"/>
          <w:spacing w:val="-2"/>
          <w:sz w:val="16"/>
        </w:rPr>
        <w:t xml:space="preserve">Summerfield, M., Garrard, B., Hahn, M., Jin, Y., Kamath, R., Macalalad, N., Watson, N., Wilkins, R. and Wooden, M. 2020, </w:t>
      </w:r>
      <w:r w:rsidRPr="009B75C4">
        <w:rPr>
          <w:rFonts w:ascii="Arial" w:hAnsi="Arial" w:cs="Arial"/>
          <w:i/>
          <w:iCs/>
          <w:spacing w:val="-2"/>
          <w:sz w:val="16"/>
        </w:rPr>
        <w:t>HILDA User Manual Release 19</w:t>
      </w:r>
      <w:r w:rsidRPr="009B75C4">
        <w:rPr>
          <w:rFonts w:ascii="Arial" w:hAnsi="Arial" w:cs="Arial"/>
          <w:spacing w:val="-2"/>
          <w:sz w:val="16"/>
        </w:rPr>
        <w:t>, Melbourne Institute: Applied Economic and Social Research, University of Melbourne, p. 233.</w:t>
      </w:r>
    </w:p>
    <w:p w14:paraId="3829D93F" w14:textId="77777777" w:rsidR="006D627C" w:rsidRPr="009B75C4" w:rsidRDefault="006D627C" w:rsidP="00B950D6">
      <w:pPr>
        <w:pStyle w:val="Bibliography"/>
        <w:spacing w:after="60" w:line="200" w:lineRule="exact"/>
        <w:ind w:left="0" w:firstLine="0"/>
        <w:rPr>
          <w:rFonts w:ascii="Arial" w:hAnsi="Arial" w:cs="Arial"/>
          <w:spacing w:val="-6"/>
          <w:sz w:val="16"/>
        </w:rPr>
      </w:pPr>
      <w:r w:rsidRPr="009B75C4">
        <w:rPr>
          <w:rFonts w:ascii="Arial" w:hAnsi="Arial" w:cs="Arial"/>
          <w:spacing w:val="-6"/>
          <w:sz w:val="16"/>
        </w:rPr>
        <w:t xml:space="preserve">Temple, J.B., McDonald, P.F. and Rice, J.M. 2017, ‘Net assets available at age of death in Australia: An extension of the National Transfer Accounts methodology’, </w:t>
      </w:r>
      <w:r w:rsidRPr="009B75C4">
        <w:rPr>
          <w:rFonts w:ascii="Arial" w:hAnsi="Arial" w:cs="Arial"/>
          <w:i/>
          <w:iCs/>
          <w:spacing w:val="-6"/>
          <w:sz w:val="16"/>
        </w:rPr>
        <w:t>Population Review</w:t>
      </w:r>
      <w:r w:rsidRPr="009B75C4">
        <w:rPr>
          <w:rFonts w:ascii="Arial" w:hAnsi="Arial" w:cs="Arial"/>
          <w:spacing w:val="-6"/>
          <w:sz w:val="16"/>
        </w:rPr>
        <w:t>, vol. 56, no. 2.</w:t>
      </w:r>
    </w:p>
    <w:p w14:paraId="388017B6"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The Commonwealth of Australia 2021a, </w:t>
      </w:r>
      <w:r w:rsidRPr="006D627C">
        <w:rPr>
          <w:rFonts w:ascii="Arial" w:hAnsi="Arial" w:cs="Arial"/>
          <w:i/>
          <w:iCs/>
          <w:sz w:val="16"/>
        </w:rPr>
        <w:t>2021 Intergenerational Report: Australia Over the Next 40 Years</w:t>
      </w:r>
      <w:r w:rsidRPr="006D627C">
        <w:rPr>
          <w:rFonts w:ascii="Arial" w:hAnsi="Arial" w:cs="Arial"/>
          <w:sz w:val="16"/>
        </w:rPr>
        <w:t>, Canberra.</w:t>
      </w:r>
    </w:p>
    <w:p w14:paraId="251A621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w:t>
      </w:r>
      <w:r w:rsidR="00B772B6">
        <w:rPr>
          <w:rFonts w:ascii="Arial" w:hAnsi="Arial" w:cs="Arial"/>
          <w:sz w:val="16"/>
        </w:rPr>
        <w:t> </w:t>
      </w:r>
      <w:r w:rsidRPr="006D627C">
        <w:rPr>
          <w:rFonts w:ascii="Arial" w:hAnsi="Arial" w:cs="Arial"/>
          <w:sz w:val="16"/>
        </w:rPr>
        <w:t xml:space="preserve">2021b, </w:t>
      </w:r>
      <w:r w:rsidRPr="006D627C">
        <w:rPr>
          <w:rFonts w:ascii="Arial" w:hAnsi="Arial" w:cs="Arial"/>
          <w:i/>
          <w:iCs/>
          <w:sz w:val="16"/>
        </w:rPr>
        <w:t>Budget Strategy and Outlook, Budget Paper No. 1, 2021–22</w:t>
      </w:r>
      <w:r w:rsidRPr="006D627C">
        <w:rPr>
          <w:rFonts w:ascii="Arial" w:hAnsi="Arial" w:cs="Arial"/>
          <w:sz w:val="16"/>
        </w:rPr>
        <w:t>, Canberra.</w:t>
      </w:r>
    </w:p>
    <w:p w14:paraId="0031859E"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The Treasury 2015, </w:t>
      </w:r>
      <w:r w:rsidRPr="006D627C">
        <w:rPr>
          <w:rFonts w:ascii="Arial" w:hAnsi="Arial" w:cs="Arial"/>
          <w:i/>
          <w:iCs/>
          <w:sz w:val="16"/>
        </w:rPr>
        <w:t>The RIMGROUP Model</w:t>
      </w:r>
      <w:r w:rsidRPr="006D627C">
        <w:rPr>
          <w:rFonts w:ascii="Arial" w:hAnsi="Arial" w:cs="Arial"/>
          <w:sz w:val="16"/>
        </w:rPr>
        <w:t>, The Treasury, https://treasury.gov.au/publication/projecting-the-distributions-of-superannuation-flows-and-assets/the-rimgroup-model (accessed 30 April 2021).</w:t>
      </w:r>
    </w:p>
    <w:p w14:paraId="06DFA48A" w14:textId="77777777" w:rsidR="006D627C" w:rsidRPr="009B75C4" w:rsidRDefault="006D627C" w:rsidP="00B950D6">
      <w:pPr>
        <w:pStyle w:val="Bibliography"/>
        <w:spacing w:after="60" w:line="200" w:lineRule="exact"/>
        <w:ind w:left="0" w:firstLine="0"/>
        <w:rPr>
          <w:rFonts w:ascii="Arial" w:hAnsi="Arial" w:cs="Arial"/>
          <w:spacing w:val="-2"/>
          <w:sz w:val="16"/>
        </w:rPr>
      </w:pPr>
      <w:r w:rsidRPr="009B75C4">
        <w:rPr>
          <w:rFonts w:ascii="Arial" w:hAnsi="Arial" w:cs="Arial"/>
          <w:spacing w:val="-2"/>
          <w:sz w:val="16"/>
        </w:rPr>
        <w:t>——</w:t>
      </w:r>
      <w:r w:rsidR="00B772B6" w:rsidRPr="009B75C4">
        <w:rPr>
          <w:rFonts w:ascii="Arial" w:hAnsi="Arial" w:cs="Arial"/>
          <w:spacing w:val="-2"/>
          <w:sz w:val="16"/>
        </w:rPr>
        <w:t> </w:t>
      </w:r>
      <w:r w:rsidRPr="009B75C4">
        <w:rPr>
          <w:rFonts w:ascii="Arial" w:hAnsi="Arial" w:cs="Arial"/>
          <w:spacing w:val="-2"/>
          <w:sz w:val="16"/>
        </w:rPr>
        <w:t xml:space="preserve">2020, </w:t>
      </w:r>
      <w:r w:rsidRPr="009B75C4">
        <w:rPr>
          <w:rFonts w:ascii="Arial" w:hAnsi="Arial" w:cs="Arial"/>
          <w:i/>
          <w:iCs/>
          <w:spacing w:val="-2"/>
          <w:sz w:val="16"/>
        </w:rPr>
        <w:t>Retirement Income Review</w:t>
      </w:r>
      <w:r w:rsidRPr="009B75C4">
        <w:rPr>
          <w:rFonts w:ascii="Arial" w:hAnsi="Arial" w:cs="Arial"/>
          <w:spacing w:val="-2"/>
          <w:sz w:val="16"/>
        </w:rPr>
        <w:t>, Final Report, Canberra.</w:t>
      </w:r>
    </w:p>
    <w:p w14:paraId="4CB80711" w14:textId="77777777" w:rsidR="006D627C" w:rsidRPr="009B75C4" w:rsidRDefault="006D627C" w:rsidP="00B950D6">
      <w:pPr>
        <w:pStyle w:val="Bibliography"/>
        <w:spacing w:after="60" w:line="200" w:lineRule="exact"/>
        <w:ind w:left="0" w:firstLine="0"/>
        <w:rPr>
          <w:rFonts w:ascii="Arial" w:hAnsi="Arial" w:cs="Arial"/>
          <w:spacing w:val="-2"/>
          <w:sz w:val="16"/>
        </w:rPr>
      </w:pPr>
      <w:r w:rsidRPr="009B75C4">
        <w:rPr>
          <w:rFonts w:ascii="Arial" w:hAnsi="Arial" w:cs="Arial"/>
          <w:spacing w:val="-2"/>
          <w:sz w:val="16"/>
        </w:rPr>
        <w:t xml:space="preserve">TTPI (Tax and Transfer Policy Institute) 2019, </w:t>
      </w:r>
      <w:r w:rsidRPr="009B75C4">
        <w:rPr>
          <w:rFonts w:ascii="Arial" w:hAnsi="Arial" w:cs="Arial"/>
          <w:i/>
          <w:iCs/>
          <w:spacing w:val="-2"/>
          <w:sz w:val="16"/>
        </w:rPr>
        <w:t>Good Tax Policy: Tax Offsets or Tax Deductions?</w:t>
      </w:r>
      <w:r w:rsidRPr="009B75C4">
        <w:rPr>
          <w:rFonts w:ascii="Arial" w:hAnsi="Arial" w:cs="Arial"/>
          <w:spacing w:val="-2"/>
          <w:sz w:val="16"/>
        </w:rPr>
        <w:t>, Tax Fact #6, Canberra.</w:t>
      </w:r>
    </w:p>
    <w:p w14:paraId="4AF40396"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UN (United Nations) 2013, </w:t>
      </w:r>
      <w:r w:rsidRPr="006D627C">
        <w:rPr>
          <w:rFonts w:ascii="Arial" w:hAnsi="Arial" w:cs="Arial"/>
          <w:i/>
          <w:iCs/>
          <w:sz w:val="16"/>
        </w:rPr>
        <w:t>National Transfer Accounts Manual: Measuring and Analysing the Generational Economy</w:t>
      </w:r>
      <w:r w:rsidRPr="006D627C">
        <w:rPr>
          <w:rFonts w:ascii="Arial" w:hAnsi="Arial" w:cs="Arial"/>
          <w:sz w:val="16"/>
        </w:rPr>
        <w:t>.</w:t>
      </w:r>
    </w:p>
    <w:p w14:paraId="0E3A7C0B"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Vanguard 2021, </w:t>
      </w:r>
      <w:r w:rsidRPr="006D627C">
        <w:rPr>
          <w:rFonts w:ascii="Arial" w:hAnsi="Arial" w:cs="Arial"/>
          <w:i/>
          <w:iCs/>
          <w:sz w:val="16"/>
        </w:rPr>
        <w:t>Vanguard Asset Class Tool</w:t>
      </w:r>
      <w:r w:rsidRPr="006D627C">
        <w:rPr>
          <w:rFonts w:ascii="Arial" w:hAnsi="Arial" w:cs="Arial"/>
          <w:sz w:val="16"/>
        </w:rPr>
        <w:t>, https://insights.vanguard.com.au/static/asset-class/app.html (accessed 16 July 2021).</w:t>
      </w:r>
    </w:p>
    <w:p w14:paraId="74B570B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Waldenström, D. 2018, ‘Inheritance and wealth taxation in Sweden’, </w:t>
      </w:r>
      <w:r w:rsidRPr="006D627C">
        <w:rPr>
          <w:rFonts w:ascii="Arial" w:hAnsi="Arial" w:cs="Arial"/>
          <w:i/>
          <w:iCs/>
          <w:sz w:val="16"/>
        </w:rPr>
        <w:t>ifo DICE Report</w:t>
      </w:r>
      <w:r w:rsidRPr="006D627C">
        <w:rPr>
          <w:rFonts w:ascii="Arial" w:hAnsi="Arial" w:cs="Arial"/>
          <w:sz w:val="16"/>
        </w:rPr>
        <w:t>, vol. 16, no. 2, p. 5.</w:t>
      </w:r>
    </w:p>
    <w:p w14:paraId="6FB1D13A"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Wilhelm, M.O. 1996, ‘Bequest behavior and the effect of heirs’ earnings: Testing the altruistic model of bequests’, American Economic Association, </w:t>
      </w:r>
      <w:r w:rsidRPr="006D627C">
        <w:rPr>
          <w:rFonts w:ascii="Arial" w:hAnsi="Arial" w:cs="Arial"/>
          <w:i/>
          <w:iCs/>
          <w:sz w:val="16"/>
        </w:rPr>
        <w:t>The American Economic Review</w:t>
      </w:r>
      <w:r w:rsidRPr="006D627C">
        <w:rPr>
          <w:rFonts w:ascii="Arial" w:hAnsi="Arial" w:cs="Arial"/>
          <w:sz w:val="16"/>
        </w:rPr>
        <w:t>, vol. 86, no. 4, pp. 874–892.</w:t>
      </w:r>
    </w:p>
    <w:p w14:paraId="13B4997B"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Wolff, E.N. and Gittleman, M. 2014, ‘Inheritances and the distribution of wealth or whatever happened to the great inheritance boom?’, </w:t>
      </w:r>
      <w:r w:rsidRPr="006D627C">
        <w:rPr>
          <w:rFonts w:ascii="Arial" w:hAnsi="Arial" w:cs="Arial"/>
          <w:i/>
          <w:iCs/>
          <w:sz w:val="16"/>
        </w:rPr>
        <w:t>The Journal of Economic Inequality</w:t>
      </w:r>
      <w:r w:rsidRPr="006D627C">
        <w:rPr>
          <w:rFonts w:ascii="Arial" w:hAnsi="Arial" w:cs="Arial"/>
          <w:sz w:val="16"/>
        </w:rPr>
        <w:t>, vol. 12, no. 4, pp. 439–468.</w:t>
      </w:r>
    </w:p>
    <w:p w14:paraId="1270BD75"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Wood, D., Griffiths, K. and Emslie, O. 2019, </w:t>
      </w:r>
      <w:r w:rsidRPr="006D627C">
        <w:rPr>
          <w:rFonts w:ascii="Arial" w:hAnsi="Arial" w:cs="Arial"/>
          <w:i/>
          <w:iCs/>
          <w:sz w:val="16"/>
        </w:rPr>
        <w:t>Generation Gap: Ensuring a Fair Go for Younger Australians</w:t>
      </w:r>
      <w:r w:rsidRPr="006D627C">
        <w:rPr>
          <w:rFonts w:ascii="Arial" w:hAnsi="Arial" w:cs="Arial"/>
          <w:sz w:val="16"/>
        </w:rPr>
        <w:t>, August, 2019–07, Grattan Institute.</w:t>
      </w:r>
    </w:p>
    <w:p w14:paraId="0A20E6B5" w14:textId="77777777" w:rsidR="006D627C" w:rsidRPr="009B75C4" w:rsidRDefault="006D627C" w:rsidP="00B950D6">
      <w:pPr>
        <w:pStyle w:val="Bibliography"/>
        <w:spacing w:after="60" w:line="200" w:lineRule="exact"/>
        <w:ind w:left="0" w:firstLine="0"/>
        <w:rPr>
          <w:rFonts w:ascii="Arial" w:hAnsi="Arial" w:cs="Arial"/>
          <w:spacing w:val="-2"/>
          <w:sz w:val="16"/>
        </w:rPr>
      </w:pPr>
      <w:r w:rsidRPr="009B75C4">
        <w:rPr>
          <w:rFonts w:ascii="Arial" w:hAnsi="Arial" w:cs="Arial"/>
          <w:spacing w:val="-2"/>
          <w:sz w:val="16"/>
        </w:rPr>
        <w:t xml:space="preserve">Wood, G., Ong, R. and Cigdem, M. 2014, </w:t>
      </w:r>
      <w:r w:rsidRPr="009B75C4">
        <w:rPr>
          <w:rFonts w:ascii="Arial" w:hAnsi="Arial" w:cs="Arial"/>
          <w:i/>
          <w:iCs/>
          <w:spacing w:val="-2"/>
          <w:sz w:val="16"/>
        </w:rPr>
        <w:t>Housing Affordability Dynamics: New Insights from the Last Decade</w:t>
      </w:r>
      <w:r w:rsidRPr="009B75C4">
        <w:rPr>
          <w:rFonts w:ascii="Arial" w:hAnsi="Arial" w:cs="Arial"/>
          <w:spacing w:val="-2"/>
          <w:sz w:val="16"/>
        </w:rPr>
        <w:t>, AHURI Final Report, 233, Australian Housing and Urban Research Institute, Melbourne.</w:t>
      </w:r>
    </w:p>
    <w:p w14:paraId="2B3F5FE2" w14:textId="6B814E2E" w:rsidR="006D627C" w:rsidRPr="009B75C4" w:rsidRDefault="006D627C" w:rsidP="00B950D6">
      <w:pPr>
        <w:pStyle w:val="Bibliography"/>
        <w:spacing w:after="60" w:line="200" w:lineRule="exact"/>
        <w:ind w:left="0" w:firstLine="0"/>
        <w:rPr>
          <w:rFonts w:ascii="Arial" w:hAnsi="Arial" w:cs="Arial"/>
          <w:spacing w:val="-2"/>
          <w:sz w:val="16"/>
        </w:rPr>
      </w:pPr>
      <w:r w:rsidRPr="009B75C4">
        <w:rPr>
          <w:rFonts w:ascii="Arial" w:hAnsi="Arial" w:cs="Arial"/>
          <w:spacing w:val="-2"/>
          <w:sz w:val="16"/>
        </w:rPr>
        <w:t xml:space="preserve">World Bank 2020, </w:t>
      </w:r>
      <w:r w:rsidRPr="009B75C4">
        <w:rPr>
          <w:rFonts w:ascii="Arial" w:hAnsi="Arial" w:cs="Arial"/>
          <w:i/>
          <w:iCs/>
          <w:spacing w:val="-2"/>
          <w:sz w:val="16"/>
        </w:rPr>
        <w:t>Personal Remittances, Received (current US$) - Australia | Data</w:t>
      </w:r>
      <w:r w:rsidRPr="009B75C4">
        <w:rPr>
          <w:rFonts w:ascii="Arial" w:hAnsi="Arial" w:cs="Arial"/>
          <w:spacing w:val="-2"/>
          <w:sz w:val="16"/>
        </w:rPr>
        <w:t>, https://data.worldbank.org/indicator/</w:t>
      </w:r>
      <w:r w:rsidR="00077E95" w:rsidRPr="009B75C4">
        <w:rPr>
          <w:rFonts w:ascii="Arial" w:hAnsi="Arial" w:cs="Arial"/>
          <w:spacing w:val="-2"/>
          <w:sz w:val="16"/>
        </w:rPr>
        <w:br/>
      </w:r>
      <w:r w:rsidRPr="009B75C4">
        <w:rPr>
          <w:rFonts w:ascii="Arial" w:hAnsi="Arial" w:cs="Arial"/>
          <w:spacing w:val="-2"/>
          <w:sz w:val="16"/>
        </w:rPr>
        <w:t>BX.TRF.PWKR.CD.DT?locations=AU (accessed 16 July 2021).</w:t>
      </w:r>
    </w:p>
    <w:p w14:paraId="394E286F" w14:textId="77777777" w:rsidR="006D627C" w:rsidRPr="006D627C" w:rsidRDefault="006D627C" w:rsidP="00B950D6">
      <w:pPr>
        <w:pStyle w:val="Bibliography"/>
        <w:spacing w:after="60" w:line="200" w:lineRule="exact"/>
        <w:ind w:left="0" w:firstLine="0"/>
        <w:rPr>
          <w:rFonts w:ascii="Arial" w:hAnsi="Arial" w:cs="Arial"/>
          <w:sz w:val="16"/>
        </w:rPr>
      </w:pPr>
      <w:r w:rsidRPr="006D627C">
        <w:rPr>
          <w:rFonts w:ascii="Arial" w:hAnsi="Arial" w:cs="Arial"/>
          <w:sz w:val="16"/>
        </w:rPr>
        <w:t xml:space="preserve">Wu, S., Asher, A., Meyricke, R. and Thorp, S. 2015, </w:t>
      </w:r>
      <w:r w:rsidRPr="006D627C">
        <w:rPr>
          <w:rFonts w:ascii="Arial" w:hAnsi="Arial" w:cs="Arial"/>
          <w:i/>
          <w:iCs/>
          <w:sz w:val="16"/>
        </w:rPr>
        <w:t>Age Pensioner Profiles: A Longitudinal Study of Income, Assets and Decumulation</w:t>
      </w:r>
      <w:r w:rsidRPr="006D627C">
        <w:rPr>
          <w:rFonts w:ascii="Arial" w:hAnsi="Arial" w:cs="Arial"/>
          <w:sz w:val="16"/>
        </w:rPr>
        <w:t>, Working Paper Series, 2015–17, ARC Centre of Excellence in Population Ageing Research, Sydney.</w:t>
      </w:r>
    </w:p>
    <w:p w14:paraId="003A5CE7" w14:textId="27D4DDAE" w:rsidR="001D33D5" w:rsidRPr="00FA7D9E" w:rsidRDefault="001D33D5" w:rsidP="00504D4E">
      <w:pPr>
        <w:pStyle w:val="Reference"/>
        <w:rPr>
          <w:spacing w:val="-4"/>
        </w:rPr>
      </w:pPr>
    </w:p>
    <w:p w14:paraId="5A0ABB4B" w14:textId="77777777" w:rsidR="001D33D5" w:rsidRDefault="001D33D5" w:rsidP="001D33D5">
      <w:pPr>
        <w:pStyle w:val="Reference"/>
        <w:rPr>
          <w:spacing w:val="-2"/>
        </w:rPr>
        <w:sectPr w:rsidR="001D33D5" w:rsidSect="00C86DB9">
          <w:type w:val="continuous"/>
          <w:pgSz w:w="11906" w:h="16838" w:code="9"/>
          <w:pgMar w:top="1134" w:right="1134" w:bottom="1134" w:left="1134" w:header="794" w:footer="510" w:gutter="0"/>
          <w:cols w:num="2" w:space="708"/>
          <w:docGrid w:linePitch="360"/>
        </w:sectPr>
      </w:pPr>
    </w:p>
    <w:p w14:paraId="69A6ED69" w14:textId="59246A64" w:rsidR="00C86DB9" w:rsidRPr="00EF0111" w:rsidRDefault="00C86DB9" w:rsidP="00C86DB9">
      <w:pPr>
        <w:pStyle w:val="Reference"/>
        <w:rPr>
          <w:spacing w:val="-2"/>
        </w:rPr>
      </w:pPr>
    </w:p>
    <w:sectPr w:rsidR="00C86DB9" w:rsidRPr="00EF0111" w:rsidSect="00C86DB9">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EA203" w14:textId="77777777" w:rsidR="00B2270C" w:rsidRDefault="00B2270C" w:rsidP="008017BC">
      <w:r>
        <w:separator/>
      </w:r>
    </w:p>
  </w:endnote>
  <w:endnote w:type="continuationSeparator" w:id="0">
    <w:p w14:paraId="0366C896" w14:textId="77777777" w:rsidR="00B2270C" w:rsidRDefault="00B2270C" w:rsidP="008017BC">
      <w:r>
        <w:continuationSeparator/>
      </w:r>
    </w:p>
  </w:endnote>
  <w:endnote w:type="continuationNotice" w:id="1">
    <w:p w14:paraId="7347B0AE" w14:textId="77777777" w:rsidR="00B2270C" w:rsidRDefault="00B2270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B481"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814B" w14:textId="77777777" w:rsidR="006E0ED6" w:rsidRDefault="006E0ED6" w:rsidP="001625EC">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820865"/>
      <w:docPartObj>
        <w:docPartGallery w:val="Page Numbers (Bottom of Page)"/>
        <w:docPartUnique/>
      </w:docPartObj>
    </w:sdtPr>
    <w:sdtEndPr/>
    <w:sdtContent>
      <w:sdt>
        <w:sdtPr>
          <w:id w:val="-860901567"/>
          <w:docPartObj>
            <w:docPartGallery w:val="Page Numbers (Top of Page)"/>
            <w:docPartUnique/>
          </w:docPartObj>
        </w:sdtPr>
        <w:sdtEndPr/>
        <w:sdtContent>
          <w:p w14:paraId="4208F150" w14:textId="77777777" w:rsidR="006E0ED6" w:rsidRDefault="006E0ED6" w:rsidP="001625E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91B7" w14:textId="77777777" w:rsidR="006E0ED6" w:rsidRDefault="006E0ED6" w:rsidP="001625EC">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43152"/>
      <w:docPartObj>
        <w:docPartGallery w:val="Page Numbers (Bottom of Page)"/>
        <w:docPartUnique/>
      </w:docPartObj>
    </w:sdtPr>
    <w:sdtEndPr/>
    <w:sdtContent>
      <w:sdt>
        <w:sdtPr>
          <w:id w:val="791787583"/>
          <w:docPartObj>
            <w:docPartGallery w:val="Page Numbers (Top of Page)"/>
            <w:docPartUnique/>
          </w:docPartObj>
        </w:sdtPr>
        <w:sdtEndPr/>
        <w:sdtContent>
          <w:p w14:paraId="46BB30CD" w14:textId="77777777" w:rsidR="006E0ED6" w:rsidRDefault="006E0ED6" w:rsidP="001625E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3D7F" w14:textId="77777777" w:rsidR="006E0ED6" w:rsidRDefault="006E0ED6" w:rsidP="001625EC">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055179"/>
      <w:docPartObj>
        <w:docPartGallery w:val="Page Numbers (Bottom of Page)"/>
        <w:docPartUnique/>
      </w:docPartObj>
    </w:sdtPr>
    <w:sdtEndPr/>
    <w:sdtContent>
      <w:sdt>
        <w:sdtPr>
          <w:id w:val="1317600377"/>
          <w:docPartObj>
            <w:docPartGallery w:val="Page Numbers (Top of Page)"/>
            <w:docPartUnique/>
          </w:docPartObj>
        </w:sdtPr>
        <w:sdtEndPr/>
        <w:sdtContent>
          <w:p w14:paraId="574F61A4" w14:textId="77777777" w:rsidR="006E0ED6" w:rsidRDefault="006E0ED6" w:rsidP="001625E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308C" w14:textId="77777777" w:rsidR="006E0ED6" w:rsidRDefault="006E0ED6" w:rsidP="001625EC">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115"/>
      <w:docPartObj>
        <w:docPartGallery w:val="Page Numbers (Bottom of Page)"/>
        <w:docPartUnique/>
      </w:docPartObj>
    </w:sdtPr>
    <w:sdtEndPr/>
    <w:sdtContent>
      <w:sdt>
        <w:sdtPr>
          <w:id w:val="2029991578"/>
          <w:docPartObj>
            <w:docPartGallery w:val="Page Numbers (Top of Page)"/>
            <w:docPartUnique/>
          </w:docPartObj>
        </w:sdtPr>
        <w:sdtEndPr/>
        <w:sdtContent>
          <w:p w14:paraId="242277DA" w14:textId="77777777" w:rsidR="006E0ED6" w:rsidRDefault="006E0ED6" w:rsidP="001625E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8C65" w14:textId="77777777" w:rsidR="00767353" w:rsidRDefault="00767353" w:rsidP="00604051">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447652"/>
      <w:docPartObj>
        <w:docPartGallery w:val="Page Numbers (Bottom of Page)"/>
        <w:docPartUnique/>
      </w:docPartObj>
    </w:sdtPr>
    <w:sdtEndPr/>
    <w:sdtContent>
      <w:sdt>
        <w:sdtPr>
          <w:id w:val="-1532187216"/>
          <w:docPartObj>
            <w:docPartGallery w:val="Page Numbers (Top of Page)"/>
            <w:docPartUnique/>
          </w:docPartObj>
        </w:sdtPr>
        <w:sdtEndPr/>
        <w:sdtContent>
          <w:p w14:paraId="335F7FD5" w14:textId="77777777" w:rsidR="00767353" w:rsidRDefault="00767353" w:rsidP="00604051">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D14B" w14:textId="0A458C76"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DA2B" w14:textId="77777777" w:rsidR="00767353" w:rsidRDefault="00767353" w:rsidP="00604051">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93019"/>
      <w:docPartObj>
        <w:docPartGallery w:val="Page Numbers (Bottom of Page)"/>
        <w:docPartUnique/>
      </w:docPartObj>
    </w:sdtPr>
    <w:sdtEndPr/>
    <w:sdtContent>
      <w:sdt>
        <w:sdtPr>
          <w:id w:val="-1209179905"/>
          <w:docPartObj>
            <w:docPartGallery w:val="Page Numbers (Top of Page)"/>
            <w:docPartUnique/>
          </w:docPartObj>
        </w:sdtPr>
        <w:sdtEndPr/>
        <w:sdtContent>
          <w:p w14:paraId="7BC880DF" w14:textId="77777777" w:rsidR="00767353" w:rsidRDefault="00767353" w:rsidP="00604051">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A535" w14:textId="6AAE6F3A"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0" behindDoc="0" locked="1" layoutInCell="1" allowOverlap="1" wp14:anchorId="6FB9293C" wp14:editId="3A764E54">
              <wp:simplePos x="0" y="0"/>
              <wp:positionH relativeFrom="page">
                <wp:posOffset>0</wp:posOffset>
              </wp:positionH>
              <wp:positionV relativeFrom="page">
                <wp:posOffset>1524000</wp:posOffset>
              </wp:positionV>
              <wp:extent cx="7559675" cy="9296400"/>
              <wp:effectExtent l="0" t="0" r="3175"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29640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67AC7" id="Rectangle 11" o:spid="_x0000_s1026" alt="&quot;&quot;" style="position:absolute;margin-left:0;margin-top:120pt;width:595.25pt;height:7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W4R2gIAACMGAAAOAAAAZHJzL2Uyb0RvYy54bWysVFtr2zAUfh/sPwi9&#10;r05C0i6mTgkpHYXQlbajz4osxWaSjiYpt/36HUl2mnZlgzE/GEnnO7fvXC6v9lqRrXC+BVPR4dmA&#10;EmE41K1ZV/Tb082nz5T4wEzNFBhR0YPw9Gr28cPlzpZiBA2oWjiCRowvd7aiTQi2LArPG6GZPwMr&#10;DAolOM0CXt26qB3boXWtitFgcF7swNXWARfe4+t1FtJZsi+l4OGrlF4EoiqKsYX0d+m/iv9idsnK&#10;tWO2aXkXBvuHKDRrDTo9mrpmgZGNa38zpVvuwIMMZxx0AVK2XKQcMJvh4E02jw2zIuWC5Hh7pMn/&#10;P7P8bnvvSFtj7YaUGKaxRg/IGjNrJQi+IUE760vEPdp7F1P0dgn8uycGFg3CxNxbVEADEVu8AseL&#10;79T20umojjmTfSrA4VgAsQ+E4+PFZDI9v5hQwlE2HU3Px4NUooKVvbp1PnwRoEk8VNSh60Q82y59&#10;iAGwsodEbyvV2ptWqf7ccYgd8PdOy9W5Br7RwoTcbk4oFrDXfdNaT4krhV4JZM/d1il/pCc4EXgT&#10;HUp0HMnMYR0FGOJpWMpErIEYZkbGl0Rk5i6xGA5KRJwyD0JiwZCtUUo8jYpYKEe2DJuccY7BDrOo&#10;YbXIz5MBfqlAGGEcrqiR2EoGX6LtbHcGeuRr2znKnJ2MqiJN2jGwwZ8Cy8pHjeQZTDgq69aAe8+A&#10;wqw6zxnfk5SpiSytoD5gOzvAzsBp95bftNgmS+bDPXM42PiIyyp8xZ9UsKsodCdKGnA/33uPeOwW&#10;lFKyw0VRUf9jw5ygRN0anMTpcDyOmyVdxpOLEV7cqWR1KjEbvQAsEw4bRpeOER9Uf5QO9DPutHn0&#10;iiJmOPquKA+uvyxCXmC4FbmYzxMMt4llYWkeLY/GI6txDJ72z8zZblYCjtkd9EuFlW9GJmOjpoH5&#10;JoBsU+O+8NrxjZsoNU63NeOqO70n1Mtun/0CAAD//wMAUEsDBAoAAAAAAAAAIQCYPEaPyX0HAMl9&#10;BwAUAAAAZHJzL21lZGlhL2ltYWdlMS5wbmeJUE5HDQoaCgAAAA1JSERSAAACVAAAAtkIAgAAAP7U&#10;KHgAAAAZdEVYdFNvZnR3YXJlAEFkb2JlIEltYWdlUmVhZHlxyWU8AAADdWlUWHRYTUw6Y29tLmFk&#10;b2JlLnhtcAAAAAAAPD94cGFja2V0IGJlZ2luPSLvu78iIGlkPSJXNU0wTXBDZWhpSHpyZVN6TlRj&#10;emtjOWQiPz4gPHg6eG1wbWV0YSB4bWxuczp4PSJhZG9iZTpuczptZXRhLyIgeDp4bXB0az0iQWRv&#10;YmUgWE1QIENvcmUgNi4wLWMwMDYgNzkuMTY0NzUzLCAyMDIxLzAyLzE1LTExOjUyOjEz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mYx&#10;YjJlMjRiLWI1YTEtNGRhMC1iMzA3LWY3MGU5Njg3ODk3MCIgeG1wTU06RG9jdW1lbnRJRD0ieG1w&#10;LmRpZDozODIxRDBDNjUzMjMxMUVDOThBMEFFMzc2RTMxRTVGOSIgeG1wTU06SW5zdGFuY2VJRD0i&#10;eG1wLmlpZDozODIxRDBDNTUzMjMxMUVDOThBMEFFMzc2RTMxRTVGOSIgeG1wOkNyZWF0b3JUb29s&#10;PSJBZG9iZSBQaG90b3Nob3AgMjIuNSAoTWFjaW50b3NoKSI+IDx4bXBNTTpEZXJpdmVkRnJvbSBz&#10;dFJlZjppbnN0YW5jZUlEPSJ4bXAuaWlkOmYxYjJlMjRiLWI1YTEtNGRhMC1iMzA3LWY3MGU5Njg3&#10;ODk3MCIgc3RSZWY6ZG9jdW1lbnRJRD0ieG1wLmRpZDpmMWIyZTI0Yi1iNWExLTRkYTAtYjMwNy1m&#10;NzBlOTY4Nzg5NzAiLz4gPC9yZGY6RGVzY3JpcHRpb24+IDwvcmRmOlJERj4gPC94OnhtcG1ldGE+&#10;IDw/eHBhY2tldCBlbmQ9InIiPz55HAA7AAd56klEQVR42py9W5dsyXEelpG5q7r7XAYkJXvpyctr&#10;afnJr371m1/9c/1g08smKZCwQJCgRJEiRZESxQVAIIDBgMTMmTNdO8M74vsiMnZ1zwDU0eHooC9V&#10;u/bOzLh9F/kX/9v/3loTkeO/u842j3/Pue/HV6R31ePr0nTX41v2c11ktKYievz3+IJq91/376qo&#10;9OMLqm00Gce/j1+d9uf4AT3+tDbwm8c3pB8vfPyP48tz3uyFxkW7Xcbxp/sP+f/hK9Pe5Pjxbr/O&#10;P9qOt/LL1TGO35R9P95lP97yeM3e+3EFx/eP/3H8PV7weBu80PHd0Y93P37eP+bxdsf/lr4fPyCt&#10;92G/0CbeSf3XJW6R2NvNvAaNCxT7jvhHXH+27XrcsOOL9q3b8/O+x+/wj+AP/tHtau0DbcdXtuMZ&#10;6Nzx1t2u1r6FlzquM1+DD+72LB8/7s8fb19+kK+e/btqF+W/ps8fdb/5A+nN38Xebrscd6GNcf3N&#10;/+7Nb/3328PD8dXj1e3Z+H3gn4nn4a8zdd5ubR6fwu6NbJv94/Z8/JCtin78Ff34pf/wcfM3WzbH&#10;hW3Xcbn6pdsj9Md6rBS7/8cjwcLBlR6vj5uw327d/xyf1N7RPnXX28dxfZCHx3bclbn7Twru5z73&#10;PuwRTr6WLSb73vFj/m6+VI/Fsz6WffO4ZltSuFd2PXLcEH+2x+2ym3B8hOMi5039Ax8/OcVvYLfF&#10;djyg4//kWC22yHZ7Jb8h9gHt7965SP1JyFC7PLV71Af2jv+u+LZR/73jdSa+dXzC4w7q8Yz8kkXt&#10;vaZ/19bn8fLHbbc9NLAsmm1VtYs8HvHxW8cT1zkuD8dFHrfreATHu9snOh7nsRWOxdDtLf3nh3/e&#10;3dfExJONG2LXYR/2uJnHPe4XXCpvut3P7fhu25/tcV8udvHHZRwP5vhvH3M8jOcv53G1+PXL0/FT&#10;23FZn/7oZ7/7f+z/8Fnfrr4g/InFNrnbRPhie+WP+gHS/f7usZ2OWy7z44eH/+Ff/tb/8r8+//RH&#10;+/Pz5c078btm3x+bPcTjgtU/5/HRtg2nmJQ9Ywt1Kq4NX8E/+NTsDBRfzMPWyfHgLg/iW1JwJB6/&#10;cSykm9/S46t2t+3d1TZOk8uDveTtK/tcdlr6zj9OLl/37bgn/kzVVvPsfurux0I9ft4W+UUvfsHT&#10;f7fZC46+6e0re+9+sbVpx7i9a7fX6b6slB8GZ2hrN9//cixsnX5w2VF6rODj7TqeuWDr2xbr/ViM&#10;tkKO88O2IU8Ve9iCnXV8hOO9jjvgn+h4Wf7Y8Y/j3Y9r1jjAx+W4C81umtgTsTV83KuLvafGY7Yl&#10;JDgN+txx4KqvcGwF3mNsUr+Jx431496CxsQnsi15/P6xU6Zt7DHw5PwZHhc+1KNYzwWnXIaNy0Be&#10;rDYeNt/4x9+/6ekL/I9/0GlhyG4iP8V6Iri2199B7EYLQu56WUF8tJtf4knLzSLxarl89wgYu8Xk&#10;EooUP22h0r+uCNH4gw3KH7yLb3HxeCk5fWp+IuVX1Jd517vNzLSiISb1zRawIj7d/yDSAUbi9eCO&#10;nWIvjEWZ8bSf7l85iP2s6Xz5Y9keYWMM/18IERb1pf5a/UT+i7YbjtV8LO7jh333KPa2n6H8PTvK&#10;cVt7HCFYYsLIh1vuIUyP41FGfmB/l877hzzGQ4691BFv2vkReJaGaxAeZH4H10cvG8Zv83EB06KE&#10;8sdmLCMkYy02eJz0OBD9vFPuEMG9jtdfEdw/lc5Ym3xeOE4kl6RnfOVQUt9beHdEHr8DuGH2ap53&#10;4kqOY8c2sG1pO3RieYni4gQfEOHWV9zwwxdXPI7DUj1vsE/D++wRTppnuB6p+e52K8STIbVg0Dx8&#10;IjhPP6bslz0bsMTBPsruiZGdgFNuH+10thfb5rjaPT/S0+Nb14fuydBpbQmX1q8T+QT7PX+yI/Hi&#10;gh9Pb77827/62e//9hFIxpEHeKpqn+L4cJaKXY6/kVhjwcdrae6PPGcUcc6ChHq4RSZ1BFE73He/&#10;t5tMnI12Qvudt9/vSEzHwIPDWhHksLkR167DAvaFJrlLY8d4xmOpUix9Own9GrsncP6gFMfgxMsd&#10;VyV2xCsOLk/gWtOvO7alTa70VW34Pu2CRXrkhYqSJFa5PeSGNWnpp+LYlHWO30ULj1P+zSOcIglW&#10;5ae1/68zpfa0SuP01rjtxwfzlW2L31e4R1zez1xE+S59+nI67oNlCbZl4uki7/Gst6+Tfz3vxvcr&#10;WRYPg6+NePhN+0+3so8XJeUAzQgn2u+OVm2x9l5/cb9uHDxxob3+fueiEGHYasyHZwSDcnfiHGb9&#10;VoJXLjgemIKFLFyKUfkJz2TERa2hXlec4W3s8eZ8Mcv97xdF59tlJSP5qaXcnyxD/aRAltXzKPba&#10;q5cMQk9xM09nZWjBLT0WUB/b8R/PWiVStDjxz4EPK/HI95lr+Ckc5YunVMcGQIrNhHNaCmz7Z+Z+&#10;VuE5xbfzrN/r8VniIw753co+T0BxhiKEKOJU3mk5pVl8EW8AnMI39tTxwe2SLI76kTG9TeEn1Izn&#10;fBzc0y95ttww/oubb1hvCcxYYxq3Z6VFEr9WngHyES3JG946H4/OlW1hw9tvzKiNOhaq+CP2Px72&#10;/Lfihy36iXUJlGfYPnGzrP62vKSzykHN5EkqXr57dJR1+PtZpNwpdi8ih1B86LI2RXOT2i1CMu4p&#10;yG6x1hbsHFbi77iVlmkdmXjtLmRDRk+55dfUfC1rxLjzEqcDb2a/PHz5w7/97E+/168P4/rgO8qu&#10;U2+3+fyVoEWBQM70cTKvUWxn5jatjZLYKOOfRjbl2UNjsOrC9o3dxoljFBfaexaE2Nl4kDx8Jk4i&#10;nA8S8aDhds0eiagIozvSNwYP3nd/oKIRKu1Vbe88e8zPYKVZ2JxqgrtMPg/8jk2GTDKztCZryfsn&#10;Q+/O8qcRJwYzSNG7V43lug4YsWA2US15tLXl4oe2rvxgbtZgsPKOaWpEqN7RjlmlE863ddp6O63L&#10;ulMZ5/306ZF9eN283jJLASuT/FqO6tf7WUd9LDP3tf/b2qS+wKzj4Q2ozsW5Tl3PCP2HvRNZzvij&#10;rPdzOJYRD5UsP8UzUTwxS2bETsFNvPV0HFmesaJfqnnQe9Q/Sl4krKKoq/MNIoZ5DomgZC1GicTB&#10;PwcLmij4uIKQFefeu69xM1BYEtgii/aQhcjiH6D3rHalntxosVp77ObZSk0AGrcWTgnvgGm0ofze&#10;D08PO68ZawKPdk6WBBlSbdnaydgvW3949JNUWyYJiofUMieeHb0Ef1m0jzz4egPBP6J1Pusy55Et&#10;kTKc6iNfCmylRkkm691WI1kjY7EnvG3sMa4+lF1PJDv2ZKzRgTeZKCI0i25bIeKJuW+tbl2VIz0c&#10;JR0S3ATETyQD3RqnVnuqnyixjtcltlXQrbw8Hgm26Kas4UTj11Uz68I/cWJ5btuihvXkVGb0XNGo&#10;aL3G+hUrpvI+8Rr8x6aHfz7IyQfhSUbsOBy2PaoQ3+i6MxzgZMeZa0vLtlHn0hLf+Z3xE5kEDx/f&#10;vrgx89iBez/qAsxFLB3ds8ft8SKD33EM2N8o4mMbRRZeM04Wf6u3cV44x5sfFd/bTz7+/Q/+8b/8&#10;tS3vse27XYOfCZ5RHZXBEZvnlKgAZ9xLmfyfftBEG9xetGeuJd6k9AYdj1oV7vh67vuJOhmj8RTU&#10;e5ttRifNW+n+M/xzfBd3FAvIo8rqa2lukxkL9mZVOW6Ov0XJfidze6vbBpfuVL6gralxai8xkkQP&#10;zC5M2mQjRDIisQSxVq1/hKGZKvgx2th4tP/s1jzvWS4wu0JWivUfExzeOV7J8ObMbKvzkuUNw4Qn&#10;B7NFyuffRzaDbi0CGkZefsW9xEMPobNz1XLwpPyI/WVV5/2T3mqD8eUP3VXSKlKjghXH+KzTDqeG&#10;BElbPLxagNlsr8eBxV56ZKWRW0tt5a1EGy1cNg5b5rco1GSdxevgysI1M/FMesuoz3O4joZtdtBV&#10;cJi1u25orfo9i27+0UsV9qKMFl1ZV+TfWCJrheIavODjweFRJHuYwqkejz+5fziIT9afvPm8wfpF&#10;x0HhjRnF6hfOb1dVzV4G2x/SVEslat1OteMySmC0qqygjKZC1LwrVxCeXrE1T6kn72V+/NZqK1XO&#10;9ZQvj8kszD77YLHiP9TRLal1OXdgHKDHpxurxsEnE3wSTxqjnEQpM1veBImqCKeM7bWu8fjyWm0L&#10;n3uPlqB4HLWgaCMQlXKgx6p7tQcipTKJhj3GyRonUkQLf0izsSCYPjPu0bIU9pVO7RZZFRTzpN33&#10;Cy/72Lpt34Xd4V52jc0wvR5ShlUvmfnkMAdCyW2Pw2+U1aA+wjnPR+L0t9Uks/aTtU64Mwp+0+jF&#10;19bl+vDFf/yzz/76z8fb90Aq6Ga9Wdmfkbi1NdLIvcrdTLBAy2m/XbevTilVPZ9dNKVY3/EpYpPG&#10;3bR8cYzVgpEMZsIsf07mlxidKjs8jnLouWm8M4GUd50jEklH6d55V1yjp9hyL0U6OWMlr9dhUci9&#10;bA+BB6aVGdkLXMeaZTY4GoTNJ0zgNE9oD+Gz9AmiYMWxj4pybN3zfaxL/8WZ4TT70Q5AiWeU0w3W&#10;FkyLdl/2OOstJ7B2/cTzzfaEHXqR5Pe2Ev5Wh2o1hY/ysb3oQ6xDOesgzVOwccIupf3JYDxvNscV&#10;LCA2YXP4dVrIFggZSHrpAOZQ6ljUG450lEEeC7z9vXvbYCD2nPeM5lk/s5LwaZxmE2bGh6gR0Wtb&#10;AENwBsQJHIXcagbl7fYgb+Fgyz5Ctpolg9yaV/bMtDLPxUqZ6FznUlppmKdQWZzFJcXbxGOLz8J+&#10;o9XofVwuR0XliXmP4QETT575Gah8/fUVnuwjxW2dmJzH9uxlHCpIejA08mnTPHLGvjtwJvZZRRUI&#10;sgWOuTraqtpyQiC1IVtOb6uvxdExGa7Q9l47z989R3HquKoe0+PuY0Vm7vkQUesfm9wHLw2wkamr&#10;E82GoUbx2OMe877b5z/yA+u1jshaUPUyY5VSdKJ/JaupW7YOqrRIGOPcrs187zWwj+TbhdFxoE1M&#10;DAtXhMQQV/I2Chp54yIGRektm5DxlP3sED2FZw9s1pJS1DHoGVoJ3q+ODPJzcd7GfI4ea+Aj9r3p&#10;i0g/OSqWgHjFkE/vWp/fiDzw2G/z8/HLv/zTz3/wn7Zv/UZHLJmo4TRAKDeNIrvPuAe45KNY3Fd4&#10;Pqo9HBkSRVV2g+wEm5FyZ1Ty+jVC6UQvio02r8V89LKvTgaHEfGp1TcLdiJmYfnBcdbOjH0TZ5c9&#10;f6y4htipkmNNXCCzeyzQyVIszhKmPVybERd9qUxvmcQwLM4QP6oM3hJzjmhPjVozlc4+QBtygmH0&#10;nhmbp9HZ187iIebgmYri80ggy6R7+GQGJgEw83XKBgfaNi2HNb6exNE9zJR3VIjaFnpzHTPqjaRZ&#10;xkC+WlqPTId5fCtNZgxIIp2QHPBi5/oG3R390AMoc8O45bX4a3dok17bhBqJ50ALlPvEe6+CBDtB&#10;CyjXskOGZgbLzqZrWId3MMyop7HMZ1qLtmXL2QJaoyPWQy60DGV+h+dkU8AHTcdj8uNV2JctM22O&#10;Srp1drXnIA1vnfBSlvFE6vEOjFXwlblsX0HV21kdG0o4N0Iff4zLgyekPOi97NPVgVgvELuSyyli&#10;U8MWUAzQjkXEoTZjS18nkUTHLmKLJGCPOFdMtlp5Unpcn2EWvG2NNE1rS4hjF5TCPmSakz9V2tB8&#10;/lIKpsbDjnO+FQcEW4Bdhzq2ngAEOkiQT1ttqB6bBKHRejAO0XWkGdpoE4MTe95jTO9L82yx+Ub3&#10;Tp+vf8JJcsASo1/U8EIQkEbpme0/LTVSjBLRlo4+h8S1S+QuLOKj3Op9joH8xq+caZllO9aymFl8&#10;dwMh56bGsTQXWpdL0zGKPTr7+637BAujTc+jh0EkkBaU/PKMzVpQWX2BcGryDdi7SL+On7o+HE/+&#10;s+9/58OP/kt/963G3Eg0o74NlT0RJMiQfWHFbDXCO8CdpTPUsHt5pwM+IwUkFSPnzt+xSI+x7/Ru&#10;RPSKJ/BlOS+L6qFL6ZfOGKFwkuS5hZSB6UQHgBmS9VE70FtofPd1wGVtsgp+XWd918ygMXlsq7eR&#10;4aA2S6Po8UqrLEWecVkQsREiefphs2vgifyExWAtpiFrFta4Z+56jYLRtmRR0psA1tsxuQNQTk/5&#10;UvQ9PE6sMVv7J/5hBmAAF0MWEQvEkA2AvschqcDGQGegC+qlKXu7WhJeXGJjh2reY2fa1w1sT991&#10;NF82IdoaMPHu+03q29BVf3DkjijlSQngbOiOIzLFI/bDLqpMZOKSzyyG10DmeYnJNlQZ40uBX7aS&#10;zBPDQIAYDv3h0BSRipGVxOCqn6T2WbdhAH2f9ETTlMOJU3cRW+z4mJerA1ATeLYarDwxOYTqUS4F&#10;SsgKoN2bJ7oG2EC79aiLp7ci4kNogini2b5I5GshIFGet83KEcMKBhPgPG1d2WJXwzRrBShpW+ha&#10;T60mfxr3pI4h/XFJK6CPc0s285SZESeAB9oLJCq6jrLmJSVXN1TlTiSWH7O1rQc0jfhBHEO+MqZ2&#10;yB9RoFrmJI6MmYSQcM/pAiYEJKG2jO1uOfXFd1/36s1+US1WNWFdgTXWyUtBwPcSv3ddfUnRqHE7&#10;530K5IvBAMdljuu+Pdiv2SsLR84DY5TXajg5EYKknLUabd7ax//GM2qObTse+qd/9PsffvKj7ZNv&#10;YeqJOWXmPRaDJ7NwuzoMUDuKqgZ02MxFWVsPZAA53AN123FnDE06Ee/Fe5hi54ajWthzU6LsWYwe&#10;L3BDYRazsR6wR0KKJHoZbc1rX8DxUdz4MIybkDOUnsFtzeW1RSmWUbd1RlpCFgb2LXPqSKoK9l+D&#10;btbn7HIHrecRvgZSFQzP5gM6LYT8NE5KPCHY2RZaqBmkfQX81YJ5wxI0c2IpWCyUd/5WLC+RoxHD&#10;pqxtR7trehakodbZRGefmSemYGFE6GJPt7HBc5o8iVcpikwl06PIb9mWEQbn+Mt/e2KvBcEezWit&#10;I4G2HlYM49Ym4bgTFVv0mLINhC/Y5XeCKrFBia9LgCkaAx3d7HmHiEywu6ComMJGzo6UHAcqE0U/&#10;aiXyF6IA2ix0ooH6srOtDg5VMBzmjG5Yy3GmPeFt8xaer5IxAhCmUQcXioY99Q3nGqZDAg5f9D3Y&#10;duls7WAtZvvYbr5t/R0gLNv/YwuMixgbD3F/34nkbKJ3aUsknccRtXqs+I5D8hrb0gQnRSfF986I&#10;7ijzGuEA3/g9FoPtTPE7dhdhebAXJEVkD04SJTdjjTXXfNMBZu201GTRWby11GY2Zdjzxbt17HCj&#10;692aIwW8N9gJwV8VurQFPsFkqqNp1XLDEMharkEFn1SaRAMgznTdj/tviBO2PUfwCgTdUV/qe9uf&#10;gV+YMbfDRtlBTSNcSFbHk4cqauIdbbTcaRNIOiApHRtsxcdxDB0f/7jQy4MtlTX9kldnnCcqbYmC&#10;CUCLW7GXYZLev4RXFZbh3fZPv/evvvrw+fU3/7kCd9o7j0AtEJLgnHiq5dc4MXCKJmDFpueEmHvJ&#10;lw0KDu7M3fl4F+SRUl+nj1izg0MEtmU8T24zMefkyQTnORt/OBUT4FmjToJBJ99jMa40yldAm5oX&#10;LURV2Lv2BmznqhMsFzNGbPxOoO9skoyvx31PLEoO19WIsxLv6ptLEuO9InAUlZo9C4A/ve4kEJdQ&#10;u0IKxhHN0ybqDYmUGVmqrZCZANdMHeLY6HEo+MmhemYYIHSRvMDOFidr0l4ZEGoSWjjG0LV+BdXU&#10;8H73QltmyizCEYuUlHyBTY4V8Ry5UP7q8WI7xxXRia5Bc7WXuxY6ebbLFCdeaW/aCUdcj/1F7VfK&#10;UqxhS4kmk7UAYUqpgE4Q+LYoDOhl9xMtgptZsjjdQwaga4BmW205+NYaicRpwdHs4OUASArSiVgv&#10;S5juoFHbSlO0YQifbEEbX5dr1pUfEvkSOxJtn0AU6nTgTHe2YUkNyVX0swYrSaXOiXM8IkH+I0Wq&#10;TekVIONAcqt7V/2OdaIFr9E7d0QjT1/OZQHbXX0tS0EhU7FSFSIk2a3JLwyykklUlap9EHWJZ67e&#10;5NYOPBRyzblOZ0msPPZpgpo8fjsAFSS83BsGeZfRVvJ7rpEqZ4KNEkR3DZYQj2ZBA00Y4I1/vTrQ&#10;g/PQMfqEdEUHn89XpfGIradE7h3OMkX3MsrLGb2fNm4fm95s0L0/j/2jp+0A4u5ibPfegub4Cp+B&#10;cNVkrJ7CXn4Fo5I4E/k/Ix0vkAHvSI2HR/nyy599+/96/vDh8s/+BQI2kqVAFPc1oQoWnaS8A4AV&#10;ZTFFzmn/cSLHnAVQws47chdbDGseTlkMCXAWxg253vw5dYBfZo5ngDweTHnREsADjZnLeo4EXqHT&#10;70MWpkqggnblHMizb12rkWfZmvZpFDlsPinUFTDzZu0wMFvOOok9cy0D4ZAN8AcRXHZrnwCcwufd&#10;UfYtwL7EAiaRY/UDOHAlC8AWvBBM2J2bEp83IG6cTL2gZ7fZF37qnIDJotCEfgl5ZWdGu+XoW4s2&#10;Ws8BZu/BHw7eqKVpNyungMqTrccfp5udGFtamj2RahDwIiWeaq1lvnEIIHe0hEDKSV3TLUgIYqNy&#10;Q561qa8gWhXCCl589Lamj9KzmxE5mIIC5C2mzi405m7RV6wY0HPEzmGqEruBqDo5WB5gfXMwEEsX&#10;N99xjNMn4dBhydRkUC7gOOMul+u4PCjFLJSYLgm8CoGFgYGJY46Rzw6+mzoTYFg7cZ/z2TCB1sJ5&#10;ZuNWF+FRF7ktUNq5Lr0byQQco6qmmX2oaOFc8JNW7GpkcVHG9yBmEsDSX4gRFKoEk2IhcdCuJ87T&#10;KDqD804SOc/FzBJARcAkj/t4BITPMeVILwFt0ITv294bc+8zE4HOnoL/wyWR8Eb+yuDJtZSaAbTy&#10;BQhEW0GHV/JuFCtHFT4gb0GGu0oL9kdwhKHJ5E8WIFWfSuL29ugWKjNr59hwyO7nDh+Xy98ASGUd&#10;juPr24PJiByRz8aiNyUsXs9EsDNavNJb5wwe4Cw9v1/V9owzxDSenp72T3/6s2//n/PLD+PN2+kU&#10;1RAbYiWkieZNqEXk80eVs45q4TAEWjz+LCYS1oVPxX5UjHKPzb8FHlj4KLn4bxEbFovSA22BFPWe&#10;B0qXJTzjwMWBIt6/b3VwTOxf0SiJzgL7FKKzMpOz4pG881F0d6lgugHVlZ7zLWp1zVX4CRMuLGke&#10;tbHINKaLvHslyyyZ0BRgtcTpH96FXQQJjwVB9oWwEen8KAcjy+9kap6xml6G971f+h23iu8M2INt&#10;QEIMAm4TIBuDNrQeSILeqQVgZ5/XAZIcvaxDFcCIXF0rHHWJTKVA/c8ToXNJWujMI8UREs3kQbk3&#10;NFKjTR/svBRtcSDhKq2mS4d0YhPEIaZ+77RXqYUUaFCiAkOYirdZVm238rkE3jvCSNakdQm1tMQ0&#10;MK1mQ8x3vQAeho5KkFL8kcf534O/HB00rraFZo6lpSGVcvzO5YrKjxCQ0TNdXgJqUFXYb97mIpRR&#10;92eDybWoAIDxgyyTaSb53MCOvN3DinGq9PQMvcKLrnNBf0sd+LkiAGogEpAJhlsASGZ2M5A1FqEN&#10;J9NjEydZCsBilrnEVS35g0nOdU8NmFYaOUQsNtQ9LfDooU8wB0FEfPFEnxP5jfftqarAxxcjTAWa&#10;bj02SQGBaPz69t73mCAnWzArlUhzuwtrRaEZu2uoZJPcYXsg1A826Kwv6rsltqln6Ee0hsChT1Kt&#10;gplkkyJUg78BnLogKeFpvuMOdWYwO2qRXbGENmRFjjkf8jVhz37gNttN20ySN7hGw+fuKOHZ6G9L&#10;j63reZ1VgOTx/y6/8c+ef/Kjn/7Bb8v1aXt8a9mboKs8yXd0Pa046BdM2gn8PF4KEVwWRSTKDDxQ&#10;5VEzqQXo+BQ+9A58R5R1FKhyXD40DSxzuGViM/Mhz+BVYd0S9runPIovtsmaLDEj2YrOOBdAi4Zn&#10;vlQ9gI3hSRI1PTUOlDyoSX2MHD+2PpHfCZR9HMfYtAzBlGT2+HQYLOInQ/6CWa+2ZHZJzttaIafZ&#10;uxNsjqaoJjs1b3uTmIUd63YMqX3EVCwBqEhPDLMFXitnTKIqnKbeQ/6moJMWQ3ZNUwolAZmurfuR&#10;BKiTvJFUnMt9717bCSQSOHzy9qJyczgrmCVoDjmCCNzSAMkvalaj6t7ujKO+iBqscF2sCQAiEuYW&#10;dtdbGobURs8MidqwDrgTrZOcVtQUYiX0FBBapWfWf3onzuZPdybaGwfb6P2M9fd3HNgObEXqYtEd&#10;CfhtzzibcBX1YQP1OEIyi+KEQeaSns0DyHNw05nKH1FLQfmCzGOiLGISQDmGnmx2UAqI/8iRa4t2&#10;vWOI8sNXVockAauwSXwVOlFdlr5FoLYzCUUtQt5VYRxJUBtbUQ46ET2Jb5ZY7IXLojNSgymBEsrZ&#10;YaEyxhJKTpwHEkziXQt0jm0KPgKvNri6PSjAuxQpA4ZzNny0osNaaydAc7KX1n70V9lnS2KZun6p&#10;o4l6akFJ4SW3QglMtiewArjIoF1HocbMQDoH0ft2md77DukvlcvmqrANMINzTnturygZWxXehSwQ&#10;aL3Mn1atey74JGf5hOzO8f6T57//waff/R15fDOe3rKPoon7D9i2ZjtROTgjX4+jzNBAy2dC8AOT&#10;DA7LWd40tk6994uPg7kj8K+++zz0xvB6ESCoudgqoJfDGm9i85AhwoLJsbQ1HmAUWcA/8cQaGd3C&#10;VmpgDqh9EK1QHpUTvM+WUyqRwolPXMGMiIsmp0BJC1PthMZFOcSRZxTEyepPbYpVMUIRlNS5JACB&#10;MzB11qy6yyJtrC6iZh4TsD4dke/pXf3rB1Y/tU0CxTnQ/ZShocyRuap1PccIEr9gg+WEhidYkkhW&#10;oG1UrO73opy1y//yj/caNKjdVGXRuhnkyOP2k1bgqSGwdM9QBKIf1bldqBncTpDMkwQcsSoGU0L9&#10;edyckUgKrWdQFUuNGeMCFUevFMIDR05+Zsnnq8ygwFQ+r+mBQoIAIPIOoB1+/kjqn5+XPEM0c8CB&#10;HaYblCuysIDuuyYS/YDpYrKGYnBBGfFhuCW2jnAxLF8/XhOsazC70TTFD2dyPKee+lohWjrnqrDZ&#10;043tCTUZ/nrW3kgFdwAUQR4/YnMfF8v4VJOctpRKvGpRdETJaQLwy3gIqcrn+wlo8Zk0YZ2aKNDY&#10;kyqzTqjlpeAD1dQ0ZkEdNVOfkDPF8yrKurIIUlI5mkWTSkjpq209X4XeW5PFlw8ZHZtSH/fEYSbs&#10;WFK4Z0yb+26uLX9jAxiq8zbL0KXEZje/25nrsgAZ+o+Hjs5VHPTZ2MGZa23necS/sY39mWf28bEf&#10;Hr0S3n+NccXq1iT3Z7V+arrxq4DpXn4Yk2y8ff/5X/7bT//wd+XNu+NKjO3A7i5+BrWOYy5nTmVN&#10;rGBSgFVLEt2iMUYaWehPNnYIjzsAwBdC6nHKbJccojfyUTqI7VbXSormRaCt0EXNo1xZRvQChQWm&#10;emmm1D5/sNFaDpTz9Kp0stldq31RmEkG8wDWIVkzqQne0dBEt3MsHf0YbhbB6OgDhhZzjFSlsvVX&#10;eCxtyNjyYMVQs8b0aTnjQPYx2SdjI26uTHEymSFcUyHUjp4giZQLVqFVxM+kv9GnWDqKyl+C1gDj&#10;u8/A+so78Tk7BeI0ZFcmYOKhaaBIhaQvZIy0lFFY5Fb0XxfRbYId2COvQXLYo5ftn90/nndzRM7c&#10;feXL+j20W+D1fXec9rpFoQ4uumRDGenQ+yUuBpBoWTy8UFsMqrIupAe4kigmgUZvZWML8Yt60mvq&#10;oRdoi/pG4buO2nO25MQy3JBkwAoMJgnuVBDYPL8qyG+6WpiViqCaaLbUKvUNy2A0ehcQBd3YhsQV&#10;epdbXPMs/A0oPEYviD0lTHx/TSGkMJUjMFOBFo5AlBaWBZRdbtTxq3hDMoM9aTahssmxt+XRX34Q&#10;l4lDg2fZHazEqAdKgJhM4WguMjqKmECMUjBDLdoxif31XbaH8kuLMiuGbwoxaCiCIpZHnObOR7kY&#10;moery+oQ7VQF1EgdQwjCL7gonYUfBzgSgSXJw86pHfF8p6tuorjsDXBQtltmSmNP6n03hEPeKGBw&#10;qF0zcum1aAwQEMsGghMm51cDtij2iXareG5+By5XCQ2AqJa+BvEpRYbj+HXoWun81RHvTiwUB5/b&#10;CFx/459/8Vd/9rPv/p5s1/7w0AiP0gSNLBwT6x4ts5cUTuEx0nsCwTkxC0qrZ4YRlsTvMxjIrBs6&#10;cAKDFHGIkMXodbCtgAc4984WhVtXOL5Gko8eDbB5C/AtQwa6pAun6lGWHhoYE1JEZAarwr8kW4JM&#10;J0j0fQuA3s21DAX1bAd7GK/ZQjEfI/yk4cSNYtxuRQxwdzV86nC1xT0l7CtyrNDLOCmEUJakYwzJ&#10;rukq8k5T77n0KTvcSNQh7iSryGnsspKbKiEL+aGJU7sLesazmmYU6V75mlF2dmlmckFKb16rxjbL&#10;3lYJuYwxwMO/go1WCWGhZM6skwV2NKmLCLjTQk2s+Xp2BBY5oWmRE1pNsOyOBCV11p7L0ipbqQxh&#10;ToJz6jSRuxckkwUGn6EKORfIPsgIjRfc2f/nHDVWRnBMeQVeVB3lkVVpLXPqaLAnea3o206U1rQR&#10;ODEy011jskGVUgaunUiGZI8GTjDC8L4+Z7X4axqtkhAqrnKXoJ2usMWMw1tn2SGgElcnIsBWiwHH&#10;55ef/cQI6A9vBAUn7sm+t0zJO/nsLaT/NNtsBJfnkotST/UEYoXXAVHAlMHmbveMS5kcLj1/9h1v&#10;N26giRTaDEZOQu26yHOTUBddU34px+NqDiQSR2VB5CUYgcEeg24WWChjcPQ4G4sdy5M269wAhzJn&#10;aXtMly9wPTwNBeAJfX3tRclU51fs4dGD5ngMF/sPwMZJF9su9tfxJmdczmtE3rKoYt0tRtA/6Q97&#10;OscHvGzb2/cf/vrPP/2T77RjG1wfFohRaXCw+M+CKO56sFqPq7gGQIwxPkw+WFZvGS+P+2C9O+C4&#10;sqPgPKhGZUHr4vhNxi863S07zgx8PnyCy08o8eU8JhJmPwdcVfz20fNRSNL3xdmiMRueZsKd4pEn&#10;/4RzVeIS3KyJMz+K1YW42OBReML9g4wCuTs/SQbCdDRRmisjVmB2NOcwTdcyVGsDcFMy31YDLYLR&#10;IrpJyqtpcj9STcse2z6x6QhrDae3F7nX/QS5TAVtATrASPcT3U1+3bX4WrYmev+tIlDcXOSl7SSx&#10;nCT+Vr+oN1LqupR5OKBSfWklrKhT5Xhaq3EoAsHyk9B23yLWtOYpKggBaO7tpGpZCYFSkDPaTuwI&#10;5tEV+eud2MC7pXiy695ABYw4VfxgXy1vqalQdv5M0nO7XFs4BeZn13TXYT+zQwE2i+LqN1HGwgZ1&#10;8bCxLZMDAEm3DUoHAVFuUd1Pss51Kfa2oKqkyYr3ymZMu72VinJwFj0dXqqrsO83czc8ytCHRwiw&#10;tejvrIbKTGGiLguJ2gpPaPE61lHHAIS+jUGq4kOFrHAdPmCiBkW3pdOOCi3g1Ti5ONZFakMFm2AH&#10;9W6p8S1QiJz3hj7LCe/JY5oZW4f9YpS5rYCKPc4FCdUjouNW0Lt+flZu6Ch/vTcTxjPKuS7g3PiH&#10;NUgDb4VVedyf7YrFSZYYteRcrfj47xFsYD03wqHimwxdzlNB1V8T5Pl1R479323Xy+WIf1/+zV98&#10;9qff273pHXGuEWibGIt1XKhGWqYke2B+Bx1UbE/T55YeNNmFA2QVRlCYs8P7TMGaPufO6V02QmOy&#10;olCcIYlToynVsiD3VNNDyOhJnoZfHZRPKPIVQFnzfGiaugsrL665WpRoI+fwDZoMXXPYluxPz/7s&#10;LYJ2LUvYLF04+ozXlSV6DN2GcUKJCG252kby+UzhYmwmr/5VYjEMcmHzRIWeki86esgUrfzYcaoU&#10;tBSzmSw/YcCWHB3oyzXZfV0PJLfgwOQynbdO5RdUu3LBLK1bExXZkFt1hF+IaridHbHNCBCuAiW1&#10;me8jDXudBNu2CL1RC9phUxzh/CNIFtg9JFsJzWXIwqARmqhCx90EJu6UPvMLYtKk8LjwXGlkCbvk&#10;hmWp26CJuvsSHCVGQCMDB94gInCpNlXGBaQgXU5qBsqC3YOdHhRtNRVDaMmDxGjpipWaEKmGZxFq&#10;yIVrTtu6KYU8QOl0FGEabYnV0UFl5rg1f9qbCWSPLqytgfUYCcoJwqD3V3aOL4tqdQialep4Cd3S&#10;I4aStz6eAYJ5Yf/5q2DbH1dyuaqRiweYbYCpsQs9ZwqvlCZTjBe0ptqAj+tyJCECSYluSKycLIXC&#10;hRLfjckgZ2UmTdpfS3kIiMNF8D1WWB/YIPT8pKZCD7MYJAHd77ZUmoPEltMYeCoB8cRfAKDj5rST&#10;ZFjTlDKlH785N/eou2hoP7rmfG5FCBnD9MQRjDy+Bo8rULbRp6UEjI79K8ufxkUl9JKtGry6l/Lg&#10;eAnXHjLE93wsuTczasnhriIzbb5W573GI0RtfzMYan/z7ou/+Ytf/Id/N64PvaJ8sxKIPAV9bwx+&#10;e7G8cQgqkzthA1QimV2S/GhwUhaSSUwwU5XjAIIlSGVzzpwtYJ47U5KsinGpLDHtFnlRyCoIxIBx&#10;FBgZuqfGS0DteioEyUkCYmmfEWDQWT/1ND+BlmARRsY0ZVIPiJzXTtGfgLZpaJlmuyhICIRQ02a7&#10;0+PDsJoXIqqLaL5KyBUiARjZc5aFx0k5+rEphD5S0YSVpAJ0z25x45jBLmVADTfUE+/CX6ayI3h9&#10;TSsiVUvAvydRVFwXVLtamRTWByEnnoBUITop7Y8lfuM67N3djnpKOVHTsJfa3YJsywmlLFXW0plM&#10;xMg3TBQmPSrWaOHs4bSk3rEpVi4rBZ4e9PqzljFp1CHwlwarSirbBsn2hn1Hjr5yjmCwI/frEVZI&#10;JSo3OGuPy7g8Sg+nLrRZsl5M4n2qDVGlrElY0Sa1O6TEO5LWAI9wxSa9JHjL6BFNWZaFmgL5ncjM&#10;YAoQ9oj8YBEZ2THmmevc/Ll3y76dcN8c638Uf0znqQPQFg4Ybc8ePihTQ5LFg8UMsXeOLrIZMIp8&#10;D3MJtNWnUsBTqo4ErF/Rm1oyZNQw5NacPXU4ecKO3ZE42cPyI2CEkE9qPmVhIVnVUaBn31c+AYmf&#10;pimktDS7fWl7JBzegnNsvQGDxbFCyz6rzWfWEpOepQ7cH4TUG63zqygrp3kShUSO95MuloJ4+9s/&#10;rOV9hvu8XPrD03G02dm0bahXviZQnYIZvdLaeRLz31IBRh9s27aHxw9//Re//Lu/Ge/es26uqlo4&#10;PpQbJ2FzIRjXi97edKGiIQFKdFMLjGFCZozkBv+CEYES0BQiB9HNXo/JHg2ouzl3CeaOp6ccxHOg&#10;7qCVkxB2e0UWVe9J38JZ0tJlphx/UOnxRM1c3QnLeFwDMoonVRmt5izF9k2XH0Y2Y5jNCUVWUiqC&#10;zYrjvbaUZQADVYOcTa4qVcUdk+PjjxaQjWUErS6Fuo3wiO85SexVSAU+fliJg97MzqCX1l/JqlrS&#10;nlX1lD3Yttrl5KJQ8N7xN5iikl8/6VXcObIHaKI+tH6WA5zBLxmVYOCF30Q1ChFhJj5SWytZgMU8&#10;6pt7Kwr9sqVSEeSU0mYFLVqR1PSew9qgOPgJ3DOj4vQ8htTFOAlbq8hsjaPQSvQ8g41/ok5wezRP&#10;0qUsShpLYLetXy9ju4bNZtdcEFy1nFY5NL9nIz16b6PzxVuBBqxZLBVJQacrWuSom5BSzAVFULrh&#10;TGKWJ844p44I5F/zRRwRE2Z4bC0kdYHIoNHn7ab7s51WVnDIYrik+4a/qvrMuBx0Dp+5c4xISU5t&#10;d4U+6LucKs8COgLG1Yl0zt9XYnHHyJm0OMEgClzrRu3iV9sjOW2TH9Rz5UnA0b4k+efyKotT+ghM&#10;t3VTg/oG2I+kn7h/xeUrXeGo+0Le5xo5Hj98xL/LgzqlT1wFRoHO9/dNDwDO1TlKRIE+IbjhtkF5&#10;TLuwGaFAfswe6ddRaVlWvjX6PeFU6mfV+qV7OhfztO75qqPUiknIr/3nuNTrw3Fc/MO/+6PPf/yD&#10;y5t3UrTXU4hoCpmd1TT3xBvDxoRijhv90DIzx05AgVLndTLpyrMY+5X+M0V7D+Kfta5Ncz7ETtu9&#10;t3UJ/eTnUvVo8qjr7eyvWWRAFksyMhtsVCpTuCJrbyHVRjaDBkYytSjoKxTY9OpeX+kDFMcD+FSz&#10;k8yec6/ZAo5xOmcEH57/e4YvI9uQnV4ipc9vR5jN2gEw0+CZtR5x1Xr3FAgJT4rImtGQ7FJmcvD7&#10;2nPikbQBHOI7+xuRly4UzQZ1Xidsrz6Gt0CH9MorwM6ksZ+0k6kH+jJaXC9I+vQM1mpmQ/JsoeKp&#10;1R4JMx9q0LJdY+JcAHyiEeOXhApSqWjRzzaHKzrPE3mOBeUOKfw0g6WQ0AjKZMAjRFKJtQMANBmo&#10;djqbR6Hjn9EPClC4oSDt3FEZbkgUvvOEwaLDFnmyxPQLVPTlPKKEwGTlwm5wqR/YcCtnDJrBniz5&#10;Zr85AFpXCuktIB+5JX6EDUAXpFiTTgNc7MB0JOIEGuHWkQ+GTEGW6zynF6HuCm/e0S/X6/Gt5w8f&#10;AA5MZTai+ArlPSGokiqmJBhE0mDhs3vTfUaPSLNzNEcKONkx0DUAoUhvLKKJy6lIO9M6g/wHj29S&#10;MRoxclNK5ykFMxKIFmpMc0YtvsToQvg1RS0JyvXIB2FlR+cttkj6cwZZcxnZxFQ1BKAdx6xudRRH&#10;5E6Yu9V2hicilsH7vdPIMN1HB9Oer+1POzCmT5xsV14usl0s/rkOHLpzYSHgDNom1SOl9179bLkY&#10;9tD2pP6BT0JK067+qd8qh74v+YenI2599t3f++InPxxv36XdnXJcBCwke049EBQkIaI5TJSWtzUg&#10;FDfZTxge53ZHRPcWaqBUHsZinzzIvVG5VKukUQ+z1nxIg4InpCVjkLMwG06yCezROqhDlB+yLCWD&#10;YItlOYr0mLTExI3dlyRemeyCIoHObjAPf6yuBg+p9etputtC/Xiyf0c8f/qpAS7nc9Bwccp7IsVu&#10;qKDEZKHuAwDIxpfNCGe0cCzVc/sgCf3p4mfNM5YNVJcfIyJ5ZfDZ7e7ZKV0B4cjmvPxfOKS2RtXV&#10;CUPOQi/RZB0oB0fp95/Q5Yk7kiLBD2sJp+kChpW/CQ54yHbBSWtTChuevCXRg+49vfi+1lc0xYcr&#10;yGf1x8i4YzILtodPEHfmuSleQMUQVohMebTadxau7gIVoYHn5kdnwlfbhlcVFIIRENqWXgnX5xgb&#10;PWzhLQC/6V5P3XijCTGNWG5wi2ZlFlJnQl3W4SXbjj6i7/YWmlHMuXoMUUlLlCL5zlxCItkMXaJw&#10;gYIk9epHzZacmGiY2EPetnF9eP7iH9vHL6wosfICjqABlTZaZLAAhXggr7/CDZIjMxSNI4Qd5OQt&#10;FzBdTWN3wliRwcx525MVkb0gGoLbafjckuacpQEi675Twz/FlZqhBCXmmyFfPRYLNQJ4266QoWll&#10;7hKiFC54gQEbu0O767ZYp1Khb+5PTV3KTqCFLenGiWOXoAMs1EbYRofKjxs0bV70z6OKdSVrNTd0&#10;+/gQ8XL77/15e3i6vH2vR/wzO8mri8i4xjpqTakGVO3UOZdXss9kZzq6YVvi4/+E+k8NHrXfPv3X&#10;v/vhpz/e3r4jkDWzJcwX8ZGlkKk153sBqe3UaphHTmDgr0lRMihzerQApSGG3J0eLO30ka3Q3CFp&#10;OKV0yvHD3uqfKYIyK/FDl8xxhOnxss4LANZag6lBlYC6dCQJrn6Roj0VvqHzK9HFzNE5vgPiXSu+&#10;xiTUt2iMqhYBzxSWEp8xk8yJWSltpUvgEwnUXsCOofRJynX4zqfRWQHd9CK7PKErQWDSEOcSRg0e&#10;KauExMLmgpVIyQaKqeRgVkJ302zUljaoNlk+Nn2hjPrqYbV7sE3thpTww7wOdI+0AdbihOEKj6iK&#10;WG/HfLVVcwnYgtBjqeoi1DeXVKFJ1bJM7RcJLJ1uCbDwzpfOouOs1RcrWI40XfNorRzqCbHF9ySI&#10;s08CoCh9oIbzIXxy40ISgI/SSQ5XrzSrM8BqL7QyftTetXqRzGC10pJRSxecrcdtuK4orNqWLDH2&#10;OdmGy2mIClUyA9EY8a/tIc87paJjXyhAHtXVRjIqnsLl+mTNZAN532g26/8f9etOllKScqX5iZSS&#10;K86t9GgpICQtXYIOWXRJPfGZ2gGAUu+NcVSKPImmjU6IEgzHo++y1t9RUMJTrTOBnTwjtOKoO806&#10;dQk1ygK7r7KDRbpLTTtsZuoCarDlsjmwwj+My22kD/Yik0S27bokceaSgupoddBGxbstxy68XMb+&#10;lQl4mtpA331m2cHEaLvRqLftCH5HvNHrVa7X5jI3FhIQgymaHIlDcGjUbTar2nXIKM0QO5RiYPVr&#10;0N6XkIx1CMabt/L8/Ol3f/eLn/3Y6r9is4xHvDI1CTJ1dxMxovyR1xJ9wLxz5ghOWIp654vwy0Yy&#10;NE7W5AN7ubVTWwDqAdV/sfeXYsOno0VdpQxRgwPIwsbi59iZ7S9cC2Nvn5h0tZ5WchDa7kydg77l&#10;iq9am9OrtcqSuvdlIk6n40qfpvKulgnWAoPxB8KlNlMiih0mPCeFTUKhTKOnqpNAlwG1poJL8dOp&#10;oylH3dhQY3Ipu878mt12j6Q+jtn8QJktM2WICbNPZzRehbnwOkk3Oo7CYX2mOhTgAKOtAXayZ+oy&#10;PkdBUolzvJF1kcZm0ZmI5LbAeKl634BtHiETA5EKHh+d3DAJDxjaVBCAcVzsDHfH5SgS4AAeGhAF&#10;laTtB6gbDhFTMo3v5HWz7yQ5x4lYEvpj+VhPfMkQgI6Sc+Pr2wbb2hi6XI1LM60PVvM8HgGdRmt1&#10;Fl0Fl7RgXotx3AytptBVg6WrYDIF6D9aHrhLGsXdTNKlpBttKui7XUAPsKSLCPn6C+MeTQhZ5Kl3&#10;8nfp9YXW0eXN24f335q35wIZXXqhoUkVbf1lrkDZsfXp+ooRCYVIj3FSXKCjjy5ptPhNweuyNY5z&#10;dQnycSzc3QcDjp4d8k66PFaS7phAlZ5Sxw5GbtX2snEJ0Qu70Tt3Un8gRpFmzj6ZSoemaM8Mrk8A&#10;jkLHq+AwZqfHDYUZYFMnq/Med29AHtyf5hCyrbXfTJVq9iubvb5Hjqt9ePfJ5e27cUS+7WLoXKv/&#10;0Jfx0q23lir/kJeP/0K4oErqWHMb7f8229d7vOPz6at/iOTX8fS2f/nlz//wX338+acQP9OQ0KWr&#10;TsiFyGqrNg1TKpRMbYCKStkRGKtP7/o4evsGs1xUb3DvckRiHFnWlNqLK0EehgkHMTpg5GuLlLEQ&#10;55ISwx0qxdS9Xwu/54EZyafM6LZq9A8VBtHkPKhUgwBGa6TpeDyBqOKEJlXSNG2SJCf00daWlG+M&#10;R8MVCDC79nayMA3zvRT5P+MLtfUlvhQta4KyOQxKUEPMLLOFuVxmWiUdTkmg/OvZt125txb9Wh1i&#10;F/Gvo3YJmat7D8bgj79El5wwovU9I//WCmWuMpD6+gvgYNITna5a+NxhokrbUwul7VgNHko6gYw+&#10;wJIqRnfuzlR5WSI5SoXeKgaQfvGOZEZTbLo+Wdi3l8HqHetyMdQVrBc4hS6SUpcQb2P/5HJ1daIp&#10;c75UMzvr2aHOZd8pxfuCzevK664NN2Qt+2yN3oxSpBSGOj3E1HLHSCncAMBXDU+GFtrl2noy8xoM&#10;ARbqSWIYR7zOvFzk+qBMwlbxPkKzNhhsi+uwqLApVBnSR0cpNmG+yq5mk6rhCQ8KiQEe3Dc4KQAV&#10;RJM4ITGZp8DF9GPOXvySg8Zleg6N9aJ0RUQRGP0p8WFF/kYVD9gds58VVAywHbgf2EIWn0pMn1Z1&#10;jaGNUmPHG6R99cNAYEDz2kUGKvUWTT3fJ5A1KLLotnp3N/NzhMCgnN7xj+3hcXt46g9vxuODNT+v&#10;x3+vExBlU90bC7f2Yr07vCu7ehQynlzJ85/Y8ZTzJmry5m37/Jc/+97vffnZp9ub9w0S7fDjwbGL&#10;DVnMnuxiXC9CYPPEziTnToJjcEY9r9H2KtC+oIpOLJ/Qh9KwkD2JtFXn7YLsDxhqqmnpzbsmw0wl&#10;JI2fQiMjlsStKHyVCfLOzg2TpwCzL9mg8r5FPNaPuC0ENmVhfNoiD8ody1uo1cJ+N96z92rGHMyr&#10;qTCgbTGeb2VKDTUlKR0dIbck36wDwpN5Y0/mLJCpIVAU79pdGFto1hUsovXM2CPO2NBmdKZb0ogH&#10;FS/1RVamk6ZKQRqYJ8xzCtOvsljSu/U8Q1wDpmWmgNFRcMD6AsyEfRcESFq/C+kSWfgLbnoCgIYj&#10;NQfYxPvU2sas2eRgkS8FrCOpK6N30wsNzMoM7GX1Yn2R1HpHkI92pO6UH15p7liAqJ6HHt9ik9AT&#10;YYuLoQUq92dBHn9Z4vbUMfLfpBxiiANFhJLQReuZNVX3uXLm9HBU19ucOdWXLKFaNPVgAYUqp8W0&#10;4CSCAPgi1JX2sMsRlftVp0FgknQXEk4T/HoGPLYCgmCnm5ePfQkSOiy7BDHSuDTEp0DuJ1S0L3ql&#10;Br2Q3A2wJNljYHIGXSsnhA/J/rAPICKLIVS1LY0fzPkSE9v52XFwzUzjqHigFNnT1HSFeeTM9Wa+&#10;2BbyxQU9naJr5D+LY+RdGIYiSFfZE2u0LLAJZQs4zw58aRxMQ9CF27bH9996ePd+vPukv31nC8u6&#10;8Q8sKXAo9cK3qxMPVIHR3QUcJnhG+o2T+tcENspxQ2PDd+/bP/ziF3/y/92+/OIoT71FBi8tcjR1&#10;OWsSJJd2N3PfMcBbar1t+ftEX3EuEAeafIQZa7QY/ICbZPtJuIik/kXYi09Zgnzaiw8FjtbMRXNk&#10;rYu8PaVVpKq2It0k7LVweB+v1hb1PdApC8M5iwOihyhZIC9a/9QoICdIfyLS21KY84nAcjScpV+I&#10;8neMFC1xBPmMsQ12yQs76mDZSlGdlyUhho1tIo0EYlqy405Uq8mgxRdBEvHb01U18K9GWI+bGWdc&#10;WjFkkgFwqWGt5x6ZnD/rWdXROnphQVN5yQfCV27aZrFEmGGls8ZLZDR3WvKy5o1W57IpTzKCZJM/&#10;+D8jDMBayhfNUBsi3XUBdHH8r8a392x2UuPO1BjXR43jCLw374kFhK+I958VcY6L80mLq0IwNveF&#10;klmKMi7GsR2Z2dbTALkt5VNN0XqR5VqraTuvEgNnbO0hAdKTomIL5YH4RYmuf9NT8zqSnMUi7ym7&#10;zjPA5jCzKObADzlZbSckNyo/k2kOASSaPc90v0wNYuFARSkGJmhRWX9PkifflrFRz34ZBcBb8btR&#10;ykI60CqmNgFA0Zi40aa7k6TpszeH4rp/r+X7zwUUDgXYpkuxIeUUNOE2HcwrSGVBjL9D1RNJPQVT&#10;42J6+JWGgpJqwDe87xpJHQTM0LGcfZubKWXrba+OSErLDxem0sAYq2JbVUA4FILcaMcJi7jJLLT7&#10;Uept18fLw9P25p0lZMdZdr2KKwSZG7DRDSvoTVJfMYIfC/vC9FWUgS2Zm19De7/jvwfDJwFo7QjJ&#10;t09/8tPv/D9H/Nue3jJvsGfdaxIXpFQK6Sol3HZJ8h9yQkVR2NDu9DUGshA0Io5XvkV9NaulG+oR&#10;gK/bwhXCWnWxm3jqWf+AIhmNyvxiuks+y5hNImzC/Ih2EEsB5G6OKHkYNwxtgsQWQ7/ZphTuYK88&#10;V63OBEmmkvDS4hiPi36A8CrFV8d5e6mr4dhvD3XB+Ep18XCscxVAGG6wE9xJ7a31QxxE1qyaAmFS&#10;O7MvnXocxcJR7+uN1f+kAyjUj+hWFYqGfCor3Q017Ba1LbwxxTXO2xhLSqxUh3pueGrNEk7BfKUi&#10;8oJML2717u5z0ElxAXICk0lgCJIDy6j2ilBblQ1IMnzhF9/hVu/n6sGB78UOeLUpFzm+8mBqU15e&#10;46vmjHdEQQTskdE2TKeD7ro+23YmkANDNOgswVvzaf/U2V7RxyfNKO1JnOPsnG5vY03naPeMgQxS&#10;lvxaiyiH4W05p0iq0is8/7r/jdm4VDGrrgE3V06C1/H0Uhwva1cakgUwtZ22kMbQqbZ0eI4wqvUZ&#10;HYjshyulowVA88mAXeHMHCRoUXgB/VYKFKKF3qqJqnRXyYgcMoaRoWzQY6hh998RNFong+GHFiWy&#10;diiGQ4U7C0IDoYQHhtdeM7fkdCtHim+F4bXrbrcFsiVJ8fhhd3KXGGHHpMlt38IWdY9dPMENJWbQ&#10;aIN6XMm8tdsNloQhyW+OkuMIgU9Pl/efyMNVL1t3/Mtxjk+mmJZCn5+1rs1TdOrbKyK9/+1/TEnx&#10;8c3tpz/+9PvfORb9eHzDzlcnDOJsPEDN0sWHvdcxbLHFXOyNjXOeKlC7AhdleZxNPZv8aMHdVEF8&#10;aOt3jh61eNExocFOD2n9PHRi4GS89aAjVcyKVS/94k91X0s9GZ5YZSdb53td4rvEpEPwD432qIWg&#10;A+CS/8sgaFJYwNEuhh6YjeCiSK2WTdgqaB2fw9x80r2F2km1WAgGC8VYNZqZIWUJcQYp6YDW6WIu&#10;sPSIocWzs3TtdOi0HqZMSelmUUV3Rl30QjVGgY4NKeS2rfmbBkuxa2ALE3quOeE481+PNccowKwc&#10;WbVk5SNFt65L1nTL3gcf1jlNU06yCSrFiKJ1Bhr6VYQh2PKfjnMxeuJAMsp5TjETsoeDehAr0l4L&#10;f7wdkpLUnSZwgnER8DpR5WF6cZw3fXvslwfPx2bIXM1UjA0EjVbodJ6YKW6TOl22e0IXM+32CM4L&#10;G2xdLsghNZrcDU0B8aU4kI0HNgkAOAhCRVgcRHYfVIRR9F15/fTECEcICYVXgF9zRq/UTUt5izBV&#10;D5SQLM0MKDmld2GZYa9MP7TGEpZMvmkLm+2e205j1dMRFNykuTLA7FBV2Q60fqUMPCb51xPdS4mZ&#10;xZJL6kv5dgggz+zxhOyVoMBXTRoSPf8Ek0UUKzz8FMTUqYvF2HuYdce9RM0dcjCWKcPqNnSHzdDp&#10;4XG7PPTjv0/v+naZl21cH81Qyfwmw/q8S53TZ2POz7uFf6F6Aa/vpfj1fA3psuSj2AnLlO3YqO8/&#10;+erHP/zJH/7e/uHz8fSm+LxTkHZqKPss69fJFrRTpgRtZ38oFJNjGZQpfCIWUz2Nj0tXoEpmmMAR&#10;U9HV4KoHrGq3itPNeiB4QlFcU15dEBVix8KoEOIfFF8pGXynfhmsY8K9i3M1NoyKnuVkYzaWnLSE&#10;48gaZAAaDY09fAsgFFiCtFMxECgYuoI2ACHCW4wMpRnG8xR1p1Zf6AncsQCD0+3kLrtdMrqmvwHo&#10;gKuJuw6koB4UX/sQWxJqpzbRAjTJNqkMzfmbpO2HtqQPteK1VtGcC2zZC6AyO6inxkUqofST/DTX&#10;FV6kr15pQrZmsaum+dhYUTU1xYLEqbPoLIQnFxWlUdL1RJ6HdzR9BIocU5ydsqiPS8zlHtkDQRN2&#10;2VTu5EdsmjqdSBzXGq8LRhcds1spO6xEMCacjf1q3paPesZfGiaIipwGA0LquusfWd4/U+8kQ5MH&#10;030uONISiYmkhIPQECeSxVRNNRaqh+C/qdSer5WQFPrCy55fBL3FHbLbDL5aKGhoSA5qLgoGoUBm&#10;86FpMUGrfXP457HXK46FgY8xZQ1qgQJFh9ADnwDHzBDfd+hwmV2HESZM9QAytWjBnHcSjqspelfZ&#10;Swk+dUGcreOEFRo20uWZCnZgJ5kmhGe9i2AeY5secpEOAmxwStLWz2JADOF42TZowNWXezCGi27w&#10;vVPF47jtl0D82qc0P0MHv2zv3l/evjuioD5cxciaV90uGrJ5pXkV0W/0RP+XW+g4fapI7K+UjK/B&#10;QE9D6RPTTMfD0+2Hf/fzf/tdvT5s777l6nEt080lW8IBgzh0PKjZM+CbY8DEeJJFOoVCG7DGbUzR&#10;iBaNFkFiB9ICgcS4tKVFkEvXMKEGrzTKAGMlBw/dTnvpmnBPSdtrCmVoGRJqzvhByPOWT8jGltZs&#10;2eOaGSGBnQwZe8u6ZRAmggEei+DV80sJeyZeN4dQ9dDJIAgVaoJtJtzpKCdaJ+sXkn6YjAewHmNz&#10;LlS4zIZLStgPRNBedgKnMfMd4642dXF2+KB7v90xaEp4AvHbIRPeQXI26AbxEenUfCmEeKW8zvnM&#10;zxZ95ZgJ8RCSbJUY7Mu8L5mkwF7O9hFVH/8Fmb36+DBzIf0blW5HP2ulG+B9p5l0MbgPRCH7JPrK&#10;rpTFjgOGnn31UT5FR7deitNGhzkqpAncvTOeCPTz7EwxWY1I77Va7y4hQ6h0ZsOlMB4x13Qu2pwr&#10;TEJwZ2qS+0jj6GnOkFXhmVcrOOpLcMW57FUpam1Z0mWez7pqnED6nAbL8THmaWJRUuwc+a1Rgbce&#10;XWOsuYJwAcknLUbPKOt0+fCmo6I1WGgPLU2mJLj/XasOSNpiNLp92omzufC73qTobaNMJs2OrjEl&#10;W0lXX2SsgtEasfLLUAINTREOlkBNnKRDThwixL/1sPtAhxa+r2puD45lF4iYhwMrjyigdZzh111t&#10;WUOqQYM8yxzcYZBtXFjfwFaXGjcmO3AUf+Oo/x7fPrx5Py5XIztaR/Shmf715upPQ+7An9EQqTO8&#10;0BqWUov/qkaogpXx8mfQp5TtzbvnH//o59//jlE2Hp4I06eyNlUwI48nf8VpqjeXiVHmeRLKk6tj&#10;xLhhfl7Hx6QCaMkYRWZMNYNohKLL/aHcBbDNG6KAGQ14n8lPQBuXQw+0tyVJ35Z2pzSCtooD3ckY&#10;WKR6Bh3vkvSekPpasyijh26SpIRkgFjI3wjNX+lFlfcEEJHqGX1JTcY/AfmewVO21n0sXkDufQN2&#10;WBhySNmLA7DANK3DNTZAeS0A2YDe26kFSgf6ZjEymTAxyUSnkLKLR2J1PQtoUDG0C8Ee1YIlFNh2&#10;S2AQmAotxiJnGwBWSqLZ11kfMxGDx/VQiqOQVwhmtoufmqHEpiIna3iXXWgpzbXIms48qxNzl3wb&#10;RU8ttf4d+QEjY8pD8+8Mz730LbpDmHXnurJLXD91OEUzi6PPw/Eu21kcL3OQO/N1YBA6GV1LxN0O&#10;WwtrVvYt8XCcxQNmzZQxCGIEzWu7d+J2ZLfztttKMdLYs396toonu0BltNCTtf8au6XgSpgBDKyW&#10;kD3qmdYs4WNZSJxF9C9l751C+iJINZKsA1BNriWtMxYBCLpQhFBWNlmrAgChd7hAOoFUoCRYqq8h&#10;wLVQI5RwuXHF3h7wol70qXRKyEjFsyDAIRqMxItSnml48bXn2Kl7EjJByAsJifD8JC3DnhW84tAI&#10;iw5DwOcc28K0yQ+cGTZ+Ldne0HvpEhx8HAjObYhGnTMLiW06nuu4EuVBt4oj8I8JmJCv2cv1QR6f&#10;xuOboxZs29DLpV8exDwuUIzKGvX1Yi3c0nVW73Dgni2lqll/LcKR7nUyvpXlEGAtsW692Q9/9ec/&#10;//M/skbx9bFpjm7WYtCkkcDiXIAEh4DXHhzX7imdTf6i50CV5AZLWB43jEwpMmCkkayPQEemfWCb&#10;gYNu/KdwmG/btrMiLEc3bIWDOBzTAfQXObHsDl4yIXJCSBY1CzL3bbYlw90wwsYQbYwhLHBaiOD3&#10;VPa3NoZwf2F5H8UPjLk5gZ4hu7E4NhRUCNtMwvQbNTi7s0008kFXVPDelJ2uISV3LD0HLSuB0D7s&#10;hPZQSGPOojMcXE5HjbO9s9oLgrqsE1wqYTkQKgD0eJxBNpIytUrRiJ1898gjZs4C6LsI2We0PGQN&#10;clPUehnwdKb5AlpYQAdpfdFC128uoHsOlpueWz5LRsGRb4mk72fD0VaswId+DRzlRUXZlooa+17O&#10;aVkXLBXUKct4p36Ukm9oQEHILweIDFB4CIwV7YPl+hwuASnK5TOJUl1H4tND/8Vi31dqzOUZRNxJ&#10;jeZCOYDidYrDxczppMNnvL+zGlNgq1B/cOtGziRWTxh+Jya7p+iPbRt5wKRtdBvskimdHAIqGQ70&#10;1T6JW84a4D1FNDk1k+WzESSqSEjS3YLC9MLJC2YtkWzP6CXXwN3WkHVPWsyM2ktDZbQVR8EZSmq2&#10;r4/CnQcl5SV62ACELSnIGF512xZuQfkwMA85stSulCQdiy9E4GIQmez4wPY0c6gGtklMxcJGsYE4&#10;jwHA6CG4YtNlIGBksP/eOJ0ze1s7+rf0owus7rY9vrlcr+Ptu8ub99t2NTs3kwC1+d+ESqojukSW&#10;GH1zkLdURMK98L3e6UC+CH+jACjm4qWEuwjnf2/efvkf//0v/sOfdvhEIq9lZhmZmq1BBygdf8cI&#10;jFVoNPgyZj3gAhRzdygm5ghZiA2z+YVHaocNEPseC1VVgIiheg+8jJMv0BQx+cPWU7QzznRZM93V&#10;5QN6MVf3bPdulsC0ziSj93Rkzy4OevUBC47ieW8hVwuqlXJkELq1Qjlf7k3uQVqC0xE+UG+iFeev&#10;i4oN0651enJQyWPcYVzupOUUL2V9detm4wezUl3Afjl9sIWpaXfWWmt0JxW0IsUuIYW5IDbR9jOS&#10;0+Pd7AWrmTlBihqDAzjvGq5o44Y9jbePj03itsUkQp7Axk2+yTG6qASy37QURPU1axB5XSrpG6Kf&#10;nm4iWT6kympCtksiW0hpZ6LhiS5QhoUm+jCni5cP6Af2ghPQsDXYNqv8emd9H5RarCH4+sSoNHRu&#10;YR7GUY20Ba3Dac+GjWcrRvU93v1mlS+EcFqX0xRW+t1kRUl6g8yEb1lJyYIl+zNbO0n6tVUsozkc&#10;kr5zQime4wH0beyjtXPxzSCT4mCN9WyiI3YgINw7scn9U8kDBb3pVvRPW1teF8oiv3U46TW3XjIS&#10;kJNjAFfqGi4w53vj3AUXFfN5ibnuyVgoxxDCUrrF+rXsGJP0tjZxYNthuZAdTh892G3dwSdzPQqa&#10;laP2HOZRhBSnXyz1URge7URv7s8UVUiVCZSVrvZpFknbldy47eLyUrgALK+E5hnFp+8OBjSG9LZN&#10;fX607Hf72HfKH4qJp3sFSA+8fYbPoD/nG7r1VfmsvR4Pv0nqLA+l/nIuaA/xev3lv/83/XL55F/+&#10;z/PD51pySni2RBdvSuHsncRAlIiPEDffQWTPbF5AiujCAt1Rvseend6ZO2Km3wtl48L2iwY6TEmp&#10;gHe6C2MWu6WFvgebOPzmM+3PWQ9aEXoSiExtWy8yJ0JGKVy5+lj+xrmrSpI7kiIT2s0tpykTNCEg&#10;Pd3AhU40pb8idGYWZHktcQ0UAlHjC2yyPweN/ebbiLIqM7hZu++dQVE3pvVdNI1oDKSOPE5hoK2F&#10;Fi5UTX/W+exHUQ9bGSk6Py5OMjPgofiQlLthMYxqbZA+4hL10TGbQKgvt+g08gYve1LHPQl6oYmj&#10;4KJK0QVbFAkHfYPWneLjGabJPPVHcoPaXuuBm5dgaBiXPRRF+ghXXn/oO5XP2qnFl4DlorycGHwu&#10;2D4uY1xnAKFzzdG5Y4HoEBdgt9uRwVeZs04M4mD7GX3UHoRrdvOQdQ6YHM/eY3jJQZ8GbJoDv+UY&#10;bsnpuFwNHI/jeXQSnX1tTkr6dpATG2j/VJTKGivoob1L1QFIZGCXFJtWWZ7qFGHACCoGBZmCRuNU&#10;itUQtdxXegvFDa+HNSl6Enq21A9U3sgOuzJYxsuyOEuLRqr4Z0axGLvEmsfMzwZm0bsNU3XigrUl&#10;dC3sZ9PsQwJQJpLtntBh4DqPpnf2JADg4YwGSsfawyuVOKRQO7zdUvyJcE3/n5OEmc5vYY2c7Kxj&#10;opnDNz9QCMhbTuUzxuGdakX+4j5j2A1TNp9DMC9EeV1iNKwhbGK9HQXg23fb2/f98qjO/+uGYhjk&#10;cMIF/niB5xDQ6aRz3WuWVU8f/dXiL+mEdiYCurShkS4ejgv7xz/7/uc//Nv+7j0ceAHgoDSQlgrE&#10;q1wI9bmOD8v07DTbrBQWK+wMBJl7v3l7fEvDABRwwI8NygrE6HimKwsMT+yRQazO+89uD7PSu9Rh&#10;Q5TpSL7hwA7H8OTn+sceJT7mx0uL6qjRYnvP/FWkw+DnREupp0UN4VAdPwd7h8nnKjjtU3RXlt5S&#10;Sj0G8D9dHuDklZYqueD7RlzasXr22efz3iNc07F4lfkcjFT9zyT/55eG/y38/IVOTBKPFh5bq4Bs&#10;CCWH6XDKsCAgdAIs5hk5nvKydUFLOsCyZaozmkw9PxvkNDXAsaRbnjZFJfNVrO1MbfQgSRYL1+TE&#10;cCHtWOUn6x0itE9lTsH9Jqq1c+avoQpRy4YloCWn5ump/F/nOxF6SOthINd7wmed3DmOvDUtfUVV&#10;ywX3cGLU1Klew17PSuAg4yjubWzAMZ7ODu+Ta6sUOOqreWsiVeZgF5ly5kvNZwRqwzg6U2sxXGRt&#10;KCx8p0pHxXGh+VeTs1lZDEY4I9QQeEbcXyacnR94XI9CtgP6GJIEZ9hVjhg17OhEUjh7dYByXqDp&#10;2BDTABe8xeSPmbgw90W7BqHIZ66MdNYoU6vDhqu4a1hjzzKfXDE/tOh5lExY3U4faVORl5lhmqkG&#10;0Icmt5PaOtbDpD+OX/9MFfscJfkZZlkxWImmvTCf/bcsh5Uj6M40rCiWcsIou10fzWlkGGLr+Pf1&#10;8e328DCOv49Pum39cu3XB92G6yiOnipUAeluIudpn5YxjXKQ+usKnt01hXADbfG7+dH+i+99++On&#10;Pz0uDAMVJOikoydwNrBaLX1zTN9iNirpDi1aKh1xnXOEHn5rGmF7j2sADG2GqUJf6lESqLOAaSyp&#10;Rc00PFxMNAeIM/rH2SNY4lxsjKdnn4YS9hqOBR0pVWzKuRjDDLAgFps1OAetMpslTsDG7qz3/ubO&#10;C9QYdgYWHNZRtIywaq9pCDyZbgTk2uNBwPZ6D8nQGWDC5Z0g5GD2O051RTk6xoiOd3qCfa6TLgzI&#10;IGqwJ0swaHU9zyyQ87yK50C1jEaanl45LjBD6VnbJaUomc6rph/MAn9BbqNSmF90PRLUVHuzARnr&#10;cod8DfG1nJ5VJAcBBgWHTf3omJNVbdYTv7stZ+Agt/Wvm1hUPRmqRSNXcI38IC4O1ujD/gDusay7&#10;4ubRrzX9Cc93B7AH0lDoS3C2Sgn2qJIZ7QflGq3P6koT4T66MkgtNL3G2TOpneoFtYJPpJ5Rudlk&#10;mrO90CoI6FWXJFi5UjM0fLVQ/cL+sBLpEdaGp93VZLXko2WmHavwZuaSrUKZfOp15PUdc2IH66rx&#10;x2VZJYQKRMGi0wc5eFoCNAF6XzLkVLGs4TDqsQkfomBht7R9UC3OR9Cq7uFjMRNwmtOICa0skqKY&#10;2DLTn+SG+nOP/RWuvAZk8CmduIgJ8N9QeFk63lw2VCv1zvy1bQ+Xx3fj6Wl7fDqi4W46HEdovKgJ&#10;TrGBscQ/i6Vxu0MpfW1U+7W6oGFC0gEAbPvzeHp7fMRP/+D//vKnfz/evccwTyE2S4BrW11wCWUr&#10;jDvt8W1+P52YMzYN3XoGj97bUuVBZ2v2HX18avglB0vnzZvzCW8fHAv20eIYBy7dB9G3NKWpsxSa&#10;xFFIJoo0OlrvEv6ZksS7GBWmvzRBXOvzjhXSfJo+U5Oahp2SvI47HhH7AGvA7mjEk51Y0G2zANGi&#10;j2I9Bnv3sd/6/hzqUaYj/zwu0EDSVGYON6GoF5fGTTGUI1haX5JlCo3X/VDcnzo0Dlx6XDat9epp&#10;dhU0WH88RqFVORnCIyGhQ1/8VqfcV/WIFyCIel/OgSGyVdRjawd+kabzUiZm9i0U8ZmsgWnOHv6E&#10;QVqnv0Pocm0mx0gn9kXo64Hp704OwAOaVfLHdtNN53Ma4i4EZrabkKGnmy4xtkLJHKHP4izKkOhv&#10;Dm+xSI/mp0OnIOrR+sjzmy26WFLkqWqlG+Uo1yGvYYbuSObeL1vmcL5MwZPemxbVm26lgEw9zcy0&#10;LQsebhJNP1VeUe9NambIiRFKJT8oNtDrlENDUtMh47pQ3bQ26xCS8IhxfJRBtQSol7Fu1EJpn9TW&#10;ne483nvKuMgSTKTZ2VySeG0BcBQ2qKEpH56hPg6I7CBcXXhP6RiaxEfyd7AFQ5onhRlBqZwO38uR&#10;I80LUwGx9WJ6CNyosl/HDTzzRtFxqUGbXsp1eEgdDgLMqr7Lgoi4mR/VgdESsEJnuyqUBqWHJZ6M&#10;qQRiCPvzEMumFiHKR2AXt8vl4U1/fLK/m9m+W/3nr6ngSmWmDsGhObVkk9T8rG0e9x0MjYDXBJNC&#10;jio94WeEJZt5c5a596c3+uGLz/7428+//Mft3SdUsbg9t9kocyVRmVL+ZY+kDoN1G98ALtySay+E&#10;O1K3xbEzdt+8rFSitUGstq/DzTId8mhsInGWRNOrepT4vOTmUmAeVOC/gVIyBoQO2HHz2ySY8/SL&#10;tnkmqIW7BPQGv5prPUeMraXqPLVudJ5t4pKyuwTJYlrecw5S0xpdZilUk2YXUTr6smindraD4BUj&#10;kgrPDhHq6VBV21w5ElmyUk1fZkdZPZw67BHq0BuRIpCmGIFCOzvVszotJbjPi4IlRzJMb7OKlxPc&#10;4eR6FAAcSaWBEwe2KnxX8Krc+xm0k4hrZEZGFACt/0xNPwM42lnnB5XorNp50evVJnfi2UTc09eY&#10;FqP6Kxs0csYgMTNabU8/Brx3ZPT2M7P9Tij0zhOt6zLURfdvEp867LDZSe0KHn9MOTnERQJxi0bX&#10;qk3auYKndka42ASbNtmHOiOLSZSBBMhWS/AmO2oIydFLTq3q0sp5FOQ8P6ulbrrvGvJrPgK/6RL7&#10;TUM+eJV0D73NOUKamrI5pEy6nwsU7/t+A0RTYOCgO83cYJiK5iS5tjsV1MDfStPcdM8COTyE4Nc5&#10;Talsf1k48w26BjLvghR1QMAXSA8BlUoIbl5vCcGupd3OiSHUArxSBM8h9V6YlGABcoo+poSX7u25&#10;N3Dp9DbGvFyFFBpK+OdzZ5M5Gpne/Hwcj0/Xt9+yNqPpv1z6w5MC/0muMPlBlfC3Jvp6ZjdJk9dt&#10;TM5qhu2FRjZOTgKY53j3yfz8l5/+6995/vhhvH3blq6/TwE7JAXIgEriHnsM4UkiRXhPUjeRAKmI&#10;AZMCXLW5gBQjnFXDTglEAK5eM1qfofDCjUhihwdTB5Ga3YOLfwKN4b6LPdw7koBO7fI0AJfTmTMX&#10;QAXdgnkLXGh6SmrykBB5i/x/aC+nPzyabD3WcOKKj6I/jMp1iRJrJq9U6ALXrhGMPdMz2K8K8IBO&#10;LmxKha0cIXV46Sr2UkAvx47heZ0mtHdRZbp6oeaH41vJKelzjVErliU79QvK7/U6zM8KIClxHm31&#10;A2eyvUC57ZTfPfVA5strjP613KFJ09BAaiAUn97b7dtQpnR5ZUBQwKXZHGjR881dMGdqUN/JzDPT&#10;Ag3xhcLAvdNE/lLMFzjmMba7weJRl5uq9diM4Z5s9lhqpXvaqu14vDG5FET1DNAOfLanLOmiwEKN&#10;cARdoGMwbrhNjhKbhNezB6cll4MwX0y/VBeLa8mMr0KUx7HOuw4uUTazjbQvy5b+coyqx7QuGLaG&#10;GHT2fTstuoI23jtlq4aAkwhapx0lU5JGz7RvasLxbUVu5bgA/rsB404vSR6IpWtuhcrNegNGl54r&#10;k0oNZXQJHburST3k0EaXC1tsKuAyjlPP0v+a2xGT8+y7FbMhZzehf6XBM7H2UScLxq582/ddqOxD&#10;LaOwMphATnVvooIoNsd1jou4RRcT/5mybX4vjsJuBOAota+aWRMfFWB7uG5HjLls+7bJ02O/ProN&#10;b3SIR/Dly0mVpKZf2dusyWdsJpsk+Yl5l2D2mKKpiV//7Mc//f3f3p+/MvEzjJEgZbCnUGfX4Ktz&#10;06mebH1cfoptT6X+NCBO3s0a3jfiZkRBpgCKdyZYIK7QJSm0HiIqeMzjnCVMgdPYjIMHAm97KCd1&#10;n+Xtjite6ndGp94kPDeDecPet5x0JQlapBiCnudYqkWUh0rDkLnX9BRj2eQwUTc9gNQnxcFjYQS8&#10;Y0bK7tJuKX8BspxvzN3B3uP5K0mHeir9QQI5dTgxgY9PNZBZFCvFENJMI5UldKmnpgMHG/B/WZVh&#10;6hez6zaWKkuewPR3cfD9oAG8G3JeYjyD4O/cfMa+3T+Yc/5hYj7h/LkixQinlPv94HHDc0gJGctp&#10;JuCe5qAb5nTd8C7f9zA2aCnGj+HwXD1Pqcq7zXnlm5+etOvASgJCyDMd07pKYBPGPOh3+7YWoVWY&#10;rqEsrNra4DlIv7ENcdPOkEFATdTjKFlCeWDRllsRdxg5M9OAI8H1DZiPoP5P18Pjixerd3Z7p9Jl&#10;DaM1zCoEsn7ZY5dQwutR1EWzMDWC188tfjM7tLpXlQ8Nbdz1dFPQNxQuXeh1edFJLQ1bNa0k/M0f&#10;C+2di2BjRtKdGvctOB8eADATm6ncyIKv82cABinAq6hkRxSOo0diSBzNXOY1QW000ErsnRaQWvu3&#10;kXlbIIXs/W4zhDU9kE3kvLpohS2iPrSvFK1+mr9kL8MmbYv55GPCW5R9e7DoQ57DI70WBzIq9Vg2&#10;FuVe69LuUISeP3FGKJmjiJn/vX14fNquD+PhyfQ/7Yvj+IeTcR08kvJuq/e54NyyAOmps9tf0XEv&#10;qpqrN6+0nE3INEtk57xu73/j+Sf/9bPvfdsWx+Wqt+eQ2FIOAkH5L9CcNqPJDj8QS3tuAPma7nyA&#10;fvnAIlvSSvNlBEoINbU2eID6QuuQ07LMbE+J2NNoGJpTvTNV8n23J+OiUbCXGaokutJLq+gnERKl&#10;ZzEsWhxEmw3knJkrrROTwSQyZNsiKkkUyG3pKaD7uIvWGaEKcix4AYJHp7dx+4qaiGbLxclaepHp&#10;QqJJ4KQzB+bkgaCZIQX2dz9PPssQtxOjTsNrcQ2PAqJ611/QNIxbzMCl9yr5M3QOSInRYvy+KGGh&#10;eactKSnR9Cf9d5DQ3VKHxSNW8ScMvX8aG0dsm/HDIeIhWvgod/CZdEdaKhRIfzCVDJZG+MpV4wpN&#10;S0KiKAgj7F9HHlyKH+tVdMGE+knnfhiU4FIk8QsUMoRzo6WwlN/RgVFod4MDlHepS6K8AAzrySs6&#10;IzRBoO6RNPR9lzK1DYHuE6txBjqt+iMuCJZCoHJJIC4PxqUsHr8efchFqJO+7HOjZ77MC8E79iPC&#10;aq9QaeQMb3F7aNcTOjJFIaQgta0HvM+2BqES2IS5hEhCtW8mjJsKbZrTuLJ9vO1JopCLuYQjr4YF&#10;RUv0vQdOrikvlvfhNNBWTdsVSAGmC+QwsPzVquyEhDp9a3EACsQ4ONpJ3jTYZmBeq/tCwBajbdfM&#10;yc5oXc9INHVvVS4eD8Z21H99e+iPby5P70z/7LiKy8Xmf8d6Ru3rWa99EXIH83zgUIxGfl3uXzB9&#10;AVQ5gYoD1Ivifnv/yZc/+M8//6Nv9+tDv2waNZi+6K1af2tInFCOvHX2czf7Q01EXjS0st+jQeLO&#10;8m5wLp4exbFPJYauwoBjbVDvYPd2tgaWs2EOnlroF5iTQm+7LCYubdD9LaI1wjSx4P8Cq6+hOI4O&#10;HLvgiAZGl/IRo42zui5mOHdYWJJWQ9cevaeem0yx3gjEihH8vI39WdhvuIFNBrEiSzbM02aEFIwS&#10;DXEah0lLa6Kcl8S9upsxNdCb9WwBFX6JXcLMrpVuZy18ATpd5bIss/kmReSLhyMRo7BDCpueqwdF&#10;SLe1ej4io9FWmX9dz/1ZiS5hr5V7DFRzygrKd2AKlhxLTw/wMhtA7RycUuQVUiK8rUEofDhcjUp0&#10;usTlC5aQOblqu3dyl7ikXjWzF5mMsUTCG500wMvFhfiWjB/5PKUMobYAWxK6lJHKDNOE+NDVnI48&#10;x9xlZSqkKYaNrsmXUHyCFpu6Bqsn+cwe5WBpC3F+znEXbyQlKJWthJ58976ed6dPMfFgvfpmRsJI&#10;+emF7vbjvYdiqqkGEC7re3SGB1Ci0sPFt0tMvgKyUxgOrBSjP5s8wyqqQzixxDSecatDq5DeDq7k&#10;1zFZ2eV289bGpHQR/Uh7ai01WFzRYkV5bh6BjUeCZN1NkoW1MdWQlj6s6qtL31c2igfYEp8ZC41l&#10;K3uGfe49U17iGbs8f9W++tgD/03GRdFgCGXEJQRhUyvPG44Pen16tz08ycN1e3o7Hh6PmHf8u7v4&#10;Z8j1e12SGXe0MbVwluWl8077GrFr59wzu7o3iJCIFPb17c37L/7mL3/+Z3/c3/+mLde5LzesigoE&#10;BJ0sBI/WiftoyWPBRLkYx3SurRhnNLZwMudN7PiRkcB4WWiGzSyKrr8541Em9hMMCiDidu/xMv+Z&#10;OVkkFT4tMFljMPeXtfegL8F7pXHQpphWsN3QUSEVpG/IMqEFFtyeEXOuk7OalKlcFuj4GLI4RTQQ&#10;C94We/4TQ/04rTXUBHp48mhbfJlCfQPlqIfn7TIBETqVLMWVtOzlFJ3GfbJ+qpADtWzVkFvkxx6F&#10;s7OkPENidXc25i59hHoW1BALL9VVXe1IS758qrkmENw/6gbHM0kOH8fN0X0dS8OQHA+AdLkM+D9D&#10;gI8ENQkxI0e77xxsQKCPc5Hpwm6MxpQWnMw3nKcaq20nGrblUCkhoQK5321Fc2ughG3uJKyPzXSI&#10;nR2Z8iUcmwK0qOcdD7WRU1tepeg7x2iZ5ws6qzFMgL2MlSG4Uxjd4KiUgEdTkjDFRZEhTazg04ST&#10;ql3W+r4sxmTA//3U37NjXhwX2YsP2xQJhYXw+Y2H4YFkxACgk21Lz25d3DiNWyW1cYUZjWqlV7eg&#10;h8ZJ28PSfrl9hthCcMNniHh64TVKeUJMeCQ3x4lmgOoLPPLYulEfoXGn5SwED36dTTMd3WRpNIJc&#10;7WUjjCpuFvM2m6W5uehOR2jP1mwEQOhb6FhqPTFwb71GnKzp0eue2wWujd44cUY8VTrDziLtjtlz&#10;Tvirp3YzKSjSL5fr4xtxzOf25u2RydkU6nqFYlGmCEvbqd2hi6tp+3yhOfuCQFSZ8hZ8p2ohOQkB&#10;Is2lKo7r+eWf/fE//MW/2d6+p49qdtaLD3IP1dMOVXRqLERyFzDsZG3GcZQu72GaAWMgujw26KpR&#10;2ITJazwX5yh5ctcznUQzvYUpD/pdJBSaBJ1JEVTe6MSpN/cye2grTXVyhUodj0KZs2u55xwgtb0t&#10;89vqmirLwL3nIpjpqRtI3OB/GWAnZIwLNlriIw5C2RUbqu820m70emNE3858Po2TWpemYMS29Nc4&#10;nTRpmljdHQuobi6NnRMxMDPKwl6Hfk2quMWekLlocIm7WZSFdlLMSY8OZvfh5lRafeNkZbD02/gq&#10;tCy3XvzakycJNHnRv+Unm5ylyEmDStg7lzsddVpIQb+DanlNYKuE/G5QNnLbkE0WzA8lDaAOOaLh&#10;rjUWkH4DpIohChxAJaoq7RWU6yIdp0Y4enFztbd5g0MXlFDQoucH71OgzM+dVa0yAgEmSjZ2j2Kd&#10;z1R2qLrHaNn3jEjK74a2KtOkKcUiaukTlGRrb7dokKBf2fuuWWixFmx7LJUkHIY1LsWpgMNs5FTk&#10;raCt0lk+TaQApkAt2tdyU/q9rjlMhKcpUkMLvWI8OySRPKvbsTmxZAeYO8IejLqPx76bIxjNHGIC&#10;NrPLJeFzIX6a3tiusC4czYy87naEjkF2+1IRCINDXc5tkVUa52EoAXW3tnWqAB0vsl36vFjgxmM1&#10;nGFCGJrcZss6gz4ItAPcLWLayGJcH677vo+vzGz2CNIfPjzPOa693252aE+fz6FVEDA4W4+bH563&#10;nd11g3PYdDT7yS8Lv3Sk06/3yJVg1Ljz63Vst1/8yXdku7z/H/+n/csvenhRWeCHcAEUAuJBsNWm&#10;mAjAFQBJm6lg71R78PGz33yjjUkPb/cjE/JjEfzx9D4OflUf3W6Gy7WyW1FhifY6+wolC/R+5FTP&#10;lofZsDBM563+PRKgG4fImEAt/hi1T41t4nD45Xu7ogBZW8CkdLTEfYUs5H5SuXlyuhS4yyNMnmLi&#10;4qhDI4vGfkutshOJTrN3dbFtuz/7atqtZHDUsaPBB8HKVW6KyROqWrRW21J7i6WP4ri3VkbKbJWP&#10;xclf+rMh/ho1L5v7EQTwkJ1GOkUr5jLtRrNw7JXCUvioaDTvC7XYS2evKP5VXoJqRb4LncNsENi1&#10;qEiWiEW5tZIXrg7iYLal7SSJmq1s720UPVocVpSwszpGC6ZR0mpKRYpL+L3XQOgun3RBg7rp554j&#10;gHqofb6udEFtsN6q7kp6AMeLgurQUssEdjnhPJ5XMHVpuFGYAIWdEOuWzQDR0CdYVjTCUbVQHkKI&#10;nBZtC9yJQmdGKs2Oy8K60CltZUqhUjEXagA2lntPOWN6GsT6n3P5Lad/Z3QBWmHTpF5S2iBjnDsH&#10;9cwaW3w5Xg5XTk3RtIlMptHtK5yfeUiBTj4tce6kQFP274go4xrO6COmfFt+QgWXo6K7WL2h4T8g&#10;ag8/Fnn+6Btny661sAXCmjXtGzrhVrocJZdzJ2793ufzuH1EjjAmqgo7lcftQ8bddMpiQR1blYnX&#10;AExtUKjLk6qj5jui4Hh6c3n3TiBVeX1wCvxY+E9ZIu1J6liwa6k2ftWo+dzYjEVexRKLj0RgLvyw&#10;7g+Px2P7xff/4PP/+nfbm/fBPVgTaMpmihbRLE2gyoQnH3om83bcJZYCklDEFKXOeoRwRxt9EWNC&#10;M2Q6TjATGhqK5MRaO8pUApiV92H3EdIRx9wkSKHqhqN2t+xtk4RDVvEQ8/Ld+2IWrhFYJ2t5yfp4&#10;jUptBG3xI3E340h1UQ4brGxJBJlSKvggSUCxRU7Fle9pQ4jZxe8EZ0bLKrjx/vu3Hpk1LV4gis2c&#10;uosEvHVRFYIqI8k0LJrQHFal0XWqpbA1OFq1g4oGODesb8FJJ9gErIVH8CK/py1A9VfqDLqTl04P&#10;gBRtW/VbYf/kCauEEDs3biMDRKp6SSbjpVAO/doQNmxbO6mOk/mjRb+ycvihG9JXLMTk5Ka65Nvw&#10;bVc370UiaJlPsPIXqkiEkJvPeh1ear2R2a+mDiXtPofVZPKwhRs+sYD/YXdPrSIBOVActASrSrQc&#10;26QFbLbKHXnUaXjfU+wvpoPKd2FxQcEaLNV553MYww9KhQR+O8IjOcwaOVygP7C7WFR0oR2gnNLF&#10;wiEdGs4JfBjsTpe09jQXju7mWEdTW0hTVqSdXCtZwmjRR5a2nMcTnwZBMiXCygZp6c2rifoLr1Np&#10;gc0bYaHHA5e0UU+9CarTIVgwksyzriCcEI/H/tukmBYlFTiYPOJYoohDKdhyLDxwOqaKQsTLlBwc&#10;lq0ggO4ErzYJ78CU3kqNmIVRYp41Alc8TSD0cgS/7TIeHq9v3xn//fGxP74x/t/1mvhPrvSdEqA+&#10;/eQQRrae1jkLHXUnRehEOhq2E980l55cRY4Etu+4gL7Pn3/n//3w4x9s7z+hfYf01Y2xwYcERtrP&#10;bm/4dwpd+f2JppxjVUCMQRsu1lsr6mWVfUhNSyA5NDLLvmQZcmyQSLuSG8QzGICr9EhKlxojQKSJ&#10;DNtLf0+X+kQkdhJ8dm1LEsQ5ncMbWnu4FylL/zgvrNKbl6dps+ceBs3adzb0lFJzeF52e/eTDpTX&#10;Hj5skpBIFA6wfW/S28HufBdOm2JGE6KmqzKK9KSHeqkWlV5NV1iNKYhhBFxipEdqAixrxLJTbJBi&#10;wAaU6eh1FHVimUZMpVi2ZjjzKRpoD72fdbkCKUqd38LF0KA5n2TSAi1IaZwKBAkmyjd4NyypAd18&#10;gqMBRzSCYIdMhuTyPZ6q0ZsMGj5SFigael37OLtonJCxcqpiSQZp4RNOXwLTT+pQOzNrNCOKai39&#10;+klAhzCocOQldIU0Gkwm2IR3mBWWwUhFhlMTebWnOVsUvEIpxSjwVuE2M7sLAb7Se55jDbc9SRpy&#10;7jb2F8oFa3BOnYfwgJSXwx8JrgJGVL1C3xd4LwyLcgoaIyuD4Us2iKEiHVVn6k7ZPKwPAsGdVIfG&#10;AbYlfJijQYkuDSYmU+aJUUouXZcCozkO0xudCzuMZm4UEe0emWy43h0U5zaXLmePCagRyyzPfw7z&#10;92bw/dtXbqC2Qca60T7XmlfTYIEd4+eArYb2GJDAzZu9Dr1pJmZkoqn7uBDI3atKRgftR1vXCp0W&#10;ydaoFwSb8xy2I/hdnt5dP/nN8fTWumHHOnx8HH5iQoQhUd9OT3KxdSXkKhOmbORIQiRe9D8jpZ/8&#10;YeywmSbpsw4+5HptX37x6Xd/5+MvPtu+9Vve5/SFN/r/T9q7/kqWZNd9sSNO5n1VVffoYRt+fBAk&#10;QAZsw/AX+782YPuLZUEULY1IihSpB2FZhGgJkCjT5Ez3DHt6prvq5ontE3ut/ThZVU1KajXEnu66&#10;VfdmnozYj7V+i8Vam+7dtmYWSQBrI2UTRVNEB15c4wIvBWgJI4L3oJsMQjusL9xEWqU9GLSImaFG&#10;Zhtd2IVOu/okJLFMVP8nYqTrLQLhxql/5h70HTPewC/w1sBeU6JnoUXVpytuc/al0DrDj8/FZTfg&#10;Fz4I6KHvdCOUSPbNddocIdksYxX9Ozg7RrEJFZhH2lLM1VM2Ejr+PFr9rrCB5E0L4ixcWd6ltcKY&#10;c1QixU1erfdGekOaKow2yvhjPN9dTkDMnoBULIc30xmi3inCZVVuO8RdxjmhFY9jPDv8EFFmVzRt&#10;vpl4bJdUStHy7N29Kj5BBbkxbnvqS71SiE2YOUfwSe5om0yLcBrX2RTgIsMPDnvL+xBf0WOkitDM&#10;/WTgzavbcbLKFMaHB7lcBXD/MWIikY1o8XH61Rvh1ABVnErHWKNmUoVEHeooSo74anSYdfAdi414&#10;zJpzEoRA3uPn4lvuJH7V8kdNyRk7TYdegQUZOutYh04SsKOxKpVEeXeP+W3ecBNguTQluyIQAs6k&#10;OgzghhfAgxAJudjCIggCOKxeva7/A8JccjUnx3SqrsXHqzvQHq3byKZ56mnN8cPqidGDp3ddIJ6a&#10;1kNy2lp074AHGTwCYqLjXmQTiWGJbc56D1GdLP3LohlMcG2IqJpMbQ2Z6qrlb9zXYp6/7MYBhgHn&#10;5cO6QtYwaZs9cYMIh6pGtB6Tocj0xY/dXfpmH8+j/9uenvvTy+Xxabtc11O3bbJdJ1ZKrrxuGX16&#10;zzyrmAuHn50bO4QDyMhYgem4EEdXS+rg1mZ6vLyZv/z2p7/5d97/7E/Hy7sABK5LBRH2QA8D6IoO&#10;ax0DNwbJhkzf4gjsgYHz0aW86r7KIA8y5F2C76duuGvRs/pMXhLZSlGAU3LV0SWYJuFh0cApuhqg&#10;nhUxdtDQPWrK9fuJP4GWFNTAUH5h4G/TKXQkxxmxHxUMV/GTxsOVvSWQl9m5vamc+PJo8ojRkHEb&#10;D2oMhBunHcv5Lg4FnwMNvfYEksX6MwW6eIcmsI0tXPVMpaG8IfeF6q6kpqdwn9CeQxqXqBuPg5OB&#10;3mKVw9rb6ZhBJi+skF0i0DliB/Tc//CixQfSe245T2hD2uhOiohkcdGEzXsrqMX7/VlYbdlBRqul&#10;vO8ESrk5JYINiriyN+LcXOIzY5jJVG2fdsaQxHeWM8Z6e/mUhs+NGl6Nq90BeesIvWRLlSr3KRnn&#10;JZG3xwse46lA/deg9BJz2TTtErM29oZfom6KzMqeCelpL/FiSthNSMFWu9Mv/YP22vVEK/lIHT/s&#10;rO5xN75xAdEcPmnwIDP1eu8/6/Y3DrRBXWLtrWMjpCNfNwYSdr5WVkHj26s7ZbLYJIHg6sWQlG2E&#10;LX4gZDKJMTOqd79v6lJq4J6b0l1b7k7d4bevzVrXPGblKoTs0AXeEDXIysiFi8OOpG1mBK89UMfx&#10;e5QCx+2l9nAuRgybb/txzdlPXnCu3NfYS2+T44fWLo/L4HX7cLcWJlbbftji9J0+B8EIE6qttfAz&#10;UABAsscXbdeHR1lT0IfLcf9dL3L0f8c/HK/MNlYcrjVAyzg/xg+RAsme3u9W4hpK8+D2+3RRzrhE&#10;iX358VG7Psyff/WT//N/f/+zn2zv3tFUICEbZvsyJR9AYUHScRms53Nl1BHmGaiVaFpRuBm2ee9e&#10;YcYOrgfhXGz/NfeMKmOR6bJwmCkcSkd7pSJd2U1REUjaaSbRsinkf/To8ruhne9bCYKV0+RJPH2F&#10;y6d12R+v1f6h22OmtDP5wlIZtbv2eeOqLBBbSufkuO0G/5RpsxNTlkwO7TDFJb/U5uf1PL8P/PSh&#10;p33dcFrrnYWzDguC1P2RhD4WZFmXl2WaeAWdpm+N0B9MT5GvRiP1iJBkKYkc+JhwwsNfMLWsK8P5&#10;46f3BKV+18CZOam1+M+91TjbVs+GIWkVYNYqO/Nkn/bXwr3MvWfhcfKq150ongv8zVivRJNkDrBE&#10;WQyHm/RwuozLQ788lMRqyRDtcHLWHKUusU3TWBZ/mrGmKUvEruk4ZGHXLfsJkGy6JpL2jIu1Jm2f&#10;LkuZfvIM6JgklM7KPHAvWKeWwQOoTUI2aGQ0OJyfdjz3JE7lVAjTF2ZN+ojg5N1x/3gmRBh9ylcx&#10;IFEVmA6Q6J+ylNHFwHQzsQlkxjwqRkCY8xjKfE5No/GZYDB3R+egCCUAEmyEHkVGNFTdyIoagdJz&#10;EtvPn8LOx0FBhENtXI0/sttcp9JFPKNevSZuxCbCX34U+Otvm6EN+1aPM2hgGDttxNrtZwwA3JBU&#10;xq+afIIMcOeItDd0Q6KTMUiP2++yko/k+Wk8PK4Kbzvuv6d+vU6bd9nbBGyNielij35SZmDx1O9C&#10;su4wUF7l9/q4n/8igmOtE56e9dtvvvrx3/7w9U+vz2+8lXGIvuZd5reBe66BaLXsKuwCNRJST4ni&#10;9kHoPtDzAZX5+2U3qhmlmO52vE86WQXczvR5Xf1QC+hUalDQjVnE1VHK7zPB+6Ojb5GAc4gUlzQ4&#10;Nb2bfTCC/rwrtEtPbx5g1HzXOFHTuRVyeOCXeDCAdfS2op4r4qNTXTph5hs2wtwYwqV4kpZzw37u&#10;G7bdGIvTU1Zi6s4R4mPjStiWT3tImzzplS+oWc5O+1903nHPOXtcMRCLdNtmQj4/TTAOtN+qn1Ha&#10;CqwOdNcAOeWaCsaX9fsMqtp8+2pP6Uhcv0kt/JqLaPPSZeJoIBxDc2N5cmrqXeA2VlkYoG/eCiJP&#10;DwiDznTZFj16Ro0w8ad76zgRfiCF5ZHmQVx7HU9c33rP2SE8s/a3SM+bhS/XmgXRgYykdA6bsyft&#10;7gFokfgaSo6WwAPthYRA0qHkbiLczmz1LOfM0ykxW3RTQQ0GsEN5+tQaGs60glfUKq7r3aRxWVx6&#10;fUR7XxEbefPPgAgVn4vHKKeLnMRrTIc0fBsN+TjVqQSVnH5N9Uxy77PF1+FDT8moyu+M0+AbXuWI&#10;Olmtm+lOtW7zGAg+AVAFqpvZs9Qx43czX92ciYTo5Xx35j3slSWQ3gxPvgBf38JueXuN/kEoUdcf&#10;TRpRBEpD0SIudcGPBlnsbDOOZ1dUUlxgSX6WFa3jaq0nXd5BcdIQajHNgNpen+I7qPT499vluPFi&#10;L318V0fzd3l8Hi9vL+++WJgx8l+MhtjhWuuqKWpuBQtMiEgSZz6907d6ZdSLUz/6K/OwbFa5vXk3&#10;v/3mp//w777/xc8XntQWe41ThyLa1hQwShAw5wyJTeOu91Y8ZpYwZujzxfgu1oKOXCGaPjvfl+BL&#10;s5Jmgjqs4j1Mmuv8HH659VPQDKu2ggvwbBBxL0WPVBvsJKZ6pTtj68TbHlr/HXeEshbU3ZksNpYc&#10;3YvkGRaB2FeuBZQcP/iY3B2Y1szJIJPyRbwlc5hQ+Easw+qF93UXXHulEEjNeIqHWzjcxyZICv0H&#10;Qg5OGv1MP++pP65XiJNIYJWER1hL5+LhCQHb1HkGZoXOaDLKk1iNHt1VigvYxe00jUp6YDVSxF2d&#10;LoB/R4d0ZuMCI9E8k8/bRfFyQCS8WdUHKhW6dobatAwNcOWVZxpIsQqaNH2pY9z32nM3GvRzqf24&#10;EE0wumUPdZKjc5hLDI/38wyQQmhUWXFlHmdlbAZ6WqRVg2vL8yrK9c6JpvSU8gUcobdUzYqPZUR9&#10;un6WRoW5qEeg3h2oDZ98NxJM2gn4ERsQM8eEEoP3uxCtGADFer/3Ub6Fpdifizf96tQEFb/ZO6Hy&#10;e+iBzcQy01AUO9/AWYaYi5cRHAuSCCvXjE1IMZciYCH62hg5LYaSjiyBTtpGCxMuTii7htbXoqSH&#10;thPZb+YgXHO21j31sG2b7eSXgmBNGpcYwUX5t1cfPPIlZIafbbH7RJ7YYp301/djvi7l3rh0c/j1&#10;11+xZwXzcxtp6I0KbBm0Nh4nnmyFy3BclvuhA46FvJv1xF5W671tl+e3G/Qv16s8PfXLgwLHAcUN&#10;Yet7O1NgyckKhVYZht0Rzz7jC/wcN1u35zf7Vz/96T/89dt3vxyXi7y+ynQB4vSBTZm7nUBP9iph&#10;9DctsalxxGwbacyuXS4siXzXSAp1wDI1N/SBgIBCm3l3gbjD9gYTYu1hGWXdMWPV7w6SVtvZ4j+o&#10;0mUQ1hjYImSyM/xunciMzsZ/XhuBFctufh4zqvZwC8gJvpUyY/Q/xyParTEV+nEn8y/NQmaPe19o&#10;ddugodGca/aQhX5xaqGrmNPj5MPNmSkzenp6Zr7wQeHSMy8hu23cZJU9m+pRluV9g5VKm1Ppjkdh&#10;R2C74S3U0+yWYmqHXFozkKZn29SIqlACVpBtJXKe23llUY0WcsbWKR+4HvOE++ddJeuCshyUVlup&#10;j4amUu/DNDMoF//gkoyR+A7wSINrU7nhpV9GnA2OpJ48sOnHpbdErY4gCY3mRjolIvWDmfZNCepV&#10;sUHpCUSklHrb4wi6ief0OEcU3okxaF+YsZUU1xz5aPwkeo15W8588gpEFd17bk+br+wwwNpT8pcR&#10;T5go6+lVNLznLEEB0QMRQhH/PGOytM/oa4HzUdu7+gcB4LWBbDeGx5Rqr+xXy2BuQjcvrvQx1Unk&#10;0zb8sMSDMqgTDHYjLK/1s0zfuIdPnYrWYpNdIE0PV/LSa/0OUExJooV3oy2PyxqubBt/Cnr3p3A6&#10;aguYtXAaZEf0rX//bf/wnXFkTP4DIUPvzspIRlHan/WeS4b9PwObzIkol+t2fdwW/OV5PL9Y2MXo&#10;xxV43Nyj8weHzH33TWc89DMeaQ3XymdawL9gHDx6coN/vnm7/+n/+9U/+vsrBON6WWUT46kLlDcg&#10;UZFsxIe/R7HoQIlTlLbKx8lm5z0M0Y9w9uVVOwNc7AF4EbeTKxTQCFwwsd6g/QbxXqlfM7QOz5z2&#10;cTdYxmHNWaY6sYGKFy7119NpXD2LZrjxJB9L+WlK+M5VET8Og8m0NsM/+r99bBMLQBNP9UJmOW7T&#10;ncO3zmxnqF+tzOx+kWfu7JSekZ1cBetmn9WduHdf965P9g3rGa/VudCZoU9baUxIYAxGJclsdvsa&#10;yqvtmBHH1A7cpm7eo5CSaiVHAVa7xqGmtV7za/Yt/mQM3tnTyuKli/VDs+YGNIQgDrIwUmhPDcgM&#10;a0fGOc0Z+ka3bucc3ybGOJaGe96LNwOq0VUeSzt1TYNqFy84YHD2pCbc+RydtZq1rhx8hY2CGrmV&#10;4Qe4ixgCXwqGO4e4zVfZx//ZY3IF33qivcMGWhGjjcbKtKRATx6mSN8rTv48IcUMOMucwkg8BBlO&#10;j+MVj9Rxv2xErC9JKPMzGIY3a8WQY5k1d3YKMP6sWDhqou96iJ5y9CF1zj3PSHcgkqF2cTf+nDmo&#10;78L7vld5kccFuFVronlFZm8XDcOpC/vxyoeApJcRw7I9TS27cS1AeWdVYcyIuxkzTPXMFjfxYfts&#10;MzboziAoQ+zBiF9m+AWuajqrEFPiWeiPSOh3JaS9XDKRZN1wc8PMtD99IfN1Xaj2xgn6G27KJIuL&#10;Wb3hkBEy7mfue1CDLK1rMLHrcl3Ov8eXy5t34+F5fbHpXGD40fxkQ7TdfBmcBMqYSJnEb4ckqv2H&#10;/XX8Phs3Ndu7L1//+I++/p0fr+r5+oB9XpRwzjlKz05q0+l9HAWwu0frMTUqti1H6Jiva8l9sZGR&#10;vaG+H0uxNWF7exvqkmxzTWA8toeNeiY9qgU0mOSBUHUBg656tv2pD+3smLSDsdl2KaBMNgy1z+vx&#10;uo/Vk1EEjlR6q+qm7ZDcQIvXb3bPhaeHOMghjbmbVn7Ze+BMIgnO2hp9uMKzGDciVOL4Fbtrq1Fo&#10;TWhKTuwonwGyT+wBsvaxWHZ1TT/OhnDFBesbRLrPliGHFjMWbVKweLABBMYSulifnxMMWxJ3/c8E&#10;oeLOa8hJAcc41d4gTLeZoydWv7fKcJGWKEONuWbgoR3ru8oTEXI+KcU5pRC4Ms+XVnY2dTZISmP/&#10;hTEC7WNdkWWCrj9hJv7Buo2lPXvsD4/pSeHs153apocjSaQV/mFoP+xw9KytoqotlANN+9FaeNB1&#10;PyXHOr7QKCQvf2KyjUyuN+3PEVmUMX4lQEQztTqmh/A25L7ZhxFarIdR4Nu/ReUEna5N2AzW7XuR&#10;tOu3U97hGhAZYMprcus/1uf2+BYsR7T7nQp/pyXC9yBGOOuduLKWNh1bVPm/VH87Jz+3pnxuvjyl&#10;ejuj3ndEHa22cOcIcxXqQ1ilrDe6R+V0HDSYdZgiFPWFYvkHoz92lWtgaBoUfjxpsYcmh0as4/kZ&#10;1lrtysWS7Hxx+nbcduoLn/nwcjm+5W9/Skczd8BOrks2nWu0LZGA+ajCrBaP27GecQkjyV88Tsjt&#10;4QEU5nXEvv9+9cG32w4WKhMPMM61cwU/8yhc2BrBWqwY/wHXX+onj/v55c2Hf/v//Oz68KP/4X9a&#10;JBqzTmpJC87ocwnyxuyzJ7spWGuIOE1DrMp5ZtQgY0F6GqbSvXvWkLARcyoTLSQ0BLk2AX+ogX5a&#10;qJzFKnnTLmXM2LrGMCm1Auv4EprzKHhZv8nrBx073r59Tb/3cYO2H+fttLIf0+bjjbzQaHycSrdX&#10;S+9a2ii1sEf4jo6KZucD7SFozoGEtgWhPAIt9OVh2j9AfDCpobj51KtVIQs4/LujcUKvChCuy5+Z&#10;ydssWIXJ7KG4P7NQqke9BSU5wmqsXVvYSQmQdAR2MwXA++aS9xBLtOqGbYkXTGADVDYh0qNk1Iny&#10;KPpGZ8pU7sDVAeWSeM9gtMasXux9c5q9T9VaBDJw1M4pEioUP1A/pRgr1gwGa0XaBiED661hzt9p&#10;DmNvbvIHmnNY1ov78GjLf01/BhXH2IUUYmfK3cTmWorgDrlzN9aZtpQFHiN4B2f4J6i9L+EYe5N6&#10;zxSO54w8RJMZdaR3Nnd6jiP5lg5WcM+i6grtbqBrE+i5e7tGq3WXzPlo50GDBsonWXga2ScU7iqF&#10;hbNsRPEtmC40E2JR11T9rJHtNLSqWvO6YhS4aIuCIHU9Gav1xIbD/NRwJgABwoIGv8nyOzW3e7qf&#10;cpqVrQmWYRlKwCR2V/YIG6+j2+vmfmN1351HPHi+wM05DGO9bbNfkF1nD+e61K1EkATs19DpMlRQ&#10;rQqEfnKakivTyo5CaEMfq9pbERDPL9vDU3t4aNviSNh8iJ99WcM0A83vKiXw7+Mt353++j/kL7RQ&#10;felfvvtX/+Ln//R35OHBwh8KMt59WzJ9PczHaoaEriE8y4pC5gVEtIPcJ9Wojftc+zcdTdidVobx&#10;Ug+qfzs5GtwnIcOuHJuK9u6Hz0mLmLsy0PcJO/QRFBAzHVpgTkvV08Ryckru5e7q9B3UIbawc19D&#10;RFoOkVilZeBPRiDtInaDxgNMtYwwdx3nD55mDQ9Z8XAldtG44xqxLBDASUsoFIfQ2L/ivizknDQU&#10;eJXvWXc+/TkBKltkK6SDOseBQnKEhbSQIeUcRO7vl7FfMsMrxXaxklGPUZYcb0qZezhEuK+N62ZV&#10;+iqBN+nVTs7vz1CZarGeUmhr6n9c+QpzrXBoc0MQ2rCcdcQy+FYXDvoZ3gJoDVo5HVLBiF+ZkGT7&#10;P3OHzMmuAce0G+8ASDE9ocL4kGscslDDYvzFZkLC0FliFcrG0g/eEkHkWiLGKUhKi2DhnrNVgI9X&#10;NMD0tcJ5dzswHTwFd++6AykXfYOIn3jSgn1xmXXvmo+kOOkGw7Dut3ySzKHlUtokbeRhNGxrg3dX&#10;I2UzSxP6NJ+yX6fYzraedR591tR7zOZmBf/ZBArapGWLndETRfmgXMKNOn5z59iELHNHDmPo1/A9&#10;q2eLr0J42DiCr5gggI0aw+OG3CIfUAmExSqkp7F+Wf1kxekZbtttnnGZTMcdsbW3scwcNuVeCprL&#10;E94vpEQFH0r8PA4QXdMS9ykp16UKl1OgLc0Ax2u1bZvRXo6ybzWC2ziuwGH5f830gaYzX4oeiIx8&#10;mtLuOBj6qWtPPvrrI/3nvLtKAStZ99/T83f/8p9/8y9+f7y8XcUBpSs7zY326kWSL6/2zpU5ZppM&#10;XgdEBOpcgUVQZ+GI+ch+1txrj8qSiJxDP+3jiInr6eZc5s7RU+MgDk+1BpbMr6LJNmlG4NGMVY/d&#10;N2aHkNyZeILAGlb3vKgEngR31Jg8ipmaa67to8tYSfH2Q0Rr11MwHXiknIz0pc/KVEoB7db2i4EA&#10;qjlqPYNDpRceoWhBNquevrqRSj4jADzNEUyHUTqv7+v40/+QaPxTM6fSPitFDi1NtR42Jyp/FDh7&#10;Hnqq5n6qskEkENB6p4AIXSXnmSey5Qm2pZGHsuZgSPabdz/4aY1/ksf2aIWlnPNpKTo+xjo1Esl7&#10;QHg7UynWIXa9PDx0pmNnfzDPAhfJCiitHxJzMHfstUCeSbTiZwqdtDvqzEkEmgRV+QRCSki7OOd4&#10;wYJEAYQPbMNx2uSTT4OkeUtjzAveTU9zCBykjmjXVg3LxC7RYjIJWTaJmg9FNODt65IbE1cYswCV&#10;BixmukJBzBg2SrCUw332oBCthcbDTqWdqCobci4T+p4pEgi6q+oHlRA0sRYihwKrl+7uIv41UaGP&#10;C4e9QPCsM3qz2Q6QksNVuD7IOn7/7aIxvTWOK+SenvjQfZM2JSfSqLbNLPj6fv3P7aFr886ejZfc&#10;fSbuEIMBoosP51RxLSgZGpx3H2/Idn15u7286Q/P2/Ob4/KD/325XT389t656mqAMvyU/8iu73Ro&#10;2BZwPD//4vf/0Td/+H8d3xVv+fuxD/ZtUyPSRCNdZLoLZW/JTRyhAdD6gUCDNW+u/eUxAl1Tt6BK&#10;jRRZqFRch9giyJoL8t39nUMjcqOo+sMErydKvjuHVpWFuPi+wiYwHRUXQDf3v4GoHPN82540+z7B&#10;I3REiHgM5Hr7l9tvLe+mgOdO3yEOMz/E4MooOaIoNrZTRi3OGU8ryY2LhLjTf0a4aiVUjIGOtvWU&#10;wHkyLWxnZOoCgyUp9RUi14r0UdNNWiaMTVsVgendoZeQUY2o7vzi04Sohi05oPs8M8AQuQeaC7QW&#10;bemJCuguh2yxu443XwJ0JQEvkTMNrsbHtniNeLKNMtKUJpWdVagAETrX6b3K9FCT3IgljV0eXsbj&#10;o8kWuudfyWynIknzskp+/ceg+zokyPgr0dOUKJVpZ4pLQeJrCnFFTvu5j5K2VV1FOVGkkkbm32gl&#10;DyBgljYuo1BiPCK5fOHeyIkWRL14mpXf3YnrpTlewyy/fG/D4+sQGDNck7Qv6lJfka3qYZ4RTUJJ&#10;S3OOYchseuqu1LwEPh5Ud8RO7rfzmfKnZ3TvatV1njteriUNHpDHTb292lW/WfZss18j/nPaFhEk&#10;QnjSh6msAeH0ZTh/GNqNmO1AHv8SvGDbDKurHVLHGaSgg8rNjLbHYbdfHsTavLG/n+Pphslj8E3c&#10;WqX7a1hh6BOJBt1p5kDLrq9dyelMMwhFEESJS+xyfTh+lrmvKHl9fX3FEvy6vr/VVEwvevzQ/kQh&#10;VVUB7XP6z38PCcx6brbLuNy++b3fOLrSl//ir81vvxE/9CAsXofP8S7A9DmnV3I9k23WtnVg47LS&#10;0tcPS76C/ajgNVtKQFiB0I5A+rFenx042URfkbE30/Udx4BOn8SQ55eMQGzFo+ciwDZwNDz2BTTV&#10;ddvYtHm+pmoA02ovsNYHczLv0wpKAF1WfhXvXVO+eJ9memmejcdT/CHAiyQ9rCvTlFx9EemOh3Ci&#10;aOviajIb7mjFk2dC7VQfmLQzzkbAuWF60cwbEoO3UPqv+hQB9p537mE03ikknAUzgLnPokFvpwMO&#10;uwu4j8sWhheefW0L8HyRT8hpyNY0kJCeAi5lsImZ5nqQ1lR886Tb7qa3DGfE986hqI2n6YrH5wqF&#10;THOLeyFmxTuPUgERg4MuuGDhIc4CeQh8/Yk7Q9JQk82wyNDFaqRQHc/BvLFKP97dy3U53GkTjcUJ&#10;X3nFk6mTUaWp+GG5Ph0XeJ9jUslkjpTzRFtM5QX5LF601my0UDVqCSB0AGUgMZW+poRThJVFg4HZ&#10;fRTMgSGsjdyahpTGHg4NR5N6CubpHYedZsevnDl8Ip96Nk99goDFI4p6Kk19cgp1iq1JFjx+SV46&#10;L1ZhWi29/7MF5PJEhrKSf2DLYKBXVo24U5XQgBDBx6fIjpAx2YYZn8V2eGRkq8X1CXPBBERc6vCm&#10;Jya+wm4/wUPonZ8nNcyHMaUwIG2JWyLwHKScfbsg82FC7rNy+1jieNU/XGxB2E1mDNF3yBOmdLaT&#10;U1CLmQPAUMNHn5FrjvO1qmbR0B6eLk/PR7+1Xa9LOXGxqJNxNUYMdJJ2IN5muIXLGyEeOKOe2z61&#10;MI/Pev4Z66K7cegpKWIJPh+7bD/73R//6k//3eXNF0rqOzQfIQocVAiZZsTnX4u8OrM7Yr8eX4Ya&#10;Ynd7Oxk3ptWYnJ2mdGMBVsgNCmJ/5hs4jHpGiBUk/b4tOGXIt0guo84/DjJBI9tjtOBWsEhuEa7n&#10;GUW5nvcFHjMROPGzCsELOZdGdBOI5dZjdBvIY16/7NbCLyi+6+orBbp1z3VyqrhzeurBX++A8/Tq&#10;k3EGWfmjMKxbGznFJugpRocw71Wj0R7bQ7MiwRcuoBMgd3OeDSqZeZjMh6RFChGZRwlQg9DLBsTj&#10;4wnjKWyAq9R0FKDO4r7EhsVKmvtebqoq1TkekotDdaspRyDbLekDVJcnRRfHHB/C7nLRyLzK4a9P&#10;JaR41EiImGwGLcF2WZ2GFMWaEn+sLknVIHrk7MXnaK7ycpW8d83+JlJjQjnxPpNwi6FW7xkOeDau&#10;aUG4abHWsPDDjaUr79Quqh4VbHzbOGqxDOsWWOi75TW+6/UMWqysnbPk3lOUZb42+15ni8wawwpL&#10;UW41X2NgD2tI6O7dCdsHcgiXi6vMhyG66x1DLJzsoid3lkbwVaNiI2oU9bE2HnLxePnZab8Ct0Ux&#10;8fPqw97qBcGBfp1pn5SN2vN8XD9j86Or85u3f4OAQ5d67K5Qo/Ti6FqAZhU0fHS4WyU6tvh0y/4B&#10;NJPj4h9LO7pKsaMiG8Yr2y+PNvuycy1ZPF6iXrYFpz6FNgeifrpiwu7C0SO5JpwWrdwBfFv62C6P&#10;D2+/3J7fXF/eXh6fj/5jPD3K9aobLIBGldqiqojUtZg67RzrLLb/7T96AmqF8sNDv82vf+Pv/Orf&#10;/OHl5Z0SyEdpN5ElLk/luJgrNFRLe8nRssdz19jDpTSQHqHu2WcQr3S/F1x3UsylmQuqyXe272v3&#10;QEfjjpoDjJXHeW4c4TB5p4ZnFEGSFg1//hphasf6BbcFXTNvzLDHfjLzQe3RvdTrtnEiBxWYs+Hc&#10;MalhsTZUKRMrT4GNTcvKptT8zuI6q2g/827mPr/sBd0UMT8eGXTU2h5Ed7vZNMYurbmHs0qKTaLe&#10;Mkm8co4A/kHCmFgymfze9gzSjzJuND3scZkoMzzdFOkJf/HHBx7JuYmgW0UcgZtA1KOUmhuLHMc9&#10;9ZyFGqvKPTppTLl3534x8UfjWGZcJm5NnTEYXRzrFazjKM9YvNBP5YqwyVQtZGwGe01bhq70ZDvx&#10;59S6sRUmhkjAqfxzS+eHYwmJ2asLVo+w9828BDs2qxDixouGyT3a6oWjFDFOCatqeZ4atMKHpMS5&#10;ae+BiJFAp9E/u2nRXWm/MznYFHSualQ8Ft3GmBNTRwmnPZ5Jnzd44T/1VEhmO919JtK75Jg7/Eyz&#10;RnsBS78TXZYoVCrQPC1gxgLOdCWW9GDsYCs64ZID+is2hUbZHMNdvDehSNUOTJPbhKnZc26B71f+&#10;EfPVJC0P3DAenfu4HL0gOAPHP+OCSb0yP9KIQOIRqY7Z0XzgCZ0I2YZ53mbzeHFrC6ZbS2cQU5be&#10;Z7tent8+vvuyP70cd55sY67Z45qIQJgqkXMC3PaZgsnrlbzD8R97+bElOu6/R7m9fv2Pf/O7r39y&#10;ffMl7iLxZmHmcneNFScWLDT3KCMQhUnX5NouCs/rWvLRtD/dCTgy7Wp90dZ8O+AR7xrda2kb3PK4&#10;LJd+dBxvruQIrgYJtPoZbR4XYSnWeWZxbkF9k8QaMsaF9vgf3/De198TvOwWllxTDvXLvqjWHIgF&#10;e0GpaDMtMYPJh03DuSkPbkdkyvRkS8WOx88nTXMVnKwfaUeaA0xruqwl9SiNSl3dX5I9parnlFjN&#10;pVIIC+0TJokzS1pOAzATemFNwu1IJPWEgXxah7VJtDK8WYfbpn2Wadn2CqfHxGceQ5+In/O3DVP4&#10;RvHbICRM0vCWKY7pnejRZDqkWU5SGjx6GKOnu3whIWyGH1km8YDaJnq641V5NB3f8Ap2GSo5NnR0&#10;Bkbveq+4wfCKJ1yTIppHTwSFqjskpmGJ1i/m2nZVxK/YtcX70s6EUimCbvei+rC99Uit8gfPPrrd&#10;JxPkYmvmcWuCRz0QN3X+jvCBWpvI01DcBBVP4MqwiB9OQflEdale0LO8FeAk30w3ohFZI0viXVZ5&#10;u0Fp4ww3v57GcAnf2bAg/L6LBgqgpT3vYDMgM57FrO72nwZy6pasyZx29mHvXQNNiv2HRNAzAfwW&#10;B7HOjXVJXNTbyeOX7+S0rbEHceF4qsUmk+PCRmROjg1X0M+rebzQU07mOpk6Y0wQkXs3ceK6m4/u&#10;EA7I8HTv1v7c7KMXHh+07zui56Eun1CxYiW7nueVDhiwK4lE4kA0mNlpXB5fzAX/dHl5c3SDK27p&#10;qA+PY3Sht11kapJrj2kNHGUJ6Zb+STlLUX60j+Gfn/qS9fuMpzdyu/3sd/7ed1//yXh6duEemsAZ&#10;Ynrrugyms84co7rb3dapBUUT1DlVtI+8h7LGvm82d62GdMPpCYCRxwi52zW0m0+UzSIiB7CjVg2V&#10;c2jt6KRwHBgZKcBhalqz/SlnKhYEXzBwHD/RzTPymN5HL5zlfcQ52jXrS/VYn+C5L5sn8S5Waa1h&#10;z4RhQwi1Ujd+mN1ITuapE3HAqQuiErvvFAakz6uQvGrI+ymf4D4BIS9c89kh+naVb8dTakHMWjNc&#10;/eBihEpEL2nRrqTTM/CwENxrvEF9XST3gQzsIHIG6MC4MHad2KSn7FPELfTkeifddpAxG5jrJXSy&#10;mRJKoVp4BXNFPyGApU/D5to9xb4FPCbsOd3WXhIoM6fqDld44qG536dXbm04aPosFHrYpMSHt+qD&#10;OicndNNoUbpnVVF384ZfQokDKXGPlTaHH3EokhbbgJ0lTjRREnM54HA2NzbBgYGtD52oMwSkE+gD&#10;jpc03725jQd1BnLeIXLbZ8Ytr29nU2elcUhPysWy4HKdu/Y0F4BFsJ+aPB2UFB5tjLFtxRNUzklX&#10;mqYPEi8dnHbq0gkx1LX44tNZPIvJABA3jSY8svMzVeEai5K/VKxr3LQEL1ZKdoZpOWzTQal26Hbf&#10;IMTQt7MBlcBtz70vUaj6b2jsj9nnB5BfesuG2750b+GbdNkna2SUZXf2u4TndleftR0RVM3KC0zk&#10;7EVcP8Xtdvypl4en68Pj9vbL65t3i7RyNH/H38fld73OzcifKwVJ7i6wE+6niL3jb2nyA0TsH/5r&#10;XK/6zc+/+s1f+/Czn46nF8DPQOERINywCHTG7PqQ6lAlsc9IpYiHZ3SZG5imaFH7mXZhPcnOJIY6&#10;tsSMGA8n9hoR54OCWex5Bk7WE3kd/6wFC+3XkmsU17EXkUNzkmkQkKccgkzCXCDs9I/5sqLb8Mww&#10;EZ2SLkHsSfcVu8+GEMlLZaGFPKeM2FpGNtOumEMEoPj4sZMxIghvXFwF/MExpROaSc1iojXVCcxJ&#10;fzaWTJ80Y3qYylxUW/Cf+XmRXFjrWYDJprMMQE7mbuLddj85oArYpXBK/VzBNFUcXDuTpsBAQWIm&#10;GrfHZwFYkFcmp1tK+zujVTQCjuPoEkn/pWgOiMtHCYi53RKdFel/DXFF85QQLcXqlzGF4Mz3ZBfb&#10;k+ZfCRa29Mt2ziOSMpiTYhS8+/zGgLSwR2rgBODaGimX/huK3jGDVe89CVryNqnjCVNNiCTXwJlC&#10;oUqftXsL0qbpSUjWfAahJjg7PF6lVZlVvrEdF546576p356RyOzJKwG37QnWlSzt29mbjWELxI+h&#10;9/HXcdkaXm921u93vEpkyrX0IPv6qntrpZr7CBwKwVGws4wOebyMKK+w6reOwb6f4dQIeEjWQs6+&#10;ftCMEVaN/YaWaP1elhOER8r9BHuLFfg0jeHKDl2/5mjpFtRyXGNkBz91zhuW6vCyjzUI7ZzVu8sW&#10;UHKHQ45IJAAjjRmPEnaVdHiAb+ThUGp+/HhLuock9m07KpLL8f+eni9vvxwvL8v/frl0a6pmd0HE&#10;+vn2WDdIUSGsd2239w6Rmsif+nOFoJ+CfvDBO/rPpxf97ruv/tGPb7/8xXh4tN5X4/4Reh6gezSh&#10;wyL2bOEfc7a6lVMGbV9IP7dcL7Y4BoQK9SdWRD2XWhmV4FDvdXVsEkHEWZnDNt7dDNaJleo0ZERR&#10;7p48V9xrAGxIqsMbOTlvQ2LlnNFGomxKJ4AE3g9vJvQKc0iC4dYYCtDUYZPSRX5nGl6ZNWIW4gef&#10;fZ8496f39STDDUwUPSE7RsAaIFjuXWNyWMfElJO1gBXfjzIlolMzn4oJ2ji1k24hsROJSsNjMYwc&#10;zxIWpLm507Lqy1xhfN4OKXkoRfzaE098g6Cks51QbbWpnDvli4oQdV7gUlZMsVDKobJ406/OyHAU&#10;DvdJdifvuMCBuu8mVJoZfCjNQd2+dsMDop5D3yLUg0FZ9Rf7mUqxoIe812SMYg7KPavy88QART93&#10;ii2hzVY8CklCCfaYehyBhPG/GHCLpGjVE5zU2YIrOAs5OF4vNDREljZEonGg6Jii0B2G0BmLGuh5&#10;KXz1kFup1haaxXNo5HYOTMLxzXBInT3N/yzAGwl2S2s+GbqNk8EyVDXa3bsGIZcB2k48JUUnuQLX&#10;HDKEe7TDdy4+UZxJYBekSSzEa8l5JHCYKGwcWn3AqISMTIPiImW301RkPBT7VGxIRbemfrMQmcAF&#10;kgOJMoLe5xULt5kqYU07sQ+GXZpKv84kCiRpShBKIg1n3ib0/V3KiM5388In3LtDzR48ybOgNES2&#10;VsFiq2wm/lyX38vL5emlPz6qJaWb/52GSPVnchF4C9OcFtm1WkNS9a6IdC/cxtOY9CRPUL1Pn3Yu&#10;r8j28jL/7Oc//e1fnx8+LBLh4OLZDOy7veQdMzmo+czPINTCxImj6AK95RMPZ7DcPpb7EQrtYnIu&#10;IJvTU10GHbuPDuFp8GaITtYk6eL/cTKxN2dCUV1stjx1e40xwTZuDnpExK1/2G7vOaDy1chcwnWi&#10;XmzEANEKfLdFEhSZgxwN2RpxYagdWgs+kuWNrFH3+l+GjxFJ5Fjm6WBmyk00HL4Ds4qSxCIFX5ct&#10;VoZe2szhB+qi8lJ7BMEJcFhkxDhEIFelqhbTsM7eq6f7ivJOL8djCJpzpVT8B1s2uKxQrjBwQFL+&#10;JGdoX6bc2YwL+wPIz+wTPmfJlMgXqvpFpLj2pfRGCgsXzEwB6+A95z6xIPCFvbGVyzKO406LdHHR&#10;T4+5Wk+qZo7SWbiNndKMGSAzJQly0/a5IarkZDj0kBxlCOEJYQo6LQK7pY07Q7yvegDSJ1rKuhsN&#10;xlID2mTCjXpKi1BH0u/xqDIFRrE7yTxPoWZHQyLfw7hSQPg+kaA0N1FMNiohPp7waULesdnDZ0T9&#10;DCWQ02eOnUSCIVrejzKu9EK1xaC0n3ySDnmnTkt9w0BGv6vRe+sFiuJvVyQ0rXCHGchC2oFh3t+B&#10;FAhaYY4ZVN3dYX5EyCgQ1WQy0dWC7Ps66dYWbYRpAbNQhXe19/24F3EzLNnFGuab2//4lvYcoLm+&#10;tJ4DIPmuhd+ITJUobEoIRkA8kO7W/ZRZlp6dbM/tcnl82R5erm+/fHj35bL5Xx/k8en498YcMdQi&#10;5nvznml+nnnW0br+OZRPuf81JzTM1PHmze1nP/3qd//+smk+v2XWqcLjYTJAiJWKZlJ9x48jcX1k&#10;wvEvQWDpTKW2KR8udQqApddQ8fKk1RRNLhKUtGDiBp2+VIZTu39XYDLEf0SuEDSBtw99+TgNcSeV&#10;SLE59n26V59RoXGn8G5u/rE1W91RmOoYafW1LIS2YdttDSAViJDDOB5zEOpkEz/TrfUuWvZIDpNh&#10;WFkNAm5lPChNSg6lfWzgzG+YghpXXzJBPHcYrjBQSdLYKTkPsRX2kYNbt4pRe2rjKR83VQukaypS&#10;VyB47EaDdSalHC4iQoii/QN+BnfQ6CzD0W5MDQ0Xd0AApk8I+zBmeWuos7RW8z5/76NKL6sZlMrd&#10;qWWfUVhclnAhMd5e3c/KatA6l8y8Ht5bHp5A0mPsJxy+E3q76XOYeb7gK2ky+G0yff8k7nPQCDDV&#10;KvSJI5hJIF1nuj7CQtXz69ZvtNSuR42mvVCHPCtMnWbEKMJi/ReIR2EHtu7Bd6HeRDqfixAxXyOL&#10;Sr6pmm/tMCsYTA7TkT82VJ6Oi3A3oAuNCh9ZpS7yyBCTWOLVTDAwiO+Gp65SXy+15Ses2+XGneT6&#10;hxmFL508Ps+Z2U4F/NfVU6B3UsaLKnOWRDnUQjfdP0ARM3lAMPIuAkxUztwjjuUn6QNgIq8Eh9cl&#10;W7dE2RVYw8t65bIua4EbDQWhrEzm2zjc5neIcmXAxo2HEtNLbrljHpbOWw1MU4sBDW4OCCVND7I9&#10;rfzboxHcXt6u3+2yHV1g7xeNrS2erZuNqXe+MEsLg4MkyYjtz1n4IYq23hQ5VSqGZG2Xpzevf/LH&#10;X//ej4/a9+j/5u0VB09j5H3HAwkPceOUTNopj0mY1sTZ2FhmPjcgKp+IXWOEJG6X9Nd6Oi1eqbGK&#10;DQ3XZc1JvGHbzxsUgwScYNvQyovuqAUtkpep2GHdYpr7vl12K1IcseHCAM1IgulOSo8NjTDtjnJn&#10;2PM5sw1zXaSNZGYfy8drsZDI80suf/Qe02vLiFAg9j7gN/65Ci5sJCJzu+4hXEPYqMrnuT8n4Ztq&#10;u4PmRfxNnDE9ox9bRnnMOx1qRgS4i+6UG/CRQMsPSImzo6CWPWtMI78OBWiO1tQTFMvNR5RH7tSG&#10;SMZmzGLA94ta2G3HcZqZFxpQWR6nNvvCPKxzr9Os7hk9VL3+MRb30nVOCSDHZVc6T6Ma8RhIsL1N&#10;L7oD/I/jy92KmnnHzIVGwA/ilAMtKG1KBaQ70MGH0suWy9+cmDNOu05evebJznov/uVI1oe6OonP&#10;9g/NukqD6OOIE1utWjAsgMJaRM6dzqFZAxcRzUEeGEyMa+W6zY6OELKX1Rra3KcND6K2l2uUgYn1&#10;ozODi+/0tyk34t7HaZ/sUzuIGY1bE2xdsNTslHHeRbvRnoKoZ/hlpwQ2RZfWfB2U3ZP8pudgTMQe&#10;7qwy4ykFqhZbAAbb6tweltJm3496fF9ZWnYy9+uagtrTvvZ8utx+JuC8kZUhoZT1GFKc2qWpwkiZ&#10;FTMGrfaFcwx0A70g0SR80/x0Y4/YPc1OFK1x3zrEn2/ePnzxo+362K4P/fl5hX8tHKCFFC5Jkc85&#10;droghAJLFSlIp0Ccf9wC5t46h5+nw809OGt08PTy/b/6g69+69fa87t+fEvqueXJ1sfAEDOwPebB&#10;k/WHCHmtvgOhkihNY57IDFXt2ZzWw0+SYVItGO1eibNsjVgGimKUWFkrQ6P29MWHy3HNJ41Bj5Jc&#10;g5fVDg+MJAlBOv4IWzowAxblIOmMDgie2d4cB9TWJ4XWkbvUECnf8KlE42RA1dZtsu+VgTMD4sTN&#10;2PYAWYmeMmp7zK3UNQ96amdsRj7nZ03yLYeDWcVX5aQfe61XMQbQwOzGXeiK64d3Uiub6EJtbBU0&#10;YmrwofhkeTKqsCsd4qhidpo4NzUJ4B68ElZLWyS3yD5rkeuh51R7rQf3J5TQ2RSUXJU1I7JUnMxM&#10;ZGqblvYjY1lcVGKrHectSLhJqmmRSS/5x4GQchM9YTO8e10HvY2dO1Amd4YN3HSi9W2U+/U/pGyZ&#10;JxKZUHSA56TORZUfgc+0lM3OjWN1hpnzCBn9rLABB2RMG8ZyBiq+42yxDZSaC0xvWhcyGWC8W1O+&#10;tQYbFr9pbz3/PUkc+FcNY6uBlDyM0tpISIecntBWeOXKj+O6NjC6Gig+1t65Uw0o8VD3gaiKGl7F&#10;/QsnYzAe2YxkmmXFiMD2MOw21TajEqPTdtvmXSxiaVcGs3ldYckd6l5QAzcvOS9cd0hI2o/rcP0B&#10;N9zKfV97l1UHYItjg1N/E5dNTaaHuPqp1EGsxtRnSNAPuGrtvp2fysU0ZrYDMLDdvF5jwhAU8HEv&#10;zI+XcXt8ljH2998bYenblXPz/KLfHVfz6zqLLThQsf8TuevbStrRfhpjy0d5LYiDmrPCRMoSJJ7u&#10;9cptb7741R/8fn988+V//z/q++8UagMfX60OZn81oW9KudcacrRy21u0J5/8mAqGDnJZF9r+itNM&#10;urt4V0c4lqChxJJKSpGl7mpKaPv6pC+tCjFT2tKV7FFKTItrmLuu0wOQEDQzk5/2jhjUvq3uzBRK&#10;NuO5SntV3jXrddzX4HvvzWMd6Ha3+rWL3nOiOTHHDzs7qmHFOMGqRo8TQlQ6eYoac8jduBXAZmte&#10;DxgHWdK60iUCY8cM5YwaauLu8LNZhyVIeUy8OiQXyg8zipzDTZq4mRFsxj6BN+29nJKDlmXYB319&#10;EjMg5R5iUCYZ9hx1pK+6bqKPDDFAQJoNYXlkcy8IAdt+Sv2entjHP3C6hSgEYxPF21QPUy5VOv5g&#10;d7btkDNYhvtwoJSjG8II7W4qNnQm3h2GNFq3tvm7tWzjJRyoEjHFtlY3RERY6SvE1SnRE9BJsJhF&#10;MxtdtIx39RR0pOFm9AVpbk4cdDKLmN01q3XeOSE6kMheunNTmcSLkRWC+KqeIZWaR5Q6q7uSVUwv&#10;bC07w1sseaN7gECYhuxTAn5+DhWE0Zm2+rIIDjqxSD5xvgyNyXx/eL5jmTomEC0OaUsPloR2lpJ2&#10;9Kz+vmgE6lJ/5Z0rlHzM6V29URQYk+LJEmfCRuq4n4zD4mwAYQa93XGdsHoM0zrwyg13sHQPh9Rl&#10;Y1jpM2PcXuFeWDseqE9tMmGol3br19VVb5dJfDNWvFOjtyspeojhc2SJ76icndRjSzSG8jAVjGft&#10;Iu68NkLt7IoY/jE24Rrjst7bxwdkXs7LpT088qPq2GhWPEiEn+wCw0VH5Yg7tqXV1GuThmppDysQ&#10;Pidc3eVaFv7w5otvf/+3vvnnv7d98Zfb5cpHbvqaTXn9h/sCKyzxLlnZTiFdxKzWBgZTs0uhjdAB&#10;KRNjjtHS0gKBYWPpT3dVKT6yBp1jg1pKTuE5XklWqlOQ02wiecsYeKcOYVZkO2dbx2mo5LGuw2Fu&#10;T+/chyUW+aux4Efy+ooYvuPWdLeSYFigiu2ZAwoxvDWFBmPcGx9iGB5xa/Szh1NogSiofigOugSU&#10;oGUyqZxrfD0Vtjm5U47penEsA8r62f2xJ93xI9Klivm4hQLKJ3e5yjR3iSltZNBJjIVawYR8Omji&#10;HMbg9lEswCRT/5yWIFaerLNweS3RsUmxUMzEYbfztr4uLhzE4065GCyEnhKJoKh/JyTvTOfsybA5&#10;ZUfhml6FVQhtvA7IPOsWQNsCViUcXRgaMFV89RXhKcUlSC1FrtJ9ueDHHDy5vfoondfui2YimMSn&#10;A/bBbs6VdwAT2BTKJ4JkhxlqnomRkns3fTceV6fHtRPm40Ho0beqnY8Rs8si2j2XYsMZrBzYfTL7&#10;t/EboCovqjGuOSg3i2GCWc4nwTCDs4QQ9azTfIsQlU5X8k58fd8Ct0imbtiwdks4i/w2f1aaB+wR&#10;vIiov4jHMlJGAw5mxbGuoagcr8NweSE/F9yj60BwtrURIMJarQbPw9GaWM/HQLajI9yXPCyIXD69&#10;w0xMS8I1c8vk9PEXy2liuyRajGWFNQk6aGduFKoN1iL78d1OMn1XubM2f5encX24vvtyHL/z5TKe&#10;X5brf5jZFCNQYSxjDbBzN4s4JqKfgr4d+yopKpHPDcAKl2NZ+MfTyze/9w9+8c9/d3t5u1oUFBzB&#10;j5wOZppps/Moha4lWpoDMruWeoplyLvqbsoLVYeHaXWn9WKVDsqaUEyhyAOBFHn6FFozUCwQpXPm&#10;rIv7FzRfOySmPiONzdWkZgGCyfXfbss8Y+6mpXE9brjX79bOOGQo65fdBIlIIHwaCJCiEgMbzqrw&#10;hvZ9af/3rXbyORheLpzdx0VS1sc+SESJzZwF+vlj0JpWvbAr3EeTeEyffIaWZi8gRAInQ7b6TdZO&#10;JKxYWirlFVIRyeVGmTVfJwSHyoj6UD3kqT9TrVISRiN6Gx0WJ1TdUfmTiTAWzLg2B2tPM08G+ZhD&#10;njRT7TTAbFoMp1jCB9iAAZcwczG+mXh9yWk3BkM+8XdcSI/5jxP4OkZoGtwZnUC/FzOAXZV7SDy0&#10;Ty5zlffvJ7kXWgRvnYSFkl2jgSOI950/gM8DbDrvymbvelreI4IlH9sPS4Xm4TSwk1KuzXepKR/p&#10;fTSp8JztPHnUxK1aN66ueTfpky8vB/kDFemB40Ex0dkZOceJU6QG4xK1zma9fQCSDTsIhmcT9laC&#10;UzAkXr+hOsvbSCgYk2B6xBmPKXIs12KuQY+bxkDDxI2Hc6GLO4XB1kJ+PYo5dZUyXjfDw1JF1Vfn&#10;Jj5sguBZqKGFpoYiAww2V+wAKFzT0zL7trrDWbzDq4S/OUdt1GAvDT9D8vFR0LToR8omo+WOHK/d&#10;jNNfYYNb3wHM4HrboaIdW398Or72df1oRwk5bgisf/+9Ht/negTsFPWj/FRFmoSEQJJz+ANSRpEN&#10;wEStvyAB7fgttkt/ePrZP/z148vf/rX/+vaLP5vriCeoZL2nw+GUcGZNh8J0zFjtjTNJrT0Grwgh&#10;qXsr2w5Ehqm9MMPTDfuFn0ZgsWll9iDUbpXZfvNgu+kzmp0MGJSMK89hX6NjW81OJScM0UFJ4nB1&#10;iIkMJgBmeGePvmKzUflrb17L84Nj/hzecZhLdFc7dqqzkD3ClEL8/zRg+FB3vPsb/41Td2OovWeG&#10;dZyc6/3z3UL35b3Pc4lUUNcV2NgQ1T1mhMAKt54tWs9nV4JFVGhqXSKTTc7kxrpJBb7LGxZFd8VR&#10;ZHdhfWyUg8hTj7dsZbwADYFF/yjWDz2mZY4E7jK39OFVUijcGvdzXem3FI5QjDkGThVehVkHIoEO&#10;ATA6sFgkxrmJHPIQSayaDak2BpPC2wXmRSp4nEdqU1OqVwAt7H6nwejWlpBhHajdw83bKe4uLJJh&#10;Wnf6+2nK5JSuoVIomj7zDCyuyklQ3qn04QIOozUFW2Dg4dsdZ+UPTvh+hBePdCQR9jKtoFjUBEGN&#10;dgVbP3TTJTPyJQjj1BxLrnVljfjBctj3G1fRvDks8G9/tUPBZvJL9hxOUPtQIE5QCU8mhIyPey8S&#10;IrAc0e9LdWJSirgaRFdcjtG9hOo+repMnVX1YASxSG6eU5b31GPoBH3HPhnDAAMl5qkBmx+2a4Qz&#10;T5OhvA40i2m1znQfkGUhkGGFtWKJuDbE04R8ncI8m0p99+36n/BrLx7/2sFBNbqYotZI0U3Puwqj&#10;Vmtg9lf03IWtTLm0Z6hwT56UgGCebYMTL6awIu67j8u1L928mSJ237woE6ZQbrRZ51eaSm9xA2jx&#10;AAWyqedR1z8W/H3KCmaP/VE0q373b//1ePfu8a/8Z/t3v1I7TZU+V07L13uNjWyN/ZUsKcugy6p/&#10;M+T4u+jFcoROmGRGIkSu8/az53y6T8wNPF0K/i8xW0g+IcNzPYSbijevHjSI2khCuG41yPre9qMj&#10;u+DAhOnOJGncQ61SZhiujOm6BtVbo5cLplmBBsLQO/YHXVO3pnjlGtZPkMwWlYpnh7ZceJY5nJ48&#10;3bZ4MO2Wv+LxpaVAstzzjxkHM0V4kSnBGkP6Z7IkK3nEtOB9FIkm88NHxC3GCawl4ZjRDc5C0UJc&#10;5hXoYBEeVNy4JpA/VMAa8qDoay2/OxDA0xr2WZz91G03OJFKT2yaljmnxrtAz1gvqRuUgNoh0qMI&#10;uBeD6JmxXIJAUwhaZ6v8dm13jdIfAk7Vu7Td03gzTkc9UzBpoWvptvR7pVUkghTBi9vwfFKT5KBM&#10;ePe0BCk/chQKitPZ8z0SjixZ+WQ+eZbAJEP5ZFWofYF04Pilt1f7fCzy3mqnpidE44cKo4CNaMwy&#10;NHzI6Ts/CwOaNmELaiQRJAb9Ul/mwUS4rh+Y9LVsPtVLhKh1UFxSmdsTPdMDS+3nF7luKLKYszHR&#10;1UWuglGGmjkNXMQcHsEJbSfHynAjkBjb+R5ZY2Sq0Gkcs5Vr2NVXUO586eYKN+jdurbN57dLq51A&#10;Mn+KwCRR2sJWGisgV8z6ZzYEV5lFRzcLBUErydYRtVzT9cGAjzHGw/Pj23fX55eVgnt50OM6fH5e&#10;/7Ductvp4jEZ54lUht58guMi4OZASfsJadvU+2zpPLDk4fG4j3/+23/v+59/dflP/nOxzhVgEiCI&#10;09K1KrDuzZDb7b1s1kABLFWRYSLM6dRpXNGU+TszmJ8w4EJNKqFs2zQCZvTOoCOF9+RUs6Ja04ih&#10;yIvEA0n4FuBTA9Cg1QzI1eq+72hCi+pCzq6GEucozHQzja3RyPl4Yn0CLttSenrdraj+76ePwSko&#10;2HWfnJHJF/Zl+6gLlZValLEh2WdsYK+xp/eeaI+h5bXnxkKZ91VRDU0/i3pKsAmEmnIylZ/VppLI&#10;YqrrfZHBXkIAw75kKoW0pjVP3kfBRlv3OOmY1VCx5gEzCoEPUa/qYetSG262lGsVO8JyNxM0oAHJ&#10;U0ALg/uRr0ksBCNl2HfPJySpS6vP+fTlJuslHaHFKXp+6dUlxbYh78SCM8HHaWdRckJ02Khf8Ili&#10;xWcU7HgpsDAH67HXyHRtTcRcQy45MIhU4kQUdUsqDf2IJbcmUYSeMCaFd4vP4XrnAPWAY4vFRncn&#10;Ow/jDqbZWFuuHokfSCCyuEZUlJYmj66K0yR+rIhGspvddqjTiGRNfKQCDy85fNbT29Y+4XkYuK9b&#10;DZkJSJ0IL5IRz4fFEjXyQVSKyGXBTrv1E9OCe3wr5Er9JfjoDXlhrBfUHIdtXq5zpeCSOd7t5TJ5&#10;izUNMCkuZi8yQEavzVP4xhCDbWsUKo/aPBMV9JQASQum5l6ea78TTw7TlyCY0D6kM+EQnXFdy4Zm&#10;YQuPK/9oRQAupeg25PFBFrZmuKu1havnnl2chI/WTolsXfLW1lZoyA06pjOSp5x3Ux6ejnf/69/+&#10;9duvvh1f/Gi+fx8Gux5pJFjP9V4uvZlOPPy77ouhFDc4aseZi4l14UnQHWoIzAolTo1UXr1/AWL6&#10;DGUN+uzQ7hIhNJn/gU1jp1jSTTUcxLvyaz2gCFueHVojuw6x2hTQlwhhFvtgQBGgnv4eqyq70Ges&#10;j3HZjHd/87/LfYpkpJ+cjf48a5GBjTVJDBmMPWUDcWRvbg1duXda7nFJnWxFGkLArOASNqe3aO78&#10;vGNXKR4ZjWO+rCUTsaYlHroFpmF4eaaW+UNmm8s84vjDYR6TqDCzQ4vQnduZ+n8KyotQyAexnHyS&#10;xMbpyHS7Et0vmuhI0mbFZJxoR2ybspRQEmnyORn1YxE6j23ju04Cmkc45csYdIbZmFIexXsWCBij&#10;t9uN5uy8ou1J8URK9cNOTmh7qaxK5jqdZF9MmGyB7/URZ3evt/F5uz8M3aVhO1R8Lb4CEzCuMJPy&#10;5HTNvO8N9hh2QzvF0WEAEmYWPVPEaBVb+uHCm2xymmr6yX33bEgfJTibFGlzdCWRT9wz1cT7thZQ&#10;7xjHmY9ipRRImR1Ze9NTMdzi8e4xxnDfL4sD6BGCv3cikfC3kFCU6Bqvmf1gQiECVo4waVdcyMc1&#10;o0usdhuwc262IC/H67cemMVEXHtui8vo8JmuuAk7p9bmqblLUuT9t7KvmRXx2bp3aM7nHh8Nvjhj&#10;ZCaPUyV5Ky925RYsUzwbU+8LX77arp2VBP74IqEXHnwfl+1h3Yb7rZfqrd5bwkmgppC2VTvW9Agz&#10;+UjOMDlXk5Pus6WW5vSOrQ/A9WH/5uff/+kfvfyXf317eTt/9W2zpaAG6QN3bZfEvTlQkJ/7nigH&#10;i3r2V8APi/KNMq/EJEV1NKOnkRdd3b5ztcqAg9M5/ZMrdPqSQdaZlgNRtNHvzIW3cwW7jOfb2D8s&#10;QLndslGGYsA79u/XvxyX9UXroVi1msFpQUS2gHvGqQ7JCUC++51zbKvs4NHRwkjIgkWrySuEtKbx&#10;013aR849JJZw2rNegYH7tvw+nw4D0ZNVWaGgXec2/EOOLzQYYId55SxMWKWuBZpm5HQM4VpGBmjc&#10;ZJ5/qdHZcuk4k2Ltw5dgCUhG/Ump7JgPyf7VhPvVoV8He4isSbJBMlvbRp51K3l3Ugb3GcT06U+1&#10;A8wzJ7kQq+vj2+lubklYDzW9+D3vFGvtQZrWdtKgZ7Ru2DMj56ERADarzcn3pX4VOYyuqofdlXhp&#10;+Hw2F9PYrAPd1h7KDi7fxbsNUE4c+ZEdIjHHVX3M5aMPO7VFHYu2CSEv/vJin9u7dxGsGch/8diD&#10;NZKyZOa12ZotyiDDLQtFZuH8YNFWyHPo5xZLoDkHFcDMIYmOaR5qsUPEoRatG3iasmu1dG+t2kKo&#10;027HN9lpjnCEG5X2PRQbXCRzpkh1CejrK/bBa0I7iRZfqr9+32/vMc8H+my2DW582W8T/u2lHGk7&#10;LZITNQoWbPDCCibAUNzUUik26zm+jLmejzRBKWbgBS+yGWPnMN5KBepRiswzonIGjq+/Xi+PL5fn&#10;t+PpZVkgrtf+9NSujwrl5zkWtUyWJCvzXnpDn3vc5VH+uXAYGg3mPl7e3b76yU9+/Lf22217edNC&#10;csVSRsCydCEzulqz021bc6zBBDEcuSV1pOCqFwwKbK1OqNnpFVsT/1cAXQMAz7T3UDlg5rlSG5EI&#10;MzhgBkEU4jWbAJGh3BDjqnMlahnK9iieGKcV7t1u6Jbd+d1s+2jREOoJNI3enYvh0ywTab6cmS0R&#10;fidLJAncHCRoOn5aKqrB0iHeV4trIbaJdbQ59c/NNM7tmg8DR+Rqte429kBbGZ95TaL2ebZ5nWPC&#10;nYANE1tJRi1Y5Zab+xQdFgA/5lmnCzLdEYxZcAGmZPPlIRp46Xqmuiq9UubfbCX61ekkdwjBhh+2&#10;BYZt5jHJVV+1KRSq9jnvSp1C7gPYMi7EE+PZuSeImZzk3L4CrEVqRGz5F0xvKdqJR8kFck03kAgd&#10;Lm4/8rtNQr2Ls0d2ZMPTp9PoGHMFn0f5unFGlTUi50JSQtiBNVZbyJGDJiOdgN2HtEvQvyEVLYSl&#10;HryphI0A8Eb2GxNr+TLZCGvGuMKZ5DTVh9iTz1XPL0RFxqmm0ufgs6CUvkawsNi919CcWbEZG+z1&#10;Z71q8u6TD+dGcIG8Rz0Oue+YUpqrwfbOsAdMN90wSXF0CjxXp2gMOXuWTG7Q9m1ZpI/KHcut42tf&#10;Lw/HodbFAUNQYWEUjLbYPHkTUFaNjILcv6bNhh8mExl47K2tzDvoFMtmMak1a6WlE5oFfRwS7C7+&#10;QT2rGdxYnVsYuVwenl7G4+PReG0PD3rcf8ffl8eJRjPUSKW0aCCOpWs974eQeyRyq8X/lLoI+wTw&#10;wj4m28u71z/94z/9u//L7fX9ePNuBYDvKwPcJklKgRsUSYGdMAX4LMsPwhepffOYqvSI+oBPRQoN&#10;INA0TtG3JfC0BPLt0pn24BMUEwaDp6JZMNrHFg0iLFJNSonsRm3ztq+CT2OUM71OXCLh1dtpQKet&#10;Rg2TD4Wvlmxz26PYpnNpDf5I1KNGI31+8H0e3+jWgW4oxRdGvByVxDSQufJ8vyWOyUiZ1S7nrVLz&#10;w/HkWyBZGii5SNzGfQxjaRShBsacM8ao5SgumTxCxIrFR+nuGa91JycpnZBAuiIoQE6MXM1ECQU+&#10;DpULc2M6sjhIvqAqEcJhs3ZR15ITWDNYbvTMmrxOQu8aebP0zJLu4fnv8ecuMi8/ruqeXWzhpc5z&#10;4qMzyyrQcRo4PhAjsXSJoQnTYG9mIEXWsJL9nMbnmaiZHv1fCNvEoyw53jz5mVhyMufZ5ORhuyY9&#10;klzZPkPRN9uJh+ooeq+QPC1a/TOf/BR1hHxr8aw5/Deu3276KeARtzEByO3M2p3c2+6p0+JGCpWB&#10;wRAsu5VXrnqGi8ug6LnmDLaZMMrGpHPyNOweZgufgIlce5sxpJoRYVhw5kEsoMNv3ZrSsTFckoGm&#10;3tqoOOVSoHZpTn6QUL0tBcoK9hstEXb8s7HUmJmIocz3PR7I7cpFvbHUjyuQWEpBdzs52DabvHIL&#10;gCyc6fU3cko84RvcQJSYOGy9bvK848k3smRsse1pAz9j+JL8kaoUU67g3QrjWkCiCNSc70+PL28f&#10;v/hyO1rA4wffLvL8eHR+O+OPB23vmjOo4zOVG+PEyCUdHJwNO8dgJdrwP+88xj4/ykPp+A22l7f7&#10;1199/bu/MV8/jMt1fTT3SVSDBwxpBi2LY2XYJ4mBy52WZ0EvzFuINgn6PS+/cqAEfcggGkwaw909&#10;bgmHjKFwJrMGI7Waew1jFjpcwzmdMYfuBIyYr7Tvr1aKda6a/fBeFnhukUw9GVsiJjR5uQPvWU/+&#10;Bi1ZXhnwPDib2atJeXhajqmhViynH556Zga6WMLuhq1q8FZOSPew+c87WqouVD6XfiUekdRBpekf&#10;2coY25OhuzmIiMwKusJgcXQyRspf/JWW2Fj74dJPBn1fE5xn4QF0FobGePUHnFRIWt0ziC0kk+7L&#10;iIfIKky52cSsf7S3QOdHckuN+WmAzfKbaWTZuCcf1nI0uVM0k0lOImvmhEnl4TYPb7x7a9ijdU4t&#10;mYRhfm2rADZeYGUKaiRjZjXsjlOPggY3IcganaP83hjoPILxGmz0zHWTHpqLeK+BBPOy3xNZTvkV&#10;M6AB6AMmRPz4m8oQ3HQ7L7Q1tNljhNsKEJ76ygmQum9AiRqJKAuhCMLavaklQNnrjPWtgGQRvSlk&#10;Fj4pN3lfhxeeMLbShiybQZFmx0kU3bwSTLdltce1WS8m7uUACZXQhIzFAo9AGEK8qH9MjoP4Ni9P&#10;+/aMOJI+X8dtORaWB7mBaHx8+dZ6Evudtoom22yptlcp5hVN/T5Q28uHEMSinmpsCXJ5fSViFuJ3&#10;m12mFprm01vsvdfBspEgNiIXcIyHp4e3X15e3m4vb7brtV0uR0co23WBm7tvWY7acUv9Z803ivPh&#10;pLbTOqP+C/+FW/35zesf/9HXv/P35fF5e36ZO1RFJJu3cZXrcwSnBOTTrCPg/pe9oGV1sauTQvwB&#10;06BV2zurwtaSEqWWyNheP2DS2CI2j55BP4moXY/wGKXKAaP1HgrrbuSYjtprCUdM0rn+9PkKmAtA&#10;Dcev0W1pNnQmXH1KtKYRfM6yZu/L0DpY3mkb1Jd2il+m1pG3+0MZgciPZg8qUEGcMNc78qJ7aKua&#10;J+SJkw8+hlgWfGWQjfjvB+N0A96GhK48fOOFLgMurQ4Xl6506ly86vAycIZxlmNICZ6iT07yyjxH&#10;FLSmNaQ1e8fgSgxo9jhWXSphHqMS6mf3r/HFXFaVSNjBzddbjS9ckaHWNQZbPL33Ghd9VV/TFCH1&#10;V5I+a7/vsF4kXO2xevIkB+gepwqM7XLm5slZo8nycGLAz/cWE3ZjgiBHwkfKxR1IyY0E5UNie+g5&#10;xkRg4rstB4qTfDPsN3eA9hEwpG3ntALszdPVZ10J3AU89rJQEvd9h88TgiwUfAibsYffTxALMDFZ&#10;YEeSu8rWuPoQcY+U+D4Dv8Ow5Vh3Gq+GltyLL+NvdsPoVY/+eqo7K+5OVk6YVzqp4JHhAo2S5UJM&#10;z+jC/LCn4YTkmhsMwwZDEJqluO/skG7C76XFztWXgH4NmtbmxgyOS+FCd8f6NvrcO9YWEtlOvm0n&#10;l0Fjjh7U1vCzBk0/ZaEBiQgfZaN5C4gQ5C6VYjp4ufZTbJ0OB2sf14porBLfOm0+PuLzsOOqe3z7&#10;5fXlzRqBbtd2fRjbta/kJs8ddikb55cmUwdXpDItfGPiTJbe2w9NO+9DAb3Ck+35zfs//qOf/d4/&#10;kOujPD7iowJT+RLW9pVNSHAAXcUqaRd1Ubtr8YhBP/rabISUjCTnFWcWraEWMXrH9QmgozjM5bQ6&#10;cY8KOWb4lHk5aEu+7qgme5jskWPEJ9N6+U2p31ZgY60wo9vOMOp8zjsnSp6Atjz7Fk7fTS/SnGOB&#10;UyCNYlXncs5BxUqjFyOkZ1DUXxyaElMYhiMA130U2/1TPeA8EVxcOiPYMDQIurFC6BjXFJi0uD7D&#10;EwF7S9Um8+RaZP5pi9kYL2V3GdKk3EK94AcyWKoxUDozEU9ShXzKTa3u03/8KXFoGhJ1jy2a8YEK&#10;+ijDe8yw4V5DF5yEoGGG/ORu4cfQ2jC/+7XkVLUAiomek3qRIErVmHGHwxrfjBrAQJNU4lQnTfMr&#10;pDkBV6OfE43fB66XjscR/bXlCUQmpywW15wae1pMm90JFSqFapZvmKR5ERLbUYc9eTCmlVRntZC3&#10;3LmflYCT+YXqlAFiD9afMlnRaaHfdR90KofbSmWpvx3cXHDY5YlopesWcVpVTcpR5huQM+DbWvtY&#10;Hn0VnHWFKQj7am8zts1ufI8BS8eGyPq2XYMxRHe5SoxnHXinxokGUG39iYviPZknDvKAc+P67X1H&#10;8pGZJSz+6qji++2oCdZhZ/K/TLaMUkO4d1ItbL8dTOdW7TyNbHGzLRJnAMxFi+Co9aUImh9QNp6W&#10;I+pT9SZ+X7LYX5ffUglqmRSZlOT4Jdfr9c27pX95eFhLh23Iw1VWioUZB9m/h/Jz8blcjiXSKi3E&#10;Xd6yOaXxL/6Xf+j6OL6TX/6Lf/Kzf/wb25svx+Wh21CRxrjX7ydHILDwgTaMtLa619fT7BrJnWUR&#10;KdV6FHGWhQmJ5xyzq3D/gPvaCS5PeCQCYu2VZY84jifIo4DVSsYzUBRo2vU47r2X7ahloO2LQh3H&#10;m+MSmbMGq48pJocb1bvtJiceV5y9O3363RPl71etK/dKmG/QHWM2cxVmGy+e4AGs6s2TV5k29bpU&#10;HrOfGqjPdPZddqDeuJj3CEU3bg+xkGkjTE23h+rnVKQlObbE+NWQcH7cNBLNsdVzPZmeprwid4zR&#10;80fqzC51yRy0IJH4YWGa0D92F5zG54OZ7O43c9ipH2luCNNqIjttKQuizuuDk0p5PTo32idb9Quq&#10;201MtSwJhqNZgU6PT7zSPXa8XD4EZDG0pLAA5gIzAUssGk1oRqx5rDsoJYpkCbj9JVd9nTff6JmK&#10;22LY688fk6dvNbD+UzPbQj3rgROBZ1sUuugO1NlAgz5pGyeBvsOoALs62K1YDfawUGZiotyJkwTT&#10;gnTr24ZxsJeZUyXEUz0yywmkjag+DdWVe/HajcGgEX02ehPJdJ1pEDhcV2EGBAFyxksqUAm5UlY0&#10;ZVlorbd1bexr26csfJXDdha3xvigeUFuloNhqpuRYTJgAJW5PSqJdY3hVeUIBFmsvUMcH/j7ceE3&#10;Bq/XVI80CdFCD+mqYnjrQhjvT5QxRd33hfiQWxyH5R89PH7xI4xA9XJZaLinZ1n6F4ECFnqKdWE7&#10;2Xyd0EedcPTSN4MFtnli9f973HkfLYtG39588Yt/9tt/9k9/c3t6kXjZjUEutw9az6pu96K/vCtp&#10;4Cib9hs1t81F2pnP1GOTqby2Wiobz9EzQY3QHsmvOKt3CcdzqB89ssN0izf7cG2kLC6D7AXVxm59&#10;57ZkUAOUJdt/Y92+Kt3dtP29u2nHq6NlknZEJTem1naCvrR0VdPjvBsZHlTnk37toN9GjLpvEzjj&#10;t5ARQ+ygwpawr4B07k2ht1/NUcsGPWFAIsOLpdYi/j5vhH6F800mTbWyx59KC4JzWT5xa6dV/3Qs&#10;ug02QmXjNtFixWEDodN9980zkcMMnZnmlQIeAxwB9tM+t9PVK47MEC9kjjd36MrPXJUyYh7JdVNn&#10;gQ8MJ3kkF+uCOJvMJRyGHxrRZp0GHbSsaSQxx3abIYymcsIKx0eIlanhPvGCbaVSN3yNtuGbzFrD&#10;MiqCVDRnl/wjqopd6q00bHoDSxn75TkMi5V2i6nBWMqUImHjdW8/dpm5C7lz6efzzd7OmdzRE1Tk&#10;Gxl/VFOMEMiXosjK51hwZMPZU2dlYZslsC90mOxyKX72ECVlKvZmn//4qg5Mau89ttBaJIeaK6Ye&#10;3XJjCSIRCKwhvzpuJk5lwWCEo38yZ8UtECA5KBdFVtXsN9sI6lg+h2Xg0v5gFg3ZDTx9NEYL5rK/&#10;ogwmjENdyh0p2ARoIe7pPOrrvlNg3TDjoYTuHGU2TcHCDJXIdgjtL2vZltOruGNN8GVjnv1DcTv0&#10;aJi7uiX14fG4/K5v323PL+P60B4fx+OTGGqOKaPiVUVSiaa7K53Qrj9w832qvtS9prK4SHxhgMbT&#10;mz/7J7/1zR/+s/HlX8ZulWKx/VWCmetKpZ6ez9UHMppQjHXGFy6W51RS8p3o9VAt+yl/AcUTlTE2&#10;oAdmKkf9oVJyXwqWfhNRmqzyJ0EAK65nTLK0fEWThzLT7SO5AEX2MHcU6jUri9blPTP92rbXR5e5&#10;8zHrLQe6FGFOt3trnPFSJNuRxDk2z0d19V0+n/wgzpLTunq1Lr1sjEratZ5RwgrPey8LYgxHEKQs&#10;FJ0pHTwRNBFXiviasmYl33GSPDuIWByvXEo3K/micRzKsRnHlliH9Zw3aUhOmsdcAxJNISgHjqpl&#10;+M841Aik15OTwOsG1k0c0kYsBRDy50YUH3h3nqaELTOPSS/TDMGY7UR5liBO5pvlG6Fc9wYRHDe8&#10;MD0PwnNzaAs/9BG12UpCSZiK1FvQpK0KzHc2EN6dA9k1nsllLBuOhna5lWZqkU49uRqzROX6aJ+3&#10;GZ/Jc8JiHfUQoJaqsLV7BxahbMg7jUF9o4vIhmYyp7+GRO622w4wVXPFPZ6nCFlWibXIvtgCSTUD&#10;Mh9WqRbY2Y7oljjhpECV4keIkTtxPsYdtkjxHvFx9pTqiudtRCzSIARCAgCSjfmoWQf0XhRn63p7&#10;/V6F+OeQTZoGnQphuN3nmnnosGS1oHDZoGoXN9vNUO9QZI8cMXsWKAOgebiQb+zmpV6JWTPwcCgJ&#10;WF7Ns6giVxGscBohOIlBYb1RU3ecdVufr++Xv60bPPr68PDm3eO7v3R9+8XRZ+g2lgvwclEPCPUx&#10;ud7n+aWiYrYi/jqldn88xbL95UduQv6nfn0YD08//50f//Jf/d/j3V9Cl6PBAmC8WjxsjiD2dFYa&#10;yXH+IzfMZwQcCoQF66xFVfG6hZ/EOkMWN7+D6hJHYkuqgOXTQtDRTRDLU3vf53BxieHAXT1jSDIj&#10;Ro79BlQFBLIItksasFNPsaGBhXSp6gCSXKEQr2qMpuNX34DApkWxrlilTPZOdbFGvPXdAeKZd5KU&#10;UP2MdLO+iXov/Tx1ck6c6R+NALQmuX9iWnvKiS3jbl/EJLsmzKa5x8NA8ob9WYQjJU7DCtCdMdqR&#10;zRxp3d7mDHoq7765YJOqjxXWRbchtupeCqtaf2A2Wx7PUQIrEMIss6CTMj2p3SEc7nW2nx24+G2t&#10;WItyMYBQVwY6osRuwYiDbnJIjrhDDFRoFGLr6FxzgtGKiwHxJev0NMQ2haMxY+knUyL7px5oQS8V&#10;6XXH7KPFB55m8/obMBurl2a0jy16TRgeQrFjy69J9gGqTCf7URQ+d+G2uFxOUV95BybWJk7Wr7DQ&#10;2c52ebNuhr2w3LF5w+pLwqk62R7hbInURGxzveMwn29AM/ebrvaLO06lFAoyglqXmhoeWsH1hxry&#10;+3YjmtzjPkyk7vtuUxzYwMpyaiyARk0EtDBmwK2OK8lr87VPhvLs681FHHt5yJNp1TK42xbg6yfb&#10;NvgL4Vb2HAl1qXEUW0q1R1OnJQh9ycCcGjJJ0nanrHbdE8QS1ztCSM9W6TNWi9wfni5vvzjuvMvz&#10;m/WyrBvouW1XcJk/PajcGQE4vY37wY+e/Hljz/BRLzrP8ZJ+/Rt/+7t/8weXdz/CIdYZsBAZYmQQ&#10;TbLc3L1qlqfdF9UhlBRP7GINPUtEjn+I4viWmHSdcq89bVRz+kLZAHl+2iUltX1/7a+v62O+Zjxu&#10;8U4cFRiBFpsFTMdanU934K7lsBU+/jb2HsK23bo8WJSmlVB6/EEBZUHMz06LHaGTGR7o8v3ppfXU&#10;0F5UaUybTeq+a+Swgi7KXiOrXCfVPMlxMFHQs8bKDqae3nfZ2qcYLDlVTnqiejrsNRrD4zhwO+o6&#10;wizOl9wdMIrpucZ4hatVMgBtKj672/OtvkiEss2K54ypzoiILwoivNtzv1T6/MLy734IuFfNzYJM&#10;3ay4aexwmcselT8mQ5EBpD4oK83c9Dg338llWVrzWErMVdyYM4LWKC8mStw1eZq0tyWP7ETocmPs&#10;/NXGuZV3beKYeZzXNBK4uzTS9bBLn84M87m4z5TMk8M8KVa7EttisjiHHaCeAKDVjtxUS/IaPeaG&#10;a0JCjB1ehKdQX21TFImUAyhlGMDkTyW+28FRvutfWvPkIPfQAWAOKQQqDn4MOOGxfAPukhJcJulB&#10;dwvV3hyEEmQ2QD3E7o/VDHEHYcBHBgVrZPlxVrDgLPaGE9sL8ff6l2sSfXFg/6rVb9fHJc8zoVef&#10;O+09lhGMaeqODkaE1C+wrWMjZVFZNdJLJYJWIvfFTV9ZsxZ7uiZ+mCy02KlC9QD1ps/qBY8VFMKd&#10;e1ClnkhpgG0+nDjO3ONuE/g+NritHp7fXN58cXnztpkH6biErAuxiIx+IsBX45GEpEN376DK5Fwz&#10;qLS0CKHUy18sMfg6/vPD0/H/f/Wbv/arf/evt7c/MuxOF/dWQlIuyN7hKwT01rqJAVJ38IVrUHk0&#10;eZ6weECgMzzaHaIj+KhBiJKTvtZnXqbhsD3uKcQTX2ji5W19uC16UE5lOy2e28NqEiCE2Y8+cac9&#10;aNdC0JS4WbbM/8FSUyxfAsefIu9tNY6YcUTSdhh9Kr4gNMORtlyhnd0/3KkOKjAP+1jDu29xR/ne&#10;uSmibn6KdOHEHfk0Gq190kEhgRVVTV52GrT3EjVnBzWQrz22dryNgX6V2QrkL5PqafD39A1/wztV&#10;SOFUdVnVbHF3xK7wlBKstStzoVrHZd9D5+qJzRUB0WqkRmCbmin/hK67E/T+8903K7k7ELmoFDUW&#10;4chc4saek5FCjLZJQluBI+r9AABUkbKx0ypZultqJRhTSRuhD7KjrCC6rYsW6a8PA5RbCdGSNRhJ&#10;yj6F9vmesWAq3hBuiknHiA93LK2FGlVP0QJkAerSvXJzpJ3tKC0TZ+hH7B7Z0YLSZ2clFX0W6UdL&#10;PpXVU2BkBPwWHzamH9OLbAZ8vFIAtwqDiKGN2zG64flK1XQ0juCG7C5V2B22M3YHWfTbB9vwPeq4&#10;GP/mdhw805/S5Y6gIWDAvMjopQVp7O7h26F5wTPU2dDiYvb8QidUWSG5S1reE8tg9EgrMKYFbRph&#10;+ZRlNg3XCZ0Fqq7jl99u9v2M9GKiGmPPPrlWoKBxcS/H48v16eX65t24Pshls+3OpY3rUV4sOeg4&#10;j3A43BPcqqikomIu87ZPBf5J//RI1F3YCzh+vbb33//0t/7uh2/+7PLlX1m8U889FeyN7dDXJH9K&#10;Kyk2DTNGw8E0GvzpFvD95V3idij10DFVwoiHXo9O5XROO9lIcFiy76y8+bnv3BbZLiWDRWGsGQM7&#10;hxnxe8KP3KKxS7vZssDmnvY5IrxcttXSdB4rsvy3FArbCKkjcm/0MqdSOYWSUwaVT1HJva1JAcBN&#10;7T5EnR+nKXgzKv2caBwl5x0Qpt5/+sMTgvWcTyfe6SdH6lqnK3CHOFN4MQ9pYJKkhjm5Lug+4XrH&#10;C515Q65Hz/0WZffR+cpHGD/5YcWX3At4bJmasT+FRX2cNAnlge1a3MHXAgx9XkF07/kk6F+fDBqr&#10;y7iKYvX8QDZnHiMtUlIwekTNB9we0pgIVIiQBdPxkrT5af233L/fTTiLc0VfR0JzwyJ9PfUiI88N&#10;kB8XOcIChgDOtkpAMLAKpToyX/C27rMFKnJAjTRgUqG+a5LwWnT0Etj4EG21AvFxmrmHQmPAZ6fP&#10;dEdFp31WJPW0pweL6gj8Eev77zaOnB555dOCThGImUkWPsPQgBXpZ24EBYbfktIosev2D67UQZ4R&#10;ssksyBTpzdovt8uDyViW899oBiDIruZtaySACFKNlqSLQPG2XUnf9rmlXbvLbFDAE8GAduWaQ446&#10;c4gy/YcfasK27fI+Xpb9Zqoc+8WrkSVOPpvl7AsmUemxN7DNIUQhEu1OHBrb1h+fH57fXl/eXN5+&#10;IY/P/eGxY/nXF/+zJMSlWof/co+FhT1a+82RKPpZEMjnBfLQ9WxPz+27X/3k7/zPr7/85vLlf7qe&#10;y96dysyr15t7UFJ1w6tU6bqexW2WgLj7tX5vqjVJAy6KmSE3LZbRHLOlpdelDdrhPtytLvRtvPUX&#10;DvADM0l2P3aQ895vN7B+fJdsz9l+vMce/MLc2QnbxwzzHxks2Dn0wYu4ceSv537DpKcAdHk5HMK6&#10;ZpMNLIk9t0zTamTmhxMJs3AtfA4aFHUsClX/QvfAuUNBXmh3cFRJ7OsdpVa57LAxwQep+z0242PT&#10;j1LO9Glad2zc3a5EcES9r6vdhLEtaFUuR8pAcqsuYYH21xMbf0XjK/5JwPB66SOY4rez7uB3wu3l&#10;zOQipNANrRaOgpnX7rHALTKrJBeo/fRucOWWaKwQmH4ULJ9daG68OVlz2rCEkFXuyK1FyaOihQ5e&#10;BkJyymPjCzmpyOjByYs1Q4i9Frd33WTTu3VSKBbFYVp0GV5vG5YSUI3Oo7cZuormoccY2fm3QyWT&#10;pu6VWYwkIqJssOGzoz6o1QwVla00+iwK5Fn4sRKhgNiuWew1ZOnql9P6clgGpyEVzSoDM0KfcFZM&#10;T58Y3DqzbJacx7pBsDGGghtLf1G7XypCmBb1EhzRc0eEaDfYANZP7XGja129rA74c4/KY18xtqu5&#10;XN4+2dIz15AnB+ntWgFShu58VfdvDL6MAdAAl21OPtyTdEn6ayAGEk95pG+ziyR/IkjczRN9e7AU&#10;TMSXTE+8l2ZZWQBxIRGG85TlfNjoLjyeq+fnh3dfHrfgeHnbLtf28NCvj9D6rSphOLtwMKCR+YLT&#10;VoCYIkxw1NUvgzh/prX787NnogUMuPzbKpe3726/+MXXv/a/3n71Z+Ptl2LDFDwzCAEUkmbRFFHA&#10;kcx8z0jTTP2pOW2eWsklRYo5qDHuPUigfp/U8F5J9kZO/CUQlyRx7XsuKq0lawQxHE+6bfksF9e+&#10;e4tOM/DQMuQdB7hPYjf7FN8gA7blIEWjJlnoy3XaLUuA/sEMHDodXt2tkuceTmJRzFCIpBd4W1IS&#10;O84JDDWWRc6q47JHvS99pP3gmljJrZKAykSAe7gBqFIMxMtJ8tBSRZKuvTLOO2prC9oL3Lh8KmY3&#10;yvOenCWSVlprhc0vUfX735yOBosyta5tZufrCUFa5azkBNQXW1pJlqiZJA5otWOIIT0QpkomhmrP&#10;SjC6Ib/iClGjvDl5eEFDob3eeXV06KSOslIUX5bSVsJ9YQ3dbeeOUCMUO3RPlLRFpJy0MLzjBOFZ&#10;+JEYz86ifcmbToOBKGfAT8Hmg00v0I6DmfPmFV/NU46pS6xI07O6jxDdOklyY8/Umk9pfJv4ZEqE&#10;1xTAHnsYD2rrbo+wGWkL9HwBLfv6WcPTsganZlFMUZdzmiSo92NjlYYW0Aabx6+5Ha/B6/vt/bfj&#10;9j2NJG0wCB6L8+NfrVQgJp2tutmCbJa+lLXW8B6UQXENhQxn08xmcq2rJxbNG8WfcJe39K17tTJ5&#10;rC4l0RWGk1AVCYW1MwMsY7tm+v9oARbPLnoyfrduWMW3enm4/uivXp+eL0/P2/Ob8fBoLeCTWkFg&#10;G1YpcDNwgGtoUb5FNPie1Ib6eTRkOSrDGDb18ubt+6/+5Ce/9r/ph/fj+YXZ67EYJiS6504uOpYG&#10;TUlsdnphDp9CNqROrUjarIncWroTE5Fm70JslMb6rJSZbIBAVfR83UH5BccPs9tyyuU1Erlxyv+a&#10;A3BxNFjTiw2UzBziNhjPP+4pKqnazhTH16AUzVUJda6z5hVJGU3rWat4R20NRJzDKktiy2c6P/lB&#10;Rmi8GByzDBtWNM8UrNpOpwLmTKw403MLiKwuv8RXvAAz1lXkE3nNQVAUyNMF5CR3TTOkzVkPmEFx&#10;IBnvIx4yM8Pey33yHyXc2iHHcvtc4jdhprfw9HpliGYl1ync0BKOnZ4euStDqDyRtOvdu/2diOpx&#10;mqdAkbCyO/SF43ycXT2CPCgkVHXgdwQ8wU6QIt2YRWvZjGfCUJ08YNDqhBn9qGKxLhxWVEBnJKOy&#10;wC5ZRsO5F9Iaadl8hvebUJfi2VjEeJnZe97YULaYMOWW8Q6MECQcm2eYNsfmV5OFhdST0/a4o5Fl&#10;3CWd25420vLIcyFfVgtmjUQqoX9qyHoW98nC5WGfotHREvFQWdfhbZkWlnt9ld66PbiQt8e7b1RP&#10;vfXLzlqfU7B2e13w4s5v3gr2lVHgK1JNzAt2e7BkgMhPf1ZSgFpIXqNwCVcSB309kufwEsx5U1/P&#10;2y22Z4Fp+sO1FOQisJcu07wTk1Kh9T9vr/rwcP3yrzw8vVn5t9fHdt1W+Pv2sHjkPQ6ZFpIwsy5k&#10;lMEpy+WjgKQfVHuijelpM7X3+vLy9vWrP/npj//W3F+3x2eotDQVIS0VKawgJdLe9zKVjyH++pgi&#10;wtOtEeke4TzcqlZWeGBWu2TRnOxUW8AF63OyuCUiaB5UB3BkPWfsNO9LirIQmsEUTS5rcQTainBq&#10;5PJ2uNosjJn5pnRn6fjyb/63Pv7iw9QTNeJ0p8B9WHSTbUSwJsFcx5UFk2Iu/hkka5eW7mzw3K2q&#10;6nK6eDl1kcjiatVwXdxFKvXfSBLC/F5H0MbEKgkRaMRjM4A3n5kqSsLGQJpk0qrzAj23xzHKd9AX&#10;e1M7BT1Rl+RSXvJHcvFBSx+e5NMmEUDVVszGAFRyrUMgKTwvNuPtx8+mnKR51Php5ea9o0REo1S3&#10;JTbODdm5IndZzVA8RrgdT1C/hKS5Bh28mNQcerTOGUHjhF+T9HNaNc7/Nc6yXiqqasWEiUiBh1RP&#10;HfLvUGaYdI3Vi1ttdxe052bZD2Ujlvgc1BGvcXGj4MPHnkBI8RhI2YZtHBXKOqY2Nkpm8HNRSqe+&#10;EdlnKrOCpQB8V9AJ5qSyCT9od54LAljwEOteybMeUEINpLZQw+JzTXw+nB2CR0VVEkfMcA+1BFqJ&#10;cEi7CKkaBYQaJMaOGJo+t2u3xWG/fbCh+gPa5WH24eOy7Nauab9Y843fZ5f3v2SWWUWOy+hBVS44&#10;nHATi+spIzCWGCKrO53t08XJw+CPeO91sx/akPs9wWlY7gjfQaXKbHhcj4WjgiTpz+LEtw1/bRf0&#10;FqYNtuVi95lNd75zFrh7fLgYK+mUbT3NCdkN7+mhpt/xfF8Kvwf7irW6Pu7gD1/9f6+/+Pnzf/XX&#10;j2Z0HqUGxn6hLIxG2jTSEQEarViknaz3SAsuSRzfBWRSDMl5WfflW0ANtNKMcYNs/pRCzr855LNL&#10;LwIfo99RdLlP09J3jPsHjXQ2JVi7dnGdlOHESarq/WbUvbVOvui29WUURgQ8Z0Q77iMmzkbImtbQ&#10;6wycyf3XqXppFueIT0IaEbIzczd6AbrWXVqdADVhNBcfcqQf3EHvUul3pgN9rgvsTCCixDRhfdXf&#10;Ju2Ti0S6lo0CPhJzpdFN+n7ozr6XesvEl5SBxykeT87GJin+AgoTerYxkwlHfluLlrRmmlMIOC/J&#10;k619khmvJ1JD8D4axgJKG99HwBwpusQh7X5H61BAniY5Q/3ojdJWiOcqH60VjA5z7lGnm/qxo43V&#10;eq/xjfHShpcrAkVNFsankNyGjpWSeJJzDSj5+CWbvUJ0iCzoJWfOTSL4zu1KwFKEQo9+sStQJEZV&#10;3C11Lc2ucD2TEb3CY1EsXQEZDkzHTnpvQ8A9hGZGSsTq31wKgUFqwTVoM8o6uw+m2zPc6OC8aWNZ&#10;GH4oTyj/Hqy0nUvi3y2c3aQt5ntlsNXqR3WZt3bzbWHNTjmsWETMmOEHdyOpHXa18Og+h2VOtDJ3&#10;guxAgyHQFRYSFU9qjUJmcF6tPpXRu6E3ztK0nEb+5zQNEerZYINJLLPx2K8z97XdPrRtu7754ulH&#10;f/Xhi798eXrpj2v+OR6edbsszM0YrqSIx2rW8cQ5PVw++tT+wGnXMulMfEx99H9vv/j+X//Lr/7B&#10;/3G8HNvjk6/gZnqFNfYZQmiluE2XFIeJBBjl3i2OdxQcAyvJTPsxfL8j7npY3R3p0B2zh0+hiaUj&#10;8XWtsY1l0wkkJe9wn+sCRHy6xCMYKb6GkvNR6lwf1X0M0F/TC9xddY8HqpEvMwLK/JFrr6VK0hMs&#10;cC2M41717lIjTktPau5gi7SqE4jkgfjXwz257ZOSeyXIUGMGdR4L1CCIulMkm8/vv0/ENsHbWNXu&#10;H2n/A+xbf2d7d4cwqO+j3zN3i3r/X/y9CHlKLIW451LNPkci7ZW4nL38TpLi2BHOvxMAXj1h42P/&#10;/31sZoCH9OMRdR06s+2XyJpIY/RpnxffhbT7qKTygOTQKr4I4lvnmp6jrLoH1Yo3SZDCDPwtweIs&#10;Jh2fQ3u/vdSwfULbTBNPV8xDmpNdVT5xAR4d2jqUB7pw14zlnDZ423asQx02JJT38DbB/IdJCWOU&#10;k7fpQKSdzKcJsJNHga2j5IKUvAHnssfPN0dmx3vuIuS5hGBeqFNVEMFJIeFeyJUutIsg0l3pwT/+&#10;9eVhzV2XhvP/5+xdn2zbkqu+mTnX3lXnfW83thWBIbAdRnYIwviDI4jwN3/xn+pPfkDgwIAAGSNh&#10;ETzswGAD5iUhOfRoqdXqxzlVe830yhwjc861q06r7ds3um+fe07Vrr3XWjMfY/xGOs0LLQsZznEu&#10;ptmGMomw09wub4brR2Lw5V/kgoT6iE7YfTvoreHRnlzCodFzUJyWn3w6ZiFVuDgr9A7zWGKHB9rn&#10;4nsibQB1gOvpXe1Z8CPsaLUtjlja2pgYCmiFDUzz8kJKnMbIsEaM8W6WG6aApPbtOALfftg+ftOP&#10;8+Y48K5XT0HyHaeugHQmL0PkaTOA7yuYa1nFg6+Z3UP0P89vVubbp29//Gv/4vd/5RcjxflCoXg6&#10;87hVIPI0o9DTyjcKcHknmMcnEtzwNmUtTJGUCY9AR9PDDzZ26CtBtTZK74Zw7RpqHC9QnN7i71UH&#10;/wHSPm89OWPIAM1wJ/SS7/tAPkocxRXo6tnt9jTKyBnjXO9SB03l6NOPL90//vyfWQ66Nr1aXHr6&#10;56pV8mC2wOqHp4xOU7SlfEvxn5niWmrPiaUCV1POyolsk+Zmcqqe9TwZx5fsssx3MiaidqRJE14W&#10;tpJmrcyVkbMshxCr6P+gkTE4fOM01anRqMTwdfcsTNU4GznKzH88SPYI/FSu8c1mzyaCVQR/EkUg&#10;Msztewj1BfvjCv8uDluOYDHiNQAwUrDIOwJVgJJERNsL3wybdZ8jE3akzC3LBX54XD1hIjL5Ddam&#10;6KLwxLMho6amWMNMkbYMy9JQQ5xthyyvKftApC4SMbEE0swsljNrSEjYWpyO2VWTekKvkVTVnCMe&#10;eYWuER0ABifEVAundjPHHv36fpsROySJCOjGaR5F3TBNY/H7u5RHux7/GMcOy6VAIoNjPkvdCwM9&#10;mYQ3mx8kzfvxk1oGKpwjvTZzspB3IWZrDSiVN4W6ykdb2fgi1i89i3wfji8YZCJXQvshB0tc8M/2&#10;GHxdrvL8ObNmxGHK/pC79svVP4fbc//yY6kY596Zu8T8mlHZSQXt08J9asJcvGhQhpemRzIWLsBt&#10;JRvHp51Z6rXBqMhcj6TAJy6gcOuTAjHBJ02zh2YSzow25OoUJ6JuF4UK8fkZ6RMaiNRU8ayOlaIV&#10;Sg6SlviKsxavQBkvDc33C0NJvFSsu7783m8///D7b//4n3KI63FoKfg+oGNfcibb4ipVlkrpdo2H&#10;xlimKpYDjIbtbVBBhDLpHNtotknxccRS2SOWYC2V6SEzWlJtuuuGPbzxa/z5J/C8Dq0gAhRDx9Nz&#10;j5ThDiWrk5hish5hgIOUHtzVy9B5Aj+EoHb8FP3Dn/4FqVPvNAy0NhvMZRQWZYE7crRX1POCApni&#10;tK45TD4DtaRmaPJCVZ/OTTmnc6osFvU7j3ArBovcDTIXY5olD4xj6/twQS6uikxYA8r5zyOtnScb&#10;nKwSC1kkjFJaslXEmiULvsTuilwj3APDR8HUtY63pLvRToapWk2BqzRLXCObeOQPyBJvt8YOQz/S&#10;uKMu609GV+kKHM+ovUo4qupoxRUm6fOE7U2pfWV+ThO+LDUBn+K2liAi0743sywIFpBIWAJxBUcE&#10;w3G4Bo5qQSbaDaKsiEKsDB02GmQ2TJnOnfArjZx4gY5uDrAtXVA4AAylq9z2qa3XS7xUtwNiYomI&#10;Xv9cUL74gbE35nMaPbKwFqDqRFGlujIfMn6JleiwlrVmX/MQrPGFoV4mSziGVOrpB0riw76TW9aV&#10;q/reWRwhXA0STVyTWD6V4hRTR82NsgJ8iZ3i0K3jzIkS/jkGvOFG9fVp93bQD+LdQ/6OLjAnHzSe&#10;l9RghqwqCAa2ZvJO7RfjnQXsHiYAW+WjQp+LUIXMy13mj73mvfAIjhbKHZ8hRw3BijGWeRJ7UONH&#10;22fI8SCpFM+Zfn3o/kQeSN+Mz1+RLxgHPECTaTihidOw6JyDp1eQjl+lebw8Cyn36arX69Nv/PoY&#10;492f+A9CSTY4EyY/Txs4PCiY21K4Mr5rcI9Af6amhauzxdReMq34dzIWfjadjb3Xgh9rRtgQ8Kxj&#10;wdc3N6puVxeIPX9xPbBnZfTACT5FObNZYpVG0gorYxIeaMxTXLmzM6ikZ8Qxxm16GjTKcfj9mVT4&#10;rJsw+mlWseWqD0kYGR9SKlMkAuuS5jJ5HTomU8pYkNr9Jq/mZTME+URQW9PkFoPKjF83WWqk5UvI&#10;RBtUuPXpC+y8B7RrXVJz0i4gQlrJIVfpzSTtmeTLzFeFQBcrn0Oe4iAD7RRe2xSjTxlNtsxV1iv/&#10;WJNlFrF06jZtFZCZVerC+SNQYA48mI0SkflGbxtCuWDqqpIP4SC2OA7n1tKmymLSSkrKH6KHhCbU&#10;l8zHGi+lQEbZAkmXyfST6n7mZ52rH2CPKrVZjRkbKVUeNuG8yz4U2hxowMbCBpMJ4a/Ip5aRoMbe&#10;E+S6Qjop3aITDtvmUBTS33hAeDqHaiVdyIqXMR6AbGxpndRVfZ3fMquLwNmkeHVk40IqW0FwFIRg&#10;ypfYUEk+f4lY08xHSugSkywH5relSZZi0KBm0h7Rte6C2C+PsUHZDRmkAZlbSu/4MlvHMDbe5Rvk&#10;53J7nv42LMacjKooFxRJyJNpAJSOpRavF37F//12ibrkNmlDcyg9JM/R3N9vMIRQzeH6nTHjrJAh&#10;Hit3FlH0i+/14GLa1YybqEwhrEVLpSO710zaInyVMjRmmbPeo5tiltpr+3cuxl47/OwkIrtHwPiP&#10;dH34yW/86+PNeffv/0dHtx33ZJccHRtrGqthCfPrlv1v7rOtFbM2LUMEU9oEuTQOFRupuvh2mgUW&#10;pIwwBUY2BUZYw//BK1QvMp6fECysMVTQ/dlt1k4bF8weAkLEwy/LL7huzei+EJxBSo/EjJCzVFT4&#10;2vrDz//ZgSp2sp0t4+SMHXJJYI0B27YQEvBdSAvxaUDPz17qGFuH7LXA1Tv/nsi9ymJpmiixhnaT&#10;FtYGI2KlO8Cs1zFJkyz5eeEOha467q4FgTadfZLjha56vgzxVhBbi6Y6HWOl6h4TYNxYEKCAqDkl&#10;vkCiD27BXmI7n+w/GUUGTDFLqjqEqWaYhmHuTfSy1WgKmkXzf9iCUBEjR5WVEtgK2oRrNy2d/vsr&#10;QK4N1cKuIffY0i8VOa5jKm1p28skuhqe03IR1zEifKfoR3VCYSLHCwlvs6QAM9oKodRKW5vkfZaT&#10;SiNJjf0s/ZYVJWMM96xM3FXsi71LsnCRIazcQW3qVq1tPkhwU+C0ZZgOlYELa5JCm4Zdo5WHjM0B&#10;OF6YFNWDg8IDKtxW81nNtXFODTSbLJSktNSJ48CyEELE3kkex5Z6RjRNR6IBX4KfAnfc8en7Xh+h&#10;N/lOAq5GRQn2vF6nRzDM0cxdsZcT9gHSnz43SYpYiCRr+dHjxvQqc7+125dAcliWKOr3Reilre1K&#10;9ea6scACIi6sbaOzAxLoHgCe2y1vvjy2y+k476ZG0CcVNFC8DEaItFpcwSjVsh3vRJYDBgQ2qSaz&#10;wvI69QY0NN+Xh6Li+m/wqbicyu4Y6nJBgcddP9nM8sWPNv0MXz8DXx5+VdNtrrf8/Gv/8ihtH//4&#10;n2Q4DBFXWSlYacdoh1BAYVpmQajCwIADKSg1qYvPh4lBRtc2iWILJnTv/vsFe/vMoIzPcB9FG4y3&#10;YQvrZsww9mcojb1BjlzcHZkqvlzYq93ccneY9XRIxowPQcCFNIKThF1oLHMl/cruc1+SucfpKHoN&#10;/djWpR0RLTWo3v2M71ml2yJkWvBma4JiguGkAjZFliiCu6i/ALXNgAOTc2ZNr+Dg8q0s2eciOkWX&#10;1jKVd+kAT/A6bhHr9XTlO7Lv+2kIXGvGAipS45d3jsxav7YGA4gQNFjbxbS6lJpzIeBU7X7Mm0Kt&#10;ep+GnTLlUtc3I7Ff26BnFjCvBkufOKdtSL2h7yX5m43a7qhZNgvAMS6FbuEQOt+yFCiEbGua0zSt&#10;Ihycat74IRBk3JLh5IPMFWjK5BzxaNaC62nw93MRIZxn6hrbZ5OT2VsKTSGDTmHy/PnXK2RacdlC&#10;MTROb/sgtgwcr52IZFnyN9BceSV7o8LGURO9pnYoqCXztzSHvUJQTI7Nea2TFo5X1xfnfPRriuCh&#10;iPA+HhBPfOwOYG1IaKJG1N/IvRUhrzaX/pPkYXlT7vzJskFY401ql3K57P069NL3ZySbVOnRx+12&#10;O544Plc/fvINuCpFgxO/MxqOEYeu3m7xiOuZQmDwFpT9i1yucI/Ep6b+uBtaWmIUnfG6do4ZK/0N&#10;mgKvK7osSq9QysGWYNNHYYGVjl+MHzamxEInQKuAq3jiD401UwDP/dm6UyAL/oHv0uKSuLz74LF/&#10;x5+4XI8zef/RD7td9y8/iT4nJFT7nnKT4qZJpermZ/NHxd6eHgCv3e37rpdLe3j8g3/4K8dn+vEX&#10;/ovx5Ysd7RQWn5Ao9MrIkJQMZddDz01luBECh3V4OdIs7SXxWWuBHYYsGal0gKzRHazaPI0vjjTU&#10;ALfFgB6DzjhvfVj1rP2BBb/Dj5xzNNus4z2PrFn/yLtK3dZCZLAmcwpQpC0jkhdFZr3byBNVlVcE&#10;SLD0pbUWJi8mctbMyiavYpH51TMZ6J1VTWU1gbmjX+asrR71hQtYcl5tVbj4fdhcJyJL5Jmx5GnJ&#10;9SngiaAv0JbbXDmlzk+efCXUnBmdkmKfo4QZJc+pLenI49BPq3TPy8xCvc9FPa8kaz1GC/vxLfxT&#10;v4fL1EauLay38yPdpFC65RbnhGdNlcrfYNWtDPRCOaxG8u2e8vmmdloWl32BoZigDPNC0uoLqXiK&#10;FzpQimqGu5PQYAxKjj8zyC5d4345sxCr/LwI0pjJg9R8WiS1FihlSOpZlvcswsiHTi9mCAHsOT41&#10;TxpyTT8e5ZF2U5GPfqrtt0GfQ6eUC9KJCd5L5sJx9hzXAyaERqfXjNcwevQSRcSk88DQIFqBdaXG&#10;/IGut9r4GnnGSHSHoGgODwxkOj/kYv/VE8xvIFT5e3C5xgrzONVckGmxltZS+sPaefR8zdOFYKsY&#10;OrJWjiIuuszjNWxRZu3BOI7RgSf5DTxz8S2dEUp6VbBmQuJlReiuGTsa09K2gn48ikDfevqMl6Qv&#10;wT4YrS1BLRSCRsF2fL3nZWBhHH4ez9mjkT1+yufnCIiHOoxJVW7g3lHrDOOYXMKAy2oEPa5/5+hR&#10;9OHNdT/qhKs9f9mPbthYuNhtj3OnhbiMoefwsFWvaVXJfV2Kvaoc5FXyVepJ9O279uXzH/yDX5Ht&#10;8vE/+c9vP9mx7WPjoR22Kni6Mo5dmaca943fHeNms4mwKV1RYJAyr8i5nPGBcmeQo+xWuSjN8oGG&#10;76IB146ffKe0kBmuALhQgRIp6r5cRNEsuUofJP/HP9scugzGwrSiF0GnGxWz9I//8S+gpJKZQ8gJ&#10;z7iBWygvPW1VFJQxWDLc1s6chTLfpb+ITyto1zO/yKZl+LQFXCbf4qb4dKqX/8FWRBEGq2MJPk4m&#10;cJOZqEptj+ZMTGwBS0EGKW15fs8vz3iIlkD/JSEwvkacAoHD7bKYOEpeoTnplVyb1SBU7hzziyRs&#10;geK1JQNpnot5vAegXKc9FpMHoyClJTstDzHmKudeDDt23Ha7FUaGwvrSatKISp9yPG2H5LEoy8xz&#10;BVUQNVXOFn4F1CK0qOfVpMQVrUQcDsVwJWMaWjqmvlBzWaHGhGD5s1KCKJFlmcqoYWwg4BHsk3aM&#10;QVjtJ2qfxxl4Z2HBtDNvGXJp4l8EU2Pd07pmlmpGs6MMp6SQLJiMHFxQUiX82SkA8adJy6aEd3LX&#10;uvsoU4I7mLAAqw+rhiKciNqCy2tq+WmrFvdPggZwvM4ORzbsgJk8Jvvwnm94WSDbQ5yaO2wB/ri5&#10;Xnt4sKKd2EEchRYU5yLlNh4W+JkzRvR2dEaTPCJTWI5iS3i4IbN0ZXEIDligC/iQIZBIKS1GpasU&#10;98MPPqZT00cPm8Q5FOdlPKjpTskyGaNUDUGTS5kK2KyaSWQNJIp49PvHFZZoJWrP58/xZTTopEOV&#10;3nmWJyPX/52HH9VMP9tfX2n+Zv2ux4sx+/wbv6ZvHh9/7k8Ykhq7CkcCFAJxkIKn0/Gn9gHi3Uk5&#10;yKeqlrMtKfZYn4wCDlR2dfSLuefXRVUnldB5FF6P0bg9hwdmY2aI3WIiHfCQo84Ce4F5nXyRkp7g&#10;PRKGe5sOjo41bZysxv1KK+JACp1lZqhMEG1rr1lMQheItExp0z4kL4MLVjxI+eAww9SV3nO0tLeR&#10;+zFbUhXyMbnvuyStYxmo1tYj1z02VrX8Fg19m2JiS1a1vLhWgNuucHib1v0pOs1gPDuB0aptzXYl&#10;dpMtTLvQnmiqwXqjpLgVaM4wgTzNeUf84j7W5i+e9Jejn8iXJbYguGGsviGRwOx0Ar1iG7KMYOx0&#10;irQFRIOre1KqYlmiFYtl0z0ScKw+TG0GZ0qGlRduzBYv+ph7VAyUOzjHNJzdUYCsgmZZNMxke5nQ&#10;1x23qsC6J4nPnCSCog9wD7S4OXNqnzZC1Z09IlelthDpCJVB+g8vmVHJJ7GuuDmEwgJRTeREBvxC&#10;C96jd2zIDNrICLYzRzxTGLnqEzIhSVfxwJpBvC+Hry4MGdGECVeJvSi6J4oovMY4YEaTyv3GgKdo&#10;npTtQ464D6QiAAwEyY8jXdzksPfL3jeNZDggYLaYqe4ZvmUF7eSTEXiMoxvazEMB50IOH28r2g0+&#10;xTbmzVU9eoZuNqm4ZcyoNuEOdczwJj+FhWIl5YDUJCe6tma1jInUOt5hl5gO9Hr+K1soeP2rbozJ&#10;xdMI0Wax7zQOSLEWbQq/8XHkPDxcP3x7/fDp8vFTu1zG9bo9vDluZMQO6BVSnXyqHZfMbTT5qbPM&#10;n/GvmU5JZ71eH46P4Pv/6y/9+F/8k+3NmwCf3AbI3eHFTBiE15GuidMo444fat8RcMqtcPinE+sx&#10;txgUcUomIlVC6KzhQZrvJrlihGEbkj5YLhzyDngr1EqwQklcVZbaY/ifelo/B0f70YnnhGDEBILY&#10;3JUpFeoaHGCFMtEZWzTgFQlhdyT+nMKQmYoms/GdLpXJXbY15GmSfl7kU9EUbAvr3yq2Jcmry2G4&#10;x+XV22ItsPRypbubgp56puRim0smgD88hoUPd485dR0z8nrtNHTNpnG3sQ5Ap9W5OIE2lw4KJxFl&#10;zXdCPJpty+3F9ykSHixlvFKpYCyZWvrcoLq55W02Kh9Y28poOQf+ShpYExzFKSBtdMUIjTHGAues&#10;Zds8cYt6IIkU7rpIzpKtMJ1RpbMdUlzaEMMM9L4AMaTtQrXsbp1iV2ohM6l9xiA2LrrClSxaeZSJ&#10;XKkVWzaPM5tlqjRXrykOtR7O25nPvISn0kRipFLpmHWLungnnYmTlZ+6EnbPLpq/cfkdX6ZytELP&#10;AqtePkwVMSIuQNope/GiajTTeekt6iHvB5URXBAiQR6ZBmHsGnNe6BlGJGBHbK/XXNt1lACk9STQ&#10;K1F5TmsMAp5e9ssbf2m3Z58ENk3TdAh3A6XlR3JIRjWiJwSUlpy7dEOO3FiMrtno8HnRW+2hofZa&#10;FIhkhjViNvGoYIsns4EWG9IWik9OmAy76FBj4edqt+gwcjYfq2Q9g6Hifd/3MoBha1gofM0NQjxb&#10;oOiIN7b3/vjw+OGby+O77d17uWzH+SfH2dOVgOWuEXrNkWLkZX0N0PFTTrr7v+Tu/ITo8fHN8aZ9&#10;/1f/58+//W/74yNdeiCOpnYvb/dYSYJgVyuh2IMKIyQLv0Wiejw56kiwOkpndzIDH4oipjlf1Yi7&#10;yGl2vHneRcTyf/S05s500cALQHXsorkItb3dPNVhLGcJFBiSpu1GHTVG8bJEkJ3OptytjBzQ5l5J&#10;ZaUtLAajGkO0XnO8XOdlei0BDWOhjlnZSCc2u5WjCUW9VF4MIZapruIoeSRnXJPwwuXVPsaasdOS&#10;+Q2twOgJldakpVSyldVQc+pvFn3oYK069Y2lBpUVtzL/rkI2vuPI8JW2SE78eEBl2mSJMufdZbas&#10;ghbBrVRmUWZ0ZcaELekVxpzP2aDN2YM/XmLpEmJeXcHzlhGXEKzmtFszlNRW5mbdrhOyVs2t2WnG&#10;W+EbfPzl+TINWgv+L1RbuaTNhWB0uGPG5HKYnW+4VkD1rLUk06i9WwUDlYIKyr7H3i2C36TnHADv&#10;BlobbmAwDs3eKEn/mUqtadWKcnUg65Yxac9fvC98/iL7k2aK3CzuGIgMwenuToD5YI1FGoyYbgAe&#10;+RgBa2qENrJ7xhOWENMZbfm24jbOeJ3Wno8uBI8U7QVFPR4l/kBJ4M7Qi45YDXi7uUUsavSfCmrO&#10;M/Sr9DYHFCaKoY2qhNzGO9sToJPQ5cS2VYFU5YczuHMiUG3UqTKJ6gvUtiZvq4JqpJ0/PgXaMdmv&#10;B9GKb4vXHzhyWsxXeDEZM2+ImYWg3ga6nMokaBEbue+ZnUmWL8chlli7wnfyaatyfbi8effm23/3&#10;+vaDXC7y9n1/+8Gu1z3ksbCCzDjRYQhREwDo/0jZy1cmoW1xRglvM9M3b8d++97f/mtPv/Mbl4dH&#10;+uOON+T2jF64JGtrtjY4LGBItIpSwnpvlEJs+AVfyBPWxz7htZZamgbhKJMVAL8daanqwUJCk6F8&#10;ekVhHjKWEaP+EHkjXQS9qS8XR1cOEG43mUlpK1Z6TguAEFJ5ESRk66By92oIbDpTWRIMy3N3Jj3G&#10;l9piLEuw60q0zgl7qcPaT4/xm0fNLGHC7TA7k5G23mU8GHgKuweC2utfX7igxlYcL34WK6TDtyLn&#10;34dY2Mrib69hGGbw1SwvzBhsMBu7Bg/sca8eF9N+i63APrmvjhXw53HNeOHhG7YmPHDwKi/kQg1k&#10;o8FEzZQFWZm/WMcM2lG4ZQMIhIvUIJgjfC7mZupCduX4fYZJaKgR7z7bFOfXanlR3HDuDYMUhIFG&#10;tp3keBZi2ra49CLfjcFsEWu2x8MmWhkMY8aomLDFRYHtYxwfE38juQLWOQDV6aZMXFmaPfHyfSKy&#10;J6CcCuRYtvecw8XYU1e51cj0+VEOmmrXWaWui/VQ05kj1lKZDQabzJ1szspiebl5/XvcszhupnMX&#10;b0KEFWguBENF4wf6vl1vnvsT1E1vtoxJkwbFcQjuXK+02UZCtwQ4X29fBg6A433YIfYzgEzbjGCn&#10;qX808mh4KMSGL4mXSv3QZEXWoaYUwUZSkqQ/3ebsGzPprSENLo5ko3c2jCvxjvCyWTXiiHmbkgFN&#10;tBodbKo1YAgebI2wuhtgBCg7cq91Xiiog7atxWeBvnNERxI81MvD2/cPn76zPb45usGj+dvevDOv&#10;Nug0WbYpIRPLTL6vB/v9fzsMy7bcj/Pvh3/4vb/zN55/8PvHP8NnOewWMRrLPIvf2qSqZguFOQ2X&#10;8SJrSh8TKOiwRrhlsjiLLMagwZEi7iirlvm6jjsAzQrL13FcjSIZwiKWgwwfI9PRQ6yrZlb48PrP&#10;O2+qKFoSE1PvXct+6slic8s5ob1CqkROfCv83QrdsFZb8smVmjCU7LdWH98C+Yg4CY6PZhsXpeKQ&#10;My15DkGt0hriTkaKdvR8404bk9YnH1EskRnlF67B7AxeyFXSEoyiC/pTFqUnG0dsL3DZG7bWPoe8&#10;8Rx9kSavddBOBX4Gqq+YPkubKYJYhxX4vdrioofThhwtReWTpQCeTCm0/MgfS+5Xgk5kujlCcdSl&#10;JPaqlctII36iFq2gUK0IB50geJSECkQitY0RFHwhAgF1xASAYlmoi3ejEoDbWG9Z3mbkyQxG1lLN&#10;3JkboRhYxKjNJSIm4E0ouO+IF0h1rUb6eU+ymCbBFGetTFksVRTW/WraR6vRtvEa9Lq1z11lzGFC&#10;1ADciAwrFx6ccClvt4wPssUMJOk+HKVlbJ3yrkkLLNUjmlJDZ+y/ade2AHhyHYB/Pg650XsNxDQi&#10;Z00pz4oO9aa3p350AOKHoo80j5/ZOZzRqAXhTKlVd1GHv/nuYAsYpoQmTbeB012LC6RyexpI3t53&#10;OAoGT0FbUuWglskblZXmvgxxFqzRPoodEZfGLaOea4mDU3dCO3NpCphLiK6xi4Uzr4LupMxXx011&#10;i6X4cMmrzPlKwUYt9U0zwiSexCNDf5LlgOvSzRPH/Xh98+7y4ZM+Pm6Xqzw8eP57jNjpgO9t2sds&#10;VbKkwzI+ptd6QcsQ9pyGzJDq07PIwtFxnLv7H/7gd3/1b9rnH26PbyWciDMAtVb/FRkY+URBPDPN&#10;gY6CG4gYSHfvpSwoGY0tNIDLQdhaWweypiAN+TUxz1jXG8czp0stI8a+x7YbfWRo04j898/sGVKd&#10;3VfRmlkKYURJcb+UiTKxv1rlz6lUz0CnDGuoEaSdWrnFIye6qFfMxit0AjtnsufOpDCOq1Kfa/KF&#10;UlWzRH4esxaKQ24Jbs9dn9m5KW2nbFeZ08ipDSGsaG2Z7F7DY22mgnIepcJ4ioUrIS8iDWfkhSyB&#10;F1PSmRMPchzpAUoTClBOI1NdsuXkYkDWKkOSaJwNBQWfyoFMal1LqaOUYIRWbZTjxQifjZjYuUi9&#10;u+1qF5ZEqgxMnzNj03M4btFwsi1GPLqoTqpTyxwH6t7DJrJjRgeBGkZCIfVTCGcigQXpevEH8YRy&#10;rD5FsLmKj6kbxpX8/OnAbMYMZ1tgvnhoaj6ZR2pUlHVxKXu1AGcj45HFluFyUlTgzxT88Sgs+dYN&#10;am6tRmb5UOf6gaDDvIGynIvrCIlX+4kUn0ypOOHUK+7jERaZD1TYRuZ9v32R9Dz1/clvqOtj456S&#10;g+Xj149WL7+eax3t+hAIkz0ecBpWUFB2olobeRJvPUXTnODGcQ5bVHSNRX5K80gDmCaLQfK22GXP&#10;JNZSarL/0AxflcrfQDmyzfhMnLtFQXf5WBxYLsBR6mzmvFCzyweaMvBmrtiUOUuM4Rt3e1xxS/TN&#10;A8nvqQYVMPH9sX69Pr798PD+k755J9fj8Lv2y0P4fdXNFUdD3Nu6i5YZBcOK/3UhzMjbZYy0KKxc&#10;ruVhCKV937Y3b59/89eO/s/p09tFjqKHfbPNEB+701UAZZYjCtSUuVM06JbQOKXgVovgWMqr0F7u&#10;QZZfAtdGSmgGIGVSkgE85XOCk2mXGeDgd70XVSPEgLejhfXp3VGtDgg7++6z6z18+hWo7r/h48//&#10;Wdzed9joljeSYtIlL4CZlL1XwnKh/HlSFuZlJbzIGj3a7NRaIYooCQ7lCgSftlZwKpOjdm80X0l3&#10;pVMRaa9i8l7/9aT8vIIRnUpMiWDEJRoVrPJOGH/6OUZboKNGwUp6cs9cTf50AUEYJbtUyFJ7wYbM&#10;1nx10pMxeaTLE/uFHt4jqUSYykhcPRWWsSx+JXFoFcISm/LSqS0JLvQgEGsQYDRBOVahPUiwmapZ&#10;JKSmPL/oKhnxN239vDhOOD2akwkzFjBo6D7AMjhK4pAG7c+tWqyS/sSJrlXqDEuXTrO8x7LaohXH&#10;9w5t8UoQd4lOAYvh1jJdr9HhLrXnq8QPnXkYmjqL0VLtajOMoppdgcQRP2LCo60td0IyFgMZFaJT&#10;bAtlD8taQNRWZDBRLN6Jhj/jaOycTsCry7/oDUMnNSQ8hNfYly7qMGIFlwexNpXHy3iTTdwbcAPz&#10;jK1e0J5akFZiTexubpz+Gn5/b7NccD9QyffPP4zegJJj2a7+so/PUTIWwNIYjCKjxwPNlYcVJmdL&#10;zCedG4hxaPCZ8ZTl/M1fefC19WgRmC3VkDAzpPLQFkIx4V429d/hAMlyb2RQjrYarfYeQFQiZri/&#10;75tNWmmgd125HZetkfK6s3/VNmxqCOm6e0kveyW2hdfWKDZWzuxL5nZnnAh75dPv/tbtD7739k/8&#10;h/7m356OA1j0xfEazVYtCYx+IzJRbQIHprEklU3lEupLaLNav0KLG5JzOuwtFLB9f4ZBMzzT0QbE&#10;gyIKc+HzTakeCynZ3mPuBYhXj8RT+Kr9hsVZjik0spFxdh6/Bo9d6TTWiILG7zE7ODhnB9zNx/sI&#10;cBGjEhmccjJe63nftjJY3bU7is5/p8CzsUhBWdVJmJ3GirSODChLxx6ojuWe9AuaL6uWYyJlb8I5&#10;uts0PGXSt7w2K5/Oh61rs6lyYu2ZftypdwmLyWwjE+7JKBFuj5WY+UgJ5jw6PVpojnoSwCGVOx4Z&#10;xNJrOCgSg1ICdRIeKQguoT1aPyWGIPMkvZ/pRU8qOh9TlGSZz87Mh6wjrWhNrXpRy3hYULoWkCzJ&#10;NFgLdOV8RlcEdpy3MCA3mY8bgpnJtRs0VS7O11woDzCm+56wFCh6/TRn2i0EJWpkhmNbJpWecHK9&#10;1KWoiXzcc7c8BT7qYNLIbUFXOOCr1hDPUCEneLjnHRLijwqkkPm+mc7FU1ui6PPxbpljME0L06iZ&#10;uhLG/YSRl0s3YU3pL+ZmCSAMcQhb66xZI2vUoWUOc9mbXug2a47DHmmlCoLJ8FIjNOUWSjEUR3Ey&#10;3XrQgACtDZCbf9O9+8MruIN9xI3aEavrN8Fml6395AehOUzPZbHHcM0dN34oM+ESo5+9TRMpc9b8&#10;kh5F6kXj7YqMSDOOUifCTX0tYzMKyiXWz8goANSNCljsKQeH18f5Pezm3XPr5SDJsK2ac+iqZ5CZ&#10;qeIjOPeiRNE3LttRFlwvF7euPT/dYlqmz7dhT1wT4uAdtZuXGStpA6VIXN+TTtRyj+JsjyYrzqrC&#10;4aytu8OYWx8vor//8b/+Z0dR8t0//195TX/0f5erFdgRRdKwCX7nYYbJjOdnlVtAkVUEyfZRo8Ra&#10;nq7a404ZoZBiykkWi5khPAL0Q4+NNQJIF4UJ6+NhbODi9IlQkVvQHjA4ndIHC/Z6f75xvICzesSy&#10;wXbm3lRJZ5SizMb/jjOWM2C1zKAaQHvPEcTZyHC30ZC2Tis0Hznz9/DsWGLtUjzg5qlhSx64zKgH&#10;eRkY1yqEzOpIuK9mZE5iTlk68pVdMQVmzFZd7B3FbV5DESsg3c4Uhsm/LFLosJKy4Xm9qpAWGvfc&#10;AMCRNlZooU6gHB+ydN0MWWS1ieJc8vjwkJrhUehKrViM8xjI8FVicVBLQq/O5XTtULvVQrX0wQuC&#10;tzZ/lgnW+d2nBabC0hzszvqMy4xB8WwsohAFNWiqzfuS7U88pkcG0LeMu6fDP12MdVVpPqtHNuOa&#10;mXN147skVGWGZRIKlAmC3K+y28vcbzpJYtGI5qwhtAwfOpWKc2cb4VYj2XhVHpS8PquQ2S+eohVX&#10;ZAJGODH3g+29Jj2or/3XxyBjrkVFG93r0Mvo1wX4BvNnvK5BvQMTJaluMfi+962Hkd8lo16rwQkT&#10;ghQfZj4/OYltQwKOBN9kyP4UwTq7gU08s17nKB0HnJtJwiq+JEinHNE/4i0qycF96PGq4JnbLrKA&#10;GiJMbsfCgsMUVdagzFLpJAcr5qgbbK8h8ipMxWhVzsU9qxA62Iy2HIEl8k/idms2A5bjwe094vbm&#10;3fX9R3140x8f9f37/vDGx6q6qXO6t2l2OiUOUMaVyvrzA0Zq7fFaLtKdFg/BIL1fPnz60T/7P77/&#10;v/9defvelbpjt0VDQQe67VTYWrlOsYhZGpthK51RUqVcUrMss4cU+mNOoWx7fur7cZJtbUZUR+Ua&#10;3xGNHXhDJX8gW1djcK0hboKUeBAfZmnxynGuPxjduT9u+UxJl/zMwLGv6IVKHnLOQq2wwUVKOZ9q&#10;a0JzyZXRcY59rz3dDL49jx6rf5IzzYere6sJ2/Lda6tJauJr4bNmq/+yWBxfOfvyKhtjvd5sAePU&#10;hSiv6D7LBrGoHE7BJlJYsbbQcayqNU6TEdkjBfeyWXVOKWmDlq+wO3UwLCvXOu1c7s3eK2Tc4fea&#10;NcYa54FlRo45wsIwk6YR7jNwvWrWYPP6Hqk73TOt4pSP0WYMDdMVasRPATvyOONHi/R6ZWCCJ4lP&#10;S3s8wpN4kAG4R+8BvxAow7HFsTprSzNrCNJEbAo4zlySJUPSDaY0YKX7pCwvZunSMHywI5FHbLwl&#10;JmYcuvIcYyyzniyHqWQJPvWFw8wcYUkB3KBqoyJ8zFTiMx+PhT8Gnr1jBgur6xBGY+D7edxkUt0p&#10;hvVUI6gS4vkSFfd+eWPblftyd9b7VaEueR+jO9gTk0nbfIK+34438Pi3Nzje2u3Jnp4CHpb54Me7&#10;dJyIEvSGccu7uoDmdf4ODtag6BvDii5FhVtcmUgN41MjrNnbQ4DcbsA6DvhWgF02AE0swUump2gb&#10;E+a/lw9HIJDhohoRclHqecl0fLg9rCCejtLLuhjHIx1EnBijXO2bXh8v7z4eZ8/x33q9tserXK/H&#10;ZzRQlNis/tfDz+6ydu728Nxq3y1uvhIHbxykXN99/OE/+fs/+Ee/qu8+oFbwUUc+KKfpoTh3w+zF&#10;9t8SjxEmGQkPw4ZZqzpyNtB69USH1woTy45Aq2f84VF24Up5kRkt6GpS7juy5vax2bb3hyxisYQW&#10;Wi6PV+A95R6BNgQ1uot/J/WuUq8lsdfnRua8Hlv5XylAsTPcEa+q5m5TtrmguQZjKZb39yVJLbEp&#10;rbNRXYLDj5JOdQ334ePeShvsz71NFsOzsYA9/r7hBWBzMMb0rt6Fn+eSpGaxo9o6JBllMFsqCcWm&#10;TVBWkM0qbaHmD7FVc6sqC5DEf/stTqMit7P4CMFcQgBkjCnqwoYJHeXics/RR0utg9lCoM4saauO&#10;KwFCDEgdhmOPqk4sPLR4acnlYCUOoTyDVNeAKcuLjW0iss1SZgBrMWNvNTKAoEhMn4iU/iPFcDVn&#10;THUoTTAWVuulupHA0NTUBo/+Eh/v4fYSDG34IEzckMg6C+UTF9dxLON5/bQxUX6NxrhR+dyDA0/D&#10;vuR4uDBaj9OfkbcGn1L+fO+J/R1S6IR0fpUsjgdAAmjaIq7h96LBN7YnRyfnsIyxIGNGZSW5d0Q3&#10;8xVp23E9xGjacLkAHMMN304jI6VtCjJJhcPiprj0rW8bWx0/Ozv0Sk6zduXe3EnzZJ/REy3hXluR&#10;g9NsifAAZpXkiU88mM1gQqSg+GHvdc9+02qWSU6QOlZg8uvx1u12G2xvxgyLltoe7S2PQ1nsM4Wf&#10;cQIjch9ZnlKVDReTduII/K4/ahpffXW9XN++//Tw8dP2+Pbo/Nr16qdgT0YPCqTU+Gr6K1Ye4iLo&#10;HNM5jQymu7/X46oE0iOcmtvWLw8/+Pt/54f/9H/b3r6XKChpXZSlqIeui0nUa6xIgz5zoHO24Ie0&#10;na6RtjCejU7546xKTr+1tSCOWQiFhCjrVKBJzo+jaVBhSaO13OQ3UKJYTWZ8ZlheHBAGhzsFn4KU&#10;n6VpWJRirxUKKWqb4h+7646GtWX2Qk61rYOzuQXKbmJtGe1lGi0wFzoz8u6KnfPQU5YrgZso8iRT&#10;YSF3VZBSkCgvidLtFav6a9y8NucyrLRPyqrFumMZ3bba4EXWCMB2ionlnO5+NmvzpgMtJouWKVKN&#10;llHsxQpzWiDnx7AWk1p2t2D6xUyvhht44gmN3rbAsiVzs3hMGV8ar/X2Yt8OcWCK+2guhsCfc6Q0&#10;+scVUGfVrEFCO+8jmvWMC8Xnjh1FkF9yAZgpXYiZhlwi5pGTfj0LzcQukfa5Dhzs9LnyJ+1QPgiJ&#10;s6xlzmz+hV6H6w3pMKjARujX3WJvWox2ZPIFbZm3wfmuyxfakm8pqXbEQaWlKw61ggs7eQ3y8Ive&#10;BWpSn8f2MMUFzbNfwnjk56Ae9XiIgEKk5yNHdW0R/H+BWIcar6sxUy2On20z7DuPp/xxBF6uxMT6&#10;v+zBPd1b0W1wc5RpeK7QS+LaFkF3HjVmGWQ52Rhg+3mQFo/SsELTz4oCf0Po7kKOEsDbsnjYW1tC&#10;hlGLBBqtkcE0K+1cF481d4Pn7gL4zYWutYe3cnlwbnIP2sDRJV8u+vB49fPv2+3th+3d+/b42B/f&#10;HBXSwDuZOVTpom+Wu4aaglJ9g+M5wE/2s1kDSS7Enf/wcNyxv/93f+lH/+r/2t5/qPAUpZK2pTuT&#10;kEzrfZ31gT1WyvwS+OxItmJJE0vAnOdS3mVBJPAHy+ZTFqhw/ertnPDyg5qM1v787GHIhgc7go1M&#10;b09Hvb+7tgXseq+3wO4Y3LsjQ3UCzWbHev/GqNzPCaefr714tjebGex3BwfirqUtO8VlNdYmP0tT&#10;W7eUCgnUmA+9tq6o+M5IWQnukNpUGsTnsFNPmY9UAjWs02ch8grK9J6yXf7sxCD5SG3KFDg/qk6T&#10;iunKzhG5S4tiAWzTBWg1UG58bZO5mowc4KTzS4HMwuPS2qqZlGWMPGepU0sSAs7CCWR0vDClcRnN&#10;ntahVqqQWt8lDKVkT3b22lPmVrCDGvdZxoB4qvjDaGUST0S5nuIerdyviCJwTfN+og7wksOogCsH&#10;jJ4aAJskJVXE/ZR16bpLTtUo7wbA5PIAkiWGARJHK4oapovIbShQ/KL+krEgZ45HQ8/Ky6IF3QPX&#10;gkWmizUqxRn2proSMFxlaGQOGpQ/Y7rRSatBqLX3JY5Xlo0quIGA+/iH2+VxkNEnma+hw62BV6Lc&#10;ETbL6fOunmcURUtotWy7YJbr6aPwOUZD7PTIHVB6UnW1iZV+Sqj7pZ9UUlUkeRllei2QSFQF+CgC&#10;+UGbR8GloliXAG6SBRv2Ckhzi478eHlh9uBDb0SllStphUlfovPI2VT82X2QRG/nLTV2pZK55CHf&#10;jxS6+VTV2BoWM3m7umjo6F0o640Sbbte33+8vv9wHHtyfRgXn3+G8hZ4OPpLSw7xR6Y83Dn8WiXM&#10;nBsWxOKwAj2etO/fHifK7//tv/rj3/yX2/tP4Ixz2OJKkx2SWZ/rYoVWSl2iWU1JBd6jnNriLSTq&#10;E7DiEZNh2b/0/VkSKjA4vR+IMMroIbo3JMPQcKkrZWixc4wbxP/wuDk10OcfRF2HQ+tCJBuVQnhk&#10;uBfCxxy6+qfb+lSXAkzgT/bprU22i5wsJ5TTSLLfZzJxZnZP0147BX5neBS1gsm+yGdrW31smSsq&#10;p3MoDYiVX9C4rOZxjMQD3FlBpsPzIORJMErjcT8z/Nbjl4cGToNxQrrF5wj/A0y3WGSWXA91MHe/&#10;As/l/KErX5z8+LaY73gvWjtF9M11pvD1LNK4pAA0tjirL71aqKhhQ+cpM3iRAcj+jt5KrmYCQzMC&#10;Rhh/kflKWLpJ2cwKw09MCbU3ewoVhUL9SlULoUWgHyzBg+H1cbtPDPYQLsUVuk+lQu0BBLOiLBcr&#10;GU8jQS+uo27MfBvTaqltBikh/4BRdH5tx4uz8rPW5MBvrTzSxoKJKwm7XzrbIOgoaS5RipbmCVpV&#10;MJxoCeEnOkjK9p1HrvEkxURZ4FVPGlpBfmGjzxdAxbzJEE0MZ3EYFdQKy0mL3fATLrJpIAR1kzuA&#10;lhr0Mi/Jt0CRyeVaelvvVKQ5jVoZMeouiX7dAxEM/kYrjLuTrXewTwNPEm2lnzfY54yGumSkOyk9&#10;JMejNt7BLbGKKmiDK+9jZArSiSgspfCg0CXjeQvNXriflj62LFy8ldlVOQMFsxA0Szwxo6fPtUrO&#10;MAX5Q+UsH8JmK2ng0Q2nvG8YSQfHO7vp0+f2/GRvPsrRArp43Wrj5Pu/t+8vj2+3h8e+XeTtu+7t&#10;V2fScoiMMkY+8fgvBHqS3sSwJunLadY9LI3qHjSskTXx9q3dnr73N//Hp9/6te3jN8NdK1mysvHa&#10;99bH9oZvtDs0JIc0PX5cQ+LTkpxTJKWgukIm6grYLe4b6SnoiqcS4kbj5/UPSHFrd66cp/w5PuUb&#10;nrwu/wtWcOz24k+2mKZYro7jmSCSW4Qkq8gSONrWGcLKp4oOXHq60i1ZhrZ6kucArcTlp15tni4j&#10;R1zyynhR7hep8QCZQLGWwBsVszO5h5ipCky0BGqHZyZ12TlKjV+RhXqkP52iZ5KtxHLoX7DzW/x6&#10;8YDcA8cK2lPTBTE3pDTzp0iIuaTGNCy8ojvAmNUdjzQyr/y20wVeOb6Ftgmh9hgoxuupvUh8ChMq&#10;pR/NuOrat3VgEk9iVSuQds6QZIUKxs5OysV9ggykNix2fr4NCp+77W16mePXurTpoUkLKSUkYmuP&#10;X50mb1I8i884uzYltilb4OAlCTUFFuDwkl2pGI2940YTXtdBFISnFMD5p+sLIS28n1fkaQrDU09L&#10;wq6TAA/4NUxNGL2aVQ5y5oHgcO4Y22Mpiyp+dKX2f1hObv3fDb24kpBh2Z5aNy4PEMzj7fXDki/T&#10;3dxDoS167rfPFpbko1QerinorjjwdpD52W2Lm2owyztgj2PfekUwSCv+Zfgj1Rl+g+nWextj3gcD&#10;DLl6QA8+MjDWELpogDJvQKfmOD5/p1bzA7xnO+/x/TF2fHZjL+mGdc2rAqsJS46hDLTgLVLp/V/t&#10;nJHiRnapC7jwnJrC0oNnU056Ym65P4W9LLxq+/Pxf49WDxhGE6Pwtev28Obx43cePn57efNW4/w7&#10;/vYvfvzmy6VFJHIyD2ay6VlQNxuDEW8sXVWTb/xS/8JSi4TSMbZ3H8aP/vD3fukv3f7w+8f5J268&#10;G9QxBAXbSQgqi+hhcgGSSZZLythCDOBSY88t4xlT6+FAlis2xzFdd7LaczhSNKWo6CNpDNDkNFEM&#10;3ML4dGlhjjou+5uLk8MXE7PZEFFbqcmktA9pmtRKIDznqSylVW0ZydQ3Lf/AJGS12adlMDJ8a2s6&#10;zWjnsIZXLAo2YwRsOufJPWkn0WcmoGhbIZvayvmKJ7/3MvteEDSzqfWnAmZGZq56npcMk5k/P9d7&#10;DZGEGdB+nsyWynRERF7iwPnI7qI5xSdv186CTJLnS0JoNk8Mlj8U9mmc6+cJ7YzqZhxCre/nJI4q&#10;jBkuigSe6ktTQlgwzGq5p5x3puXwiq9mPQJ3tdJ6lz5aFrZOYhpYJqsxdXkhpi7+FpmsJ12pdW12&#10;7Kmv4y/V1nOvzN82l8NW2UCz506TK6aIwVJSdq5Vg8CROEgBLApJmaEaclvS8kFubOyCSQfmFdwj&#10;iq4m3rMmQuwqBon5iPHnhRPaMAdDsgx/xngCDztnYfKoQGLR8A5V+/MX71o6UP2CUae/WK+RR4BV&#10;vKXz55XzruJ9xmpKN4wQHaXhGX7de3QP1/YF6x7GTdlj57Q/78vVaKhGA27SXVi/7R1QJM201RN/&#10;K8WbcqpnOduPIXloNWkh1wr2GsmeY/hMUtDDmFGDbURwh0udhVu8wfhtsm7BM1hZMxQkhjAb9Ufw&#10;QOQ+Aj6zQDDtVQ6WIobaP0tU0fEov93EDf44rTvys1uQafXxzcO7D9cPn/qbd/1y9RCG7WrBfwkd&#10;yR5JuSfx56oCrVVfJX2OMdbukILghHYuVHyd/DMbx5l3+8Mf/M7f+Av7j39w+fBpATVHmKVTgZ65&#10;sOiLNIZIgeT5xgrZR6CeuuC026HlyLFWWjbRPMs7yYZcaShOZcTSjYUXEf16wotCJbcnfwP4GKex&#10;h8hl6qIhyhWULP4bNB4JQ8/he3c5dvOZYKuPQKZ3bVQ+QdG7WoE683BNMOba8+Rj1iQpUFYLOcZ4&#10;Lx4HuetM7cSoxk0WM0ydJsP8DiovT/d2Sjm3ZWh6L6zJdIK570uCWyjEoCJYeGopm82ttO02G5MY&#10;5cEOIFM0hQol44nTlzNz3hM4xwF6Dhy10omWDWol5iX/IumsIiq1ndRFLUcT4z0L0CB6VLiyqllS&#10;mRPb+glwVmoOQJSf5Jiya1sZZ4t1RWzm7vQqSzGtGPngu9vEQvJqtmDqIPBRLo5hWJw41QXWna84&#10;M2he6pjoABiyenNAw+2o3uLyzmZXlgBM0XLMZNibkFgybgoHoUB9Wl6JncSmEG1CHcQ4wTB15LB6&#10;Zq9yDo8jNfaLYASnyrnAbbkJt4pPiQ+hX92QcJxit6fj2IsrNZeLGtvKEDkZQ0S7CI9bQPmdxAF7&#10;Kqg8ty/2/Ixv3XkxOs+zRWJtizAqHPscDsaYV1wRw6nmJHymU5QCh4KYVt/c+zqxi+zomSdO6B1x&#10;MFGuGTZVMlELsZBLAuBSt0PVbDwMc//r3JDGbfFWk5GSPmSAw+DzKKhshpG2LFuesDfUBzhSLczS&#10;9/j4Lg+Msj3e/4c314/fPn781lVCx9/vPzgi7nhPrgE/M5YTd0m2WRnmOGOVwX9VyteQGoFRWA2R&#10;EUKyffj4/Nu/+bu/+Bduz5/7+4+F/ucVha6aFczIeR5Po/jCrpzymzQ2rP5L+w0FBAjmPSqnmExw&#10;fXN8TluciOkCNkwWAXBWdIBhQx2U5VPKHGHLm2cbJW5jV+4VRmomGKiJcBruDs/DxYXWNcfK819M&#10;I7JN81Y1IMwvSSNYIxm7EtrbndH81WQH+f8Z33GCrM1gihnnsah2Xvljdkfgtns5aVp9FtzU1PNg&#10;KqwEY52LBlkngVbuzTJSxHjKhz+3GOdvYzoWQ6OnUm7eTLmq5o1hFJ5hCxDFnWECSSURgR3jpljU&#10;5T65FNqJ/bKKKS4zRmZOpiYuktp2SQ87xm6N9rs0y2RGa7Jpvv55WXsRCVJCTmIg5DQa3hsRRwmK&#10;IznNYioLJpEl605bwrST8hZu3bEWTeUyEU7uqxa+laNxepuWElpldY7gKt9Z20tFASL2aQdsYmyX&#10;/Rppef5i9iTmtDiHvPzYvbmhFa822dZmY9lD3RqLz84RR8Zgdo6PrODs5pY70GQwvfwiHKD7QNa5&#10;+ww9iOnmdp31CXdmPony/wkkCrIRUoWE92iEa0pTKpnG7y123E/PMZft3FsHRM3HXDGNdONgHPax&#10;2pvLqRClxI8Wh3HuZQePJExCel/mNlQWZg0ye3tqNfEe+uxnHljG+X9KDlG6+ErJmEmFDbal4pTz&#10;CdAnugSZKe6pLfIoNNM2BN2MFLJ8cWrTlLm05rjDBjS9CC8MTb9eXBx7Df/79vhGHx/k+O+HN9av&#10;bXN16Kw8W3vpii45wh3S+rUtDg77eMGhtOITJmuN7cOnz7/xa9/763/hOLf6m/e2P7XImuCs9Pj4&#10;QvkSg+6dkoKZtbanH2xAHhwlpRqV970hFMWqTvO/96hgjqquV7lGji4+aI9JwatU7I4gCrW98wHo&#10;1/92vNrjkuk9Z482kRAaGIc9Dj9dcMULlvl0TEDHUabGBXJdBVTddN6c7vGXgHw2z88S6i4IR1So&#10;lYR113YaIX+vI8zr0D2de7ZmKtSNMCY//sU800qnyq82gLFYRmqI1pJphJQ0LRBY2/JBb7m9S0a1&#10;YIsRz52p5TFku1eP4sVXYpGPz6xrHctarVJ6fqQcua12VcCsTk00H8+W294SFshc3DPDD/cuD9JW&#10;ScU4O9TmItVn68qgMnjI6h2hdFK0Pk+r45lJQDy07VX/jJ2Sgw3YlfPHZWmvVJ55I0rFSCYKRwWd&#10;vay+JAt51OVjEQG1ZfOHvE5MRS2fbkVVp0BZJsHOeXiTPEuFYStt4eLWhHsxDgi3P/exPe6Xt/v2&#10;ZlzeVOxRKLxjB2bCKA3kViOvg/c28Chxio+lxCnh2YyVCdgINRFW4aMjeHIS2ybxBL5IAI6LaA+3&#10;2UDHeVQtPrp84g3jKTweGR2zaGA2j/NwG6Sc+GHdESMsW3LNmwf0ING359socsPTTRERm6OHiQPR&#10;OEEFcp7cYxlZiotqkt4M7q1jIZQsHqweIJXiZTswAcsKrEB57MMnP68hPnj4SDZ+nGQkxYbPn9Qw&#10;8tNof8uE04axs+QjFVSvLJN6ilg5Mmw26dtKi2QW5+Ee6Z6VqNy9H/XAmzePn757/fDpaJH1+tjf&#10;vJXLBUgjml5GMiwCJGP5hGljukJqUTADQZezcFkZJmwsTTZ8jKpePn3z5Tf/ze/+0l90TPnb90Fe&#10;La2i0YTjx8nOUWrhbVECw0Pa9vwMywwHE2pMwGDsGzfKtqMsCd0nzey5vtEYbu+lx44b+JlBSP5L&#10;eyqiHacXuZHhzAqDSky2w9g6nrDW1wqfmJyafCCNxatmY1TkQr1/mM2dzxRMYFNmeVrTzdz1prXY&#10;oFFMGSYwF6dn12F7HZfCAbJN8T3boTkMlyKGWBEhKv2g0dI2SuJfhcs8cgoE3k4IFe7+Ioxsdg8y&#10;Ufo5ZyqV6zJTnPCCvEptGgqOd24rykCl3Ar1uyS7tGU600WXEa/Bo4Z9m+HKE8zaDXV0HawZS55J&#10;rJlaACzTDCw+bu6+Kfw0Mh2c0GpXJmEjicUKAKXDljxNDZH/fP/ZzVJrjs8RwXST92pE41rVHUlx&#10;E6BuApVJ2VlKH+cAaKSPknoWLMkGZ3ojiphRpCz8rxYPaLHx5KakRgmc0obKzBg337BXmPHvMYWN&#10;Ls3Ple3pJ/3583ECDcTVcybTC1zCHIq2I598RXskBZjj6+p6BvSThI3BtI650Ia3GoJdD13C1C47&#10;9Tgfg2KFXYiXATc3MAwfYB4VvcEqHh1paBZ8U7JhcqmdvgrnfR1nXyZdojZCOR9kfTzxL8e/2K7e&#10;04zj0dWJA6WOFIIRmRjJmVIoywhGrGCxKeiKLeNzK8GkyppDjSU2jfOwwuZ0C7NrvGO6VmCM8M2q&#10;WygxSgI98+NQb1UVWkZ4dJNRBG4aJNLZm3mbe6HMAmZwMk6SgYdCjddn/ERHa359ePT553e2N2+P&#10;s1AvF05ZI0u90lfajRc+CXm7rSOTksa89gS12SK6SBra1TE7Cv+odfv46cf/6p9+75f/J90e+vVx&#10;7M8JTN5xTdKLZnVH58PDTS+osFm9qyG2r1uyK/cINAYubvA54fYTgCP8EutQd2O4uuBKwlisoTXd&#10;twfIrBBMvYc5Bwt7tyMOD1DW4tu5T/Ao0XzsnoBLuV9zyQrJkYUnHY9d1542tZdv5yixFBm76Djs&#10;NeUkf49MyoO8GIFKewVONts67L2ZjTC1EWWTsNocCMtD9lwnFtsSST4VNwVHX05Bi2o07He2zkgL&#10;MdhlpLLCmEPrD7bbXuHFbbWMm5Q51haVx0gB1fpaYqU+My8qcMf/s8e6Xsm9zdkdIwezb1Um3jWb&#10;+5XVpYrksxVP7gzfKaezfChwFbekTAmwWLKENsl08Ou8F+mRZ56B7Dn5CTPDMrdZspjnx62FeqlV&#10;dnAefcTfo3pfItUnAzNFlvMmJDTE1c+sfmF7yMjzBeOQwWZ1lxCkjOctIM7IwtlrJ5wyM71S22se&#10;/Rqjv4q+pTYylnxuS6C8FpjfiGIg5dXGmk9ipfSu2I0FVIHfN47v6xpG3ABf1I+1Tc3yY8A2eu/7&#10;zdlpgHGEKsf/7wizerzk6PkaQu1xFrqVKuTpcS1s+46Mt5i4Hkfgtkltj/3tvQ2//t1U9dSjJL/t&#10;PgF1B/2XE41vjjNQC3uzpS0OYAd+kofqRjFfSXpWY+DKgiKLMIQ8kGzKZr0AtJ6CZxszkM1fgJ8Y&#10;Yb8Lt38slTJtHInwinFAhp1kNIG4dw3Nx8BNFUxS2P/RoJAvw8AjSr2RBxB+Dbgt4zI7PoKHR3+5&#10;t2eqcnyZsEX8h8rF66GH95+Ob3J7+jKen/X4Vs/P4/bMVANuYV/wt6TJybL12uMTQqdFC1rZEVPa&#10;ECPrdhvX99/8+J//499/8+47/+V/7eXz89NofZUs+r3XN4x8R8p8+CYkdzd8S+k1SKNtizWKenQi&#10;m+PdK8URRH+0ysptsX/HSMAYg3TTaK8JaMUdStx/ywRrvaHFhHgbLKUo4/wq+PTzf1Zk3YzOc8Vq&#10;WKWZQhbX/M6HvL6axB6/fVm2nojSsqo801295BBV0B233uN1+WWEWWq1Y/UVRjvJSKtdyBNnjgJO&#10;+vhQrFChpWvsw0zPlOkP4FfISINawUV8QLkk9U5hZUvM07rHasMWOYhO8rWQ4G7rtwemkr/gS8bg&#10;LCfNsZKNsELw0JmumW5jY0kDlTu6TL4voWGgRrE8sH71DViHSEiwZadaiQMtISptpj9q1sJFZmc9&#10;P7vVQYV48aMdDdVliU6w9dJEFU9PXZ5rnHcNRihwrVV5QGk0XdihnMzEKyQbOiNNZdqBCZjHOC7f&#10;WLE19LhMK4NeRqEkGtQ6/2vH7bPfgEbi9wuXG0CRAV7xBisuAS/qR/BWhIefZTiW8cSLxkV5hcPE&#10;zYD7Brbq8XAPJ6N/8X0fLheMrIzxTCeFbFy+qCfIiMF6fHzf8NhFgK5vcVoWYdorRD087BrJRJnr&#10;NgAV21rqCwX7an/fWK/EkbZxD+r+Tl8RydOP9ekngofmmGlt8ZC6idstMi6K1RUw0nXEcrGiNZ/B&#10;kym1lbF52bLb4u0HgQlyXxXe82TyASqWkx5FjpJOcfQO0imDn2zJfqWpoFeiWShf2Mh7w3x859uX&#10;8L0AFZeeg3TpFj8heUOAJvpO1LUE2zXCodrt6bMvUEaWykYl8ORKT+vzVKffnXlf2wKuPeLdb4v3&#10;Y/v8m//m+CHf/qk/3Z6fj9Oae0rL5bxlqpEkVwwHAbpDITrVouCIHaEbRTpOx0AWWFyEPkk4fsKu&#10;cUUd5cEzMon8dTw/+Ze9bK55ju81jp4vBpveX3bXvOSkyLsQgYXahyuhrHEB+h4zUvN4r7miWoAc&#10;tsTdZmJOW5S7X5lGIrgKRNcXqkmpqfv0Qdmcfq5Hy3nLJ68dfqqnPvVub7T8atkfZCmM5Owr5Pw2&#10;c9rlVM9YW4UuGDlqy02a3fWyUCilpjIPgR3F+2wmmk2RpJ3irNn9x8dE6qud30OOY3L8ycEtWzxU&#10;zUI6AS04a1DHUivIWWUyZ8ZlFYqfv0f+GVJybGGrFdmsrX7BkStXeOS1jwoRVll8FvMMtTW8QmZE&#10;S6i+JjCJDirKSXRNwAq5Mm62bbFaKJFpEUAaWXcdfW3krmJFku1XgDTT+4HWLcaVroeOniBEKKgv&#10;pdaseV4mTJYdBp7LgrHPRFdXYkNFNIELlqqweIOikh+xe3uWSU4AXnV1mIxVjDahsjnXd8Pvcc97&#10;kehHWjQyFlmp1zjFdliMWaC7cPza/LfFY8hTVQUi8Jb0lVEwqNuTN5H+YPI8VCa1iu6XB/+Otz0a&#10;WIU7jTlPWIGOuJBU1ku6iJ0kQMIvEew3K+Oa6vwZkScnSQFNymhtZ0K/MxAac8IDA60DWZCBEaoc&#10;kvBzB6oHWPOI3ZjuVcmt1Y4ASCLEc8If99qoSa63JuiPoygA6DUEn36CAp3TlnVIzKXreMC2Mmew&#10;geqW6/Xy5t3jx+/2t+/a46M+Pkrwz+KTyh0bdBxUo7RyUY8xzpG3o/7hzimxBictBjVWgfpw3R7f&#10;/uDv/S8/+Ee/2t9/8sP4OM4TjWElE+KkaXK8ku05oH3PPAe/FX32AIaRSNqx8HB1/IVV7k542D0M&#10;pHKbmT8r2db7CYqwz7C0Rl5H6lGYfMQDoVN0sQ/aeOdzZPLqX+npsL/cEvjz8vdxj768p/ZTwOIT&#10;mnHGJpIR/NOEgqi39/z8qD5pqzzmBGr56QJSsjEXivWr5NJShg1La8dr44Rap1eUtlRLK6ewVjtF&#10;QdGWpDbObJvTAGMxilBlqnSh9TxKJxP1rB2ioVbspbRfdtDCDAU7KjgWdCC2SHHZZDbw1pZE3/zY&#10;dfCl+T6od17AyZeh4LjNVrzyN/Lw2BN9AhGKTemHyuqUX6nZiNLOsVXpjhs5I7DF4lmPXD2HiTB0&#10;Zuq7PAQSCahuBgIB2c/O3nMhOmQUZLS3mV4vyUAsNmls7RFbiI+E4bfMK/C7teMeTgq7Pwz4f6Nn&#10;igMg6BYjPPVxHnCGjS1Rqpfi5IjGK2l0WB+5zSocFEIzfhDxGUAvhDTCCO/6z+jw8F3CMh82TSgF&#10;svf1kj1Mfi5w2EN9kEQFdSG7v61Ho7lvD9wX+8+YJ8/tFh3eHuY8bBu3rETjfRZifACiiAdVJSo0&#10;iG8FoRxs/VBSKdcEnDazQ07fbi5NLEO4qujTnoCGTLOBEniaczJAER/ycZZXtUzcATK/BldWQUUV&#10;pLrjkyaFZ1AvcyYyxM+6W0vwXtP5vIirRYKR7W368ee2y/bm7eOHby5v38ubt+5/f3j0ove4OC/h&#10;001ZR7PTo/bO6vBiynfvl7jzRWSUTSiZL9vx/b7/K3/9R//8H/aP3w2/+S33dJSnn9ZkM9cNY4YQ&#10;945np407DC/adChgi/ErVjlEelxdw5J2hjtYQQ3U8RzVWV9sRZngprrHsuZoKjPebwTxqMdN5xdf&#10;f77tIPmNBKJkx5wC0TEAjkkBk835Hc8tWYi9TJiys7zFvnL24cGj510gMwXDqxibTBRry/P1NEiU&#10;ZfDZEHlusrBmslaNkJ6hZrPZlPNXSxVGzITbaVecw8ZEIMgqizWZB5uC7pg5P7V9xHhCx5iZr4OY&#10;nsa6VskGJCikM8y7+xJlrhRzjd0rbPGEzU7OGbxTnLjkGFalnNQgsTEb/SSPXoAzLbF2+YlEO4MI&#10;ujDKaM87vJcLQ0Oebqn6sRktuWAEqsRi46U1f7XMCLZT/YKtS1xviL8gRT4HqFqoe6MGaMaLZo4H&#10;3Us310eUwgJ/EnedZixO2b+oKBLezxkajDfZiGrT+Rzh+C2efv3BLbfwMPHMSxl4DeQsZo8Ve52i&#10;WFQTU10WJ3pkIQWCDYJAcJP5oOws8yVZ/ow8G9vti3uB+3VlRQvwYJX7w8ZO8/z372SYvm4XzDb1&#10;9pRxg/HpHI8tTxtxMOPxYz6HPaOHi9G/eUwUj7J6O36DS3vEOaIKH6Fl3gW7pJF1VUsZprbFOFmz&#10;l+napgA5Fve9SAU41RSXR3M2DWPaGAA5E2uUcxB0wjtxCGEINThQZJ1xLZmifBBsDImUPCnLJhUv&#10;bKy0PW4kaC2j6jyVkAPzm5oRWQa6Oj3nYvzRYsSN8uu4AC6X63H4vfvYHx7b8a5eHyI0MQVipecq&#10;0Txyr1W+tvOrB+gKQnsdCnpcYMERc91N79/7W3/lR//6/7x85+diorwvHrdKyWAi+d40y2b4vKwl&#10;AT9HcEjRyqE6b09F9lA6C0uTkghvn3MKjYUy1f6VBpvJzl6Kd18oul0Vi5tkp0eZPjAcx58bbPIH&#10;A5uWZNHsYzkvmn99VZdZitRcYp3AmfbCoDITO1ef3GkCau3FDPDuu96582eKDWcQUmKhF/3PSSA6&#10;Y84sn2vruMayxiKHi/Rxyf5rrK7sUUGG3FWlcW8VGvP5ZctTj73NWE6yNfK0eIaJKiuQvKV0czGq&#10;TVpqrPpPq1jGAZRaVe5SJBazJHSbBbA/hT9VV9cW/lmze4DCLKNyGD4icYgtC0wyApax1O9p078x&#10;bwnKr0IVnX23LCqXmqX6N9hr28cHLV0VffI49hELMO6GhlTHLwV8XsMcTRamZeylApu7xQ95i5+g&#10;82byrqtDVG90NkRslPeXW1tAr64V9D8IMiHtvJKcr6aL5NF1MbSOhZhAw2vkT+FwFk9xVJrroSxF&#10;hT6Y7RUxBdT0x7nKc8JGNyrOTS/Oxg2uMbP03Cm4QZvhS+FYtxBe+uUn+vyTgQdQ4Dpt92WjgzrA&#10;/Iw7BuyYeEg+M0QwXknIDQdWnIO1b+U95doargOQyYJ8lcOYlJhW6ti42dzV6ES6x0L9+ETiYTbA&#10;0Eoyg1ih1MlqiQrG39IbUOnCBIo9T77OBVg43jDZK2w99n+pbw7vtWQQC64Byppa7TJ47kffDEAa&#10;vIDb2/cP3373+v7Ddn10+MvR/10fXDPcN70cn9E2zdltOV8oILA/goh93guefrPy4eDv2fVRdvvd&#10;X/wfPv/6P79+59/z5s8DMqPUE6R1zgiyoMiGqnkvSV+8e4HJjvlhCqT9sjdeqKmawAlnKSPw5+rt&#10;+XiTqYDy63ALa03LJWvg6gRHv4Et4EaSKJr9nwblzX1QGiXAa0CqOXZbI4LayU8J5sbIBtDmeE3u&#10;1kcverX7qefMclqb7PtMhftIRvkpKPNX/6xNGnb+lVOgc2lTa5RzJgQhfi+Dn/JsGTCdsfoZsmT8&#10;2lTJ0pcN0w+9PrLmQQoX5pFLvs5nphoGpuQk6VUnOAuAqahETzPRNWtzOKzZfdrp4t4/ZQBmkyQ0&#10;J1ZN/HJ2Gq7qJQahwukbk2Ukhd2xA5cKbcIXTqZRVLwRVEQFRM/AwOwmhfj/hYrGYZfeMdHyX5dL&#10;P5W0JAVHIKrY3XKfNV8/HuxdVl1MU6kgDbIHjwLcE1tsHbYPb5WCaoHnTZx53hjlpyg0XRwv4GiP&#10;4KWOkWwMMDerZqOCjC0neljOd0Q1ZaeMFN7INjOwwqO4iaMHqet7fKXNIP4eRkcJLvx+CfXnoGbq&#10;ONK84ds9+iDEnOE7xPwwQlaPX/R3EFPWgSfI7uKUS4yXR9E1ieNzylTrYNcdD53d1S44mDV2saFo&#10;GFWUUnU2zCaPrkKe402LxktrhnOcDVsoGkgCNF6eWyciZ07amT7QwHxpqTCNPxUoyOzahm8+ow7D&#10;mgMV5piQL5pLG3XOlXKpfboMLRfb7FSinE06fGIgY8xeJncYUqEZ4XDNR4uGr3a8w8c1+fjmzTd/&#10;7Prx2+Pws8tFHh6P88+JccEstbNcwto5sdvuuWjY/AGBdkcKvZuUzgf7be/vPoyn59/5a//9T379&#10;nx3NqDZg7W5YeUiyN8NUcLXtoRNnOxiHYlTED5YafoAldHzkvapATuvWIxPZ85Sh+omoDRyZY+re&#10;0Iu77jsSub10uMDAGuUgwp5AhFc+gfEIHpPMktqd8/NRFnCZkOtaKywpfNqYfK220ESr8ZvgLWkV&#10;ObAemnI3KrW6/7W+210HOJkOlTUy+8RIrOXqPr/plMKcaiRWYTySdQoDG9V9KWTUpRbQOUQVoHYb&#10;PWv1mgYl8jqNyfmBKYHGI5pxNgRRvfpiPFAeuU+SXGIb+1eZqlQueeaymlDdmUCpaE6k0vUmhyGO&#10;kS6IqmHCw1YMgrQbxswTM9eWt2e64nLdy0GwZXRiSleVJvwywBSYO3nNDIFPUEpsdwYrCIqAODHT&#10;2+2ua4dv2ud5FbDUVjBeriLgg8ixzAT+19AkpLO2sGtp8Jf7JEQdWOnhqSdzoymVKzKotKan+YJh&#10;t9LY0E7IOkTi+Qnkoe237TrYc2JWmpMWLe+MMEIBASoceGoqkI//PEdAhuvCYzshLYmIqIhgxo5A&#10;Xc1FPch3TnntuKh2zJZvSHD03u04olz0sbtaz9tCj4ft8dSMIMDjXL3hnRHEJTLkmXvYHrXfcUb6&#10;l4hSPTrjeOyGx9mgZgDCODVqOoXOBqtATgh54mfQcXybfVAthjKLai8sQfvITJsgcCKiMi545mkE&#10;L97N7AbJj5TRG4s/mssVdlJ4xTx2zqqtirVWj9ma9wcRHRVJySV0A2scelR6WCFO5sYk8RpQXsuW&#10;1d2OOMVEHIs+vn388Onx46fL2/ft+qCeAnEdaM56uUPjGXMcGbfj7+HDxSwM12Kv/qohXkIfLP8O&#10;hwmpv9586mU7rsnrN9/aly+//Vf/u8+/91v6zb/jK5uA8LdTCjrNxYM9fEIo0xsJtTMoemMGvgys&#10;pUNZNOhERwFqtrHosOzI9zxzEOI9BpXXHUz5W4xYe5M8QsIZH2enLo9XmTTWEjMaibp3c6vVgpZ+&#10;eBA+9EXPtqxf7SXYYx2PnVFqL7/Qiou5s8HLi0ZRXhnC3ikn776jnLWpNmNw7H5sJ/ctKhSgERGh&#10;d9S2HtkiRBvCbnuSxxTFNwWBIMTXmj9nwafIunPnaUkDO7/UJeD+zh2Zhvo2A8IUDa4RXRY6glOj&#10;DhPL0mczCic/lxwzxo3aafXzYVlvk5Q/TYHx364hHBVUXJM/KJXLI8wOZRdsWWzKhDOMj6lM0ibb&#10;MNXeMnoww4AbdGFIJ3uXPq3S30qSUbj5i5xGlhsjgQitSI7wDMXzF5glObHXhT+Ce91uSPo8esQ9&#10;YlmW6AB6ZUYk5zkN7PaFxQWehaC6hLvTpHbdS3QK3oyYj9HJO0bpfeKM3xMF7l+vH9VDNKMcL4ck&#10;NSaXHJndxs7noHd3D3K5+ijCD4ZnrzxyYsfIOkhVew+ZwXN6x2S/XEO6dIueJ35fHAQBPVBIV/Zg&#10;8KeAaMpl/XnNt9rj+kYSU/1BacbYM7MsBRujjwX0hkRKw8QZ83O+E4oOQIv5XltMhtCfpkHH17xF&#10;a6LgrXirEehIwkjDMDFK7ekyd4e6pThA8ahlsEFojvD0VaydMAYAhhRH8gB/MBauPvuh0pVQIwcU&#10;KE/O44serfnjm8dvvvv2j/3c5e274/xzCej1kULobWtagWsrhJHF8Zg6QVufekueqbwQOtbDchB+&#10;2dr29kP78pPv/Y2/9PT5s59/uE4ssVdYgz9/Yer6RDzmCq3AH7Jm3CkH2sGS7dFoGUStGQyFmzQs&#10;E1oF0MAdp9vIhY5CWBsTqaYL5Bc7VyUieeltF/Fk2skmtOQ85VqaqFqPvaohKhX9z8LxtNNJJi9n&#10;oevZYva1E3PxU5RAxdprXvsac5p9Deu95AWWhebFTzrGbfcY4iaviWRD+bWldGbu81PR2aWeZEyL&#10;S6LJayTvCrxtL5VFyzs7Xo3lrWzF6eKw5coAhds0FXfrmzQq+xVRFErMRMH1ZU4E/B6L5nXwKF1i&#10;M9gptqReLd8oW+09VizIsvJIgROZmdVxUT39qcbRCrdinK9GErrBXJsZbkkC05OfdxpSo0IZRDvv&#10;iCBpBVtX9+1hpKkQH2KI1zTvpCF3m1zHm11dxeBd5QAkc+EctD5unhHjvcuzJ8Sm+SGjMNlZoour&#10;CKpUQsWaBJ3l8ONnXB79HaOYyE/fYmu7WLy7NSoSaAeaoj36tuOxdYv5GnM+4mcccd5AXUKTBy7N&#10;7vnst6MjQED8cShGasRxnnlMRMRHIG+WP+Nl8+HnjnHl2J6fGNhNJb0Y00uUwC6rxESMzBUBNOFP&#10;h/0OyIfGwz6szUwpEog/ZU4XJUeMuCnQIsgyjAkBmFHsGq9hj+QIVKqshHbWWSl/dDhJuuqkhOBE&#10;FnpafZj99mhDdI3T8p89wTStbDCJE5tzNUsg/4wORUUeot/oO6/vPlw+fOoP1/bwIG88At68oe/S&#10;dW59zE5E4lUoOGE2pyCIr1Gw7yQSrkF+9/Hpe7/zO3/5vxnjeXv3sT1/iSAv7579DcoKIGOABDtp&#10;3Dh+z+xPCk6CVLI0RLfO7z7uhRH7B0D/MVIaWJ8fReR2IToNFSp2596iD6kDElZj7//gGQ2oE+Zk&#10;ohO0atO3O1n9rWsRDl45oOx1tjSbsR1yuZYhIK1081W7yhKQYxlZWQ8Gep+6vNAfLQwtmU/6F8cr&#10;Jn5nAJt85biYWJhX7YtNht3pamYITSrTY2YyYaVT+8LR3H1SorQCzElWB6DkNUlimdbZvJYAVn7Y&#10;zABuU1Q5JaYv1D8pSTvFBGmFvyBvytZ+vKpkUojw52uqWZE0Gl2e3i8qqUr0UdE+7JQhj3Bfbw1f&#10;ntPgBCZyNAhilg5xnKxcGozZAGDImHHtyTFdKUTcEmrjBBgGNeaMUIJi3AuGOkZqt1cF4vF7XBQT&#10;ig+MDVMokd1Yn/fUuLkBIAwGRqx46CERDue/dwPui/A63/xpI/UneWxKtH3rMp+wVqK6mB0NegcQ&#10;vB5L/0vw0nZqLI47Oewsuz8yuuF5gltONydsiKXpUYFGgQPPJ1kIXWNxEPFZeNRon+FeFrjz7v1Z&#10;KNR3BBRsfgH7w06pYPLP+eZBtra58vbWkFmBxTDcEUfx7iiceKgRzrkK+GJvGhPOgvKQKJ3zsVg/&#10;C7cwjK7V1OMen/4OKMEo/niiubCfU0tiq64+dpkO7lzYkECLxYp/jls6TfzgZ/EE6mysTgeTACgx&#10;9n0k8DQ+RN0ySxImxg5T9oxlz1hh4yXpNaU+vn3z4dvLu4/bwxv3IUD/iYkfxvhj2PT5CaIcS4UA&#10;DSesgT+jFmYCmFPNffn0ze3/+Y3v/ZX/1qcf7z61/Utl/aSDYfAExNXIWejGBWxKyciucMVQwBkh&#10;ifDtXaRxqeN+/JHhRtJul6snmcTjTwGxi0iN0Mpds1aj311tejGLNuKy4A8//2dwsCDZdVFQulpm&#10;mY2VBOi0CF1gUxMmHk5Db60LvV9jrUmuOk0m5TQKlfu+yl4iCSYCsE0P/klNA2iYx6UVQ1Yz3uIF&#10;Mzl71xe/1hYrnrUzFm35DZIbT8lJoE6dTdTZluIgLS3ITLaTpee0ycRBXK+2hXpaMpaKl1/t6hjL&#10;CwURM+BuBc0onfE1Q5XEnewMB5wyJ5mJPyZteR9Oe9YUs6zfkXFC2me3zcsF1zmP/HQaRHROW52j&#10;ofBWHGW1+EXmF14wFApVr4U0DsxGWiDyYl2E65ynodbw8VrMZ2TBdzIMfeiakCGnsisYWpqZg0vW&#10;emLHsicFizVoXs1BKnhH+PkPFLxbhL7CNdgEay3YxrFLkHR1AJQ1SeJCUFw8GrznO56t2zVefxw4&#10;0N0oksc1KftQC+0aDw7/kYPTYZdtECEjZEcxWWZUxB694eISlbFtRbI9mhuLcKKYPTraw+WjzuOI&#10;ngxphShhlK7kEb/NH/dfPuuP/6ChlWxpUIz6INIg90h0iyVQDgT8WAY6B0toqYXujllE6Y05tY/w&#10;gZlwy/5itMUvRGee6JJ85Q0W4T04yHFx60oS0xzehJhAI6mnAWoDWUavwHDjJBZ3NG67nmP9nqWY&#10;cQk/b1qbQxEj08ofJZjwH2fttjl1180n8aT1Dd8NTDJJA8OiKIfIIPepWilZReyXCcD6GZq/RnrU&#10;cTBdn3/3t24/+v7b//TP+d3qo/WQ3VJHPZ/yx8GMVu+4Vo+3q4e60v/ZCZw3nsqxhRXLbBmYQb2i&#10;jcv/uI+OasylxUq+Ebv0C2Y6HlcCkIVSwNJd8RvH5IDU+QKxrx9+pcNL3sCLlIwifBHsWWFLeIgu&#10;A0/GYduwJcWvJCNyStBq7YRTKX0pr+mM/5BlAPRKU5a6qanRlKmuDJWDUcc/K/u7Aevy32Ind/yZ&#10;fvJKbaTlK8t4qQb2Fvb24A2yrZYVizaYwpcQVda1OtN7yBLE4Sdg5Mcf11XbSfEk27WgaiFvTFc7&#10;72njN1FtJkzQDfnlvucRqrpUNXM7NWFySwaIDWYbhSa+ApL0pJktbaGxVon18JIeLFqMSjxUQ/Qo&#10;dIjHHZZZb0MBbyiyGl6v2ozBiJkJHt8zXF3BAQi4F87OGx5GtNESjqcA89uEg9TlxEdCPIR6NV6N&#10;acEmp5osR/3HMaOXlIALzniB6zR93H7IuODFghTaqftPTk5yZ08zY86H/DHR++0pB2jHD+ODU4c8&#10;RZjawGMxEbhOLwstqBwNImJOw9s+IleCrnnPFLr4aYp4W7/yLMDWx7e7wj0g2zZuPuQX2P+PY6xv&#10;HLE52SQavf2GtS6vl+Pq2jpEH4Es859bn38iTz/mYJETv9gsb/GOBcOwAbyJuD6c4vuOeGEceHCa&#10;k9TBSAE4Q3eoEBj5m3iYRuTVHDGhZLR0vOEo8zl2WnIE49AMKK2cdwBjG5jjld9bdFmVxQZMGn2J&#10;oBrZYAZLA+YuKePYkPIYz63NKixFct3p69h4w+N89ZXgxWkvxydyNJx+83pEWl5HmD9Pdn+ib5jt&#10;JbPtqJCJZj9zrhxKSj2azs+/+evjxz94+6f/nC8sHFWq0zULqBtqzf3J74bjwHOK+m2oazJ1mTM5&#10;sczyCx9/9MK0d19wHBfw/mT17oGyhDhMSdOtX71AFSASs/Xbs6Wwiw89oM6YapZjgbn3SvWKWrmG&#10;Ld2GQg1fblSX5wQmd960XsAcSe1dWxMPViDn1IbmMlOrkdF5Udqdb2IJR8i97pSaWsZ556+7X5yw&#10;R5tugfvdXAYlTIt6JRPSrNVeWDfKJkDWbcXF1frYir+W56OzPBZst2V+XZCK+NLAhJ2Y5IX9xm4G&#10;l9XIZrEikmcpwoe68W85WzGFia310WaZPw1IrcTnmnOvE81bCn86B8bl5pS8kehtwmc/mmTgSurX&#10;4oB1Mjfd1oN46SE1e8jMJgMzHmCGrNoaBhsjcsUSsZ82TPxgysQJvP0htg6AmWYE2OAFZ6sGhuwE&#10;tr1MfUFJ0Je4rmAzDiugVKUg+dEmG0dALhG8pVgLJCt3DtQYJZx9gK2Ec7kU0ffL9ma0xtP3kXwZ&#10;BMdfjgdEH89HiXDbHmME2pTyCtx/IN8zK3ePT3WD1NOZGk+u0Olw4ClyR+nQMGqK/I/d9uMw6zH6&#10;bEFcDJz9FjY+AcXbh1G9W84t3EHRiq6Z+wkhsGPMTMgwz8GCguY+8i5yWatWHKxVejKFC5UbkpIW&#10;lUr+mxg+DEDhA8mHRGn0+eTVPPngjCfQbGhtxUo4BldvMOEQy9hmqISkVhnKFyWY0FWOivsAxWwa&#10;1eFWJLonH+iVsk07D6XiIamF3EmuDw8fvnnz6dv+9o09POjDm5h/QivTXW2gGZ52fEaYyN5Gqwfa&#10;CGrbaD+14bMXhurMTfF6Zdvevf/Df/QPfu9X/kp/+95XkjH9lqnVDsVmiIQLpcWCNeL1bu5MgGJr&#10;NwZEYWkUJNXkN/n7f7kOpzQgFt5VbMb8KQtPpP9sXvtCJOWiZwc39LBXQj1LM8nL9deEPS13Xr7M&#10;nCRR36inBmxZEZmts7GUl1fqTYX/nL41qlkAAHsr4F7mv5uc0xpf/3ianWaW+QiecdzyWohuQQLk&#10;FAiIAmJU1GKzF2m4+JMDoBwwHgsm2E6KVl7cepdlTk1X8TKXRITVbGnphJN2ZrBhkJnc4/sf3xa8&#10;QGuvj5RLG3Av4annlLwGhJsoloX2yhF6DWFxL3cpd9x5dQA/8x7iKxSGI+RsShtCx+xodGUqU8IF&#10;rOoC/59YnPgdvnHSxTkJyyi/pzoBx0lopCCe12uOZwenjaVdUUv4vEEjN5gf3TLrqWGsrrFnSvki&#10;vEMx4tMxA1JEQQvzP3kJlI/tQQ2NmY8Zt5Wd1Y/tufBj8xGcl4CuQZQbGcjRgqLdicPVVZQoW5+D&#10;V3SagGi7RUvH3WY/nlBQ3qI2Ctdw3wP+GxoBXHi3UJS0G3J0UYV3XmiaMb8cLgHP5A+avo/Lzf3I&#10;8TPmdhqGoONd2jo1gbGIQkYjMZFgSxU/UBNbgEmA6lmkJm2puaoEM9V2jhjDlkvWpwRQczTtNDaF&#10;FQHRMnkJOzYWbwOPIsCEWszcXIsIuve2gU6OvQMPaa2UEi3OdzTNvAhJN02HOzZHpTgrUJ+mByN/&#10;Ah1siZrPPx/fPHz67vX9p8tj5B89PIbR7WjKL64OjScqjNxhSxhCj8cdn1IL/91+5t4PygY//x4f&#10;f/D3fvkP/uHf1m++4zOPsdfJz587dng54MIYvFbxtSxg7I6FZGh7eoZipqP8iOT3aKy9J95h+FHN&#10;2X4ATg3A70aKFox9AFRBOxOToO3lNrPmf0zoqC3OqyRrm/9gOd4U3m1jhqvltqcsB+0sDF++aNoY&#10;GQxmdj4nloNFqnmSTHRY2GO1e1n0oDyiZeLH7Lz74xW/0Msm+MuWlacsgULra7L6YfOnxI0yB6Ot&#10;0ABh8TTstGr/XK00sFVxidMzJjInnKdQ8ZHIMFs0XLaOZtvC+LyzhcgCwDBZ17O16D/tGU//MK2E&#10;lCIe99gYKbhKadJwgaSysqd6Ec+5kTF75BStByTexsHMxFooDlbAWStUnz0moEfWDlRhLo4i1AMW&#10;9j2bViSodQ7YLazEHHF2o90YXngLsLVEhjXDa3xE6RumCMdpOzkqma3Da9N/Ay6Fvm8P1pD7cRz2&#10;FngzCZfAfhw23hj6xm4bIdz3EimUlr4j8anO5tQYj1MIb5kfw7fYseVdFgLx463fe8DRjkMFRZu6&#10;qnAPEHCMi/20G/TSTKQyDDb+vuiV+C6bG31/uqMLZyHAGa/HRXRIM2LcHJhHn8H2bTe6OXE/MGxV&#10;4XGMGB0NmUjGAM0WOh6MxtF91APxEKM3nylpqzQ5m2E2gDGyYBZKFBCh2TT82oCKXWfKiCpPtAb2&#10;hy7Q6uFrJOB2E/I3NziE2KOBjipqYHqjyWTTDGAWiIeRVxUE5ohIlGvMfnELREXs8mZZOE1l8MUi&#10;trIOaTXx6+hosLarPH2OrvjS3/THb777k0Aet0c38tuXEV1+j5Pn+BeZHKKvy+2ZmfxHkJVf2/7F&#10;Ou04gI+f6vu//Ndlu3z6z/787fvfH/gIRg4psIqNj3W0HFD7jXlcCiQKwfufDpXjd7rmM2TbOyds&#10;Hjl59XfTEyJHGxVBlQw8L4LVrZYhEIgJ8hbF11MqgP1V+M6vi6ySi5EJxDUixLZkMcs1iFmK/pJP&#10;c3ZzWoNjPhDrs8wZX957FNqrLhu/jFiwE6ZFlmTYAJMv7rAzDE1OqtW6YKSAO7VfYkVZaUHN7mMr&#10;Gh/qNoUGWYamxxyPuezljdM5+GFbagtD7s4x3SwvpqwEd5suZhogPEJNTP7kMmDMd17zv4zr06iq&#10;YkKoWmlR9gKNMxW+aHqmD8i/Xy2t8ldElkNPJiomOdrCV5gTqoEyuGgzfBbQYx+fXe/5iamk6FzO&#10;XKUZbsyNzi73NVrqufH8vfNqVn630TV2i3DnPqB2phZGlPIAsIsYRxPykFBSQMfRlowtYeqss5iP&#10;ytpv2lSEFprKUNz6cCaWlybMnY2DPtpP2SStZrJ/GWHkih9l0+vF3da3Z/jDjsNvXK5e+N9u1o8u&#10;6kLT4dGcRWY6lluYDRo0h3lAgeg2+oNcLj1DNb239mxikhBEEUEWx1golWhR11yj+pH55DBi/9TU&#10;KRvuYRlbSEJQWpuH9vk7NjZXIhzn3HYc1d4NbzqQF9iQBxSQW/dXOEBnPNuP/yCkxL2KSbyoTLYX&#10;q51zDIS0tVlegC5GC2fco8rE+VbAxhbor8xwLiqVJnMEWumhNHgaVL5RPcR1FeFTMq/9TCfJXX5H&#10;StHwRqf3oMrFSpJLR5W1qvQzcs9HL/2SHCZTDtN4OIVDIo15U2Tt6g+HiWf6EvVZuSA8+j85Xkhs&#10;KJlIhbRBm/7tUn4taeWLKK698rxorximvsKG9Inu8R0//9t/cfn0zcPP/UkDvif4EoohFS0IyoKJ&#10;Sq74leAiuW0GbqLasFyulAsBy378dQm6+vET70/+aA1GBK+EbfPyCrbgUKAb3agX56RHIKXwyfxS&#10;x/oK19Todp/wpyYvBmirDh+85p7n3ldYZZXyNsVDNrmM903hGqcHVrWdI5Bk6XLsbnS48AxskXT9&#10;lE95mj2NHgSxJvdS0NU8h73J7L0K5DEFpvYV/36botkFMH6i0YhlRDLmzXrCfQtV6vNbDEJ/Bfgi&#10;awvn7Mw8q6HEyuusG6+lClPOebRcT+h07SNt2ZKmW39LxJqg01CQnFKgrrBeBAHynICY+hWgyOLY&#10;GSfUbGuJus5YInn9QwTOKyhH6I5jcbhPwQywMz41xQ/rw0l6k+PRO9BWIoEb+e+937Yevwl0nlHn&#10;/MjYIqTFh2itFo1HB7Dt+PC0EJIBqzeOZA0ZMDgf4x4+vpcfP7fPbuEdt+35s39TlwlsET2xNUpP&#10;Iayn/WWPnAdrEWy0dQzZov89fv3auWOSksPE0N5tfhG+HKoiSBD96Noxv0UYL+9sCcsdiVDjeHnO&#10;E708jjSZlHXLuKMTdZabkRYUl90ATZpP8JRg+FIGUFPXLfcQNAZZrcYeOKi0AIkRbAv4mc+B5+04&#10;RXONIYhWZhF+XzcoSW5YsmUUxi+PtB4WF4J7DSRBScm1YTWrArICwsP8YMX0QuEcxLWkDOanJsXg&#10;m4gWGOa40AUILQFdtANKSv5qQCrO/3z77XcfwT+7XvXx7dGH+QcKcB0sEO7qDAxY/L1C7b9i1/7Z&#10;/zJ9fDwuxt/5xb/4o3/5j7eP32F4eFL1LXNLrID+x4HlUc8NpEBccrjiggu/H9d8fDSxDudWL9pZ&#10;6c9ILYXxgvNF+HSjKBsBslOMTwYham2AeIBwIls1HyUHlJNdmiiCfB4mDqcQHzULWJ7bOOuTodCW&#10;7MaWyz+rEN41H66uuBUokz44SknHkui2aINrI4XEnRlWM1ladtpwzUV4m+CvQk9FEBkPTJP7KkEW&#10;xMwJsGJLqNApX+TFEZiqTyHOsIVHtSeIO9cYjJNoJx52ZsHzaQAQyTrtlDZFP2NBq50hchkmMkVI&#10;0/OZ33E0zspiFNltUX5yETbFmkSDIVdtTKccY/B0VkSko0gbd6vUnHlmNoN2KVHABHeGLCJ2Zjgy&#10;yiByOseFVjxo3Ol/RsRM1JiGiMsx8EzxBhFeESwIa85G/rH/iHsAlDvyMWrEFymBhbISShpuoOZQ&#10;Ht0q2yVmiBTO5jPaHdD7ePocq7XNWP8HvK1fDeMvz/m8Rt166xH7Z9X/A3LBtxWmYAULL8oHhxcI&#10;hqUit9sNvnLoJzXuK408TsAPBy95KKF8XBzjPQebHZ/WFoEjA3ETcUbGYR8k7/1Zw/9uqBhECzOZ&#10;Am9F6J3/eH5COw5h5AMDwk7PCzy+0fNtQKwIpSVxcoPz8JPHycpWj8nqALIyee6MdJA0GDUkaPia&#10;DrNdf2KydlWrZOaoFlBwVgIJ0wa87Oho6C0vg1w00thIYRKTKHBGjvlI4gNCITkueGRpK1qprWZu&#10;iSGdlVVA5OtqhFKFeTRvs+vj9eO313ef9HJplwv8f/CYiupXu7dX9Cz2Mo/nNS/0WRBwlCxv3sk+&#10;fu9v/eXPv/5/Xz99Bx+JpfhlAE0XauOYOEdxNJ4poTaHzOHed3vf8buen1IEzwIh6tdb9Lsu6YHf&#10;k9HQNqQi3X3lsjMCUI6CFWs+jW2CcedvKw+Vk+r/l7V3+7Utyc68YkTMufblnJNXV/lSLuPucrvs&#10;xgZ1q3kBCSRaSAhekJoWPPDEG4+88UfwV/CCBEKtfsMtLDAI1BK0hWgucjXdtqu7qmxnVmXl7eyz&#10;15oRgzm+b4yImGvvk3WhU+ly5sl9WWvNOSNijPF9v2+G8c/pmUR2+SY0Zao9qaIk0DUd5X/dd+uY&#10;kjYKoy6u40lVxjfPMB65siLI8J918cpXXKyj1/z62qaA8B52iSuCmurw6E/BFW/DtMkcz+JNYO2z&#10;0uwHcQkKZ+GctsUyLdxF+gc3ALvSwZJdjBPBO+7sEI9/9BZMh9M1cZt57JE5HYli6sBOT//RflOE&#10;6UIO2FaeoypaUOxcQVIMbWQPttc2C35j/3YRh8yfebSK+i+Vnu2nLv3A26sNZuGao1GfZeqaE72B&#10;3af4eXOYwzAJW9ztADEYy7ImS8XTorFzhHc0dyBGrlz2Wgo12iQb743b1rPLCdVNxW29PR6ciQQV&#10;2oQ4TBLLlDFAwHDMdtrTOJtpxWazOGotIMK9J43QOyRk9aOnIaaUICGrNTyQR10NvP/vcipgurrv&#10;av+9wHPTXe97AYLFLX10//QW+9Cat0azlhtbdNo5K1xcCc1jda240xpZnUghWdE+tHKqsNmksJ4p&#10;o2gjWieCLApqdoYy2BkeVvuSumOVIcZYCgd2kQ13g5BhYhZ7ix46LgB1uiodW/92UZ4TJtOReRmB&#10;c4MDB6PERtlnUBdC2ZljVBJE/C4/zy7kScWv6dymb/PhD1NB/ryAGLl9PrwZLjlkB6X7eSBWgqkR&#10;SoJ1vfvgazfvfSinU7q5zcb9sWCytJ7kBAoMCmuWg+mf5198PKS8eKGvHz7+/b/z+OO/WF69ly3N&#10;sYmfLOzQYC1iW+MupKurh7kXpmfDGe1ZtQYYdf+xekq7SMU2VXDmALEAYYF2glm6+VjZ9sHJiHjP&#10;xo4APWN9tZ/2MO00V30K+YoOXN+RnKPl/TVfIHWki/X5kDzbPOaUsBO3ZgYWX2CdwI+86iUyc68w&#10;Z/JWZtrzIBpNb6n1+79kcS2HHr2BEzno8BPzEGtU9Br9kzpG40LRl0cYrvpTljmcD9STe8VnLPtP&#10;aEf0SfnIJIOJQCOTJNg77q3A1YfOkCXZs/3/7BsOx5Bxyu+hLTqdLjpHAzs1eXwwgU2dUblWiqnD&#10;RtxzoxItjO4ab5Q7k7jFNdQPVlhhNzP2EqrL7ytr5NZ2fHZjrA8XX2ag+Kqd8gZlI7K+yOovvXHe&#10;HGyWnNLcNaiUWPcTmT2NWHdYGDAgh3bHcsLNUN3R4c1o9yvQXq3LyYGuo8Xdqvf6Sl3WZgY7x1/Z&#10;03t5tIcarRuL6wMcpDGspJl804/Y3lyhTLI5kdEWoIZflt03BrG4NVdhgNx3PqvsXVgcPUBOoLcL&#10;KiFBXmgyn5/pZDbIOy8Rc5bgtXdLPpqlG19eck+J6fTqelfZ3mimvA9dB5qNYAL4b5fwDY/GQg9O&#10;7YGwjPvBYI9pjY1UEQx7uOmqHpNenPlBOIu3XChNdOISDp2gFXZuLPrbEfcEia/GDm24H4qe+lak&#10;LXKj+4leOam1Qmeg9UJZQVeAC8JhAJU+xmls2yp5BfSdUAuIM3OLUgF7/aLIypD1VG5vb995/+bV&#10;+9aHvD3lmxfwhkPDisGt0tqrmv75/wWV6/2L+tnnH//ef72dH8XgnzVQ0SjIuoMIywo0ZgbG84MQ&#10;x2+c5/UMTidQLOwA85yBTrtxHnK12tETkj37ERuR3aLQNtvRPHv3WNby6jd/R6a0X5HBtn5+r/I0&#10;cE1PxPipm6AkjVX4bc7IHuggufMhZxJML6nyUN6M/7gvdeU4TT5wd2bH+ttYnnJFd3HbnvRyKR1y&#10;1g+61lgXfMDZTRESW1BQT0JkIC45z2wksSXiVLFhWs6BceJ3c6reu4SBGZRDyEhH/Q9GKwgvy4yO&#10;y1mPHFD/5Fo8NSmOK5NY1I3dOTJWdCDCpqCrDvwspUd85OQu/9A4B1sj8pGuZuWuQWCoWVeNOO1e&#10;RiZfMC8CbgduJ0FojrXOpICSHdXjS32+T5CKU8KoP/JIXj9h02Ajlfw0YpOYwuqndaykLGcxluCb&#10;qRjC5cgZSOauozht35aWE2E0/km1eMeRDLD/N4ektUq5IA2OcH1kA8Hse8lym+rZ5CES5c6+TGAc&#10;QgdRbgTqIGm2oCayvdM+hFqggkDD0MChRpVERLvbqEIjpRE+xQfg/Ijq4VbJWY2r3Xhx2CsmQtNQ&#10;wj6kNMFqXhNRL9h9W8kQwizb6Tbb5NLwHGwvG4Nmr9c//xE0CMVHaEaxiuj5EVDcwalsX3tZENcx&#10;hX0Cyo7iJDUoWTcSTca4rmsraZ+nMREt1lA94w5d0EmzIPXiSS4y/LRBD3LfOje5HDnmufPbrWZe&#10;IksC+xn9Ks3HR2b2aNoPnTrx3UXb/Dw63QlXa9R/EHEoBczJLeTa+6VGm1uKMUatnm6bGVGMHoDs&#10;vQMeefr7p4aczSDCNr5Xxp+4+31Z6qc/fvyLf3r7m79b1tv05nVaV0zBasjIQ1bFzLAYnzXQFUzg&#10;YxPlSzvdKrBElBHVvGDMYarhjfAKO9/ZxrYYU8/nP1Ya2m2/7d9b3YRTG3sJ+ynr5bd/p3jgjiQd&#10;B+5ozL01Y0F8JMPVzr/v2CntoIv8RBvTpdYRTuAWfdEjUUp6f3x07Lw6LBKqq1kBPFSC9DVIenYX&#10;z0nnRqx0S5wMbZZD9OMnZH93WY7xrDLxyab2MQjuMhLn+ubXVZgdCzIZTPrHHoEJdqCVKEN99JCe&#10;EW5OqfbozknWDqKQbsgen4230JDJHrK3o/RoTmgcGUniU0mN1OtO9nKYU9CImTqrV+NNPXajh39y&#10;moj26OncX4X3jnyDIbM0dKytqacJE29W87ZldF99n+g3InNf1Xd6Dvz2ld2W4KE6bpSToavFfahG&#10;3jq/wAzb1Pj546f+AtyJYXKYE9L7pJ7uGkI7R9Cx9PuVHMlFNMpep81fEOMCz19ZMkFt+4vcHon7&#10;sg3e8ruz9txkgryxuGs5ZV7TZSHXo3n3W/RiozhjZDC4FSpXA4Lz3ACOiW4Ga8beVrMHIRnk2dEq&#10;NF8tmHXWSiJXW256P6ooUau2wOfLG2PUMfYV7biM/d5TJvAP1rt+/WmGQXDYR/MAPcOYVRi8Jl5T&#10;h7MI9DFhkZcJDGqDs+OdfXW4SF5lPKDUhmK4gGxCSCjh1LTGb/TYnQ/SqafR/+bs3PUsOSyn4iB1&#10;CSooj4g2hZIGv+bAb2Bv8KaI5+hSWZAcxTKHYvqTxU+MBWvz3csKuIXwICv4GnPhYzy1v6mbu2Q6&#10;qcV2HYBSYQ/IjobnbTOkEGnYvH6mv1o79AYjz91WCaIxSnnzw4/1s4/vfvuvW3fk/OAJ1HTyWXnT&#10;EOEkfjCqrZirByMJLwZaWm/a6U7plHVyPY8LdpbNSAIxQbKxFk5wglyyC5pKnZlWKP6smgz7pZfn&#10;gfF4LsriOaVrX7OeeqvlyjD/liYd+92+W0w3boMtvz3FiwfrPQfgOOIadXY7fLUu152PMYO+0sYf&#10;k+aFVNr5kdKUrkMIYkupjKqZSJrHMPUIcTwoP3s1119PJGn0FPOpz/rsKWSkjQc4kKljhB9LJxoe&#10;BD6k9x/zK69HvBrZjoNHxwFMmvYxvljGqY/zZFN9GimVRhLIoLnF7Fell09pBE/0O8xN6+HictVc&#10;tzQEvjLkMJyx7GuJNSMzEmUbjTwtwgclKJF8gO1UWHQcgawZiCbnfGe4isF8tT4UTPxn7TJnIZDQ&#10;nmR1q0VlW1UkyKkmmWkATzv/E0ddUR/fIgu3uoBiL18MmJKwFtjwsvqwsBvYzVPRiDalxHE/3laz&#10;TpnDgddmqyjFyIcrgAak3JydqJ7L4a2UxtCMkiUiZLGJ2QJRbOwXa7hbj7cS0gxMXluQ57L1120Q&#10;tVKGY33DpTDWgBcC+p1xcMuBoMpbjbgT7/9PE+Y0ASM6khV6Xh4jGN2kU2xmI9ZA3NDJe9hTZx0+&#10;0Erk22BRjFDTkpJeaQx0CEY68lizYxPCParhWg0X2iCfYfAsY7qE1yfR4IUKX6YsZiuwmXfvVHfv&#10;oGhfz7s6xi0YeRKpq3XdS1nv7+/e/4XTO+8tUL7IXkUtN2YnWLPlAOec5P+HvrN/L95sap2xFP6p&#10;vfw73bz+o//r0z/4u+nmJt3c+cSTxiFMQxtbuw1QX2jNkkebihd8l0d72/sWGByM8GUx6MgqeMN4&#10;udM8B00WBzjrr2QwzbsqyxInynu/9bvD7PZk25DU2ZjXZRsWVjejPZ3oUecVjYLJbdDjjXoKc5rS&#10;Afs8hxVA2DzDnaBRL0zosDme45jY5zEHwRk5kkrTbCMVPXBBJ/tsGnmx8/toHQirVyMyHRDM3tAN&#10;ZWIO2RtQ/TIPKnVOxHDVCkISsqQRDTbobapd4RkWtDSQFjD6wPQ0HYWfngcoYxEv0frbqwl5b/R2&#10;MoSQYKGOEnbUlHQrjqt38qy6GHWgdkC2Q6tS5U3p4n6+0tEx11KmrvgYG0vqnrbMx0OZh27nv/Xw&#10;Lb5K0DyDQg4ij+yLCPNNkKLQ97bmNLXmPmVnxKDJtqVJclPL7cH0yo0YxQ3CXeFPh6+8M5FGbL3t&#10;spmA1kg05f7aQT5sF+xvavG0Cbi1qlnhWvbzcnzQPXcThW0gH0U3K2hkoc7Ixs/ZHwFr0oKGjFrH&#10;BipLWleNKESbAxUa5DlWsnZuwXpqOQzFM1e5zBbumrV12k1lchPMeGYNzJSELK6nst3XPVieNrV/&#10;7xc/TvXiJUKW7ihwXisb2mhpjgZHDiMBp4oBaqCMHoxsZfxbb7wwFylsg8GLt4/GjWWjwcCbyNNU&#10;UCU0qF1zcNKMk9hBCh7hh3qC+CrXsrAoZFA19D7uoPa464x5L3SDyR2Wtsll5tTHSwqJRZk49lEM&#10;5WixaAf741vywil+POJF6DBmALYdqy4Nucpw4MGXjPzegYD76fqfh25nF6/OBrgxZ/UT5cP3/mmu&#10;5xe/8S/uv1rrBrRQZko2OyIe0QAKmjVFcOsb+dOivs719p223Eo9222xAmxNALa6yQFDibLvtA2O&#10;Fza3/ZRUq69TbYMQtJCWLtcJNLO37Ll4J52LQnlLtlEPfU2TfUBkHlNNgORjVt1Ufh6sDofaR65j&#10;F77KtCfPCntlHJCi1G1JjybBodaZuNo6OoJybPLKBCw92PDcxjulqGufto2UjDkgOOqMPMOMMas4&#10;wNpHReVIyXAyeoq2TFfhqStVO4xOq4sx+KDzORasJTTSadjvU4tZKE+jcCAtXaLtUquSD5zxiGVX&#10;YqQcoBjJn6Fh6C2nENoHBYhs37oRJAY5TVG4WY1qBqpypEjPkVOxnEGkBydCjc+RFP3mLfecKeep&#10;4oPGENEPLU58ZjgxoOyTjg61UAVQVHgbmImqUnGnBF+xZ9XhHWwGRiKd95usGnFWZPC7Fdh7sw9k&#10;0H9oMeQOUSN/CZs5CHvcRDFOqR63ayoOOxLHYsFhMLuFSMfrz6QtEBvGUd7sqOxnwQ83oFrOKYTW&#10;rhX8HMvq2//DUurNPeavxdUiAqg3fFJl2xopzAa44hDWxJXJmJ9EQGQDswFEojMwv8FJ6RaOFtJw&#10;7dyj/qAMjZeXXB4yzAC8YXvpzSr14POwe3dDAqPbuxbBLuGwJUDI5roYnhrtfljE6dvFYVqtpWmM&#10;hE6WRgprokPRCt/s6XddxOMox86r8p01mInij7+gIkwRXB/Eo9DdxcgdifJ4ENZ1vX918+77d+9/&#10;uN69lNOab+/k5q5R8LmuI93wp9e/tDb5jp5XvTg8cF/+TrfLsn7yv/3PP/5f//vl5Tt5XYjvyf5B&#10;kViWm7d2Evv/iSEh9k4huN0vqgmyfJUpYCQHwBu6LROXpcHmsod6qbVyc+YdiGGILR3Ls079Lmtr&#10;ql8R9URRGR2FVwqS7v7zHvgxDFiuHSWHykwHtFEO/Uz1BnBXgsUZxGM7f1Yij6aBrpSg6ybX4h0S&#10;HY5sr+uX3vfxJ7PR7kuZRaFOiRqSoWkAqROEIh7sMNtN7C/t6UEeyNJXabdKscSxNQPvBgKHvTRo&#10;103T3jiZMjiyp3Vrn2EL8ZvhW0kRrUPJYoogxtQD1vLRvz9A2vxyO3Nh2MHWnU+MiXpirFfLgxCK&#10;jdiQfRksTe0dpNqCiQx1uPepA3POREyDgQm0JzZmt4abZQm15NkOMji2hpN2/qUg8g22BzVxnmVG&#10;t4gap8dLuiqXcbKtbRTRmFke3Veuq0g8W2qzbYwVDRpdHtcI23PzOQTw3HwlRi+zZSs3rsCtlnbZ&#10;i79qJAv6XtZwvGlyahoGxNZq1BRLaoNokNyW5FbgsH+aKK56yYujsc/YIBuhwpDQBr1cnM0bDGMm&#10;M4zwU7oOkLNmS4ttPBcmSNi9vdyg9/hmf0fb6c7iJoBR8d0r2hUMixcPvpglzk09L1E15Es+XmXf&#10;Irvn2AfVzU03yUsvf8TRXnQPia8e3cA+EkFRKxDqZvcgroiVwhdGSXCl8q0av6e5Sq54uw++C0wc&#10;tiAlsW5mtxOKDYo2zZjfIuGKvc9Q+I10IT9ijiBc5bQyh1i4wqqPGsnUHRw+Zjj9OSkNyqBg/1te&#10;MSz+sdVtvxCWnrFflgevNi6XQDJ+NeTlmR3uJ3gf+E5ub/ND+/H/8vuylHf+pX91++Jz8G5C8omH&#10;VE+37Wy9FgqDUZbaNm9rWT3bHYntsELzD1EZn3jkZZaC6YAdGqU9NojcwDIyW20NPFDLHoWRD245&#10;TY5Ic8WDMy2eVWt6spRLHydWrAcgeCEyZeXlg6OCYmLapCJJq0mnhIRWYk467m0AQqJ6hZpjGaX0&#10;QHsBE5Nj0WMM+5RmFEO11r1l3U8ic4XXd3QIxHPu4yq5llBPu3UA8Wd9qb9F6c/bnKTcVdiZGi0d&#10;LLHZksF2ZR68IgaGd5mZw+YjzTEuGD0pNaI8YtbbRTFeiWuv3iaHfnGYSwRlBiMnczHJEYzGM70D&#10;EGRol/yZtp8Pa0GOqW0+aGlZi02+C7txpTlkW8ZBAytsjTZEZRcU2+NoSZoEsTL3eaXBXemdhFWM&#10;fj6PKvKVRTkJZlSsCzT4q9FCxj8XtsvUw/+Eq95SH7NzqBkvhllbcyjMPLSlmDt+iTDLFcF4zR8l&#10;7KB8L2hv2Wff8mjh12in7sUf8qxt7+J63fB+lmSZKo2oLqiT9LIFORkeOXxNoI3pksfFpTYGEUUt&#10;eW3KZzCbPyTz9jJBqa00Rl2x4ZkJDQwclc1xHw8vbPL2JxBwEt9eLg8Qxqw4H9TwhkLZZ6eZKk79&#10;Eefg+6nK+cTM75DWQ6i04y/JEBw8ouyonYghzF6j8/c1l8ZEYwQXqROsopvs8adRCrYpfstzhj3p&#10;MJG9zhODs2l8JatUCHdxUgrAG/gI/h5BEeqCZg3cc+13ZuuLncUAVdpyPMk11oxB+JOobH30kD2h&#10;Hi6IfLq9efXu6b33lvt78yCdYJWxm4EdFGJnqiNgPAXimb/9E8Cn+ZVhA4dNcLl/WZbTJ//T3/vi&#10;T7+zfvAL3j32vNP9cIeH6HTPjoibjAGz3O+xgtfDaxczw0KtV6Xx1xZn83Bkp0ExbmWzjsq68gFJ&#10;0axu6FY96VmKF2LtJ27/QwlyTboewgqXdU754E+ceN7nkSM2MlbzwiR4nYNjD83kSX8h5CPr7Cfr&#10;RaJOU2v/aK5eRzqmpj0vc53DZXr+oaZ0ZfXHyWJIM+V5JLgcOrjXcbypU/Obw03ifbtUT+aYBTAr&#10;A5w1WtM9sdLOUE28z+ZaTe5UrtxMHW0j0+fcuri7F1Xzq2bEI83jQ8QZwTXaO7JJQo2dY/un6QP0&#10;d3veprBFdj2t4dZ0NE9SkH0khOfcapPnfedD9YxgoLwfI62mMt5SdkQrrHL70biwQGiS2vDHoN1b&#10;EU4jkALWvLR6KVCTQ7tf1Bm6eJn7o2XziYzkvEWc2pubp0vYb1wl5T5WlivEHQT5nHhWRoGliF5e&#10;ortjjZ19SWBgE33ltFuaIn89Gbw4h8bexyt6cSqKHZ23Zm8o2w6paE/D5+5YS++jcAxZECBsq4XF&#10;0ObGsmtZHJ6zVQI6tNxuZd/JHiGVLN4IsLqtbcvdev6y7KsjUultvbu8BkOneTQ5ys19raqCyBvH&#10;3ITAJMK7oTfy5rD1LbcL+gnIZkqL+/nYRWkatcoY/sf0t7GciyjTlgLB46YbKyQuLLuTl5Us/wrL&#10;NcXMzP8wdHLccnLnA/hwyGuy1M705eV0cATz6JlH9ytz/u2FiF8Hnj68rhiEBEYZcNJWuswsBKiR&#10;neq/zBaeNaLCSN7tDuOSVllfvgszXH787NP2+JBvbpHcsdnXbZK2TX+GTAf92WBo++d/d5c+O3/y&#10;e//NWsrpV79VP/0Rhr4w5u73/PkhLbe639VnQ5rBsW4fS93PR5cHCo4ax9ukPcCzgDNueKFay702&#10;IBkYupl0frAGPecDgJWXd779O7McZZKu584WeWr+ntUjPfj0ioDSiwfp86tRBAxM7BjyOctH+mgs&#10;B+5FHPqscuCsdOSJa4CHAOGY3/rs+G848KfpnDz148t1yvwcgT51VQbneRBqsjwVEAUe3tMUpHUg&#10;m8zu/k6gVUlzgPdcfD+jOc04IaXAW0+i7bBLWi/QsTJRGgulmv46IjYzDr8zxCdCU2UOiwhNo0zH&#10;iTGu73YYDS1x7qw46eiKiG12cblwpKGhm+pu6xSUGlHv/Avt9nRQdZdU5wS5nCRyaiAfaGieaOiP&#10;fHzi4ZG83xpplF2E6vMQk3iU7N1bRgKdYUg/1eUms/FW4DrSC8FLydW2iUEQOnmb+iHdC5A+YlB4&#10;cu0l+bLeQ1VY8aM1F8jMphOknPSKfU/ZaGOw5AUP30WLr7WwEqom52r6HauBkA75O4v7CoAA7Sck&#10;jxS2t+nxKCdTACEqPcPnZ+1qc5LREJm30126nC1KbaGmdO1oey+PHj6XfZnLSyfiu2TM+2+NSVUJ&#10;fvP5VhwiuL4O9T49j0ZEs8Jiz48FFfzA44nfYDX1JspYtLL3lOyWrhJZ8FZ4gafsCyuRC+HqgQY4&#10;O81nPuRGQc8IJ2554t78LBrs/y7rV70+JveMryF9G0HhwwQcOPIu38nTchq5GSauKYvxXs1Lut+9&#10;29lvRGwbEQHavL/zlq6miPzcGtF8uqkPr19/9x/d/co3y9e/2d48YBihzudrl225pSxW0W+wHXx7&#10;tBrgxfs+AyaYiXJj9zORVwVskxAxgZPlzV3b3+x2bgTHxEmClaW8BfNWAyqs/RASuVoOnon4nbke&#10;SLOWcDqJOdoVa5ZPtWfjdpNBaaHkqQs6s/rQW46oMhl7RmwT7Ey0Y52mz+18WaYounTcuIc87/qI&#10;7ntXkyDERzfXe6RmsEIMQ776kQHBiXLPn+1onkg0Ya67s5jS2r6VW7DixufpwWJxLfpIkR9FPwZg&#10;58vSoakAj5EZPxSHU1xhT6h0EG2aFleXrbptHhqSpHEGzT6cnya70eCVCGeT0VuebjUwL/IBPEeD&#10;Ra1Ovoj4bPRY3OWiJDk1r2GnnCnXr/vtYweMzRZ+oFIqFyDY3Sg/CB8geS7FCRF+dvElCWexBUhA&#10;C2SgZCc8gxz7keypoZ710jQzeA8bRgNfsU3lSdbKPh7A81Q/VNxJS8TIUVyZmURBb0KeYLIJU0wf&#10;HLfw4O/fU+Exx31ecFeGEMTAHpDXWBHYZpSgwYCqre+02JsybkPiYq1ogrXmr6WRTZVCdoAYelMI&#10;l1O2xiYKJvTq9jNBffkB5OwNn95GOH8CILSan70kn4Lyk27Djsej074sUuIrGhqQmqKTgDqn+Dm2&#10;DNImnXRx8HYrjjLFHGsfhUGE/Llos6um1S0+maY6YIDwU2qa3TriZ1T/pVQv89HCuxIPXJZRlfrp&#10;Ygl6R8fAagidnmgLfP1ouMewvE0k2I4y7GUDnuAiA9OIlDHoRbuWz37Vspb7l3fvfnD3/gend95N&#10;Nzey/73XW/zP65KWxe6V7fIVoz75+XyBeBnrq3fa64cf/nd/dzs/pq9/k89sBqDcOgD14ktFv3Q2&#10;vL+ky2MACz3OJSUPZ/YrArEv0T5G+jCLUeIThUyMFaeTTYF+Le9++3dnCGKaz1YylJo9zWeYwaeP&#10;IGJrrqQh8rzQsoV8L9ZnXraiZOf72z8w/kc51QuE2Zl+sBsMV/0VtUwmMdRVDIW66jLu/7lYe8Lj&#10;kiFknR0T0+bjUqu4Hgc+Tmhc80Gg44fx4WjQueaWIIDS/37s5l7PYtncYCCqG29DJ5T6pNDJnTJt&#10;GGicZrKXcmQID4u5axRLJOp5TBSBv1LcgSeRKpBTNDoZj0fl96QN496r2c34wwc1vPrZCz8eeHuu&#10;iN3BYQbESRlazTzdwim8d1yVFpAjcNuhdIu2L/tOUdXwVxfTjCgtzw5eCFQfN+1CtEp4GFB5GTU0&#10;G7LSHmCtXb3GLIXsQKcoa5KfF/zt+uHRc55zI/s/p+gsJP91OK1SLMWpM8CG+3oh9dLWUyO9Pnty&#10;oX1xphgFegGTG7ufBZwRQrYY1B75WxANyVKGfBrjnLws5ON74YqraR9uprjUDtpLPds5bTmJCRcb&#10;1I/V29JmXl737y8QLPBWZ8i4tbzffCH7fqmRisc8IO4EdgrZ/+DSgtggI9ZKfO2zjQ5tusX2ctPQ&#10;C9VvhaETrjyAvqFMdeKUU1rF7QRN+poEf8U4a+o4S3o/gEHqvEitN6CaY74h/LLUcsTBJU+Kw1eX&#10;7NRCNhhk1dGybRIy16kJ5I6dkU4GaoyH+kIewDAgFnosiYiUmwqDPmTxAzeFwftGsC426kMHwXA2&#10;ppFCUjFmZ7VttcOvrsUfqj83Go2RPPl0unz+2fb9f3L7l35T3vkwvf4Cit/YTKCIU/DYXDF6edxv&#10;sHS6EQ7vsz+zJZO+hElBWZlUa/opjqUT87b2L7g4d2j/rBA0lp/sT3pVJUnqhhl9Vvw5zOKRTn9N&#10;ib7SBPVjeocdS4/0dTuzn8wO9VjWKal9ip3qNWgfYOvEp37m7YUoZeyf4gd9GfdJwDqfQ5iPXxda&#10;GrniZOuhoxsaaR0R4dHNEI2Udj1u4HLcnOOl6ADnmTqOyIzBxdFw1muIwtXnxkROSbcLhUNCDznX&#10;mefSEZWdp6Dg4F+5QMN/led/HtXCfjLHBhLOYu1CWpmDoOYfjRwvT2vzyoFndddZZEAc4C1zjaJr&#10;RlPA+qVDltR7k5mJ56VuhYBjLyFC6yFUaLnKxg67pltJc1K4scQSzAPCrB8/8MSiHOHjxBhr5DZE&#10;29ZqploNLb3V6aCk7hLx1G/mq7EZuz+il6Ln3ltRF71zyIA9wCjSJGs1RJdxERCqZhLj41WNd4ll&#10;jvEE+19LnLlgmUdFSXwo7o3Fov4s/sbERNY79Qek0O1HN4CR05RIfiBpbOppIggDuZm2c1/VaM+y&#10;g8f2WM5vyB5b9k0OGQ3YvFebS3kAQnFNkAe/MsABEG228pL2HEzKl6DRiN6P6giWQTahX9k6eSFc&#10;YyLcdJxxqlH10q7Pa00uST/cEvYd/KoWBLtQwOgg/jd3+BH7SWWTN1H8fm7EiwP56+gJFPv7n5/R&#10;3OrLp7glP1gQLm9lBYI4ex9ODr9/4wbQOlsy1DpxJIbAxkk92JIt5GvRm7vTi3du33l/vXth2+rt&#10;nSI8EteilP3GsAjc7Znkv5+i56lfsTVSz3F79/r7/+zT3/uvbHL8/i8pI7Sao409fSxCOOwT2c5s&#10;YBQ3+dkh1xm2UTpUb6eResobXzYf5NW44nZWMJP7QdTfCf0sIdTHFSVme5GhNzEbnUf1xAgvV0PR&#10;ODvkbgbvOXYuO8xdlahhqJ7gYTPF87jhjGSDQ7k0CCoqkx0wfkiXH04u86F0HUZ4L5vciB36Em/j&#10;5W5Plqm0ncdes8XfHTmhgp9dkjLDYtrxyODqVvGpjnvSn1aeJC4VT7KVKRjF02gCN+rUKOmEDIbN&#10;51Sup6W9t+MArfmXToRwyfIcslyiaYeub306AU29Eu3ZFNh83QjAt5tzN5UoZWARgSbaohLPAXtk&#10;k5eDxBV8l1QAdiJkawFEA5x4XoDWv9dp37aag5aUPWzMXeeJsWqeWZ8irr0glAAmd7YxluTFE4JZ&#10;ILkwxGYc6fy+j3krKTWBTMBtZkXDxSCEbNAh9gVFD0Lkaf7UFo54JDSsp+SQspCPAGXlZYF46JR7&#10;LWwqqciYdRZ4wjnf44I586u1Rf4R/QIFenE1yUzceftSLgG9tCyI1XY+ctLRJkAEYxk3BDiNOJUw&#10;d9f6wPnLH8vjaxYxBWIiaGdXTnSg02oC1HX43DujXbwmDj0UW2QoHBeXXAoxbFCT2g9xWj+OQHRK&#10;7Ovi5n1l3n+lyCEXpZOjCbVBKFY/KTspNPkdBc0OEGP4+XGfCHmezC7LQAr4GNUkRhY5Zws0sDt+&#10;ExcqMlwymmUix2qCKMkzuULW4UwHpljsJxyY93Vah8VFPtJ7JIqTpQDyXnCYqMyV2rZmHk3crcak&#10;s0Obv9qfpcmJA3oTyc83qJh+iipw+9EP0xc/uvurf8OONV9+JoVna2CPSnG7rd0JJkBrNy9g7jHE&#10;4LrfUYSwY1fLdomJh7GfWnDyrcuy/33aLpnQCQLFAEFF+gNLcHleuMNPsITGrI0hrqaU3kYCCOfu&#10;rGn0n4Aj+aEVOCIcBy8rQt5lDhh4yxlCr+zmKdJ48jUH7Epp6g7Brv0MfLyOEBslBWpMWbz6VPID&#10;ut6AQ6AWbkFJSa8jDGTktj/x/00l46SI7XUU96ZGkJ0646ifHmbm9jRld7JFOHjn/RkNv26xglkm&#10;vfVCevUxgRVnRjYkhTLFNSI1e4TFpxDjPUHbhd/R9cf8VdQr4/Y2WSaGUuytdgAFN0WHD/kJkkpx&#10;p79rbzCaqj6xSrZzrgmj9XQyYembLXYbW+KLUIjoqm12ICn14yk7O0LeMDcwT2L+oj6StjPlsjjm&#10;RlKnPmYGAthbKFEfROwuC9qm6HWCoscuBj+OcjJwe081qVj1PMqCkbzJd3plAeoU7oiLsJqvBWgH&#10;dJiaCUGNKE6B5MdT1iAN9ROn0CJZkrW8KmFuGNFBS6WwTcMvbELFdlFkaFhtfWEePZ4ew76YVM9e&#10;1l6BnW72H7u1/Wde5HRrGYSVxasifwN9wn3NzdqfANQwzKCIHmVAWQkQ8N2OpKHm+e104HlYsjMn&#10;eawotitT08RwhuSfaGLUoZzMQlI3969iXJcZzOXHdUEaBv0uLbk6Wo/uBPJFKbsws+Z4lsN/lRwt&#10;0yU2yiFoiyZSc3SNFz0BT8kxABtyl2TAUhs1b+XGBF12LU6pZ/vV11Ze90eYO19vvMcPN23I6XZ/&#10;Zk9gfG+Pt2ecHNvl7O6U5aT0oeMkl/pe/xONfa19dVPULcF20Cmf/cM/3J+Yu//gP33z6hduv/cd&#10;o6ODGeGhHZyqGGS8cQOxvu66dlM4L1BzW4ztq0vmFH7Ig+z2NcP7BY+xbZnl3d/63dSFRGOsFUI4&#10;HU1ADYSOdMcVS5BeZAwMS6jiPVpXxgXjxnKsrNIYooxZYQ6XIE18EjIova655SjvlDRkh4cQ2clt&#10;Hceooe0crU5JkxQ1dx1Fl+/MDJej+V2le8KDhDmdDWZroU4SkNhcZKhqZKT0XgddHKE4LHldIxe1&#10;a5wTo9+Y+lQt5pp+KSfAch1BSPNYtyNGZ8jMdVdc0/BmiWOrhj8yGi+HOEjO5LKbuBrLC+/O5jAg&#10;ugLTc5fwNZhR0aKOIz/NODHdAeGXoyDyf0l85mZmZHdbkVYfOTkfDjHlUYO7EDc0w7mnfagnjzt0&#10;KsBs0rmnnT/JeqX5dJy4JTrEMoU5mSzm/clzteZSTM6ovWXtLrFEaahnTfEs7GEgeTpOtmjIGb9f&#10;jJffGI9nsh1YdfGOirN0ut97PzgvS7+VmFiEOcoooBv1GsnoMAS3USBqzsJtsw97vUH71FT1pV4s&#10;Fmo/i9vnnOBhaEZ4QaCVvQBLB7zoy/eRhLhv+du6Pe4n/XJ+k998yYQdWwcYD8tecuat3Agszqm5&#10;njPwdSiAUkQBIN22m6ZjRCed2IQKLPLWyBiDDFirRUISwOROTYcSCeov1QAS+EraxLFaxW9C8bNO&#10;CvNdbIcElBdKBBF12XLXaFslXXvCjYcpIq1ewk/M8WEMiTsVlye9TT1HJTYHtRQRO+0BQyP17Kzt&#10;XKJ37lkW7up1CXLpSGt4N7P3Ty8XllOuYHCD3YQa/GpJi6vp5NgCfCL/YE25mDXm9Z99/3R798v/&#10;/n9y/uh79dMfZgvWqPspsGVHF9ijfn5tZ53Tvd1pDAsw3gJGDnZwLt7FMePQFpILCJr2+ppKt/OD&#10;NT/3W3f/zN/99u+wqxair74NabBl++jUO0wVH0QOvaKLQvNxlJP7zje3wZqk5wSynkdzbJrlbmQQ&#10;dXeOXNHjksOxpgnSHK07pdte2TMmpeexagp67GjEHVHnGrE9kSAahgsN0XMO2f/ctvVmi4yDWMwX&#10;5/z36MJ2/JaodvbKcKGMNPOuRZkC/LxPKGzYIHQ4j9nUELt03Q5GTE5XF8+/7dly6ajYfb7wzjFL&#10;GMKTcGpoB64echvCZpA0FJVoddq6b4Z0dHlBsKVHovhtiWQA51uGrSIC2NhD9J04+xLmho1mruot&#10;Q8odGPvG5QQZDjm5e0CU23jEjDhyYbhxCsJQpEVdHem4i6c0oFla6FfDLIn6zshhzl6QZr+pPK4q&#10;sG7ZMeQ1u23ZrNpQD3NeSRCEm+SJk1AU2g0REAlJs2k57atJ855tMeLM/n37QX7/PG0s1zg69SMI&#10;imNdbgC4qBCzlFLhcfYlvXLmRHNxWRZnUBhKe4Vd3Sj0LZ9i0Wg968eKzuWEGZW00126fzcvN+38&#10;xkSgKMu29bY8fFbefJ4yN7/irTAczH3CaXtG6bKsWImUKid3CoXTPLqMxdMhEBRll31/BaebFL3T&#10;CEdcbZyzPUJYUTrxPQXRzsGdjvHe/I+4XoEiyhs+t56+WZklK67T5r5YxtLSXKhCw6upVDzkaHO+&#10;KJp2LFIzLY/rqeuNs1uvPaE4PD8WjoE7GScWaG4t52c7+1qJ/9r18xxIk6hEiEpG6qEQwQivjmHG&#10;TEXs7E77c3o5nCiU0rXx6mDMsPMkClgTT/0E27s7RmRd9tL/4R/9w/uXL5d/5d/6/Ad/Ws4P+/5n&#10;JKNxxJb14TM7Cb380Gf0SLL0KZS9r4XvtFlGVUP+w2Kzg5yWum0FNETDip7zemsPs6k9sxxNfLnf&#10;YUE4VadQDSZKC7XgrGwMNleMH3zjGEr0w2Crs1f1mow9elwj0DIAvio9Y/0qsv15wNlzGQ8aOYI6&#10;3u+ciNQ/CO32eDk2JnV0HOkVP1odj3XpMNB7fY0jbVgBHBUwQr3SITRPeiQP/xAnNdWDl0KmZoRw&#10;UTDxWxGft0s8xakbd0RinuxzEO3FrRzH2hrJfHpVYftWnJ+ZBMThIPY/CPm8Dstu3HHiRg+etFVj&#10;X51rWRAOwKFHnxg0Nh49H6evAsHp0E4MF591M74Em5NNNWDsw5PAPdcWwTbM8pmhRjh6E2HlGfSa&#10;R15RP/h4Mcdf7OHunsCCS2uA4mb5tqUMjVL3VYtvry0iLP1IiBGT9IzTwtmk2hG40QARO0KJaTNn&#10;PFhlBKFFUpZ699L40QlZPJjo2P83vGYxawE+nyBCNqaEY6CIVEJWMcYlQUBjzo4Bqo2ZPLYWoyOt&#10;xROR0A20l2ok61KQAp+8XyhYcM0+cbH6b71Lrz+zzdhoVZv9w/5mbOb3pYLOSqt3nI2UQ5owH5Ze&#10;c7gPlYUXUcUaVrygS3syO/d40EQ9Jpph8RSDBF3dzwH27U1ceBBwvSgK3ElWsjKNj1RSLxf8B0ZW&#10;YDj23OnAJUtdqWTwzxLOfGtF2NfsG9X+GeLuhXJKsaxH5CTdaaV4Ue7Fvo17SbGy3AxQBly2A+Fr&#10;Pr8RxwP58xi1dOH6nJxj5wUM/vOC6m+xXcfsLefMWETtfCEDucZVeFLGyDTJSv7LZzDV9Vd6k9eV&#10;DGVd9xv4x//gf1zef/9rf/Nv60c/2L78DL1NScEdA6gj1f0URU0MNc+GGs9sYAjLXNTXTVhM2/TE&#10;GLmMb9bNdMvrbU5Hn1+37nlsRi+3+cQGBNGxMiV38G2SSc/ZASqTopjKdZ8wH5pnmTtHZ3P035HS&#10;cAd3I1ePQ+sfn4x0+dY0XUlKpxVcDuho7fuLjDc+WpRtTCM9RktHZix9fgOTKN5/c6tKE33LXJLZ&#10;6byOuX86zaloLTah7qjwgiDHB9JHWeL6R9XoSkTjmoBmHO9TxzA/SU+feqpRp+83kBwtID3fOOwa&#10;MTGQ6+EuO+tTyrFv4tRnQnPPncy5wp7WLtK9gJjVJagEO9QR+0o2xUqrxfxG7oHVscNp2FCjlxWr&#10;Xu0cRZtswx2IdmVeFpVgJNJFkCaUayjofNacfSVN7gDnvLxtyOfrWz7TGxoWTibMtculOd9G3EMW&#10;3FHvwnp/mt+WsEKJeiyUkNbdMreOkS2tRBCgL1rMo2wxD/bz19MKJAVkcKXsK2m7YCNf/H/LYnVc&#10;JT25oH2KwqJeqL/N2yNNb6aC2QxQYqs8MMGLyQoYy2d7SXaZK6fO+7u8oIfclvNre2xMHKgXpOL5&#10;CkJIyr7IXx7bw+cb9SOgZpltuScwM5pOg38OoYSEoQVXuIrTOJ0R4ZntrLbd8eI4AiFjrQEguhe7&#10;62o/EIyeRBIIB4p7gdVQ+E6nzjRR9hVnoDiEe/uBz1MsCca1aVTBe1RyyI6DbuCmAvfTknvQ2Uue&#10;DgNpblUXxbhQDKY0qw6zG8AXuD9z+HrVtYuc3CXfSIItiYLPQVmt6/7iXbBJa03m3C2zgCpYKb+e&#10;Tqe7+/c/XF6+k25vs3VijOOT1gUN8AXws6qBixtLwb6ZbkFd4CHOjiXj7yHf73/Su0swmZb7F/v3&#10;ffJf/Oe3f/Gnp7/xb25Ny5vXXthBe7Td3ttne3m87A+IP137ka5UIRHbM65xsuQRMcX6ZUvGqnU/&#10;YqTlRnqWXNKnaQmTprMrcOc0BI05mPesDgEPGiOvmQ4dSPsrZIAcOCjAFfL0Fd3bCcWCvpYpo7z7&#10;fOxv9l33id1Aj83oFDJ0HZ0OEk8xL/FJkl7pM5pM3M7Y9nwcMLQtoZ6WoUodVnpN86cpvreGK8Ml&#10;lQOCM/Izuxnd07Q1koC7F9hPCnI4fY0YvmteEeNVNBrdRyZOHwzFDLdpCWhK6YHD3e4by8BbBND6&#10;TDkursUIRSx92QqWpqOxRwQaVRjEmWL5wExLU+8OjKuMA5rQZoVzuKdTYKoJyUklUsvD59VlP9i9&#10;sCVb0cl0+MS4sOxOFPJBaIBGciZ6RLBI5wgVgt4E3cm8RisfZ1A7L3NjarXZ39j5FtjyginDtAR4&#10;34if52eUB+7fpHdlbdiA92KL5BueKvCWMLitdV8alno2p4SH0KIk9dPA4jEa+wdg+Ch8CggO7elU&#10;nleH96WeNRjJu3ZUJ71FCE8HoNmkNC0zNcLWUBv7xVirwZSZh4q/5cvD+vglPMZLXW68W5t6rKTQ&#10;o542NlcXlziNJlSUATapc6tfdq2uhB+xWvnCXL1Mobqb2SHtsXOAT84Y9hjHWbPQTCFafMud/eoL&#10;acAWXPHn7sHYrSOiBCeY4loA78ruH87SAG+LUqvJtjk+jZTjpjTn+IgutKyuddRtuID5cYHXhfb4&#10;hnNecgabm2uNdtsCbyZlrcAsOBSplCk43lUNdgo53ea7F6dX71n+w6t35O5OaH6wd2RomLysOHfU&#10;plUnkxPEN5ratNT0P9n/rjoaVop/HXAirJHoPC8vX+5v5f/8z/7Dh3/8D2/+9X+v7gcpeDcxp173&#10;v32Tkzw/+9VPJXb/WzPZlqyylXKxrokligiaA+f97+VmgTYt7edHa3vOapU0h7rKNdOrx0NONjbR&#10;q4Tbo/t6tA5kRBT3CD150kqLJuf0KoI2OfZTiU09MGf84UPDkmSaVaZJIxB8FQ2Et+o0Ip9wQU8j&#10;CkdhKA6YzHHOKkkOgpDrXqvOcqIwqCj7YCn3Kf5hsibH3MEUzWRnC/bEB9EpmLA3mXmmc/NnbCZD&#10;qiOOAkk9rn6SPI2PIXZA8Q5dCCRkmqc62Fqvim3sLc/tfNzzGBMTI1tnrIc6ww3ynoCaudvlknvr&#10;0XX5kjszVjo/tLD1H3Cq1qJnjNYZDYINfTZf64PQEM1THmhMQJLBR6bcxm9gz6QtII9vQXSJ1jeP&#10;mDb0gyMwVkY+mliN2csqjEnlDp+1O5MiqXGrlYg6uNZdF1G4/SMHB9PPqiHIsddcW7hpsrNgzCSw&#10;GB2xtWVfqk43LickTLKezdJnwX5bkNDthdRS/IgKwat125h8ZvDSjI3fY0iih5wwSkxEJ9v8uF56&#10;W4Vqi1yxNNvo0vwAxWq+fb+8sX3+zevl9aeynFq1CBtdVx/s5aDZaS+c/HjcGzkOkDPWjO3EjZ8h&#10;rI5eA1kDUBLaBkyxSTzy0DtTUO4gTYLJRwC5hXyPwUxhm+1xVnB1eOkv/YnrVOqcZxVBDI0Cgcwc&#10;PivZN/ZLUBnah0YfDtLkqXMZLXmlHNVlwTrwSbA9oBxUj+7j9Nc6z+gEQD5jt7osvnb6Isfh8r4h&#10;bI2OjuRGJp6WEGRygkd8IVMbZDs/wez7n+18ly1a73lsaW9rb4ZocGwuz0gIvIuT13V7eDj/4R+8&#10;+Kt/vf7qX5HPP0ntgt+DLurl0Xrvt/fiKETkIDo3OHfvx2YzDjv0lcuZpVlbbC/cv3BlanZq8Pld&#10;5+Z06X4a8cnz2xgzRhkqzlnEPqZwjuUNcp66WC3N5oHD7LTPDWPD63mhE0OFVjiZPsrRLNTJ+XAV&#10;NDS8n118qPOIK+ZbcpVW2JNIvSN6NQ8bylI/JB5cemPk1zyYc9anyAHn8HaGtlM/6ETqPJojFjVE&#10;JqBIoEGEQRGcR5OMs9N62JOkPSB1jvlYWeII4GD4CTiah2Y6ydH9MyQJ8zFiUjeDYItjSh32W1iX&#10;wF5xXOf+X7VPcayTbNhrE9A3zV0U7P0rYjA7/LNw5k7CTUNgmElKSbVIHpRg5xdUFZnQTYbE2GiR&#10;pZ7tOotlQlkJWYK22kCO91vRNpuaeQJjBTc8+77zdj5AYW64AmyR8yreVJTQIR68w3stta/XtjRT&#10;8YGThHkHs14e7XPLFs/EbMKVNNG4qgUFpu+3e5Fhgd17vXmB4WG1qtfevzkT9p9c9zO+ariJ7f+q&#10;bWNwQXDRdWGkZu4N9idV49Pe7Iv3TdSUn8t2xiecvY7MSzyr3Ik6PHuBHB+BGxZhs+x1ann4dKQu&#10;oLNH3HlA3aNznLqRJKWo6LuEFdaIHkeSfSWHGt4QMO5izer4Wr+IHaomjC7y1jqDsTIOWFw5SwTK&#10;a4RSbdYXgGjQjZAUPDXXiwrjDjrZtsBpwmD6vSBe7+yX2ygUYBoTvBSzLgBKOQ6gOrVBE/gTrY1W&#10;mvaPBjGNdvvabNZFj419bNunTaCbXAsdLGwUnQ5YrV1xTj6U/cRl4cQE2JdLu5w923n/IfaNeFya&#10;BvJjSNS/0tUuRw0+rx8NDb0PBgFEWc6vvzz//f/2xb/2b6dvfjv9yf+djURTKs1U+1fevmKe2H6+&#10;27e0Av02xsnc+Wz5W4j9E/LPRI3PXnzUaP3k6laHA8uy+441HfBa2jVcXTscaPJD8da14r1OyI4z&#10;Vr5wlVkSOgOdr7IA/drTL9VdbU+kLH0QGHlr6eoNHAwCsyswz5Wqo0E7elifpNvPzJtrwpgMh3sb&#10;xgmdTApuKu8axZFMxqlTvg68P4wMtdvAfZX1mV/WTm1n/zLzpkWAA1bDnK5lKp6kyjMmOo0yGtBT&#10;7HoHpjztaXqYirpu8FgfdxPIofKj3pUB8aFFd00j7oTmmTUeI2F7IZIN+hnJBcOyjNB2UIlbJJsr&#10;c1ucubxoeJOxzS9uO414Xx3xSDxc6MicKvYqGwnx6I/FSgMtONo444e7nNqR3CXHJdg3Aus7ecah&#10;xLCDqhgl0TiU7y5fpFZ4Q1OOeUmZ65qVM2gwbs0YN85tMH18AcYXe6oJ9wqFTioXozLWu1cCni9/&#10;iF9NxeDAxZ9quU5U6rMwwoTJFgjavYGP0Zs7e4HoJpkzPZEYsBgmEcW6r6cOQS1p/8nsJVamSwZS&#10;AJOftt4qAyNPL5btTfniE7cnhVEhRtdBWYBiBTVzVCcdeOgPQouIdz+eBswIVxzTPj8keYOjTxdo&#10;GLdVMuHTANC5+K3lD4vJx3o2IIVCHsW3nMgpBdm0ODWGkjQGooQBX72sR8cfv9TEL7w0hT3/lhka&#10;jBoruyy5DVC7C0dbwIv78EloMsGmsvHuvuy7h7W+gRq3VNjq1rMcuCf1Xs4YywTJzxd4nIwxJV8q&#10;CsREsgzqUPBvx3ysc49/nr/oK03zEMO0xHt9eX48t+/84f1v/G76xV9vn39CSTfI4U1v7huORgWc&#10;eiY1JGYVEqjQF3wmE++HNHZriSSE3rW8s29+uVsKuDxJZ6HIpMKf09lamixw0aecAxlS+PzSEGuO&#10;LUmmysm1HZ7xPevqEQzDHdfVivMQMVSLz8Qv6ARrmb3lTiK+AnUefsT8Fp7FlstU//rAr/Yeqe8Z&#10;OSCiMwXFodAuog4Ut+st0xG+runIJg1TiQ57Q982ZdpeMXXI7GfmdGhJJJ06zDFKZfROk54QLfkq&#10;B4pYhyGDYormkL/KM+zT1PWqVzwkOGJsPylQGKLM4/wVeqoSrDJiJzn03R+M0gxEWxmOyk3Ckyqg&#10;HYeaC1TABblCfrir7pQIeTe5EY430yELVK6rudPGSb9EdoOVank0raRr8ZsbAcOVxW0e8DDCD/qC&#10;5Ugwv2Gt9Cs5DM7+wQbVB0VnrhXgsH1fK6zJqE3Zj9tk9rvGVaECFVDGAOWiVh4RMAadsbpjWet6&#10;ypXcNW3LDSWMmLA2sG88ktBKw2xWSLurllXC+ZeCgk9jHKCvxUSGzMQI4FykU8Hg4YLyMzlE+2sw&#10;Z+Dl0SzL643sxY21N6t4CWhCx/LFD/1Gsi0kfDy5RLs32dQHBf2ssA0aHyT7KHhgV6ABvbN2mZ1c&#10;vWZLAJqwrd4oSLLP0AyIZme8QY9BKRxVaguor24cJrOwK4k5t2VFA7MyVxI9Nk8UGmIuXr5RX4LZ&#10;v5ys8bttyiMC+/ypG6GmkU8EswidOcYqQJZeDuyg6WLsFNJQ21kCpeQNw0WUv1vIdzU7h7YEtlSj&#10;Q6uubPWEL9efhzAb9r/9vZ1u6uOD66hb601Uxv71cM+fa/PTKadVRnPKbqjl8ZMfbt/5B+/+O/+R&#10;fvgr2w/+GIw9+5/KcTLnAoTzWuyRGC8nnDEtQMEFPZuNZtaw/JslCWDrORUvd0V3mhJluyesRwbJ&#10;GJHkTq0YO5AcYM9DZ6lTEhXhSjHU7QFGnnO7n9cKo1J73JdM6Q0ah4Q8YzsP6NAn25U/7Vf74tPC&#10;XCbC2fMXLI9Oo4sFNE/PY4cKamAJu9ErtjFHPYzNTw4glCehhVzvfTPTkWAoY27KzQUdthBX5skc&#10;H7l/Gh5bGaI8H0NO80aHVJIRFT3QTqFz7WnToQvF6UW7LrzfDIDiO+eMxm1boP3JC67//txuDgnj&#10;1/uRyL5nreeGe2aBPJ1caXYU3MJcTqYzXJbO0+ZGraAP2/e5lgSSlpFb4871KcvJnezcn9gyFZ9q&#10;4r0De42oOaBnGqGsbIsxtc8JE2iOEX42mP559ESze0xE0ogQChh4xODkbnAGAcvy7JPXWAk13+CP&#10;UIECXkzQKrOlCGEOxE2dNWjisZflvlVyGJnUszFQtG23r7AhPSIX0oZJFmSIGRUuN94M+pbifDUm&#10;y6QMsX4zsCeCtOsFCDqMsvbjuUX95cvJctpgHkToQrtwILd89nGwvDHBhTQX7z2PPjAbVoiowIED&#10;gb6sWTldhvXQ1j3bwrlXKRvpKRh43hWPJFsf+7EvagXwuhfdgerTkRRN0ilqNdt4lsWfA2ubI+0v&#10;QppirmNnShluIs2O8gp9ph0XisdLVQ9ztx2K/Dr7V+Ym9pUkUa7MiSaEJ/Q/4F7Y/9laxCW3M26M&#10;k8KvYDDxzSB5LHqY7dzYgNu/YNsmJ25yT0WXjPodzz3fXuZ6c2tP634KMQ3nliLZd4oPx+gtcrF+&#10;lsLP4YvStyByUBN/Zjl/9qn8+Z+8+zf/tq439ccfeQdgP2Ott9m1uA6n2wpJT1IxvNpv+ItB+dr+&#10;RZeyeOq2kce9S26bn/qxiCT4nBwqmkPoH67KAOPIHMYn0mOJ0nN0Rzvx5W4F1CHC7Aml3aMnNGd4&#10;j1vUxQi+YORpaHUY5HVt5ZRZFb1QPehWlAyOkWbwNp/mTyrTr3QczwVI+P/LvmkdXwgbdLHHyNss&#10;iTHxTNPhYZLdtOEyTJMjJYxuMhV8V+8OdHmsgDIJ/aeg1V62auhPJ/zOsOqHP3Eux6OY7dfF8YSc&#10;WSbM7hbn88KiRGBiohXdk5kdReOQCx06J9Q+DG1fkpMtaysnTvsJKPVIIVmZnMEEon56cvXPMK72&#10;TD0yZTCfSy2EQmlGKHi3J3xkAIDY1EHDoteqaQ1zBJrsW4ubzZNDIAk802ibuAZkqql5q1QCXWxn&#10;Ih25KvExrOwTSlAgY3AsqGwM73vAhjRB7tCJmKv5REhBhwfoRF5azKitEZBXkIVDSYr01078Qe6A&#10;zUoJuMiuas+wTGld79p6mxiCI66AqkbiaJxFpfXWJIttY1ZtgbZh3xeXz3/ogGDX348i2w2RPa7P&#10;DeatlygOnIwGjGB7UNrwGQ5TOtgo0dUQxTraBn3NxShUKfYG6QYn8OpaOUcoSYCTgp1tpb6fTpNn&#10;NzYdyQxYY30bRfMbgFZHx7cqqYMDc4ysGbW0ZVLKuheJSHbMQemRhy49fIR0iTDNQ5BiuMBMeTkz&#10;sdxBEMx8JkZVnYWUI2+QhzD7Ccs6Ko1mV1P2I4sd+5jrvrXLOU6MTlmlVYtgvpxL+nn/EhlU1YF/&#10;T/LwvT8tn/zg1b/xt7784oty/oJvuZ5urWxHqwMUUTtJux4tWSAzLxppDhcIAK2bsq6WfIvTyVB7&#10;5vCP56ljl1VnmeS1VTzMn0/t/tLZkvJs/o6O1mIgP3p1JnF47+ICmWdJz+Ba0jXDcxDNj95zz2X6&#10;GcDkzxfqkrK+dd/Ug1Ou71sdUxrPsFxF1864mWkf7aXbwYPvEMc0rGDeWBwu757O4iIo37Gy10OR&#10;0qOzJV+fBnoMl+QsZ+29wBFt4VvlpAAKD3q2m9V6ecwWlwXozLPL7sWcFNNYr3sa7ecU295Ynqr1&#10;9CR1qrXtHVB6m8nXzuD7w79J8MzUV0mG1VYyo5XRlxgLVZc2eA+NChSXVmDV3P+5xpFbvK/pLsXa&#10;XGLpqusux6fU0vQa2YOWJBASnoSA0Y2GXCGNSNZ4mw0oL/J52Pj1b+TzW1gohGKZw2BLpTHB5+aJ&#10;MAzEMFyOIV1yvTT0RRf8g9DSh82vltNeHzhI2NAYxTW0tnQ+yuXC1SQz6F2wxONose37HLjRtpDy&#10;XIuZWe7BHQlWkGXZr1Fm+iiyeKCIkfiZZqgvX/wohdMcBOrF26pwvmNEpY6P9YZKc0dd6im1grFW&#10;c7kTDxWuxioehgW6Y/iHOPfCoK6rZBi+2O95hTCYMh/Pby8xa8lMgkgETA8FVmMYwnhebLdr7LII&#10;VKn2AYKGWtrm9zAGnGzpi8cweb8U2t7Kd+mKiUntzna3Qg4dRYvnTCEBOO/luNUeBRpdu6yV7VDc&#10;rVvk8dLclV1Ioh60O1DaOXeGx3q6hZPlgh+wOd8b7fxm/djGLunPOfy7Qvn7eNemjvuH/OU/+SP9&#10;/h+9+K1/+XzzUs9n3G83Yo69DNy7HZVrzjLsZjH56xUb4HnIhKll2yhh6g832KFhWu6IrdQZjTqB&#10;MmVeCckadfo+H3iVMUBig+WQb9HHde4WV5ircIL1XqtOqe4RWOKgqfScSHZ2FE7clqT9V4ROpP/r&#10;00vUDewtMBuzZe4gaNX8dLvPGhkkz2Q6sRUWo6DYjsLJxpCawTuZNKx9zkegK/c1S/+JDtisY+3h&#10;Ur3hq3pIK9ROm+9HvmnKGEi7eXPXt3FzdH6X4tQm2DS1T4uJ94dPVlI/sMMRjnCGCOTsbkftDnwN&#10;gVBL1Gpanbc0XwihXtvYdinIYfBShtG4Hc6TdIFNOIhz2oODS6xpSiidpwAkV5EV0chvDriO+xy8&#10;5V+E6g+eQZAbi94xV0jF4TSv7uEnNpo8fmdP+wCiRYNUs7ehPHsGVV3jCI0qX1JwTPBTKI5o1Kl4&#10;a8+SFwxlA4kIY3UQZgvJX1DIeUTJSAnGxKJmN75Ujwc1j3z1BrUz4nhhijM+1tvtdOt+cwOryrbe&#10;2PJ5eQMNdmHc7X66gDtFOYkkWsxycelmKacKEzdUvp0JAqJ0IzHOCkvrsKVgMTEDVmsEgTHgkAHr&#10;BpJj/IU/rWgjZ3TymfPDOV9OlN26Vl1b8CTSwWmIjmvuCTdjGYwjrKdT9zldt5lrcGpctCVdM49P&#10;FJ15CJcYd2UuC0dFsr89xd9qt7H7+VJH6wsXmizTcCBZC1lQTmNaiSRhII1k7VjI/cRptB1CJfQQ&#10;b9s5zBJRa7D03IBNCon7csq39zfvfXB69Z7c3ubTye6s/fRgKsqlrGaN2PeVtlUdUTnR6sN+qz85&#10;/I+nu+LFP/7ZFi4rZOWTv/8/PPy9/3J5+U69f8nNG2ibxAYyABaJeVixFqfcwvaenMyWSdy1E+Hm&#10;M78BnoR8IA9gvx4S7rynPZUoU4MvRQ7D8wjITv2Z7qEZLS1deSw+SWlyrHfU78rJ3DAnP+pzCbT6&#10;fLH4PJtu3tID/NypAde73zNOFUn6zOCuT7yf+V1pjn4IqnKb7ZIyB2BEizkieA6xJZIjurZnW8ck&#10;Kh5pcS9dnoQtqjos8j2qKfWQwycfphygOe5dysGWzp71N/jDU/QMAxLsnLsJqgHrWNqdeqFixeUq&#10;I86XFZNQ1IGF2PysNsPYd7XLmWYmiK8CFurS69xTKLmsAxkaM0JFOzFnLzJNxEkMRyq5K5lTa21K&#10;sBDG1fT7zZUZ0cdHEG5aiLUicROFS4ajy59/NpT6EsNxXR5dAfZdCi10jAGujXtPmehLtrsvJVNo&#10;6HFj2VNQcvZFtmHnW06lnq22Y5MWG56VHfUMafiJHxmx1AmpTLb52Z5tqwPt/5zYYlJYYRrDPdFq&#10;RFmZFpS6GNOa2rwwTFf7P2wee4Shb6baKKvH7cLLX8unH1nVbnpFbxJGUjIcxSzdKCJN9SpWk1/Y&#10;OtW9eKDNoGP4sM0TLeGfcQOfH6GKb+q91x5Z260P9QnGYowUizVHkOdVOtFUimfC5KmfjvxAZ321&#10;zqhQGYp6FiUFn06zNX25SWyg49X3OoQsNO6sgWXHzBfsSnY1IGzZoITJMW5vMXvAjYE8JqsFPZpR&#10;uhhhLM65J8uxU8piyNs52R69mF05UktJTzL4S93SpGzof2mae+c/jQA05HtuxrDfm2p7+O4/uSt1&#10;/cu/czHjqHne0dBZ3GKW2fbRBTfSYuektLEZYJjZdSk2/NwsUcSKwnyIm+tavdCOTKSfvjp6eXEd&#10;3xfniOfHaBF5oxP7Wq/oLKPskwB2sD3R2SiSJ59PmorLJyk8Vy3NZ/YpfcvJQ7vmPd72Mb2hV3kR&#10;XtkTcuWo10wHGkxoGQ6/tsmRrnM18NOu6Yw1U9sE/OgHEh+fRv2U5ZheFG8/a29MzthvKt+UlkUq&#10;bjtwb3ZS6gzD07k16inxEjQQcRd+OBmI2eS/8mCWOXIQzy6qjNZKFt/TiFMBhNFVCjrGjPtXmtRe&#10;a0GspWuOlarLRrYLs9QpD8IYDIw01d5/RKndHPPChn/ui6WkybLc617ThuUg4QXphQ+CnU5DYeTC&#10;ztPJNtd9yyHdynKxF5da+MAyszaxhWrfY3R41wiQtgUdKkrQ8lx1w9T7FmObijEL9CTLxZxOfhUh&#10;eqKBxMI/KZW0T+z8YNYud8nQ9agc7eM8YRQPa5RRvWkSFfciYZKzb4oXK9j31aPaz7TaBcuKCTTP&#10;j/vnvy030iI4AiwmxIub/DIjI0mjiFLayaGxVUoTbZu4aAAbPWXJ7QHNj0Ad+Rvg+2Eck+Dmq04d&#10;pmnYGuUgSWlJdHiX/bEJVKB3Wqsvcw0Uf/o9UKrZrmRjURteTv0WHE0waVPEP6UQDFJh5/O2NFKJ&#10;k1MdXfeHAWkNKF6JL4MLzrOo8sCiTZwsH4lWbvnJU6YZNdBYLXpw23402dZb81Ymit2a+1ukh/do&#10;5FhzefKOqATKaX8v7XS7vnz3/oOvre+8L3f3uNUXA8gVjLON/1J8wYcXJ+UeBa8/XddTtU+sdLCL&#10;7eXf3+3/+snv/139P/5gvbu3Cd/+iOVcxTxF+68reL7YeN+LUJPAeBhSgkIsrS55M+VBDZxyZ/0H&#10;7V6OVrMpLJVXweFyc+dLW9jAn9CtMumiYaKTEQQaRow2jh9K9blcOb5Fe0zdMx/i/FDw1hlQUTeE&#10;zmFI+tWelCFVPZgPvOg9hJKzQSouYOnHheZJVOKT/6YdB9o5gSnGPNOG3CRkVIcXKHM007AEhlqR&#10;+WOs6kEcZhuev+jwKaJZOv/wFvYPnihbCwfbYQcYjDdyYyflS4uNtnLNHTxyti7toJ0dgIbBHPnC&#10;sZf7MFQ8iC6TdNUPJ2wUe/4ZfYdo7GwbUICFEzVmKagbnhY3F/DAbMdwLEnSD9GQhljDDatWrabG&#10;qOo/x5MgTKuygP8EGNn+2NjmVzERC7+KRyBl2OEp96wsPsACTR4PxC/DA4JE7AwR6V4FMm/BiGu1&#10;Uh/YtD5y6cTSYzzrkqt9mUTPyGMuTHLZfPcXhgxUIl7UQ+GZOQdJy17hqT9byUINmTbQLoh5ygYT&#10;X2+imEN9YHUhXI77L1pOw+hhpUOl/tLnGvv33rzIYKTRZVytcMFpA+CSxEa4Oomz8qyW1wb3PfEc&#10;7rHRARXzPSxEJgzJynPJ3G8QfLCpq6II1NYngrjoVmUGimoH1ysjANljjMlKn1Mk/3w9bEFdQoVA&#10;QXxnguCeehbv2/oD7nfREo3X5CmmtH2OoQrULg2CVTshZd4SnOOmaNLEslJ9AcB7ZsnpHJi2lZAa&#10;hXOVuZgNrXVvybFPCCtnjNb97kwycsQl8BFUqSoWN9I10YsuZbm5v3//F27e/1Bub/f9r6Fnk9e1&#10;nE6kUjQLT9ie9rl+4t4X+2RASBryIENrVu7v69Y+/f2/I599nE630LMYMGh/t+di2k7rJdhjaNuN&#10;AT8z+XyZe97+ox951RgKcQhSdZrv5P+NzVeTdiHKnM8mffzT/+6c5jmykBCvwMV6hTdN1byhffSu&#10;py4Snxf+t35qM09zIlGnf05/OXpkdMc7ATxse+MFyqgCR8q8jrEfzif8spxnCVE/P+hXT439WmXf&#10;gBnNE88fRdxuJ3+yDkxyJGcGT4eu5oEyrmWfdrroLeoodfspNBo94Grac24rOLUelb4utn08ciio&#10;nDYxYtoWoE+a+vAHB96UiS1u3mpbKKxYrWtBMw8e231xl8XKO2viZd/JMSEDPNE2pIqmKZE3vdPg&#10;Bh3y8T0gXtk8Ibir2jdl1/7Zs0Rffy1hSCo4ybX45NFPRv6nbZjgc5ok51LqZU7XYn3msTLwVyFp&#10;DOIdo6ia5qKe36TLFnlsHI17j5Qanco2D19Eq8u25QX1pZu+A2kqsEPxgtletfo2bB1jZVFuL2i9&#10;TQgnaqM4tttgO90ht6i4csSw1xsk/sgi34u/ssJgZ6dv+5RgfcP9g33dBjY2TWy4yRkEwxAJ0rwI&#10;VOO4jEeInriS/OiyUKoTAjxIpjruEiWlp9p6jkJLeToweoBR1/PyWWF+LM9tcWZtjJiPiVq3FFHH&#10;CDmhvYziWRqes9iCpwgcTAIfwPUEImNA5Db8EmQI7kYEG6xmEZFOl6CLzuHdbABnTymh4cFzKhxI&#10;geMvT94I37hgPz5RghKxhNlTpgl5Uagi0QFWTEnjGNviLsaJhGcJRCJn9xIUf/bXk67rcv/q/sOv&#10;n979oLx8R2DVNUHTvv+ZNNRumLrVhpEtlCb+EP0kPb3M/cce+OBOLgucOJXb24cff3b5zv++Fhye&#10;PNPKfKsVa8IGssQZrn8ZEEb7tzPPVLXeIB3ak5e7PpFDNXEns+vYPGK6jy5pYBp0yeNobfQ3Wc5H&#10;JIdDCVzPohPIJYWIrscM67ToSmyMeE6bT0qeQOFkKptTLukqq096p05+mtr7SggqfQIgjvH3jZuG&#10;1hpYLulhftKPDYhMZbZp9W5ujAx11LRT/3TmU+uBexcdyV4caUdnYw+rxtuy9CoqBQmxz5GwKQOu&#10;TfeOf99gmupV43a4A0tE0Dc9ls+Ug7Q4M0G0hqxzRKnFmJm9Mxy4wrqhEVeNim2ZxJ4eYmh7UsGW&#10;STH4/j6aTacSGhqI/7OJiq12mbWPK++DfGPPgNUyOCQvCIWv/tkpCtKyfzt19yxKxFVRmNHi9G1V&#10;HSxlG9a+BYpIH+02HzP6bYs8PIXqkA1QwVKINm+ha5vmJZ9fW/16IYCYXSv2ixeL5KvEh3rU0f7f&#10;0DVt0Ac16Y8qjYZ+ru+VU5xg/LyVufWKjMhxKiELxREXG/mVe9keTcHTeLBIpkaxbfnCsG+MWjml&#10;y417GlrHbTvT7KUYR9FNDAjaZT8A7T/EBlWQBe77bia2hur5avy2sm/GnInilmk67kJnFVrXVF2T&#10;iWlqnLrzGJ5o6UCNCEDyeRhXHtyDzY8pfsNGSp/gBMPsJdNZlNZz8tie7/lHybsU7n7l/sSOZQth&#10;BDkaOJzpAPIrsz7SgqMmmQNdRoCHlEcNaog5PbVyx4ijS8qxXhqzcInEB42U8+ig2Ig3fM949htn&#10;nBYMJUu9VGyxYt5KYvr3DfCiNN5gFuicW/4yO99Uw5930B2HEbVlCY/WspSb29PLd22jff1l3c7I&#10;sM+ynvYLmy+Xerk0ExIL+TiMJU4e0CEjT/65kY8HkTI6CtfOEN7nx/2uXu9uX/76t8rXfmV7fI0i&#10;DyOPBfC3/RtOt/X2RrazPjx0NDjzqyxvRPejc3NQZN2WSZWPSxCvR12Y5zZtfEA+GJYx5pc2rG95&#10;9D9jRW/RWXYnwxik5HSAHg/1RJqWYScpqMYZSuUZ9OVY/9O1ZyA68n3H/sk7nwaG8FoH6tKAyWDO&#10;Rr/Mc8yrWV/QmHyrkzhoqHZn4hTZN7jhz1A+j5bsUauJpilTI3LmbMODNWyizvLLGYjhfKgkA2rT&#10;ZW5xAmGsKGLVYgf18Yh39DPvF5s4MzcAoMjG+k89GGFBMueCeMktBw+lIa2WBYEDAjRHxkSIEzwT&#10;BzST0NRVlgv7qVJW21NqHx/vvxFtH3sEKpepHMQI+qUxYtqc0xsfadcEb7UiNZZF2NbxjM5Bh5qw&#10;9ek9pPDICZYJoqR9hEtcdUsLZGeV+RE0b1AqUuxkUF1Xh2Y1kIn+uYLCDBm6qUgKw0wAFz3RHwYg&#10;TtKltFB9qPHMKG+y9qPSfM1Sm/WOldLVL0y3k1jCdUrbed/nrKrDPJIsEgzV3CUmm6lD3fAPoV0r&#10;t/tVsEEgfgiWyWpWARuJAaufF0hwa4XUkwEFiiLAPZrLgs+3h3A1F0Yiuw4KzgjkUCgbNVgL+z28&#10;4Apqld4BqX0ZK9ZZpnmObb/9v26xzcAmgf2mubbfXfD206jsGBOezKjjzAklzz2WutGojNrS+TVt&#10;+3xrdjjYLmShh38FZzFeFQ22//6NZk7gq9sIMKczkU50jJfZUvGVqBGEZ3eUp21jUzR7j13i4h4b&#10;f6ihbd53J8NS73ey32bmTmdv39rdHlAYRBcPSbVD31iCPfWLt0zoFTxHnk2X5WYv+0S2hy+NkX1+&#10;bO7zzYAk3cg56zTZgV5bR4CUprdkv4kTofdb7vENmBKSb+9Ov/hLyy/92unbf235td8+78eUNw/l&#10;5l5hbM/3r06nm+XLH+sn31s//Yv03tfevP/L+85bQm3A5XOtmwV7QWS736wLfaUjMWdCOYcg+61d&#10;RmUvA6jg5w0bcpxYvdU35wq5dMhp5TDaJ64qx/EXx+DshxA2Mb7Cb/2fwbg+dU6/ajJ7nL29VaiU&#10;enUlR0vAM0LYn7Yr2zxejkbF5gC5/Jzq9eDElzgyjHNo/2xlavR7wABPOKlNXkhcl5YbCytfZvxU&#10;Rdyz1W25uYPXqooFkTEcFRj6GBqKwjw864saIwvJoVTNbf7sAXA3okSqFpfPaiQ+oX2/V2H5hLxW&#10;ECul98F6wnWm59bqDVNOsijGRwYRHzYFcoLA6Uc8S/8trXfbzbxk8ho/uXecvvZAJvuaFv4/H50W&#10;r8r34yhcbmdp4+QVKU1VetgGlbAGATO5Y9l3DusiygCXKCxiFlJ6wpgwK3lYy8m2jccHO4Ks634S&#10;94k6R1DEqBP5bJKbhhhPN3i5p6DQyQDCPZaJbd/SyAimCSGVsMDANOkTqctew27Q3Np+udevKEqK&#10;ma4Cs9DOpEiLQ0sbDXG2jSw3jENQsx2+yWHz7SPsYS5qGiCeiZAX4gzbaBGDZRU+U3VhQ4Rax/2t&#10;iIU1MS8rdVSQLmpD0cy49eqAsUZ+G8p21SCKq7sbpZPl6aFXRuVpv6DmZKWv2dPeEXurXrPCdcqx&#10;UtOgq1PukCNradKW07yZ/Czos7mAdoW6EEcENJ9xvKAF0zI64H9ZbzEFtheEUiv7ZJ1N5mrWwIJ6&#10;UeOewdbU6G2QXtp6jiVqUtYwDXmuLKPX0+nlO6c3H5z3y/vF53q+tHpBFb2iH1P0/Jgm0qG5Z1sY&#10;umBjjL5Wi34zOjqXi9aLXY6b25uv/dLtr3+7/MpfLr/4TX3vFy/LzeV8lsub5XQjNzcGIvzy8/qd&#10;71y+/8evv/eP60ffr5/96O7X/srtv/sfP/7CN/V8jjNOoxRi2e/xCvn3si7e0swjXT3iYXgzIi/Y&#10;p7izDbo37fyAFblT6SrSIbnlc7LKdbbQPG4MUNSQhsb5gy1H9atXnWyb+on8uC+5YWpY2HRM0jre&#10;2jNC3ooue8a3rsf2buS5R56vHuwYV1LZFClAeuWFn4at2l/g+BTnTIijAFQChZNjNOw+EAaAMrLa&#10;ty7f5TwdpjaPD++vNdJP7Pk0y9F4yJR2OHd8wkGLg2EwXEpyBx5OpHH7mO4QzkVizAJMzRDtHKEN&#10;xnnBEsDeoIRbK4XalnegZi/syOAvaPsxl04hWnPsOUpeTGGivYqu/l5sWoQCD7w2pkLKBaHVVj0i&#10;wNMRjH3UKG7Q8LXV3lH2RiXbidUhby5gojqD5mIg0NgqtJXCjpnc4/dSr4UVkECyHGw8vvhc91ea&#10;rCZo/dzt5h83kFZ4nvDxAthWoKqgcT5Zq7tx2U+kh0TnwYdi+/p4tq/OkaBFZuZ+bD/dYz23tq79&#10;1P1QvK+b+06G9Dj0Zp1aTSg2IoTgjjCY6smfNDjY7A7cv7e9dnWPm2fspNHAgal89FjjkVsAeWrA&#10;fGVumfiEIdSYMj0GSYNAjImDZkZCetCHR91BWeNZx3YoSeweD4imJ51RQ5RxD5eYrfix1VpqmRAZ&#10;9pCgZoLKFa3phUoeuxaN+4jpXu00ULCDtggz8w4R16hFwycDV4lGJIX2QIBElaJ2DpZGEevYWNAf&#10;i4u3Qb+DmQeS0ZZQGdtBh5mOQn7pektBD6S3W/CXvbuLno1GkGgy+gEb5q5ZpVqohrqn+qTNWo7L&#10;zd3Lvey7XC7MhzbgJ36+5d/u/7yfkFy2I50hMDSkVPdkRHQ9btgr9l9+Wr7+jdOvfevmV7+V/4Xf&#10;ah9+c3/hb9CPSbXtC8eptPTZx9s//Xj76HvnP/3O+c/+2fbZj0yAfDrZgeSHf76++XI1MPaWVgOo&#10;5q1mTPF5mGjm9qnLDFwpz9RuzRvBelS4j/1EWu92zhJNmb9SpkJEnyt4vPKsOQxobbYWTqXNtC/q&#10;9VgMU0bN0y9qxxJND5lMz72CiCe5loOKj8+mN4gagj6Y4GZpCjW2yAH0otIx2M+WjTEEVYcGuYA5&#10;HfE66h7wFmnRcWoA9Qo9f282CuCAsPv5EFuljZE65PbD7uDufo2WrM7oGZ46LBWM8YU9qwFvKEfv&#10;1xukNoowrXfQS5oHfzSOadnvSoA6NpJBUCFRdxdYKF2wNW+LVqNaT8PH/alFS7NRLs8BPnTkwngH&#10;UPETcuxkse7O/nhebMKHlypxADFzgly2bS+FlkLlcb6kCLiQnm62oasrVfgdyRJxzc10ZsVdAc4o&#10;YWC1Cs0GdUa3bojItUR5cJT3jQQVVe7M6+YVQXBWU+EarD2tieKdaE4D/qHY6nKujWuVnVTWFUub&#10;XfB6KjxhmP4tl7reAIFWIDvawoxfabVsyHxvBsexWCILi6h08gEasv8EW1v3Q8YFKTaXzPRVS/pe&#10;7HBTTSzaFmta2j/oxdraTApcbvT8utGU387Fa2rKWziJ3q+xqUWsTK6bBomKk7R+d2kUaRqpIxHM&#10;jXupbm5dRcY3xKSgUWPDbS06da0GEgwgDQ1QgXYALE54erEfWE4SlqGqKep551fmSL4MlpG6j9O/&#10;pTnb1t2tpgGRyyN2XMf/2hzXO/nJp7cW1nq2M2yxYEL0GVdfPTakCC0rjgvoKVjnGUUhU6vcO4sx&#10;JX7ofmRZ9x9LBItXLPbHPmmyx+SC7dbnI+pMBY0kveynEkv8uLFcLY0QYQ4Ptmjv10odABfs5ea2&#10;nG7a/Qub+O5F22Xf/s/sMaS7e7Hir3mwJm0CDLNlgO3+3x4fcaas5e7u9O7761/6rdO3/3r+2q+m&#10;2xf78/u43lmK1+Vx3U8Ul4f05Y/bD/7k9R//P9tHP7j8+OPL559ZDXz3orz6wMMzv/is3NzJh7+8&#10;vXiVP/mI7HU7xTWPsMbbsDPN8kxAEEfF3WI8JMWpz1g7egUOhzzTNnWqUqjA8gc6h04F1suZqjVM&#10;86p66N3FzMyDgv3hkWHK/6oepseBXXcx+ZgU0Sdbo7OuehaJxAKlKV17/XRittmS4fZKna2G6S1T&#10;Xb3eAsMzOnfwpPUoqRyEw0Ph6KCQPt/PPfYiukWQwkUBmms7yl/D4Kp1NjPo5O0kTVgpZ1Hq4OXp&#10;MJLTlOwiw82Z3b2I7bQHHK5s0kfDH/FjFHNjSSrQRnWq/X48rgRi01LJiKaGBw/2CYkEcCuuuGjC&#10;vGwStSweJGQ0wpoXW5XpFsgkAOy3fl72/9QIhZ8cJgRXwyPl3d1G35RXvD43DVelgvOyYO1wkZ73&#10;McaE2tzZnM1lGy1CGsc7DdGSlES5Mwzl776IIIym0hdCRW1zBHZrYMXtH3VGJJ560g12Kb4Awzh1&#10;1y1DDHDyFUJD7EOBfg+xRGb1WDRQFbTrsWhI9YEeQbQPTDhqFaophWxdqySlYQ4ObV/VejHiVOYY&#10;C9FLctrXNrva+7GdXUceA/ddIZdIgXYlPg3Z0B3l/oy0xMTB4qNcrybFpclMTbdxJHYnyTIsE/au&#10;1deowEONlQuHB48T0mlRkwhf2kCJoeWOjB52Sx3MjxzgC7F5kDTHLzYcl8pWrfdrnYMlcUtGnzZR&#10;DkMmAmlIwNbYKDGT5uCqVBPOnBa/3/BfslOYqdu3TS517bm/aPUYP+uTu7kfjNZq5xgLUWqoVnpz&#10;dUR8Djh3Aifl8qCF2VhnlKEEr+JE0jZPTDRVlL0jDrQJeanns95UvZyw/GQ9v1HmCV8ufO5yQ7cY&#10;d0t7NKPezbuvyrsfrN/41s2v/Ub+8JfaB9/Y7t/b9t9rG95+OqvyxSfp4++1P//um+//8fkvvn/5&#10;9Efbl6+trXq6lZt7IhV1iomX+3dOL9/Z9hv1dJPevD6f7jasYMjisLIbVz0tvSPXJ7QNvpwyUTIj&#10;eM6BstA5eEKMBrpnZNwEMWSKBGqpwzWSdwykz1cCPyMp/MPikGDt6Xo6Qi/mguUJFTUnp7nLGB3J&#10;kxJrjLO8mxek2jDaz83PeOBaljQrYXSS+09VY5p8/qrTf3sqUHXSF7saTYe1UK9Sm1SHqlDn5rOm&#10;MUyKxMXmjoyj1Z3IZ+d6UwWkzs6QaFJPSwAGcmHGlU5BanNzGMr44p0iIVESUV8k0od1CM1qPP1J&#10;JxhUnojdvsEbfl4qepZooFmEARSTUygilnXcUQ3GMu8UCHY70ZIi2j0KgLQXJzmZtsKq4TBxotlY&#10;UvFgJEw6M8FvHD5ay7LB0gd4rjRK/DCEp9CuAo7PgGllb8+KvBwGElpcEpukhu4rhXqflp0mAMU7&#10;1BC26m+WlYeANxxUHfTTJFxFflbbv227lBtoUjnbLrQPKkAtFaQPY9fXx70c3EsBW6O2CyQqWTbj&#10;o5oUE32CvezlQnk53SNVw6INjG29Lzf2xW8Wm7uscCsvtOVhILZZXWg90m4VUOys+xprMQKWtb1f&#10;u9PK606xMV7qyqm1teL2qnu1mVxBfDljGn2MbG2GU7QdoBmGjVER32NIWMyrtDhW2L6ejnirh0yF&#10;VPqskI88CQCXM6+26nQuU8yZwUElF9Q3F5oS9h+7vxLzMKh4UjzTLADnswY/KggfhbfkCewev4z3&#10;ae086+wZzzMRBIr1dv+0TxgRbBEbnnqukzXbPVy9EXXnCcNpNKCExl66a6ANUmpocUzZTyebdV9P&#10;JFMz4wvF45paFNa+15lEl5nv0GhVj6baNgtM3/+5hB9GRlq9chZmuqr9yLWZq8+OStUIZ+uCJAmY&#10;PJecbk7p9s6evofX7fNP9mOKqUDtNizrq3fWD39x/dVvlV/9y+XVh+nVe205PeKgVx4+X84P8tlH&#10;7Yc/qB99//xn3718/Gfb55+CjrdYxuCrd5S+1hymseYTJ2v8vnh1Wa1yLff3b5Iu+368LJYMslkG&#10;ccaTuH+gi5MN3hJEcZBPDjWlYwSY/neAXs2MML1iT+uzhgINsYrKNE3sfE7/XTTvdsJDviZzDnOC&#10;R4FjG5jRYNGmn9LmPJiuOYc/awpV4cyojiP5U/9+hEAeql65qmj7I5ingd4QAgnr4AAoxn7QuuVB&#10;nl4NOYxOtRvvQ2TYg2Ppgu7bpPEqO62gRw+MzuocKaxQAYQR11uhrXPe+u0QoTn9UC2T8Ntnk6bQ&#10;8LFwi5OOMk9VXZXeTCG4cgJk3W/UX1W8zUtAWs1wWGM5zpgqXXCh939tHGJrWsXzuXhHI3fVIl6t&#10;Y4Tmp3aPIYfDmjmIgoICu35NubfDPPqUQ0XOIJsDZhfnjwV7mkNNpNB1Q6dJe+jHj9GlQ2vssYVm&#10;Er8TW2VF6Gjz05c7heA+xByy+akO26GZ4mtxXgl+dQUr5vauyeoiJMzzNJ2UzjCxAaS9JE/4q3Rn&#10;Oz8e/Wr7tn2zNEHpl1wPsQfvX12AW8tccoFR3vf7dX+H1VyGBrJpN3dlObW9ntsvZLUF0eJvoPME&#10;L3vd6wKTFZllXnUvAm7unAdmWLsTpsYN0oPWc1u4Qvn8s3lYFNc7Wz1t4yl+tSGMt1VvAuO5dNk7&#10;BmHdgoI3+6DaThIwbphF0sZm+2Zv+K7M0F2nbsDuD+o1tfCVCoRG88PMfvRGBDtiOFIXYULvtCi4&#10;8tDKiwuBC04CQehuimIOS1XdjwirjIKhryBTjo32XE+S0GHwJaJGMEHwXlZGzaIac2aHIRTi31Mh&#10;ecP0Q/Vyc2+jNeu7Tkm3XeZm50AjqGjdhoxi35f2cnPfCNEXMeSYOZjWcvdy/5fTi5fl9u6L7/6/&#10;b777x6f3Xpx++ZvrN34jf/2b+Wu/0m5ebMvd/m3r+ct13/P2leCLT/ci7/Ldf3T5i+9d9n/ed839&#10;UHd3n9c747Rjzo1Qw/lixwkfJeVyf1/Wm8vl9Un09sULm2g8POSbu/20x0cGDClhUEXTcRJ/fv/T&#10;Q+LNLClMHhD9hFIjz3PFnohJ/EDhqyBn3Jwtax7wyzKY0VQK6pOyr02bpzwT2fCMwkXmtzUJVXTu&#10;uw6Y53WWkk7fGxrdg/BnQuM8ddvHkfjJKWHUifJsVMaBvXIM+GXcM/Yt3NF5pCJl6dNQ+2zLKQee&#10;MXUPr29xOObaaXpRchNFj/UqC5FcPULdP4gpbtg+nI10XJU2LoqjvOCh1YrChUf15ok2HBOqeZ5Q&#10;opkOn9tpixvOAIbnCKtcvRkAQHO1tV4YhYM1bi8n1mprpaGP6KWonoEBIiTdCwFkwPNaiLrHsgCT&#10;L8eFtCbjhzaaq70RJGzjKnO0qebwbAFUNs7OsceullPcChUKfqMyNuY3UEwf/JImbgcKAJZ2o7oB&#10;SOvZL4HQIM/fI5u1Jbm2GurCefzZZJl2EDAdYEaSuIGIIYiwhqcpNS5vPF7KxLSP2FfsX4lMi5gC&#10;dt5w4Uybo9EkAtRm/8Lzl/xgUe+hH9AuBSHyGFhmLsg2I1wzWwUFO3uD0N/boYwZclxUjqZSgbIL&#10;cUjMm1WGEFuZIoxu3jYvT0Jb5pEZUC25wyFOay3sTOHfBQclM7AQPhwyBSxV9IK9tgwpJp5cT6a3&#10;Nkd12TlmgmHljLaQBzKfEQ5ZqA72ZxKm0Mz+WWviCV8y2MSe39vcIuGbcZ5ir/PEBLZNi1hxgZMO&#10;bBZMiO23b5JPNr2w1GK75xduk8S/2PshPg7JG3t1ZKXnfocsgJVrCt8S/R5Mo+xWZ9+JW7u8/sL0&#10;dDgo6Loqe7AYS+9ffvvOB6ff/mtvfv3b+Ru/md/7+vbi3W1fgs4Py+PnNw+fp8cH/fPvvv7uH10+&#10;+Wj75OPts0/bfkIy1/wpr7ey0nZSOTgkbV5rRHHlEktg48K03LxY1pvWPltKucvli7v7N2/eyLal&#10;+/uMUGguokt3pQ/glnBJnp11/mYLTqBKaFTHoB8bi/o0aeiKdT3nDQ2YehzruJdCriJtzlZ1lS6u&#10;wLxRyzRK7Bb5PGU5d/cvg6HLvLOgZR/VR1zP3DsjIt1OW4l3Gl1CIihbegrappeTw13qLnMmGzDo&#10;DyWFQFaeiGtS786NZy0Ej+zyNc9yVcLlNQ8Bm0pYZRxKHHO/mUNthGWUJqDxpjrlSAwnPBhgsMyr&#10;H3XVD348hJIkNKKOcNVqwTm32tvt0Zaq0oULk0sGXGD1vSFnYqPh+6rTuAxoqQY7u0lhAGmpbsKR&#10;tREy4OTHZRSm2pM39kVnpRxiC1cOiuAiI99DqPOrkZVMDdF+n63CQtDBBRu2pTWMflhlMs7uGB3C&#10;MAEUmuf6ZA0ZamIvN0OcAFlNgp/Bc1OaXzukdvgRsHnfzwSjyYejJmS3dIgFyYEVBCxuiWhpe8PQ&#10;gKZmASw3jSug0VuoFDHDQ7yYJMwTsPutAKZjYehcHUp9NKwaYhkGGJAuMtsjjafVOBvZi0UUo9VK&#10;xAX91bLYnrQydVbr2eryk1wQFm94AcvVA+Rs/3H7lhlDE+3UeCz6zQPRnH5CiZBEne0Nj1zizrMY&#10;WxmTBjU0TIW1Iy3aY7+iVO6Zzt5IIn5IQ0vnRmaXYKFyLD5ANS8jhnkuXfbl0+/TKS7G7n8r5hqN&#10;5K61cp2kpM16can55MfNWWzJqEZzXt11gca7bZDks9ezd+DM02LDVD+xGTQg8ZCx3wy4yWlvhOgs&#10;N/Pwm8VlNRWXeV5J3vBQXZyhAGW3tkFjURSx96xJch+BjNIHTE/70/M5PT76Ae4Bn+P+esoX+021&#10;PXzZzue7D752+8u/fvnGty77k7UXeW++bB99b/uzP7l8/IPtsx+df/hRfXhtl34vdtebstxM0Qf7&#10;HV2ZXE+gdshlCSOdZfXYmU/32cwWtpI047NLefnO5c2jPaEE18CwsbRJb6KjDDt4BzqAjDvvkfCs&#10;8rNa1r7C7TdT9eRJaRPqQ+9YHydjkxVggnCRvjC8BNNc9GnbNAZ+w9gx8aGP77WHHT77rmNXk2iG&#10;dBtDf7XSeaFPpa/XUM2cJhu1HDacAVuRFJkX2sWwOqViDKQp4uTI/tSnQLlRkEvtGYHJsUt4Mbk3&#10;WiLoOMjAkIq0HuY58lIQV6XsytYcdGFi/iPNJfk5REf1XNDwsj3FzlpGSMHwn1aHLGzBsR1n62kO&#10;B30qzG8R15r+f7y9XZMkR5Ik5uYekVndGMzeHo8vfOEj//8/OhEKyQcehUIuZ9CVEe7OMFU1d8+s&#10;KqCBvbuWkV0AXR+ZGRFuZmr6QT46fngVOTZYuAEXKzsUxaowqDXrsBX4deAX7d6ktzYt+nDK8IHn&#10;+qpPASXxCV+gJSSddtWeqnxjGwl1OFubqa3RT3Z5uJMkTzpNJBdEy83J8SVfsWwkGp4+2F3Dejo3&#10;cmhz3741CNIxy17DYg8xpa+Uiivi4UuZEL203X1dlLl+Tm1/K+2g5VXFr/Df4AexjLhAcNqY4OoZ&#10;EccP/9hu3/J2A5x0c8Kvg2b+t2gBnY3qJqvsar1nQDMPXrBgNLaXZgpLauE4QbaBYwyZweUzB5tF&#10;knFuqQeqoWgVzXdcXUumnWMj0BVpNAhBMKQOUFBYJ/aozC/0eyo5VwLGm6RKwmSIvLM0Y28hNuDf&#10;knEF2rVuGNKq3UemT0d4HaM8DipSOjzAwSUl1+29b3F0lUBx6pCBgySJ6IxtT+TMiH2Wws3V6FRW&#10;5fZnjfRQPIrxsONQx4p90WvB/D0rNCsLI4123+Lk6vKF91vRO6JD2YOskcejcbPw//4///Z//Z//&#10;drtt2/b9f/5ftv/xf3r8H//5/X//z8f//V+OHz98LVCwi7u9LcT5oFSqP+tPOunBR0gQS0x0Dw3v&#10;t+8Ndmq8iU4y+fati1qRGXK7vbT7/dOsvBXa68M4Yy2S9kG+lmbY1ec+Nh+0dK86QrmavFBHXoxx&#10;tHocAYFpzIdDNDPgQoo3qWV5YW/autz8qEXvykj94Nk9PWqfAtOH5SkcvZei0hf/7UjsfYqTTZ+I&#10;7PtXL2tMbIOZEjaAk7UIB8IWZtyZNHfJQj6lofZldyibsRIJFmDLSOVjz1WaOFXLQ08wybT0NBE3&#10;p4eMkF7nnU7MjCRAvQlzuEzGB6TCeUzAlEIQCpQ6t8FHdKPQhASSYgByrpK7ZYbNBH/CDeAVFujD&#10;VwDCi4eODYwBpkayv+YTPs0E+cmAsumy9K1imlHzpNBE32MhwC1x4PPPHA+qm0tnBtnlrs4atZzs&#10;vGzTSoe8Wfc4cWSsAuGhGwu4j13s/oS9pjfamcgC+Sn1esZxWF+/dZPRtkXAo/9A34LAGNbonebj&#10;eGn77bgO3cc/nRVa7sWpg76DYOUr3nAQiaEws6Xjh9FQ8Hxv25u3TQ2Ck3R0RTzu3WkGQD4x5NN5&#10;EhZrt+QMYVdtzjCBMN4J7z0b0A7RDqN5F1ITu4jRaeZ2MciHLBiKzfG1DfRIwcugyLYx0WY6uViE&#10;iDTJUzPl58z/oTnLqXBXGix1iTgGgDUOQyUn5MIa6ManiVdLO3JKjECZqWNxSGPrzmODLkvQk5kb&#10;LsBHSVKrEXcK5Yzl7Xwcm/8t2GI0AmWEyNWdvFOw22ho4EvZNkPDUu3SYVmPOLnE+Cfn41Dc25Z0&#10;VRVyujvljoxRig6dVNwj2C18npmi8cM7pMd5HP/b/2pbqdeMWDa4wrsqKQwBRoe+2BuHV8Af5N8K&#10;oDu96H//BRaG6YZkyesHXI1Y2ffr4Diuz9YvosxdbDYfafFrbi2tVnuROb1R8fS0zJsBCH0GwcXX&#10;jOQqypsUbpc/yWSQ838ea7b2GmceB72uXJpt8vJBWGTnztcy2Pxm/VM3lll37fmNWXSL/UNahaQ0&#10;dJd+3QaO1MAhck2BnalDtPm7bKHLjpc6dPk59clmzusbaNTzpSFAVFOi1YsCJVpX0lAyUNtNJrdF&#10;LV5vH1e5PBdY3txT0jkOG9Kx/dYhb0WkJ8a0KhVIUR/GxJ8ke2IGfnUVBZ75GYYUk+9EN7L+VO2Z&#10;3eekLN1bnWuSPKndcdp1Yn8ycwvnDTCzRarJRHE1sXHO4O7vdLUAVGDhd4zvaDSsqpEilJP0eXgl&#10;dQBeOtp6H3ZZjaJp9s7X0HWNRwU5fU4vzdwIFvoXF6x5Wtrqo9tGEiyTyGUkRkotpb9OSYDZFFUH&#10;Uj50BIH7AAd93sP5/Y5tQaKOtCA16Z6bej62e7aBk6MrApPzOh8JYfkq6Hzkq54h9oyxwNTAgOcC&#10;8guEgFmWq96399t3P8JdGVbb+U6GSIFGxVe010RIANbvoi1sdNysru13+odJ5hkOK2mlAg8S1qRD&#10;9wmpMB1wUp7lDtMpdQhVFKJtgXXXY0yUmZeyyQHLq05vgZjgLKqVuwpQL89EnfUQEBGpJMbOfZhR&#10;n06NfQouW5eE3KH9IuG8/GJQ1IsuMX2QAnlSbJZTdlGq/YpIfA8Caq1ynzdElnPkBVdTeGYHmeq6&#10;/TznlXNwL7Kf7OTgzzgjA/0bFGlW0z701k4wYcRVJHeGsiIyRJm+HDGjfNKv7zo93j0d7PkgM/XL&#10;7SzZ7W+/7t++O8IJ3foUdo9MggjgXZgQnoX8ieP/8pVgGqXdytn7o/kcfWDgKfCRL7btG7zXiz+k&#10;kKTYwpxf6H4T9xyT7vQp6ZOoYumPhztBc8NBuX9hCfa5mdgnHMtPf13vrwZkZvZTiOwTpbOv5s5r&#10;uMGSgdcW74U+k4NGNuTqW7riqC/v3KIUDQJPXrQFT77d/TVQl/70w4/HFKaBASpk2isXKYespTF4&#10;rhnNvWydf6kq5OFSrWVN1pbGiZXC0rRLXddtpbzkoXNJy0B+nSIlpPJGHaXFz+ZwmUI2HMeKj0G+&#10;R5q9Qwp5PlRu4ZbO4a8jVC87O4YNqYUIlWk74Oa0/uTb52sh0CsbxODszNjsOBuhbgWkvoTEeRXa&#10;xgxc7qiD1sXsWVmOeD0rHpWuPWtTn0FejDMnId7qii7KfUZ/ODGkyPLK63E9PesQp1X1EnXLFSWq&#10;7C7/B6EJuqWNmu6MM7Fdwy1cOg9nUfrt5NbSHhhRmrK0FDiOI5X3Vfc8vwKmaH1s7USYw9ZIObo6&#10;9Pd/egTHdVQ5md4VFBzoMdBsff9m+PjT/uaf+uOdcSXCSwgUIAvXw0RJbcEQg4Pq3rc3UPqFX8Dl&#10;ta3UZy+gEOSlUiw8VAFRlifrW5mSYz7jFF7AkmDXexXm4KyqF0faMBDLbbLEz0e63edDpkVDxBDB&#10;QwlEfzXaAvxBO0JriF9hMBFlixmQHdUxdPhjLIZAiqubHCGmyi/YuPfJjZRSSZDx7NL4h4u8LKNz&#10;7zbAYk3y9A8oD8iGi1lLo6RBNDF3klVGW6sxYqesBR5WDMXZLhoETU5PDKeTmIIPa4zXM6sV+RgR&#10;EvMsTo6cMtFVePqRdENQl86UKfzPPkfAfvdPdZrO9h/+0/Wr3zBGXZV3L3aHOfYBJtBtvx3X9Tr+&#10;mcPOZvzw3j+H3D5SNJdkGzXmv4ttwj5jQIQ9fVgePv/SLJuyT0TV6WcG4JGn1H+nLD/FMPWxV1tC&#10;mmx4JYR5dlUW+KKzly3s60vp/QvfT1toz2kdt9Ni8N2fvvD5G4OYQ6w+cLr0BAsP8mmbOa1tSgOt&#10;pw9XTK2wDHnTfjq+5HCYq+sgxdYobEufFizSfha3RKnapqTcwlFGaxdSgK7j3PvHEo2kf7Vjg55I&#10;MuDdTIdWFPPM0sI5jYb0nbkC1B1iBqDQrtKyncK76cwEYg8soHrcgfxfBZTHwFgUNlZslExK8rHZ&#10;xfYI/jW02sYEmbkmHARa/DS3nnYdQgsUDIMiCNrZiXBg58M2s3Hj4FUrc1HqR0/BNqgFHuUFjyyY&#10;jfOiIYFPThlXOx/BAghqMMU/eUpOxllpTLVlk+8vA/0vBtlybrerhnkc2vEwJrkTpgNtR1b1jmF6&#10;kaWTWT4e5fGDZLvqRevWPRZD4raKGoCGozkfFXhAgwUoNONUWtQMlnpYtZ7lGjHhvJxGHrbRYGA4&#10;4WuaAIJzBtF/PhXhMMftdA87zWCHafXVdRRYJHMBWJKtyfCUYTFo3BAOXCaTbC5JD61uVjRsxubE&#10;8yNItGURlnGU11MLRwxYSfbfKIrXMFqDd9Zq6LKYndXZysj2b7gxuHt1UhiIXme9LhBjwjrdOni3&#10;slSPI8SKyRIucnJ46bkO1Gaxcm+ehbdkCRD1U12KmsV3MyYySuAIcT5iOrxznTl3gMH539H01M5/&#10;HYEE/MbxxZ/6K1v6w+0Z7Gm/57//RwZJEJwBIOsvOdNVGMW2sRMZM5+lyP6dsFKeQ4UtKUOj7NlI&#10;YOuLm9fHYqCUJvfxUeeW+wdfGMCVbRSPJrAlN2bg2eBIps8hYMuvUURxxz85q8iLqM2RWWApunmm&#10;tCkpnp4dXWnaC9o7/EmbamFPay5D5N4Mrk2ztOwGFZAATcygrtGa2YK7bFPbLTy+TZF7jJLdRsAE&#10;7W9Co79a0FVqjAM6zDCBb0oPW2bmPMBanhEJIXbE+tCP89jNmDedy+BESnCDvbukQ/9kqwqs7RMA&#10;Dxszdc3yXQaXSDq4WfuvZ+d0EIq20taFttB/OWmJWYAfrYRbN84NM8wMC8oW/Ry02mmo7crJHha8&#10;DxcD5EyCLK23pzQTEm9jNg4juvJGCvPJ+B4xpMK0gabVJRPfRdwgdTuZEQ3NApCnqzVD7YyaiObN&#10;PuNfkc2bydahHAkgBBIT3aMSKyr4nWItw1WWA6hO2ty9NGbwOfGr4WfmEbJ6NosNqjWesyzXpIw8&#10;VShhlHvMC0nX7Hb4oLndvAZf33aVxiBNtcePep5UbUAEDSc1tUHC5T1koFMV3orTYXz2Unh14eOW&#10;R+7SgLsaLEsINShtOzwMyOGdZlOanAaM36f7MAEVE3ggrheZ2KB/a5NiYfjZVy6EhZcPPYaaQmWB&#10;30aW8hYNNO/GsuzhU6ylxy5Xe1dZ+dPmxqNoRe5JlfDpppacaGQKo1zJXp3nEmXb9Et5TmujmId6&#10;2BUIcphzk3RXlEJsAe+eDKPB0PEiMwQn1IG795bSM1xHrAshHsLKEEqVt31zmUQXNY+V7yM+Ser7&#10;zPYLpDv+59D0tqWcP7UxQeiKfTLv5CzLt+v1X4Ndkb/dA1eBhrm1iX909Pa3YuXtLb9SVPKi2V6H&#10;jQA/Z8bjqAM52QyK+2LCMm2i8nP6+yeTmOpNAIZRYPiQNNFdX3LOX9SE9pMxDhY4YQTXRyxQGoaK&#10;9vIu+KyMJzWH4LRPbHo4P1uQIeemMQLr+pNfy9OF7GkJ1fvUdmClaNKLh8nNwgpGTl8apoYSRfR5&#10;Dbu6SHiTRmQCNxFaaFQvD5svedMWx3QO7/HCFKA+EYAW7vsmVKZTxFipoWUabpfLqaANJ4YzDhQ7&#10;szxoZC32KHhVNFdqQnodoiz1VPn0k+iMboZnaNcXo9kjtSdDk9BGD+4d1UaeOHaCGSEGm8R+abOg&#10;rvhu7ionGCUbzVOcOXnApbrY2NlYiZuWNtYtsr+mKrkW95hovH0S4mjIjPVxbQeXoW7HgzRCC09t&#10;CLFreDAyd6MmmmEyjdYh1iMf73gBBVeJPq4UwOGil/3c9tNr/A0bvr0x8tGVcxVmjyDyQGcGTxOm&#10;Ils6fsBMFD2+OyN/6/ubn/Xw7K9YbWakGRBrb04ZRfKOkzuQWV8rMyIg9gLVhU+QFbZK10tC5lGE&#10;hsFMD4Z2HCmc7BtdX14AEiQ2pBivdfmYFF0G6BO5nklxAZJRNAZoyQgpQ5IIt244XjTAtPSZGloL&#10;2OnQ4JIEo2QvlmBcWNDTa8RIMXepiyi2SUZRTyQNQQyOF0DuhUmHHouPVmNFXTVh+MYLzXamV0sL&#10;wDJO5EbxJQOguCAkClIZKxH5qBV5A8ydbuHvxeGt1P3t3H8hmH/u99hbYLxzPxdYtZ2nCK4I3uMr&#10;0a5nyUTykKizEUyNgaal1laaY4d289+nE5j/3+vq97/Zft/cqTZjG2rfMqg1rqs1cBb8r7Z9z32F&#10;FZ/F6vYkP0jrgJ3WELgnfxD7JNkuMHmTotLSF7myFJLl5bNgy1fEf1+SLl+CfLQvDk+tr6hB/VX+&#10;PsDlhWSkhDTU4YWc+QXszOEyEmxnhNDA1lrAposwv9unOfMvM9vMJ32t9hEDHJFJfZq6DFRoOPA2&#10;DnG43W2YomlVGNIOJI02nE0cROjbhE9/urX2nGYeF6pV1RNbmgVrfypgaZhb5bA7DXCCDWaNo0GV&#10;x2VSwgOkBi2zwYW0ilpM4BXSgQVWyZmpi9iX2lSYwLUkK1cEHVoGzhnBGD4PlJzCTb+zD5INSEVI&#10;YZeZYbASEiykux2A8tA1g2ZpniLt2KNr44iLdXGOpB44rlmnNPI502leUNkYQQzAzxceocZJYg/3&#10;CWPNRghU3ArwrHF+qWOmhygnst6arbExhQpUGucreTVCurcVRJt6Ja7l1m9vbv/mxk9YUV5F+ipy&#10;rsqoRq8Q3xhlJ3nC85oObV70CmQMPkBcU/2GtF4uc3dPuXNW6gNedQU+Jy74o/M1b4lwbkeofZeF&#10;m57d2B8Bh/EI1qh/LRZ7fofk2uGhknuE92p54eHvJY0kL/mfKUI50+oTzBRcdSp6CmfEjI5Q8tRp&#10;O4XqSbCGi7oUbtMMVXBhXI4hbKHPBcfY5lCbdV4hB1GADDLiaaJLQlwCuZcrOq95Ffl/hAH0korc&#10;ANjo6BiEsxVFFlcj4rYGzvG/ehH3ifXVYD1di1lw18W4H3t81iKQylwkeo192+M3cd8wYTuBZRz3&#10;lOskDKZO2CkSksXpTVCKrITQ0gWqudS+p796pi5+tjr6PGZuEOn9NtjKvdyuT/kBP4GryT3adQP5&#10;W71h/N5SOVpfrLkkwEz5QxrrTOux0eRYJD6o8RrTCoUsqffXUITh8tk1pYz48NUrOfTQ2eKz45g1&#10;WuicpnAN/XtqsdjrmqkZt9UC5QisfBXLr+6YYl3GbnAEbdN9fPmAc/touxKqLGH9SWuDvrqEdyVg&#10;tXWNZ+1Z1zHUEKsfgK3cVNlYtywjghE8FDSfLvn5WAAaIs4Tc3qu07Z4i02QsYt0UiPwhaUg4v1w&#10;LHKC8qPheGyAuSBTgxAO9lqmZR814W3jPmwgGEJcRGkLKwvFLAFLlX0Iq0gKZQUNqTqOyQ1jXwVx&#10;zSIoO4RcUju0qPVQ7RLbyOouQHjz6bKom/byQ+QN5wjtNzvkdGKfYCXZNj8vepaUEgVpk+AiA1RU&#10;1EmjxWW3MKZNYpa6j9f1BKLqDF8+BnKwheDkm9WOiJzs/Ue+GUD0Xu446x3Ey05Q9CFJ8b8a2TG1&#10;JLQs+51x50x1JyG2XfUMuRNuoMlgPXwC3pzf7q5gu2re/c1HJU6cTJUj3YYABd5pogbDz7htDQTg&#10;UqpPb+W+gcbi5dI/cygOm6fdYptCatHRqV/09Yf/nHK9SDmjBF28EY6IxMksqkDwO03TWyOEScPL&#10;xtlK8j6K36fRVDdcBT8WKtxnYwkTOjLTwUeVoejoWE3xAWmyuImhUERvlo2m2C/tyUJTHERZ3jZd&#10;Cc1kJJbZcnu+kOMVx4OPR+NjBEVjwGlqVqPXDdlTDoW+bH2pZTEGjXSyhfFCoXjouBUTrBjYlsLz&#10;yK9FpXyl4UMr57E9/uGV8nrG64OQEM5UaufEfuchq/saCITcClsbXMOMPwvCafqEF0qnF84C81Vv&#10;K8NlgMBqa/0PdQ5JiRRsLFyb8/ZLvr154oqSfeyEfPKq2wfOo62Q3yZ/NOIDr+zKiKh+qtOpiZRz&#10;NvCI07Rfsiejk9+Lgw2zk/ncPPlBR5GwJZe15zXm1wbZahiIiRU11J1SVsigUJhGkP6VSqUtbQST&#10;dkkXvpDsq650WxLlf45L+vuL2mUN0NeRsX+EnrFT6Au/pY/GIAxUYuYqOPHFHcJrB8hBgM5s7jhp&#10;gc2kBZ/kYmcirVvLYUoPM3OWU/YcjWAjgB0KG7JYAEOWiN1FeoXSdZSNZlitOpgg2Djp3mjK9PAT&#10;u9FVAACLLp+DZ9fA4VuuJo8ZLO1AoHfMkzxsb3UzaojJf+qqWAXBbKiVTd7pRSYs+QZYrwi7BXXW&#10;cEanIVRwg/zqqnMMZwm/woYz+XWglHsNCT/C5LYeNkWZW3V/ehBtEWMopRH+XTQr9v9TuD0ygm78&#10;NPx8OTGv0Oh/R8iDk1/6tmO7lZluUWj7BgUkrUdZkLR8ut76dieyBwHGzqwKEOhrViShI3LFvbxb&#10;9XK+e2gD/ImwHSyYavyzyh7m4PHxdXi4+mm7+9KIi3zvcDZm2DgwKzsD3nXWR/3MFt0gyx7Nw5hq&#10;XMRMIwyQGYUhkFlLcLbNnXPg4v6FY92Yn55LHpBJCyDUxyzEZXhcsOW5wVU+WYczWWwMhvN4lxye&#10;GH0YBKqR9EUUGIWAUo2MJz6Gy75Gz8ZVZloPrmMaRHoInTKzHUzYqDT7MTDoqGzsAq5r4CGLOc0U&#10;uetWOaE82lB5Gm1yYdKEWxQfLC2oyNVK56Mc/yztwfX2QNeW5j0oEKxM1CP6Dbu5kV9KfzCxiQja&#10;X8UMn2kBfhr8JFbc86//Wq+Wrh73fA28VlEjrrvz6O3hVNB0Y6ffJ6Ey8qGemZWr00ofWpqIWLPh&#10;OfcMei7rq2VutWDyyTZ9nPvhKhSyQhvFsfe2eCjzW/KMhNXY0YdXdetjdOMoZuzaFmA3P4vFF5GL&#10;ILknSqb2R/w7AeYWHtdKwUr2Oz4vL4PmKiTv9sI6XfHVj2tL4c7N+oor5+FLxwCR2PNpP+Jn4u7D&#10;BJXmms1NRrfyQHMErKpsGVP5ZIOAD8xHRjp3sD+3Id90QTXZcU88VUuzp7Gor30NBCazq9lM//B/&#10;OYuRxskpoNncJvtFhO8i92GyZtEiGQLpXNxUC0rGZlqcXKXFNXwYUVc+LPDsFjhJFOYS2i6GyKAX&#10;JsPe42lgHspvVAZOBGBpjTfY5TkH1xSjLdzhmhLGm4RZThTK3H/ToBd7JPOATT8ET2zR4NUfN07x&#10;9vyE7xQPrOu33IDtunCiPP6pAoO9XXNklRiU//jC58j/aY/w4TMk6igb9+9+YnqnXugn7rCqtwgb&#10;rdfq1Q24hX9NbMVzMMDevlXk2dq2+3tpbb+q3X797+7T0PUt9+8YyKo8SqZHdjrKfpZct2sAvTFj&#10;vYf0Te+5YdIi6VFEOwxGyuzUfcibi4wumyvxEjlgJhMFrgAJNoZTAXl6EKXhCCfYwj6M0DokHMrZ&#10;TBQh0skOmyoHSESdk0mR2YSXmvxEVP5zojslg+SaiD2ivhnDeJ3HFGk5dD0dRh+BETL3RkS8NGis&#10;8UBApdcVF0J6M2lmbFchXR/GjxZhnOWG5COWPoTDODeqjJISCqQuO9PrEl+dELONOEJQ6JvzT40C&#10;XWWaK0D6hRK6ENVzNfB6IV58joV2wWbXy73fTuyK0Tlak9yrjZHUpaYRxTG04SmsevpHhYEAWCrY&#10;GN0ej7siXPtIOs0xMw73k55DAC/qZNB2A8h4ShMYVoLcA9WgUsigk/gSBzuStsie1w8Xo7/pdQ1g&#10;Ucahcp96Gbws2qx48vp48aZQwGlwEKI5HcJE/2xWsSd5/ZqCsBCLRhLCuoycnin26qXWh4ozlItt&#10;0m+DjhXWo316dLure3VbE7qOMVVTXpHV90YbNc7gURImzTAAS8x2P0MYvoTt6oEGqlMImWYULzof&#10;mk21ZJgCTZQ3FreCzmw4UckqrDal4vUSOkv2uV3OVSU6cdCAYd+XaUqcO8swfbnCgk6S2xwoKB2X&#10;M6aZpuR3z2ZrjJLIA1kfodoUivnei+Rs7X72e/VobHp/0P7FEVFwxumt44NsYfuFiInroK/l3m0L&#10;zIMhiLxivji0FgtiaqeSlwoOpnSexPf4WHmdzlddP7a9bcX15oxUZXxduOr4P93eKIvHK/LItSyS&#10;JNaYOMiwD/N1I055aPM9magVgVvdfas3qFHQrZfbPUO03hFiZ8h292y240e+XtLtrW9vGaNzpqjc&#10;i+gN0MMJi7Z8gh7J6eqEuiMcvpyZnPrg0wFwkyUbCn1lQXKmpYxIYDJsAXuN8doP8cok0YgdNSWz&#10;i/BJl2TAeJOVTBYWQA7tYlEs3QqnN93SSmfLiHGvk/JOXF8pgyUDIh52tqBqIWgBGr5YXDT9ffbI&#10;rXQePU26G56OQpBgUuq41wS7J6J4VD/jydeL1O9WEhbSufBZHdl5T44l1D6Gb+VIkBaLY7whYp66&#10;i+g2Q91c8rTOwg6V62m/3HnrP7WoE0OiRwnssjHrE+pci9/q4SJr5y98yK4++G//4msLrGSbeJbt&#10;dKjZ3/+BPmcDLJ5jiHJSUA/a3wsbsy9THwz32wrQ2WozSW3cpLfr8Bu7ywrEDPdTWx3F0ge+5pP7&#10;SoTqRqEUQDcU2lkrwMEt/nTh2L/yIOWA+AVK2VNaCZhPczDvmtJnwF7kOHM13+1TNX5fWLP2iYzv&#10;a6ez5fXb0BiuoHHvIVaRW31w5AQKhxgJRImwp5K4glgRePDhzYtNZx/2PYqjGwN8ABdt9tyRsyOY&#10;eNZ3W4QZENUVUt24y7mO4dL64NazarqJdXu+14EHxpRpu4WazQ3ALAJ+G2NwKHUvjEbCHAWg9qpC&#10;B0+rPNdXGbxKv2qMxANW5lEMuSlUwuRJ3RRIEI6qMp+SrJ9Jl/KKQc9PoAmhGb6022ThmIBw+jzn&#10;1lSumqL8xLWKOTQvvrCHhk+DNQa+DKszKpqNMU/n269X7SxI8Fb7VEreb275iPA8Y0R4sPP9Jt3f&#10;iFgaLU+R7+tgpjPsIT67ftHjnwQMyAFJG5KJ3Fj0wAOZPVnpfLjv+PHwPmjbK0gxTsHFyxbF19OE&#10;C7aQ7+hSESN1vl+/Zjt9nG1yGGvhELG0rZiKcDlyYyfmDRAlrp33B7eqxtRliY9iN+6NzhnqbC6q&#10;3H00YIXFHooGqgzFUVSexAND+xuBRUQ4Vc9CiULfcDXNLQ3ywCCicbudp1EjJX3e0W3u9FbfnUUp&#10;kWGW1L0zcqrb06NBIws6bPTAwPh7FafVB1MH0UgJtF3e/rgJoTjoQWnESSXHUaSrw1G28yIqYpjt&#10;A+bdhNQqscrdbrvk607b76nk1d/jT/yJKfAnxNtfDJMN/UlL+9//h1IKGAU4A5DWkokEuOFLf4fd&#10;zJ5js82pLSuC5qkMvZpKSnti2EjYU7B379PmjIQC+iVNs0l5Xj3ZVvdJV5ym0LweTmbrtnpRT7hL&#10;5Cuu8TlIWZ+mQBYa/PgzvP9suL4u7+mZILqabY6Ah/gx0zHlmR8k6MPCv7I/mXm+sjWTUlXyApCH&#10;9f6TQ2BchjY+GoXnifc43XgsZLhDQIMzxeEykwda5GaG5G/HKSY/mHmVWrQzNcWOHqOVVZpD86zv&#10;w7wMnHt6M/ZuzxW6L4vjpZ3begy+TGoEXucYYBtO18gckefZshpONjSguVmaI4Kcxjj/ux9b6ZmD&#10;Y/YEhJmtiDtKTWxov7BXqzXTwYvadhytLQ2t9BY5e/CCuc6S83BtN0dbAIlALLGeOg7OEM0Pev+4&#10;tNkqWYmkVLsD2PBnvp5IvREq5R72cwYqkNlxYinymby+vp4FJ/+5OQaVfQkX6ytHKe/unXa9o+M9&#10;2dM9Domef0sHRYVxBIhzAzGk3B2Cu77A3f0f13us8GJ2outVpTDrlDiUr2O0wri1+NrvBg1xT48f&#10;zfNsT4l//XM9WJL8TqlgnF4fXQV8+f6bPL4xHDMXok+0hhTWDKXEGvHgi6tQKY9jqQ2aybj5tIAM&#10;wZ8W59ef232gqZxuRWigvaJbvRxEa1HCN96lROj9g6UrtospzWRkOoAtnkU1Deu98MtdhpjOzNrx&#10;QAd6G94xUHXNRh5QLXt0CFKTTQhr4CdovIgK+ZBtC6bU4XOEkHcXoLo4vqLDy3ydWNsTVw4GmT+M&#10;shwc3iT8IlJRxC3I8pQpPuj7muBndGYftdovy7+hCPwYTGd5bBlf/gLJLjndvjV4sNI9g13uVhTl&#10;uPsg7cu/RVUau7HXX5WDNr4c33xFUM7Yk61xtxd/y8F+H2axIimJZyGcdRFkv2y7htlKG44M8n8R&#10;iUrS75cqvGQKTKhcagsc4u05JtaeC5Stzi9zvziPceufmLhYKNmnP5yspFp6aSDsSRkZ+KcNXeNi&#10;EPq50c4gfo0ORbJg4t59vFnUw1oL3Ys4UsiVP1caCeZxn+WYmy1qfRPLTNe2tKDZdjC7oksl8Q8G&#10;V1mlObZs5A7MjbLGIw18FSuKce9SYx7Vs8K0Mcctz9jhzoMmaYXhpzbTzNQW1RIYuYnc0YfNmypl&#10;Du8PZaL4o+GbS7fGv/63dSwyHfp70JN/ES6J3OYWZf5OgVU6JxlA+1WQzuMav3CU0OfAGQQlk1hG&#10;OOlEqKziR4p/O+ykQcxLbk5dRJkmfSNDDpi3lrma1T/o8UFEiwvPr8u3vzV3F6tbPXN9wMlTN6Nv&#10;HBHI7b2Fv7Wzi7DtlNvGTxdGVuSENzB0PCGvIeBm2ykDS8dvdrzb/Xt6+5u7zxDH89Xe3t5+6dvN&#10;CTCPHx4B4VniB8YA8IMyMv+8tt2uT3M7joxcrUYyiLuQAT4NM2gOvX004lNF3tKgVHFQ6PQMEJ3A&#10;zWXCQV2hO8yJrGfYu/i06rqLa+rtS2bONK2SlQ9t4hu2v2DV0gk+k4ysQ9ljMYr2fROgQ0vuUPDJ&#10;m1B7tDTO9yyGAdULoQpNOWxuOBFy68y2peQ4HkYCT/yojJKDQEJogzwyM+P9wroMAhX3l+jeBCNo&#10;xCiT9Y+UNZXW816wu4w9HYEvQa9LiidhwDIlVU1jLZiS/WqSrpvEgYH8WXLpn/xD3Aha+E9SWdM0&#10;jnr6Fpq1Xm3i979dt+wb9/q4rAdqNdxy1S6duNGz2Zd8RJH6YplrT/ifrMBmnX5SbTxNOrYkv7eB&#10;HSwgpH0SlPuhqtvAV+2JLpLzi6wvP8sbVhvoyGGY1MoX+7Cp61mNaeQvYy+xdy/L2D4eJFks9IXe&#10;8rzzE9T2+lH1T/DRGGjHJnWQe1N77RLSh7AKFp9SFHscfKjwBehtozQ4TeOicdBbf7mkpFQ0nGJJ&#10;LAamRHH+A5l2wAdTozi5qnOjmpikTf6CuMpwniwlYHNHMeo1Sc2gKwsWHa0vodRy2G5TQ5QtNhhx&#10;OpK8sJHdCmtFBPX1vnlYbpaZE3gclbvP61g8j8w0uOmZbtxHyug563bsW0ZUXmLCag6xrH8u7XCZ&#10;rVTOaOeBNYGX1OCKWaWLumqMq8K3cdNC4QMVh5c9SsSKhGwNynJnLcJIJYG2J/SGzxY89KnO9rUf&#10;+ekOR/nHe73O40dOjdXa33zZIkyDSXUHsm12uGRZffvVebMYO6BAg17wt3/rxwPG1S7vQqrRjoCk&#10;7cxlPx7QaVxH4c1Tl86Hmr2rXdhubcPGC4pyOLExJ0gJlK6SFOAba4NObxJUiLyZCCCmcPLIvmj8&#10;V1ToxtBzyOa6wrKactVH233dC49/GNc9IPHq9M9krgccxqaEjWk7ueFPIwCht/DjZ1AMW+FM01cT&#10;y6auTHnttMLeD3gJ9mqtK5xo3G8pujkcFXLb6TH1ehmjnFEBvInrVcoZS9Y8ANyCrust3yDXqb7/&#10;8s/aKaCpPtAoq8PDmw0nlWt28laiAKIQyNsVPACTnQzwmXbeyDPKXBv39u+sfUs66e+uD5//ihCU&#10;t3H3X2izTZvfW3Zvl6NW3lZViffOvVWk8sdEVdl899afTTfZKjNrJoUWosVW8Mkj22z6A4Wo09o0&#10;a1+kC/HjcywKVyo/UeSKez1HeSMraNoczYO/TpGs5DzTr42gK015LE0tYAqBpKQh/aW2Ueotdbp9&#10;WatyH1mCoBEOvL9/tDldjOJs6uLTIqTs05PJbHk9z3jqi+mnnKUBANbsPX4GaaJ0iSfDgHluKmtS&#10;xMmiadHEV+IzgZ6hFFldpixUh91xzjMyWO1vI1Ws25zlu9xEJ5BcBjNqfInI7w0S9QoDl4CrtHWw&#10;5Puj4sRETIPXkMVQOPpbxgiIwfTq8cGgoexXAUaEUjmtIg4BlW13qBCgXBIPtfQpKm0w4kViKi5N&#10;9QpngwLndYi6QC9XJfN4QhwrjUg4pSF+qCSkz8timOIHIbk0Cte3D+VQVSoWgiCY7sAzDh8SWbjX&#10;xNkeP7AK8lrioOW2h+8+3yam3eM3t+24/Q26yEeFjs33hgJ+T0cvDR8uW/u3X4ubVoPSdN1LPneW&#10;85rtzve83fv+dmb6JrZlq6pL7uRb3zjCX80P28NT0WM1Uq+x73qZDn6eab9ruM9lwO/QlcHszSvg&#10;6f4yPo/u1FcmEIuEgALuIySQFtCwD/4Z3SpAbhKy76B07bI6z8JDpPmhoAYyirlrPTmLyORlEMo4&#10;8dP+me5ZKciKAw8ML2m/OR0n948mBY9MOJoFkRwJgsY+qcfWHM0TCJlRDdCGShYiV4dYYeL5x5LC&#10;r7t7BiExA82WX+bt+mnky5C327BYX8TiiR4xkOx1ulgIxaB/N1kyaCOY9wS/JO+pLVFP+cRPaZ/x&#10;U6Zg8esUhBfmy8v3ftgO0lzbKeK3G6Xe1628Y0U9MzrwoPktHlJki/nmU/0gA7xfsdlsI1194JRP&#10;s5b1dU6isKkvIV3TD3aVRsBKw1QCBZ8pcyfLElP0mSebzecikAWh2Wtx6oLiCE4WrsyX4CT7egJb&#10;355YpPblV6aJb9hT0mFEH00nNBvC/oEdz5/Q89Mre07cGOu+8TyMq5GHCwG3imQbDi502N/DpwOf&#10;rca+Jyg4NvXGgEtLYZ9mAy2XZHAgOOKRmvwSxqKvB6ltxjPoXQgNkzw5Y1GB3BwbW3haz/tqKu4c&#10;gdiVB19cmUx5wyD0lmnUFjB4Hu5pCKnHidk3mPq7lsNw5pMvM6S1oifIES2BtUFVgt4sCP11uzs1&#10;3JmcidYB7hdamFPPQ3NibMAr4ZkSRrhgmZ/XzEJbGc7iXI/x9C8+GkKOYvm8fgt5LhEgw7h2vNQc&#10;VGI8SFepwCqrEXK9ao/XxTf3TjwfMnInmIbxEe2Wh161VrOut5NNCuytG/DAgl+HfPnrQzqbSL/p&#10;2BACcB2jJbvUXbGy5jEOpBgTI63tKG6gBSwue/W9f0v373F/dNWQzJgmDHCU2gEXDZasCLGE4MCW&#10;imgCsGSNhhc4qS08n5LcbRIsUbvQH82LKXzIOnv00ceJY+mhVDflM+Rhtz0ZhjymidCYVuAAG7Zb&#10;3+85DcILPNswWzJm3X+zj00A7/UshAwNpioOTGcg24n2CUhs96t5lgNhI7Fm46no7J6mBR5VMRlO&#10;pJkLUQ0cVQnsVprquXG1JDCeuyS5hMZexk18Mkdwuqrm4ODgP7ro1jGEkFIE4Na/TPz5/aluMYv5&#10;ue91ECXd3/Ivv3qqn6/oEXKGKTsrmNN/4AOpbEVyffvEx/LFzGuN8GtQa4Jw8XRaf8xemHvntlAU&#10;7YUSkXrMfD0EbzEdTropGRAmIUr/HWU5YZHcXjMLBl767HK92L7ElPJBkg0AirfHACKfaRgv3UF/&#10;Jpf259KclryWbvY54BvJf8/g8IdqzNXz6oA/f3UmJcQIECmjUg6+yNjxqIEcxOgWyrsghiqbz3mU&#10;qBZa3c2AOPhYtk4fd3nxyzFA03c0IHWN8UUxpobIZV4+lUaD5akwSDAwBiB4F6x2mi+a8cynwlK9&#10;d/FagfmjyfOAqcU9uvI6hMDRj/mqvyVJjdHYwj8T77XR+IYWjDSEyyBz5lsxRiJsXmfaWWrlsVwz&#10;RkYHaMW186b7Gk3A3UiKS3S7y+qjdGXrl2fzJzk5IOiEwIRbQ9B50ryoj70pz686PRKfqieh+4ss&#10;LPQOU4GwEyk8jYONX/3jtwOrPogKT2OgsXseXnP0DpHZvFcxLO7XiV8f/2w//g3OZ9fJfLP9nkg0&#10;c87E4/qE9hMy/7JdM1zbb2fZCiYel8E5DRAZFBJRbDAQ98H0Gh5vh7uyHdt+7nem0MGNPGKqLItA&#10;P9wKIwSgabC4RphtHCfapMB/ssn0nROhThfSE4YXIGNUn9x2I4d9BkSPYGMHFXcjFxKLNM8Gx8LM&#10;gUoEQdC9xVvJUuj+w5LhbCPFDC2zoIXEMM737k7TXaF92lAqyR5bNITEtkdSAmNWcOaITCflirUR&#10;TBlZonftDt2oxZGDgxC8sSDJ7lupn6b1OHAXWBFgXDalf9NzkEDgRgy28Vi3UHpk3PM9f+ru0f86&#10;/vmTX4lJsdx/abfvHhyCVuNx1qaWJN1FDtBLqWjmmsydP6QE9iEiXhgvbRgZ9D5MuhrFF4t7WLcX&#10;/UWbLHY5VrQlRDBs9GTHpSYlDSMDnqKtP3nPTC5M+my9l0RclMuiZDgMVssDXGVGcZjDauW90mdY&#10;FFrk5L24en5WetuIsQ0l9eAoP7UK06upi2CWnq3t8FCtfNEIglIzhu18kTLXYuXUB+elD+5Zn4/+&#10;tArwzX/JdJ2i6yEbhBJ0iJAAp4UgKgoT8XVjUEJaUxS7emwQE/pEUNXQ2hAhltIlG09kEZCo7s9h&#10;rUbdKxjF9BsGc8b/7NBIEHw3GZFk6AqwgwQTx2hNqbDKvno5coht9OZ2FfwNqUbMWEnLmYtpRb1w&#10;8Hj9CLmnHOCtI2n+vRstRWGTj7VAoT5hrhNy4JMwD0ucM7ykbDliRuS94ubFXikDdzONFLjEV6G1&#10;qIXg6dF2x0MY6Hama0JyPAY4HNP4Z1Dzr4qDReDOg9jJ39vtAOezOWHnoSQK7+67o6meR3qQ99FQ&#10;Btw+6poG3x/XBPC4vznHwF3T2mO/F70kr/H+Otz2ZSc3ru27z3xoayhH2agsO344c1U+BDDQQS6S&#10;MJ7GjOI0bYz0nPZG3I/RrOOJY9xdZ79KC4I8FOVpjjEcwWkCV6Hr16zTlQriKv6GccyYDJzC+6lF&#10;moGsHZutCj+SQyBp9wvh5CMH3kMxwYBAONdEDi0HViA0TavuZeHSaWWOvSDVnnHK9hbpsSN1orvb&#10;EfQL1xWUXUtN8KwxXL5uEC/6ZRIG6MtmH0axEnMoGOaushqPhKOkNKJQQsOIKfYrKpqeRHHdHTet&#10;oSLMD7af+a9zX/7Y3mwRv/vpsG+3nbRdxuZU2oui79tAiX4z+tqNrRKe7foiZhujREbktC3elLGu&#10;Y5tVnuSBWYmscz6R7KlmORc8A5b2Wavw4YXI2+8jK8fSFxMrS4LJeQGx9nkqYAYQmgIes49xsxae&#10;MCE8+plWJLdV3qDSG8H0XF8PNHhsuiIwaE327XX1+1ml9NT2KCV3qT19rCJoJO/iuUqcagjrx1QK&#10;fkphzo+/6oCxPbs8aTkMyMXC0A+uk2NgnRrMQEn7MOJI035OFrLXhBRKwWF3679VqWhdHscZwoyG&#10;yB40WTZDO2hW3Oc7tiSjgx4x9x0uFRmWm0Ob2MWH9PY5Fq05Y+2UTWN9VHxYkAxzUqOpAtq9FqIM&#10;aXeyiHwZihCPC6OHWZxrWOtVkyuOaALAWj0OVk3n8d4EzBj8VzcJc+D3dp1BJ0alNvhCGJKcTuKv&#10;/354dcH0LZl4O8/D4649eftHuiY2920B6kwnM99end5ReP7MDTPGD3v/597cEws5FcwdLzCAhkb+&#10;dqOTGcQZCZtWlzT02y3Qb69D79tdnqx+ScAe8ccdN841nl6/xRUXWfFGoJkcOMszWb9NBgVsf7sC&#10;r2xIyK1P66McTk1cztkIQZOuLQQQwvGUwpOYtxC2GzJw9lN8o2AujDEAWg4Na84sjZDVEzQpIHcx&#10;BEOWeCHLyNK9RbQrqExZ2dZdwrjE16yXjQef3B9JmMPlQD6hI8pKy1Qp02wq5HSAXD/r8XACFJwr&#10;QAX1BI9zYyvj90nYnpdQEEakib99l2bmIWBILvbI7XCpaIqI2mvmK7LXwYBBi4GW6OJm1H6gA/uM&#10;qPmXyZ8/RRDlAvJ6CLedNNbrptqUM5hj59KJbnsWtIIWY+1X2gpkxpdbqKWfkbce38cB0WaUQeCS&#10;sYwKqbMB7xp6gI+Q3sd8H5vTTP/c06Z/dEMZUyFX3cFpsYUoltbQ1/6sxfsgLelmf7yifRqXx80/&#10;AhjQEQgItD4wS+szQS/JrabnYTQjVxpLfTLzA8exJaXTZpKDKWIwa4HvexY6aY3xN40xlGYuGPm0&#10;RPGKeJqNRDWmgjXRQa1N1EasoNTE34HadrjfqKi3weVh6LtXVi6nS4yqcNzI5Np3hoOzb6copcJU&#10;twHVAbltIcSFMwhADEa5etZBCx4a++c6qL+0/oINlw9J5Q49cMvTNJhLoSItT5LvA5ILlfMuwZav&#10;vojSK02+SWy9e41wA5Qib18WQeAZpN5Yo4CsZI9w622/OwcS1brUhx8uFMLjI0IIO45jQniBnfjS&#10;c7tnEs2vMnP886pj3vJsN7uqmlSyuKYOAYHxdE0ht7d8/xZOTaT6XO3RwTk1gzzCZrcprehO/xHn&#10;f3owobXzvbfj3G/XzAe/ylMwr3myfPU0QTH16csFk2q/pLUeW6+3Wu/nUepx0FLHKY5HusZN9TUp&#10;BFcRsSP2CvQX2nSLHywXylhIWTynVPgIBxW9Fsw//7QDk2ptCbkeibldbIMWDya9UZkVDKqRvLxJ&#10;oXT+jhq7jFiGsEkZMjxbcqPT6IHEDo0Urei5W2zlQcj0mQXBDghiDOBm4LzYQE/eYI9ECYffO41s&#10;OlO38PwWAuZMCkBrZcP3W7qOWr4hVwuKQB0XGVMstKd5OPcOi+48I0qdYHWDFVzhczOtbv/9f37y&#10;52D6zN9/2e7f6NsE73MIsIxDl/qKDHu+PQ//04zWN/ZVLcghNo01uw1hYg4N25xErE8W0ILz9kWs&#10;t9zUQU/KfYg2Pn/P/aVQWh87vzCFXDxJxx++F6f1PJe6j2u1l/4ksoeEUI3/sUJleyrSq2FkmxHL&#10;aVX1vQpzcEzmmdgyk09CChIeRePpXwDVqaWkIpjxp6LwtGkAmvOMyl1AoxnBy2xUgIfSJ4Q9Oelu&#10;WTOvWQQrx84Q9SIPQM6UUSCRUx6OZmNx243p3iGw6OtcHvtcBQ6bvWC/wzMh7rGwfcLCORzufTp1&#10;gZcL2z1OIQJHTH31iKWBEIpRVTyGAAp1hdS3kUPBOALcSVtxY2jsQeqJXEDmzJXrSQKBz32gr591&#10;Q/BCm8xirSCv4atiaHBzUITbaSS4ntTtdnp4UPVAbo91rdDtgesx4FIoQmBQiExdxBIBpMna3MBz&#10;QK6DMJfzETQWFr49ImnpKjDEQEi5hHWPn+Lldv2P1lKZsi8qKfEysE3cWe1BsvE4t2O/nde4dLaK&#10;WByOJrmCIAiBo4/v10d0e/Oz5/wBi9l9y+Vwb63Co7N1YFCe2XF6eUZwq1LpadTWGDWblLqHspfV&#10;8GVeSgaIjyDbLLdVMRJSzs+6HWKTHJzQbnmNp0+/sJmxSTGq3WmRdb3NBoZtjnCvrPiRABzwBHVF&#10;eFFdE/6cSR2TH7gFQ+5p4TI6jb5EuafvVQgn0Px1Qab0OdeeEloRGIWnAb8mcTLN8x09z4jMKteV&#10;nsxzoEmcUSdD/SOpUgDvQObiFuwUNf72xseEMFIDlApsNjOkntZOqk4Qudu2ua8b8xH/mj91Hw2E&#10;OJz2h1bXKuR+723/8p+cP+U3uannQRjilpVcUwRSgWH3wWE5SlRaCSOmcIA5pvX+whoh4ZsHTsTL&#10;pbzaUkUu8RPTZVBNnupc/yIOYaTExTKsh4XmszzR1KAsGRKfWerw9TxlKpkoGS/lsk+R2ih7z3Pk&#10;ktD38j5eeK3PuhE9RSx1dJ5c437Tmv+uf1a2HX22ZqzFiIGxGT8F5j2cOGQ5V4tCDMzW4enJiXy8&#10;NOh7uwiQmum8tUw9kiun8ThH896fXRsC+8ligTe6WQ7LHQvGIpHciC6QfyZipHBOXWdwRWnJwVDI&#10;C43IQ1P94IDorVabzgR5hN4zj55BrP4YR35p1Vo0slLjk2uRMBi7oI6upcHh2gtDNTaSrnNvPc0S&#10;DrS5edpnj4w9cr4o70MPQXrLdoMrBrsInJ4sq/zw/fxqJwgUGXVd/h3M0LmKFnIAEqL1+v5GssPZ&#10;zuqoJwGfLDkQr8rt23UUpPd/SJlEwiodAUm7cKh5I3GmE6Zxm37n2TbYbXtbcI2bzoSp4pf6HrI6&#10;yPbte4Gc1ClIYPrY8TDXJ0Bj5hYtbxTLPrbb43bPyNi7Oo7z/q3+8i9dqjhMaTSVnmlbRcYIHALl&#10;AlPSCH2lNIYB64lW1CWcDcLVQS5uxnqZKOhvi1Jg2PFy2ZtDETR8Ksbdmekq1kmzxIoO4Sc0Xtee&#10;jvcpWM5uFGedHCv3P6uR8klrPazomFvLLSbvwBbxaiHOJW1rVoV+0iGZoqOAeRIc+1q9hkU6F7pX&#10;wykRNr14GOzeaT/rs3w3eb956Acwfyy7aaPThkIxI3VE1lrCoTA+NLqWw+melOOPIvQ/WfxWP8/+&#10;s9CoP+31dn84w7m6/BeluwDsryJAW9gJGXeB8xQebAqzpRLFv8T2LvrwtHIgCBObhcGmfTSjtNF4&#10;9Sy5QjA6e3/RE4YB5IdPcIS8R7uT+yfRuTyS8zTm+f1x+Sk4oT4X9mWU+932Y12+zeAHexoE7TNB&#10;RACto3basshcQuPVm+foN21ag4YdnD5S6zMhMGv+wW6FeVy7muL+5Lw5akUPSYT61ieKEZUZAEaa&#10;7GPS1MMPTs2idjEmSYX9ILN7yA4Adb7BT4Tu1vHMTIc03C9+pJVCg02Q1lpPw9pJ+LbnmiLVXXWY&#10;7AkHbMtJfwpZQNnhG5GbOK1a9vjEWsN8QCGDvgMDawAW274NKR5tTzuSJGw2wc3XS4Tn/4GNLKkz&#10;KkOL9KgO7MiJ7yDIkDroorqiEPlwRGUTRMVFxTwCRRd8onEm5cou00PJTnF9cSdt2Ox2aup5MYh6&#10;xbGpqNO8OcHkeAfvAdEEfhQf5f2f3go4n9OPP1eAXLNvPah/QFV9x3ZqL7CVqVDiIz9to1UXiyxE&#10;+JszDn3pWPkCzpyPzJKFU/26mve9JTHk7fFbl6PNNnjOppIgI2OxScSQrEwFYUotjzWkTamsRXSi&#10;1ng9LY4LbbjmOxQbq4zhMc+lbHhJSaURwGjOyrRpTX4v2HF2tnXX70J2+FVaEggyprzDiLXSI5oj&#10;yanF0pw4NlzcQF4WHUZZI9puMBJEwMF1Zc/TZOdXwNikni5CmZEG3bHOzI6HO26QsbKXO2nek34Y&#10;BX+N2ki6rNENFZvpUSFCZwaSmRDd0MnQ/M+3vNtu9zupn+mvmXwOAuCfonqyIbk+GE8RKRWK2KsJ&#10;24pCEU9hVEEfAUaRk87TEM/1qbMes9iQKA1Rr/wOF0C2KdOC9nZ5NebKS+pPuFEMmDu1SJwc4q8e&#10;oOgQqz0v1ZBZEzuqj5CmzdT1kWeb2mdXIn/UKmggIS+x9WUdGAj+cBTTGd0sTevbiS321zVm1PMp&#10;e58b0z5CgxcrG8T3lJUoZW11iJ6Gs6NYEop3wdA1nfiimxFf1Ktz/oJpEBccDWK5YOX0LA+cziS9&#10;jOhazfI8BUSn1k0vE+9IU2uBUFZeAWLEXaHY4H0JUKiAsTYqeUQzQZnvmc+fNFugWck/SQxvWF0z&#10;eSfnQbhl3ONJY0ws7XzVv8kSOkW7BxeVMtuYgOBT+CDRNbHIuamY0mVBoAcpDrRSVFlMEJttJJcW&#10;9s6kCdDUf98t1BQeIZtaHomL8rbGW+K4cz2kyWFVYgCHRfDWVS/2N1ioaCfnnwfmgIq2Jvv6kAUg&#10;0WNzv+q6G5I5e5PWYv56tvtVy/1E/u3f7HzH6rEgo+l6M3u97rHz3TeCcCL1gn2+2/nwggd9tBvt&#10;hO3OiCr3r+TWzYkG/TyO86xXGdwlwnY82YXwHXTKjKw/8HJv9dyPAzOY75Lz48d+9VIFdBIkIThd&#10;BrJ3ElLC/odwaWJVtEb7jpbZTlE40sTYU8yqtH1NioKwuxxeYz0Pyy4+UI2PXw7BB3N9KVwbklZv&#10;sDDlpCcNb1ZKokPYWCqn+Bx0frRIeiZlaXty0B7q54RazoE1W0wFMW6AKzu6cuhi0U2BKFQibs4d&#10;OSA2hbZ6r9tO/YNP6W5b4ZORc6bgitwkjMEJ0cbpd50MoAxfr9PR/tqLDdflARHLYoRztiEl9kZ3&#10;hb4o/P5K8evtT9jEDCM0Z2j98rccB2NFZAnfHPEbWNMSxbKR6rBGnEfTHgVJ5QcYcZ6+LaJdLIXE&#10;mXujirUcKUZm4fvU0+J8s2bVPq3sniLNLYxX7IvIhQ9Mk1keFPo2itmfuQBLYMVwT+ifK9ptVWzE&#10;gGsvA559MmhSfcwmN9LVh4UcEDeu9m1uGp8g0bHyXIV9aoE94LRSAUZvOTdZ9BSZ7AVPwc9rmITN&#10;jALYHbH8Ja7CkEIwGaAJfvM5hlTJJl02DusKrTJ4Bxs3jl4RKw5QP2CKO7SoSw3HCEvri5kRnYkJ&#10;B5MHkTVehHVohy0WWJHQ4SUGHOVnVhZTlByizCMDRNE37jRWSDABtbryVIJoj9VIJJrEWkXkGSYy&#10;2gR4OTcxlfw9lnJDi4Y1VT3CpBEsUf+UNvGeHBx1P+tMOq5QEV/bNXhKua97uXk+i7vC6M0meIpF&#10;YDaZSBXoqQJmjbu/7c3nMwbF2VWmYbaC8S5tb5lWVV4UNwS8XL2CaxLubu1GzSdkJtuGvd2xXQPf&#10;7jlK2wCBoE4orh10vTYcNU0S0vffvNIg6pbE3VYyxCS1EevDkf52u9/Kfo0Yx9vfSMwZ8B0rupU9&#10;KT9InvhMi2oYNdgX5ie5sA2RgIVpTjC+NdMvXKnFFKnrgOwVhH1psbrq0MjfoWEmAvdwTYfqTqo9&#10;D7toTDzOzEPw2RqX2ILOzfgUmhv0GSUfXmVpKIgzfWNmrclZysVSVr+NhFxlkwO7GnKykcNFr6SZ&#10;euv1DMSWioc69jzYyrtSApxJ/+/bLrcgJWHLp8Zk3iZej99yNOi5yuh+327fuESXkOPfTfT8+rx/&#10;dl0h6+d6iH/5O/1G/bZtsgMf1IsecwOL9RL4+/VP73z3JqOyvkSs9xXZM5Ey4l3nsIh+YuS8cCaF&#10;c4XyM0mmNtG//jz/2Reg5Wro0mMH00PU9pNmq2KIzQfK+jhl07Pt50cMc3AP+5PbjXJT+1gTKvGP&#10;mjYWpo8fv63vItDbPBX02pUxW+jJMhQ/39dg4fYEg9p6nqAQSLMxPM2DX+2tS+n6ZxtETYt0UVO2&#10;cIab8+KFhJGg2bOWNespJv2BWeoWIU9FVGkxerpNXAEvL0GrMB0A9MCnyMy+HrPTIUFk1ea2ETb0&#10;JFt4ftL5xYbjxoAzMupcE+Rf0YNvLbwV3FHsGoBotg/HEBsBRjkrBk9qstSi80gB70SvFs5/EfKl&#10;IMji1QUhdmCNG0xJ26HidPiYVfcbgmEBezo2uwPsOpGplCJcwrVUnW44V1G5wSrFndV8zsuSdecc&#10;WjYQ22Bf6ZL847x9O7//h1wipP58QGthNNV0xxY3e6x2++74pw8TDM3xLspPkquQ17OCiMEsXK6L&#10;rl90d5J907iFX7qB14qrl/PhgX8uBwQEetVql46A3+F2M/ub/5frpD5PMC9yRzZTJwuGekeKlMSt&#10;5Yopa/0kxjbduyyt6RVuhMYFIbzTJJicWSCdJgDFwsfK0Y5WypOqiWFJV8WFrUFXNnAaPCzp/64P&#10;B+ZE5F5CvZDlUU52pAZQZElCwIi+CdasuHbmI3YNp/gggJNx3fgge86U0hwsxJBcl7Y6nJgJonZl&#10;dzYwpMJKpF3l+awm0qMUXFA0yu/N3RCtIZ+oZUWvdJmgzGzpkeouRJfTFByFNk8gkdol/TsUfsNT&#10;9w/Gx57EyPOnOafvfz9dUyLfviwYXMltVzN1K+NpZRMsZlLMTzPffGxBRAVMCtXsoR/oH3dZQeS3&#10;58FiHA35k8Ix/b4mkhAJqKIc1KwT1p75r20sy1ZvbHvO3+s/pc+LuS0mj9koTiUH2RGDEDTif5+4&#10;yPkDmDpIZzL6s4UX08OU9YNeI9vUpis4XkwA5Hy/muaJFEOzEnUTOWJcWpcJvymvOFZjc9GIbq3G&#10;gigKLR49eUqYdHrtzFLv4bs4A0nAFFtIm6vONltxP/WRD9u5C2xjBo12220zs0mUxh4OFZTHE2Nh&#10;4bOQGqerXtCfg14ffDyTMbw1uLiliL0GzzafpK2TIgghR/Vj52SamXpap8kdOkGb43qg9a9usQez&#10;5pziAVU7/DydB+EtqLtMQUe13TwpFwUmZVpQIlTBjfaLhNgAPCltxPLmRCMNeyYs3hi3WcEx2dw7&#10;X4mDWOpsV9XkTNy8fh8UfrtzJvCgThIpNAnl/ktx/NOXjg0G/NWXoOBMbhuU1P6iH2U7Mm2siXlU&#10;noM0DELXYOga7ARWZozfoGPO9dnfv2XfbuIeuQ5ETszX60SjV/c9bQVvM2W21IjGrRpwmskHcQQo&#10;y+kw+j9YHMiRJ1fl+EhnZ7S1o88n84TxRHB9FfrWFjEjmB3xLQ3OO3RFTFbCmUDJi+QPpJKHGIYR&#10;cITBiZWYHmou+dgYZC3dUaRjZ9a5tZGPqAUxuLVhz6xDtLVQYIt0tsytwz0jP2m1xCnko0TTgD3j&#10;aWvlRtZ6FK48ctWEjXFQRkeYwhKWX0/IBFyNOuOo+2Qp5lh84AqURTdkf5HzuUrXv9r/xUxEIyO8&#10;+Gxv3/P0/g+7EbIlopMv/mjI4krzVvuAItpQF8CF2CIYj81t0ELa9D74CAbSPo7LEsuvoU0roTGy&#10;mEdgfFfK9gKFos1sz05sedpk6plfv6m/OML8QZsR9cyeXtpLKXtRlY9FaLep6rPVwXkWYIt9fnAc&#10;U2QyPc+mQ85hK81nSaLocycby1rCbsCYaXWY5OoZlTRJHEDoDigB60EoL/NqQaNUMtgiABMCL4NU&#10;e5KmW5wWtihRX+OPASHm2uYDyrrLMEI6Rijk0S1a+jwq4LJFipZizDWU+0/dMrY9fXPA58RI5+QK&#10;PA5OwMiyn++SJjEN9ep5M53/23XgOgMFhRnbTfDzbdMtjTGRuK3vb9wd2PG9Aqp0RYqqx+LY4iZ3&#10;dfQUvdEKi0c7bSG5n/MVS5WZHERIXvPwkWLhshss+fyMPY7q5oTXBLJRtblttwITskxBoZ9oEs9j&#10;H1tklua/xJN0wCx1jop4/0ggxmbsKqzvHrzui2GYvOC5zlfxvyr07Rti/IrS6l1Hf3NHmFadbHP/&#10;1vYbLXeSxDCQpToKXd7dkk3e78gqQijEfrfsOUfXgP7+9q3vNyTC+ydcctkLLAg72LNqfxTxA6Mv&#10;5vKkYVLNc7sRcxvhWysWQhYl9M3oQen0FiYenMF7HyilybKJ91YOMUCarlbyhFKECDKHMQWWIkoj&#10;5ebuZVMQUoFLhPWXrg9FEYWGKSXiZCKAh1UdfGap1EMeN0jRTRWUJwwAVUon+zQdQVAwoyYhRrDN&#10;lCJcWRl8SNzuON9cYOPmfE5fKvKmue6g8yQtuVRYjeP2xuHt7oOmOPjhwDqOpnBhdl4xvYU2z8Ld&#10;dr3l9N/pD0PhfY18c3+XLctoJAfV6PpEbqBcuTsb6l+xPc+TtL8qykiYtIXlacNHJs3o08+l3zZ3&#10;dZ+kHE13yzTv7FUCQKh2GZAyEwf7Ir5vq4juaY+Yo3caOcW/fyH6GtTQZSUqd00a89tQdCx2MBQE&#10;SwuYcqgEsraFEf2zGH/JUFukMy3yhwHbk+y/Kz2grVY7NtIJ+1xMqu/NAU9mTGAnFmVcdA9SZD+H&#10;LEHngJzKlBCt5tVnMlhfpA1CJeNSPeKxGVZQCAcm5nYO8W2cySQfxgtSgqimY9ppQsnQU4tRU6op&#10;iuEUj+0H31kKcnQppg7eKcRwV/HLoL9XEOLR3OVD/v1GwmcX5TLk0NzzoUoBWMMNXygzJ1CViZoW&#10;8CmIaxU8z5FHSSAIJJTk9awe7+l81OR5ewYmSANbvgCsu15hceOVk9REOCYmQVWd9iAwEKD6yo9s&#10;cjgKXQNFffCJx5po0Q6XgU64FbQpHh7UXNtUXIqOO7E+HKX0cSVL0efP/sb6em57ihG6HB7FftW/&#10;c9+v/12v9uYmO04s8kwAP/PdsPssrhokq+i6+ifIuW3fO8UDGza+6LEUyXCdqC4I8eMbsKXlffd4&#10;efwlSQrH9YtO740Y4oFcoUwo1QdoeWZSDELAMOz+EwY+ofHwYmUIAPQkic6+LGmDvsCgIxBrW5ua&#10;wsbEQ0ZRzrg18vkpZstSVCJki+QWJPnR3QTJRGUbK/AuVY8sv8G0UnASspNOQtZ9sNv0QDctAkfX&#10;buJbioDKUEMmrgcNNQ2xfh5IDW2PfPUcZrzI6IAm46p8/duv5kGVFTPJdjUo9D/y93S6X6t8Ac+z&#10;9nzCJjcmj5B0h03HSFsOFQFehcP7uc+D979dxbM0tmqEr3cX2kNxiv4k0z7ILaqufztAwS05vLRW&#10;IV6ertAv5H8Lhc2nWvFOpOLTaswhpjh3on+Oci5CgBwmVy8G2ePgpiVg5m424LThspaiVAcYGlKK&#10;ZK+2bV/Dnn0kKnGQWoduC/PPpzHRuj1p7AftUo4cogZM5HcQRIPZ8RohSKcJxbfZElw7BXwz+31O&#10;XKvggJKy1KLs0++Tu4GI9xy8HrNwSxsm9rD/4E2Cg57Npy6Bxi+4j4GV1SgWswWesNW6R7svefwN&#10;os3oSGit5CVnG3sEZkqz0JdKN0VLkWCM57ghfsihTjiEZfJN4VBDO2+EJ+x3inNhbAGapeI6DYTI&#10;Qm5ZQek9CtZR9Br1g9vr2IaZ8kxyuaDvFlg2OzdhBgEcSaH0V8ugmZ3cRCCw1+064FJMzsKBFCFL&#10;I585UaRBpRfrOhasrla6LmX1Yc65l65Vz0byK2+rDodoshCRftjFfPGyds12N1c3XsO3b0M35ba5&#10;C8ybKLjXMXG6taYPd9fn4CW0/IAhSIGYj2DRY9sK2pejlCZ1IKiMHFMyo/gS6dG398d1aQ7Av3Xb&#10;3m83eHg++vuPTbpW863MNY0AOex+UJWWBhSPsz34KYPNKcVk/HNHjmsQD7LQD+9mMkhMLWKX2ySF&#10;Xf96nY+brxJdiBkuDCGvn059ffTN2G4C0dXvogYznkg/6+PwXah7rcWTApaDJxlxqMtym2PyHCVM&#10;oTHE9M9MiQB7oCCUIAzLQukKslxsIGBbsEH2Pd2Dk6AOwsXxjhdr4/3NZRjvPxKM9JQ9hoeioQs0&#10;auddJl/R1TU9bFf3Q3ow+aVZK0SDI24Pp3bn9zoxyuf7YWry33zoi5WQm7F9/3X7+3+0esC0PTd2&#10;OXCq2fCJEbOSJIHOt0Mb1+wpGMF6/Mex3Ox/LJb76L3Zn3dgCynrI9FGAUYfXW2mso2w+XxJfQ2N&#10;Da5pWiwoKfP93R6iz5yjbkuGRQSsf3T9fq6ZX7KStGzNMTNTOP0zVnX4sRugnYrsVm0wxAz52INQ&#10;tkPYBFaiALcH6aJlbebB/iWJrtvTVpKhmIXPuCkZ1betz6RQgtIFVCrMJVtJWx48zw7vMoG0wwYC&#10;xz36//RxVUmHatq/+YbM/Xn9C8Uux4RUkDeNGQF8DeznrwmmInWaQgVHCCnjxQnhO6HZagVrQgqw&#10;VN1z8iF8qfFR50npAUNJgYNcWrqX1fVRIOnVY30Ie2UZJXBB4gK+EuuGHDGZTIKlJ+biJQhBFefM&#10;iFUxxi90hQAoaeiqZxx93JOawWzIYIOEsZ2PDvk55dbwRfGyuMES3JsJvYxK0sVIZSvQTTqeWR8c&#10;dvvttuG0eCht7vqhmw+I5+OEtVUXcTJvZ90fx3biJx3AnP3I268x5foJV6f72FzRWNysxpuJxvwj&#10;xN0fj4eLNo0aTL8ly9v93D2b3sot5HHDrcGCDpcWuR3S2Hky5RJLL20TAEL2yFVgX9qm8XAD9dQ9&#10;a9yLRCYtvEypRQzJdePsIe+DT6xabTayUCo2YMumjPhg4lgwcUZIDjehcCkTb9s8LmOYZpEvgq4U&#10;CgvERdG8JikUkLfXyIUgTSYAmBIOKGMlRQ9fo9bCeIQzdtMdiZyqk893aH72hDz3DOZXy0jg8p6p&#10;n7hk13/fjt+28wfIq7i/yg0ltC2W2j2cAPCBQQ6U7/d8ewND7b8n8AnT2r/9an//V/fQMWQU9lBk&#10;uN2yl4QTfgt7ZoDlasGiZezHwtBH+E6nB0p4T2oS0MDwO6oBrqMsQPq+xt30Pp3++0KPIWhpn9l2&#10;zi/G0DktOYdhXYwIUsz29IdsTwtjYxs+1nyKdKbrcxjocHiR8I1gZ74s5HKEs7wwQy2q9RCKDFH8&#10;E/S6EHZkQdttEpFsSZ60GWUkaXAI74CP1DTiZIHTbkFRjpm+DPfuZ5scWfEEMrt8MqMLgcIbpkay&#10;kuwRStUILWGpDLC6heBjQNzKFmmTvGpKzzD5oCHtyNjDwhi7dqW3srgDkS4bu+lKU2kcNBvKeyvi&#10;ZDVArDj1nHPvqxfHrAR+EX0CvxSnPqhxlYbFkEvCzQl+FzRu9uMEYgO04UrW1FryeuCq0zLLvXgb&#10;b5R0cCnSyQL1oeTI5Pddr7kRwyrRqR7kKbgC4foBj9/ydfpcDbUhj55Yl2/sCgNRacPIHKUM5M0D&#10;d03s5mt+LOKBZLrRcFjXJNGHatQ8k5ZgFqYsp394cGC+jj9vKXxLVLd6ssOEUO9x/WumVxZGjm/X&#10;p3e7Jbi5HLd7R1hdS9JqjmBm95+Jm/XEyLidx/b+HjNcG76bsOibobRSnDI+oPcTiVi600gA5oxC&#10;iYUTZcPbZ/AnpQ3FLL7vdo1BzCsA6R9VtZhUrSMNNMuxj+RM40i6iYPZeDWrC8bZVsqqA0sQKkiv&#10;6xi79ghJz8gYEhkS/VMN0mLVdj4sV5LixmI+iaVLF/qRXFSHXxppXUnEMcvEfUwW9sWRF1ggKe0P&#10;qbm6gkpUzhDVbEp+x/NYjndcBVl7t/3WYTQaPlTeLIefs1HaVK67Zds75Sxm/71KHwwBrroGjJpe&#10;QcCmhiCdC/sEUe5GVX/uC6vT2572Um2GqvXJ2LJPToxUMp/bTqeVO0oCfWSJt7Z+T1/EOiE05IUv&#10;yRYmxvR+7K/5D9Hht2XQHALwP7wI9po8FZv0YQ7xQYzQFwZLCGfT9Ed7dTJbTLf6sCR7TRGOkKh0&#10;2ky0zzEyjsXa8OCmYkh7s9VzVPxGfS2o/LLkjNeOupZNorgsULdizwaUPDaVHIdorUyameUAoAyL&#10;CSxcLLw5jMQVTXkpjLdzwLYh4aONcs/0juJNQZYvkJ+TCebcTOJEvJ60hqMU/C38n9ZXL3JKFPUP&#10;Kcv/za1+PXMOFsxb97Z0R/YmUKb6oO9MS/KKxApwV6xrQq46pyWCaBCQ1ESnhbieNB+PPPsNcWjs&#10;xfHzsjK/aN2cCnVgV3HZ93uhI/Dh6Qow9gSser1OzHnIl2cAAUIKq892Z+IaVpQ/Hwqusek6zZ1o&#10;V5Ty6kYvIuBt+927chh7IvBvt+P9dr5fL/1MRtMAu4ZgJ+tnRYflq8+/ypsX3f3x286oo+zMiOu6&#10;PPb7uTlOiny+chyPH8ejVrf9dG9vyiHu9w3JHBU8jg1Zid3jj1xNd+JkvMrpeZwbt6DX24FCn8YM&#10;mS4hAtl13jYFPmxhV9YobBflPmnNlbA2Nm5YQ3OiDZuWIQ4FmxQDXKFUTn9jxSL/PvGdR2Zkk54a&#10;i+GIimtc2aU6wt8amTsJtuydw2r4/1lknQezvqkqk0stZ2VHVPQQDkeJa6bBXUEml01JVV9MnSz8&#10;/AdJo0H1RKFoHaL+GF/4pScMg7irvz66I9d39Ih0ogGiUd/zNOaNd7rQO1Egr8t/s6sNyvnnWIaf&#10;wZh/flPIUc++fSvX0w1bInmQMHo76KcFevwTKcGDrjMiC/orTMvd6Qgd4PupKTjhg4DfPsklsvUj&#10;lt90gBS9Ta/96cw6q1pIx1tvz9Zn9jtYa/hFjty7/xrthA0dxRN4qsnJViuZadTZ8ysu+aLjL1M+&#10;al+uHkecrz0bh65opebdMCFHoWrLejLMTxWg6nE6oAJy6mLt87RuJlA/VXlP6YEeyx/HQlQwlXmE&#10;wM2rQXIR/9EBQI/2KWl9KpvWG/JkUXdM7YFzLdxWJay8M1S7ne4n2pjCEbQP/cNTu9aHDNKUF5q7&#10;XINER2KRCJxdu1rYN5MONzLuKwHMzjh1kwfENPCh1ol0O4xc/tg7vW27TiU4R+zjUcpKoHTzkpPc&#10;RWovCH+K4dD4n5roHEB6WSbhUHqdPqc7vDhfMp3v/qqLMg6bHjo50Dk31efFe+YKhxpnX+U9vAaU&#10;G4p37efpvJvzHZtRLCy5vbX0BvLq6eIKPPH+ZfX9/s1f5o9/ALxBIEAuzou57R5EXva8bQkj7Pvj&#10;Uc8DDYlHvHYPtynfMMBCO+A49la2t9tt9yQpP6xOGkhu150F2BZrpy5VvolRxtaNzKBw8gijxMac&#10;wvWsbDpIvFnpUG6IGDrshkgvagq3J2uGEhiMu0W0U3Vq+KX4+f63gB8SYhNoDcNbTkmwhmkeTCjv&#10;JdupUxeQA5FYdFdFvSdTTXoIlMxCN2227PBSr5MhMYl7HI2bxThOixa2Z37pq+/nxmopwycW9KxT&#10;aiyOagaqS2olNLTByVc/6QQZx4crY2QWSe542Vn5EkKaPdKv3N98JDX7KwYvfl+VPzsy8vdsv/wL&#10;il+NIAbqUxgFQxpxd09UjzYEX28wZqijavbsKr2GaGh0txTe/SOSzmIO6/Z0gqeRnaMuddqJyS4o&#10;ZDxhBaWSRzpdi+qZxo6QS91n9+Q0f3BsBOWJnkOY+NOE2TxGzyDQjnSLcd4Om9MA8VZkVeMLaHx9&#10;GLd/vSPty5QZCKfa2BZq0qgEYWNmK09T/Lgxe+fwLLdlOObj75KlWmPpyuAjOcNf37F70bLh+Unv&#10;sc6ySH8rHuiZHLNkw8aaBjVt+H5wuQ+epzQJul/yTO7VFqeNv3xePtJzfYZVSYdYBwUpPnDfzNP9&#10;C5QTx7vOxBCWrUfM73UtzqS7HzAX2JPtoAt2N1WdJCQLdx+zzuHTxdu9yboTIu6rqKFA03rNyTS+&#10;P4fHMez36BoMKo3IeGAQNm5AG4abq1pUqnEpRc/gXnvKgXemed+k0QTC1rpsvf3Vli0jTggZuX4x&#10;iH86xQ0Ttx+14OnBCzRZk2GtY2GPH0hmN9BhTJmkuCsgi2a0fdqv6QzclgKt3mMrxyaE+Sqj++0G&#10;N1QKI/2o2q4KG1OUf83Vhp+kKhJ69b/ZrmPRuRS+GXWJp0sNc8ZB5Mbc/tGcylCL6jJzO5T2Pthw&#10;7Uk+tDxQgIC3XvLYo/Q5j9WwmqokNEhqZAglEHTJ+5zuSAh89mgOCgzocVR1GPlPA7fJgdZNviet&#10;CSXv4dF8XQvPpRL+G+qMvDZwifHd/OJIF09D20uIpzVZ95H5SV5b2OdqRQ/SI+siY+DDJYrgmast&#10;IcXpQmsjkLWZZ4HFCQo3V0nUHOPdjnf/HDKp31maFjG949XC8BPryVxud9u3Ye32Z4V9/a8Nf47I&#10;39u2b9yDBpuPjnhonMMqj3wwgz6jLwd5/kwUgBLY5pweuPOQ+3YS1p/nG3Ska9hsrzm16B14eV7M&#10;LzVQyw2244POyrfTb2pruPkyDPa+KCbG8KSt8s9VvzWqcHz8/dWPJorVEHt++PY8aE44UF4rXrff&#10;YQr1JU8jj6PkU183rZtG0jHjVHIIY3MPc/UUXM2K3UYeVbKH+URILoYDgU3WtYUYaOxiEUA7+UoR&#10;uhZKfocGutyGIx6OfbKsc8XWUXL3ZrLX6OOTyxxD1ctL85ubernrlqgQP2B/5XGdPLVBlikI6ttQ&#10;fNt6Y2/htK/wYlpNcgGaAygPagEc+mEwzEZC3qBemTpCYqku72H5T2aCUnlhCtqVh6HZPYfBnkGz&#10;wQpqyFU/rznMZ6aimRIFMkOKMGbgzOYakdzyf/DA9xbLgQ3GjJUDTYPAjvUSBpu7PKDRBDSqgaGP&#10;ZH4CHSbft+2aUJE8fvLaX2f6Vs+23+3+DZFvQIZjT5qRztP9g3VfL3pe+X1wnXpv97RvJ4DAs54t&#10;4N8ztR/v7/Z4uEalbDf384Tn9f1eJSZLMUEwsZz/Bg2DqJYYskpW80RJmb2kr8DJX0s1zgDYwBas&#10;35qYKf7h1RZZidGCIscgQmR5Ctc8KHgLpqVEBTbGWVLmnoYMieKH2jWFnEbPMPB+ZX3MaypOxGBQ&#10;pnFAayC4PsDrFfruUP55gw1Evgw9rDUUyvyzOWUMzY1SO/mCIdzM0DMgvcGD5pkOAK41hg30GpUG&#10;e87+fcjTpZP72ACcKuGcfgKAl3EG+bQHYRR1fv0v0V3+UuWjGnT7+7/ufHCw0WcL7o49qoaOjVCe&#10;lT3tqGYdBWE//ylc2F9Eef3j4U2PnNdoIXupO71PBPtLsR2gOaNJc3rlqsgZLz+BhLZYbj9jIINI&#10;/GebiBEh9InjQEgN7DPjmMw0Qc023T6Wzq9fi8m53oafStfc3FN6itKNXy0npMgzy2Gs4/vtbtNe&#10;Tpnj2gzQMk1+kvK9dHzZAQP9XkUxdFG/8ahl+BZW2udzo8CwwD6n/xZGaPS6yFqxlBQPKx6q4dLj&#10;j8qZlPhNbKr0vIRWL7g4kmCzbF/8Bj7zDTGz10l3gnvapbjKJY8A5Ii05eKHS71OV0NwHM79Xle3&#10;AiyTPGbWCdMg2PI0dDGDq81R2aqNXTJg+RK2cLgWtc/N6NjLaHdAclShFz67PB/1HlUfX+N23cUN&#10;xwPznLfhTiLw49srhKvOmRaUPWC2owBUvioXcrp5b9vysYPbBH48JIYnOC8u4TAq0B8/QAvamPtT&#10;S+7bdr3x8viBDahDaq52ON4dJTJHEa9ilfa9ZjsQFn8dNMUJK6c9DsxD/X6cOIT269VeE+TD4yMe&#10;/qIUkp6OE1NtKVp+dYpVlGnH1qGLQ5Gg3SQDB+R+MoxyHu13yOTWlTm6tFoV2YpBSvEdjKKMnC5g&#10;FYe/gKtIXKUF2xWjhCATBj2xNt7By8maFkaFlVkBbhv3QJCtRGyCQafypR2KesWDXSOF2nvWcyaV&#10;qdpZzE+wVpHwK9KSCTlO54ieooHzt0niFcX4WD24mXWQQjvzCDGZZfB7AcwSxOZtc0q5QeAIjjk0&#10;jvBzwV0zrrmwUIBL7g8INV3eJrHTx/nfnUm83aB2z/9tdX6v53Lav/+644NijHKcO0kNFGhAZXOH&#10;oOpBvwWANea2/nmibBLTWELmWOZpb2MjPnWJHV2JoiNrnYsuulkmm6Hyk6vCWYKO2FlJocNtGV2f&#10;rKosLcZdEtOInpl6fIE1Kq5ozP+Zl4t9phjp4Xuq80urvIW4aUaEjA9e1Psmy+f5GZA+0cU+HUL9&#10;5x8WIYmhbxLEtmQh8RRIqyAymJ9EHkoPqDp2AljFw3JhNqgRgkEUyQuJrRMsMtNRP6jEFYOaGKcY&#10;8m3UJN5VianoZjMQeZqV2zBQCpxWJmbJpi0EP5JtiBGvz9Bp1luPp58/rSrAgcs0N2LWv/jpRlct&#10;DiZIbMmKbQHdkcIJmIF1Bgy5V4kfAaEprjG+D1cwJObIfbWQ7MNN3XU13atsD6itNVB9lBHrRid5&#10;gAUcFJPwl46AMT2KheQj6rhl3rbhFXaGSNBF04/864j07b3PobQlNxhwwK0Y1BhSPwJ+91HV95EO&#10;8VLI5Z52FTsqdwStmBLvm/tu+p+jZBgIgM+BmDd/3Pedncp2Pkiy9DnbBgDpgKqbpQE53byQ+VKz&#10;Fy+c0F204/2HuaHGNWOgfsA7k+l2N/c22zqzdVpvTG3gPUULUwvXLlgLkAqVxbSa5DOxnLHVkyhl&#10;fAi+8TrJODMZScsgV/bN1PkYdQs2UBN5/Q/3IqY+KPZnCAyS/nuUXeiBHibGZl+DHmLPY4F/xjnp&#10;Z8AJEsQ+uCq9RZI7aWm1TQVgC+xmKii4UeYafoYO6XfWVlooHX2JyzYrgu85pAKZwTLjwHHbGJfW&#10;HBfNEsepoYAY1XZmB2KFvEUk4ZKE55vFk6735SYHPoGOX4jz/sJuz3L+yurMr+f3XyvsXTp75S4a&#10;XYWjELomhv76295ylt4LqZe92Rd5CT196rz8pG+zV+KijEskcVPmEQ9JdCgy9fjgT01PmnCdjJss&#10;R2Tti0qsf5xSn8ppbOeeRlJKB+x3PV+omcZ7b3Kr7yN87xUNTaJzpGd3tME8zOkz7eKYd1+pNK+M&#10;2WeR/cjVUF73kuqqQVBYcRp5wuHR+lSe08wBluVSycLLG/OAxTHvoVCEhkoy0SD7wISapOyS08ym&#10;jTSPYNMt62ACAHmUtx5tZ7gd9hGBlp/syh2185yxMeVX4HMN5sWK+xO6oAjq4pMEtiAQ5/YEqzWM&#10;xjTdDmxcAy7ZVfiBPuzAlWPPYXZqoaT2L2ipuDKd+W5VZBYI4ZLgZEy6xZnfVINUzxWD1cY1atze&#10;BNEVFbCMsYybR6eAOnRZPYyNpw+X176KRBnYrx97rwRsFJhABhFUDScQQtr/kwjj1lzZI3Dhwe9P&#10;0/bWgH0lUIvpkoI7q1DbsiGv9XF/8yOnuv799E/Se8rix8nWsuwSXDMHBPvkrInw7EaA3b2Oi3Nd&#10;PFbCP+/9mp6vgTvWW2frI0qW3tNEJkFJX+7WvlhRdf0T91vkKEYUilzJkhDOFLfTGkg37CV6OLa3&#10;NECK2eTmgAwqSpHyftVs14OSTAhVNr2SJR630z+BCig+j6PKY8tLcapEPiAzgygWWBEHLMzoyJ5T&#10;WGvYxLC5u8r84e6v2MzxowHx+mHnw5FPD+1rpMzQ5afrP1YBy/76GrrDTfNcj2VBx3+kZEU9Vmqk&#10;CvOGzHtf8ki5RjckMpb7t+37L936f32Z31fF0u/Hkn7917PRcgd2u+CwXU/c0drb9QwWMI3PCm/9&#10;ckDIPxx+P1tBpdTsJ3IlFmPoF+lCKEk1rueZB2Za5q3rsPWopw15nyzLEhvHD5+pfcBoe1QGs5Re&#10;0Gdb0i2//pAX5cAI8+2j+OZVbDFN4WzuGzlCMkf1WZZhrwuEMPT7FAruxBvDDtvSaCFjw2FPGgo/&#10;QmtjuPWStLSirovv6LSg1ceS+T7kk07clgK3zCrYTAoLC2YamxUy3fpYtBBlnWKQtOTuqlQvMRih&#10;aw6I3TfwFiod2YyaP3iuxjjSiJKRzT+TJNGvQELTEUYX9hlZM7BtIQwpjYkAwP0RLJcPZvQw97Zg&#10;8QfqoacFXYeMz1SVWKV7BLtlbaWooFwHUCKRj2RQU7Io+PrFKZHu8uym4YthpKdte1naofCr9AVF&#10;n37ABrrA9NKBzRwkP+BUuV7fcv9u+1u6Zji3FdtzcBS7Yt20uPJh9HrgPZ/WA2XbNbbqwy7Xm31s&#10;O2hoDQvUq5T5Ja9Ict/gyl19b5RR8PDhi8WbSBthl3TU9jiPUk+30t+39MvfvMe+SsOPHyC6erPi&#10;/p4gE+zYum7eg8uMdCydI8cFq0So75kHBHbiopmK0FBM54nm4PASqwQaObElyNEm/79JLaJipnw/&#10;9ncN0Kt1Ggv0vkptAViUPnNuZRHaRp60tN4A2Sj2CW9S3vKZd6OiT2IANN2oqcf+L4JhqfLUo1ki&#10;ac/d5ioF71T1SVtOr12J/BZRnSIPmxRNrnqE5IJabU8zPoiCyvubjz18CsXigV4JQAhwdYI4SAds&#10;t++uDrpuj+2ul6ThPMt621GG3e7fur7L0p92RvkDP5dP/lxvdrvlt28YqfO+7btfAnp8BOegIUGa&#10;ymR0vfl8/9EOnCar4v2Fo98jm7E/C/dGcSCZdHlpY96ywdkNpHEYpvS4YC+VSDaSQdaY9mFdK8AZ&#10;3zoJLsM2LFDQNs2Un2bMn/mEn0dYm3lGadhg2jQHGxwZ5T+YbMGGFC8NNaW19NRciszde/pchq+M&#10;GJkpjO6Ov6lE/ejhiBh+v3iec8cN3xab7jTxTPlExWWlex3jfGbrETrDHKaao/0OnwKFyRepovqT&#10;ZBP2bFlAjkURDEWuZiOfoPgxxGVyGB5gZhYO2cMGxS2XKtSBYKIaZak5i6QH60NUQiLnDtkx7DvR&#10;7dAYqFQQLM71PpCjJhVFUhpUbI+zxRWWZYw6Djd8iVEYn/YgRduMXZTDIzw2gSYDgEMWr7/+H/9A&#10;LdvpHIh0giyrZDh2GqnqgIbc57qeSFiH0ZQP6BuwmpOe3Vl3ijHlvJB8S/RVKQA+rblMEDrEGlIc&#10;cpJLWK1ev6NmOHeXjY48JWZubwzOhiMRCjyAxB5fut/2+/12v++W96vW3m8NKbpeT9G3Fdc55B/O&#10;r6G119V72Bt/sHttkiWRTf6cVNh5llMXOSlNwIXniR9WjKittOgKgAHzPWtetgiOHjby1bBrdDKt&#10;7w4tLcEjPWh09D1vnOcZY9cTlfxZEr2ak3KW4sikg20RrTesjhrfF1t8X6cHUxxhjbgXTqgbMQ8A&#10;kdDd3iLssp766Z51xcrXTEmO+mnYFAwLCou2EvePM1ExFDpFCxsBZFaTz2QDR+4U2rdFZxbAjR9R&#10;t0Ggh6CVhIHMBZNpSiwV8YH+sRXFZgsIWkT6H8h69atiZiMo6nXAe2U74hcB9L7t5e17g/fCzXcE&#10;7l/o55abnOaHa5HcUu/6wXeHZLGTf/z4/44f/2jv7+k8wfxu/Skf8vdrd5BovwjeDU+XAWlNVLCk&#10;qZd/Crb93XEsz7v1UwmdOAii2IWNyJ8qe88AKbKt87OAo8/Y2s9HxgFqJ/udkS6lJzgn2dcEVJEB&#10;njIiht4iTNQ49CBYWy7vlbkdIfKdWA6SQDX/eXgdThIm2+RlRxu5L26OsCFPo8kmLYVrmvICutjA&#10;ytvsAXRji5J7jprQ1AJr30adu9QO0vC1woSU2G36f/Gf0GLzF35geSrmp8aR0vqU6RSF5Qp/Cx3C&#10;cqRxFaY70LkRhsiF7BI4FytLouDpYUGlPwjTw53+jth3pZPvzdNr1fR3RhbsNy6KkKfTBgEs2vtO&#10;6orRc81tMIuitDwF3mXv0hCXG/DXB9S1Mv4HZ/BqWA9HRIf4WoYnV13bTSGoeOO4pxveCQ6vfIAm&#10;40XSBO+fCDZy3oeIi5ufr/vWUC3283RJYj22x/vda5WTgCrNaSzfnfZyjcFVFxAWN9XfETTuHq7m&#10;fzawDK43+IADdQesWVhffY3oDmdysgYRaSL50aAREe3hhzDkrEkJC1niPNqPeSncQbZscwfHe3K7&#10;Sb4NVqlW3hFxJQEPKpmlNjc8vKvJO83DkjXMXzICobIWJfJkkE28RC8LyMUREcOZ/79CapzLLXCJ&#10;K/MiuQDMeTkg4FSfN9WsHPmOzOJAWIdj7234gfgNANgzY5L0JTFjPjLVbahYHjbiRnreldAyAQe6&#10;OUCqV14SI7TciPxdGxWU88SkOUebjk6hIbip27fvdrvrxbf+X2e8+7ouOMZ//17uv1xNxh6BEgiY&#10;cEKXNzxod25uOppOQjLX430+juP9t+P9H8eP3zQCRlbzDF9NT9Bnf2brD5+Bl1LTV6TLXjg0TKCe&#10;EXh9Gf+sf2nAEj3PUzexaL4jVSDO7tz/HNFTGGtP6Yv43AjUS8/ElM8vXR8GTF/wWsN5InPh9Llv&#10;qNbxSvxVbV3dvzVr9uE8BhhDdtbyhRpsGMac6+L7sq62NrzLMDPlPia+4cze3JWjyfSsD3JeWLzr&#10;UjcbQgkq6s2WqsYhUZ7dwdgZd41pOSoVUZ9cGdRUcC4woI7MKBsm6D1MK+kTHZ945psp/Ecb6xoS&#10;iUPNq7u5N47lboFWrnO7OCtkqyCnM9tMITKoghl0F85z1f18oZXutOXJjUyKMD/yiyMjtKRMKHhP&#10;d2jd9EkBYWUSkJ+ndIwsbyxsPiDmm6OmPgp4r+sy+OsYivaS3D+ccPfrZMdgZ9t1ELh5aY3gHye/&#10;bPXY6+HOjbUWjfy91LbBe624i2ml5f9ZmCvk5ej6ybcHnK68r6oZpjBgF2V4a/sfZVN4bFTB8V/R&#10;FXm6zx0vYMcHlYXOeztVaVemDExuXppShIju+4+BqWljLtWSJ0ZX6OV+iB4I931hXOHpkmFOGEB0&#10;M+2w8fmoW7FgNfj7taqKG2HK8QACj82wNy9PK34/dzf4jwuFaZEtmORml2z4CS5Tpv89+ajgpiIA&#10;vTAPL5At3MtYtuXjfVjHVxF0t8RIy0zzv/M5Zs03kAX1lRhYBseVXecGHzLQpy2YgxI4i0Q4Y9gx&#10;KZI8VW6+wOZHDqA+RWRKgnFap2Es9glwP9gCNbMvd3Wfsyzt6Rz9ne+1oMueZ7p/a9++ZxS22mrA&#10;adddRxtdwKAwFXr36dDe/Pi77o+r/j3ez8cPh0A9QxkMV0UBDjePoSvt/dW/DHvgkbLxulpb9mEZ&#10;W2x7fmNMcvm9dzkjl6Y1iC3k5tDXw3MkfvPXyo3fmcMG5X16cA001+Ze1JbL2UeXIEgsFLUDFs0f&#10;/EkjFzgplrWP2v9h9JRut9mgSA58Wma2pnhPjXfAmk7WKY/II/daA4dvGVro8LYgvDgTAhs76bv7&#10;TOEQm5zeUeK4DXNmMWyhLscT2AI5aTL4XQ3b5hxsQxw4nONY7HLg59ZkB+M8C2spQtmfLPZMaWeO&#10;/iWXmnm1a9f9XI/rsb86Yd9mlW1v/q8ZE3w1he5K9iBLhSIxMqLX8tVHyyYcGa1ypfSSkLd7uoa8&#10;RgITBeUQKgogcoo/jtVMTg1sNimth2ze6KyKuDTEB7Z2nPVh4njhSI6Wg6B4c0nc9WenaLaH/ZUX&#10;GB83sepS+5Ih/CjwuWab4kXUF4ogaF4HRPPtUaNTya2ehTFhrd+ufz2P2+NHeTxIkUFh/v9pewMu&#10;N25kSRcJVJHdkmfunrPv/f9/+M69Y6ubZBWAh4jIRBW7W7I9O+v12dGVpSZZrAKQmRFfoNLCLTRe&#10;qNt2fRkvcXt/A2MVdyR2qce+SXhBXcRYPDbqCtK1ADazMTpqfOA7SStF8mC6xcdd8d7aKAdfkWTL&#10;ri+PJUmS1zimSJTkzppSIiAlayebsAefYFkEPgYkrQs9BnhNUr/ftzOLQG4KSoU/Skw7CiZKYixH&#10;HOIwDm0ObzqlyZMYDpUjWy5MuA0hO0NUuGhNcx6fjiaXokMH+IkQSNloz5CFsBXTGMC34GO0Dwc9&#10;UhilgsHjhl2H74dQaXf6zh5JfeT9zpYmI/eIHdBJ60BHddI+gUeQvVKd1d3G7+0QznjOuxZgb9jq&#10;b1ZXincL1pV6TH5GYTdScKfys3rOwizxVDuYgx00cvnF39W/goCVZSnrhb5YrG+QVrk/3C54qsdl&#10;Z3ZWogWg9cd4nF0xvMNYtD/e93Fz329w7ew7wQRqpPcTeVN1hj2JWqZY72/66eLI/1mV8knCab4w&#10;ZK9ljlLpPPazrFyx/O9OVL/o3PbPXG172sc+qmH9oXQBWT/pMfvzzn1oa8xFlFMjPYN5fXiTzhmK&#10;J0//8Rg7eVzCsxZmg4lB45zXOz2amqsiWJDRWZR8JY5vDjPjWUS6kPvsAUxnXGoEfdWSZ5VvJ1yD&#10;dw7sUEThHnTWZ7fnU9SUflgoetS/VfT5WP/aqGdI34gVAYOwIp248l941G3aDrkNN8Sx7nrgkfDq&#10;tv7OWAJoGqnwhqqTfULzMT6rDdKpsn5MiOMTITIJqgrZH6ekCzbqDAsclpmt+YakuPnmtn8CaBKN&#10;wPidvRZe/MI6ElX1fmO3istj5XtcrtC4dmRQhDS2EfwIkjVsW2OBo+SdRvU8/aKUl1KJy2hcaXzG&#10;S+38JvdcHkChjJqPznEZPKRc0meeaQlcBPYFEUWSjVP41C4LlpfH2MAfgGbt+z7WkO5OR7DxFla3&#10;CJb04F8aTdiIpBq90bWJ+V+Gzx3tXJscujRVne588NXQoSZHHJFQ0TmAdoV9zhbWhBx56O1QwsW5&#10;MXMT7dGYY+c20GK0GELTpJGoH7AcQ0W4GI1iBaKbuiFqSvF6++4JuhLyHHzB2VAKNIHOjjw4slO8&#10;G7DmzTcUnb4oaemthZlAWUtNKgzMhqkM2terSAzaTV35miibWi7GrRHXfH9XREXz9pgvKmXfyrZx&#10;I2cXXkWktQKDP/+2AEBGNthy6R7UaXJadGW+U1PDu6jlZV0uCDYK2vW/1fP8Ky4I3yP59H37bbzq&#10;uIUeCPAyVcc6p5Ts2huhb9Hb54HUg5c6x8stx8Wpl3x5wcm4tgkt4JFBSlg7mmzJ00T6TxqM/Usc&#10;5/EDbKZKnhzz/cOHP4qss4/AwnM4Tx8B3NLkuAUC3X4uNbJzYfrccT2ElDZFiCHhSTbtYef4BZfM&#10;eyX6IekvOsOnRrHLu5xl9sHdYK63PF9JC7mlzZPxZAL6p8xuOLMgR0S87Aw45CZHfmSiETqHyMVC&#10;yJZbyDPJ1NCq5bpbl5qzRakcBrVXay7zmNbm1x4YPL9OHEl5VFk/iEF9MoPadA+rqoUmIjka1HMw&#10;ztHFaqc1ScOTx0c4IXQsDuCVbBzGrAqnLbozijj3KXblcRhkV1Nnc7UlSWlpGrOBbcjHot2jgbkI&#10;29+09ZEbt3AxxR6735vz49P8Hhspplw1uWOjIOH2nF9afchaimx3WinEzu4eTKxyVRG1lVEIFxJk&#10;dnoQQLLA7kl9gZIIH8taZPhj6CDnMdFykTAh2UMRwU71wdivjjWr4RLt/qa5EYISWZHN2/tWxvIC&#10;NPVeHSGbab2wBaFW2Oc2iYPhkMdbHktqEZYVtyX8Fmb3vI9X3HW5FAokng7M2hgkWquRvd5Y6zD7&#10;UCcSZR2oS03glojrPpwZl9E/Ztxc8y7yMsLtir4wUqCo7jjoqU4CC2GNe+NIfWvSX6CQVNZgRMNn&#10;JfemsecBa4JtuClZSfkk6eDkAifGk41+stIfcbNhZxo3qqY0NWvSiB/TnAhKOHtCSCyUM2TRQXLM&#10;mBCeKvQe2CBl18TjV3GTZ3z7EJ2OTaHEQ61Vl9uzuSdI15dmBj6+uW3wQ8CgMv7uhqMneqcM2IKz&#10;3nuohMriPJqBPu8BwobbIa/r3r/mejzhuD7sfPY0ALI/SSE/Snn79o/ry+vjft9rX5fMwONCXxTU&#10;PmpCLUg/K9SB27XotK6VrqLUQwv0ft8et/a4yS3rgQ525PB5WI+rMDwLZVrPnnuVR9hg/7QHnNOB&#10;JFY/por2MebvtDscG5V6gPkklnzaw3zgnD5St7v/ZrMnf6FNVknsXn0Cdya6NFR1z1uytBmWDsHn&#10;UZYefo7n/zUfd/kjmqaNVheWYkUChZ5cJCJjJfcLtTSznHqcMv18ggXHM2qzs1/OSqnOR0/h4uoo&#10;N45fmKmacjpmYzYlYWGNyyRZ6IxZJLUQLVjyTh1pdSDpvlZJomYRVD2rRkqKEDKSHJaoo5j3OTGe&#10;UMHXT+BVjvo7S76InERPi8am0nJJ01YjPCmdy4W8q+6plHjJ0plGMX65XCi4oxQAUW3AlxDZVOko&#10;p2kQaUU7IBeY80P1nzzqG8Vi1VJd90ZyvNiqiTWgD5WyBO50A5oCmmoy941R8gd9GkKOrt+5Hlmv&#10;D8IyrnnHGK3B2PdiY/tZX5bCpl/2MHH0aVl1ZG5djHKh0iGv+3qpK0Lqm7AB1LmN1RCgTnih8lgn&#10;0qgf1mW/XGwp6L8VAgHoXcvUUMA7sO1qDY6rfimgfMpXsBOitpSCKpBbC8Id0fFCBfxwWhEu5jU7&#10;v5YRxMyPovJp/Gl0Y1UDkYHoJziNMHMkoHjI7Xngx71yem6z3+UtQHl+fh17EvqZidubFvk2T69x&#10;qmUXQuy2pp7IYWR21a8OfhquR7KohcrbPNhZQcRkY8rGmLzHSB3UEpNqL6ab0yabM6u6j9py9x6/&#10;xnVJIzefYS16+bLfcaYhs43n2eLhhJ7EC9pYn1B2tijhzEszf0/LGx96KLYU4IAGSUMLRItekXhY&#10;j/3YCA10iAolsMcm8kzcuvZdrRg1azy6lPWaXBf7qW9JrPyvJnl/tW/X43tM9vINzFs1v1ksXwvM&#10;fWiymKuqeO4Gy6i48DXiHNxZWbe6Pbbb+/3t99uP/9nf39q+1b3KC3HYW6Yj5pAsfrabp4i3Sj9L&#10;1PtJt9R+YQTph8E7vK5fXJFn+3n/uCv/7MLaEwPGs9ola+5hmu92+PwOLdjMsrP+F70s0zvYJ9t5&#10;5tHbVDFMznNgs6lXYaPGAzWkHuxhvfNg8Jzcsscfimw51hyMAWrBfC1ci+iR7jMB7ej0zpUmoJrI&#10;bHDjtIqS5tYIySkjld4kQbQjLh5vYy9lc3iwc856+C4cLco5oVa77uqP0r2gFNrTTnHb5QQx6AcQ&#10;P5mDh7TtchlKUvxzL0wHy9SdDCbmBfYwiu/GM7RgK+o+bZSiNbw6nKxgfQxC/1ihVuVRdHoQieL0&#10;2hUI6Y4uUFlXBqE1DQxNWRnGTmlzoQEqwsVT7KQUurwi4hV617VKUn4dv7PW5lkZ42+0y8tduonx&#10;Lbv7eHFr7KJ+XSONRSJ62gebs0OKhmKMfivY0lBjVZK60ObOJMmMH7AudWGNxYb5zitdZtK6QRPz&#10;GOfmvaIP16iwJC9dfvbuTkr3a2rRf2HOuw5Gr0TOeOEe/Q0HGFGs2BVtdh6NuFCgT6vZSQOdxaJU&#10;RzGHKJ/bydEb8sfE80ibvlazg89/qEzZp+UYDEjMFhnrsuwlx8HGWVvqq+LIhUMZrigVtQfNY985&#10;n1uyDBse4BdrsQXGOrsbL/xmet/VJ8moySunAJlhitS/aOjJcSCOU3Q7NPNQaBUzk9BfoX0tRgeR&#10;+3j73n1q2Jb6yL0FDiDTjI9jrkRx0FGjWU3rCEa95VD1jFvz5RUqnp8YAX5pY/87fdKwXhmOgNLr&#10;2HFgosyY8uK2UiK0SHdCLEc+JeTp7xF6u22jBHzcRgn4Vm9v/fGwvaYj1faUqSjmVGgXcj9rOiMp&#10;9SPN86gFDx90PwY/Ebw+jwD2seY7kpL7VEZ5qGs/MXf6gdb8UpX5UQt6muRNY2P2ZkgKj47G0F//&#10;XNMq25yPdOrvniSr9rTF9uQQaIuP3Z/3Zu2FuU9u2CEbnDFlfWqxJ6BMTQz97eBNaw0AXsB6OFdx&#10;ASunai3eU5tsbZ8+hggIsHxQ/pgZFFWajvPeb3QJZsuzijYBeetSQqPaA0aEhZZe+DaKG9/moYuQ&#10;uQ3adx7SCveeyWd3F4IChP2CCU7rVy7yh+JMiIMqaSbciFAa7Ux6o1hloThfJBfysMljpNJybGFF&#10;IpVCtUWnpp96BZUcrHvtMBtBZva475zAcYnA4NznZmUhVRD2Wj1HhYnziWWmd07Y0d6J4kQs2vWV&#10;AnqU4lCnydyGhW/XEo6LQrTN2Gwey4KoPItGW61FuhThhzXnGY8wUwmhwKxtkZMHLgh8vnHyx/iz&#10;0eRMrgd+CNu1Y8l7rEte1+YuO4xV0lKkMCqio7EFujtPFR+ZiUWQzV5K4rqTx+VrZKJd2FO+Zu+4&#10;vox3jhjxVV0SqnU9WOCIW2NrF8NLNiqjhW/2lOvpS0Lmne8JkrRVnJpB0ZLCnhF+VH86inv0FGEZ&#10;Dt4gZhQF6UWaTWjwbOZUWoROowtqbvENigWO4HuoRZKTjPDrOq1ikcoOHY3ok7UU72M68psjTBdA&#10;YMCc2oZeg7Ezz5G58Gzdtc9Vh7/OpCoIWHBTusAQBTmWhAsDjxhg1uuCX2dnQ9D/MOcay75l2kjy&#10;+AUMpiasT2YvgUdVrUo6EOS0Qmjis9YPgk/iZI8zyPk/tXaKWf6lYPHQM3K7u7xsVEZxycN5653B&#10;fuPOu+GZGm+k8iIij97l4E/6jX4kM7CRve2PcaTbW9sqUQuegerQ8Tx3V1f9WbQT0wRiyYvVz9Hk&#10;z8CRNLOjTtuVwgN6yqfoH+vPRLIe6TcnvFd4jbtDsU/xdIfF8OQz6P1UKtpBCA0PXA4+abMz6y2Q&#10;DbHjPrO7Q4QZEUVtBj/ZU03vTXPRpeNv9E+5iJPRfOoRO5GgPx+XelCq51PdQ8+5+1Axr4uacsRR&#10;En1hXoqotdyFYM1tcnZSoU88LG5OozK1X4u5yLfPj9SnKys63kI9WST5yaI1E2eOLK3ADzpXyDwc&#10;aSVICcpVVQ+cIBXZt2dmKdYV8wzZQlFAx9qxMJ9v6cc3RWSkArQnrh2bGanNOoC7sjmqCvLBdLpz&#10;dqrpUyfIZ3bMNZTX6lFk2DXAxcYKI/16Aj+seXxu1oISqeWN5ZVvkdI2sj7D/K/vN+FsxvkZQBlH&#10;ptuO2Bb0HuF7Z9Ms0avXtKJh2aLwhsoLRvdlAaELu7JQoqCTmi6jHCVAk01j23YuFtcrppZEa8vQ&#10;ve7YfIHtGAUxN8Z1XNhldfALB8KFy9mlU13MVZnJgxCzvJALc4XKHF/0yqOMzlvkZ6SdHMtOQCje&#10;L4W7Bw5JgXnSFvKKjTcnLyD1WTVmB0fetc/53LgnIcYuQdUUL/Oe6zMxRVHJXa3IiEYRsq77lI+F&#10;mnYX1lJyXB8AI5VoMA/t3s2ONibtMSy8KklBaB/rMeyqpTzreTbMewsDTndc0tjHLi/Uc+6CsaFd&#10;STNlbg8OGp2x4kR196fkfixxHtE2caMZNfwORWgdNfsls+Lv4e/FBKFkEH/w1N9NuhU2V+t6kbGI&#10;3R1CGMjTmY0xVJnrury8sIXejzz6k4bc1/wPdeHEfJ+X05+RrGudKy3ul3/8F/AtELLRgsoB6c43&#10;uprwneOEhyMqe6O2qVn2Ve+PM9uxc97v2/12f/+xPd7b7Z0tjWgfROZa9Aeaq4CJk/Z+SzrrYDzb&#10;+uNe3nWqsjNYJNqmKQhbMzf2GeTeP7K0+7P6s6fjHdiR8DO7pf4GD+nqLBhcYPBxu3Yg01Fe2teO&#10;RHt2vfeviOFqnGR3Pc6khs9902clsKN0jkI3ktDtlLx6Qh0xc6wpa4CqC0mXA+bru1QjppkSYTXs&#10;upts+XxWiubpwSq1e2519zOCOAA8ltZknyKbPDOEyjr1SWQA6sfRq7lDaKzmWenXXOt1gBEFiqNB&#10;cbapvOz+4Zs033QRmP6OEo6omKdWj2rowmg9A/0ExYf6nDgNaset8BxUSRpq9UFlagogRBQB7mrr&#10;KcLaDltkklVc9kKMD9crA9ISof7LeC1k0kq14ZlTaPC2wjzYZUWyvCRPHDUiwAGurQfGaRXNRAKe&#10;scaMOvgO1tqycgDZyLFbCNZSXh/GaU1ILqzRNfuodme97iJt5rSNre+Gzzk2rb5t904jFHEhWNdV&#10;yxT4BZfxn7kB9+2Og/9YC7eGqPoXg5S8IPOv3dAPxK62KQC1juN2fkEfbGx4EAqO/Q+ixNrWbDu9&#10;deP/vGMjqI/6oOmYBF0wJJfZ/fN1LyhCiROp7K4df7YaBaRcrXLzgZzUquH58/SQpoFxC2vjpOWr&#10;aS+BUxf5XxRizZi7ojAcLaYW6UT+SVnlcNBOf7fIq0KW5zwn/8ZQAXkocuDVklRRyXvplUUq9mnN&#10;DpFVUjlFKyGZZs8jcz6nGNtxs/md59Q2anmyBfTVg3ZDVCgygwY0UFafKNw1r3UBtJZn0CbCKh/V&#10;7NMZ3HAw1Nf1Zb+8RnCO3lkLGCllqzrV4/a+BLnt79I7/wJN86SoG6vV5fpyzQsghB1uJ3Q6mhcD&#10;4yG8MEOa3Yj+ssCHkz8Gw+JO9X+t776SP27tNrbA++P+tt9+NERoarzJ03Fon0Kb3slVMXd6zhq2&#10;n+xx9lS4tvAZe1j6NKn0kzrG5p7YP2x4+VMaheaLhy8j7CdPlMvuJK2IFxDsy4XYp9QJky6+zPzk&#10;Gd9rp2nceeTw0c8Xk3EJKvzbzTqAYlhc5Sf54tvuMzG4BKg6Ted46scoMLZBXXYXS0asfAChWRRg&#10;gf2Q8D63/nDmGudt8YY042Efd2ttU27OIUfPVGoEaykfCgCFsIT7yk8ympJI+jLJVZU2hpLlpIgB&#10;Kh9OHGmb6IuNYovJH/B2qy6A+mfRgYSLeYOmEdgODLEUWcd+HrlcuLODutGzZ+QyVRwPTo3o7xzZ&#10;GV3llKRfNZ1sn/yHIa5Wg4WqkWcB+VBlapblvOlGyFoRWNWOX1y+9XJlaZv6JEbirCFkFYrFtizq&#10;s+5AVlIF5Viv7tkFXOmKHrRS3NesYHQOAiXhIMylb9mbyaO4f1RsofRJdfRPLyuI21zLsReuRa6J&#10;nWpDHbIaaRqPffPdHxwN7RNJW1beOyuGtKM+wyL0tuNUVSM4EnkRZtcydkfsApeyfFtJCdA6OlVc&#10;HCwpH8q5mD0ePFckYq/wcSCP+dz6iriaPlUpOVy/xZfVdgqMY03JBjbmVX0ijoMjzQN880NpNuf0&#10;Yrfd2IRfgmQWzyukmzjG8RRSva9hkh4zO74sPjkbf9LnBvGB8a3p5/PMpOAFeUYVy9y2JJB6YQNA&#10;5zLklqyZg0OtsM3DW5SiyBflIp9dJZeJuOtgEslGSqS1rkZj6ckA22ouikE8SF0u48tgqzMrPlAz&#10;XR4CdqlXIJPxJoqvobx7cz8Sh+2vbn7+zifAI3+R/yAMuh86m71clv/6fzvpLVr+NzQsx1mtbHzl&#10;otQUAojGR3hd1+sS/DQ7UY9PuTR2OLke9/1+e9zetrc/6u0d2u8pMcweIzdHU91OXDSvIWayjifZ&#10;pFNw6y/FL1Md+tUg9Cf0sCN/tc8swvgWTvPNFKPROYyb9fjkPkeMyFlLMw8z/WCNfPKnn11/JyOE&#10;q73cDsGvyp5ER18V4YcTYjbvzqeInKav1o1nxRMBzYd/Bw019TbRKf4jmk/sUoBSUjd7KkDV9SXb&#10;2aUxEyUn+HjM26ZioHt84LH1zxS2bm32Ynhi9kho2vP1C5sE2VGxIauPylW0AsXwlIVSaZrj7A9Q&#10;p0tMxSvtWedfDP89N6j5mUwWFCV+4n2Ili57nxcLfMJrOIudOuaGEp7c/fiTFVNeMMzz1Kd02Bmx&#10;Ho/tDfyXSdanv4J1QAWIQKSdUVK7W1h7OJQa6EyOP3l5hTtg38v+gDKX2EkmO+CEXlk7bqOqC6eR&#10;Co2C7mXaEdiNlrUU95whGIUzpIKWTNt/HVXt+GkvDLyFUHNdfzQI27Gj7+wQfP/eXn9rSXUvHPfY&#10;7Xa/H8dVGm/rgusP9wK74Bjs/dj3d0rkKu/x277vkB7g0ryOihJBDwByX6g2x9hzWYnifuiZDUiq&#10;PA6LT+pM1fxcDgL1Ln4mB6gyJXf2inOcTqintHNqYCCIzCHgPcbcbI5YLGfuT/ekcndk9+S7INsV&#10;mp+hLdGjz1n0JKIG4iQ9si919klUqyUdtG2abWZOBbcfjZRNAmfq8PmikS8fIGwjtxPkWG7tNNzT&#10;mOFNe7bI7zVEZjV7wHU21aYmVHr3gWUjeV2pAwuZSvyLJQLu4UUBL7SojmSIdPJ5v/Vl9SVBG/y4&#10;SS8vtl5+Ab/8S24/NzF/ZXWPu0Kp1eVyFeM702PECU5W62pczg0HMLpsKxvnvToL4Fji1XQ+AmNt&#10;OtkgVRo38LY93n5/vP1rv7/V+539iz4zBxSet2d1PvvZutDSB6u4zRUl0J926qB+lZ9kwTL/6w56&#10;tzpEUzP/Ikb2Y8fSYgkrrX/YYZ/aLqdOa9jgvtie5X3B99LmNhFRTSX/6o09HU2e4G9RG5/qziCf&#10;tSh5FRbqZaCfnZ2ejCMQT70tFhH9QT3opEKrq+jZuDk2AS+MIznMGvFUYb84jIrezu1TbDB7/l47&#10;O59bjYux/pGPZaHe5LKhu0KQmrFbZK7arC8pxBTFaRw5s3zIyYf5jN8TLlhWnJTZcvVR0pwCC+wJ&#10;DDTpwnhmWCDCHOXeLopgDmuK6JlS4cfIvOmUXStnUU2cftolcPEqn8NxARe1iiWl4gKh5IG83+lm&#10;XEzINOyoK9c9IcSahNbAVbMDkfVa6JBiKrPUfdn3OM9Aho7GFKJH95Xqvsj4xdqXl1UD4DwvBq/h&#10;ojkQ1HttHIivELuOxx2jvkqn73JBNi6ciRx8FFLzS/ahwkJvOEijCXjhvF6Uafygyo5XsbywA5zR&#10;LPUtZLzQZWz9vb+RjcauQw1Y9MTm2Yk5npQvpprOTzoWDQp111Fy7dMr1jhii8dtsu2ST/V4O8ml&#10;0KcPSFJe3/C68pYlRemejZwOD6J3tuiSyNwAWGLtmsaliHWTIhSW8/WA8nrGZ/FYwUxfwaR99GAH&#10;suZj6O7SiTXgHbJAH8TyV3UkJ6ahmKV6S8C8wqW4+4xj4eycuG1UtPsRNlDvk+fP0znvT2mt2dst&#10;vu/2xDfDAzmtIdSdoYPaupc4UkGjw7HkF5hz0p9F6PxpIfjZ+f1xgIRRn86r6UKky0ra9dYAkdhx&#10;HHDf1sKve+MRJ88Npc3UtyOx7ui5e1oChwrjXn3cfrRxGt1himLnvDqjD/mfZqd6aBZ8QWyYi3k+&#10;mQXsgy+gT2ughXxVjoN+lNDPBj7rES07hS2alOQ01QSp21dhSBNHFuBqi45o++TiOFzvT0TSmdrw&#10;Jesa0wjz9TzbZL7YzOTRDp3PkU4TLhMd2vRpA3aM8zHJ7DNw0A1QhxFfXTIqRfpJZ+QgGp1WtbB6&#10;dvTkATfPv5WuHCVJ1HlHiayuk3+wnJzG6QGrOWYGfmv5dmf9g+dV5+BMn5CpbkPpgiZhtn0Tkyy6&#10;DU0q1BpMAT75iXZszqxMPBXTRjGu/+4eiuzJqNjz8JqsGrF3LojSJR6Ip2z28nxOhk4dnwIdLRu7&#10;cDwyhyimedyaumd5YVJmUtHFMSd358yJI7GLTbSYuCUyh4/epRBsBd8ty7YsnJU53RT1K6nW+BN7&#10;K3st5JmNXfZelkdZ7iuO5EvdCAEBjU2YDUGqoLvpOi43aiqBCHjfNyYuoF/6EpbEhR1OCtvQxBQk&#10;7FHbnbvOxi1/fJxXdsjHpfu+XsaOeEN//PFtLECohxUbj5PTQvugpm46fXcaNVkC2mJFvzW9MKqt&#10;j9UY+3LV2w8rtxT/tU0GB9qDcVK0pc9VwWaEGRqPWNNbn0XDyY9jYflDXJ+f2KeV0IuJOc3APFg+&#10;PHNjvlLxTL0Q2UObQKPjVllW8gMVRq8GPrVaZC97UK1P5tAxOPy6krfo2RlXq20uk0djf8u+03cN&#10;jHiZqsd6swWqEbvO35B1qzJOYTKXXRUTcWBdPeBJjAvcypUDdYnSxBw3r6RsJRJ2Vw+GvAues5mZ&#10;x6mnnzZ7tr9N/vpyi5up8TqLzMwH9CG2dLna93/W1ibCONONs6NdvxeXP0qgCts7vbY69XzIM7Iw&#10;sz/vtDFjAQu53m6P9x/b/b1tD5h/g/yZe2xQ4XC351S5/lW/MqK6Phd2/aRiCZjy6eeYnY3tdkT/&#10;HaeE/gxTe97/ej+P6vozhEy3W83PtsEnEYz1yWi3z4qXA0l2IoTOKu0EZptxipbSp0jgn5eDNmvU&#10;oOC5BNUUpWW0OhwzdyB/Jok0Od8kT/aKonmCvHOkagvm0on18852P/wmfXpN2X3qkw56pNe2psYA&#10;tyoqxCQJy6epbvYRi4QqZEObInA4wSrTVmERZcZsl875mivtIdrZVaFurmJIPSQG5KjjQW7Nm7hJ&#10;O+GyqtLSlqYvgcBlCIWQajf+a86CvizCZNOkjdMx60Cueux+MUyDKQ2rOq47p1+F9YIi3LI3rOGp&#10;kIa2EraU9gezbJe8iKBxUUVCtar6rVCNA0nsQwbZZ3euahTx5ALBQkAV1AcYX9yNfV+oOi0L15nJ&#10;3U+UKQHe35onBSnFl1rfZVmhDM7p2xX29P1xh36PTvxXblfQqpBdLXjpuMKv40qhgB3VXH1ZL98u&#10;l9dFIBBs7LftsSPBB0v0y+VSFs9IHm/hZVlf1rVtpCriY7bk6hBvGzQCt07Au5SFcMoz2Ty71MvE&#10;/6yR+uwj9hlvpF973SdPO5NdHaImy/aM1sO/xN1Qj1pYiCsL/vSz6eJHF/pijBBitbh7nKfNxLFx&#10;gNhA2pypWHootofyhuYJFduGlEr1wZ3PDXlQrWniCfj4Zs35Ax4OMC6ReS0YggctxjCJQp5a1kxD&#10;HmozN21bZ6C803PGcRC7qas9XApI/RQ75DtINAAJXXGDcN7JUEqPYnaLoYPlIS7O12/5ck10E/0n&#10;dr9Y8DK1snNghzV63K/X3/75v8Fk4DN8q/AodMbYVvbqE36NvkJxuw5a8TkUO91OMvs2PVUf9Bcq&#10;VegLqY/Hdvux396UCKiBbZ+Wjj73jLlDPe1+/Ylh0y3QfPa0+MdPcO7WZ1/dsR+ZPfsjJ3ElfSas&#10;/KSraKfpI/cPj+L7Eqt6qJIOgeoxjTvvyicPRjrU/qdtNzrxdvQov7bef/w9txZ0T7gNq1sQAGLM&#10;KMBdcL9NDSUnVnAAoA3eSjrV6nHK47NhPhrxboAdnQxXtpBNXL1b7u8u+Io56M5ZNCA/5ZQ0I0y5&#10;nJMMAjGqJKdMPIDsk8dbPeA8k6oJVpNznDu5xyGLN0lSNdXBAZRuaGa6oMMpIfgEapds8xgl8cuB&#10;z0kuly5EUhOib1RR9zzHRW5GIekf2zAasI3CTt7gdAF4r5KY6VFocooDQMxyqTTqodO63cfaZOt1&#10;+nakjNBYcscfBrxmPNtFlBl44YsyuFlZWlsAcGHwTPRsnBUiSjjblwbP0+u+4XhPB3SpGIxdr5fL&#10;2CNbFfQVKbR121iJkpkyNs7VXgDgfC3LK6yObu0gOwo7wXUsdNhHm5IZRjXzjrZsW7ND6caluMMX&#10;EvzQ5O9yvOHvlytHAXBQYq4ZvE6B+aiAnSfUiGJPHixCv3J2X6kU2vLgqOZH5yC66/ORiL6l2yzy&#10;4veDxkWK2WPbCByfFhtlcfqu41z8UJKPCAXkJW5tubb11Xtk6wvjdEzj3sPfEqF+3qI8zsZ40Uyi&#10;UIQail/kA/uipAJbPGHNCyzeeOC6SfNVuHmzdaJ8KG9O42CFsxejGDyJCWmum3U2frzcoTSGA2k0&#10;Eplw0qOa5Ekau6A/Nq1LJduQ2+HpntyrHa0wTqXr67dxZprqlb+3yX2eAs5O5CnVj36Tat9+K99+&#10;q/tW5Rpj2b7xhEHlZ3hcoIiRf6CFmW66arQ+zZGSstlO/06Pss7oY/+7v7/d335HIiBgRq65TznE&#10;JhblxYlezLkGbdA27dOz/5bdDuGn29lV7LFv9Cf0TfRH4ugUE+1+TMVcjSEd2aeRaY9RozmQITx8&#10;bhlPHxgyx5MYqdHPEU79VPt1oRy6azmP7J9gkU64rM1QXvsJCueoktIMdOrHLsvWmcI/54wzt8Ov&#10;If1H9VGft4E5GEuLC5VsNihkMoIyKhap3GwSuZs3kkiRTiH0qP0wKXKDrOaPN/15mUeu7GVVRKiI&#10;BcDVpfr+h41kYSnXkUjBvEEpv9lwrCTHFCb80TZOQSGPg+gtE9xOiFhWKWAC5xU3hFiOXU3dCbbf&#10;6oxycW1q76P+WmiIpEdQwBNy4T2g2VNpSC9r2fvykchKlLOW52W7X3asWWVWM93P2nBfqJFBua+B&#10;BbXwbFlVFuCK1nuWDKjhahCY1RS926IAHWfwvizeK3QfBv7Tzrj28T5ftweQMM0zBqoUjNsOVXin&#10;utXSY+ZKylM/dqH7oz8ekgmP131dLgvnpqMYbEXaSzG40m3fHhB4ilayQG6Xc2C87boUiEa7C5Iq&#10;XTP3battyjrR8Gxy1zTGIUnLkh3Obirul0XwiRmmHpOJyMxIxyMla6zGUQe/+SgHhY85IgMPcPzk&#10;Zfvqw0fB6alOClQGpO+d4UCH9XtUrj5ib+xnLj1F6KtQ1CqnlPox6znPiTSXRghjq/lEikYf7v+F&#10;kzan6rDlzppfNlSVd9of5POmThNpVsyociOHqdSxXWM/9nKaSU7X2Ls2kvAWcx6hQIdsCkEmtRs/&#10;JhGtlO3IWEtFkkXqGj+yymNbXr4xZqT9nb3PnjJzZqYV8YSK7jv+zygA8vUFwqgYgyxYbZBa0zhF&#10;h+UV4uXwbGMDbwFtOhnHYgl+/p2PQXVO68mMO66P++P2fv/jX/v7W5bjqE/xGnu+H6T/7m5snz50&#10;YEtOtJc+UX751COMcsp5o6du55MLxD7mCH75J094624RPdwPoWY3+1m52E8jxr9E4jnF+vSDHmpf&#10;exZ/zfQ5En6mmyME3CkQzz2a1Tp+aAsSrDCSXCgiM4uUbQtxlEK1+azwG6tqgfBoL8bP0UCO8L2s&#10;uFG9nvnG22YGExV3bUaDci0pOp7rZGae5T6Kp12MM1pr93Xdl0uPj0n2/lKYC6gQb5ZiWn6l0AY3&#10;hZ3CIgxUxP7leb7J3hoqzieMzkfJ1NrhmHvh4zQfuJY8dFT3SfawRvEYMn+OBKcRNaAKZzx23LU6&#10;3d9FBFRScohvJdomLxfkkLXNI5A0qqHRHeAx8D7cepgjv6yua2OTqYoDB0+Y5o26EqPKyyzS8kZa&#10;TV+otlB0Do+nuyI+6CXcgpZ+XZaLcCT84bvU9jw2EdscbZHeib0wzzWMG7trVkkw2vi7t7HoMMVg&#10;vO4FP7xwjWyRC2OPVsfeuXIVhsX+8SCpt0VMhtLAizrUcyzc46avBI7P03CfnSdaC5xwpo5KdghZ&#10;P8WrRdhQf+JO+Z7axHvp1WNpU0gHsp67uruoMh12prI/ChqbjOrjN4sO4XIhnD1l38/KzN2cw3tP&#10;RVd4feQdcXvrsxhIzFmcIbdO8KP/lVujWi0thLBtpt730JqKiMQp7hKYeghnGtgLbL/jUvcYQ4wT&#10;2w6VGYfYKpccbczeKROPKezEjFkbS5Ym2YT3ow+qMNX5r8fT6nj3N/JsecrN12u+Xr7bysN1CymH&#10;VbnNsXZVoJuw/nTO+LNSHdrULEKV9oR0nsXFhH8+px4kHiuogYcbSU2Sy9VIWjLhmPqZJj1nRBPL&#10;GcEpKQgMEe0TAQLeF3MCSvQGD63LOSq3fy0s+iiV7D/ZTrLnyU3Pu3bcns7r/MHedtyL/QwVah8d&#10;6148GyPZAiz4pwzQn8/8jlcwO0NrIh82VgmqkNTZU5ptpoeHsd/doZTqWgunpBtAgWStTyxEDgFO&#10;yz4w7CGyZ0YrvxzQ9Eo/sD6ugDX2poxqa45qcqwz2c6mfKkNXCgiEGEmFHHxrFQ8cp6fhx5j1RJR&#10;Wfst/MC7qgKfTXLQ5cQZflOlS8LBOlg+rRp2/ZyDtxHOrub2KzbCEiYcor2PrTExILM/A/0SoPFu&#10;WnDNLTu0xraz1IwwUlCWqVJm5axIIHIpHdF3Sg4mpTpG/Hb3DPWw6dTIfKgUfmQNo1Klzhx1k5gD&#10;lysaA6OSfX+37T62QOVRMLAHKj4YGCq8fxW2jZXytceyrvXlMn74xkW8KDLC0jvjqJj+mHUoGJvK&#10;taB6++PxWFiLMzh4SWGfuShSp/d3BB6lqxtq8a0vWdF1qiHyfvvhFvvQIvoNrNi1aG6bjtQKevR7&#10;cDpovdfuYiU1ObuySTxX2Z+b1tLpxqMkTTTisCGxka3odqyXILqtXSIXaaYgQaKosvNKmBx+m5vt&#10;sCRe3GuL40ztkx0TqA8JbBTa0J1lU71fbawRRdQkr5UxDmFOGme/raJEl+09uXPG5owlM+8DSARK&#10;jna29DTiRS8+ox3o58uqeYdO/bE+iqBdJfqjYwrv0M373rpirhGz89Tk6WE6sRYM4vE+L9fdZnyL&#10;/WlOwzmg5s/tEB7SjK99wbfTs3vJEl1IiY131L9b7RfyrHc/1Wt62ndB0fkdNwE1jpS5md/2dSyQ&#10;CgOA42Bqvb0/bj/Gv33fIILvzFKdDfXoNxxDsn4I/3o04T1auD/RomduegDCygfhR3zvzd/Sx/D1&#10;fnjz7Blq008W7xCmdOdNzUgw+1AI26FhfTbje56IV3Ht1O3u8uXyOfQOlEWMcuRVKofhOcz2qGy/&#10;KjGPNPPm7WUFSyrSL2vXKTPvt7N1olMJm9N0bwdSiEoUBcBxcVBvKQAE3hqOs5LnUPTkMYBBUmIK&#10;qiemRq3rgr2myLHsFvN0yoJnDBPfM9jQCwElMRuFkcgYvmx5dXc3BykskRo/xByCsM9Ja4F7EtRR&#10;6NW1UgJo96yXs3nEobjUssewsdEGcSZHOxj4Sdi/Ij+WO29evZXUW0SQT4v6Tn+Ai5HN4f85e8MY&#10;ex7LQdsWSFQq0KMXCdk3NBXliMfyjWhc7N5pG1sR40abxxfjwVwBUYPEHPuxqcGbnN8t/iqUfsWj&#10;E/edWJlxaevY31YVVVxlQQGpRIx6IyEtgFyXjFZniWE/STetbzxGCJa/8uvj2C9trd+2jQVnIj64&#10;CO3FJNtEqplV9cm9WDZUBWwuP5AbikZzRyyOY/n74VvFbux573I00OYfRP8eDRDmfEi+HnPBJssz&#10;bS/H7G8a64QwcjisjkezsjyQS5G0ne0EgNReRY3l6mcUme0E8GzYeHAGGZ+otdjrzJ3vSsdQOB+D&#10;MDh16/oJ3dOtuusQ2USF1S9mSbzBDW5O9ieJGZvast39G8IFi4ymxZH2QXNnekMjn1NV/Qk0t7eH&#10;+exQbinmZBEZwRfGTl+Ndgttz3XjAFVBinrMEB/YZ8mEp2ZNNJMAossx8RcJD1+2PnP+861PF7bp&#10;gcfVvCNqq61SeJEqsY47GXYPfOkbW+6eM+EQVd8fWCCmPWaJUW9PY82X8QlhzmYPp/XHDXEQ7z/u&#10;f/zeHve+V/8KZmFiXyzeU3+Yn0q42XgMdMRRc0WWjLPqZ+qOdyVIGZz/3ezJvR9hzs+beQ9o2IdW&#10;r0kPNvns5yrti/PAQQRx5NxzgqGPXO2phvbfUr8ufwXxOZ0DgjkSCYNt2sGjUpcKiy3B5gmHkseT&#10;LdmfMAASDfsEN2a6WQl/cfUis/xJB3uOrOIAqgsFJiWJhew/GtSWvYa2WLOQfGpkCRIgogaUkkjl&#10;PvfTddJUJZusuE053uwwMX9gVy+A/iP6zfF8Zu9M+pzYSTK+yzpEXBgov3OFijApPiOi6yxnmiAs&#10;SvEhb9OKzLrLGPnt9/JO8VvBxBNXZac+tjQCxrSYju1nXUdhRQUdmfrYJ9J97IVEbMCVsSwwioUB&#10;2Rw6p1jjurDXuq0Ui2KugyvvU+Vxrl/gr+LRs6/EtQAwVgll5fyp84IDmXG58KDSMle0nbcHLinq&#10;vLIhn6mOk/tLhnltvIXbvt2BzMBF3aos5Pj1q1L6xrWDFRC+hp2rzHjfG88f40rxL5aXgj8xjn7Q&#10;4LXJ0MM3vYyLse3tfoPqtYjSsvSQ7Aabofl5yiun3P187ndZMwckONkON1ub8zPBqrvnvLrudh7L&#10;w7tQ7OBbmAcp9tBQK5aL3hVBW4AiK5nBCItzNVUoIQCdawD3LWidePHdgMORmz8Z9LBz89MnirJV&#10;6ZLhKEZh1zvLyk5yAA0UHOkl55Ctzdy33pQyWDT+qGm/jx26InsZM/VxyDCpWk2ZJzLzuX6HNWjm&#10;HiE9DpQBnFZkF8TmtXkehcdHdCqWA99FrZYAM8sFDPMcEfN/dTY0JZP9rw6AxmFrxabrumVuZkrN&#10;nPhe1PBkOAbSq6/UBVh1iFCIOVok5fTQmPSefupDmIk0/LFj730fW+Co//7Ybm/IijqNs+yXOT8n&#10;0rTP009onBQJgNa9QXFqNnV71gT5yx2a/DRv9PxVGoMrZfo5bPZjYNN5gOgd9C+AnfF4RSLSacQ4&#10;N+H+2cffTwl3n9A2dgbcWD+x5k9oM5/gNZPFwA5nPgu4qp0SN0Qg23X2YdZMCtiNxI0LZfGFs5ui&#10;neP0Jcw9OETnoksrCbaHvZ3j9Bmr5nLMkBx1T2uTBJxqzWyOX8nQTGrFx6FRHNESeFR1VtCxL7Te&#10;czxWJu+aQJdllGXIHvMhvH/10sWpJB370Bpbmm4P8bfYPvVoBKdFse7MYf3kGG6jaYGnolGxKfys&#10;KbedQ03P3+ke2zQVnCBRjTovex/NTWzkOCfX+iWgMtEbRsACjAGooTcoRojox0VaNJthrwWMsX1B&#10;iVaww3Y0U3mMoYJibEhYvV62GvaOjlLycqU2slecP/CHx0L7bb1cSn4wfX5c6217bI874uhru9et&#10;ujAtC+ddKZ4ZN8mDN+AVJmIuQFTTyMXPshLf3YMsAkeg8YrvzYXfY6na9gf42ssK/CzQGTdgSk3l&#10;poZMvK7Zc0fFwGzuDT/i1SLZg6er1vxunsXWvjlFkSWgol/NlSIYD8e+WJ7Ot2Sjx+aaDq0ffXiu&#10;WkKXHa4Db75pDm3Fnem46xY/87E0hJak0rGesicnj9oIc9FHMzc50rBYZCprHiGQ9KXLy0Fb4cbO&#10;KnavLE0dvhukdngnoKxTSZ7qo+ldgRa0eRXrpwAPfnGRi8u+sh7hk3peOIhdg/nm/geoc+v1e16v&#10;fouLgVcucpvgAq6X8vLi3eO/OMabrnb7i44vPoj/6/+5vv5G02eTB1Cul93PV37kGe9pSTmkVikf&#10;wTpUAXCjNsHLQwNpM7rhqeHZJ6tSacyV8s1dzKTtdqvbo22j/ttnHE8Ajm36uVO0wD5qGufgL/WP&#10;BJbotx0b5Yxs6Ic58YnW4hGHeVLGZhKlHVKbGfqg0Z+1Q/jiEs1Ds/Nc7dmT1X1y2uyD88/TPNMp&#10;xdjpATPF44uTgTmIPrIzDolJP3Q6MSCf3qMjhtZiZtkIzqWxpaFLGUHjKANKolxjbmkLSxZkZTME&#10;Yep1soXuKMfl4pNQsyM5ejqiHXy8laO70LgoO3RfsUSuOfNkGEPAwM6WmkUigTL/siM/sDdnTr8m&#10;B4OLBLrre/ODatIarewxNTMTf7QgIR5jT3K2t1eaKIFZJnhxfsn5hrGhOe2W2sgHuSu6PDIVG8n6&#10;2vXhtN+NSlcudqVu0ACUkjxvGdLGheT3IpXqXpftAa0gRJuroJScZGkWxDBuvXEeRPdlva8AuJCs&#10;lulDNeDpuN0apvqCiMq/hIKj0owvVTO9IrjsiNJF/F6W/7F7EitbHdlpTRdMoPbxj5CsC6VJFTTO&#10;XONNFk0aWIDyz1Chkr2hX0zboa00QlTJIdL4CQiHYsmeNSl4jDf0/gPtIiXG1moxesohxHV6voUG&#10;IS/iSoN94wCu5MUijYDJ7Cx6cx0JCmUFUZiiONIhFKVoXh2fI4byYDgVn9axb508hp4D2o5Nxdl5&#10;WhGyQt5RhHivrykbiJsQDHmtuHG2e8pVnkpxHxWp5ww9MVVMxOqiNwCuWKHaWamZFYQzz6pQlOe4&#10;JdasQwaMoUVfaJaRl/pSXzKm2hGPcWMWtOtjK6XOJmitHCxUD3WZ6BsT7ccPur2lZTFHvrVD26mE&#10;o8s1j5psKa5h+Sv7meYaf0Mgygr29Tc4RGVDUu4KdWiCxnIBdT28hsQ7/DyakrMJnY9BWv/MaBY/&#10;ND1FGRxkaCqNNC+kWm0cPZiIe3v7/f72+357N/HmO5M3vOn6S6S3C4T6qcv4BGKxz7Cb2ZGzzwXl&#10;Ocnhq5JtEkCfgGGpf96RokJztMoUakynvJPOfiaqmebDfhBhJFy2mf70SasTPU+bYtcYh4RIrWvR&#10;DIddlb6DWZ6uf1dXspKRUVgQ1gDMZbkAux0dXqUsWareY/KjgpQS3XUDY2PwE7Wl00SkuRr9SDAH&#10;TLmcfDweFM6ZQZPp0NKRZRgA+/HqC1dUBc0sUmZ6f1u0u7Fx1y6N23jFR5MZSlBsH6IkhohW0a5Y&#10;zpXk2qnFYgQwawiORvaqXJSqvilruBwd17DgGAvjornIUqRB8bMx1rhWFNeGCVBlujSmdGz8LrUy&#10;J4gSP3n11kUwKi7JaEKy+7ds3KA4HTLO8HJe166qGtkUCzvVEBbIXi2h40KRUd/2zJwIqO4o9Ryb&#10;iqT0uwSz9IcoVn5r1JQ+HpUfGDYpLiFtKbV5SktmIDtkn5a2qk42JDCiKY6fdsk5ZmZNcY2vuXxf&#10;mT3ESU6lVdzHHTilZAlmS0d9BokoYW89mpw+KE/ylRebQAxl9iZ7UuehjCkmhovl8/3my0aTWKl4&#10;2jF1XjnShC0eNAWX8+aMJC4lQzves9MfYnPgw/NXNQod+Berl4E4UbZzFYNNayk6qfhZHDZWFbL+&#10;Wi2SY82x3F1mSXeakagJqidpopwpbqVv1BWv3Y9j1a8ey0ePtbYZA26i7FGrOZttpa4vFTxYtGqd&#10;OIydO+J4jnAGqrKISkCs1XZLjzsxCwGmE2rHZ4F5ub4WKdEmLzOlGQ3752zPX7U7/ZCN0c33f1Zt&#10;LbD34dhaSDITZzsrKhmRXnbHgd69fT4U8/+J9MUuefEJ1/jsGnAPtLlmbxoJNH4l9mI85ONBut8e&#10;72+P99/b41YIQmuCeKQwdXun/FMv0mMy+snvNxFep+LrSQ2agsacPw30fGO2WSV+GFvaaQuMcHRr&#10;p8l4JGsdc7rnzmczOzsQn7/Zns71a7jOpwilz56qHXKo8+njKQbyqeAPBcTs82jdUUgshftQalh+&#10;UJQrshWlCtFjPiHoEmMx/fGTOLO4PT0m/BOMxOLLc9PUmlWGeLEDY30ug502wTKjhCsxKOGOz99z&#10;3UY9tIA525gotuK2TVVT9wjZQJ+2HKBSn643dmiLUxgzjaToltJaLS5WmbmQU9krQMx4Qtt0u1AB&#10;mo8Me6z/Dmrj+ot4COB9sZLqAJG5D6E0IQckz5Ass/sFTvbxLCGZV6FSfvOMrYWG4nEhV0TJlFE6&#10;AG9KDCwImGVb1h0oyB0KGsoyCRvNl/GHC/7uBo6uVhnAZtaCU8cNnnoNOzMJ9sBu8BYoTDOqxDbT&#10;tJJ8stuSn4eothrFXmWMbdacWIXnvFH5FI39D1pZ/WD3jeBmKeNA/djRWL7yqR1v9XVdmJZsGrIq&#10;9q+lPXsokI/WJNeBe+LxMC0+uvhose4uy3Ta3Gz7706RElSanmXzqIMjq4QLid71tI4x5SOsGa21&#10;A4ghA0/Y8NJsDIHf3XyPZLeiOzCMNvNUHT+VZbbH1S713kQIYP4f/O8AF7CUbZuf7DmGopJlkSZU&#10;nrrkB+spT4CPkgcdDhFblYCLaBhCqHEgrUujj1ejBJTc1WHcVcIQTgch2yT7JOc0acp9hnRqnw6K&#10;u1NqjpxsV89WJUVQ7is+kSfDyd7TYTqEVovXdZzVikAB5dQLk6Wq/rSXmfOfeN69ucB1bByPv/8j&#10;ceqv71ZZxJVdAB5RE9vwTTL77pzPlqOb18K9ZKF61b8ltrYT6tpvC3YPoi1QkuUPMQz0afXtsT8e&#10;2/uPx+2NX1tqKdpxcuEcp5LzltT66bs/4NHTfz9LBNc1zDCGp+pPyqae0nn/nBWX9SOQ6AmDOb0E&#10;njruyMHADLoqQ5NO76s/CWl0OAi/5DxzpXDnzkbtBLA8bekHWrynGeVin4Qwza9EbCHCEiIN1Oyc&#10;7zv+rzU74qAoP0/txHL4o+QU9nNIfhq/enguN68amjnZ6+B3dgbqMRX1UtCDrTsdbM1DVtWVIgmw&#10;e/ylySpj7ELoi6/jnS1rWlSOMo5JA3ZPLRVexasx5UwDD0kios5M8hg1was0JzTFwySnPeRQ+nE8&#10;TgRy9dAXNv9pV0OTcE+y+MtrLBkytGTUKmA+V5fC+YensOaonqMXqsajMv/Ycy2XHcQWrJvot+KD&#10;IycBmCSa8AqjIh4li5xW4TsuMjLULE1HZYsTJ/3GlNciGhynuBXTPuEVi8zI44qMZ3A8fY91wSSK&#10;VF+kxvfkvTi2rfCWYBnEKdXWBejq5t3ghyL34C/Ajx7L55oJdkFcrSdpwIZNoQ03VFXVpGx0T8DA&#10;gJBwkGLcv92XwJVqrIzg5mP3fBIEatfDcYc0u2cTrwepU6/k27IO394GcnS8oyBFm3ScEYkKCyh0&#10;3kXI2a0qXMnyaUUKcG5LfnTwLbFnfwyFYGU7sczsFE0WSStADAL+U0d31N21o2Kb3QaczXabkCfK&#10;PsPzHBkpau4xjg7fErLFqupQT0DGALhx/k2ez/LSl6trK/ueZLSwU8KpqUBMogqwGB37WM3+Qk05&#10;nV6yY9gwtvN92d7kWGuh73RKvwQHpAyOIywu43LdlxemRyy2Xg4j2vxmsSS0L+QfOvx5TEe3n4tf&#10;+C0pthBGW/+RTOOCD7ORQMNPh+Gjhz3gGFgDU5WjrDl3+s40sP6p2pQXYmK2T8nkT9WJaw3xYfa6&#10;3e/39389fv/vrhaoxz4FXtXsQwhq08kizhs+xQg6+1cQsBlS178yxH0B5rTjxj4XTn3uXGHwCOjK&#10;R9FPtl+2sGeYUsheFHY/nRWhIvL0JZs1QRAOfgr5DA9sPidRBYYbYz1TukryvDc+2Wxw+S4OBEnL&#10;R8qRsti1PRTG4/UQmuYTd02feU5MbSby9uzZLo6vwpJaWnPjA7YI7VDMXZA6WRGy0cmmZAXF6dj2&#10;9qwMRdoKZaVK8od4XZW53he1c+X/Yz4OJmhM7XUkMCdtAU2k3EXPEi1wzitu6HBqETbq8XIoljK9&#10;InbasJkpChtAEZu/x8lALSnVfSxmiISujMD2CZCzrQmp3BdduEKgtZgAtH73et32hYjr8Qcze3hs&#10;fqKG3WkjLpzKqbuW3TSWtCtoOVrU6dKv10uhSxLzzfsdf+rl9bqubgxiPj2vaSH2sNkCr8UjwD1K&#10;Wdx5zkD8EMieDIUBAcDWpMCErHnhbwvKms0ctV4jQKRS8ra40lgPchfbmvdSv0B+WPbHvYPEjeKP&#10;0U85XEl59lOaopnmoEGqg3TmCvY2yV+WojpRAGzph9xMJ0KT7d1TGjT5SWo2Or0gn+JdYjwYHcjZ&#10;c4pnVrdoRU7ePIb79H+niqIgCdUKDCptUgBZh2AbG3tVF8Oaus055lEPNvnG304YSvNMMNcDjBtO&#10;APRR0d/A/RnvJEcOPO9j1ZeZpzotTngzuK7S7daWPOBeK55SG9hEiegJSRPG/bjd2/22dyK8W4s8&#10;CJBUJNDNyMWCDyS/fC8v36GggdamfzXk+ncFL9KSjR+bl/z6fZdfhz2dSxGLrjHb6HD2LdSm0rrk&#10;5pVynKI8D7VPbckMe3iajXnHrDIaYq9h9FADSiWGKfIDANamrW7U6Pfb2+2P/97ffu/3OwvU5pVN&#10;tw87VGanu53qtVjIP1jgnoZ25/b/sekd/OdzikQ/fPcy9XjUte99EYYjhGFo9u18W7eIUGcV/FH9&#10;2S0dXouJZcspAh911zqhPt60u38OvcyJ83OEeijU+QhWcgu3R8OfdAH+jWgW1WKDF2SinLnYIkXz&#10;XAS1oT9R/BYmSQfnweBcT/lp7C6hafFXEUQ9KOwcs1USJf0Rqt4XJCYjvhetdM2B9z5jbsGsSXXf&#10;cLvkPDeeWZQXJjjvgIF1fhWw6KXJQ0pOJ9QcPiuznD9TpWExJ4vKu88F3I+cnYHpBFwZc2rGP2sq&#10;lw2XC4v70tuCaRl5H7xKOwPtxj+b0pcimF4vygoAuWnoRkJeCqA+zwHK+sNVQlrethdNp2AUXsgL&#10;PfF7Et+G560Xk4aeBNTF3M/R1a6MUhV0iwWpe5VXAANIzz5DTAciS7NXcBfBUPgQrKWsWK638RL3&#10;5kJN9Qp2FTAaUWHXQJP6muVXooipAyiVmeLljiR0ScOIbiqvkO3+/fXbcntrv/8L98r9vfc5x0gC&#10;ZfXJW5rNJ2pJQjVWI8Orx6nRfaww7fAALo2GTDTNxT1CWnedBKLZnxTjpc85hbtOqEWQwi4IWXN1&#10;uLUJudZgBWbKVZNmrLvLpWHp58V2zxZfjeenOB1jw/MUcfYGDSmLi8u8tahyIe3S3KA7mmOPCEeE&#10;0humJ02PD4PHGWSRTzDrEBGK/Xb/wdnzgmitYwIUyEgP1IVYZs9lv3znBWkY9TXxBJ27lNrG2XgV&#10;mFft2fHSAI9dFm0RZ5qFl3e/NkDY1OPYL4gw6bJev/1zITOsQULcOJDHCyC3j1/Q3nztyX4DklkY&#10;G6jfRgceL+7zo0ya8hFtAQT/1N5nvPJTreiG4lg7GSyD6hx22B/rqKDFsFdnRaLhfrLQqTub7cQB&#10;0jdxUGhPtO10KlwdeTXxzCeti5l95bOI9B9HUzk/yNlcs93an5spQT+zmSfbn3u+z5jsc57tJH4/&#10;y34siDLWjv39iCqqT781B1Kp96f84RzboWKUk85lyWupHoI1PoqkblqLtycAdVJrBU0PppvwjzT3&#10;VnLdnKS501TPU19cM861xPdhDO+Ye0AcRtZKhP+v6DZD/VC0q9E5lLRN9miWmXR7TpVqOrDhVLcr&#10;PzLzHq6UqCB+L5wkp3eFz15lYtR9P6o3rFCYG03OdvVZcNHognZ7doHYsNIJD1nqAnynvI11TWoZ&#10;h55lSp2Z69aZ1ANfLWCkS93I6mwBUZXMXK0lsIZzgnIPIpeqhgfSG3Z+ghdC8SVhqFzAoofQiBbt&#10;sqSMvWevJnwCywNM+Xk4hS7/pRQk9GyPUnHUv3DX3JCVAUv9+GHrgjD1fdtwOihLRRtacgi0kh8Q&#10;c5ogZi9U8b3j3a13zmxWRiUiybZAWvP+2OSQ2QPBoGyEFWGn2IpYsZOew/sVG+p4qT/+v/rjfxBb&#10;f79D+SK7Ltun4UHqqjskWSQShp2Ptidve9JM0Vs6+PA94iTl4knaDEyJCnPQp9YLAiWos2vy6nHr&#10;EcGnPuhpMwcMeAMkm8tw4gCb+ecRldUqlTwsmlZsAI8bvIDeA0JIhnk60C75GFsm8c65ZzDCd6Nq&#10;TETAXtpDokVFWalV0WbdqbmT065X5Tyop1rXVxsXH7PjB1dprqtVO3YulbbMsvJLE4mIsHRXdxEE&#10;JUSYFOLjzXeqqwruvAaTotRnuL6l8RRHjIN2rnx5LZfXoOo+p7r+FfHnnypfxi57fW2//ROKTezh&#10;RUYkttkYHKb1wlrxmw1HcR1VxxNSn91mdspJsHkPTdnHkVVwKGWo5IWSvtG9SlG4HKl+I3IcUrfu&#10;IJjb9v72+PGv7e2P/R1dUHMj/VFfKkbMPrLCwv5gX5rLZ6BdOmi2nwL5vmxPui78pK81nwj//BuZ&#10;g/pP/oT+K35PPxE+3RugsIO5JR4ZvLFr2nNReVZj2BGMkIJ+YWz9+3XymIc249r99ZUgyJjTTNwX&#10;Gv2oADppLSlSh7LiglgceXhQsufrqckNJTD4ST0fELmYdWIgwd5oKy4Xc6NU6U6drgwBOgIyOIuK&#10;l1JG5qIVUygTJbawWbOb+3Z8AJx5Tq9yJbNEAEGEunqfbGbPW8DazogWtArVAgxFjwxmhYq7pnjC&#10;UiobUGWv2XNOdTLH7UryBTFmcpR7f41trv3BRco1716ok0oM20PbN1gAiyLWvZ7VYZp1LZ8GuzLk&#10;SEmFeQr3RfURZof94caj90J4ygP7HISekopQ7QCX+przCzGHXJzG+60LT5+VbVWteegh4RC9bThS&#10;QB77rUi/YRf8dRQuj+pSycoJrsJo0SOjWSX7VJuCX942Y5O8lHJZVill9EHHz/+xbY8/fu/w/GUY&#10;TB53kASk2hWozvLkec76rJuDvNPhlp+JJG5bb8GU19qdXNgRZvNQghunZgKBphy8YwfQBwKb8zvM&#10;lnL2iD4fMtRQ0cghRkGKHkwcAe7ccR0LhO9uLIPLS6JUBNFX43/3XeQX0wiWI1CnNZ2mOM0Xgmxq&#10;aajkYumOZVwB7su1XV48TFp1JBsPEvJkhhQ2Ah7Q+cSAOfdlkbXANdpCRTku2kRXSNsGxixyYBvD&#10;HGj7YHObNb+HorPhTgA3NDuUYqFNUpbXV/A/W/uPBPt9gVkZd9zlVQPZC5EuGs5xDu0JLKLLkPwh&#10;oFPoTSxA6KcMd0k6qsOKXcLXQ3A5kxLOi3rzYU4SJM0lVp3WEEfRjJPOOOeCpPt4AIf9hkT4x8Po&#10;w430Wgt8ULKw3lvkL/RIOD5vJoELUxLK3JcPMWPEzvk7TP15aO6TxBIhtRFEmMyOXCeb+hc3LJ+c&#10;Kx/BY9GN74ot6PP9p9mIO0UCxX7uD3WdXogeQ8w4edmR8Osf8ghs0XkmH+wmcVdChiMtmUVyHhtQ&#10;Eb+QpF7T8UUetR7nDA3HF3neY8jw4S7O7uDW1ohipC6LjtYZIZlB87A+LzdaNPD/aunMGmHttBxP&#10;FfyuBNosaI01YQRd9rco4rXDIU5Lg8TxlCPuHLbRZy7IR/LuFlXP08UhVjUhF3gVZz+gLCio9Ood&#10;NrfEGioo1ct2K4+bbrHS2qWx2vJVuLTlKq2dIGvjzQe9bH0sy7g+zNvjkwYVAIhlYqlhq14XU9Ob&#10;Ref4UlZMDXZWdxxvKY/q/sBCRBg/OE4rCGTS543zZak1jKHQ+C3ABBQXuXGmSwO56fm/Gqdt/qj0&#10;+zgiWNg+nACEMyyGdty7doRdmNip1blEntb0bb1ckVyD7sSLMukxrHRxARnRRWIEVlXyU+IJIjUu&#10;v1yv9kCYHz7XdidV3Fs/1kMV2n31V2qTxZHOuZSMtugnTHyfvIte59PkJk7ewHZAuZx66DQrVVda&#10;agQawprfmzOHm9cEVE7pPNMDccUYPzkey0yFRm+fK8GO2lcBe7x1yez2rA9PcUo9Us+wp9YNSk6w&#10;frKm3eP/zATaccc1OhMo+6LYWCmG+mhZkks2XxAiiLTIrh1R7D2FOuNOG/tlLlP057x7CUnYOUzc&#10;sMcRrZnvo7z6wIcVB0F22kucltNFxzaC4DMfKPRLcJzyGj3cI/+BfyR5+fbb5XpBYzZAXYLeoelN&#10;wy70xsB4JqLedUTG9eU0BYe8quOhK3fcHjD7ntxg2JXWxt57/8QonR1GH+a6GNHz5uSzqf4HGaqy&#10;34FDe7z96/72r3S/JbWJ+b06q5A3RstPQ7weEbmx3D0H0Z4z/c6X2PLJCni0K/uhGfHjwjnONn0q&#10;uywknXkm1fd03vrm5nNIUWbb1ixcGGZTLzPHj+mZG9aPJrMGqS0u5Ud6t6h/rU0mTz6qz+BfRL08&#10;3+w07pyTxrLvcE2fqygdK954dVOBPMJPcRSHXUPyTtaU5iJpxZ8wg4/nZz/Lc9bYBGLx2ERu3tCF&#10;2s5xl3zQ0lSLKA1z0XjSFMMWTeBK6opg/DXYcj0mglwvMa8i+tfjQUwJg8RtMKx3Zcu00SI2HqMH&#10;t4zK8gIbCIIG67bsm/BRGOzp37EZ6GSTgSWL9XH8mm3MsTkvy355wfghL/dlrXz1xdPFcDUel1HU&#10;jT9B8Nj1Kuc5K1eyiRsTYJuHM+16VHc49mA5IM/GUTGkcxbqVNU0GZcOGlKePUDdWMb2vKIX2tuD&#10;3j16DwCzLqxoMZvg0Hd8ritO0ISSNLZGKey++Jl6lO95tcQpcVFEOxsDOJIsOXLvuEaMqudWq3IU&#10;QIypfoxmXp/dK4IsruPH3t4a6/U29vb7e3gM5CDizdb2NCok2gD4O9LOFh+bz+FHj4OvrgAWwRAS&#10;48iEZp24LYkBuX2K2LWaKN+xdXMj7Z58Ftg1oOpTS+yjaad0OFNQ1gnKPuk4YlC7zVWwtPXF2dCK&#10;7mOOLv3gRQPaOM/vySPag05/IEBay7JMaE6BKXtFU4TLuuxkWXoJ801MkfFTZe4wd4TWKvjJR/kS&#10;RqJfzWBOyTaM4CEEWe2wriUlOikYQZJEzlIVE+hfbc46hqrTghtvLdeLs+L+kyWfn0Py9aWs36iA&#10;Rot+784r5vqDDyHW4i6WuptrcIdnD5ccn2ffnbncIlyVvHzn87mwrbcjyM5+1pP1ukFQBz95ee5b&#10;1zgHL7Tj7Lfv2/v7/cfvj7cf7XaHJKL1FM6bI5zgU+5sD+pM/Ndj0ObQhNNmfGpM2gd1qC8c1P1N&#10;CclMHpyp9h9NdvY0dXx6i6peXYV79LXtnFc1hY797Ln3QKUe2NVo9JogEdRN2kEp9dFe1hm1By9G&#10;0IuIEXLWWT+5ZQrnEwwZxx9Z+MTyLCepW5z8PeeMPvQZ+x6cjBYZeLPXPAttlGh+abmSmm/8WdFi&#10;wHcJqAIck8dokFK4BFAcQy+0j1qOkIcmSRsbLGrGcgyTLXyZ4rSJ06ceoxScUqPuUgIKPah5Es5Y&#10;1aehksvjlL1U32X5XwBaKzoGYsWtlHbQsbsy8FPvWSw0jYkLm0Y7e2IXrLlN9bTmfEsb/6o9yH3A&#10;cY4ZEthaJaddaJ6XIGcUzdsDIMwipMv454pdibiIsUTVR93lnyPAzMbiflVKFNzotKL3UV3lC51z&#10;PhSyXrTkc8T7YKnfQncFFHEuF173wuoWcdjJNm6W79hgoaD7vi7/eHm5QDiK3vJjh7ydA4/9DhMY&#10;3m5l0bpSy90pYS2akOlAE8Hl439v+wMWx3Gbj/KigvAJMr43o7QJFvenm7znhHnZVD7nQFyeRh3e&#10;PDYMlAVrtkj9m9ZitUVDyW3z3D6zKZlH2aY3yh+vY4WIEgZBhY58h7SE7cRySZo+0GupArOSe8lt&#10;e8lNSv+szKy6rGk+ek3w62KKnwUOZu2Cy7mcUG2s8bdKqKyrcDgWH6SVEmBE1jneQy4RLw03sHL/&#10;0IltXsNRDafPV2UjSmXZrt8xIUCyvLdeGP6XebxIxWPgxGxyfYwG1dgYl8tyfcmvv6EH+7dSbf9y&#10;tltGCjQJZU4RNs/sFIXN63uJqFq2A32X0W0AC5vN4M7q8Bij6h41y8ct1Wb0e7eoAHr+xInmiaFI&#10;f8+eQfVSrTmyQeoObsxAtj9u77cf/6r3d2YwioPllg3H/uTk0BsBj+3IfbUgkdrMluvPZnepJg5O&#10;nc2pVyQzWFgXIv0qHS5/v3YhLO8hgO3u08vnoV9k6xbJNbxvmCNWs08MUxwSej8KRUewuxjqOFo4&#10;4/5wXEjQ1YK2dJAMU7cJGz/RxImE5r3ePG7RTYYz1kKuFZq9Dqt910B4eg+askdL3W0e7uWbK3a0&#10;wW1hPAUOpM4Ay3n2anluLRY+G5vR8OYiQC1PhVENLU0bI2bzhSdcrkAtB/QGWQ/y/7KwWymjaurs&#10;Q/GB/ZZZ8MRmQTdSHUNqqy3Xnn3AyTKiuKFqbAEL8tPJ5vcviC/pkUeMQXf+yJXzVDkaWdoybh6i&#10;leqK38QprLpXSuPjV1ScatXKVndsYwTTZNbWUqJDYIkcMimoF2S6lr5kJtxnRb3v3c3z4GhAzNlX&#10;snw03DD8ddNmjvd7vy+gEOrg4L0LpCBBL2mvr69jV1txNCpOPbd0uS6CWeMprW3SEBWbakbnA5+B&#10;SqCAyqjaZ4uiTfZPTR6oJRfiKMRe1hUo0fHh7+8ea8ApSXIbXJxNBcO0GVdTNa+yY2gR7Gl0uvfp&#10;CxZgSAphDedyErXH81+iIzXDGhQ/a6HYawqV7EEK9OLMWRjSlNLbpxa6VCEsGcVhyV5fcoBDo2EO&#10;k031hKOswMOk2FgdLE3ame7sGHdg57F3moZz7HKz7Fw8iALFIhNo8CrYzxr8qUtzuqECkEkkQAck&#10;dXGudVCWy3F8JXUPCZAkvK73yKxUadJXZ5izT+39YAEX50Vwa0kA2C68bgi/bVIkXy9OePjP/RMd&#10;4uTZ6Vwu+PibhsD67g95iqoqbWncivKBH1E8l6cbjF1wC8hvuDhmup7nSexN4YqeZtw/gbw+pScE&#10;aTk2Zu/RoT/wuNXb2+0dOLR6e0/77sKK9pyk5xHRH0sxn4G79qI/2QWe7IhfZVOcTOSH434GMPSz&#10;ckMrXxz4LPLNn/JutQ20LxngNkEudtK/9FPEylkFas/GyWMec3SXezreissAU88eshNoa67vHBUo&#10;lNlJUZnPVYsjBNE7YemIu74cNsVYX2IiCAxSyUT3Mpd1HhpOH5CrxqJLxp9vyhaynk6riPL9zrQZ&#10;P7/q5OS1nE9pFj54Y/Xb5MaKa1J4nsKKugD0HPdOZyJS9KgYaElqaJLSB71cmRM6tju0L/f1Svvz&#10;pXuMrd8X2LYJ3c4Rdo/dNJediLItl4pPp8FRUlN0FJErUFjdA8F3CDYZtolFQoBUJSmM5WSlu6sV&#10;kcIoEyplWacRO73voNWsfOnLsl7576K8bUI+U3Bz9Pel0Bi13Y/7zc8x9IVEAhpWjW9wwmNfuZTy&#10;QhMoi30oSe91H9fqdbl8X9bXtRD/bbtMYN0T4bPHFmHLKGgco2psbFzDvYeNCBIb1A+s5FZgUImf&#10;Sm1BvkDZdBS+vTc3qzYIgHgmnkHCqj+mIcHX+nRutWOMbQHQbXNozu+aA6gSEIc+s1eoGLWoQQ/L&#10;lMfdNJoVxzGIPSGSLLoXyT4755gNd8XFeX+6ctASoWJDP2O7O0XL21F+jmvqoqp1ye1OYk5jvAOW&#10;U9SIzdNOqNuSvFTyY8nBANXTI2wLYRBc/XDDLDEy2R20tlefX2ov5PitMlrEc2Cab+SKOWGIJovC&#10;QKqmfGnMc9AsAbcqQA2rqnPM1Yp2fcVjdsJFPTg2ry+AX/9f+ce/tpe8tDig7grnkjWfA6Oi2OJs&#10;TvR2/8iJyuJ7R2xNXNBaeEKn3ujzxNECrG6fbOX9Z3rHphliFDJZGv9a648fjx+/329/3OkFZKnR&#10;nxNqXT/qENvDBOTtr+SJZrMi+jiVPA/XDk700Yn0o6b3EU9kW0fpfHDXd/uY0KDG39OPmwXhR1ho&#10;6DH7x4y+3j/EZqRpSY8gQS/MbcbrhRJXEVwR+JICi+1SIU3QojtSOPDrzFin0W5yfI6RY58TmBQW&#10;QjWd+IfpSRdpxdubmqbprVYUW9nxsaIt8QdVcwCxj+pSDya5q1MijZbz6t6i2aPWO7Gb7IMtinQY&#10;dQ/adVkMHfdQxrnQpuNQ+ki0N1fNbHNLC9N5WnR6DaY6cVuwNGBT185LfVPDIMxV7MIIPEp+cF1m&#10;Wi9mlI3PmHb6tbZlg0Mro0FaaXUm8FoARt9V99bdI1hxUogjKrNDF2gjzVMmRpUJiUrGkBBejU5x&#10;upPBs6J7aCHXY8k+ZxlPVdGTsu+X9bKSreIDISkzU9pqHXvkfa83776SqIUzPeT2d8kXcen8qMQX&#10;wbtLfMMLVlfhj7nWlgz9i0vsMtGjy2XFZHHSI7x3kUYdi+Kvbw97bIC8jDPNdo/+zu7wBt633fPX&#10;mw8r9x0bTArobKLw32y27pvOpmrlsbKvEimyCySDCLtSrR93d7dpkDiPO4j1wLhOWEySOeQnpPOv&#10;dj+Y6zQMFJkfGcdpqQr1Oer7OwGpsEModYFaLOVKmucQeQQKkz8EC3RjBj5eQeyGy53b4oouSOQQ&#10;xrFWyV7Y6mDyLfhnFhpLPLPrhSsb5M8LeOUYH4zDj/hw49yyrVdW58jK5RR3If6uCkaY3QfdBV+v&#10;IlxSDp0bGx65HDlADhngBV8v+fqS/AD8ZS7Qv73xsbz/9g9bYZQcd/s4S40SeOHhb8MqUcVSKHKV&#10;skDedA6AIPUIw5sgH7dSeZU2F+ViB+LLOxLB57f8hfswzANMBk1PBsoDl+1rMu9PtpW2cfC7A6Zb&#10;90v/rVxfuguTbUo07Gkr64fKpcc0Wj205kTmA/l3cBfZ4LZpoGhHKfaxZA29ZOt2Krs4bpWE0hNV&#10;XF0746bDE+JdhH46Yk6Enqc+elL9UTppIOEfVk+D15uTQ8oOZbZJh4lDSiPTUsD7yHVX5DlxPyQ6&#10;9r4tNCYoLHGCK5pSx2Ank7nPWnFEXxNw05cVRgFEV4A9PU650bXLiunxjMZp50hutoOkHjRCaQVh&#10;VHYDQuDwW+CM3H6MXVIKfB6Y0t49v487KTYePVUazYs5Be+SfI3NERwJVicp+ngkrNJ6UmQgSnGh&#10;vUwQXJmgmdL8oJSIhKTome/MjeENoRUqXR5Q3PTLxeR80iGE473GRNB2NMdhFRDIAXstdc7XpmEX&#10;jp21K5uUu0h2XACvkq0FBelYzy5QhtrdNdoYVGATAhaOs4LmozUkPKAW7aN8hJaEEW84izCdWZlA&#10;fMAZSFtxO3xbl52nXxaPoP18K+ne2ntF+3Rl7+Bf277m9D0UgiuRlUDS0HY+PgTJ16jYKEMC6azQ&#10;/ZCQOZ8sQAWJUVVImL//qH/8t6ZcmJHCbugsZUc4JnIBbHphYdZHAlGkcJjijU/tlDAxiKXXw4l7&#10;+GYii4VWd29dhqta9u0Qu6m/6u3RKrxnUunLJIE2O6sixZT90UyuH2YvbA+EckGJ353FBTheYW+8&#10;cpNbrW0YvtsKhZDkBlm97yohNNPIKfDB41lr+Nlx9Nm3tGagh5CHlYiYK2NzXcYZAuMXEBJkC2po&#10;fPQ0j/C8vlDzkhevvr1U0HtlV8PBG1lOIMJ6cArZgdJOeWyfC8Ip0SXECFz9JGh7XbYujgqegHHC&#10;WWHkfzzovogcaIJn/24v1CYi34+cyI0aF2TfMW8etwWm4rjtqpAMXQp23gcNZ8iF8onm0WUfJmcp&#10;SsB+Ciu3/kHIjwl2dVKlTYWieXcyemChJD7XW/YEGNMdyJ+nwC1s2Xt9f7+/v93eft/f/mCI8xPS&#10;7NCKOAyvnbllLe515zGqSXXqhf67LWbrZ4P7QSB0PGk6oTF968tm5xZwcvpJOvt3oh/9gb7W7bnl&#10;KayRPUluPNJ8DlIUjBcdOTtkSV4dZhm0pWizODPY/O+dBg7ACHTI1bl7ZuiGgiaLmi9VCQojd2LR&#10;1Wa+3sRotMWZxSKY27NmlqaVsPtMggkPQTHvqiYnHk5/pVFFkdvOfj1+IIZlpEMR5iePDfOacTux&#10;LpAufCyxywuVFktO3nTQh65sgXpuIGxPa5VAlHKVUagxWnatl2tdcE1uxR7jzyzrdgGqmI9ZIkBH&#10;S1v1aGBOPR/Lsq2X5CaRtBtxG9koCCo4ETNLdoXOC8s+q0xAqLLC5HgQ2ekIXAWh5hx8/LR7rdel&#10;XJBpobwFagR7f3DWAanLWMGsI9sQ1Z7XHz3mZuP/XVhi3vbK8itTMdJWgQ6Y73HvlcFGS3d/EGa5&#10;4+2shqwGg01+R7kN/S02xbd9dwOYCLYwFKY1Jg2Z8Yyj+nsdxSyzciC9g7iGCp0WMTZMGmz73YPl&#10;dDdgTLtPSZgnocFyF+P0pjZpUN7mrNvCPHDub3lTvU+9YLiJUjCNHcDpTzAa+2UajOMvJAs2bhVY&#10;NZbBbmmyoev60kcZVe+JKE5+f6XJEUjRMhKR6DE3b4tIk9SU/MV45pU3NZf57JmUDgQkg0L+VBQ8&#10;DGPoCvNWyNFCpCUrsOkMPQJYPaO5xeKmExeaAUWDgMBKaivQmDjFV7Ju74kMdPw2A3KDKBHafnT+&#10;XRVh6LVEHtoZQvF/Vvp5WXJZocrBo7dLzRQCD/D5KO0dty57FYkh0cktYYubg30So0x492zGdN9+&#10;vmlYjL2eArPOoa/2gdWm49WnaFvzmOacZlLd3uv9/r5vl3E0fv2emIVtfsIKimdkKx9IsWiH2tFd&#10;OYDXdsQY2M8qafvJr/WFtWdyth0bYyQQTqdtt4PWPVuejqHoTxCSNKPDZTadRHqPK7In84adZnyn&#10;Tm3YgdXm9pWEm2JTw1qngLGvNdVD3U5pidZiJydlkpLoQrt7d3Wcc8uooAP9Y6MbTXBSdPZrIX05&#10;eeHC1RbyR531CX0opKXAyaw5BzkfmHdAzcduklbNFs+P7tEeCh4/AFv2b317MItvEaeIrdI8T0Ym&#10;R4EyD8rVNQ3YLZh1oG+H+tUlVX9Epakaz/LYX4GWXrITgS0KCGQS0qBNHSC4ZWN9z48iCY9JE5Jd&#10;ZYCj9E5cGDSThZdHj9NeyY9hg1q/kCydzaVqcZxJ0v2NM3i7Yt/OGwUdL1bGzgcLdceEX89WYdI3&#10;TweX8drjwXnhjFPt4Or5G/gwl5wIbXO6m4AiGKaaJ/qtYKplno7hlBi//7qUG4/V42XHzreW8l73&#10;wmbSzhLoVscxpP+2lgevgPwB12XhggzLxs5l6EJPSYJBHkKB8XPGa9y2rW53ixWn7sh2yK/GcTJt&#10;w1H/pSBTJU98zPRfPTENUwziY3W0uHtl5mtKh5SrZYYD5DDsmtIvLafZovG+v2Jx1KvUy+yufqpb&#10;nNM4PMNCD29AlYAcLtkd4zd8kALZCH7OTgXahZDbsfm9AIeLHYu4WroH0BpVNhl+nWPrhvGVcV8b&#10;3XWYN8vZUJ3wyIjBvrVyYXbuw7Kn9LiMMdy/minFICe7bptSqCR8AStg7hq7E6Cm5BWFLJeyZK6W&#10;Yd8iO2gGWui9XANz2Nd//ld+ee3vb+MuOzaCvyhr+eBbm1tJdIiW9Vokaxi3RH0ANkRmAUnk6G9D&#10;88V7/WJLPUHL8hFcZB5oLumOadbZ+hOp65OxgZ1+2SNcdYR6kxMKjwHvPIq3aYLvB4dF533P11jI&#10;UNyDncr5LeJwt/3+/nj/Ue+3wj98hBOZ1Fw5BRfbTii2PruhQVTpp0vZY8OKmIXATvXJg7B0CuWz&#10;8181qail+3A3fw9BirykrpkW6jhNEGd3J1KeMkClKet2VDHmyaV2yKv7WdhjkePAxyCHDCaUvKLY&#10;OyaApVgMWpym6JYhc5BaDj5e3AAEUTpMzqIXmyzQCNFc9ggnr+hbvLstU9aGhTyn5jEGuc9Q1iMb&#10;1DwNk6tZUaOMonWCkXJ2gm9vp4FliO1cR9umJhWTeUb3ePI8xvgeiAcC9uJEycP8yE7V2CpY21VH&#10;NXq16jR1T+xS3drKjo+G2oX3+o4Nty0sxEaxsxaYrGXhLW4HG7sdNC9s1DLok6PEnZy/wrWsbQ81&#10;7h4LzXmNnkIdSSLePlzBqcYQeVSCd2wlNNWNAo5T1LXkyUPQ04Ynyue9yVVOowyt+7bvC0uMR020&#10;beGtjB/y4LdQGNSO+qyUKz3Ce2qvpUw18aKAxu6YxJ2OaVgasv22Qg20NU/ZlZj3siw0/7lNlQiC&#10;arEnjf3hR6vvf/xPfv8DOR5uQBjv8m5SeWgpT7Eb6a6wAPu6MivCAezwzrqmSVOZ7Flz05PT3InV&#10;jmgCHzXII5Q9fI1bhLz+56GITo5NlNqQ2PRTPpsU7c66ZLSsIkR4/3qYEHkOan5Aeublh/9C1Ce6&#10;ezXzk5xSeFg28LlCVjZpFoX2cQ7JAxpuvDVGlXCAIvYv4ZDDaXROwTNNMU7PUeTAj0RBhUy/PaxK&#10;EznlQ3tALS66XDzAiULOzgujKP1zjZv68jLusfX6DXjr4DoZ7Y85/3nP00XHuRzrr/NSaHziIlhW&#10;+GgXzs32JnC6c/t4dMSGt1G807IrnjYVAqapKb1N5/S+FF5u0spapD59LpWahq7NTfQtPxm7p3rR&#10;vkygt9lFdfrDwUdRvyKPU+H99nj74/bj9+321sdTwZm8FuX8IZfvlE7xxVWdAcGi3PY498Xo0EI0&#10;ffqfj+/XfHrpDd72yT94jnQIW543EFTB8PYXRtiy05fSKY7piPk7sKTeTpgRR47x/iwGxSynedXv&#10;XODkI/oMOSLZYyqm6FXv2Z9JdVRicWkMg1UnrPWZ/BDN60LBClbzEpsRDcWC7usNo7RyxLue3HCH&#10;yNguJ35cOwqX3Oe+hmrGUkQpaSo6ltqwHKYQ+3QPLESoUFV4tIAf/KRV0hUp6709ja4pmprEKeg9&#10;7z4f3TW/1NmSSIym0HbZd5vngANesraJHiWqBBelBM+2qcgCwb8scsa6uVP7IhUWFO+lMuql8dQu&#10;K4ogUPY7zq1Us2dPR8I7LyTzNu0riYZ9uiA0MSix4+oVVnQ7R9VF6zo9ER2BT9BzklpWY1LWtbmO&#10;hfmax3/Frx/NfQvRF9OVpkST2s7iOSz5dQXa9IYQBtqgxxK0LroPx0e5FAevEqWWqRTFOnJv9V7b&#10;o8r4lMQ7Xb3xgwvrzob7rW03lyBprqPDlvT9KhEr/cc+S21PIdU9zb4ltbcWVCrv/2R/lGTVaXOg&#10;EkIvm1Hih57NIudRX8u4t5EP7IJU7UZK2uNzh1AFAF8aPekaSkZaXDukBoSQAYx+R6Me99L+THSO&#10;X3Ii4K7yfQPNR/FiZE2pTZpjDpQjro9LZVcBTYqkCsOU/MHJFslJDtNFFNBjCkDKeskaKWG1orCl&#10;yxeB+lUYCgZFNbctcabOM+zayjXGYONwyYCw19e/3es8aP5fApklvLD87bccVgU25yBpGa88Dl6a&#10;9FVoADi8RFcDNzw6EOPx2Pd27sD2Zx7mVJH0HoCR/mXFetgK+qSZTCF/PgE4j1AnAj9k/qNC7yT5&#10;6MdeO37OttfHY3/c7mP/e/vRty12oCerwxR6ziHlKQzvQEKHjuuskYwe/QylP1q46QPJJLbACf/J&#10;z1GBp9A/OwbvJx216xUP1WtKHz0YPZ3iCfucYs4U69hTQ8142n/RIsmev6VYZ5JHSnONwSzvJreG&#10;inwXhabJgOvSAnI+7x8jDIHzvssRqtTlOqdRovvIRGa4ygF+Q1w1HLJtJoZoLYt937G4hRJ5qiWT&#10;BzC5b4wu3dZX3sEObKBeCdVekv+OExBGIxSWlULOUxuuL8ndE6wnKYDENKUv+32lVx1qwCy7kn/Y&#10;lafLzqtHmIu7BcbD0/aK7LkFhnPkmqBjIai0+E6u92Xhz2JOM67knAIsiRoRKrCQB6LGHJa+71W9&#10;NP0QPK7paogWYtYUnu8rNgkIT25sT61MoaAdoLxcr3zBfCk48EoLk0CiSlSnIyXxTjUQnex9oi+/&#10;cdeXom+HANgH1pRw5CKlUmOjs2sbcAmY9/jps3+0XS5pk+AoC8zgwLNxqS7og4+icx9v8QVwNpYI&#10;+0ZESHJbOn4Qzri+ttOUPRnCsnAJ3Wm9pafElj7HuVHHu6fXPQOR5khlllHn0sOr3oIJ2il/5iRS&#10;GmY+BZ5ypLThHk2IsoRTKMl7QAy88825JcpXZ266wCmrKguF3fuxSVxYOfrUhOmrRaJZwhxkdJEB&#10;BfgFtwxSWpmXJWvq73iqJPMJN9EucjryRoz7dJO9xUXUPjbqEZTU3c/RSGbJY6e8v2GyviCZg3pE&#10;Yts4CnEyBLmg3G28U+TSvuwKPkw8tq3KVkN46RdbWPzzq1SH1r6aTlnwplOB0EzwBHz4hvqvbQS+&#10;EHjv3jg++WU8rMA4lIWy57azYyzhGBmb7bTlzmqwTaBsVzLy10lzR2TQifCVZwSO7p4ehp0ZWnPa&#10;Pz3DXV7C5qeyutm2tdvtcX/bHm/tdifEXlkEbq82+5iL5LvYcw7C+b1ms1MoXz9BOvsEgrZJi5MJ&#10;2zNo7anNEg/AIUXleHdKp5/YNPpc2lR69EuSGwa8woua9ujnHreDcyQigz4HWoJ/lNhA3GxKP0+e&#10;A9uLx/dxF8zO9j3iA/v06kX0knA+7TA/QqUpG4T5O57Y1Xk269XXJWg6LJBQrjzy1rPkt3QF5LgE&#10;UVzhMNFYnYSzxjwWjoZ7jRl4/3CjyYRNs3WxSucpi6qE3Yperfr9pAGHNzvIuVaqWfMk+oAaqEKQ&#10;TIBvxiPjc7nWXgiv2qn7zoTCTN1cwHFLZUNgYXtTUiB9mxTzKFOX9+FCKv56gUqbRsYaGaGhr213&#10;sv7Gf7qnCCZgl2ZdwnXHT7M6UxuJnWopNCWS49lX4wbwbzob0Q6777u+D1rjGSybvU9euJbtnn0O&#10;3eaoCN+3bZRra+ZUkPg3DUczUxUlFBmridbfJdikrM/gV6c2B+5LBSvl7P7dKj14stv9vd9vUwom&#10;HIkSEpg65E05tYG97+VDizZVdcnsiSkfEw3Pa582Xpvd7zytq+c4a4nS22yANfrqOKgTGFi9UZLP&#10;gh1PW0LKsdjhFLgD6Qn7XZXpop/sxKrhGA+ppmiJKjsTNmZJmZSzAxQanKz3Rpjn2Jeq0ypCqSEv&#10;lnz9bnpiUBeRFFwn6D50KKQL37pnNuRQKBYCBHR4YMeo6KZQurgWhlaywN6I1fUcUeZMjGOu7bsX&#10;y1nngI0eTZaJS3lWeyTX7bb+88Si2nv71FzzXJQkbuz1VUIhOWShZq7tfYd7JxNdLw1LZsIRcVFl&#10;U6pD5re5Vzhs1LRxEoufXJU72vrnweMZ7Nh/aulzM0KPasy+tgEGC+VTy/I40+Hg0+63x/vb/f33&#10;x+2Pvj1cx5lmtuoTKMx+0m/1ePceNe2viXOyrR2hYmek6U+OAOZlgBIkvxIptTmGm57EyFuYvN2o&#10;rM7hSOaqpAAu+WHYxbq0LhUG1U4dp+dS8oaWgRpZAuEIxC1ao70pt5/TdJ7jHImiVo+lh5UxzchA&#10;b/XFgpHl0mtyL5kfrdLkieChEPnXbaSgZkEBQuzhuu/jmLryJFqVNuFZeWSbUQ0oMBhpnIkAMW3s&#10;WGnlGkggNlWePeqcYESJntu67piNY2AD3KVsTBIXuHK9CGUL2SfdCFhvR71CQWPW2OKy7EtWJnOT&#10;Fmd8pgWr/44JXFowPW2c+ozHkVupS/d9Je+FthMIX8GaUuXoacPsAeqQfedO9I3F+SbdSu8bp6li&#10;WmNKlhAeiqJQueYNMM8S0GY9W3iXLDhq2Aoz5Z2UA+BTvIBKxppZN4Day1nKFywyq/A6VKHCuldE&#10;uvYSCzsrP9tCg9j4b8h4SOOY2h6EmxfoWBORzriEo0xsJPLbj//p7z9svZoLv9HSdL8xZOocirkQ&#10;L7nBRv427hYWCKFDgdcDSH0yzvbJjhj7Fpp12OVTXrMb9JTQMjas1dOL0omRoa51hEJqEJhc5sE9&#10;BglZJQmeUl444YYrNOZ1mjhVkzbXQxCZgeXEAy4D9JhqvdRwxMCeDScSUiB8jIFrARVuw6DUedNl&#10;jk00SEZ0LZF2ar5BWSrIpw7xtTLnpEhi0KgXI/aTrQyQ1q9VKax6s0yrVyxidNIUG7RQWsL5QVmO&#10;dp9OFWXN+//P2dtoyW1ky7n5B1RVU9J4Lb//C95lH48kkt0FIDNvRsTeCVST1Ph4PMdrRDW7u6oA&#10;5P6J+GJHtXN/pHUJZZVv4r8H+fzV11KChMPu7TdmXZFzZLs+o4pnbT0U6cn5YoLY6tjQEIr3Ni3S&#10;IbgmhVYtTR4uGapOPjsncN4qaxrR3cbmM7Vxj1Al7Ps00dldaHJmbjF7EO3CtNh/skX4MTB+0HPb&#10;KYHZ37/Vj/e4bYrDnlPJSXG+GK7jFYYyaX5u4g//MIyO88V60MeZEvEJJuif+eWc9NihF/Z1NH58&#10;Cy487w4LlTXuEpI38RC9n0DS+Q7LL+PqHmuYk5K34PpSyABb7xPerXQDpUX77MB7OTE+BNKPvnNx&#10;G6Ufdc0EC9y4cD6JhZmzMaRb1ANLa1kK1ml3OzNknOzoixA827IOEhkGeMZkDmqI1mxz3KpsFFaS&#10;nMmJNAj+c1VNTQs8rOtSRnADmvztZaHt/npn5GkPaknxcgXZNd/UwYkKyEdSZQKqIsFc5Jfpec50&#10;uLMqztLgmbFEeb/6A76pmYpftLjH3jZQppOHmlTRkLGTyDfI+XSy0H8YFRlEUHg/8Xs7+ctaZmQn&#10;BzDHqJSyNF9CiEMG1CcdGtKwHi7/WLgDAsIxAVelJI5AReM4wO5O4xQlp3juL4EvHRmvnEJTWURF&#10;Ls9CLdvWEqUazpwc4BcDgS7cMXqCBCN8/TPsm9H7eK8c23vbPuQsbmqITwLSHLpI5JGuMV/GM5e6&#10;ZbZlc+KDuUj2vVSOE4/LdUHzG1tfIHexi9UtoE1tYjIrd7MknElBimkiQWl7bZD4R+muC119SH5I&#10;HQgb5FakRdhPgUAx54pFTxA3RKk1LN3Px3PpwGDCwBShZuPWpiyeq/msURra5edhXcTUJJnsXJcX&#10;DNnFzQVtf4pS5eM+SpxlLXLyURCiirhpDpRvcRe9rPS5U5vaLcZA4jsUUesjZBlXoxtO+GMUZmLY&#10;aJ//no2Edt9T+ZKuSX645cstffljjvVU5aL/SxQ/BBmRcLnspiNs1KbgpaYZiaM2yCHWBk7l4Fjs&#10;/8qUDRscE9XXrj1TtKnzS/RBJjWevw23EkYUdFu9S0D9AWjBCv3zAZ8usXsVhtDnsz637eP7/v73&#10;OAI7Y699cBXPpPYwiUbXUIj+qmBxMfQv0/cusK6TeNv6da5rjo6zSNHGxNaCnxpZx5q8BOC+mite&#10;x7PxJbDdpTRzB+ItaBPnqRnl32LY9QJaTnP7KOhjIJZdjbjRU3uXfqzJ8ytlvAzeweLBtU+ajFXx&#10;LChWUfeXTC0QmYOEzUSquHUFyTTuRqO93dpH/nXNNZJUVzF5gjYmgZziMAPAQ6t9AmaURnlrRbik&#10;4C0lE0hyIzsPOVdINxYMSceS+c37MYruvGLtx5BbW4OLKZI0qwtHKgDWMEFiSfRjyP3Cp2yRWyQS&#10;80UzYyVclA7fInCjQtwreWY4ZpjC3lWudJPZhQM33ZKMGiimW4Vvb3S8dTvA6C58oiWRDvjmVV4b&#10;zVkUKl9y9DovTuwc/YL+HK0iX1CbO97hje6UNdspZTezmUkxwtR0lHYKXBH3kr8s5YFWCS34gTYB&#10;T4gDqxTIzW/YCTU6AlFK3WBxQ4GySKcXtEprFTEOVr7q+XUc46U+tTF1loJpe1M4VU1UAx8Olphh&#10;lWfymqnWUjwButE3vzpBq6CvVlwqLcjkdNEp67aHidKJ4HMpC5fTRbwF/JRabSiq/w++vZ7rhijH&#10;LB1QoQKTdX7lGpqmtMStE/ObmhIredlmG6akxVOm7FRmtGRp9nMItYG6pBh3LBqxGheaOfwoC8O5&#10;W6Pfg1r8JZ02c4Dc4nLseX+S3xOEJVTLGUmBsUUp4K8uXeM6v2nxNP7z8Y6tZ6PDlpw2fn9BB0u5&#10;v5GlfooSu2txL8GxnxBcxrI/5YbxMjbEtXjEty/LH/8zspOT8gvkC7xSCm0BPzUlPjJJEssy8t+4&#10;H00u0alUBDXmYTYZ2G1bPi0Kkr1wc9IEHo4/0W5eDh59BZ4VJsrvcVoqTvtB0xrsBcgZT+Lo5KrM&#10;p9j4qFgy78/n9nzfP76P/22hfir89OPCJ4OiHVvBxNH98+r1HxS3xn+N4VMWvODgIfsY0pd2yXvL&#10;3j/heKQC5zje+Is/tvg/Xw7P3cbl6PVFWuM2S1NNOXJmFKEZ3LpZl1Kwh4E9dCcpgWi8QuFyii/R&#10;UEaP9YXECyBVQZEMsbQKrWkvQpqX2v+ekgldoDgVbnHGs3EvjYGSpO1tCtmVIdj8VYZJduCKK3kk&#10;7uSYeURf1ypXe3bkR/YaL/Acw7eabzmSVoPk9OBTh2hwVHM5NzdF15yP8V8GJJVgwUEqfHYoUdPS&#10;w8rCQuidbgEdvP8obmm2PMegdtyurdqwGE8WJANh7NwX+HFBOILOM94RdgPNy0Kh36OgMcNOCW64&#10;VlL0AEygOgjb9Z7ctoyBLNQoqc2aMQUyMivvlXEWPts4z+uf20aNHLX13Gha5htXKSJCrQw/Yu2M&#10;OZoKc00Us5N0tD9ccOanFfdh4W6ysU1ElJISBCv89ceu1Itvf0GfkMqpGUDA4BOyIvttU425TQfw&#10;dPhKnhDjqzRt5rt0pRSdPmBMwukJgS6iYZOcxGdISZpM37Frwnd58pwJLCYEiGbICZb5GLuOFiCU&#10;dnQRGRvYznkvzaSljsYom0XV/FLMhvW5UZfbBwrhcYUzzKGbEb4zFFD3oFoyjiJs39kzgErk+yBH&#10;PnQHBCrUGh8o3A5HtVkl7HumZOCMgdpfKj3HJcx6woRyLAQ5U00WeNf7ycuiTlG3s8weh1Jc0VvW&#10;6A0uJkBxYYBl6csNi/va40+IYD+Tj8SfBQe5aNqyOcuabo/uWVmjnFypGe6EXPOXCXIBKmo92zq/&#10;A8Ke13uwCC5TN9tkyS0HZ0fDqQij2lmz4Mw6lIZj5oQr8kTzRiGehYj12QRvLdcMaT3b/aCwURLB&#10;uXYmEiJwVmdnn4wWcH82CEGRi1s/ntGg+SIiRIsLOTUt/TI8bP2yOj2RLZ5AO2E38cWzMZP+zm/q&#10;Z3oPJ0dS6sOe3Io+BUDWk15qgClr+USsm0G7Fzu9S42MsWep36qkNM2j4jkqyTUhrfFwsFtUH9Yt&#10;b0ESEieg8hFwmC9NgjT7NFuyqVGTBlOZtI5q6JfYQJWT1Gorqqd2JVOT6dx9V5g8kjD2KUjvZxSI&#10;kDCGHjWvKYUOpGWGPkcf1ftxXRsT59hJesFpX5amk3gqjDDuxbxybWqnsmJZNMzMSBKPHh5P8Gn0&#10;mAAG6gjBvzL2fQ991b6cxPAcPc1N5i6qKRpsj9l0+fzxonBphIuZ574nwv/kWhIyGByZDG2n3Nc7&#10;o5o4HAzj6FoJutZt8pbL2wIXXWcvlT3+LYd8L+ghtMkrCienaeOyu0anmImMOYhqqvVYGQ6IR25w&#10;dPo40YEJX9aY34gL5+o0AMHCiLjxBbspLPtKsQGmr7lskBE0C1oI7U6J7NaPhRu1ndlpWUPp8dZ+&#10;/XO8F8lsCeIDYPTZjycvubm+17KZF7Sklz4MeHlAXm5Ec/KmOAWK0UlPBhcF1tlClV3wYkM9u8aF&#10;1EkWPO+P3poxczvEEkHJWBY1ZBq0jp4P516+dS7Vmppte+olBpv0bMSyqK1EpKsy0h5eY7FxBV5d&#10;TZeYcTz+6h6nJEPFJ5bK1bc/9ukWbuE0ROm+K8FgAwyHRocHt3RmIsRdGgvVpwwi1tA1+9KYyKEk&#10;q1Z3eRF0AspIIb4OI4M2esd3lluFN4NxwOH8X+95XQlVjBf5/U+TBlr/h/CjlJxgzupnvbf1pvmk&#10;hbbLxgwI++iQeM/bp87UTb7jFvKS7/fl8TZ+LYnjX7AmrFE1T6snD93ie5XZHshzChfZhp0amEqZ&#10;opFxU32O9ab77aVZ7B70bbwS9Zu1mSEifJLbUChWUXbtz+PjHf3f8xvmJwKLhD41kBPlfhkjdlOK&#10;Xj3vpgk8SSz9p7aTS3fandMp0rIHAV0sIudYNfocn6en5QTHT/7APklnlyDAuUGccDORQKcB3WiF&#10;fP63+VVKuTPaTrTFybipkiVc6arTwPMYN14mELTZIje1fuHSdCN/MDMMM8yYZiZuZ7IXab5VXBht&#10;8Pi6WVd2S2pqnimcTDXbSM5P3Qb5RhgTrIsTlRrnU8wWPDIOCFfBQMB+eK6Tnk18mGJAl9F4kIDV&#10;jPmhnS0Gl1lr/IR2TUFDqvyYd2EJR7rGpKQRJtTkdKj+ks6A7BOKwv6MoWpKTLTrhFu0sHcXm0aC&#10;HBn5xFgY44xzZWj+v/E6Fy4yFS0WOfv9DldfWxHphLnl6BLvy/LwVlitdPNhyrh3Cp/zCzx8UWbi&#10;JbnO2tr/SBvYOKH6LedHLr+tt/Htdg50aCVE2bRazgOmo+M+/4DTfxy0Zed2pnZAPseB+TzqwuB2&#10;yo3xrAG0petEt4H1+Ia3VN5y8b1wuHHqi7HBOOdsy2wBd4InThUVQww455ShQMOP5iRddyu5DsHA&#10;3TMI07kFJriKUs+ZnzE6h7hajIMGmyZ3vfi+2CcpBDwqsXJOhTDrs+RtA71o7s0x32QdUkjfGTkk&#10;gF+OXUHI50DJ2oWymFSbB3blCT2ODwDZ2Vrp2Gt6/zzbLHoeklidmjpxABsIYFoyp5GN6JOkz0lH&#10;l31P3idlxdMRd58Ck8Wnjn174os1+J44ZuyO0ZVidsJP07Lpx4U1fu3lQQ5i1I4kLStPmeTz5J9g&#10;ti7Bbb8cw6lfivYQbP3xFte3rKjraEuQApAQnmE7xtr2Ud74mgN7WNpbx8fzeJS335b7A6/ElrPO&#10;lGIh5oZ62/uHSd9qblUzhUqcrvcpQq5S3PnQMhuxIvwwdDQJxIS/xU9n4w9TyRllh9tm3/rzY6cR&#10;8Pj2DQMTHQ3dkhVl5LgKWE5Kph+9jNi9dGI/jBzjqWQ5UQ96wZdhbbxC1a6Enjg17o5H/wdX55yg&#10;XmTbVWij61H9Y26EB9bbhMhZozhUash11h7dTN/+e+meLY0KwQvmIChxY3wDRoZYMx1cuOKwJGFt&#10;eK6Jjh0osmL+SqC/1DGy2OcdwWlAvPOrsZUochkNAQvGRMcCcXx2tGG4zDCjJmg5JaIEOnRpUgQo&#10;EViCp8CRoU9cRUsJ1nvSHs0OTFo41/eMJ85KlUo72XLdrMXrUW9giLa0b+jZKDWopumQQn202HKQ&#10;ROdIMUkAp19ncASQiZwyqR7puBNzacr2k6+SnR9M9Qj9ObB5IBtz9X1H4zlXOHLZDvReZGEjdWHD&#10;EclkPq+ZmbUdF4swwodQFOjBAlmOi8PjAPdGmQ40F0EkftvOd9vjjxek6ej4W/d1eSzLl2X0cPk7&#10;4WbjSB5dI1Sd1R6jLuwPQH2PBy4PjW38ntLQ6QBjm04uToqvtwD8WNsGEROyK5qsbMFj9cCrS8m5&#10;PyeiNoqAZ1siE/0rnds2O+ETCC2Zud5fr00vjHtlowVPtUo2yJ5GWCUAVHaB1qjrd8dcuiIugdUb&#10;RT0V6uImKQ46Px5InVvDluaWFppqNIuKSia3yIc6LAuQGcypNH4IRUtUJiqT3bLcMoznkHBbgZyU&#10;y0zyfAOMjirQBncqfxn/vJSCycUHBZlUsbRtF+CdtsuIMN5mUEM6/0i4SWCZHb4Si9oOMppYPaJs&#10;rzA83O4Usf1aYGGSlRxS+g/Od98IlnGoW5BEV7oKN3XjHk33stAIiWtbJlRKuHE1LDLd4OIry2ge&#10;ERK9rJz1GwNFzWLkSX7pBaXsZDWsg/YyHLdDqXkj2KictSYlhpOjLNTWxX6XJhHVj7eZK2sLKf29&#10;pquP7DRC/BUfLLvG9nw+v+4f38LzyXYzhEm1nvZwa2YkUzB0a2zz0ItiPryyvOf//kko/Izo4/eb&#10;u8Z4hhdatXImW0ww5+v3NzNkd4J2VDCbnYMTz3R2lxb0agV/m7mAjHGJus3EIevJyol20QMETeK6&#10;Fa0tyPveOQItZ3voicjoWix4xwpc42XLIBjMn54tQs/tw9KdSvgjKy2nkBVxSNiKFArZ0UhRoqkG&#10;E7csjpsqETeLrgTpJQ+LdKHj4oDEPbBOihsrtkOopRBn/uh4loIvLGZ3Mpp2LfXggCYfyDCK4UQ0&#10;yFkVynFw0HTkZi7+SEaX5qUZcJYlSB0gj69ErEw6PLhTxNcvedTGUZLR6OwkKdwgraQ8FXDUdAtq&#10;ihNLVGYOxn7nixpHy3vtJJMd3wGnwKvaOZwZtzpT1eFqlw9NJrxEImjw6o/hRPSv05aHJMIOqsu3&#10;iu9WGBa84g975i/zhPY0cJ7WRMnjb9rRg2ZQOokIyg/5t3hDym4vZ9j4Svx6XVVC2pktjG4ls7Ud&#10;z6PQR83axg07GShyx3IzKl+NyCoXdbVlwHZ1X91L2W5PwG5WIBVobboATdKv7UCIp4k5+TfUPL65&#10;9dbJF2kO6EKzAQJEfCVZS9dIBaP1QmLQzkqMb1elFppEOOVJc6aiREgw029aEExYv6aLNkHnTAX3&#10;MgkAyTKw5NA1zBMUT6Y1tlx14lr2s51ou2cBVtjsctYEIrgcWtekwX37DNOywRjUXqSnIszr2OKx&#10;BS8RnMtIvfc4IPaNKrqle8HBM09x5ZTCLVAZ244zS6wdBNJ/aYKkLPk19ow9OtstHOdHvKF5q/DG&#10;yBBc+fJQUmfX/OrRf1CTpbNowwWvCVNidNPtbZx/6x2nYHPS1fU06q/jw8/LSZ+LxssgMc5kI6nx&#10;OoE/vf98qPgZJjY3af3SKdoqzJLnUpxrSlpix0Pv2D7e37/+tX37s35868cxZcqnjMQkFed8vEfD&#10;R7sMv4d/9PB/os9d3RJXyu6ltY/+QL0EAvZX4Yzn2sYfGQLTa9DPiMJ4JlBd031Tsx0eFhdW/PKO&#10;cQl1dOdQpHS2Mu3I2EQ8w7JE6TYlNJSCcsi53pCN10aYr8HFlvPUWY1qU9FmrMeh8KuTIRAW5AFE&#10;dZtyRLiyCtdIwXqs9jlhQJ/TNKhpHgRfbJ/JpzmN8zGtzQW+TFpBY6mWl3frEW20Zhdt9qM08RRy&#10;1p2eoXhPFqRRR41z91xqSYq0yP4WkeIGITUWXftHOLbCK25UyGsPa5UVLEkj0wTmh0l6nOyVWikR&#10;BFo/DbDo2IDWbDD/FKwo+latm6x8yX+s68qeSbToNWL5B0lLVBPdFpO5NN8uBzm2sp68tHDoWEld&#10;e1KUGoqHOmxHi3OnqtoYv09GCPxfHx/PfV9SGV/zdXuO58uSTVQsv7yGQZkT9OdRhfoE2pmUmYXe&#10;aFWCSKvIcLLD4X5KvDTPZoE+bt568LgqJiWYFAmuTgVBtDpaQ0OspKtE9m56M3SfrZn6jLR1h1f0&#10;TA8rEE0Af5HJTvWDLrvMs+SILlw0zkYCCQiNEWLoMW0/8sIErL3rN1Tss7H6slo35h7nGdM5jWL8&#10;tTHqrDFPomVLK0Ohop03fSI8YncGrMptadn4SEScOrXToL1ybGkBmfLLZ9rdKOGGFFmtbmChiesB&#10;6io4aDubv2iZZWqNEP8SDagT8/aOYgUoA/5wSKtcRBuJWBvlwnILS8FvXi+U6mt+zeto7T/Z/pgi&#10;d3+DfRAFVt75uVM3hfcXY0/0RH07UHJ9KbcFTlb84UYHarFsqwK9GeqUesB8k1hlH8fcYE2lePwZ&#10;yTKc+Kjz5DOHnQ6TC3Wzh8/csOD29/6jwS66bTM6QMXp0L6edgqO5XAKJfwx2sCcn8v9rdwecVl8&#10;SXaZql5auh5PN33/Z9iqRMI9xmvIkxTGUkvHCUWM81BzFEO3wrYHs2L6TPgnveTnd3imObWoZ8Hr&#10;v5T8TI7gM0nK/bnZSCVRMF8TQOPBqEVvdNuDlo7Cg3qdoFW5B2TjegE3qdEGZPYv7BGrnviYc2ab&#10;kSq3fb6upLx1Rvz0LJiQlVlTzqonaTXDH74KPPzAlxAdsxsZJW2Q+xA9fETzMaXW4+stc5UevCDt&#10;N69LDWA15Ey2KgKNgicH0icYXtgYcBiPMp44VYzQlpn34oqkRkPwUlZtpgtsc0lHCH2OOx6UBZRf&#10;is9xPqAZPZriHTJ+BAg1/Fi6VojjEMpGZ4waxROV3xkFa5fwCopvlBVy5ey0ycHZ47qsRcJdqtHm&#10;HUmMBhUuAHICyzq+99uoFNJoB3FVwerOeCOlGkMQpDUAp8zQ2tCktVH+w7BQfH+9G9TE4vTEYrLQ&#10;RDie2lPKaMF6GAKO//exb0DScEQLgc1ouJvPEhxai2lB3evzveDw019NXpk2m1cLAabCSPcMt7Hm&#10;M+IfChDXHUnKu1FclGyE+VHYLOXEeDpDVNZzvBccenVdXZrt08HWljuGT/t3Pt4zB0b4EGpZNQaC&#10;DxRBOvC7H8FtSaxdAiGrjD1h4HNaMsPrCRtCHAQmF3wI+/gN++9WbmKDc/cIcawCJbHPww8NrilA&#10;D4+eE9Um5TyYW1RracVT0iy0YlCobGPO1JiaA9mOFuJRwlE5ajCkzaxrlhyrockzFC+ojMY7UcvC&#10;TPcKBbESXIMnueNXHvXSEte1Zb9kerhwO/87zM8rrws3wL1q5kaaDpaaMK1mUUxu41Brcp1mrf2k&#10;UypUruo1WgoIIgcxxllxZiCHLDYXFSZ1xFZnReWmcX+hS9DMejYs7H02eKfDnOxrg/O5fcK+sBmL&#10;+5MRL75EtDbz+ki1H5zmLpYPnUi6ShgsgZN71J3b8/v2/W/zDFkUgxo/C+HrceaYhNfQ9k9daZ/o&#10;6/7SQV42fZOULitCvO4qxaJMhiDtL6lEk5PksqDUf1b7xOB6hflN+yUa1zDzmrF0i8qNheJDpuQw&#10;8rF7yFa3KwbTuWi9rum+eBOmuROc3kHFvmjF2y00i3qGnCTD7bbXRGgZBqeY2a36PonO6MMchN3Q&#10;UsYkExpUo3EboGFgawrKlmkZ5u9Md3CQRFxW06YFVXMMz/x4mj3m1DBFs78GJVPz/4zgXPfx2/o9&#10;lcZjR5ZzvyDGv92WpbLNSlQ6VOY5tS6WO6cpx7F2+QEhTpDPQzXfAWHfaMv0MMCYl3gOaVNzNe0S&#10;93Csn5oJNRxnNXo+VhIlxY12MFkgTd/gWvCm1TwAUnDXLWk5OHARljKZCZRZRVKx8oo54GHA0230&#10;kfdSDsYsGHtOI0MTTJPYP45AKD9HLZBBTOuQm27jLmuS1+KyAZVbjpYU73SR4x0YhXarPLwJQId2&#10;Br/sGwz4/fto+1QuNAILuXax4OLx1DYpnGnYZsqJIZScSswI+eZJQ8QBdFKwYbVYNUV06qwvVWz+&#10;0MXMC46U68anTaZSvtbGirXjxiSQrqnhdawb67nIp1CdsScwH+esTGWaeaKtFfiB2jKI295GU4FX&#10;5QI/RSR2ceDZNOKKxlPU8xf/PMoMxDUonCmdjwKuqpt8kONcZEYSRx871a3m4SQIqarvTBaM0yWI&#10;80A0swJ6nItUUnr50WQVHDUB/lPuBA3xE2ykCZGkn6j3ruxEl/uXBIvk2QGlK53nk6Qz59OY+CJ4&#10;KcY7PQ7cNb/9C4ZZVntFLHjC3G3WFaI4RM+2V1bmBRgsnM9N+Xk+uOMdCEJ7GedfWm/L7VGozzmb&#10;IvIuWm+f5Cfxp2d3POspj6aLF4bZ5Er3PjWfn12MprfRWIYnJLmDfksKduGQMmeG7ns4trDvfT8a&#10;jr+vz7//3T/eA5ayx0tqheUNnFG0Ui30X0531c32OZ+Ic0ztHLf4SXI9p6I+RvFAdycoXV1KP3HY&#10;++BUcXpWpMU0V6TdBBdO/aTM1tKZsqRN2KyltTL5Gh72mTmYpM6wMb/mE2gTRTcU6KtDCwoNC+dn&#10;OOfcRC8kJ2zsIfnpqdsShRZk1qlIroZHtxaK/pklqUPG3+VPSraATC7B0yu0CSHw1q25YuXEediN&#10;LrK2MYttY5St3Xbx4CkKt7jH8XoW7vB1I1GwyvKXB9xSj7V5s65k3cx2iKmzrJrHeQfxnILbko0f&#10;xvch4QVklSXd4OtyXXIwZLMlvrJosA+HwTFlVAZov0ZTdRACMH7ORzd0//iJ71i/dW0W5X7jX4Q+&#10;sxC18YGgbjwYRh+112Ox9W2QY09uY/CsEM7OzovXIfiHPT6yTavGZ/LtOHZ2Yu6XosmPNX1CPm18&#10;lOXjaM8KDUfDwUbqF3pg2e2hQho/65YzGWV40Gh/RAGCKNl8BiWYkZHrtD01+zabTVDoxLiJAbzm&#10;DVKm82jy2U0mc6V5hhd1t+i10r9M3rqGR+l0ymq9Zwv1aB+3cMS6NmKbg5x+bk8w2AdRzvL8oqXi&#10;hAya5cHTSOaYzEgm1zng3W5y2rnfiv2SMA7STkOQMv4mZglctKeG1SAvb9phsVCT+HlZ3R5+RHuU&#10;C+DQTxaOOXp5K9XKEjTKg2tStu5vGN6ootV6ttAzSjyYmuSoRVlxg5E0mgIq+p7XXgiKw92z5VGk&#10;rrdRdkCPyt0t6oPxP5Zbuj0CSX6vDvFfUCL/QwoEiuzl8aVMQJ3IKjTw6LUfBoduhTWIYL5HVQwF&#10;UvSqgtIsL5RhhuzNx0V+S9tW83vdPigPbqZ/MXbqizet/1Kb00/ciifRTR+368d9/Ng+bxmjwwwr&#10;yXNN8TuRKP/mENquhpeurmRALvzdY8N+PWesAXtdlltZ72l9ONcjvO72um/mYv8P2YrRRZXxmmA0&#10;BdZ+Coi+ehG/nOQICHbsKD3hS5eo5bkHdIRvNAX16Z4IU22ZJsMpOo+Vc0iGvqY+xaZyoXUz/0Xe&#10;X1Ap9jhjMCzMsAsuXBXkFizgiy2jzLPWlDR5uTWQY+MC7HGCvEU3/E7ploQYM2Sb2nfqQrKQUB5+&#10;bmMZnsUyXEtmQDQ+RjkCMgS7JLqTE1DgMte0n7WAQ7pTcmEpdCWCFLMlMmrIRidWho06Lm10Lhlr&#10;FQsZSPpJ0ep2oy3xUY/nz4GglxRGjbUUqQjwbxdzQYw3Yte0ruL5R/0KwfE48nGaFiK4d9mL8R4q&#10;dLoXuML7B7C8rFJ5P1b6lQ74xwXqSsto5al5JXcfR9fKlcbzODTkiJ6DJVRXo/ZktTQj6EjHbfPB&#10;AVmdUQYa5fq4dHz9tu8iRm3wRbTxQ8fv8HX7WGDdW7ZkyZ0d/2r8Smtlth/iDKlzoQMylpTjWQ1C&#10;tduwIq3LbUUY3fPJxR5Ne4i4NRBX2GH1C+Ftxs8bl8Um5D0aOnEq6Wa9coYGpUrlJE4Tsyd04sij&#10;c83OdGhtT2wtreezxBNUHNcZ/jBqkJuaQoiUWuY+bOOvswAqC4bLNn7K0VdFmAUcDPiorGnXeqZp&#10;hOs8ffl8ZGJrNCAGvkAu8asErky7dSlKhBUSHUye0B5bfJjYeZcqpAKy0EguKJa4gl5T8VFmEVFf&#10;WTtDWMeX7RuueKKKiGco2Gs3Pl+L7LyYjuBKHnfMaDPW+zggSZNgKhOhrPyMYKXNdR81TufkMxfw&#10;uPEet37Jcvspf7l/DrO9noUWexlHkya+nBGdg5ldkDGJ5GoQB1Dt4dXRzkKx5mihbrw3mxr9dMoI&#10;mZNJCV3+8rb88a/y9lselazJKIKsIY0I4dZnDd41mRQawS3c3WnlSXDq3qeip3o0ovlWfjxCbYhm&#10;uzQDKNuik/IqKj/thIg+Dr18m4hPAr9tJw7tfX++V/B72KukyZkxfX+K/ip+7LV9922kRetTbVop&#10;b9Dcbl663klFm2JT07NMt/H8WU2ruECO5ZwWn1/na7NLraGYFccX66hgkSuRKMpMXajIEA1tZ7nH&#10;SjPk5lceb8USgrtnkqVkoWq7DHQxAwGfiSBND95Fc5lk5XHtkN5Jk57au8rWM3HLxRZBeUmZg3Zc&#10;aOQCQxruFwyHltxVHJqimaENuIPWTy5ANxtZraZS0ziWO/80s3ClMmocvSD5EwHrsFgwiSlJYkfg&#10;CUeaQQaNvZDulAlmE4ZV4aLBE5q5XsTvtyyFwjJ2p/AFrwqS7f3m6VxlfPW2YxxdshqRzDCpcRPG&#10;AxnfSIRnYjvTfWynnHme3QSMDv19tEKdolAs8222hOYJ89d6iwYpHW/tB4eRC4+cyniih6Qo/PwM&#10;C0d1UOQ+b/R2OxnBOwp9rPd0xVROsnQd1GD5wc+6K0pCV+LKT0dfPHo+misCjfD1y6g3x6OPBXjj&#10;/w8PG4MPD4EZxzN13I/jRS0LdRDVR5Tsa1F0UKDUj+QZRkoqcBCB9Ho6McKFU+j9HGmI/RIyo/bA&#10;jBzBSMNmjzyjWkX898kC5R4e2qCpKq9JcMUW2zI69tY9KawJx8mNnQJrJdh9uqQx/D+ppZrdXyiG&#10;sgUoaOvIJxTXzzSsMbE2UEuJXbLZOm3Bqb2DMWnolvGg6WSRpQrdBfl9M35p86Kb8/9563JiaLsJ&#10;yyrCgAS3BqpILGgNrnueU5lEb242MaEZh9x4x7YPwFz8Zh0fMFA1kKiV+ShLl4EnNHZZoYGnr+Aa&#10;H+T/eNFX7gc68C//khnVhtHRQEHj9Rh4fVSTo2IL7QNPD7O0iAtVgrlMzhmdzXP5CoGJGk+lt9/C&#10;7RE/vh8f34EcciGob5w4B48OnqysyE30H+dmKnpB1qdIMfYJuPxpg9s/KUAdlcKg+guvKpxxfbxx&#10;wDXsk/wt9Be8tKOShCNlud3L40ta1nPnOivH/1vQ+BmN88Jhudg0JgRWxAoPHes+WW0+8SSYhSnm&#10;dMW16NAc3def139W5ZlrsFkPam1rS3E2kA2EIVywlt5yUk+lt1dCUyDkWpxjy5xVBqqc0xp+Np2p&#10;F5O/r0y0/8dkQ4kA8MAFCwWaWlou/YoNtZxKaur2fgZPNWpMm8veWgrT5N6Vt4VXXYJFEfkVZMME&#10;7ON33iEKZaq2H1b4Dns9taPNzv3E7V2HRS9xU1H7OUjjAwKOqRxoKnA1U+L+onD6U0dTtq6rQ8dF&#10;xm18u9OmVJ8gC3zk3P6AcmV8R8wJGQhEoGAZ339cnCu8z7UZxEqSvTWRkMjm72MHFbSsK9dvGEc9&#10;+Z1XnljVMCaBuTFlRYcXnxKZ8xANSuWjKXCcRndF6dLwl+BSPwofvAcsUJyd8g3Db54KBDKj/8OO&#10;qazjmMpxBxY9HSK1xQnXiJiFpnijT3+j9G4c3hvxCBv7zqVn0SLHSwUjJuXj73/35zu7Kyes8I0E&#10;OwTv2b6YN8snLpxZazru2dSktMOC9kkif4VjGRnaZSFuEMTh2uKc21smX8j7rkIwVJ0jGXMHHM6L&#10;xSpZgyioXxdrL/GDhY2dZQcTixZSpWsMJ/c/chjI3640z4/vyoUP2ZAeQgRFgtT5RolWj9rYAzgx&#10;t8u6x5N8q9qOkgekTbJAzNUOf9Iu2XQ1CQQXlGIZelRFIvhIrBK3zY4ZNxCXDnA78C5pksbwDEDd&#10;geoQiwlF740i7oGtW90r82wV/ys5V17u+fEG2Lc1wfGfAmxT+kF+0V9GcOAP3cqX38Z7/lH3+7Jy&#10;R4ADlFnJfQt1RcsXmnmKYKFMLAAxe9AK5iSHSDFo39g4UlAwjyp4XPOPLxiw3u6Rtp5uL9h2otTW&#10;NQtFulDDevixi2qXRWP/uZD1quafOJgU/aKvSl10DYrs1X1GrPczJZAPO6X2gH4IJ8Tz/ev+/W8I&#10;rI/qbGgKDvovctk/DaLPCMYz8c4zI/rroR1PJtrVFHhOaaIZBNMMzuAG6yX5T8LzKXGpwTPVW/Sg&#10;iRinv3oy6ixd+SKmVb2i7RaPF3LjRj8Hvxa2083sm93CbzVI6Nlf1Rn24PiXS8nNcA6H3CcXtkQe&#10;rhaoF9yXGLQO8TciEYqNR2GKDqSjVcNTmWjtzG1dK7STQVvf5PMAOSEqL0FcIdD1sA6Q75bY5Sj3&#10;YLd0mC1nBbijeF9WD+Nw5Vfv8ntL51COdtuhtalaPNWGdRaqeCS101XJuSuv7Wdr7+iW8F7wNWNj&#10;3VWEYxSPixA90oFFURGSZ8k7ExIOVgecOuPJ/zzov4M/r48T+ka2mf6VRs1GvIlwKIuwsu9tr8cD&#10;X+gkRuBawP29kdLyHfGekofKRxpHRfyhktY/NsGyaart2S/FAj0A1OIgWfdx4laHk3A/N47bJf82&#10;/o8NJeSaoX8dXR15NquMGHQ07ofillFwfN/297/+d6B7LBp71qaCeKsR4flO1KRdVESR2ezf85Ob&#10;/SuoClt8uXnluhZTX4rQPHHBfYZv95nXEiVU6VBpdRMLSb1moCIb7yQwTRpTlpoT4RtOzXKXFL3x&#10;HGIG8+jjeVa1nQVYctduEoly/rqY9wDg2R2AA1E1VKDjF1/uPi+1PaGLzV1IYRnqpvY8LE3elIz0&#10;raNxTDyTuk0I8YjXlLVz4CkqNlJF2JrPQL4sw1IiVgnhG8lPfWrTYJynlULXIgYM7SgrXcONi3/q&#10;XejfQVwU45TdoNt+cvKdh9FrHp3IZXNMCkfOjiViWSuPg4IxEgBP3/ed73CZXPbKNe6aSnMwFm3h&#10;TZRIxS8nTcI1c8k6CfFSNQTNeV3Lb38sv/2eb29pvTE3Najq75V35GVKGz1zeeJaLAXW1E59Rgpf&#10;E/VObpgfKl0yBT7GM40ZPcyQ1Blal+RT4UC+zRoumtWa/wMcYPuo2rY9v/39/PYXjIDIhXcLQRJD&#10;McbX1KJL1i3Hlj7EtLO929w1mO9oMrzmGZ5iuKRLnHYuD1WyAUVwtO5kx7wMgq/2kGg6f01IFFni&#10;RntlhSrujpBP8lUQsuM3iEVJs5bMPCcKSlrL8YsWuGG2DTKy5TImGEhFl8xGim8dj6TRH0BKGjVy&#10;ZdYqn0pMDDOpTlItyhwB96m47UrFLuefGimo7A6Ia0lOCYABMQpRZLxBW0biWXnslSH2epDxNJIQ&#10;WZbmrqwCe9uakKNBcHEdaQsWllCWdgTy0c7YbaqDztFCCvESRld3YBe3Jtcf2xuusAXklXPvYAk+&#10;EwiFGWXFJIbUNRsbNgZKFLOl03qBmwknhNhgYs63RUFIMqiZoFAPPZyanCLbpAG58mTfiAzApgOz&#10;zVuhXSGEvUrqQ3hIkhZXGS0dOnZKOZPLUCWEIbwKYs5alRAF9WnhIu+GJQlIWNAJIIkJ/8i9SL+p&#10;3ccTBIonA5ByEju+VcGYt/eP74xW0BClTTY8Q22Ptu9EPnPbrOdGTtEDN5RHwn9VMZdNfqqdMItp&#10;gW/nqsLkURY0JXKMn4ujUjswo6Nwn1xRTUL7VMSIO0mIbvVKF/HrRCjrJmwWEhuS4Jmy9HTM9ZXV&#10;3SYEWYVg1J0Yi92DUlLXHZyjsjaD4Pd4pmYLGa+wMA3BOHKBrJidpJyvOs8T+TJ0bgDLjAMVpLLo&#10;lLgokB8TN8YbjouwiDRberTVObIGLRA7ssl2qJOBV5n3qdYJbQZ3lhgh8JGk/SgVreOu4Ul8IRX/&#10;0F54nPPlTOjKLsvu5VDXXjvCIh4LL4HqjFk565WhAAUyV3S1W3YK66oA0lCrxcQU/QU4Rl2MYySN&#10;qsigwiItd+7HrT2fdXs2rFVnkE/yCPU2Xd9dvBFz/UJnbSQ5s439or/yLJrYL1NNPmySvR0WxmXd&#10;oQ839GTLnNy17qRZZ92OZxj3OUffNliSj21tdWmPsCycdDebH/yctzpNmX1SQXVlmwE2nr72KxAm&#10;aSxkEh8LObPrUsk7UUlSJZw5MoIsJbl4zx8eP0G21fcmiX2YLZIsMVa6DK15up/AM9jGypuDAsVs&#10;yS0epB0IWNLkMPgxPkfVyXOruqysDNVMFHm7U1AgLsODTUGBMnQWuC/GhbfbeXZUmwHFsAu5D5Vg&#10;0j4vdxdUY2W3IOXOvR77qPUu+V7TLsmovZ40TcUgdmknSzAxzgyjQEb+cl/CfSG2d1EBuxDp6MTN&#10;kiGMIm90nGzfOjQdeLQfhTAkXp7EatAVN74RpodM62O5l4Gc4KdTW1xKLfRIEe2ZgQ3Gpge2/Qoa&#10;5yZCAZj40L/kZSme3MGyrVIhOUtGyUiFJm1aXkWI+UYVkynKZlSs1IGWM4IPYcEDlbJpzoULDAwL&#10;e2vu9kLc2rFCoMHpY63vQIHgR4wvf98+GqZfBTg0VjYr8sTbTsd+DMt4L26xbzx5cToW7CZpAImU&#10;zOz3dR1/6/vHe+OKMdPK1kY/sT7kTA+TdCBIDAxwGirWOPOnmdkR3XkFAXNZC0bGLXj+sxF0XLli&#10;nVacBBZbFnf7VFWPCfjbc322JKcYl7OKpkskTjMcvOtUcN8hFCV4oNfLjdqSWn1ofwrDDJem1C2d&#10;bDSb4orDKztMsKZjC5JRRubgobuCtSPpiuZ3ij2SMlR+O0zQ8/hUmDcgxUZulnshdX1jVBnBaYC/&#10;RJtwSKTGcr/Y04FtBLQqKF9odcu8uxHPhBJ5XRJ6wVG+7FD+lmLSsN5sAxL5qW7vjVnzkDtBKJOJ&#10;fEthfZTb3ZqZIOdX+6WbL35Kn3sJ7nCa/birxp2YtxQJkyDnNskM1VXOZELcFF7vxHaCEnnxm43l&#10;OoI0gaFnQzpchMup0RTf7myNOQfCA00fGqpH10GEfhnx+RAyWlGvHshFIp9e8rmbsv8/X6PPZ7KT&#10;J7p2j4R9CUKwp0Pw/FxNnpuhvqyWeb4fMEUc46Ipyz3f33ClRoXb8+IyqFsMr3GZ0S2rJ7TTcRAz&#10;1NYp9Ffjwyl/MdB1N8OhC56VlaxV1OR3veKtXzJ0o5tQo62deU/yB2CU3+QQ4hDN4GcpW3ACkTsW&#10;UCnhPchLFKDhz2N0M9DLtlKeXEtk1G41HlajSGKQbSuLkzjzUWyVo4hMGRv73KBBAAxakq0qe2J0&#10;719eqAnitBcIIjUwRUPLvVvTIsyMp44JWcFQeFZ2Z0ytJ5LYQkeRrRb9Q5f/0dfWZ2ExjsDDtFU4&#10;HStzzpI6SugeEFTzRCMZiMQcz/rRCOLnrRQEjALqYEjmyoZjA5dmz4wuGmdLrsgqOkwOpuR60O/x&#10;+vdDfQCujCz8sxm++qndtyKmNpp2S1IUGeZwzOfMFk7D4uA4xpc+MnSG3PM15j9gG8fMgDAOqDVq&#10;e9pnpb01CSmSb/7xZnKaFGvq41Act/jX53N0livTSxfIbUa7nFfAwisOIob2jVJgVDlHPdThaoKq&#10;BHnRTXkYYw1JZzyluSa4bw6+l4AA1qZcDKwrtyyferWHCRmKZ1V44h2CgkuEn7BaGaNEHpDJCnAt&#10;1tCiYTxZ3FqzNxvpWlJm53LUImPsUmq8m7jCq+NUzLwSdz0OksV0kOwqlfJ4DQeRDYQdwXsHeWUl&#10;4iASGlH5K9MCv4xKcOfhwRWdOesdpMiQ8GoD1IyPWvnS2N5tjfbNIpGo5bTTRyF3wfjn2wMJR7Xa&#10;XBQ2/KIZnp5pBmfDYhLmGbgvwakGhjvBK4zzT4tn9C94CaCaMWoVn00mAAcg2HDHCQPUyzou+zCK&#10;5PWx3B6Z9ny8W+3TsfPiKTtpPufjLpx+OFF+R3FQ7ooukb65xXbRYLg8WP8iYDTKVgPAFyD6pO5L&#10;8ZOv+jQnCKKRjfqjbMhESqkq6whFlnC1beOdlKIFe86I10Ym8xL0YVjfZsfibBeSSaEuKhec1R4a&#10;z+fzfF3RjlBSRpgZa3Fp199dR7fJWKN16iIUBnH2cABsIRz7ttR9dNBg0wl2GcIZqt6vEewzj8L6&#10;fQvwadUhz1cIaL8QPOM5EQ4XR4SFciUnuhnlWGjweG0ng8OqJ+zG3sMuyqTc4l0Vn4EuUxJdN5b5&#10;3SyiKGgnZUBSZbJHLz/lzE29+VIkTtMEBPiNGBieRsV8aNJaZXMmXIjiYuyPJxxHlqXZHi4xOLB7&#10;ep9cNqw/0QpxpaB5pM0f8MMOn/hyxVnMOczeCycL+xMa1lIzhp0EFLHbUlXFLkSwKOFRKI/T6MhT&#10;CMEDNncFOXWXAhMLTvzVog+GdtpsPzd8q4iuHmUw2oPjaBlkVOCnufFh6yX3YBNgpXHZ0NfEg7Np&#10;UtT56O0ENwaCCDCTbPFgiqgydaVyHKfcs9aCAZeuAN7ZXDF2ZFR3sjTRbnEEEo0mri3DOKQJMG7W&#10;iuPbYmGBTxWgAC0vFz7qj2PcGux64A8kyzIl8OP3caa323pTPUTMJWSrcD6yd4CosI0Hnrz52Eay&#10;D6n3BfaK789nANwcM2pE1f/1f4idLMZ47OdFb5PPOpqMu6Wqan4hx1+bgAsKpE/bKw9YeBsO34gn&#10;u7EcBxE50MRpUTkKKOuk6I/X3eLd7hMonHvcD2uKQjj1yJRutbRiVqlSKnrIEK/wbm3XqEt2si7h&#10;L6q2dOc0OxrHQFC0kJSIND5v9HD6rNnZZRgKCYXRmF88ajJDk5gsmKQ0ZZmxcMnCHU/nmCOUKG3W&#10;oAhNPX5PNLbiWDcRqUnJ8LuFx2wUtjfF7SMilGJlNJgUttijI7zJdDQGZsOQpmOYoT0UaXY17RhN&#10;o0Zfijk6jNfeP9sYLHW1xWvE46sJAEfJKIzuX/KX38OxsUPC86GZsVdzEGJrUmQWIiYiMjWyDGi8&#10;i3UA93+kqfUZYNMFuCq6oG9rAvB078cODn1NXKvO2DkzkZusMeqZOH/YS+6kNzczU0mHZJoYTBGi&#10;kyB1QVOdduGltbk5jOEVOTlTrmyD0c4DChcBbnFyFo9lHIG3NwQcLsWP5P8r/Wc0PXHz8/6V2T1x&#10;fW5I4uNYx6uB9t0N2Cw2Xf16qKeDV5o6V0A1hcNNmwSLeiPHcDjuY2zxvhinasZIFQ6VSwtq2ZKg&#10;mvbj2Q2hksg1eBC2njs4UI8klUpTFItc492MALlbD85/RZh9nLS4bixzVglRJGt2ipWHCzdFiqDr&#10;zeDinh1idGxFaqprJ6ABzAj+GgdHHDQe4GVnDiIaM3a7ZDU6yhqtBIx3HlfpxiVfISwbvzNix4Gx&#10;Hl+8MeMNier0g6MfAsoZbR8hVOPnAkxq5LBoypxAcxvMd7GSneZjJY2Cx72qUa/P25YM7gDBZ5ia&#10;Ip8dzBcSh5GHjps5u91M+YKgWiuacJy4iOgrpg7iYLMxzRBmvhxGjf1t3yuObRVW3bIQuRRMtqTQ&#10;UjGsQCGqTAe9hTrPcTAjsiHbrTlavaVdQ8ssBIcNbq3b0d4A2cLX75UNDJ77eMqhTbNQszhreFvW&#10;jWfwx9d+nWrxZlBdCQnTjpEqvTPsR/ylOB/E9g8MHFiK7E8hX6yw8rwCj5opxeTJ185XkR04gqqX&#10;5QPHJzZ7YC9ty7GUs0mldctCIBZs5UY0j2HxyVsFmyYyilZRUtCAlP3JyRltpYJkTVCFWZXob0Tt&#10;cNDUTBByUiGcJraQn4ZhUYO3Nlwl8AGxFA7EmcRy7Mdyj663a1qls0VrwfX+Gm9Q8NIOiyNpzdN7&#10;NIjN2Sr2BsmMfVTN6Hk8A/lPUofiCbTE/UMQeXbR47K4pf0DDuNlYWqxEGuaO/SfwDL/7x69aVlu&#10;yxIdNKzvVXuf0B6B/sZtUs0iNUob7O7gtIlLcQZGlHjwZc0Yf5Dwq5/rxghATYe1qvvKcbUqFmt2&#10;KKdbjXQYK0A+I22mzzLMMJ8ZwKh5qbQzvc2oOg/K6hq6XvmYcUpCzrnF/FeMyrEEdv7dgx5h5Gvu&#10;3IXcUH/fI/0o/YKpebXtX96cGBxY4F6LeJ55l8xbyanZG3u+0Yy/CZecpxM/c674PG3Q15uKzmZN&#10;lmdsrw1lc3bFmFRu3f1HOvrELLY/VPwsMlNS7u4PhjZaA2zTzGlhlAyEYWWkAFDKjsBHkKM1kiYs&#10;aOyHPaKaa59k4Z2KsVe/k6KR7tUSQhiGKvLo/mAxt0I1Mxf2KNlu124yuSY+BctaYTYBS9G0QJHT&#10;rlTg5NMkqSij+IlHX8NStcjtfrMcjI17j/EdFwS6akhIQnsszRHcXzBk9hRcC89pMgRyFk0TRT1s&#10;Or7kqEsWL8nl8nrDOYZda524wYaUMcQBIsnWVujs8Jh4kfyK0gVZg8URNR5dSiwD2xePypopxik2&#10;xEAPLsg1EaDUQcrJ3o8cPDs2hwKycVkQG6OReLgVDBi2g1lSzkf/tm1b3f+4LapWEUk4ioaSP7bn&#10;KJcSvWGMLooH3ZbKhRmVOOaxlSpcwcmsTXPEZ6IVYfRMoy7Z7SETbL8uevspnY7K3zb4tWbVCegT&#10;jfoFro4XMqEyOhjcEz3GEndDZIp68KBwpSmZ0kBhqCT2RBrX8G81Zq0JrnAgeiz/mS1apnkRv0yT&#10;Mz2lae/lRr9FE682MtY5BVfUB9s0Lv9gD4cYuyqtA89vG73Guj7SOFPx6M4NjCDaZbDgw8dY4xnP&#10;5Tb+YK4q+fbiNMw2WQ8dpMwWKReMcfejaCpNQycetmWJdfMEGG3DoHAqLLzwuYyL5Mh6IcKsgnK6&#10;3HDF3x7lft9C92AjCr9nsMNcZ0p3fI0M6C/cS62J0tsfy+NLpoCAicPCsqMskc5OeNs3nHbMOeLV&#10;lfnO5GibzmSfwdlopDC1JlfGNJ9KottFJpTh97ytrZaIUQ9gRXV7UlxaLcaWfhRtlytYq7HE1F+3&#10;mXyP+mVv142nHFqfG0m7RNpMafDOsV3MrWbAa9H4kxb34wPQ8/SyowDVcD2ecFeOq+45Glj4cdf9&#10;WZBxcRcfRCdl8DyG+IIA7ZaKdJlHn3ObyxFo5MnXLWfs/ozvweEL9TwKL/WwQdtbeLEmzlQmxWBB&#10;FR6NvRuIFoQsEb/+jkdAy0LghDa5XxLlMv2LbGrcQuM+IxyRLKVA2xP21lQtZ3rZPCRjRsl4ahCP&#10;h0XWQDy2n4aiQPmaKNnA0UZpTqieXar9dG2HRwUqYEqj1mLdObPIJ5xsyqjGp1WSs9+mxLZf2n8+&#10;0lI4lbYSN+/sJ7O53SHC4YMGpcNB6FpmiT/eyo0v9MCiFJpJnFHY2x1pXbTsLHJ5Y8txYJFeeIFz&#10;/AgH+oECPrF26PQjQzCZ8VuL1FdYwUhT0qQOgeUcb+rNdV8UN48CLTSu7xdOfalbqbln7aF2ePsA&#10;VN0pJdsp6GM+ItS8PPzHSbAQZIz3gxl+QXxqGPKM6gdLQ2cK6HhS3McJxhFqIadtgww+r+Ng8wl1&#10;sJxukF++7tv4u7/f7uMVjL84vttWoa9JmiyCbRbetw1WwjSOvR2QmVEQf/s7QCsfL0wrgslArITa&#10;om38BNCZNZGL9HNTc1D9eOh3ZnIokNCI1zosM+EG0RJxo9HbuzI+8JzAGV+jVv01WMEmlm9Q2Kzy&#10;9pqP/bvN8cZDE1Y2mPD4dMdWryw4bsdTpNAOqIJvNMTHlrZvbXns6y1//zvw2czgoahbSnAqPoSJ&#10;NXcEIhx498jCUlnrNs3nPDYZ0ZsEzvGRliZrBqOWGV5dx+dmtYIRiCLrME6QVHhC7CyyNb9XbrGa&#10;6V7r0H6CgPXh7OU27pGVI2VP6e2K6xPKvMPPPkqIFeoqDaXqxtIs1nE1rUggesZJ5fLgx5NVne15&#10;Jney1DE/DCb1jC1ffo/rvX19Zs6VRHhPrpFuvCMUcpJmc8XEruhFuQZZCtFO9t/XwJ1T3ej2gsTo&#10;y069DPBFSyl3cNvGgbF++R3HBmre2dN3zzGfYIXXIe7Ms2+Whdtk6GfAshyLpr+3jvu6AXWZnxkZ&#10;u6dNToKBy5UveswzdIFiffZBwDwB1/Px/vz+ffv4Xp8fodYTGRjDmVT7CnbzlPAQf0Gr++To+OE/&#10;zTUlV1P/5yG47ICs2FJzVag3izbwFG8sOJgez/FR9Wi77gMFEa11bmKIz7+AnEwy/dRaWTRS1PIJ&#10;AT4YsoU4EQtHiO1cQ2pznezoErlp1pxKn0JtyEDYKAcSDbj6P30U7dA6snmaGd0ai94SOE0dY8FD&#10;CQtE6fTFz3LTkG2NqS9OvB4obi6LRhTGczW3BB6XeMISttuJcxOcM7NIOZiELrl2ghbGXj2+7XFY&#10;p6gUcEqKdohc84powcQBHKdWPPmopZLKpVlsIZDPdSHTBKp50iRWEXnpAVcAULR3uz8bcxTpNaz9&#10;hOEdVQZb3Oe3Rf1ovBiMlF2Ne//JdHU9U9JUc+BZcMDLK9QvvYDNaPONi0UiWo621WNj2NE4/N4K&#10;BiMEWuNH3cv6WCAZfdY6/jtOuCekLumtYJrtm1v8UCKIwwcYMeOzXT/+/q/67/8vGGnrcrPMKQpo&#10;zOM23ANFxTOk8yURhsCpnlfajpGqw7iGanzkMAXwVf2NWY2TP9EkeZBsm6YZsQ58lsbIVhTB2ZAx&#10;40/yyhu+nG2qra8l45ZAAdlG+HQwXbMBDG3jmAfgfXtuZkWn4pTDbtDFKkYMXPnmFZ/UvlM/ckhg&#10;0WU0aQZkySiTOHpTC4ejMCmpMowqpSxmqNI7jHJvNcDyOYFGQSHRJ4YSFZx2ZuQ2k6QmG8pYJ7Ms&#10;6oAtFlnp7YJFLMrCM2UOBrwiTuqkx4M8jnttdH7x2u31X2TVBsdDHt0iRF8VKbjbliUFqc7PrLSJ&#10;O1e0FkP+GsceaQYfZ/7ODLvKtPGlaSpoYWZ1GwIoCLBLK5Ps1MELL4Ekx48v5bbG8cJGdXMbtwMm&#10;h8wgTjMLMJ7tFzN1Z6IyD71JeT5ZqxMGc0nvDX4QnrvKPnthe+WeJ+Hrwxhc9tIdYxZm2gIXITgC&#10;8C1HQTo+4+25ffv6/vXP/dvXSLF18+4qOkVaKwtv8pKjp3t8SR88jz0dSq31F/XmTBafrOYzSOjT&#10;oJWHejd6tX1RzlMPqBWah3IG1n2x2aAGUVVUeI5XshH00MwEGbSrY8InGvScpsiE0GohAaVwS2RX&#10;JoeN2bh1atBs0EyCO3VoQBqSy84W5SDxWKJh7kuUeRvnKWVJqc2Tx7LVtlCjMdE7WloC5hWQZUhC&#10;b2JtSWWCjR/poqY2JaEet8BC/CHyVg6aGWRq3KmOoe+6ZElDnIAkvwXu92jbgiOoVpDRDemsG09X&#10;afbWUQJmVPLjQbXzhqTHOYTbWrDqoGcc2shRpNcVLJjeFD/LLJ6iOxLR9kTIEGZmOx7LRDaPbFbh&#10;zApUCQlgHI532/QUrCF8N+ZC9qQYF+59oY67oUNNjE8C+X42mVlAU89vGQ0tJQ9I/o5SjSk4MSmi&#10;Fb/airS/7IsaPDWfnIs+lhUjJo58RUxgsA3l1JIWQyLaHGw5q1Ez7yge9xhnLtUiTMD1Fc2shJMD&#10;wlS9W0nngCEaGjsrKkFTdAf2GXaLq7wm7QJPYn3TXirA8JcdfmabSB4ezazl3HJpiOrs9GQ4DuWh&#10;M6pCLnh9KDgx5GukbEIe1aZEaIkJObDFKZSQPasXiqk1WquuTMfmZkDZTw255ZT2ePrkzVLWzFOb&#10;uQOrWfo1TneTeDHymGgz3iwPRDJ0rf2aUmrHcXhs+Ao+Bpt2Jabr6+lA/cq4eb5d4ooz+0iaPqkW&#10;Ro/kRt92ZpX+N/9jQEe4dMQ2dua4HeypW/SPNirxUJcMy+xkInfFG2Yxw7tH8kxlLDWlkczD7jRr&#10;qpa5+Ul+JDh6DHxGPG7GQTrO5Oez7duxP8NRtStCa9Kal93JifuypPDbJX+OtavtYgb/xE+HyrUS&#10;UJ+Rkks0P+Xk6dH8utXsFzaJXAcEHu3aJI0H8QeMjNvt7Y+wLjKNykjmCzYbg/YLycZ+lfSTRL4J&#10;+rwmuUefyfQpV/OJZzpDr+zh0V9LJJdq6plBCCEDbDSXzEEg7JCxOGHJKqWJeZUy5Qhw4VBzUbFC&#10;lwPDhoWs70TTpgCkOTXErtnIgC+q5hK8SnQmycmkAHG+EbJLZGGFVXjyITJukdw4mDFLOwFmUGfd&#10;BVjTU8jMed0VpHpA8dlGQitHQtLxOjNHaQlhfI6j3lxuKNHBauYAjjvHA7q78SvZr+rSG47MsJiE&#10;mIQnCf4aBY3ofA82l0WDZYWtOJxXzuZMTe1uYXDKcICO8S3mHdGBbWnI92nqxahDajtiZRxMbS40&#10;cUaw4qn4d+MEXRj14OEdbZWjweft4hUeAGHif49DYnw9RpSUYRVN32KdkTn3slRx5mgd4ViyMxoQ&#10;oUzbIX8aPr9xKD6heumPAvv7wR/3cexrQYz7+wHLvtQnaylf+jq6QxyEmHBmDwdXYEAmgrsxNyb/&#10;hlyI4+OoNqsx1YbFhtmGQIFE0PAh+g4zpji9rdEcTjmbRK7vLtJgG0z/HAb40xBt41SlHuRJwb5Q&#10;x+KMnG6Aai7leE/to6Y7gC+92hzUyIX6Pav82lHQUR5ggX4+4cs7BFLEqxa0vFWT2/ZOPW/q60pT&#10;0hKZXDE5taHvenxDmi/qDj90lIyVjiABfWmRzEZDbTbtjBJp81CMLKpmkL2yqjhb9bTbOB+iVMFQ&#10;isP3jQjJllkHBSMXjs/4zmFvbRimAhOUrOyGWNRlf1lDINO+UZVTBY2T8RE1MR2HIf0/nHmfgB/l&#10;y/8oppINMw+Iewn8flFOPlL6RuX6/RgX56RwBoIf+eu6WkIfbJpLteyWwjZT6YI0AvFTlC11hWwL&#10;6aXqy4pEtyc2BgcWgUR90zXVVGflqBazO2uIzUGQOWwGPvkDn1edkXWugT9eOfCbkzYS+zy3L2VC&#10;v6bg/DIj0UBnTSI+MBPTxgq31DugNtBq2/j2PPA+RRJ164rn0PVs8uLlHbv8uWTcV1WNdin94lPr&#10;7kK/UruVDBaEg23dPb/RsAT4ZGl1towY+w60/Syc6++McW6CanDELxDXCXpLCjE3Sk1gsHrXIqHx&#10;AZTkh+UiNunm4mxH76Ny95J4aZB0cj2G/qvmMC2ERoZBc4H7cPxWa3MpDTzjobNwg0eN6ePJEIk+&#10;UlO2RZOFEcnM0CWOhiNTUwAey/in5eaRT8ZwM3CE1SLxYO2bm1YMbaNDLjPgNa8YjC8sGg6KVVaI&#10;ueHjTjQsye6KLVeIT0wgYTOo2447ATl50HVkSB45gWE7Xu3App4bBQmeEQt9W41fOd71DbHAB7PH&#10;Atsmd4N2ZpDyibZwR0LdCO7O8Ys9GCe7sxTEe0fn3Ggixg8Zx9tKFUw1mOE4jA9SeJL8nnhwJBCx&#10;mcNXiQEgjpuebyKONUTCF+w4bDOyA+s4yQ6Of/Ad3pYF7ChCAMhARbjo3xvA3jkZ9Odeyp7L+/ev&#10;4f2bwTu6cUnYZQM8mBjZ05EwcOTJ/PNE5ehFRmquAuhzAknvjzRlZENnwZtFC9IVw8MyOdMtmpiA&#10;oxNhrKcnWUlbzVsGrAoWxsyOS2Pt+kcn4vP6KnI/q6TjfHTliH/Px0VxqgQGhlaNUpEK3pZg91xD&#10;WQKt5dSKBHAknt8RAKXBaj7FCzpljU9NjCfYfibxc0kcbyPGUkCRhI+Vig05NMTPaVZeG3vN0tj5&#10;LomlAnGrM4h5WosGMi6pR96fPE+qQwqT1gr94rxkPSJo/Hgz7vl2a+/vSb6ydvy/nH5sPtPjCy9a&#10;rvF4/YzbAuEjnHMcCLBLllBMs00uKzHrVd5TyBmIjSh8uxtzKtI0IDTP4ssenmCHTev+3Mf5yveE&#10;hCGL8uGjd7lxg8xpUvvetyqLqo9Wj+ihXJGs/SZYAPS2yYJUffAZf5JvbotCgyKYlTHaWXAiNk+/&#10;gq+7f9iqcYdpWUAQ4qdpycB7tu9b/7Zvz/XxZY1fUNmBE6NNYXcbfQtKYo7+RwLoh09sFrsz7aCa&#10;SX4+g6cGg9OGKX02J4F3f3aGgqtrlkuOdBqDSGSYS6J6+Bmaokq5ZhPC0Q9x+01LT4tm/xKcHGfV&#10;woPNErhT3kkFy5cdTEVBakvqhLKri/uuOU6bxRIDUJuHMUWLcisK+YyTkONvVLXCXqkpulqP5KmL&#10;0M3zcdUdIdfoczA5O8M8ExQhTOAMynBAcmXK5qnns7PtNujAFu2w0Zs4QE2DbzzSUpZBWSswAn8h&#10;oN2ANdE+Edb+Qir8eOs2jwo8KK3kvr5z+FnRAjEzj7IIinSDguYZLavlOUNe0vaMfWkajLNXol6b&#10;dwKX9ovnbkDkIhaXthcp7rYISgSJjZdWff+PpHj1StC/RCRZH0on5bvU6epr2fmYtn7oaqAmJljt&#10;VqPYcOE/Qz6aF+mU5PffoAlkQYuTJitdlvZGDF3H6fht3++5aCjCqCN6CZ8fUYxM9kB2TU7MMO+k&#10;uu9139IJmbDdjJ4VbPLoFx8dZY3Rbjo+bO0Wz9FyWW0knijWNCW/X4hwMlhKc5M5teVbVAAGFnGV&#10;eSjjuV95gY3X+CQGAaOU0Xzw1s7i6nXjszLSD/mNQBbhttRtUhbQNpwgFwSF4w8E0gE3bjrQgRMD&#10;y+Vx5pOA/LGGtGLJUHl4d3NYxekrllszGhCBz4PazDamR0Hd5YzuHxsUXMkzktgGqjuXt4GSoAqp&#10;rSoA7IcPGHQ8cdOER1np2fhBBrPiyc37WqpsDeo7371cbm/p9qjtf3F+H099STJYuYK9Pq92L+4B&#10;PjYaM1eIb+QiGVMScICg2ElESnTai0tSJZ7vRQNsPAnHW7J0YgZfvWQeFGl1i8xVFv/TpyLjfBQb&#10;atlFOWGmA4wfOm5+zD/vb8v9MU57dE710EQriTRNu15r57noamTTJpyivR+tdcaIieHT5Di+JArZ&#10;bDP28Kvhsu0pmgFTuocnKADzOPrHe32+P9+/Pf/+s3288yHsvWXyzCbfsYYLgvpMrHWdIaMduwVr&#10;T/ukD477zIg41TTzXr8S08S0sP0ntempJSMi1m4MaXkuPZcyGmtV6UJdaZzK5GMMCPZqmYJPKqQp&#10;aOKjNRa3olbeE0vwr+ERkTRyHd8BqzUZOiMtZWJpJomQNWRqRIwS9kEEjIFlBb7mVZTXUTSZL9GO&#10;w3FVIxKAhmwHOwaZDanr6+YhFIKrMeAds5pogXycBGROpeo6uisZ+4gkDTPXxvrAWK2MxsTqNt6T&#10;0URx64O3MedDMLnFfM3ahT8b1C8e58h+gUJMdDGIcGARNZre25oX2OnI9IJ8HJqRSo+zMwSfDIbl&#10;12CWvNATYlyiKJZNnHjw0cYtJTcfAnG3n8AtZNLY0WSXxAuEVmXfVwq7ngBbV9X04+9+WdfxdHiS&#10;jDq+6UYVH+c9bKwrLqeVBkcyW5XQZ6JrZfXB9jCaXSYCqGVUJMX7sYMFyihDgdbwQKCWaPzp388P&#10;GOFkt7E9elL1eboR5lIAsUdVCa4v7HvLRg/GzNSDipV1E3CEik2AR2PxSmYeeDPHe56mfOBbbJYW&#10;aSyhcMVVHGYp+VrQ5NWKKWcYOu+xA1DVE40oaYnerEQkJoPULV9Xz+uycLFaqUopnZkfcsLw5s/y&#10;4Gd60vDPJkXBkwTmgeUmeZpWpTp4MmnojT8o8zrHDapxeghZY7AZZ5CYpiSfol6sXTlaHicC1UhP&#10;pVRNWQ56bnAHtuO95SMRsrLxBaNSqQSksUxsKsQVk4TUlyWu9/L2BfsF3jcXjIstgP7Tuo8VItXe&#10;t9vbrSzHcXC4JfGyxr98JtHCvot370vilQ803rl6ZF4nqRPCLON2vMSxz/blpW2KUiKdUnM1i0ny&#10;kILr/baWL38sb7+V262v96ZqBYuoJmph403i8aEmJok/ZPt9VkuevJXXzN/+o3DokjP7s+AkrHlE&#10;p5yVZTg9Bngh4w3cntvH+/vf/z6+/W3CxaMZ3SuZ07jPJNzuULDYL6Z9Hb8tnsp7f1tnd9peDulJ&#10;lviJ5bNdp78ydkBinEE5OXiF0CXEjTztYZ7rxSTryHh0u2hYEfGYzDifcLyNRj7rCYgLhVck5qWZ&#10;pA+uW3iJCTlRba8g7bAM77wni8REHvQqF4Fyrgl6Xhr/9+gMOMCxv1W7M38JSkORRP1mspW+evjm&#10;V1kxHpKDVymcQXSCbBQ2WuHahK2N4c/GhdvgBOiFeC1z2EggSHFKZahCM+wjirxbVA4hIwNrU+54&#10;UUCjlkpJXk7NDLkXBU4eG8TVFHmsPRF5m3f6YvdjH79skpGjqy/EEGEZJbJ4xK37lj5eAUIFTdV5&#10;BXf5dHlGwmbCJ8LMr5FSi6YInE7wocNWb6KVwkt4Z3YQxC/ZCmLoYsbJR6XJrWCKvo83JZhnALu9&#10;aPnf+gsb4/du4NvgW38c1JeCqb08oH3HE2eUFMzLHfXAbZSS9f17tMe3kzjNgNo9PwVWdzzrcjm7&#10;BLldTBjTHWWXThqgJX9ECRe7CbyldE6uGpsuKskame/j0R+JoaxtSgMiR6dxjmpIvh13jT6atsdj&#10;TxpiydcVBBXgcg7sFOy9cP4xB5LCB1zMQu/XZivYFp2spEM20dFB7Fnm+QoJFSMEqr6yHZzYWKQ6&#10;Tn3VQ9wFmhWZZWy1F68bD/czUNQqgsxBhcovS7hUj9SmLEhRo9lsZ6HNLAvR7bulIMJdWLHypO8W&#10;rHYzhxE4xFBPURPhiWNlTF3ui5jxV+F2P2brjDtzWePv/1IWRXeoOOc6zrfCHgEaQGhucQoeKNR8&#10;vlaknnK3Lq6zEnw4bukb6dOBIg6iSPtKM+ICjB9Iv2ST2y8UYQoSSWg0f8ut3B9pHIHM89QwRQYL&#10;c+rmZCdG/NWes3/ee7rdL+ZkYnuNa4UzUdRDm57KX+9Pu7tj7XE3JZ3m+kQZvG2jBdy+/n38/Rcm&#10;NooK7H2mwJ/xRsHfhzMtUKbs6MHiadI7o6ElZypSvORAyY+azvxajSBKdFhqMAY8pzHczDfFFQU5&#10;h7i2SHE21mf2EjcU2Ym5LM55DiJ5a3aW1r1qDJCkyuXhRzwzhI1SACUtMZrHVDY1a5nDsB6VnNqF&#10;W8e0jcuYOW7mmNTSkuy0D00rZLvLcCUdUdg8SBCps9d7Q4yLt8g6gy0MicWgTNU46cyZxMtfMjxq&#10;4TKn1jvYu3rA6UkAvkjly6NRLy5cikGPTnCZVY5Yv8GiELkMy+SZsbbAFFSxrLDxd8Z9Kl0FJUTe&#10;caZT6XAcIHEwvvVBF574cujFol0WmSgmTgzaxk/FQwSjOdZYaTKZRfmIzFJVNrgXEhYtjHlMHkcf&#10;4dQyZ6b7gq69yfkXnKLJe+jOUF9CW6KSBQtzvMez7LGulJviTTog3ISmQCRrhzLgr4/v8r4/mTkY&#10;yFzuH/W4l/HXb+3AXp26lfE43+QLt8WaP9HOdrA7qScLwhmSWUGiBS3IEuoFXjKKYtJ90jzs3MjS&#10;OnGbxR71ibyJ82DsZt8mIBB0Ep63ygbiWisHSy4Nlgou7JFCZk0umNPM8ap7QnhTUMCJOeGD/xXO&#10;rS3uOxgey5QPXQADiH88Y5Zbu4oT101vTaTHIG/esirEW6LKyuc5kbQBgRW8DiajQAbk3Bjj5RIZ&#10;p5s2bSQwo6AgjiOgg510VhEQheRpCEGE/nO5Ryb8EZczrhhIBZs2QZT24j0p60XKd2rFxV8I8TPw&#10;Y26nAss9aMhBB17j7Y65MpbNyR8+cWJQ3paVTAa8yMxoyWwkA2pspRTO3uElWomDBY+8OG80CFWP&#10;EyZa/iqchJWQDZyWRs07oM7cauCuSry/lcdjvT/K/S2sNwm89B9TYaNgCVN6+5LJJ8J6TD+IVDxh&#10;IF5atvjLVL5fmu0ufBmPle/XNCOCMjacfx/fP77++fHn/67vXxUob2stsQ7O2L8ZgXeCa/xgT1fg&#10;2XQ/GIfV/4fNWMwmccEd9LNsPXFRiko3V2SbxJjp7Z4aICqk4W8xwogeCezwjH3B671F76mTGHUi&#10;m1mP0w0Q4QG7OSXfwPOSzslG/lJfIvb6YJC7Tv7GUlRmZG49NCctTK0KFr+WeDXqMIt5X9bncmOP&#10;Oh6xh+g2467ex/Exql36uwvDdPTQCYZgSEu5kfdmn0ZMWuipf0xHThsDjMgktFswU7SAO5fnwO5W&#10;oXYJmmoSlcjBmmikqpUTJwgrkQtj3WGjlDZupnNHWDaK/3rkJtoR6Ck5SHtLneV4YdvWxn9rU4iL&#10;oro5HTF/ruXIaMiiJ30z3kByIkZlhOz4DZ7oLFFrbtVueQ13aUaMNwJcdsxv8LFuDLBQHfJej3d0&#10;pqPWGMczIAfK4TNBNpfRO5eB9MVjcDr6kv96/7Zx6PBluWFfxooYLSMgAEmCHqgfxwf58U2RInPv&#10;EF4iRORvlcaO3IxxWfGc7q48uDyFbLRKY0OOznVi5Aq7E2k3ojFgIqNKDeGv+Z7OQif38ptMxhSi&#10;jqJC/vjzlJ8kWDx/79H3YKQfjJ+EpCQq+wqnhRQnp6VaVFyIzQWi6IyLZAq2uOW4UiUdtgnjyGwK&#10;5lIAGe8sA8HjqNyXu7NreL8eoGY3WVeTi4DEtY82WhAjXk2udoOBkqDuGQJa2jFUK3I2Iy1DUpZT&#10;L/fKCHurJOgubDp2axP9jQPhdOYZpQKPxOhaMQks+fc/IOphiO5/w94wowE0uL098nrnvTX13ti1&#10;sE7AfbCrB+WjpZnPPYsXrXFoaRJJoJLLvbnqPHqmdd9PczovE9XUng3skzwdnYSMhBdJo0XFpqyI&#10;4/EWr5hfoCGAxRjtvlrOYG8TeuSQLwrNKE8Mr7h6nXB2l/v3eI4BnVjXPx9/Z3v2T211u2hag6uj&#10;Tc5rZqtOACWCr8ZDeN2e+e1LXB+sBGXn0Gg9ngBu2fyjd4dXAInWh3bpdr+7Js+8dd/8xTOzYv4b&#10;z3KCcF/uPhafFg2T5+A1nTMFytqNR5xVl0xATJb6hUTMrq/yMUlJIl9LoMtixg+7yIrn/BMb7KZp&#10;FD6kDc601hlIPx6KMxGlzYBbqy1Z1V251SyNF0L3XZuZD6juNY4O0vIpvwKxkzhTpruZNABhj2Bt&#10;ovabsCFzOAIohWdWon6VepfUPHGDW0lo5RFSAGtguHlYaLDIJRghxC5i7DYVPpgmCRyMChk/7pqL&#10;YqNpJJuNV7Ql+5yqcnGDROzckUH3aCXpjTbf997Hyb9Y/MdpMTI/yWinYr1jIDBhuvg3Oya32NZ8&#10;KVApjYfvYhUMLpdxNC5UqRxGWMQrLlQGYgiUy0aT3VoQH89j3Uzi49LZDuwtdp4Wa8ofx3HLUNM8&#10;af+v+IL9j/UO3f9oH9d1wy6NTPDR4C7ruPDfn1v9+hdeTU5iJb+yHaUAR19IaGKDvbq26d+N0bKc&#10;enKvHxuYnk2czF6fH02nshFNp9ROHPBAbeACffbrxlhwBZbFrhj1C8KWig9uM1YgtU6E4mr95Ao8&#10;NUueYiYHe3IRdeI9pc1G43gkeFQAJu08OQqjNMh1P5yknSFMOg5xyahxS8zpHJ3QbXrG1K7hMT7e&#10;ZGC2BN/h5ddMSstrpdr43YV21GfCkxANN8hAxyKiu7WtmNRjpm2hi8DZjE5AYE/McrEUZAxg48vI&#10;GOszryNSQQNial5H76vVfnl8ScvaPz7iDBD9xyXfS98SFdTZ4v0Rbw+2tZDaEKGH03xnX544u1kY&#10;LylfIh+OitHIFDbSBaQZaMXTZxSLO2kP2dTAzffDvfneL2kYykW2kSJkVIOAU1hObf8tZkGlvHbF&#10;wIHGkisbhTjq5IpMk86kWdXQsNcFYPGNQx2vLzvEawOnyYiUOfNAie7NN+dQ/wkvxUY4nw9CzyPq&#10;6QwJ7PO7SXln3288YVHk5I/2dan19hsQq12VEcVSdnUJdx4v0AoHjkqW1ie32ZOR0pRpRk1j/NR0&#10;00Yyy3toUx/EkJ7gzn6OVYpmp2QDNc1gdJ+JDV1tbJ9N+aIEzSDDuG3+wTThZCPN0TKJ8ZUptk1/&#10;F8M8xXb00pVgGxeP9eDwJzUzA2LkScoaZ7LcJRbEIHMzJwEphwoHJRX5AG4cQrlA7UaD56kaLTAx&#10;GskQijqDKwhkMepKNpX6kZif2Xk22yFhTYMilmj0AIqa2QtwUlhxrOefwaLqgbg2C6wIik0wCF+n&#10;mBqQa5/oUspYQtyWIjo5Dhis2S0siaeHcnai/HlRJ6KzVwHI7dy1avGGTyFohKysU/78Topu1wwG&#10;I12WJeMzS2ECo9DY3bhzGEfHxvB37WQb13JH1Qajvdc2ipu1LOOoG2/peFxUdGkYJdwLtH2Z6tbx&#10;Ni50kh2RPxqvFc2tIk7vZZE4CeqYvIqd/UQgA5MaD/x5Jrut46ev44Z///he//2/wgRHuA8xKm8v&#10;5jms6Ige25H5F0G4VG/UpXiMryR5JRklSHZxPLU40YOgnBzElASn7Z824DajLh1dC39NhaKVrg+O&#10;DrQ1ZXkkFcwhDwpVISszHbVhYG1aknntFRWPAfGG4WECO1RyLlwMTHoXrc32aCwXSOhNtN6hotM9&#10;poetQvzivmO2icMGyR+4YulAaDTdBnoeSANVIhK7dWtcpc5gNZ8W2tIPFewGGiDiayLpu1LpZXMc&#10;32of5WAlSZ8QYBruaZXPyAEG3FxZtVWUrb4Um9MmugNBUA759ojr2iSJCx7b9dN1VA7ddb/dtpg2&#10;J4jrLZa1UZ6TLvFvKVjKsFSe7IpTtWBzS5FdDDds9nuuaSlGNxO30VAKh7DJU+6yP1WTcnBehSP9&#10;h3i+cwAZ3cWLvM3xU26PhPnnl+X2Bc6PrAEX9z3jzj72ruStFwBANK372V+aw6+fv8ILXeV1lfrD&#10;tPQH5UuYwMLJlmnhMjjsV/0MRMPHdrx/+/j7/2zf/g7bU/HEppAVPKVfwHiXNs4jh8/4lhgnYidd&#10;O+rWHWKvTY/bJZI6ChmkDLNP23e5JVsV2tpXEjQOhUKz4O7kQcUgMkSACKSBb0pQC1IM8wLxYhuD&#10;X6KwqGOyeGyLlI59vlCaFRh/Mw6fJ/JaS+ZheUSN05MCTXQOWSq8r1iqDW+xAcJ/D+yKkp0NZrbl&#10;ItHMFxCRi84LVSELAu0R+YwLzr9o6s7oH0i+4T9Arill3Mk7Mpkjl3WWL2Vhw6Ha+t524go2Rb4o&#10;kuwKLlRKFTorXG441pV3x31Z7hnZEWLC7hZWx3Z833QUobfLUAAleiEqTjdbX/ETIqUmgKj5HQwB&#10;TBKfrZrkQIHvmFVqz44nZm3mLVHBNr7JjfpYTiM5ziWaFccPJp2Q7mFuRgyKJbMzn4gwzxz9Ycwu&#10;1+IAD3ZhSCxK42AsDyyQ8GQp7HfHmfpYlkIT4i0XwUsx7hwFBFQ/yDLn+hXipvZ8b9/+tCf6mc9l&#10;0l9qYrT3gtasbR/RqIbhtKVnpsg2Hml0rzPAocW53WNqYPLsMVOxR1HaS/eMFAOe+SM4MUK94+RL&#10;hpLSNN825+QlaeB9PLmNTs0DjTgIhfTaKI3sWdHZi8E2/hVtXVKjNKO7y3ToaChYRVAdFfNCCb1m&#10;6Q1SwshqhXE4eCvaQ+DWYOyt3iWNPXjgUQDZ9StpSt7hwoFQCbLMOEdoWbx42uUEpuH4V11sYLOT&#10;q2ZyOr+5SBg/VEErRkJuJpeNRiVShlRVyENSk7qsab3NZ+t/HHaa1e3F5l3D+lgevxWTCXah1A5K&#10;f4qGN/ASVK33Ctu5rULUAtVxzuPWKNPLaeKMVCzZ3SYC2QbAnWmeelZ5Sl28+CMcxnKlYffWncVp&#10;j8Zk0phAl25aUI4VhPHGj2/Hx7vScDElODS3q55/oCq4nRQwX64xwamfwXchnokSZ/TF5ZeaNHEP&#10;bfCxpDLPLKYDKCvZA6gayaZlvZ6fDQARmBtBNK7HUff9Fn5Py83FZhKA+GjDIxP8N+0+d5ho/glz&#10;i2dq3wxRjBcBeD9VRfytksnE+RNtkulRL0fQqUeto10ljt+W8JTkTxldld7d7BmRtADIznyy3Cii&#10;6w095rQEPWDU7YE2wkklMZ5RSa7kBwYF+vBDa8oIpS9eg6SkcOoCFxTciCrccOZlEfS7yx+aRfEk&#10;7tVrXRj9gw5PtULjYLasOx3T4yKrHq6k9lg8C64oYEtg3l52cxZ/M+PdYv3N7aYYZrR5Rzz1V/tB&#10;LNeL5/Cw3GcHEMwayy1IsDhAjPv3StIVJnFpj0LOMeyU78NB6kQlLk3x5yZ6r8BsHN2zVIP4tRbz&#10;o0AGo32ZatWFj7xEipnmggJfFs5XjqaM+aB0mUbiqC41/KbiagYkpd4KJL7j698RkAsE9mgo16yV&#10;ZRrPsK31b/txT+4QxmGP3/u2LHj2N8lKbf6RS9mfzx2+gC1s77a0s02BjHZd2+EJuwA6FT5IU6vD&#10;1KkTJd0QHqSPTMW1cRSjKYrDBebZDXVv6tgkl7fuA0hWMZSzJLaamO4Tm8cEciyZ9qdgWrE+a3wA&#10;sKdgUMsp4xxsWWi42dLcLFo3VdEmAtdJrQ1ZnijXikTWWFpjdnDQ6YgzxpNY0a00k1LTzq1zgOTM&#10;LN2KTebwh5HXWzdghS09eDTS3Gh0dS7hsIiQXpFHVycBnLmZmFcFzg0N4yUjn9K2qVPrMmXqL3Ih&#10;ile43CHqQcd8Y2myGOCNI5MmXWbinyMVb4n9PyJcrlYD7SBZhxB+G5bb7e03tsUGTzctHlW2kIZV&#10;wFUX6q/gmTTOnywYVuN22TsUmi7Ga3jJjvAIgZSMiSZtoB0FBsJOSfxv1QpXCBlFPmh4Dyq+pkFa&#10;e8aS1pIfCFLPN/R/ccYB7lsHIHdXTmy8HjwTj8IVZ/eIy35qS17DoVKyaHK7IPv8ht3vt/mOazJu&#10;ZG1j2XCb4GCvK3ZV83cMmLbt4/vfH1//3cb9fByWiawHiYmMX6Sqsb+4F6I/NdoMhu/z4E4v4taJ&#10;eyP225lt5EGkrJP/YDTBfP00MMTo4QAuqrGcdjxpyGEKEnfaaWzPnhjNJpiSzayETjf1RvT9sLRI&#10;KlRkVcYgFGl5JGdmHQaQh2bOBrmo8CSRbqPyjhyUwGAUXh3pwAwVdPxaAOSs+o04omCZj19vOY6y&#10;71BnU9SuIhGPayh6kgtsR09ZDk5HkpM3fKBeaT6AWsFiUR2SvUYY11ClEnhpnxiZnBRvIwIwLXnp&#10;suYG65tVJ48uLZDopRl39/UvR61MFDvauMLpzMUdWHDeELhMS98Cg0GzToKEbwt/w1BXiZ1H4xO6&#10;hxWKFTwHb7AeREXVMrElh+4nYzDpu1ZbdP4Gea/5uUM+e5BSlaNl8hSTuGm7iYfrmvJbWRZyss/4&#10;zFH6y63U2xN0xygHvdTg44/v61oK1oe2cziOcYji4P/2Z3x+4xqvXeYi1XybIuPz08cidxw8BFBE&#10;6+zwqXLopng1c7nqQxpPdrncuhHEyemmJaZxaKw2xaguEjab41MrHUwjWchnRQuZ9N2PGWZ+WNGJ&#10;6Ebt95r5B1owApElS5NfQ0cnQjt47FmdmeWxkexv37TV0Fg1SXmhMGJks3ScKBGTuS7XPlRDt2Nc&#10;fcih7O41SvaoFodTjF1J72uzDBXGKpHPGZtLO9CEYExlKxatoAiXka5Hiu5Rl23M6SRewMYLCVGI&#10;KHYztoDj+iw3efUa1aE1pak3sNACOFjXdH90MQJDd6EcpzYzVvgkOzN3tEr9243jPb5iHQVYEoI9&#10;cxo0v9yMCngocX+Jf6yZ1uPqVZU9WqNFzga6uFIyK4f/oT6J4GwXXjek4VPjYNENyZBD8YeeVevA&#10;M1EqXrKAyINg5Voej/z22/Ll97yu9j3No4pr5oC6ZA/nmXs93TSCDVfytbqGM8PvOgyN4RMkUxeZ&#10;MiQ+JeyeaXwvI9wUr/JNsLeOvj/Ttu3v377/9V/Ht7/Hsa3dTDBsYVL09+sOl8UlA7hsde+w/jjB&#10;4j9TOzm73CQuoCDqUCQsQBWozOAJwTS0CiZVLsrdztF6Nuky8W+eGsKcqCcPvbbMrdIdhgBAezvM&#10;dKeqAotuASuzYY1Yp+XxiDuq9C8gaPBqadF+9Lg1E4dCcjdoYtk8qTpa7wS4sHC9zdOeai5HLmyb&#10;6OTN2b6ckhywtMmdqWfghpWPKdQCEaaJeSgC5OO+3Cq5vTOJjcCwtiMZtsaDEfFxQunktgg1+sgg&#10;aPqMN+AZiNBttEPQTpCUeo+od1xjKjYPYF+YW8HhUtX5JiteM2WzXF6sqKFyZNgoY1wCxiI7r67W&#10;jBeu4ne8R9TBarDH7V2HI9WzUmq3CXkTwpiikCYwd+U2RjFM2QFXjGAyCMRv6/Kvx+1tWUKyVFXS&#10;UxKv4aaxgEfx9BtZXHSD4Ho7Wv1gbhGM82gE8T9QvPP4lSYuKoLg5PHa8pLsp1q3Z2C+eXJ7Gfa7&#10;da/l0daHhadbORqVn3CK6fsFtuX5O3QCtMmrSpaPeDYdScfw9NGiS7s3H7GwApMNPdsDhrGO4dhw&#10;ZCzFyGby3BfCReALjrRSJX8+Kwalms//BLLzAw1iVvApASxd8jCbJJoXrA7B5lz60DGizCwNz70V&#10;htJV0ogZ622j3xzNMhPNUJzOCJ+kKQ76Qab7Imizk6RTooEbDI0r1DkN7wxO5qgfH2iVzRin9aV7&#10;iagyl9vy5bdulvZfZeFcs9QvT0D7x7786392dNLNMLeX8+VAxAoa2Rs5RPzjLGf/woKC9D5UscmY&#10;0RotahhCIbtpp/W0b26UtIegbxcosU7BB6fhAky4TBkttaZZB6ItSrJ4uSRHzbKutZAz8vwYddBB&#10;C3BURJHUjWLPm505+gcVf1RsJl8PRo808TSEF49+t67ATxkNxZlx6z64Pr+nRV2ESaDoc0FnjeN4&#10;w57b+MSftJGV/kdcl5ZstaUZfWNwD2nhl+FnMIC9vzXxTN18PaW7ud5UGFjVro69SQQTfNKMr9Ae&#10;GzfKwk6rGbH8TLfgSk/7eM1f+kYRAYPUoIZMNkEyV4qaO2ZEHMweTDTmGqqVb5qKmXTAZd6CRTNg&#10;2nJw2Tx6QU72wkJgbqWioDZ1ojO5q0snwDoZI6CMUzyRp9MPhg5y1Q8TApLMQi9AH1emumsyz3KW&#10;PGJq/NhcVfH7ZftRToUjWnmZpB6km3ZFLeNh4WEbJ25mGC9e4BYkOGkgj6S83zAUO4KFIRy8gox5&#10;am82B4k4m5H0E7oNiOmP6IJT0kfR33GcYd4Pi14NYrJwLElltmjXLGgPwj8KFewHp9aJTobEGmQn&#10;+210rt+P7X3f5SN7rIVoBkxBP6r0CJwoon0q+sAbcWh7rWwB8bStMKqHx1IW8kgPDLA7A9/VVEZV&#10;1hvDcH4rZccqspErlyvz/w58iyqwi1Q891L+qtWwOCZ46Y7WSPoH5tHgiYEn0ihNaHUw+YZ9L9uC&#10;t+XhoxgsmDt52S2LBzce3IeDp63P62aVa3QOpCm/plTEtVkJojx/gpRgDR8V9IDTCqknbkjDHA/Z&#10;hEhAlL82+mMCNhaumaNFADKKodwSebMt+Mklkns2p1KUYy+ro0De5PjdFmaicwoP4Uod1cU4aMcR&#10;k94omEqW7i3Ykz0f+SzkYw3ViBSFgjohpkl2SXySVOIkQFixO2eBl0l+sYfR+Lh5FeEWW7pnl3E/&#10;WZtZM5UPbTioRtRnZqa1cKCT6N9wmub85XeY3LddqgWlENtY+sego2whpF1pGPxPhtIVU89xPe/c&#10;gBe6Kg/9+tE4ApEwh3H7jApsJaIDOuxoGHqVjUYz7potawvYz2zZKHNnnBHvSTr3LHKR5b8kM5Jd&#10;CES2ReDaQ9LGrKmNH9SqF/HyF4Zbci0At8rHt2OUe61HO9v5JBfy3pxt8VyAh08zYktXn6w0b8JE&#10;uTsHoLNCmtyDU7lxhiLx03TU6wt+yVbFcepIwdZ4xyPs1ury5Q84+qWAjbqRsmYw/z9j76IlOZIc&#10;WdoLcI/IqubwzDm7//95y+GSbFZlRjhgjzURUTUgsrKbS/YMszPj4Q4HzNRURa64D8JjYdXP+UlW&#10;c0HtDOIPk7Ny1ZNyWk212qKLZ/BcoNBG66xblm90Lqtl1w5PEvKPl14zBaafVEsm7aPaVhnkqSBZ&#10;M42DFgVmilkD2cFB3yMgXQwtedrk+ahyw9jaXJByozG2my6D0im5rvT4u9WUYptuPDY+9mmeNWsd&#10;ajT51NPGhK5tQMHbs4W2MwJcs71uAEY3DrM0ymrepnidM6RNHSrM0dUY3ezwqZEWBRpgYQZFIOez&#10;5vNIZNsQrnKCk5LLU1NVEdtoUkdLDvTnonUHLRpyjRkjngUTIDyjHfPdSZ3PjlfFgtqj8B1cDT+h&#10;oOkPRmyc2G+CBiqwNDWCG6EzLrqv5geKA2IfxNSEZ9xLLPM6IqWKEX2ICaSiRy4QXmC8qB/ngVRe&#10;ku3mh3fSXz8//tOG9XOBLMPyMg3gXnL6/jo4WUwH+QM5wV/c4eWv/EjCcx5D0bccczOei9T72xv4&#10;1a16DccD7i0huitZlCGS9BlCKtm3fdQzc4wqfX85viP3TmpexBzsXIcMKkRwV1Nzv2Vlo2OvskZL&#10;LtHjGog9TgqJE+pinngSU+Z16lNTJHPoy7we7J8ilzBfaqiWidrUrR4URX1eu3Po9IafUkcwBY3W&#10;/ZHtQcT80pmOUTWNMDH1SGfpkppGq8+ikY9zCD6sxQvq0kfMvV++RqW5bSGbdwL3ZsZRGk17piIH&#10;5j1FUc9MCza442bR0PikFPEDSfts20MNEJj7aK4S07vTOdCQdEG/fNqg4jo/5UWx8EIrkZHmiKyx&#10;1xEXtGgs88XX4V8yiYUdWqkeYtIYNFsD3ICokhGmHd488jyw+aJayjk9LCUxHxlR0uXkbUvranJ6&#10;THVKtkE5lQtrwuOTIPiIUTsUOUlivIe//zSubL37rD4ACdF6vK3zNnnH/jJ3wL08H/H5zN/+9vj2&#10;t/J4DvCQhmaB7SS4MKyl+1cmdvadFhvyS4jRGi3EX1lJ4sXRHvFLHN9X5Wr8yVJ/V9ZQWlf78fn5&#10;488f//X/nn/8t4SUxifFwWiTINHTx7Sk9xXG+gu5kzc5PURQM7UwLiNJ0dC+g1RumnaTzvrn2vlE&#10;G89B5BHP/XJlrHWuCBMppgUm2DCyeab9sFmuWVqQKT1vyTvbGmyrr0Ja1zwEI4ulezdbRiJ2WV23&#10;MlfGDJHbmZmIHSX54Fug/WiwcaQRvknycP6z3An4zedNkrHaCiqKutyAj84Qh2U1ahdXx2Yuxknn&#10;B/GMlttZkQHKADISgZjIOnu6MxGivrl+lJ18L1Um87nfydqJVNFoFkQoNMPZ51oAEiZsDzyCYhCB&#10;VGv4X+ddA6gLmyy5ciljswae/mpYRcXgwV+RWcIdfXw2cdZQUxUGRDR3JZ04eDOrkxPK+Yqes+Bm&#10;BNp8+U9mJoiVNX/6qXwB3ohM/hOCdsxv+W3fE8+ItuDw0+HkaPw40KEp3NopqLMBx5Y1QsZ/20pR&#10;hq1aLFL/F2bZz52Mbc+b9uzqzMSVd8k89xdKYejpFWXgVkCiyNUw5IOKCW6uZxp+UuBAl+XIXJK3&#10;UZ7hloAzDC6/vEgrDg1iKI8AkQsge3hp8XH1MBhTTOmKJusSEFLYRRkR5A4tmCWDN1itona0/b1u&#10;mpB1RY/f3FcuL0gOnBRoI5pJImO931Bg1pMHwR3+DoaXSZ+A4SrLgkjjdDQCP7uXjJfF6Vmoa/0y&#10;SH4kSQ3dGT3RaDjKykFgyiCqhq36LPy6XQWdqDlkktsb6zYdMnaws7WX7tD5mt7/Vp5v+J7sgox/&#10;ZPL7IpZgkUQf5Dw7zruoM0EKHfhsWYYrqTxd+DqYhTMzwJn1RnZUJonOPB8rTNZpkqbi63ri6QRe&#10;gewmMKWDquskvprqVistZYbib6Ifazj3XRNE7zeuPYky0FlpYC0rWRPaubv384wO7+tyceETyl8T&#10;Xy/3nlqy0U3m8eeD4dczVl8GSs3/h2nmu4+MXE4aV4jrWIPANaRYWB60v+OJsvoTpfrY4m/Y87Li&#10;H1GK4XxFYYhRt/Wt4uC7829cp5yRrsOys9iiqTjNH4QGCNNbeB6av6Y6nY5X3Dar5nSZaOu5ZZRF&#10;mTT0MHdit7ChRjFXk6UQZ8/rsj26KL9vtYD1klbXmz98fsMJtoVOjSyxVT135aCwWHOKApDZWEa3&#10;0iD9B7elHqb0gAYzXDLfOxRQB+tEK1xHNwKFcxaxxZyfFlnZ2GXNNgeiVimOsaS/dks0akcTw7tr&#10;MjQd+0LIcE+8Q3HALaa9Koi/MGOazg6aPIcCvf98pwfL6w2zpXE0ZKigC1Xb3Bnmxj93oAdOjzj3&#10;lcL9he4JOWeTKlxUmeIXUJdrXa2heAQ0yfAjo8mRxFFjs2KHNBUWBYzibG44tgTi6Ac+316YuyKn&#10;VGb6MIIICUhHiFtC3VGJdtgY0XQilbuDxRNyne+Mqrm3bfttR5JRMJVO+KjHfB2I8eWZT8pU2iqw&#10;c3/MIuDHH1xGLaCRh6vkqPiw5nf4uOaLoq+j9FNQY/cn4GBEWnpRemysr7lYzJ2gSzDKvZDxC1C/&#10;jGXfDd6307hW+uH56KBX15jcwpYElTtMrVWHnjuEInho+haXM0BsMWu8CuNjVpiDefZHtTmfdkI+&#10;RsXAm0EZPzwtxQ2mt/4yYFgUGWtFzNF6DMEzbdfchuZFaQiIqFRaFj4CtnrjorSX8QiDTviCwuAN&#10;sIrlvcp9mm2kTF2I2JudxHlpfYNaGDoVKhABZ6bzB6/wptzTCmFaYb3Jcwna4g/miFXNoKKe+s6O&#10;vTLWCH2PgHzdXC7/SPa57HvBDBe4LqXs7/+SLTaNjXB2oQ1sjSCRobOdQs8tc4pNR1EsOlsaFz/E&#10;ybsMthY4fKj8/HoouZIPksl1OGwYDkLTBNuACVFvNgV3DS8LHQm5fOqCU56DsaEZkIqspL4jin5e&#10;qhp/tHPhFZgpjaZ9GrcLJ4decgJY9C7tmp/FcW1fY+HdxzVei2teFq+T3G2/XEeN7EuvC+iC8fya&#10;GT9xVwgu/dkgWN3ffg+PB3VfHMWSsGI0GssUWaCaTA6FKyq+TIPHUmSFG90zB0EjeyayqYuRi+eB&#10;CgumxmU/v+osJLVnXB//WC4g9nBkhJASx8LvJPvmc+K/lK8SvwsBcjHbDJwjz8yeA398rsnPnqHT&#10;IT3oz1L+iGm0OFrXeWZ8zjs7vnWjViYLkYTa05qkKkuw4MfuESeibIjGguyhMoDrzPNc0tprQxB8&#10;aV0z7Sp5ignHEiMGBTQc+zzjYv0qqjeo2tAqQHLBEEFmrhPZJKkWKGGD5fmVr9E3a5FLJQG3+47t&#10;xKDlkomhIQyZfgf0gSSz+Hy+OV/fdmsD9CCOUME24zz7Vjb6iOcleyRX7nfX/fCVvNh7y1SaqAUk&#10;h+TJoCWN/SuaiWTL8LAIU2AqrSs9x7od0r5VUkyR6MSZWaVRz6CgNPPNm3cHT9kWkD1vR6uvWt8h&#10;lI2cAg6dC+f+LhDwJ5RER6jViEw27nXWoxt/wFOr0mfGcBxzb8P77PdTAY/K8zCRdpVBTmekz8Ro&#10;T/MVbvNR6JH3M2h2EQMzCzlw9GZ0XQZhCT3ZwECKeFeFcE9UQgIyHQ9V5K11PyoHhc4L38vgM8d0&#10;VkUxXnSK0c5oTGowUGJ4sXipnRwHm9hp4sS9rSCNqAzFmcydiPdPsGDqWe3tlO5gclnmsc8CLCNX&#10;SQNtg6SKKg7QHBqCiom5dN3lw2RWpUNeWaKSZZT6mdvRywM0ollhzJ+FiOPLiBVp7R9IcAJ5k/3Y&#10;Q830biFHeAoVSMRNdbud7L42PD212hfxcJ0+lDA5H9LHM7nYvBpMzkxji826whgSYcTtxnuEA+eC&#10;j8RwAcvGl0AlE7XSV7KaCfZwt2YdhDVZIvzF0SyMmYie8+eRzRxUcooWu0s4rtbHEBkBG+BcBbGc&#10;ZYFA4w+OLVvUJk9+nsUBLQ+8h9lFN+N9aW2u9qa0gCX/M5dJvNkMrvGgU+XD+Otg9ouTD8t6DScq&#10;ndf3P+fJdXt7z2/fwBUmJG5QxMjNoLv4xhvTy7URf55oLk0IeFNJTrTITppioJn2ljbWi6SZqxiy&#10;HdED4Zk5ma54e3lVsKoJMMK2aave0hmr9GP5FCmslyHAxBqSA/dgjQV9QCFKkCL9psz/Xe7BQHPb&#10;AC24cODQ7K0yh3ou09R6yPNMnF625yOSih0pzw3K1uT9rwwVlvpYc1hc5+64a2odE8w+1pkffLcZ&#10;5rZ45HRLOzarl2d2URUfkzleh0LY8bDFQuE521I/TMieD4sYDyoOOFnk2HMeADb0dVEvl/xgrtOw&#10;tO2+8WiZDelrULscrgeCBomON81qL1kkj/VaJbM/MSQq9L3jZ2fqaJoG9f7UqZbbuCLPs9f81x1Q&#10;7syFOykUbZ7UNNzdUnnxeUNLM9PhkAwG2dQj5cqy4UqOg/F/b8iQT8wOslqq8qhnlHMpWlOcP/aP&#10;49U+vmOaVTixG32xaDEQ5cgGHxDLd8aTzE3hgJNk3y5pmz4kaTTSJgFLlrjQM+GDy4cJpGEN15yM&#10;ymLJzhQSJGhaHaUNSWbeDE7/j06FdW1GCq4qV9+Vtdusc7DntYPWNsUA6m6DrT7Thy5xDSMOtvnm&#10;SjvwCHDkRGqQCZ3kOecTg60Kqbl41gI7dhFNkfnV24OvrHI+UdD8BEEpi9en/rAou51GCylTIApK&#10;kAXl8yWZB4YR3isjgBBldBZtXL1pgMSS9FGpqugszMY2cTheeXoiMrd/UCJiAYo6I3kTmezs+RGX&#10;R36+/ZMjX7iTr1eTkGsBpmZlK/ubrj0BZjhGb0kZ7i1LtcmSGUIYbOqhDEsby1JacjweFvPGQwMM&#10;qxWEp7PpjDyZwRAAfpLDYIOY8OHaYjVV/UjjHqdr2ml7hh0obLaRoiE1OnsE0YkJGOCDHISP4xs+&#10;jlrredTPH0Kjq5CRU/enuNthp5nksUS3f+uOojFuA+QSl4pziWuvrqeCj1VKVKMJ2/7uQU4qOiQm&#10;DNkjjSLHRH18fhyQvJ17bftvf0PnnGkm0dLXc+f/pHWSNpGLLYRxVQaXt98BMQJAJA+HUC3AHygx&#10;DsJQMm9QY5mLfRI8vmMTPCmqVm3CldmhvLBkacGSUhmVaXqfuoyeRFE3SySkHm7o0OnnG75NOoqj&#10;4luRhwmpRXfoKKT/KEUof2uAwDMPnk94UzB2dkQvh/zzS4C8IiWNso+ePcNj/vZCq76GJSBKg+yO&#10;x3oegubd1tyImii6aZ4Lrp9faVjUQyBn8aD7m3codu62cRueDxj0jAVxO3IgUCiY9IKCRQj9iL1Q&#10;M1Cz5udlUDGTg/mV5VZp7APRixCKpits/2YVeDxkBXMqRMK7TQTQcJiDqnMDBK6Jxpdpm2BzIfFK&#10;YDxD7IrhZQnqxAFuy4gYPhqMwFsGiU0FzcZ2DD0wlYdxEDEim5Y1ISkXoYtzk+TjDBD2aA+8c8hb&#10;5m4HtwndbfOVP5BxA2HL/If5OQiODrxFDJ+fPzoDj7ytopvXam8D2tMsb3kW58vA0yvDwR5PdrJw&#10;EClMhY08KBvLAT4cdSMSv04olc5HxvCb2iZRUqsZzyq0qnvdVR+aDETJwIwTktgqUYprxFGa4eY6&#10;+2rSKOFD5U7RNNeBy3VeBe5V7cCLby0Y6iUHwM964DVS4dsN4aajzNyoCoyu6KmgUEJbFY9QGt4a&#10;CQZsAu0MhzNcONSWAL+YC41FBXu5pKkz1JUd2/lt0bRXrQlK78gB/o3F+HXCv1Bt573T12SUFhbT&#10;862RinRw0I+zOKxzo3o5aT5OEcbw9DwehvPFPp/unOhftD1XqBCbJ/Nab/sjCiln7nMUeslYJXIV&#10;p7PbaODA28ImmYSh4E1Vvp4z45U9bxncXxku6SbzH4KJRxPLxC9JrOQEaL+M1PrW4FbBm4I/Ls+6&#10;vdG+jI1jKR01IYd1pvzWXp+Z52iY3xECRz0cNtjM4AwfFqxQPlvU4og/xWO4vsWquMXK/YmqYz4U&#10;ruYqAOKXGCQr8YcLTBvxcfF+KJTHdK6y7fPjBR1425Bu8c1sGGyOREXRLBKNFE3jS9XjyEbb1ZZ+&#10;yZMhFK0brbwy9r/tno2dcSKokgEUrZTttDpkK3T0W5JplrtZdugC8KCKSCa9hSfEdNOpAqtMXRRr&#10;JDrTTTDJubpmGU3m0maVEe4NtuNzw12ieUPmaaMN4TnsDXOq0XWLeXBBipa+boVMhjuDk2n0wR6N&#10;TX+qzwdDdIuyAgU2wodyYo0f5nroswivApfIZpVsstYp3ZkV+84j0VkRh8TNRFAJxPp0kFPwmNXz&#10;rCRUcUrOAga/b0DkwvMoKe38hm7qtcSRYqPoGp1JBi5SP5M2jUxoSJ9f+mRiabvx/ZLchErEYS2F&#10;Dc1S2ZG00OHWn8drfMQntSFCtZVkzUYF2szi7Gj1t8dzPl+gkeXkkRFarCIpFW1WPezJ5azfte0j&#10;HMLRM+GBhVEH7azcuDOFzbpBcKl+4DYX54PZvbF0gvnDygO+IZkswEKdMygdaryCvzzRy3MOMU0A&#10;h9x0g6pnG3SPpiOde0AZ2ZcIl5stAT13azvFBY2FjW4haS5PN90etOCTb6KTEkEXPLNybCqMUjam&#10;PLZWHEkHkciUXpImk8YJze684Mz9SfP8DHFKzGgzJg+1lwuAR1SIYy+eLecNG1oQRApaoy/y5Er8&#10;SucumHFDxQuV7I0ACkA8CEQcKEVdcnJEmp9eskaMs4gp8vDhiZr1OyeOZiLD6XWnt68Sz1YSlau9&#10;7PRE2cIC62SkTPL8xJO0qzHLomeFxPxsbh5X1uMytMxPYXuOt2/VWuKmgTC8n00w2Nikp7Z6LGOi&#10;D5i9/aDOrJNcvPl9RcZ7itIlZxEu9FabcdFWFgSavLzDbV3LtlR7t9PDOMc1QLNZUsj/A9qmCzg3&#10;f/q+E/yUUz3q63OwdAr+duNytf9PvsmfM3E5PlwcHedF3Hb7u0Ts56RcCa958h4LXX1BcyltBHQQ&#10;FWDrn63X4/M5DzaPJ8S+guCBRh89jCKM8A8CDf20aT50L0Tm6tlUPAkt0TDtEuxueM2ldD51CVYe&#10;EpnIeki7RNqmMEt5uEufMgpsReiPcWaczW6YKYHjTkv5vsXxGkUMx0H1lxKVlls0Sh4Gf8aN4BGI&#10;TvB5m53F5ZnJyLGdHqFhE1Z7PDJxlBv599XZogAGQ+rSg4vNMLqDylD0aYuY7+Q2zROg4Ndsf9NO&#10;DtQKlQKw9CnOgnt2X4meuIJH1MMvxlT4AOc+PrRU9GpjQXYmZXXP7BHNj33Xp0wT2HxRJzU1KveM&#10;uctJlViPSZBPil1sOBSQKb4pDWs176FDYRuatr/n2jhYtXCVbifMT5FDkUH1CtOUeDUqB8snnyDI&#10;qHH+y+/bhi7uiciheYabZ5jnVuaP+5y1ZgjAlXWFcwQWFJVFzvwg0GCu9IkXNEtrRtWPPbJ3c1hv&#10;ZZs/UAJYFOA4/OAkp3z6a7Y9fl4DYEAV8gm0i6b+pCMrCxFl5rbKbouyaAM5zKwkkOGMZAN1R87D&#10;R94cIkOIgaU5shdgRNiY45WuikoRJHeGskazpMUg+VYpEYJoHh8p8uSgzRZWhjrPz6Cix9ReNc/9&#10;b9vOT9x7id1HBUEYr9A+dD66jbq/DbV9O5LZC9vw4gDqGxj2eYIGaDSKHUrsVmMipvHek6uXrQ2X&#10;LNgIZ1B4P6jL9uxPXaukJSOrpLYs22GKh26TMQcHpnmHKDyzPPGMwLN4kLka1ghBxnwqgNi9+f1f&#10;sAAeR1Rozy2o+Wtw+xcUluJ98vYMjyfUNs41N6TA0Joxz3yzrIjzjmVWpE3Hzt4kCtXpsGheErw7&#10;7lGO+jCGq+TT15fG4l/B9ypFqeNwPvrwWHPcBdmgOxthT3X8tI98mXF6dny8u7qVLlZY2zf0Ukqh&#10;LgzttrmNwNLG8YCJ59WXT9E8rYorgJI43QeqZsUJcb1a8wWmGL9ytG9hYeE6jg6/QCjY6+2yfN0r&#10;1x/QC2zsbo10gtn2UWt5I5j18T5UKajhNqwau//yLmzgEoKPaFPSwDO9p7poD6YrrxB81cgtIm/S&#10;RJ2BQiJ8caUeJ9FqxqH78M/OMr2ockMXrbk8vft5wwRJjGVPHl3l4jSrJZsUxgIuQJCIeriq1BHl&#10;zmwleDzmstWSElKpn2lWMYHMz3M15jWOlB1okDIRj55EAfQk6xILrANvj54kpc39zNt8CAudpvqC&#10;k5n2cOnlrVKurXKpJpH4XZTVbYp55Ue0RvsdtsVaz0q/uZroadbgzI/VaSARbYrDHMYO9ZyLY/d+&#10;u6PvmBRFOCRNJUVhALrRSa55CHCEmmOko6KtueU3zpCGS8RObpYa/VdO+FRfniRuP0jVnJXvzr5l&#10;WunciY23DC0W4c2DWeE0lWNG2fA/5FdwHIu+5VsBYa26CGz+4B/EsxXyrtz1gsjQWRvo9nUZhMYB&#10;OMDt9AjOH/v6+J4+/wzq2mnmN/7K9bAbknMa2NR6fWVrVIZ1KFdYAfeVOkxGLryttJrB/qDXY4cx&#10;y+1TXmvU+qjAdwUjqEjTqaMv7lJjHyJr72XzeayZh6GRuyXL0ado8wi92iqxoSoaGv7ZcuTni85H&#10;NQxp4MyTByze24yTodmuK/PBnMF9IZbZr2SPTykF0vKBJf/CB81ec4dICuvn0t+jgMFdoSerY7yA&#10;xuApwTeaNbezsYjbwptw7z+t+Wx5kwUwMzZ7eRzE5o8Pbt9pVfKVGafQFomGQL3//Jafz/7xQYKd&#10;HBGKBPDdIEenFl9eBHWBYymFJv1MR5ZT3HBh2GQeytN2oxMjWYZA4l1TiSKTv50fegqx370VFzs6&#10;/kWRatkpa8fEJyS9DcEEUmT2cedAm05neBTcWMFD/z9yDK0lwh67CEAaIMz/TvKZRHf98uZ4e9Ym&#10;+e6eHD9tUT5a40XN8davHF/Pot0SsjnVkr7Qvo/dO1vWosWs/RVM1hcTlYtwQ9jVXD/Pt2+tvH0j&#10;WBohWhRu9fSV/BnGxbLx4Whc25CY0UOcCB2LMdBubEzy2ZyVJmTc1RQj1r1ED4bYHpw9lClKr4Hh&#10;4gjglLMVLzzxXNsMN3gBaPSyCuUndlLG8SlVdd/FCSowHFnLsxtGQMFnaGBoCqkpConKiT54SA+J&#10;RLNteajNEDVv60l6PE4nMbqwUxH6S6RUvxLmmTwXJTKZaupiW+DVQju6zZ2PdbTFxJhdQ9IFHW6k&#10;ikBK+3wSRRuB7kCd7G7hzoMt0JwRqwSi2xDMA9p5ziBPTXx0syhZQmmc6sXxoShxHt3Sj2ERdCeH&#10;FlmO+0C4JeNHOaufBzj0YHmv46q+KUlzWOzk8JagIqUoU8ERoNHuDTdFKiI99iEVT6dfEEORyttU&#10;5eBGpc4LgVDpQY1MI+m4oOVJ7m1tri81ETJ2Z0bjMizCznwl5c/z6PNWfzzwXhJ+eSPFYowVXbLK&#10;qvgX367ZUedvr8dnlhrO7DTdoqfTmppkiQW6q7SDYZexHNMO2zOHUkNp4xo5uNplcGbm2R4KvcjO&#10;wiBHoOwyEXaH//tqDEh0ACE2Ei3E3Et7oZ00TizTpC/Pq4OzTtSKQFRTp/jZYPQ4V1Ui8hDILKQW&#10;YmD3b70cmdHtJjZDYi3rGXQXTzOnzaIGndVMIv8QwkZ+jY1Ca/nQm9o/2HVOFY3dymthDolOGRqI&#10;ENLqSQDs6DZh5/F04XRf/ZCeI8f2mMHT2gj4zvERiTLAXj7XN4w8FTnRYKJ5vPX+72mUf6Y7jFcy&#10;XTThJCS7GXlbxq9AIyHZnLcbLyuR/IlD0XPbK8EIGxtaS/+RboRqe39eXl9azyySupkZzdjpeTG+&#10;HIufZqPgn5uPHk9gShmxPRZz5B9kGcYlW2XfFZwBjuSbmi35saX332b5gEjf7XHPeR8L6SiLGI8U&#10;X9ORxpVt61vLl5ZmD/fgJJKf0GSzBDF3ZcZLI2vY4nh/Nz561NQk07aoWrifR3i9xgdC4Y/v/91f&#10;n+ib1RfxQivLevyy7znuTQBx6WJuqj4ZRyP/TRDqXlZ36poD/eNm2SVjsMq0YJbIeRbZIwUsCrfB&#10;OUTVl+BOV0p4WO4XupdmVZuHHR7dQMj/zsgEeouEJ58PS0NvXKAupiqPne75nhTjKoSNe4+tGz/W&#10;9EfrGZSRKT9xwpwr+VxvSxS6DPpSCF+x22E3svycTOxn50Ht5LaPZaNkM5J6FGp2doBFX5vw2OLW&#10;CARjB8FQJyFJD0G410k5XLRckuTxx1hCFL1twTAScw3DWbBRB689YIO8CZs093gxkdNExMbiaL7l&#10;UnLynW0ni0CydYBHCByhAzl2d8PIvDpviC0byPfkCD45BBGNynlBSPp88AfNDfXjPNm0swjDF1q7&#10;AXU2X/Ym5JVGvBmBLAQLMzKwVYOCpmw8JtotOAXDdlhr5elpbIg+mae4HyaCu6RqMfy8GCwzu9kM&#10;tAnFxfuwQyCVkYEAF0H23DLldXAKyzgbssDFYl/xhcamMBadRBU7gsCpLRmW7PRM66BHOPn5S0hk&#10;NdFbtwhkE7sur7rdOYVWe0OoBC7H6ADXF+ykBRkISWA2+fDU5CdHsMsTHIuly6oLy2MRyH/IlZ01&#10;2Y7KUjMCWVZwKDfbFgx2fLddooCygziKhbV4hhq7x6Qo0FmRGde+MwEjMsZBlLiwVjxhsdwvwMRa&#10;TfXKg1a2mudHbODM4btOshM2dvmSHk9LC4jhJze7Aw7+IqdnRR7mSrVtRWco9vaTDav4CHhxopPJ&#10;MIX0UDWWxSrXwGN8CUr4aVUfa8J3/482sqU+zfJeRfb8k9mccfekdex3p3IMK51u0bEpdRSb925G&#10;p44bo7Thc6VbyoRSmed3PyGZzTvMuAmdGfn6aSFXJlr0bVCKW88tHyv/bxn/1OPuwzhjCl32/4xu&#10;QzODkxEbrw5rcBOhXTVDmFhihCRbHmnkIzXlU9ezfXz/+Pt/HH/8PRwHHt1ZV1JeKEafv/DbldGw&#10;TCj6YLrTOG9TxABsWXI6m/B33pqgH+MRsogNppMM+8QVNAvrAp6Tcptmcp9OkmnPP+OHpwVdn+sm&#10;ROw4S0XbF+UdTAL9dAUMU+BOkHONohqyc9SMXM8KqIUzlwMfXDbzpWa8vs0zqS3aLZuz7gFp3NFk&#10;U26UVib6U+fqVUtp8Mho8jbIJMGs5uDkHEt8TGfSFm4Ke41w/OHrfhhxepwScS162AZqySabKIPb&#10;WePJSyIafuKjKOeInLI+UecwRr28poNoSZbiK0fX3I6qtJ0qmbArAoKdt41rNmZkJz+Fnd3PbCYo&#10;Z/RhA6Mzzz5jMePULwvCd1o7Oio5HpMP5rkHBkFg+24yykdsdU8L1dWcE7c7WhaYkMbnvtEv2D9w&#10;lholKbg5eAai9iPUABv5/Z/M66mtWdwZwTXRp1x6Kk3XtUxXo3sk3LwuJ3nxkkGx1DA6jwZUyMW2&#10;6amdRZ3vTKTb0tuxaZXNOKY2BHTFg6XM1i25HTdrtwjoMDxwJSrzmSY8HzSwmd3MNKwEq0TIpM7e&#10;w2zJBqBjohAwaSYS95ACPu9J4lLMr2khD4LwqWrkB3luD0wBJb7DfsZVYt5lsHgk4lqsD6zJKLOE&#10;dk676TlIRcHupZ1oihIFZxaoofdA0JnQ4dsDH6po+dKv8wMaaoIh0o/J3d06xpp28zw9wKxnQDzv&#10;PPq5S57LXdcuO2+DssXHO9wO237LV/1y7o/JKIcrnNXjoRrweY+3A1EYQxm1WetAuHLKm2Dl/EMl&#10;/t0fB2uiFUeJxKu9rT75V8niX0QXlnMxYtV4KFPy1Yh4iFf2OtMXNQSOwgWMtGJjlcCu6LLouN/4&#10;l8Iv+tu/Ib3WPYnv3XbcjucRYYOtQcMp0StdyCkLnBZRc+mMJfu4Hd2+ZDksUacJyggwwepAV02m&#10;TAY7WW0rWijcBUTdP4mrqO0XVH1QAk7VfwWkqtXH27f8fDdnBjrSGlqMv8p+o6e6aNjM/LrcGTPX&#10;VfXznALSAeo25FpT9xeRKOZ6CJwVpJ5KstkBXETmBLqv/D8CMAcLSMFXDWolGolNci5n20axhtUv&#10;2VNipXNh7nzq57+dw9Lm0FRinYQXB9p/HcIKR9tQc/CoP++TR83ZbelKspI1sb3J4MCb2sqY5xSs&#10;71R5MNUGFd88AClSq3vVM7xbax2IWDVwIFkGUxnKPAV4q0QwJtoQT2eSNKMbqMhYnzwux8liCGMW&#10;ziVpNMAsM5KWydHIMFZdJn2Ki/j8nZlnNTMrB17hDTknO/dmSNdY8pQQ/VhpXo3oQqtOCWySDqhR&#10;Zk2CdusH039hTjjVw+BC/MilyRGFT7Y/N8gfjjZ3rLFT/yI2RZ3LJUtmnm8GA2/Lqx3gBc8LHnG+&#10;9LgRHPL0CBwIhYf5wda8+SLqeRQE/oV63OKmhZBFVKSmffEWlM0NpsKlfp5pFhn5oUyg9Z24GeDz&#10;Ex4jGcneDEsK/iZNqMdVI2B9thMWB+xCMkQHT3CIEnkX0hpd/KFjh7Of83zWl/9Hcw0uLiSUMocd&#10;GwFC1Tkz8BQdelow9ADdjYRP7kb0JwDsx0FlF64lq8hmHH3O2eWaiV5YriXS+8wPbn9nWjkT+zgy&#10;FKWkVEC9X+/fygtuemL42NToAKE1aXHwjFQOMg27Mb9iPz9a3js2yMMOt9Y6BsduzCMmmqU1OeiY&#10;PYrD0i5wpN0UICUGOPiOj6JChHc2iBENmdtjf/vtB3m5Gpz9gvYyrPftHlMLPwoFE8rPeu6tPcsO&#10;kAKhE7ILZHicrad9dJO+42TGDgQKYvogDVLRDTJt47zV3PzHO9+CfaUgtbrW9BQ9oNxGl/zLZCdS&#10;GmCZiJT1rza8TiqIQ/h69h0Xn0UN0OYIfk+9M5tc2fbH9vae3r/lt/eyz8e5wD1KNkG0CEGzascF&#10;/ExhIUK/PoTj3nu5FLA3vQ+XjkoH31hX+R4fP9bQdPhQpHsW5z1il+IKvJ12nH/+/cd//fvrj/9C&#10;ectAV3Ep1YqxHmAcSxF6c6jkIE0jmLnm3u0cUKOPySyhitd7DEyzq4cxYYQ0dCaRusugFBaypeae&#10;J2hojF/i3DuzfEhBOYXMFM3p6hMYBjgO66PzkMxeWddHTcc9NmTmX2cK3vAz0ITEJAZ/g3Fjc12U&#10;VGSmuRZN25pT4eABgtTL8Mq5KsGEH8E5LKUjMjPvYXZkqoJx5obCpvrNauA8CESLEmwBoZEngTLC&#10;jQ1EvCpz9KIe1h3UrKXJujp5WBfNE6ij+WWUZaIwn79lF17Zwu0gg8rLUtkg4rH2Bd2482I90Iwu&#10;3Zz90I0FHXFk/xLtg+g5OnyhUPIR9DhrfdWDOxCzxNGcxFimKtAHIl77UZkNmOOsJKMau0BLxvzD&#10;oVLAkQKysc9tTC3lt7zp2R60yatCGVcGKcRHb9teaPpspGlz6PiFDcFLdaWSefSsEYgU9DQ4KZdI&#10;M0giKBV7UnJwS3Ij0LpjbQkh9rImDvwuGxnyCiH5jx5UAIQhGoB4kualjgM/SfryB1kM6PDeiFw+&#10;TI0zInO6pHNBO27rtvLxWIa6E7GR2DjJocXXtHrr7kUzeeJZbr4ED57mogyPGzjOvg/Lace9M876&#10;uTxYwb1CVMrD0BEryng3iwMNGYUkzyVaVKFlnhgJF1dps3EN1bxd+aacX8OYP9iYlf7fEr083mYW&#10;d1ScUn1E7CVroMiNSudRWjh4xiUjO72/owDBOdg5JysXIYavZwk/XWSrtiP7a4AZ8Rk0DA97os2E&#10;KKRpBU1H8pLwt74cU47X96DAfiUEfNkCfj2RjLQ3LiQSUWQ5msmHTBk+K4yN4JCUG+EaHsVrIqhI&#10;mWuqtUB862WY3F2M69ZNDgyhDvLI5ldv256fT1DEyg6xH+5/FlKz0m3aApXcQjlfulEoF706Li/b&#10;fet1X1G8ZfFZpJMWmptYzR7bVZDHvxK011uy2lHRLfUMnx+v//7Pj//8P/XHn72ehhdQ5YJawdKh&#10;e7zvy9qoqo62aunncGWbMZdER1YD0CX2xGyqHaX1Y+kxxH0eKxiYHy4fSAu6Mlx1zsWecyUnAO6H&#10;jp3uSF3HbpCMaEZ5duGbpHhcs6qyQOmval0+I5r8+JM1/6+qEMQ5M/yuihYsSo2nP4uv4qOTpXfn&#10;kld5h+Q1+h1MQheBiMtZ11BKqxhZRJCLs8TOfMPW8Lds8PmQFp4yWY3Y6sOuRCX7fz5pGzzOUj3E&#10;YdM73bHKixhjzfMGIyTICXcY7klymhKGTx7N6dMYh3Is53MOekt1EIoMcCbeVXF0dktLbMGLrcSE&#10;F+hloLv5OA/oallLnNo7W1+xmyxT8YJf50mfOw5wp1IK/GiocGOsJnITjLGVgvgI+LosJEtfoSnC&#10;/F07j73ZNgeca+dPPD9/xOMVVzBZ8jy/xWwaUq1Hn/VGgSDYcrhWJGsUmDJXLVBFlKlhyGZTcvq6&#10;CObRjLnR3ArR9LTB4v3Ye8zaR7VIXtoDXovOknGQWMoWix5P9XU8XltcMCTNLqEdtmdpECSqhsNv&#10;fy5OLXeePuxA1m0UJzAY9vVGm89SoVvJEBh7otNq2x5UkB6wXuBQ0pxc2PnurhkadsR+KpI3te7b&#10;TiZEdB4cNzQnqFCLlvYjAdaQpVQnsFE2HFiDImBo1chbOg8EGEUrFfDNoExIvc3MqUDh2NxZW03P&#10;b3F7jta8xYkOZbD2ToqX7D+7N8CMxwgq2Z//+vaNTd+mpVlWM2rj1YEfHu9Ioj8vWVawaFCkkQHL&#10;6K0a2SL3jE6ihNOb++YKYY1LdK/PTm0WquDknSUXiKgH1LeJGZzd5hDYIFtoqbkmzcI/+i089gvR&#10;ckXQrbPVz6KgyHiJSpTvA5/QcXILYtuhE0/XKar+6qSzw0VO69yymMH+foeu2ZcmsDgTZ7VO5JVd&#10;z6pLqtcYwxj/s8eQSu5Qae8mJbB+/7Od5/72vn/7fR5kh+b3JkwFoC6Kz7qkqUq3sumoGVeSh/gK&#10;X4kSKEjFoG5h6Kb7z90c4imZV1xgjEwNZGgmbWXfcpCByVZbXungFF3PHWPzBCK8XIwZS3RThjgV&#10;iUecukH5H1kWbcqzJuGlybNLJuePuTgmGBQQvJdNO4lxP8VbUjNxMtM0EaCbjhNHjj32qJTNwPcN&#10;j/kmwYNePOIjIuMTmjTOktq3qAS7YYJhVOsOC2QeqXtCCGzUyYgJTcMw6NFOpVGqmWHHqRjMZjOP&#10;jzEczJ8qQDDH1a/OAvfzfAmodIFhQG5xWrrGAdfzXDkrVS9Fvfys86oRa+OrIz1kD0r463uXbDx9&#10;jppWKAq31E+cN2nbAuOxdnexJCa8IzoazVL0CA+mDW9cSSvQOSk71i7a7AQai43yjBM2PqUb4/V/&#10;YnSNPbLzSKvmn/bLeTY5Pr6H8zUAh7oaxh7n560WbrkZPCAOCLCqv9rnR/59hEVpcLESVlXL5QHa&#10;1VoVroxh7xY7CksernrzJo19FbZSV5IJ1JrtKyUkGz1zL8q2OowWXb4elAfMUUHszX2DAu34AcVB&#10;hhnZUvDxBJrQcUn3d9vdNVIJhk8bDIzVGGaUPVFzlCgZw87bqCHIxr6kr75TyGrCNpbpnuPArGn5&#10;7YKlfclhinlGlQQFI0skclnu6RiyIsTePVV7GPtMHxVFv4PxI3ywS27n3G67aYfnz39QuQO3BTU4&#10;6sVibwzN/COpfsLg8fatPPf6Zwz3ztGtYP1lSBAu1/M9vX17zG1k26XBakr+EnGXk285xrrYL3yn&#10;R6uPshUJxOSfE2pEcSMWGDriF7DMZXEL1+T4pkbkQFOAPj7wPvYndVt4Q5X2onnqd2LeaNE3NmLl&#10;B+p1fbRe4QXz6is11kIl77gZxYg2y5WYz+S+oWI6x1WDdNWw6YrdtRZ/vHa0uJAP4yfTwwrGu3kk&#10;xgpeuCJo7YsMqvCPbRxjUVPdLIPFLnAdD6/+qmdv7W3+7f5ITlsX00jazDWy1G+X4D8izMDs0pyg&#10;tYKngK4akP+L6+O7B0q0bC559nKJqFCHdf6uk5Panu30022ACUcwBUdRZ9YUW5YYyIPgkyNOzQWF&#10;pPckdeJcd+o8l/Nsd7JKEJD51Rqo8DkfPBzQ4ESUD1OkIyNUiEnvMk0i8GEkpiVYq0j7H1DKNlhN&#10;FQ0jMJcLp1tK0oqcn83fcUZDm8/vP6n14PaGm/Lk69y2ba745+sk1GTWx5WBcRs6vUy7yJqxYMLY&#10;pZzmPo3nHIT/JjEUlF+JehkoNqGwJXwNuzI72vi5aSNC7JwbzPzBJ8qOPVvicaGajHZXKjBjUqzr&#10;RvPISUmuxbNyv9z5xcwHQXhY4y6BAOH5UiswmI3psg9QiWP1eSVWQOLVFDtJfz/IZ5EFsli+apCq&#10;toMpHo7b8Pn6lOzGdK32H5RZUlQydDCa+rQjl6GyxgeupStOULKY6oKqq4ui4AqTXTOVqR+fwdUc&#10;aClFA99RBcYSUscnPuT9GtbYbinAjORzaVhEKpd8VHSakCSXdDaPOBomo+PgwSZt4j/KbW+ieYlL&#10;DeIcOREINtaAmoaxBpbbgi8qzM4l/2LYlNGxToN7xfynjd6GCPcCNrzuklNT02YPJENM/P6tnJ/z&#10;m87tmfoJ4uB83sse3MDOjmUZDZK6+fc6iKA3WbjrszyBSpH3uRxutBnNa1aBS/OOFV48vz0ROyQW&#10;KGy3fXzpDMcN5WP74ethJEoCo8pksqs9P9/itkvlwFSZoP4nvqO2tUr/vAuOvv3+r9u217lIYqEi&#10;JKg5XiqquYd5uf6QlmKw85iYFZqh6LUosGk3Pde4VDfe2DYZ44hXdI+B0y1ZIEJyInRWUr5ITvqv&#10;tl8my3/CiTSrWkbvRIdQc7BF5bNY6r2Z6LOLPO/mvFt1YK1M3s/qAWnPnz/57S0/vuV5KxBnpUW/&#10;Eyy7JofRJS72R1XTX/8nmU3v5zJEI8z4U/bw0tX2f6AX8n003q2GbAZjBaOmGft0Pc+PH9//89/b&#10;9z9Cq4suF/PWaTc2+og1c+JCubnWbshOy1OjKnLQx5pE3sFzbem8b2KvwE12qnQKdoA3buAwlBhX&#10;BEvW9SYSbqM2hGSluXP+6UhqQhK2lAswfqqC5yof04O9sW6RFFTBoC5uZPFi39tjeIvaw6l/SNJz&#10;9oPVjQSF+rSJaxw2/w8gRO8UmDTj0yYmeWqx41GRxLVCKT9eQcMGpJHbFoy/HqsOyQopTNr5BG2b&#10;R5umnm+Ey1vzPMQzmtDaZOWnWKEsOYkpZxXPGelcMx5knBIHPshgQeexmL2S/b3WznpWJdLzxRc8&#10;JvARSs+mmRyHFnJDh2xdI6UtK+8k/WCMjHo7c0WY29XBOyMrQYqa8+LW4fke52amVep924uZi4NJ&#10;fFEczHKqfp5n5WAy2c9Aif3HgbT3gnyKbO5rPbPUu1KFnkiWKupTbLP6/vyYZ7hbhThrkzPGL6au&#10;4FnzDPKx3vZ8LrB7euCcTK6aOQ0ppKgPDhaOl6wvalPzZNvgcsrawlOwu0gaTVcXFz4mkxBWQMxC&#10;NzmAZvBR4bnDFsBuwoJuAlRzfJsEmkW52kPzkBTboeNUap+5V6LOwq0Nm5leVJV4HJbhCvZB24I9&#10;3kUeBs5HSEzA5FIPV3kAHKPIOYwvD14rxUuSmg0xBCL99I40bkxyKyoQIxhzzH1rpgOhrJTsYvWZ&#10;gklBteh1GqUgsYOGU1mDyZTl5pEPNJcO2xRySe+/X44C61aQl4ZGhnfklSdlIpF5q4EzMZ+RDWsL&#10;VJa2vXLZ6R5fs2VHnA9PKhWRn4WacIzBU21cUsCmvXH5w/hn1G3fkpLsCwr/sK0lKTOUSWOR4o0M&#10;qlW0SFxuWWZFJQ3T+hhOFRtNWjQ9uZbGdFOlfEmpvW0kQbIQU/DExz4fyjQX4/OIVT+hXxmlv8q1&#10;vdijK2QwxltQRrB2X7SRZHcGQvyZztOvzvxPU7+/BhbfYpeiGwGhh277jzCecz/49vusktiryHFD&#10;+UbchKS7Bf1xHoDWNNWSGeS85MzfT5qs4ul+kwRJExWF18jaVY2B27duKvoTK2+K0THtKLb2rgEY&#10;kIlE4SLeEbIxCsd9eIuACYlWTXp7itFFTCc5xEkzkEag6O6WZxzFhlIo0Zs92TooPGpXDK+LktS2&#10;WGqp7MpSnTr33Ya1pCDDBq2AFynyT1Iy0JvlYttoOcDjjisM1GfmvOhkAav0gXkMKkFJeXoosZ20&#10;4MisnKTYeCx0VkLoD094bPByR7fMLzQ0y44Oc68yHvHgm0hRCY4CwE6Zc61YuwtPqzagtXCJ9EDl&#10;L4CqmdteAEZXNHv5qalObcxZRM5D7++U0lXevd8Bl26/la2pHdQYPx/GDm5uWWynuS7s2cyN72WT&#10;BG++2epMcyl+4DlkXf2Wy05oWcH6O5ekihDDudHW87k95t8fmFcBbqfIyTiO4zznAU7YF39A3Ibr&#10;bZYU4i0jVjpxvmgsi8xBXLYfrs01yEVA7Bm7kUHUQI1Ik0UzuIVLftevwvGhHDWGNlF1Scqt4/jH&#10;5UYb6uAZGC3rqKdN1U2WnYha5tvYJ672SYdUMzPO01wdyXxjo/qBlTrRegCdcH4weLYT7ZkRWoTj&#10;chV4Gf2HpA4qWefn0cuTe2rrSHAqbX79PJCdr/q3/zuer/T6Ph+7wiEUHtI+P5f5wO5RkE88+4y8&#10;GOJUDKJOI1Mj3OBOYylvggpcC2xAVVu1QRNMDYa8vVCPeQAdWCgkKI0Su3H4DofGfCUQK749PYDK&#10;D+KeOrRCV+/KCfa3MehjcDDM7vM7dzYKJXwgvjGQt9e5LvqY8EJXqkHcS1xvy26yZDm80TDTY/mN&#10;v2g1XDU5TCYYjdqYXGzhAKYo+zDUfcPzIyiynotR9VlDu5h+y7sqBIjRFa2KW6kMmk3m24FYu5Pg&#10;SZZt2O1w1ndY4NN8JM+jEY7Bg0oKhuoYV8D72hGH7EcjLhSNurBGmCm2+Sfdl0ujNK7d7lKv5usV&#10;rvPliqRN6UuFwdaQOC2WpPX58cnYo/kewkM5uvOV64QzzNcoSYgOokE+48KJlHBNMq82Z7QSv5lA&#10;13OlkYKvESEFcB98tZKfBIU7w+EaTGk6X8GRIR2TkE53qNRHDAK9n2qjcgkGRghKk8ZhRFktqnGa&#10;gV61YHBSQWjnOYyrz48SfgAeleDslB2s82RZsPhss6p5smcxd5OD4m8R6BsniGnYBt9p4i7L+qpN&#10;t6GzW4whNA9tWKYLFdLVbg6UFju6Q+H8rDDMpA2oxUx5VzSQCrugULoc2BnR+cdMSSsZiWjzZPnB&#10;Ag5w/7nB8DTfuWF0qFFiNJzMXJ/yc9vASu5267dVRnUjLukaVtgXxo/GLFzyyagstaK1BLu3CxdH&#10;WR7RbR3xE2FmoB+iTbrjhsYZLTBRlfF3mBqiLE9LuiyhiKt5NdjHf9m2ueIS/0u1p2aL6mbguBrz&#10;8fqYn+b+eGPQ7fxYtvbxEf/+74k5xiwgWwgW1+DKYmVK2R4vuLOk5HIHGnZKB2WdlixXwWnkw4Hy&#10;Dr6W8hd7VhS9TMMoK1KhQhVU02bKiwzVTSljKWgmi+xMJ8jzfCNPJGo8nQSZ1TDfGrxHAFhrf4LY&#10;chOJ1BQ+4JkFij+55DbtPZ2tk35ShlMSq8nOljReM5ACe/w8kvl/1K+mSrUzcQ4ylq6/HNj8kNgA&#10;10E75yvRUiyIBK5O3odCDTX1MlxGYgy2H8Cjp/6ShRjnvsmapQsaMrp34AJR2lzU8bsOfJzYF5OU&#10;ogVW42bSDRyt5lqMoyfWssdzbJtnPpjm6OLvL6k+fUd8BKB2Lm+/Pd/eXh/fMUAhLUdTWWiIms3H&#10;EBbGo15fh7+F9TYwp1OyjLdi4eQrXbb/MuhOncW4bs5xbR7DT5A6P6AvYZoS1M5UbyePJy6mynEh&#10;VlxNPGci35EsC3RtzAQ9lCyXqN9Y4LfbMZqiGwyf4al8pud7eT4TBBA0GaOO7BpfLYXtkpDxm9OV&#10;tDDW7HddiGHZpLeu6VJ48wqnEdI9JiJ+iZT4hZB2NXJlEUGT6TjG5+v19//68R//1r//waQ6o3RC&#10;bpB50uJlx46H9rfseKUpujkygSUJW8qtQ4nsEKSwtcX7WDl0QqGrI3zmVIUTwIknq9mWbPtGdC26&#10;KFn9H59wgtiiiFqB2Em38gxmAsMiB5r9R+gfo38e9YAvk5F+AGqQ9cTKfbPmOW3XlGVu4kYndm9j&#10;sFuHP/oBAVVmeFnUyHP+8h+jpt4fhvsyXbaueV6mWvxSdYOtl4oCgHXHDkkOFF+V7dDKtQ+Z58rn&#10;hXeCpxnBS9lsmTtcJS5g410BIjP5yJUPMA5tPB73s+045aVT8UcaNEaB9pn5UvIOGog5ioyeRBNe&#10;U1g2dFygesJGwPblodmGw7hUUT6KlUKM+mxvOe+cMehqfHawYzbeZ/WExmXL2NQLRyKVytKjt0+O&#10;VeY1eUOiuz6LoEQqSdzmcZL57GYfBnOeid9z/+68bqSs5uBNn60QpnL8UK4529VsZoMPooicZnq/&#10;Pm7VtkvQj8/eDjPSUk+ArEf0HjhtDQInyI6NdpnmEjTbJanR5FntBO+Pq39l4ZQCR9rwKShk0cOK&#10;2Rxe2TTjLkaP1hHNRk3zJ4KkFTrwUpsnZBhRKvY26kb0ZFjYLeekzPk7CeTbE7KEZIqAVYBN8or/&#10;zOVrf5LeKZuHnZoiUeOyiFIejHYbSt550Hz9GdqLX7z38ojD9X4wRw2KCWKpL6g0ydJy0z2ThzCP&#10;qMPYksNFNGmhKWX80tSdeypAAUoNnFu+CctxzMxc8E2vzUQpfGX57V8Tj6H31dvD2szIHJfW356X&#10;Nhfzt8f7WenBTKA5DoZwZfMEK6qCssCYFupo4aesC3rN0MZKaR/LsBW/zJ+Dz8mudoVrQMYXHJHG&#10;onwwRXPSODh5WEkmZdiO+z75Cdau5QGSh8UOdYcws8PzFiwDzqkqKSxZjLAoGjLLHG2GYypRs2EU&#10;sMruzwHv0ys4snmE1dQM4SchzYg/6Ty1X9rQAQUY3N/9lq0+vgDI0nVC/qn/qawWi2v9GWg4TD+v&#10;czdceq8/aq/nO8wxv3FKXGiJ22YF1/e3se2yTaS8D59vJ2mD7AQfB2qkprF+17FZvTU7/GPn4r/m&#10;YTt3AKcWpu9knirT2VgkHmaTPlChzCAwLTaKQIbe3TxLRR19IHRMctlpVgwjUZd5DhHq0fg7Z0fT&#10;r6rpzZFP4VFPcLy4cu9tkhd85iIpI2WoTHqEva/2UzYb3TnzAkD3RTeCMrbgzoZ+XD6keSkePvVO&#10;giFBtQdQgMowxNo5Fhj+PJ/vvyieLBQZKRAD75fG+96sMact8zD6gLhTCgJGiT8Xrax41JQfVN81&#10;WRtHnwe7JzQ1gXfEUM7t/CEHuraw5e2MGG2819QXpT0xaCz3gsgwyunzNLN5EM/FtC3Mvy1lU0ST&#10;4vKKdT7jsoC96ODbAhOTooggpiw4ifPaiTaxY7+i+fzRxwbdLNthfu0nmGqxncf8C/fkOCC6txtK&#10;3hskhnZtDKqc7/wM3zIAqCo+sVw0abQWg15T67hlY+yx+aEHiqCDFQSwPD2c9jGAWo53m92MZShO&#10;YmzTtYZQ+sGUO0NP4dyYuNPCnUmp86B9TV1zpP9s9dN2hcLQebRFsyGj0Ys/IJuAlLcynKvxg55V&#10;ZhrO6Rrt4BAd92axOHFplQCLb/u3VI9wynZ0qriDoq296vZEigXzKMSFGTJCSK2LB7+yYyz3Hq+G&#10;PkbVZVfeBBRL+LDmW6g8ZTJ1d1DiraKgzqVJjIX5h1rp+gdBHvc8vPy849hS5kXLea5ms4KfN0P+&#10;pSgwrnlcWAKTeZ9t+98ejyMmMGnFx7A5E/ZCKk45+I0MpenxEwpzGE4htWKXIlznEjm23FIq71BY&#10;JY2+cBWNd5d5/9XgKroTSrQXl7QMZ7VHs0hTfIWqPZvTwUP22L73LPpo6AU1iKJz5RcwZchQrR7p&#10;+MIK1ddJlmJJDn4KzPtz1ujRB9cXXq5bUkdcARN34IucTPQnNJWJcXkk5GSMdhBMXGCcHBnNHRyv&#10;QBqltLmIqv9s4XB7GVpqPFTNpe7j+/f/+D/1v/8rvD7jvPnUm1XEMz9XeAbm+sKmn6GBFNfmdP0G&#10;tSFNpjJppXRzTKHjGMdV3PSQDk771MtUZlDFwU6CNEzmetBxrQ2LNOJpJs8lIrPECSr9zmCRihgy&#10;hfgk8UumojRckWuzZ4Keg0BoaKTPswgOuNZCsdyNk+H1jehf5s/3bLl8agQBdLna0P0qmIIOhmz7&#10;ziVmEb1x9UlXYUUSjfI1f9c2ND8wXizGWvPYZKnPgx0pfPwbd32ceuhAl1sWEsycHjsCcLtSNvog&#10;4jWIH8Ccb1zeXdr17n1sFH/4/194b5gcoZxjKnrwQLk8tIFB8DnML2QjAorXNN8aBxfyaqMTg2Em&#10;HlvfMxRnKthll1QQPHapCGjLnvMbmXnc3VizD9HpgHcxjmgynY/2wiBfPB83RthSgE2GarKrOhA0&#10;Q/Wj93PSVT5HGv6oYhTQ0iJirNmDVL8+b/6lPjXISPK5zELXa9tO0kfSdYhWyCgQKuWVtWL5l637&#10;Ib6zBex9U4VDGIyYS1SLcjCPHpcYhKtO9/rJK0VWVKSmcPI365viMLahBE0D9ynZux+ZhVGPtlrN&#10;mqj7SqQRDCbl2zM66dTmlDQ+UoB7wHG7v3Eu2NAQMnA2L5OUL1yR5x4JdSglX8jKwCAWa2gFwhCt&#10;y8axPZdxOVLlph8L+cdUI8LuWZYRpV3Yt9twcDa/XdAZF4xQ8GdP4Qh4WUhiwywjx31Pb++BdOxo&#10;GrprK7GLgUV7d8wcVPvP59v/9e3b257PdtJjgzs5+gyY7X22mhpR4vwpEhuvg7odiq6AgOA+c1+t&#10;ba+9M6GHw9J9ywzjAkn7oXVldIe+8LO3GaZ+fpZDVzGnSSbK6GPR5GPEzN+hiZ91ZofTjrtZjmK4&#10;+//GhYq79jTezFmM65zKvsf9DXRU6oVivA3qxupb3jOlbzJNv4P1hNdOi3byuQQ6dS4DVfWkDcbH&#10;ird/kKnGwanGiViMLAsZIs1LAzT0XNrxev34AxLQ4zMenxjLlyIvoyVL8+JW4E6KRy60SPlyklc9&#10;Ls1OapoGWktWuJAgcXq3jor1yxPmZ4blXT5b7knZftqg8ISPTVG/j4FWyRPpdM+Z+JBzx6aprQ90&#10;LYvNdGAwDmYpExI3bH6+c/84oqVYjMXv1ikBndxsLJ/5TJIAksfdGDp2LChYluXBPnjsprQEo2Cz&#10;KEubppTZoZDePE9XbK4qLQg/b4srAwXHVm0Byj0XTAQuvRSZeJ60dnepkH04FtwpWwP/I9PieUhk&#10;WXzajioixRf86aNYvy16J6ekK01rSPgvp4H425/sJun8srGB3IYCbcOLok02J60p3HxgXVsnFS+r&#10;q/XjPH9Ui6bI1vgxx56sfnqs5gU4GVYCDQL3QqbXolIqrPHmP51zP+z1bdvmQQevJcZrubhaS0aN&#10;Nlm/V42+itf2+kGuv3e9rZGQdEs0YRAZfxF0wjBPkhbdnq5Mku7PZaY1nuE7aet5H8TmdO6dKJKy&#10;0rFwVEE4RtfuZarQng0JYj4gJIoxQrLs0CJFgUKl3hNgzdJGYrhTTJMklDzoJY76tsYTpNoz2Hqy&#10;oqKwsWGShzcJ7kJDv3SjlAEhywheR05k00POH8VxEgZiB7ZVSJQ4KXz8NncvKj/x6kp9dQnoFAwX&#10;Ta1viiI5FJkSk1YmGc9QkbWvDCfJcKyZq4ghgjQ7babPtmnUfM1n3srbt/L7/+r9Wqxv+0i00sN6&#10;n36x5hv89rd5s72hkYDnKpP6m64AZCoZWGydYMnlne5YE0ZI25Vi+ZIa1J384ZlG8RZFeIWMO+XO&#10;uwFuTrHY1CV7pNZqQVG/nqDUThG6EiVk6uIbuW9kmK1Ol18sjUQ8f+vXQY3cI0vidVnrV2ci+/yt&#10;CUE9lh2Hw4mGKUxKxxE3Egu7syN48SSwXlPGeE+XvmLu2SNK6bIA2rDWSC+O4k4mExi3y6Avz2lF&#10;ai7/4foiVpkprnMhL0o7jiP98USTZAvna+6Cuey17A1Ny506f95sGjlwgtUbYJOJACSFis0H6bSV&#10;Izk9FomUWKMY0XB/NmmQGaoji8l++DDp6ttZA82IlVgszaEVRmh7QntZuS/uOm3rImHgb2xQDblb&#10;suiGpGjNYB786GR+lVObqaRI6pORny/pkOOeGQ5NZQqqdYwhs3kiBJqhMEZ9Qn4+/ayMHDMF9+DG&#10;LMkg5oucoTeTlSZdRsFxaHWYeyeBZ2xjopgeLdNWNVd8sb+Qz8BNeqWvZo5jpQKqbKgiiTCYmdjC&#10;BBG9W9pQVIKF5tXbFFOiGwTWRL/gQR0HBf/Gg3GBDzZjOQ9WSRGPXt/3WXXnz+N4NQba8MavTH/B&#10;oK7XuWQifNINIaa2k4vDUrOj4G2zxp5b2hmanfl4X7zvj0/u5UL/kKaIBvWfHz/68cIh7JbWFr5I&#10;uQVeTFJMKGhcG20jDwzmHw5rr8fdFEvJI2SGq9zHLRxi2Mlsrp9VvDC+NBwNmwYnMDpm+jTZz08r&#10;2bS3JS6T5ZX7WedERY2rhonaPKVAY4JhvAiFKvAiAQ6gQJQHlCmIiWCilI56AIUjVCiLB20HcQp9&#10;54Zk2H3+Yvmx0abYcEOlxZqA9w6F2vFBpv/8RdiHlXWlZh1jXkuBjrRAwyY4OPr1eVTX28PJUNL5&#10;GQk4DIa5IaCi86yYgJbIkq1J656gSh3bUypQxrjDH0tFwmM+V5DtiAklfaNGUmbU6fMby/u3KIn4&#10;ksFHA+XYqK820wPPvzyP+Hh7/u1///uPH6/aN3iXu7FZeF4atCxFV45kEZz44W1ZcB8JulfNJVlY&#10;vLztvI/yLRQkXhw30e3tIxFcw+oZ/Y5Ve46wUnZTjJ6JxDLENK0XAxG7EUqZC1irkKQrPkLEh8va&#10;EL9SqMe4CzPXjNzkXt5UW+mMIB0/9rzvY9uYKyohocza2JNuFOnkPscv47o1he8eFWEHVlY20aVD&#10;w4Kox68Mf8HbeHElYNhhmEhED99L0SEvcmSyDcViaZZyn9/nzVrOz1Ffo35Ca9fP7XjF86Qqz/Ib&#10;IeGO5ihQ5wWpJdgVjE5EGrKtvMZIZKcr38Cnpo8LOmhlzVwhO4To8jFmIWZSb3WHA93ptmLId9ik&#10;hcYgTfnD3SUH8LMzLSE85Dfnn3eSsTbiiIZiUa1L6t33GM3VpQ2fhxt2wZj/yfNL99OnIJyZ2UbD&#10;Sjk3qcixwAqI9UhqfnBAYDQ7Zy3IxkBStx/4jAcTGBYXyN5EKhC27QJeCxsDvElQjA/jDW2YuGRu&#10;BtAHzrIDrizpjziQUODvOwsKivaTQ8stypbhdezSococJXp6oqfi4Q5PGnIEmqegHtrZiFMU1smA&#10;N1o1RKOz24Jpmag3D4S5tz2nt8L4FT7y1VC1QzDSJVLgXkhAQQhnRdWvaQZsD/hMAvHW8TUX1ddH&#10;eX3GHv6y8wXZwBWVbiMDbrJJJE9inzsj4CmX166Ww22BAKwHW5ndudjOrIDEN5k/qCtgwdPD6NLj&#10;uYrA8bHOHFE75TCeCx9YV2DQQS3kno5+pAWZVrwbMBnTCoHQo1ID8fFB0gKxJV5mtHiWbgO27Anp&#10;yFEK7URikesuQ7ckW3GlFbMwd1w9rdYKhguI/jm+fswOEFjdfLlB4InNRedlgQ8voqPIgDNIUlNZ&#10;Y/Vhg7Mw7OCoGgZYIOJddqFqxliiBl7zqAzCJstT9D6waUElU8JNWVls4IHaf/9fQeTum7rwauSx&#10;E8v7Vy6LoSDAH5+fn+3kwJs+i9YNGDbM1oIEAiFnVammaCliweqz8nOGwnV0UqdASY+2Jd86dBbl&#10;92sT992D5xuUTYbDwrGHNWK8jkxKDM+ecIK9qMrOySF9t5st+uEypfgFFXY7qMX4ExfcD3VLozrU&#10;YkUOAFRrGZkpkIf128Z5D/f9OQdX/+SXtHtAovUV2f5UokA3rdLX5AeDwHX3XFwqJ/JNtPVLi5HS&#10;EhuhktzKvj0IpECIXa6f4c+/x1rz/jjR69+p/UbEVU97Q3+heQDZoIMXZu2elD2UZAtl00BRdIDi&#10;MrXV2JWqpDe60EQv4zPBZM5oGX+N/480RbzpSoNzGmYGcCqfR0JFa30ANXZVSMb63vkNdKmjMCYK&#10;cp7KKsEreFR3rOGw8c0T2yEyA+dclKRaCBiIwbTLZLQr+X5pR1qDRfUouplTlfgGlWa8QthgJABy&#10;JUDGycuBl6Rf94g6CXH6G7xB5zDmTh0tywnJN/A6q0aGdORurc998cN6b5rHZiOtsJ8moqUgA1UH&#10;7pRPPOa0duFzAacmsV9616KtlB6eZscH5mY4zKiSwNlennGOKuef5w0zt7W3wR9dY8lp28rRDsPR&#10;9/5AUFYObi5yZ4A6w+kFUb5JgJuIuaaNoE0G4tRGNFabn2UBUKZ/nHV+Y53nj+OIbBX8zK+yel8r&#10;oyXMzGfgqEdgbFI/T8AZZomEgzLUjBbTEke8iQXVlcmcQJzNSvxEe48SxqJV7sNhhHQg4ANNwxxn&#10;XUe7zDROU5izkQDtmMpEoZEopKJdXUHw3PPsNbE+nr8XbJGSETZbWlh9RWpplRA7lo6uW64FRvg7&#10;QxjIyDaxvnbdJrEskkKoK4Q36fEN0Li5NbJPQOntgZ9vt3SE8Y7U6+ilSpDkih6UodQFfXjDbOny&#10;R823Ax53ecS5SPJRnh9DbL0+vmEJw0fAlh3SKlCtGvbPQoUVDcJTX1TWVpqnMGhT8WBu8f23NBfh&#10;12G+LzcUmOHEYutNTI823u+/932vEIoHYAdP0O98PzCskrkRyDBE4BTtJCcTmyHvaeRcjF9hq2+I&#10;BQ08U1j7TRw3I/WSC1//95+RLG95sXZEXNm23sBPhKJBHT2398K5u0lPbOC2nhaVc9c8KaW/Gse9&#10;z3hZEb40Qyy0OCMLd98BEivPvD0z68x8kcsuMez4yzYvE8ed89I9+h0q9xu9/i/78bpuGjwJ05Gu&#10;wzOwIBKf4z9hfsxbSfu2P57l+RuSbtQ2no9MfcHF//qRzwPiZlRB4D7Mna8WehKMIY1+ReBepXlG&#10;sbfJvc8/1C7MqytxGGiC89BctI5kLDa1/AT/J+oEDjkaKApxXyGJGRnmUQPtOM4fAJt7aYRrwNQ0&#10;F9ZNBAOi9ijox/M396E94jSj72q1ziqPQQpx4/HF0UN4PYVNDEuI5tCO5Wh8h7g/szCfP9xiCg4p&#10;WdQs1TIj96ENcbVmct2McZ+L7ClnGQ6mhbVC4aelHbSbQIzyHOhzhpjuSgGcPzbTY37gNIL3Wc6a&#10;2Vc8yqbikQd+utQ7bPU0y8PBq1Lp1QG27pY5geKDp2eFZQC1ytfv2ZS8xyqn+kjaGki9EIvl7PAt&#10;2EgV/zWcrTMCRjyh+L22j7ku45atXBYgE43mOcFrr1IVxfTggGUHstkEsY03uvyOTpZinlHlt8z6&#10;A1JSHDQL+XPzxTREu/0K9XA3vDKiysapUhq2k2vX/H2vaAdlx/S6/ps04cTgoe4TGve1R5kZxprB&#10;p+HtUpeudDmD3fwOxbk1DJIhsXm6Ypsumie5k5SUmSmdzVItbVxj8l9ngZWxh51QPPKwyHx5P8zh&#10;CguBLUU1qAAtwd0jHQ1PpUpUD4qhJ2ot89M1WwIWkPNFr+1m8VGGKvf7g6VL4rlNDkhEwFPE25J0&#10;4IKzZRtYqbpjDeTzIOHZB72DQP9iU0HDk6Dq+dfHxxAF36kBgZF+3eO/1U2dl0WY8sgDd3o+Y9mV&#10;fozVtKRrP9AIpS/GNALgtt/+ZXu+6/6Yv+pBERN2+qjeVVryDKsjlf8aLNLhpEQoKczWJ2gWdkVL&#10;2A30FVyccQ28LI3PkL72haaCafEXDT4xRt01iilET07kMnys7YKW4OrbwvIPZXH80pUHa52WBVyL&#10;X4wZ6sz0blXwcOimJQ5auZcNA8Z1Oz0e6fkwuWZCtI0lTNkGOExf2k1l6v3i3lecmycCcgrW2pVH&#10;4X6MG6U7GQW/WByStGH2Z4Ww8EGe1Tgys7dtf+77Y5755vYcitSoObiPjQM1EKUBVsC9SNeymGHQ&#10;GWd9/k2ZBrwFrQyQg49o6UZtpzpzC2vBY0Y8qI6xGplQUPl/6bszu/5c55imAa+TkuKRIjvUloRv&#10;vVELGWg13uaCmIzmLbIdFRmBmxN+Mb1FWel9g+lx7/DZkYBkTgzd66g2qnUXPKgSO26WTNUb0By2&#10;8UaiJkVD4LiiLOc3fTbm9o3VObHppkALifcmWekkpsfwgpqRDUOVUgMGDXgB2HEdBGqLi4WWMhsA&#10;/Ht4KLtkrhRuJPcmEkTChA2zoATp8pEf1M5o/CKbaJyijSdN3TDsXApoueAPjLpBYCloNvK609Ja&#10;pAy1h5vzrIEuNOso7Jwb1BOETUaLasIuTkWd7h3dylUJDELcsTivNCoU+X+iRROdFHwKtD9vxsfj&#10;sc2N+PgRDRbvvAzvD124Qc32g3rdfCiE0p4P1vEymlS6glfUtE/WnmUKM2IZubcPB+gzECpplpxz&#10;M1JjXGVrl6KYq7xOobjP+JWDV9vgVRo84Hp1peUo5NaBWbTfZEuZUN46uWLYt3Bltve4kl0aFFSY&#10;iiV1Yyw7BfcffrL2D7QTlaUMbUvwPmQ0gjs2/VlP1FcgA50gGbPruXu7q0faaLaTB2oenRMHkzQ+&#10;ES8vz35YEv9geREKspA6iDlWfX/vs0CVho5aIepbcxT7SXcKNumchO+XV4TWzKHoYKSXwMQ1F7j4&#10;2G1NHhfZWm7IRVC+zN/7XAifSFPhKiTyhb6xKztDOi8pz+lwcHiZLedCFhbrY8bxKw5lNInvSF8S&#10;f4b5D/pK8jG9rgcvxDC+muIXNsVYMOPmJsdHlUXVjqITUNsv7VwPbJ13aTW1f8dFDvzCCRvXzjPu&#10;LG7frCVeXbsk/5ZMKOUyd8uNBcJ1VrUVcRAxPwr11rD0JvdqLF1ot6i54IcGLwNdI5rsSDtuhHJL&#10;MER9kles0rhjURRpXZT9RD+6Ja3z9sjYCSmjZYBZ6+J2QWb2eNbyZOiAKfpAfLAuny4c44eAUOnw&#10;4o4sso7FWpNB7F0PbCcpWCgMBid9LMTAuJsYFdzDgpxNThC/PhJC5Yo2zrEAVnh8ilJb6bLYJX/n&#10;CvYQcoH+z8NgJVaQzz/Mc4aWTs8bZGtFzlivq3D8GtSOYECWl32yeTY4A4hjia6/crPBFR4+jyk5&#10;iaeLxzumk/D1NBbMNhSpYBQoX0+uCyU40Bm/l+pfaRbChiEoKlLT0Ua4oCyB1ozTCfryRFC2+90j&#10;WponKDNNbZzUGIGLahuf6G+wToQf7Pgiyz7PP8MCX6Uuh1uRAmDATpXjgdbWfBknUnl1EXDxM982&#10;1TFDVYWeG6DdJC0WkEZsT17nudmj0URwdufGjZZ4Ru19VGhI3kFTSvU8pLUjFBS7pvz281u2fR43&#10;wh+vz8gt1py7f20RDcsYIaARqiXN5Mk4m5fj0IQJDO+U1/01kpE2AKjT30KowXo3JYIK4Lvo7JJF&#10;5S3Gxc0Xt+yqlRPH5FmaNaIFmyjYbBnVoaBc9i9xNdDaxXHTuP5ctWT14ypQ9+eYn8Z8I6/vuBIZ&#10;fGe8PnhZNrZMKSKVwIC8iciJXd/eECprAer8d6YowNWHuxTtVkKa5tP1IBS04p7k08nChrFjXF01&#10;PqWaikaLRqELqaoUp2D8nPsHR/rkEp6vYCYzRhsiwpf3Np0JuI/RYZqvnwr32kCxEZ2Ys8POwedG&#10;xhdYb8bzyszpZTEEH8g2t7L8eKtBvqe+lvPkrrnVyLa9pi+U5nK3mAFfFX0f66hv6TqJDX8hVqyn&#10;rjOezzdvPclhR/fu0KCLTxIsm1bBpM47vbncx11q+XNPNXkYT1yLvpFmZM3RaCrevz2SXekWR2vq&#10;tt59xvETGvNnasqNFjfClTSr/y4ncVrzTvzEbUOb8fFM+wOeU0yDVfBFx7c6Si18kcper8I4sdRm&#10;hVULOk/CdEUm2LCwCzU2qXKZK2baC+Z6+9s83e/P9/z4FsqDx8FinuMQV9qh5dMiRq6gKf94h5SL&#10;hUTHZOV7qB+EaIR4BVwRAMOnC+qG1vZ6Zj5+CyXeRUvB4g4vbh7Kj16xUxjhADntkLboDdxKNYJM&#10;cqrIKPODsha5rFzDit1B+N+ThAAtj480V1IIF7PlSjUgp3k67qgTPY+WNssQNCCEbuQb5TcqWq0h&#10;anwIc+VHurDnsrvJpiWbcXTCHb9Ir61bPhm1nXxE4CFaYFS+gj1KaW4+HYN5lFmyIAxXMyVY+yMH&#10;ZqJrGc+luRwx0kyApuJGUQaH9kPEy9Yth05zofmVz4wbkdYfEtoY5pA8FfLBzUk2rCREOSdwbKZj&#10;dLqlNWi2FWgv2ktQtzzQf1aRRURcPXm8jgIkOoMXR9664roI3Km9Ki/UYyTkiWzokfJu2XxsIePS&#10;fMVnb0ejrkQdv97/WnbHW4aplarKsJXVYp63j0/edsU4LxaoYjONJL3akDhyOISPx4+rvuT5zhBW&#10;XY0sBq2aYEiDdxOHeZVrAcLYpJISFeihRqFRrvT4vsor9bXnPkfnXCyvj3x8cMzWOtxvxDFkLjjK&#10;4cI8Pmr2O5IrwCWIGb3MzwVNSxcLWx3P+FaKXKSGSfL8hr4Qz8yYTFZjSxeowzRRMjDnUflJ1AMF&#10;yex7KQmYB/8K9U0S5mmMlQygxEQ0gTdaOzJGvMcPA+KzZpnffpiGruvVaYuYF6TZLG3Ex1t5/52N&#10;7nbltsarBXhtJFRZzSuWt7doaK74ebwaEw21AMCbywdZtRc/57gEJerjqklSbomyKbpyKw1P2nEI&#10;qJMa0t1H4L6gbhaCdKOSjrU32QHx17Hw9r9fhTK4Jxz0kAzBFewmV6cDK35Q5vQvwhZYaK9YJjVk&#10;U7zFrJvLnhnsDGOxYLQud5SGssoR6tpR58XF6Hg5uePPvJZbPLs5JvQbjdcYpRS3LdxMsUkxmPQ4&#10;RqKzNsvDYDsU2yHOfFj0wKNBOZXZ0xiK++qyvHA+j7kC0tMK+DXgL5wg2PJoVNk6iOxIwO/V1I9q&#10;lgHGsR8ghEJRLFUkO9jmw8Jehul4sgnTSLJVybVGGOiwVNVx0um7mZg4co7Pf+RRd1PKTY++sKg2&#10;iwJVzx+9s6O94quagYiwzuU2vJRJviiNZJFcYnoCdUbbojAo1sga5J4U84ZG9ffmFz2obiLnmsfW&#10;HJfUmgKQuvEAREV6KMPE8Npuax01pycgZkGhtS/LlMUjP7+j0N6ABaj1bf4wYA/7iqxj4BR+3cmo&#10;3yisBEtydiQEapHkdiQ312thVnAXxA5uY21jLBXY2SVLstVRQLLCRKn56XwwTimn8qCwlAafXgiB&#10;JFA2Hc0yiTC0o0h98yqU51TctYyJxjmqyktHJM2zlJEtdd2GCnyndd67R3jum4Zq8whz/Oe/jc/v&#10;HsXeyD29act4X6mcsKHa8HncYORWZqhTPfvjIVOgt2JM31nZByykxXSbcRAnwkUB2hHLZeMz2cK4&#10;ourYDeVrUv2iyc8wshEz8DCaHTRKDYXzYtfwGQGW2IrjGtqb5O9ATtI+0QDE8Q6dmDZP/1onbgRg&#10;iD/byTxSTpAp946KF4iWWJ/NZj+vwM49dZeqUZO8IJbIrIDnRjW3SZBW2tqAQRCC236l4YgHxQs2&#10;Pzg8pY1iYfwEVNLi15NoBYEnuFFKcrDPqDsXTgFPwzDfnLvB0n904hFw6G7dEQzOZaLZwx4F8WF/&#10;/9twM7mxW529czuRdWmy8/OtPJ/RMdUoPhCSWaKRhKnjA/8Iz9jGSqI1F1SKMqWktbUZKJ7RZLY+&#10;wLMdRHjz2wRLcmEzm49bAu0yE9y2hnQFBP6jdIifvY3BLhONxgwwRTcSXT7xtNiwwTtO99Oqmf3G&#10;l/gh25jNLBuvaiiKHnWy+GbwAJSl3aofgYBnIc90736wbAcJv67Eql9iyUhJoWbVTgnJ+AzBe+jM&#10;vRTJggkhzGQQUlIbIeN0wi3bxZooIDtKdcbJkI09u8IwuW7mvj0OBIQCoVTmU3p+dpqjkQStR70r&#10;Cbf3YAVmx/QIZjWVDF22oRR9FVtTVcWKLG6Kes/QPWKV5D/smIRFaiK2ZFnIaBzZ081lirrGoFMF&#10;n2dQoulFTabPD1d4WnH2h5x81P52y5Hl8lotBp0KlyFjZuQ+x2MKOyePZBPExvNdc4qBCnkZ/Ium&#10;blwW9KMyj0QDlkFiI713wJ4RNpiGRD1pPpl6G4OlehOBunGzgef7JFsjqxpukK7OKmd+24EEMvZI&#10;sfmIOTiXi7kFVVWvdsACVQeLEesAyMDQY4Txaf7bk1fq7HqnDNtOMhtEyUkqVZpzb9uYKqquUGZv&#10;DXyHlD+YsDr/8MDRBDXK27yFWj1qUyAMa0TM7eRe2SIbjWrXw8KImXIbhEKOsAOZZKATZCTlPH9O&#10;nb+hoAbK0OYBnR7++M9BoR6306KHbQ3tfzV9kUIk6xaddWJ7zRv7Fd7+5i0biyVpOo7zCa246ni0&#10;zlpl2TKMS3QnJc8xJC24HFIQELGEopGt7bykqTbjMExJx4JSWVVUa7O1zcpuninm0o+DmjRC9AO0&#10;grhKDqaYzGAZbgAIMv+kSIam/YavSFtXM+uVOVThMWe/vylfjL54FLJqaqIyGNaoMKw6Z+jGymQM&#10;feT8z4CFlJN0zVgoZ+7UJA+z/YEpFzlRIANpi0qmRnezYSSkoh7immzgK7gdRiFlBpN/lhpOyqFK&#10;XPAEHrVp6OaA+fEWKaGKi0v+D/aKWUaiaU8RrJDE397eaLlpkjsVYCg6c3t51MvCETAWKS7xKYVy&#10;46KX+GiI6+jNxRCvpmv8uS1haWBjveDh9J3b8U6y6/EPt7817Rq3oRgvA2oKCAh599jMJ+izzEBO&#10;mWDM0KHeCjQCxbibIqKzvoQ8H4aE9Z0QFCmhR5eV0ELfsR0iyJu09YSH9zzQ5SZB7lfgU7PqsS5X&#10;onpyRkGCYlNqi3kHQ/EhbAvdDBrB4N7YWMyfqJhYTbusUEEtAXB3i8lcaigw5tF1h/OXua6zqGd7&#10;jBlypFYpa0+kRcWV6FQ6b3XotgcSlMaw8ypzTYNBvDC+Tvz/W1BsDK2xkfZwtt02KbVZnMphnST5&#10;4QeEpFYWZZ9sVr7x06gKlkPeXvrkrvYevSNpZHEbW9RKC7CVNvFUuJrzaucL3bBepS0asdqoutES&#10;bh9ALZt2Sl2N7rk8w/2nwRJHrUbLZOW8MlnLJGfOfzr4eDx0WmDNuaNvikkbPeY4qnNNIuOUgbf1&#10;RJOzqdmL3Vd1WaeKFzoVfAzM+dKV96KKL0/MB7qsksqqeel0LKbMVlUCCNfzVSX12mnDwOZooKJk&#10;OAKj4zcBF+Iy8WOyfDYGGDK6PSM4ZAvC/oDCAbns3NT/PM/5lb/h9IZT5k7uzMEFeaOEslju2sgc&#10;H3ZrFikeR/kkA3qZx7N//xHmsaAvpIYcYDF+SXkOHte8PEbWxuaNyN2WQQF9PeDUHWvtzHbcZ6WV&#10;qZJFHUcLSvB8ua4YAqLAR+UEbNMAp5sQ1DZJW4f78F0zMmkrqS7nT8zDsm05xROjqxGrIP0I9zyl&#10;LGX9WNKryVhABdD3J1qL0uPZtkc/tHIBk26GaqB8nZDm7VY/c21tf3oSvBX9tDZFT+kzNWmjmHNY&#10;boMPNVnhad4c5LLlOK2z8Y85nw6IDcl/gAaPS6cOOWAvODsiSoyK0LmjZ8FaAZERJtvCTdW/7WrK&#10;4kzOqay1cBFj/HyP2x6PV2Ba2T/Y+qyMTttj27fxIQy3vShlKZNMEcNSqKAfTYsXDuTxrG2DBCe7&#10;wv4LRNTcgSHGn+Qqlubqoz/d2I41icH9P2vvsrj5uFqZS8nzcxpg9ObpWDBvleNmqZYGnaWZ7iGi&#10;yulnJILD/RjJIsFJToYn3Lwma5P2YHtXZdLqYXu9j9hjv46GlgBS7UXnHdYCzJIhZy9kBWKhoybU&#10;byZ29i1+LaaL6kWtNtAJ5L4rgMGJArZ/OJ5GyI9mdd86UlJ/rdouEjBoV582Hb+S/DuGLewR7cdX&#10;QTROqPNzn0fXuchhPeeSPhgpziYgZlrQp9hKC4Zn04NKygKegzORmETKfSRFF6pujtBpSiYywzdj&#10;XeejGzu00GfEPCIDD8dooQTq0zAOjYRXPn5siPqIdKyoKI8jkaEureE/Rox2aOAYrK3MqOGpZ0RJ&#10;bHxhVbE20K9D0SN0Xkpmdsw3hNLJ9IxEkzjlAHh0S/DsV6nknRoiLG5nVtG8os+80enI9Drm9/KF&#10;4RCcSMp3/T27BFsOSltH1hG5cohYh+2vOYiLsoRZxKQeTJRiBbcr0vSkNw5BN5YOi2TvdWmc21jl&#10;rp3FH+CEhavzPEfiFbwVQKsV+iHG4B7orOC+LgN5ZCayIuMppdGQ2MLtOgN9hsixZDHQ6uAG8zT3&#10;v/CJsybPT/FqnhhUzggG4Qu8PizuYDXuFO2kCKiD4WEoc6txS8u0iasmLZQ24NxJLcEme7rdM8Ey&#10;5LNJ1vsQDRKfTJE5gS11Ms6xdGR2QnRd6GeHjCeSP776WoOi2FEo8jVHQQgrOdBczjp1IZw9MZ65&#10;k7uEgkDk/zC0heA8N4QYegy61Dzzm0KQPvw8Z4UCsWTq88YA4QKuCQji2PoO444w4VbC0YJIqyyW&#10;aZuvoZ7RYqsJ6Ts/rQuDZlsmaxk5ilIA0xgN66xOx9x3q7AAjBDAy5XqCypWcHeHrdipRMOelR7P&#10;ZF3pUH77W36+tR8/El2b3v7s4Ya7tmiq+ae394yRoZkNjLfFF6ZY80LZQutGrakMOsis+yDnbuiF&#10;oHYfN2GKP5MGlvS7Dh/Dr3diH0cTYJFW0eoUaVkuVGrHEEb4p71PqVJVsS0wjACe9Hfy3hUP0MpA&#10;IbjNih08PjCM6+DZHRowrjAnBb6E8cUW6FZ7zIqSY7CkOTAtu9m3sAF8Q5z0rNSw3tQYr1z5EdMS&#10;d831MphrRDQ1OlESA16YlKTuY/QGnIrlTDW2gUhtH7H6wmiEK1j9kvYkA7LxqZ7/8s5WWGdy8fzH&#10;F/ilZTuPdH5Ci8Bm5jZPIyKDlYTRBHQL9J9w1SzzQDbGixT8QmNZ5TSfh8a0s//yIjE9svfiAwQq&#10;IamlO8d4xjtr2HJQpdg5MCWqdMJB2zkfjN3GflfIMDYM6CmHFuv5sj67dx9ZDmXzgkc5+HgeGvua&#10;ZmOjad5DEYhLvSml/AjpaPCebOFBJnud1/2j1uw89CTzwPK/m1VeBnuGvvMDO6H0qEiGxVljVGIp&#10;sJhGHe7h7hg2RMLsBL8AIbfQlB5kxcnTnRh+eCrbhEYt2CrOcz4GW7BSK/kwZP6Ckweg+b1nx6jV&#10;1gIhvNG0hCp/bmwUnaLisRFa7wbo4TU9envOrwn5nNe89wfiCE0jNn/X25bnfXOcbd41wCT2/qIS&#10;NTuVCl0HolyVZWgn6XkXeX43nYsJ+Q/zDHG+7PSQrPmyOkdD+6iTLxd4mO2rfcAd2CXR7GLVelQb&#10;BodoTqAeJVxUPqdoQVcrHm1YuT0cGDXv2J1KxpF8+KwfqLwlu+2ThXMMW0Ob7ocFzuLJkoeb5vrm&#10;zH4mhnmooeq5nZ9nEgKJ/vq5gkTUofn4DEA8xwatpsVZYJU7K/syO3/9y8bR4HDuhsagjAWPOZ71&#10;je11zL4wy0dJUCVv0jjfYqtNE2UcDRkHMU5SoASoMd764QC1M8xI0WlKzeVsuc8TpxpHMMEA+wna&#10;HJ7deaKFPvERIRkdfduJtyLbhgLs7o5mg4w1UmnmEfL5Vr79fv7b/5OeRm9Oiwj9lwT1iA1S09Go&#10;RpfIKN05E6a2TeKtE8xkAzhjO+A3U46+jmYOgbU9MF7J8Z6ne0dXjyv26P5ly4tkE0HrsdutPb6c&#10;X2+ok/vf6QBqMRrmH9DhbxgnmS0BNuy17ng4iTqNqtp4JXJOP4UlrErylzO7IAWuxt0iylPcnnRu&#10;bPJ4zM9qm7UVzp/zUNXqmjaqVhKdTGTOwLOgSVoxgsjxRga482hchNWNGeLTNRPgfLWaDD9WC6xw&#10;xUoBBWL9FMztJWNEgyIBp7I9sLUqHEAhaqV0bnwbwH10wnG1Q5HdmGsmLojaRgzLmjfyKa83D3Yi&#10;pqbFyGd9l/mvjEIVPBM/ppqrWYHLmPZpwynUYCdmi3XO2GDNav3Fy1YIRw6U5lUCNzaFEDjdbO52&#10;r969BTroCOAkIgazc7Em5DRH8K/x4hcTmSYast2qGk7LnYk4cnhcmizPajbiujLASpEC8ZKsOnOO&#10;u/7cAykHBdjFx+i4pZD8UPYBOSWOK6QXsjVHg7/TsrB7QM6KjSVZRjkA6mfesTC8LIMRWx2PqlHT&#10;x7PLVIfd+cFKnbsRTtiFXnWsArqJB4PIndqrUzLVRqg6TxesHXS7g/Hpk4Bln/WUPdc/dqx/ZGEW&#10;eaIFAdAWwl2WR7FSPuZXvj7GH//ROMhcJC2HV8Zwm+KPxW9aqoeUxfrgro5jfKPoQ1aS7hEqUlhJ&#10;kW2jbnysOBUUOUv591JIFeExeRnAKXZuiyox6bw9QVSpPtbhhP6R+yK6lfwr1obz//BgidMVjYU4&#10;QpeEeo9qTNmD4MQF3hM3gdpX+QHi9PnJmRkH8MEb94NuvFA4jJSQMrnQEwdLbHsoo19MVNooX8CZ&#10;F299eyh5WK0tnupohCNKhIzsxLwrCc/ZdQOPLVNRP7ytIGzNQQJqNKt32YjVFu/1gbaz/PWgf57c&#10;6qTH5EcDAvsoVPR0jeu6ucmVxBBB+PzdUSojeXTdLzSS2yPsT8iOXDM0z/QvioYl8c2+UB64DyNx&#10;xArmJKJ21vG1HvV8bFu57Qdx5TR7moHJR+MSuRgkNdmt75GStmPZn4VC9e3TloZgIQ0rfmXcQ/KG&#10;UYsX6MxMFssRYYc6U4jN64jOFSJ2Vt4epa3q3cZ7t1Pi5OizAXsjN4rpz6IbMQJsai7puILiLHMS&#10;e19OhlqgIzDUUz16KhxJNoMVT1KX7OpojwZ0zbx0AWZ/I2gJpka8tW5XWlG6ql0VtILfWeKVFayH&#10;sknzQhcg9APabyJDx6PuhhCBEpoP2HxJ57kSiNBuYTevy0LZ06NKnkmDLUBluAv3pNXbp2Vct4Kd&#10;HYIyVDu3sUBLex2OP9ZoijtfRaPJ4qiEbM7R+UdOVLFiCWxa7AobJ68vHgUSt71DVszgrksMFLGS&#10;NVnk1PqHWoQg7iG545Aq3c7RMCoYLUg0QUr2HU3Jl7CzQvnj+Kz/H2HvtiQ5jjRp4kC6R2RW9/bO&#10;rMzFvP+b7c3erMjOdHdlhJMAFnowkBGVPdNS8v9VmXFwd5IAzEz10wwlyCZLq5B7Q+nzPohLltSG&#10;qNZZrM75al8bjBNuvOJ2xgkaj1+ndAtVS8tuoeFoBx1M3KUcIsIuWRk9f3q+C+EvA8XHwWdhfhRq&#10;cjJuNZ0WWa6RGZqlOxsI9Xpgk60p8xIVLxBYfdkM2LAMo/n3znpu7qMPCGVmRQvYOdbVmBdqksim&#10;YtOD9nEcbwiw2LR+bLU6Pj27qbFVM2If+9wCdRPFwVRhQFdr6JrTr4aQ5/X6gNzk9+OD6G6Okczc&#10;p8OGOwR2FYZF4kPTdADtmIAidmS8VY8S6N1Ol6+Li1nNIyASKpZKit5W5x1JjJMhDfSVd0iTBrMj&#10;5uGxNIWPz88v53N/q/RedJWLUJH08B8zppFM2uZ0nS7X2ylg3vYoTWkkR0vvc4+Z2yQzHDYHmSrN&#10;Yp5UpKUu1Te7oralWsWkTW8UxcQGjTZlzsRaO8KJo4cIIzR7iEQJmgLhoXJwjHJ6eb6pTvkoAusA&#10;IicjeVdJZEMp3us24jYthUBEwBdPvOxRno+kjMsACP8GAMTTwv6P/yL06EqV4gBs1tzbmXyudf+o&#10;stOL3RFtnnmaPCiz7yQmbjEqlXj8tv4vnH+KalBLhcDN96rN44uiPrRNE972iqcxy/cS8NB8/RbX&#10;ODnmZAsoxx2FPRXP9thg4CbUo9XWcjjrx5foIf+QUEnky1Z8yTJ/k0Ro016ToH0BdpJ8rU7P1GQk&#10;iTfT6n5Wze1gP6fbO+63LoKGmMZN7XhZ49avyyZsjcjzyxE8oVZtEac+CV5XlC6w4h9WsOEYsfsS&#10;iDocuEWutGR880ZAy2sDIG2uZ9sBkvK8p/eDqgwKuR/zeWgHZ/YFFBIqM7uz/fSQ1eTaK53FJhKU&#10;JZJIcwp1NFP1RMIppjNij9myzahsr2bZl38BoZn/uImS1Ll85vKG1wAQX4nZ8rOIDxDCQP7pziWO&#10;1Y72PMi9+lhEOmFPxvII97w1e/awv6bIxmoe0ebNnStZaSjgZILgruA4ThfQ2CSEYbuaHmqzdm6f&#10;hT1MZwDNN4vYB9Ad5246i7By5p2NSCHW6QiiddIOUFjfi/LHtpE/8Rhv6ExKvgj1aQsCCe0N6KI1&#10;ehOrGE4bVUgEZOPmfbHVky1EMlG/oY04y3ccVJ5skc/f9UEvME7u0QD8RLPRH1eBax4v88WGR2hx&#10;RWnCN8xnoHPtFuNt1uWvWg9OB05oQBhvj2a2+2/aAFTTfOH6fx2v3Ac/TL+AinSHoXtTwiC27ug/&#10;OWKGKgCO0HHDnCsACcPYjegQ3eA82cod5dOInvqSI5q6yD1q2DOnD63VaNVmmyeVCJloAIdf8tyQ&#10;w17PzyLkcld2Ru/LvUjIGZQ4sC5UIrl3zU5VxY4kJO0g6uXIL0QlnLqRAYvJwqZgylk3lyjDjWBo&#10;1/e30Y6y6JEaqVQgACofcz6lzccJSgHyQqHNCnLb5gEB9QV6racdfkhIeWHv357z3W3M170Uk4AR&#10;7AkB2MPBGjzQg6qDQUVNzFYTVntUOeLlcdi3n3/j9qnbon8vThbkuo/n4zmrCxOzo0Neqc2eD8YL&#10;HHfKFUWN5wAOviM+F/ZndZRKm3oLAlBUOZgDfykpH3eCooxuQ8jum+Sq9mKvZjO5X0my4+6CSAHF&#10;jW+KefcV5kMrXzJD2P0oabxKeEloue7JeW+GniofN0f+ekizLOtMKc7gaiizI7natooBXkb+cdkq&#10;70VtShFHy7WcH3AFsqFEabwhIPAiCCSP8c9xHEtTM2wRyWbijsVmTEuPs0DaPOtlo34X8KlU79/D&#10;54PFBb8y4oIQzGNzmutZo9PnjQL2VrePuVd/fjJ4DGc/wHYrGyK4QUGCzgTzHQo650S3cbN/RJ9w&#10;l8mbWqNDEZeMTu3igqqcJ/ZUNsvizxuf9HziCR+55EUN3bkbocdALFT4Bk3xLZtxmGXPXB0Bkkuz&#10;ECc+th8cjG06fg7/ogebXY2G/UoYkvTpjEziC2C9+OKZHus4uGKvbXBBh+JKm2vfR9EwWcMkFGXU&#10;OhwB5t1ore1uoA0VIPN739m40wgYLzJ5id30pLHOqHV7wpkAVovzy0b65PJMl8gu70WPzV7ybEUe&#10;CJT9795/4mg2PjE05dl0Hq9TDTSNGBF4rQ/5GJUzmNGnJXOgzbK1K4GCLt15pV4n3uYs77S58u4W&#10;GhQ36NuG2+HjPN5EIaC8BXKnimGhHjqMRIFWPgZyjnJJl+ArfRGd3zj16tOw/3GDSGAlOH79Oc9t&#10;aX8umVySAXIY9yyJeaPsJ/Pg714LDddDTC8K/BHH0HqkWkhmTEpS9xpSIi6puajOMXpO5RLyZdkr&#10;2D1NGrzRh9BVonUKAtDtpKJ/eKSoMNSSpIHMjZFBOJ/16gBY/wZQ7JsYNCgxGZlUkRaLfxdN2wm9&#10;ANkezNg7B/x5zQDT4ainwjnFqW9hFQhh57y5z4+svbeQ5d6bdRcsbW2xxXZ4xnxcqU+ZcJxKxg30&#10;dDjc4AApy3l4t4kJJGDGCW6Deo3hLI6WH295f6Txn1UhPG3NVejt7Qf6/ItXkiPiACs7h8LSGxMP&#10;pMnCG9Re6ZOFvLR7ciGrWx/cicValqZXMkXyZT1YW3Ls1SZ1m37cx9MpLQ/ESKvmGheg+qpepJNU&#10;4Kd568mitpKcPKjMOJZ4ZREj8NnhIEyFZe6CQV8lZTwSxn0YEHr73SEtT066yJESIdF7D3mFptpM&#10;a9nC9Jq8CVG5W8HbJHJz3/lJ9nHVtSVi+vLKDI8snvQNjlMCM70+NS7UfOK2XdPIkAXZBOrmgPfV&#10;FZTBSoje8EeS4yUTIblluxTyc9/P9/eTbQFGtDedTJn1C2ZS462pxZxTEUB7S7qyPDbhSEuEEHDy&#10;0dj8uXrHiXSrYuORFmuGwWKrqBx/zuLgnR3DU2mv4imyl2gMcSBG9xL208jdlZNasX0U/Vsg5Km9&#10;xt6SWEr1kL0th6rGi8Iskp4A6mYGtWHBmi/lYK+6CvzJJCM00NrJuhq3xBYhUDru7RitbU/8o2qd&#10;YO7kywLSf5cfE+qe+em9ksPis30bwwlDzIoa7MEKL/4gJEy+DPSmGZ4o26/6EnuorgSs0Z4Bpj/T&#10;L4W+UgSflKLSkQmd4sEnd/1PJbYDqH3mQLo84ZtGk3vWiKJ33uiL0aegHgzc8AbCzz5LCxg9zhfn&#10;SXtRIBKjjlg2Wa/fV503vkc7XB2NFdIeWdo40pTz+GivT5vxNGzoqsub89GJ284x5shhyhREwzmb&#10;yg2cG4+SnvAssDG3HMQyvIpIyXSHom9ns6xgsIuVZ6zgV2pDkmP2mC5LWKhXsFLbxuMyLtVGvXqe&#10;ewmKRccOozXYNZmDweBkys0Wa4W6glVVGoUrVXsq6jwRWYqS6hWwYCShmrN4RZBcbcpCctcI3zvy&#10;2RygyTwp3F1INMGCwMhJnBXJJsV5gZAzePsTlL07VX5VI/9OtSkTrfsKIcCrDLfAYKsMH0jXFCLr&#10;48Jc4/lW3985vOxpfC/7xjruP/bx4+815lLlBhzJHk+6ccgqKp+eNMn1tGmr5roRbNmifs4VptS9&#10;77nz/hfr+Nr5UdWGNDQHwNoNwxwolJXmMFa6eo489/BMOy3r8hWucPgIOIrDIrV+c0UlAEXpi0rs&#10;omjvS5GpopBBKMXMGt4c3toxSyhDuZklrxheEceXUyINk0yUskcOWTXUgDq7Mg8sNDDErphubO0z&#10;Xxi2O3tNfLPbiYEX0pv9upQ9xT7Xr9NvfITu9nYC/BRqT+feoxiLhF2nSI2Iwd4W2+pJCeK8Ffrz&#10;/bWjfcEJfN8ZQsMBvhuLO3xHeOMtO58ISH5l8sFahw35MP89SV336qu6TxHJsdwm/aNjBYT0UUo/&#10;yADqo9S6nDVyDcPPN58/dSKLMtzTCmtOFhBnIRs4f6SQI0nZFfmKvnu05jFOlg30PJxpx9e/8xOr&#10;TJ/Yc9WYhCFgEJ08iN7B3rNhnHNyxoOKUH5PsmpETTxvrAXoY00EvtxBWh3m+/pMLJG7ALbAp7Ew&#10;whTpsW3znx5naq5vQBs/htihfp72EmhEHwKG/TOe3sjuRqh+0fljH2EWr6uA4o/SsKGRSVbxAqoT&#10;DbnvfjI3DqwAoGzyr2PuZ40BqJX4I6JwWsu3VD8phqSNhiise1xKpMFc0qGUvqnO9DDozJMDQKhj&#10;S0S6f9kXZWzl43N80jIR+1g23dqAbrydHD1lhwcajxdhajUZ+Dvuvawl6ImxgohXTUdj0cHDVEpI&#10;k6MBWVDi39H6G6SupHIFD4vkKYKulHEoy7mJzv3vfC303ciiJmDAJVWkLj4sEAq1mPUutzNM13Cw&#10;3PhNW7YPaisDYWcJ3tfelbXrPWnw5JQV0ydlXyqxxmQ6C8XHZ95n57vWnVsUros/rIwCVTBFc5qb&#10;dO/spasra3E0Tl4nC+tMC0JRCkwh6EPlQBmkm/7jv23Pt6GDUc6/Q96hJC4//17+9g9+mW/Sb1+4&#10;8frqpzB1BAsXYAtsvVp4aEEc74w7g3OMBWv3km2c47BB0r81pxXpbjVRslPM+bEqCYvV+NInjexC&#10;akUtp9VbT1H1LH064wCiS5DiRuV9Ibi/DfUGK6svOvzf+Hvs9EkMyxQ4Ti0CVYK9QOImh34DVcj8&#10;qk09S+VY8rUqMICi5DWbXzG3sicGWDUyTZx0L7ac28n9erxvjhFz19m4u0EE8OXnmTxoYID1sPFi&#10;zeV9TOaMq2XJRjQWIHuFR6BdvkJ60zaGoLDwx0o3no9fj8drYxvuPIk+TsVNWUxK5pL84kYh+GGP&#10;/NBkmORwMntEIG8r7zgaClcYYoalGuIOnpmpHDB7sYcyMwkYm4c2J04kuvDB4rC0ppTdrCxAAX9f&#10;w/K4Z+y4Evz2rMydxLISNmYkInFdPh2YMFZ2JpmQeBsnLxkGbJxgreIjR6owu+756mvwgsEa2BWd&#10;kXOc8+glEs6mlMeOjlw7Pk5O8XRIhKihMVPJcfQaCeU4djohawiG6dSXPTtIe761pwprYFFxnD+4&#10;eFPFo6qLKFf26WkyrSKTKSRvozaBbHw0M3dAPr0RFfhGNnaQxl7LG5vAEs22Zp1Li8bsAnSWcLuD&#10;dl3x7pngpK2MoKh5g53MYSxBRQ39l7tk+Q7tzb8xOjtrtDrPmWF2tP/aBZONU6qCeo/er+ce3cgU&#10;EnF15mh4ZLXH9Q2nAcWwNq0QBblCFRF9Ef4uvjZxX5XrJyM7VAMAGFBEH9QcDltjRR0GPt/BWAY2&#10;tRM3OSV7Z2d7dmKA6BllOUVa0/BYS7gN8Fz0GhrRXfDXdpjQnWcKXETregrRNfWHrPG8GuC+Yalc&#10;3c+m/oLXT04l0YBl1OLWj40fsgOb0bx10YILjYqOvzr2BXxKEt+JRZ5tam6Qho66MCbYxY0DqXPX&#10;5DQ47fN2e5jH+5ekPT3q+Jlv7+8//igGb/AO9PKXJIvnzupZrMpbHOkl+usovAPsEqqP7iSNK5E8&#10;3SJ6skKuLwBfXpG71x+O29ls4bSXRj9qjuGGw80dkcuXW91JD3k9BindWx+uo8mQk8/PJ/8Rn09K&#10;F2cllwuKqmpv2WrN1r99xjnKnRXdE2zLFZjWyVJx2DsjcUJZKpJlNK4uSIDj3Uv6CsTOEVh6P7d0&#10;b47jrr8ls8l88aGgBes0ZWSKRu8wSTriXag9AXJspbOSkFlYGxXiKFN+jPGj1ufjkZ7vn49HY34E&#10;dr6uEx0lzTw1nzHZf7BaKlSvaOK1SWBrsboyfDkAseF9eWUSraaz5gMPJUJ60dg9xnrX3tM3Fzc0&#10;12Pen97YxVUdlyMQKpRNkssNQ1qLlSAqlsXGJEc+PWv+QY4ztxKsZQc9i2OBasel8qLUbYQ3VDFl&#10;LAgRLApiNbgtJa+v+eT736KbIsmS8gLn0z3r7B9o+JBf2sbmfpxW37zt+zyJZGhggKKQk9gvAn5k&#10;YRIqSVVYp07WoGdyOnhxDKgpoBwjsYfJgCHSTDq1KlDpNlXOYY7tQamohKF/Mt99bpwPRDVABq9/&#10;n99LqUWXWVUd1JItCGQxWmXdU4tTDFi2h1HOPjkD/exz5/+VXx9LljrKZaD64uz7K+f61vXICjLk&#10;ppXGlzxR0mRI2a7yaHoSxrZo7umSoJMHzdAoHrlQLrC5MwRzZ/ukxxQyaj511nrROSAQlzrYQcE7&#10;ODtoR6GvgFNgpkgpTZBXjGdPZPvJIDhskzyZ3rdpC/OIieEJ5USku/Yq1q3N8fE6sA+frDolBNyK&#10;MqjZkhMICZSX+TpfsgZ2aFE7sk7l5dzUzB1k3rL3ACP/CXTUbjGnUqQEGar7rfvIi055G5wP+Bxx&#10;h3JD37Cr5SvzAM1PDgXL+eEaAmEsKf/4eSWP/ybqA4Kd+njf35GgW4mENE4oh7/OUcrZ9LYiKmyL&#10;rWKItlXlR7tM7nmkO077lt12pXHf5ZlaZfL3HMroHuYSnc37V+Srj6GsmDUwjBKGkuHV6hwRJEgH&#10;q4c22bMxMiKrRjnjN6ODr0A1FkVlkULurY6LiW20xZdMphFFDC7f2axS466mMg5ldM0haGm39Nsw&#10;UuXof3/jw31v6Whh/3qgUPdO7DHUb9tQuuNXsjYO3/A5FCVBSjuzsaGntNiTvs7R5R/AL5qnrYM/&#10;5MlAyP35PJ5vH/P8hajxY28vHMrEWWeSWyUlYWM1w4mSbNTF1zLOOA2mbFIb4HFG561zpWa7SkkG&#10;RSkwLv3Fp+ZOU1ZgLPva9tZwQ0UoCf9rZ8XfL9sj9uYHATGCyYUFR4HA7j7zV6Pvhlx4NuLUQlS5&#10;eYTV4+TJme5pdAgvuRbv1I0jFUay4d392GCE4LwNE8ensnV4V7KscdGv5sSsqN4qHb6cDMDRSF3M&#10;/N8Dl0mPaRQ2Y8ToF6+8IYwCSmJa9+gXFJBZ5EkeyrSaK+1BJ+KdX6nui/sFBM0UilFxVhAtzx5T&#10;vOiDE82DAac505Me5eYJWDkyptdAP8cxCD+2tc/zaCoMo0DsYWDQpWZPvc+db5yHqVeWFAQG/3ZH&#10;59u0ZPyVhSi95Kwg26kedWAslrepjOiylC8FRBOf21UivXhOvTE2RSgEfFoSZEk47JQ9tsE6T94l&#10;lAe92FSKaRYA7E2bCjox9TnkZEDbFL0+bW88EdF4Opfv4zMfnycBCCjL0GwoMfpi+0uWA7WRQQV7&#10;FRHUOD31oL8+6L5g+C2IKvAic5yhRmVWUV3p1seuD2GvVKyDh7/CXXD+NdmNWobnXV3R3mT4u4NQ&#10;uupjuC829Zw7k6TBDIusOG6EaI2e5sUdheItoXdp8usezGSBkmhMfLxv//ivw+D636Qcm73744/t&#10;8Z7J0dWATcWIDsJi1JOSvNnntETJrIaa87cLs2WGOuDdfo2U/hqwPPq4ZbhZ/p9jyiMCfMTKdg3W&#10;eoBhk2LYzJVee2xoStfAT2mQY7GwdQLvwV3hfylsmyqpFG9cyv9RdLt8bwDLgRbNqa4+nTZzmw7z&#10;SiRaXpTbrDXinouVxwsnlqUeW8+i8p1sxVsupdB/ay6jFMeqSR3btpBctXTGx13TQscVQzX55rZk&#10;uaBPSeJ6KyRbXebIXVQAgh2YCR7PjLwbnH9/9bL2AFn3j8iApbedmOZ9f5X8K7Xt5PxvLnnwekNt&#10;WD1wsiVGahphrk6Ou57aA1iFvHHVqDFpW978klxxZqWyKSzWLLi5LTUvX0n2RJfeEWFpMEHVR+9y&#10;z4LgzTy7LtOPKMWFb61T38UBWPrV2qvLAZOQ3YeXzY6lRqEdPnr9BBwpuSlQRAP0M5HHcw/bSoQ3&#10;WSpoYW3alHYMAsf8gVnp8FouN+3cTRnr9cSihM1PhWw3w7IbbawZC+8cUqSr62GnWpauhFHx/2yC&#10;9axPaaSb8zToYoymC07qHvKh1flr1nN4YZI8kuPDCjX7qJFerR29zVr0PW+UrjRgYpQAhRRvrKSv&#10;89Qc5dWOs5vTQER76fZTuIY5pYlpFBaunDF1PiToGBdAce4ISrdJcoxpmqj2HTeMWV/j4zzOvZ2O&#10;kIlCWwTJdQ4ljSFQxaJfKzXGaNeRl2SPab/FJF6jbVTHZ7PvHPVgeR1knCM6T/jOLrohaz7eeoj7&#10;oa3sFOiE/pfSoyFVGNSet7PirkQ8+qwUMUqtDy+1Xi35UDVCbfEWTjBd50YL4WVx9AD7C7OGIy4f&#10;ysHMNBgt7MXBFARLKdSZElYsmthuH9lTAoXCV8lBh9572SofCyktmHdBwFnR+ckRWhn5f8wJsOkP&#10;n8yOnbs6UZwAdGqFsughnBFU5kx+6Cvq8y0J8j7W1PA69Kimn3sk8qHYU8kKY9GkN/Ngp3GEu4lZ&#10;SCzidhjXy2uOW711VTkLH5t/k4a3siWv5qBFlcp3NLU5SkAnxi2ui1kxZVw91KuhestD/w+JXrks&#10;1YI2If18j5dVGhZOM+zryP8haCi6UCV9S6CII4UwKeYmXqrVJOtcuZZvp19rBtOdPuxGnJpPl9Bw&#10;rB6N0mW/vLlVWX/5vPPq9MobfJc6rSl8FONdBrUesElVU9m4+sQiYOfOAnkLD6yaHvXVnxYB07AF&#10;7H8/9sf29uP1eCC6vXLZRTISWQkaTmTnP807aVYGn+SmZAMn0dJ8r+U5q5kaw4bQCKPERC5dfium&#10;56tNh3qCv0hZuDFac/kDeX12iEhNUnl0KnLcKW3pOh6ZkErJ1V4g4Ny5vuv6fXas+F1ze37Ts6xE&#10;K0kPMSF71vpESVfp2ypIlp/LUfQmqF/NljuxC4QxMSaH4zU4+6HLQiNtgY0TtEW42K8G0ST2GPXH&#10;hXQJy7aEtoMzn+xBGlqOgSMhCbudc//+YMzCvE3fqqAPWemDApu1uLmoiMscEHWnSlWPWorDmbBK&#10;8t2haamtcQfhs86d7BjIFmAsOyLaD3bbdvQ/eYpi76H63rb4fb7f82zIVMrLJoS/mH9yIlYemToQ&#10;vByvADezQ47YrmcKEUoYeq1VSR4KX6MA9gMpX+WPyvTnwOce8l3yffsWIoNey7j1Vkfw8cxyVU6g&#10;Eot11/WmyPUR64JSVNhLjfpaxUpoeaW6ygGpUe+NkhBSUYbGabkxU4yhfXvI3du5P/v2VlEP4SID&#10;7wBfHeQqwLUsQy+x9Ep4GBoKDlP+CYXBu9j6i8jsHBaUJMY6YyVxdm1N1iY4TpKw4DhodEpwT7F8&#10;S2DBs5nUqQe+iq5BAm/nGzpOXij4F2EOxn3UBq5CljtApDq0HBlEWojv8GE2CQ4oIU2NmrztP/9R&#10;H2+ct/wVvuXx8Pbzj/x40HyVNa6uua60uMZSjefOpB7YTpwkdlz2OXq60g9MQgw3919c3+mGWVHS&#10;TE9LEOFVRUtoyemisSw8aDixjM4voXi/F38jNva/dlDV9LqbAEuKe2xEWYBzVlWWwH/e+tLlY4ha&#10;dnwRVjt0toxxHwJK+NzHepJTZNG6q2NtfchVS0BS9djEkUKW78tHP2Iz+/KS761YcVYWFSc2rL6+&#10;xoVhd3CqzrGqM2KNlqjJ31kDnDCCCaHeXKfaqqQr6wABN2/Pc/7Dwx1KntY+DSvB03EycO5F/EQM&#10;EHDKrvAtJEKclLapSyKusfqUsD1slvFl/8bVa88KooWlYas7E4wzhxvrY81X8HHge4rk12wPityp&#10;U+1Oz0ZYHWTvc8yczsLP0BbPV/PwVlEecx3W3AIVLTbaB8tK6ZBe/UpElWdjbqjzuX9hM0aPt9tH&#10;qlkjlwAZ+HxyEl14vuDOFHtnkFOpgW3mYRoDkSsIBsVGKDfDLqXoeRCxCBUd8wfTkkgn7cqKNFus&#10;d2xj+AEbpbYn5YRze6K7ozLmx9g3g91zXk1LxQh34zChg93zQuZi9+VqN5x1I2UAu+HFCcNFFBhs&#10;ltj8zuNsCAj8/JVazxGKmUQVP17fUt1lA1DPuq+R4EIpdkFkyReUdNAnU2gKNUpnyI4v8dDNTjMD&#10;8Fv8r23Ne7Kj6yjTJcc10K3g5mhszwZjL5czAwBr2MAhPW0SUrZTDdkRYkLA0F+/4GTXXgXN2iEy&#10;I+NAWraEsajprlg+EW26hcnIfEeWtQRC0MsUqYWKkMo4u256CDsRTri4+6OYGJHMh5xlMt7llvcH&#10;U0rmBow5RlYfu7MqLTShO/gKwi4l8dkfhqfoVajXAW6ovXh7YijI6fyukFT6+TCkVOe5NF2pw3zx&#10;HKCouVND9rJtDKlHfM38nT9+zqUHo6XxV+zzEHt+f//5tj1K9MlkQlUTTn6qZqlk0rNzjkbiI7o7&#10;SuZrbIwqx7sPq6a+uAui9PGirwup1urVj3XSek5jxRgVpUYFwcvLd8g8lzjScriY6UR9+b0QzIvR&#10;cQtY8mMWzUrd47hyxpwXUbb1xe1L6NCiI33JXHLp9z11iRB9+aCbBdwsOwimW+Hwpo2w8zECrXrt&#10;ZEPBEHZ6sXc+ounv10bp2FAMjGbE2qscBxVzWTn8ArcSe2yKxy2TTDjEyczqaJ066kTTO1h1yinh&#10;+jDGJwY8zW+Aygg6dcv79phb0MkI9Q36Pkj0krOvPd6M448ed8H5q0d/w1myuiii2UZHKcBs1/kK&#10;pQhR61snZ+OBYAqBoZNc0tYHh2kr3DJGBol2vOWQqetpHRE4woXsQYe+zoNceHsKTZTMLvEZ4Zd+&#10;WO8ztP3y/IY6smG+1YOrMl58RDY2geWFIczFwUVDBIL5ZYaPphctCk/bGCiycIeWidlchtR5mD/5&#10;SCQDMR+ASbb5x+PJX9F1zwvkRl3LeKvLBxohGFwtsWltGzNncHEbZ3Hzer/tm6hTUnwMBwVnsMwW&#10;Tx1UAQkqxCfrLw32+F6EE6ykhqbImHwwpQ9ulgCs9NiVfnHTzee8406urVlaR+6iTcfTSwonc+0C&#10;Q0S0nq3VI2BnDHVQnmoEWFBUVE1KiurN5lsG6yH/q9OaRo0o97nqgznyllkM6Z4hzImWuySZr7Vu&#10;FTIQRvnEKIQeeMQS9froVGBqNhbMT6VYmGNRzmNDioJnMEAQHJ8yIfgoy5KeB51sKZx1iH1xqoZR&#10;KYzI4MRlyPmAQ8Fgt1zZvPxKdtLZyu9sBrEzM2QYUGc3VlGoSbvcXGU9Aig769iezZyX6ok74Bh0&#10;AENSUehKFgTJKX4MOLxM4cWq9a6DP77r+PTNNnfafc9v7yP9duankId5OH332EolO/vPbhpJ6+7y&#10;vKuRfuroKaVINr0cglwkExC1XI0tCERIujXmsrXB407UCq9ZkE/KXb5xHdFIdw1kSlbyqvorvrnT&#10;5Uz/KmwNWWSUircviShTH66s+lPzM1+D8t8UgSOI3eYMLMSEVX7567fla35ncaVE4bfbb9gTeJ6g&#10;4Y/2yksAe70UUhVwE5R7vZttpO/jVmzqFNKSoefRQ/7KeL3lHwYMEzc5HOsYOFlgTAd+VsxeSL2Z&#10;02aCCUX2WHRwcyhaS49XVdB5zm/7oz4f885Gr+A8X8fnXLfmfxTzo9Hh/FHZBEE/E9TRHH7eFrZN&#10;gvAL2y7FGr/o2a5PSTd3TZdQcj6ajw27H5UXWWTLnTmZ2nSTvTR2PQi6qoaMhWdRLCtqRmrGB9J3&#10;HQpSU9SOKQDTIBaYXci1xIkygyfkh48eKgR88Ktsou5FllluP3a7ooccgsbgFQl+ksmj4fZ7sAwd&#10;K5gCXOmexTlTPvrRHFcG4V6eJ/oqnpzp73BVjksakq9M3jiDyBzf/bQ6OaSIRMrdUdT9LgwCTVAs&#10;UYiKLOXJQp1dLbRzARyHXAXffNKszVEmnO3zG35sj11ZXaz1McTliWD+NBgeCD8b5wukF0/5Urkm&#10;OjH8T1/cPuht9hGP/Ai/V1KKOsXCCgnSRNuDcdoRuHaz6vTq1dqKBelE/VWuAyoMhwfxRWPsbA6c&#10;0gjJqyyyUYrhMJe2g8G2OGtv8wMoIZ/iMTcWx3GyE1gZXH4JciQ0Scyya+Cs9v0Nebaon3iIxxOw&#10;oYc5fzLp+V16TiTH97l3uqFDymjpB2kFW6I817BgAU5Ise/70yjwhm4n9D6056tgwJ9kp9gmSWk4&#10;XVNdoWFo96rr+QCEf3gYeWR4vqPheh5mlurxxG0A9HFTLPD2BqQaO0aVWLdCp3xnwBPWpfk5nJ/l&#10;7cf28+8pYkW/Ld0wK8+K9scfii66sgGop2vGqDisg0mTGYrljNOVyCBdPXZm87L1z64RpyklTNXf&#10;1cYK9bhvDSP09PlmEojy4s6rzpeaP8e2EQoINRy+4bvZG8or1vn6q3GdAJa6WU4rC/syY9BtgIvC&#10;7EsrV2a9u6ncTt4e8Jnh09l9J7ppjfqIP1Xjomt4xW3vVCU3zCmPCPSg76QQbwxPjySnGCsrXc+z&#10;T2tdNJv1pIx0aZS/bITiLeqVayaBpiV06SUF3s00cjAAELzOXA+/nQaNBeeC1kimmq7wscTG12NH&#10;hMVgCkjHxAbbASZqjKhQ8beFsyS5kYCK51E2LoU8kzBi/C7pKw7KVh+g5+uy0i2FgaIcfsA8FSOV&#10;uSfUYlyF49nsASlhilZ8AZ+Hngwpp4096v49mLM80LRV4S1oqHjMRU7BZLZs7GpQlmaWgI6pqARt&#10;DJmr2Q8LCsGe/RFtChbNt+hLkDxGlfwiIKKZQRl6QnZFTm6IA6QQo60bWqKY+bs+GBQkHf3cBT/O&#10;Edym6IoLlKNADZ7lxZobJMz1Zv0dj46F20ijrNRPa4hp1AZu2iFaO9X+P0C7aR8UiKLjvVWWvmLq&#10;6XIQlUOwWQNyiILKuZRbwehj4NXTjh0x33LG9JQsJv03hUA/jkQOQ3Z2NSYgI2a/ni7I5+vME1ws&#10;TXACZKWsNEDCEl2kAxMsQDU37jcKjGRx2dhg4VFp/m2T3w5VkYGcuHHbPksZbGPAj2UlinPhoPlP&#10;7bP5endxYdB1ZEJNk57Ts4VNYUy0u86/bvhdHJF6iWovEfcFGKPvleNiDkGwvs+N8Dzz61MSIF4G&#10;wLVRKtYtaT7HoHAC7jFfTKZ6BMQXDSCbet3rgzlVWit84ICOKpiQzbBkrZEWvuatne4vprw0iEgl&#10;V8TkuXRxZMCNonK/kmsz15+3H0PMhN8l3uGeev5IfpSvy7rkk7zlzPOZHwL+J1uU5uI66LndWEtY&#10;+e7cDBMxvnr71LMaIWpZiJYYH37RkCgQOa8Mg+6Zx2XpG2ED7yusZ1zV2a1Q8/JaVh0WudsS4KbI&#10;ny8q/riKDzO3ssN/xgpBA6KMTwr8FNtK1IhTw7AsKqzXvzPYFtOZLzGqUi6F+UEDRNSJxakcMexU&#10;A8CCDolQh9wCIyRdTEJX8hEb7/RmXD45F/RNvt3u8SotKzy5v/HAJQWthObF3hqcPGGMpf2OVlKM&#10;vE+m6tS4ORI7403TUY/4cDD6MSuOB0yvpc1a8SBPUrUzdqmN0Ooo0Z14goeDkAHlWshUt2K6rIuU&#10;taOwZ0gTQuMfCndyqm3IO6NQ3Ts/WbZ1/EvmA/wSGFfGCSdOsAzks3jKkZ2U8152crHkf3UZyscA&#10;Ua7CmCm5iudOfAFhKCd2R4Z328upURCbxBxjlHC9ztr/7IuNg11ndxKu9s67KpNIZ9bcSoyb7+OD&#10;Pa7Np2wj04rCATHJry2Il5X7awuvLoySPQkapz73KfOXoGZcoHdCfLC5RVEyKBanWq4YkdNgSDk7&#10;KASdoOzGSpSCoPpxvv59fM47m3rXedjrhCyPg+cnlkyVzog+QqoTiMMQhkAPfaSPP1cmTHCQHPLg&#10;JL9lFOIoOR6kHOtPmKAG23uvFyRH6pfqEKSIU60/Ir0DLIIs8x70DZ3IhX3p9EszP1KdspQFvgrB&#10;bbpVGJ5KSzemmjABnMusBmXx9bgONYcyYWSjv7kI7G1/l9JkUAvqvhO3W3UfmY0u1pFEyvS9B6+3&#10;l3qB1ElGil5rL8cnOrTz1+2QfZbXn1jhsXsikKHywknJ2S9+MAs7Eq6NIsI1wC2h+9NjcSi/2wm7&#10;XhWEnR5Evrt5sFGszWjVIQnVh1q6hjATYP9mq9BSKRS5B0AArVQyshWiUd7eIVgdXoq/TKwIIM2z&#10;8kND0QRpCS/I3Co5Uv64N6tAwXfstkhqvhwNhvxNTvrNeBYdBu32t5Tlr73NO7Nr2SfztVfl24Bt&#10;Jciy5VIuiHYfkftgt81Yh8EADMS/CMbmabkqtl4MGPTaGLi/ch+hj7D90MTVmYHkskwbyDURXBtu&#10;/o0ZcG3PZTlgXYLqaJGFi7WCpDvU4IsNQzYp74I1rz5V9ATd1iuRXVYiqD2e8O8IjKEcXZz5aDOQ&#10;eefmgrCb6+wSBOJ6FhOw8snuqLRS3WSsnGPIC209yERbfWx9QyrLQa7ir9Z+EU1CPUXNgenObiFw&#10;0UyFyT5J/d3OXW0xbko0Hvk9ZSc7VRj+V0eQTtDooOkFplJTRop9y0rAiPPXiodhMpHUAFFZDgmw&#10;xGguCy5b7IhcM4SAf7I7uvEPN+sDJS3D0vahxKfkNoFHGHlBWbMqWZFzuSzK46VTGPDZNXnFAfBz&#10;pABk+8jYtATOCvXxeKvbmkrrcM18JSoNipUIVF71Ry1/Y/Gl1e3FGl1ndu3lLnHl6DAWqaQ4XbE+&#10;xFp3nPN0w+Qfnu60AXyc559wicx/UEVCvTmQZXIikng8WSQJZNENbcJyg0s2MMp1CooWxblAl5LG&#10;FbFyHYj92F5m6N+sNOYhdPn724nlHmaJ4v1JxBZVe0V9YDENsrJMGZXIMaGxJc3hI0XVKj8XxhQ1&#10;7UmlXOtAtmEJIa7R2pKqzYOc4gNgRx+PAhmqEtHrbkSv+xg/POPMeXWoSWGoD6YjvrC3YkurY3/L&#10;gFML9tPUriSPxidNHvp3p8/uj0HyGY+NlZnyROqUaLpkxsvg3nHjiUzzzSUaY0jouNFiotQEHoWY&#10;/Fdk8MjynWVOkFtW+uDgv1TtQBTbYVve2Zc9lbIgbxOBAyhQmptgW1Olvj9nkbj98fcCePr4DdV6&#10;/q79+Xy8PYpsZ1XRlFJF5As4ztUVr4i3gYa7HuApx6EkS7WXod2r7CWOyOkSwMhOJ71R/msKbLp2&#10;xsvXra3X47vLGWeNd74PQXNQKb6aASwJK+kv08R+xerGaNLawkrZheeffpguFPdIX2ODcnQ7Vf9V&#10;2ef10nO6jAt+X6E7i0A457kN3e4tBPzuWzqW2QmxpcYYV9qSsQ6/F2w7BvySVnqypKEpMYTdk6wc&#10;iRs3Ogaj4LjpeQxohW3imapQ9I/o1534Zq4I0D4pygBTLma/sFnnXIriyHswUBBtW8r7/oB64uzH&#10;5+tfnx+/zvaJBZGKFEOsYivyQYPra8lhWYH4KkVy3mqC8hTCxHPbumGBQuxDJtKMR5yTs1VpQ1hp&#10;ULgpypIA4BH51nuW2UP2DCYNScijSL9xP9csE2hhjm5R13AIEiYSBEIvBQpodkbDMPfcYI/qS2or&#10;fanv1WH8G4FqzHNostntoEVrpISIhk0MOrBFwEdnYjgD2eCWy88ayHzUJX1LBhQX/pynewMCzgJy&#10;VpwuDhoZQqmCC94AXG1eAnhXlpuWJNsU3wNQ5xHrE/Z9/O385D/bIYYLN3uUgxL6dm6Z89c+9y2H&#10;+4SBzLNAnH+EpRbZMRREzM3kOMjP06FzhdSML0M+6YZiS4wFKWbpnrlLY5NJCn39qu0s3UmixQh+&#10;eyKO7vGEtdpNbras3avnoBdbZGBZqGfSuG4ncqH1w/kAAsWyECw+QlnrLvq/uvlVA0jxfgvPUdi6&#10;9tLIM6eHoVjnMUItby9iMSUxh9drRCFb04qgH03+pM7UhmzSTTYdXfcBttImXEL5+BOXgiKdHg38&#10;K0t8ZYYP/fbmbLo1ZpH9trgyLM4Tl4zAc3hc2eMIPZ5y9ipXhq48NjUUNAoAZ4/ZF520ts7+5/x8&#10;8qz89geDrv6igt82WGa3HbP/bkMXkRdJCcVx8EriT6mGytEppOxtmbw97F9jubEUHyMkY8vvvojL&#10;Of0VaBaNzvJVQWm8xdrlun3K4ZbRF5WyOA73MsssssCC5uhY3MWa94PhlQUNIN7KgNbVdLUUjLFs&#10;fXyxYxz/l50iKn+zVfgqCYxcET0gtrPs31g8HQq1bBd8RWsOTV16a7TABkPgEhOVdWdxrFU0A4zk&#10;W0ttzb/ytNl9axYh45ID2bOl4bWTcaI0vfrYOS2KJu6AT9YCgfNBP8KzJ86le4C+ZOFi/FsmZGYr&#10;QIIiobO/jtfr8wPtp0vHQ+dc11GJZqgbJ+jStyzgOQ9iXZ3coT7qfA10AlQD/Dk9nzvBXozjiEhN&#10;bV8oPw/uLj7pw3LX+rh5U8eteZJ9Qi9qHQTlSCfdQR+enCnz29/BuixirZVoi839+K3OnYoHT05S&#10;df4Qw7ozoq5yNX1pKsPdYITvo6FsglyzW4mvSctQht8bPPxjC6XyJ3ZuXJPKhqLi4Pfwk87d96kA&#10;5ZHz7VgJeVG6wZvSlSKWQWlBOa4r9uCp6KRTcY9KsiiLip/I/HRfJN0d0PF3kmjMQW3Wfvg4coZ7&#10;3ee6KlXd3GXa6zx36j4+ZqF2vCR7Cxrwd8agsk+D42LbyVhRKjkvYR5OIWWHfOb4wNEzLDGzRmme&#10;nuXbqpXT4sUxOEprW9dZkG2B5vwNmuTJzVqYDjcweQ4ryyylzpMUScVq0Cg+qosBwnKzTzmczzm1&#10;mJ0nN504hiXFqc3qbds1XCQ24pO35KjC8Yxl/6FoxYYaMcwhnC3KsELDgrpNaZoQEv9wK7GuIziF&#10;oNzRuzYOJdTjTxqlp0lNTi7Ym9WV7DHRVRm+F64TgqbPIjVz4L4AzXVHUmTVVNJmMMaglQehqZUg&#10;HWY7zAMBjgfP8niDgqqEySuNiJoiB+7tfSs5uEnBfogKKWI+LTDmWtiiXZialwLRThYlf4QsP0xD&#10;boznS8+ysoq+xUw6V0LDTxHT15nOCLTw0IWsaxWo33Bffx2y2VecL8bmCOrK9/pzXO6CLju7VqZC&#10;xqP/yd1ApssrINdoiRw4Cfk3AaDdNhE8uff+m3L8C3OQ/79ZLEAaRe8W+KrR8f2Tc0+Z+sxN7YoF&#10;dcq36vYmcenkRJ0C9wXvxn0xNTYbO4QidukdjdvxQvqI+WreiniMvsxLX3NIC5Pyi542yb82jt+U&#10;7YCA7+eDcuFjLorz9/0JAsg51ILoRmPUAN9T71iii+0PXYOWrheYv9wRl7KHwlciDAopzO6ttaFE&#10;AX+ePghQRAZfwZj1KE68HuA5POyWvrwgQzwDbdJpFNl5YMdu/NBkMP9BHNsLMQ6d/qpCXWvlmgRT&#10;fI78Dr1ZZmPjD1Vqv/gtNW8PdjYPHvXPg+UDS8lTYExsb62HfefBMA4q0Yg5pSyhcUGEvzAy33uc&#10;O93YpL67RHrPg9u1yjjS49CBfML2UHtWOCI0tPO73ra5RO2XtRzjKMUKKOfOw3kLS3m0ZChH4TQR&#10;h4DzbBJNzR+7Q2KnHrhG8UurVfJxpNdHulOCvz7ExZa7Ox21jy9uJd0Lq/BK4/NjzPqPfMjCfDtF&#10;YNKT5yOLWzCSRXXP+PEvfEJrVwnjKUBfuYG06EDm1RmSEEoeJ/fgV2xX7KdEQp0ZudpCeBYlCOZs&#10;nJZxY7bdBqUqHhmGQPvDHjHcLD0MzUl40nEuvkfP1W2i3pWtRY3/5kxgUPBKJGTL+ZWhf3m8iUiQ&#10;AwxMr30Jm76THUCgDsFmVq+KY1foUXGO6dwssWVu8xScIs5x/v7WMgltPgypKqyc8LWj6oimnU+R&#10;OGpFXDKxedO/o/3z82+0+h0x87txNedvn4/R401CtY0Kuh4ZqS3fVc/5cOj34sXoMSy8h6nNRp0z&#10;QuUiU849fnaJ8ZKTsEu56w1zvg5Ul65xWXG+tGvzslJ46Uv5ruqK5Nk7Uybg0+b1uwubw/NlgFgf&#10;l+bHXzKcu6C3umSX3SCPXBZLPucFKqxL5eMK0WCh4ZCTOC9Ai2yNaVY30jCx3JWzQnECw5qbCVme&#10;19fUmobmXeyuiCHLcb6RC2d4eYnoMaFjdaYvNcdpNN1Q0JTwtO04Tpxe5Y+PE6vWjttqE21TdBTt&#10;wsZDziTNiG5Q9+CxDAlCms2CTA8aRk8b9X7MDmjtLGXWKDsUnnjGSW0qy4eYg5+ikjbXsjKPQoOH&#10;ll/XinLLolILlJtnBDriA6ZApStjT0PTK2Ghr3shf6USDIl6uungMQnc4IkeDs8L50WXzJQlZnU6&#10;vIaD+EyyAhNGx1wwwdW3wgZo9x6GKVC0/sHt6MGjKopaOMy0fke+GdZCjE8+sdXgzIHZ0Fg4gm5w&#10;AVudQ0eTkV5oJbFvVij4zHHvU5ijSn1XiHZs7BuSJwUWL58Mdgcpu0MAuSNECROcky3nLPIkEufx&#10;KCHSYaufRH/J8J5hQUFFqmKRmYEd8Ki55e87k1E6uVgsc1t77rvk7/2f/2/+859zlaSogmFZQR6I&#10;acIVl30BLgIQGDjsGLSrFpYTgmcurOK0RSIMiJNRTLQMSpWhIesETGu5WGtZnbsRWTRqvbCQK3QC&#10;DTIg8aRUuenlqMsL+k8PGUtPnstnKSrSg/2hKiOoF+08QRaht6sYAsxSV1A2GmH0vQkepm3DYViQ&#10;LNFUfpJqTtMbmJm8KOX4wEaLU8uDqpizaewv2tvjmT7+BXwMzfu8JeYTfwDeK1ed20vhboAtYUTG&#10;uZRvVf+uTG1FVTFKh4vV4x3XoLGjDy8gJ7BkGRHxQiSpzhzYxZUf2TZ2+0ft6nTMz+F8/pzHsf3v&#10;//j4f/5v87PuqJU2trn57Y+T/AfkNl0Vh6sdhEP03RJhsNfY/hSarRRjxIehdBZHpQX17C0maePO&#10;HCmm9lyNu2/DaFbMXFh65L9+yeBy8t864H2pgsp/qv6uzLuRQySSvnjUw0ma1nY8wntv9Uj84C2c&#10;TLegLsO3Yrk0CvmqtOh11fMRXUApAG7V1FXH3fz6tjFI/+K0HDtY1+9bjgJKrXRWcjZj8G0ifj6v&#10;mcWIVxC40gsj1ZW0J7lZ2ERapnG+97heZb3sM1Q2DGIlxhdvvzOvFWW6ZlTRLx17dG4RfQdW2fa2&#10;PbbHA/f5eX6+zo+zvXD0HhIOzJ+3hRxRK6amQUNWoa4or7TpuC1F+ojao4wzaYh6Hu14Ea9cPbXW&#10;cKlbacDBGMIHGtML3NzAkWgvVnWq5V1iFx86ovOIYPvUkBeCwbBlq26PkVrZ+0fT3sdwWvurh5jU&#10;HCL2cgHRuZnpNfIE8kZz4UPx3jpLzc1m7hBEUTxL+lHwOucvn4/0Cxk0TH4JJG+DlZ7vaGXjzRNG&#10;VRs2UDKcUL56u0xEySbRg/oOMVwsJuJXbAaIp4jHwoEGDd5SSK+2PPu5mTb+c39gpabLVdzMgEd4&#10;TVAlCtsDB6IjXppFp2wT/jqPz9ev1F5WE0f4kbZnyfRG/l4J6pzwze58E9jxKW5t+QZ7Ysp9awW6&#10;R4v3e/EUR5MG4tioRvGBuaQr2YP7VE8KN+cn3mU539jA1GbDWgeqmbYUrSkG6T06zPi5TW6K0s5t&#10;Xtz5nDCJCXcwIJxRrchEqObu+ULrUnhPhAG9DVKPK6AtczOuVPdsYZ3acW5TuZkls+zDVxXOWO6s&#10;3ve5RFdr++p2qk1VRDlu+fmjMpaPJz3mwWfeDigloUWj85hoyRw1PhVVhcl/+Ii6LfOO2GJDDeFw&#10;mjAs+SSkBcxh5WoH3AFiJTi3B3fnWX78MQQfiCg0fnODkOb/+C951oUOWzW4ak8iuSzPuRwXmRCH&#10;c+mqhv0H6Lx0vs3y1UA+wvIZPYdvnvec/3PIfLKWVDyM8S2L4nd724pxSFoMf9NJdEBFXh/B9Xhr&#10;fa9rp9YUTzPFssLl2YITXmTbFr3pa9BEuqaJ7B+tHc2qlhHGPs2oo5r80m/9kv/Aw+Utvih/C5i4&#10;ZbOEz9D8QsZoCQnZL9/ICkMtnIjclHJX45TcmcHQyL4kRfIMIBiWgOnba1UgQPLgJyvC8Q0PQVkn&#10;oeXa7PT/hfCG3aFY6fet/tghsDg63MtHG8dBkXwUcCsTuEurYEOECcMJg66U8zWWVgMW88R2wDzQ&#10;NKVeVZzPbvHT1I3Wfoo9ABaORo4JgggEmhkKxc2Xvp7t3OA2sYmXiVVM6NZCEo585CeX+fmOCkGm&#10;DkuO57jHLVLABMm01bNhTnUP4c7VIMCUPgW8DjNlDm3qatTvRT3b7oNm1OlyjO/F7R2dg05+oj+q&#10;2KRD26IiL8rVY0w9OUSzyRCSV+ZKzHkva5Iy3DTqk7hjfphN94w6aJUiPS3XwFijR0uAcpKTpb9o&#10;rwQCBmqF8XEcTXZVIs/mzkzMDSa0QwSTdWa9dXzKOs59kRPkm3d4rL6lz4LnoUMPdqN2cP5kpVgW&#10;+XKoOkOwsKUwpso5EEtYMimwNN4AQrY++vaQZIB+FeKSkPnuMZFOXiR4Kc8vZkiZ6Q3ZAxDCRTc3&#10;H9jaqCunnkKQxuGx7fmoX7c+K2MJ/ZioMALoh2oRiXYso49PfAhEafNdlyTKkCPqoLNO3PwkJmhU&#10;EXN5tIJMQpq8PwdoYTgBCaXEnQ2bsRtSNMJTodeYAL93Zob0a4qvIrWxzKpItfUYWhka4wrMzHaV&#10;d6h1lItpDC5Eqqh6X7gH3n7csVYLzYVt7ccsDbdmTlESwF1KK457RtOgyZl6dcVIB5av55Ca23+2&#10;MrFc9bMtpCFiCbPFWsk9f1xMhvRdhJyvlT7U+V93vhL+ZF1XToLzt+0wotyvUY3URs57GNcpQlij&#10;CNddSSPXWePry0s39nXWlLhH9IwONclaegN1GZ8tqF76lrQXLoJFG80OPhx5FXgBq0kLY78+xezg&#10;mqrMxbz29fA1jcBkG6lcrgn8wpplnx54a+LiAyEV0UgEQ8fuvSIo2OO1HaVHpLfQAFtJT/S4gL7Y&#10;QmiktIj+rSOdfODFgrY93h6P98ej8+z/q2E1ijNG5gEvC4PT1wnJ9QOWiKOnz6511kX5SYSYdjDt&#10;BNVE0Mi11/VsScYJ6b7aBUzzICE+7/HZugKnc5zgNvOXsvHfQryHoKASEUCXG1br4oZqlh6K9ahH&#10;p471CTr2HhmRVXx0HuxUull8POyBeyICCZ3CXw3bBtxyjIygxgSXUz6aeS55Z0kqxMZ81SdSc7GR&#10;wGFZxIsCeHpNKLjYgUdHjVVpMVtT219igblSfJ5sc5LP8nnOc0bXw8/0ImiACzY5kULmlnbyKmTj&#10;JJMcwk1uCFk50Url7QiCCw8brlN3VODWC4AL1lLroZBDaa7EiUXgvATMZjfr3NTzasnQPbbMEjhI&#10;MNuh8/RQkX6Aq6gEtOrMZI27hmPCa/VgT2GESn3EsVceLfQYVJGIUOqxMYZzXC4IJRGd2WGBikVY&#10;HRdaBbyRowNCpDIDZjc8oFA5KtVPkXMxEee0b3/MaimfB/2coxyfUDnWDbqe8yiga54+9a3WD0KU&#10;HigW+xkHn2NspNWKqMXcjKRSi0IeGPApR1FiH0CjnMUWKCqJyUZ5BGTVIMGjuE9AWyH6E9GVrtsI&#10;V3dPAfw/PnXArVR46kzTibLjEXLfYt/jDSdrBoWsDWeq8v6zPJ+mSMeWI2sxNNE+wGRRvZlNJq9G&#10;kuhbvhpU/wo8QAlar3Cs+cUYXeHx2jSivA1gin13i7UX0H49GPlL1M+4d0FXfz7ahivxPGaOV3K5&#10;1xmnAa3KVJHr9bYXmqPtvWTEKNXm+XE57eiuU8YY6mfNHnvY73mGaavZwmSZssJt46iQ1oZVrhU+&#10;5K8yJ2k/UJqEA1bKdTZJ17wzGqpjObsdKHWl+F6t4xXZgENoDtVkLqGno9V8/kbats0XTyvI3vCa&#10;UnToXaY+du+zoB435hp+WAjztE3qzMLr98D8RvudWJdDQ6+THeHtSpMQQBZv5KTF5wEB2PHZ+2ev&#10;nDYfO33iaFaMelBjswsRid445xOcvNAWbW1bEnXMKQSrMpNeQy7tsBujWu2cqwQGR7p/zjJfXegs&#10;Q6rGCPJPnPuqR/1sw/L0I3mYSlUBCQ7CMfZtOw2gZ/gob4h6OS+ZK4dPqe83RfQYijAE+Qy9Jam9&#10;YrqdKL/auUESkM2ii9xvcihwc72Alk4FFgIcyZnwTfAVEm3w5Orku9HSMDfpH3LX8RY/+QFqIBe0&#10;iet/82Dx788XnpB9szaHpUmDaY9Jh1gs6vsGVNbrJETNUUe1MQ/oue1UBlHXSh0Buk/dgu/BVKMc&#10;QrX5Icxy8EBB8JhH+/76FABIWusuBgkPukJwl7/w6O/a8ov2EP5g4mxPtJnLLJje+KjVoQ4kdRD9&#10;lpI4IplBa+GJkB3TiocND9mkktBhkJGrJlJxfpXV3pqfJa0AWdnuPbhD8rbzGamkRVPQuDVyMApb&#10;/NDLcP4kmaFTZNrJAwKXwblMn5+oJNnvyfIODjn/i/tg8DMYlX0ALAHhD74E4sn5me+4RFRq4bCC&#10;7mXTDoWG5PyauefNHY4PY6HgPSQNKZ1nwYVuQAVD2lMoYj9Y9fEszp2b68jJ0UOTTQX6I+0eKhvO&#10;sz0KA3v5CWEjP2grZJOYZL25o4/9feyfyBj54+9z8+sfn7mWW/sQiU91w6l1S043FC5DaprGfi79&#10;+TdaUGSp9n711+dm2JifXcY3yHOUapdu+OZskHxyBbn3XG8sNFdpWseyA/B+0+9UsqLF2bbZmati&#10;j8baiLuWKu+yfpRKoKLWDw8AkrY8OxSclH6bBuYbFTPnCEMwViqC9NJio9196dqKrAcNNe2ti/Zb&#10;pSr8rc3qm9BdrXQk/ikmE3TE2ynpl9PjA1/8S9HQCePAdkIa3biuDiPZ8Fyh9ZDywqGF6oOxbVfF&#10;q+UBOWf1LqQbXh2KVHGyd/LTfLAEkSdEEsQuJgif4UfEjj3L/s5D8dmOWSv8+zj+PF4Hjo1ZKoxN&#10;w14TwJHgWqUyYVV9cMLKDEY7ozdyzXRzD2cZuklRefyuRTsxGm7z6XxjkgPbNvWNHsD2lWwr2RId&#10;zrak4cFV4IBGagSfzH8jkY1R4Pz0mD6PxLv5Ih6AjGLa18IjxS9YO9/F1dR0NlPSeQ5hUIxCHRjI&#10;4QLXFERwNS08isBnclrrhTAmLjS92OGIpUjiwIfOt8XDbBpd+iapoRg1PWniazEW9wt1rTtfj+BC&#10;dKvg4Dx3+s0cKnf+WTYjOAao1YZaQB0IeSEekdteGdnRhkykmv3w8EyVwfx3RDr8+vfcY+fRX2qX&#10;G6q+Bhnilt3lx5bS0/QFbD8IEA/TH/bzQKhKINZJrO5xWA3nWdQHEo8NEE+KgjL7xVYbRiByLkgn&#10;AYtI9Vqp+WHpVL5w98PdjwuI6VeXci3Oz3r+qyI+siQmkABDUAXCcmOeA7TTnyI3IRsWsyuF3/Jg&#10;Ny/lhk5sd3+iK0CBJlG2NwfHuggY0tS7qZrImpdzhW3QQQ8PSubjj5B2vmYhctA+TUNpeaKeslKi&#10;nOCDTrpTLoWOwhSfwAmtG+wKc6NlVbgznZHHIWy0A8EXSqhMvu1m/RoJK5vWdpTBlLyn+kSp+vaz&#10;PN4cjrquepP0pgo9o3PQrFtPG8s83lLkNWK0ueNvXDkUyCyNnXry6isVW/xyvsFucKtSqZga96m8&#10;DjPR/nIVxgNGQzO9jPyFCFoucEOmJaWsQaLVoGtC1scNvZlMIpPXM/QZSlfIi+goZH1STpPpCt2Z&#10;ASGLTV9qunxTvqwBKFBA4qbnMLzHZjMIiwnP9oKMm6ox1OMel4KHD3O9DIw3MFvqwSR0LdWjd1oI&#10;gCjhJ3U80zCOfQiTrypO54WRVyM4vNU9aI2KqI127/U533rcS+ZDFWVZ3rweTYgby5U3m8eEadE7&#10;xzXdHCFxYscPGxuRGHQCMAxv/Ot4vQ5YyObBX9j+IbRCa8kGbSgvBBPLqtNSDsKV2ndyySmpfIQl&#10;ndKtrVKZQmH5FeyD9z8rnnd6+bUHDFnOh0NvBA6lkGGcwqP0WdmckGMgvpVqdaqhwTUtPoyoDVjg&#10;9HcOWHfprMQ+oXFjNG5yKDYHOceRFE/bQbUxv5BI4NYP8yJQFmdiVwuC+gy7+eQkg9ZlAPkeGBxW&#10;DX6lRZL94GH7Md5Xo6SQqpYqVJ6evYN7t0g7z1Let32TM3X0z/P1wsKHxYOt7/qs8zXLLAkbJTc2&#10;C4f4iTXqoWDJ2Lii2XlCXGWNXkgxfbrwcm04drz+BKdjKC9X7cYinsjgF+Vbct/l+CWv5ELqS1RJ&#10;a6h74O3U/heMiEQOHz03imgfDghLFoSF8qmGmyyiY7JjaytzDHR8Hw7qHE1i5BEYOYqd6jAN1o2Q&#10;wrRz37uyM4oSmDox1i9UZuret4NMpnrRknHG2U82q+HtYbXXV9Tv/tZ89i/OsylFSGHdboR6UUiq&#10;pK4NjdA6DrbFUM4T7lcjApr3D3bZIjgqCmjftaaGmkTIOBBhOtgVQIXX1LNltHEmmRO8GPCY9kzo&#10;2kI71uLhmoQoVYd7jrHnLYbwMnDwQZaxfOqPv29//J2TkB7ds651r23bOX/+EHAQl1fhkUyoZ9Oi&#10;JAV2Vi5NlcdW55NgpWqnA6VXNlqAzwI/uOLVPYUjw9cFRRvZ2M8sg7yrt6DFCWQXW2AJNWPUheNC&#10;ptw2orHyWnUdN74ftOa/MLIXit6kmRs7Oqb3ariGhiWmnUEYXHOR+Jdx3xq/pgHygVyFo9mhWXTm&#10;8A1bCrziZ9fWE05Cs4yKhf15FYyh5CxpIc10rikK5lVBXCNLUVLbEcz1WyUauyHuD5z+ko7lfckF&#10;x/jk8fB2eh48njv2KfhK0egRzVm4278EDXrfF/zFLkO8AE4wIlUXVM9NiVm/2vnPc9Z/x5+IvRAY&#10;CbIUCijkPxkbCaA1Bwzxptt190LFeeKawokh4N379rZTaMJNYudCz+LBTYKahdVy0N2mPqcltSRT&#10;fykxEkscVLMsh4r88htNbONursHbb4oyLwHHS5cGyis0xzKj2Kk0dyzY/vJYpkasUZXjkMFgucr0&#10;nM2kglUgA1DSeP+wzzzENT0TDQ982WyuSoShVofUqrlHK2z+zfvjuW0Ab2K21yBI0ntUkm1QK6ED&#10;h4tx3591o79NuBz05TZOVaqUqJEeURHSu4OGc561OGu3KtHPkaXYNjYFBM0dd35xI+M6laiz8hVa&#10;mzUqTd9txCumIdQKF+4+L6r/kU7L1CVTaMXWVbZpkwojL6LlAtFKobBSScGjoSgwMvmqNdse+LHW&#10;zDI5qG9ZNIjRaLyqmSkV83InBnFyrXIIas8amXKLBO2luLGxgR9YqW3TkRj78LbRrc28oGBfZAhr&#10;T4h9GGYrCcXJJNtcd+7bQ3BnjnbTeHtjx4h3NRou6AzjWpwgrjU/aEXe4B4KReVn8UBQ2IqAHqcJ&#10;i8PoMXW0qG2jDUNJvHh6tqHUNknw5u9i6EQZJ35XfXKfbpzWVcr4+Bv2J27Huteff1trk+XuvJP3&#10;P/6R9sesc2dh9+JRdaedhi4hobmNKCFulUpdvF0iy8GRp3aMn8z7XD3U477GJsn2T6qZh8DjtGXI&#10;qODIYp1tiHFaLbnSY3G/RbHfw4XKFwTMXxObIjFROo+wdxee3KR2yctD8H1VHpcoNd9Mf4scOILR&#10;c9kOHX9V/O6/yzGvZD4LDbOLeaubxi1mxU/YcComgX4ymN/QIl/yCUOTF/zeEpn1XU9fXl78saDb&#10;ASrMZhaW5VEJgn0HaD/mlnpjh/Ew4docin4BRiQHgcZQmUgCIIGjM0jvynccS4kjTIgWcK5eCno5&#10;+ap37hssuytRXuOfrf3rOD7P6E8oqlCYHbYSNpiLpci1GdSaTwX/sDfCbx+Smek6KkpYUwEbreII&#10;0oL/I1nFIyHLYgmQr+ZylwqGLg6qAjrZAZomBKsVd/ozepItghJO9kiX2iVmpDleg6K0rccWjYw9&#10;yRY0KQoWbMOA7OXgx64PR5UPg+UAfMmmsjFUnXt28ivH975G/2iNphRc8EfdHnOfYxkwl8tfxwvF&#10;3Ib9dYMssb9wGBolCq+91gcbazwNWJdDVgtzfRVJUctjK8yvFxmD+bR++/qXRVm47pYi5EUyzZWa&#10;2DAwBgPdcYoXuel3MHktIPi8229B/xpjFicQSJjAeaLSP7pL8+gGed/tJGdyqdO9XSMfebVJpOup&#10;ViXypyHBtSzlC5dFCWLVOQtfUHY3ZtB07+q1XyDPBNHKwpXJDy7AE+6A2tUikQsQFbOH+PPooKWR&#10;uoyGEs2xLhiHOS0MTVdk56LngPT5rQVgmm12RClxVF5X/E0k7VD9Rzbv0M/nWbBSFchEBhGtNNaD&#10;vb6VJaekWgqchMS3DChTl7iGglX0V/n8Sk1D+atm+uQJ49SneBM6Hee6/ONvIX4sIqVQar9tc3fs&#10;4yRpXbLMHZG8krLntYp3+1VQ/lcijZi/W91st220S8eblxs7TkERmscFmCOl3GPYvNTeI0VfwPWH&#10;IrSu2bROx8UAPGe6UPYTPdDbv4y8TGx3WU0KbxcjughIzXdqxPL1Dd90Y+lFx73RdyPCLKtf2AlW&#10;8XNLje/KTnRBXMr6OeNSwlICSmwk/ojJzoXKonHZF2G+MYlMemhxcjltighGt4ecFRyzkBgW5AAb&#10;5h6bZcnRaZEqKFs1K09CUFsUlZ4tsR6WgDqqNBvZTpiTYQpcgrFUHZwzjb9AzCW5K6I5yybMle9Q&#10;bDafInUIxbF7YmKAU9tBE/cIb29E34wbf4ptWzbu+cP7lknLL1LO8hTXBS9FfgKKmLMt6mOLcwRV&#10;45ajE/+rSPHsTfUKuU0rjSGpFcnbdiPhTDTIua98evinWV1ht1tkueDe8WqeV+yUllBNNfMyuxzD&#10;/I4SxyS+5iyWEDNy0yyOFc51o6jkNy4Qr7OxNMwk8FHHlFRKWqWl9VGRh6L+gr6GiIYxn/mqrZZN&#10;KwDEWakXk1QTV4cqEdD8pR+v+dnOT7aDSqXrKL/E/EC03eHxhaaCKJz5Zdv8pb8ELaONWvK0pjTt&#10;eTxHbSHHLYOdBRAYYQXU5gPF6sHD2BhK+/viiBIuz2kGPpDRpwyjnZYWtOw8AJZZec3tnXCM4gNI&#10;zyL2VbpSadZupxCISmF/bZBWervqK/hF6NimuLuyCMS8+ejhW/oHPmTzVSnUuLr5PLThEY9Z5DWF&#10;8fMtszBCxhADZhFGwCVicC6DaTHInCjWARrMHLMl4YgLRnFZOuJxsv+5E+JjhRSNEAFr1PEFKyn0&#10;wvPp3ESRBt1+SKgRDZf1sfCMydESTCDM2uCawuGiMUMEVPGQVpiIZU9oEfEC4b2aE8m2qZW+QsXK&#10;u4UlILZIPknzGvz8m0t3Rx109ajn153IxkpSQMjbpa7lFvGnw/hH6LZO1uB7Nvg/65jKBfbVui2O&#10;UsKkFf1Wcsl3zPSCMtbONKaavS1E52G4KtQ+mr9IXcYls0j/u/+Nm3Z0Zenesy3yzaB02ZXigqnw&#10;qpaL0OEUEkdLR/0wRDtzSVxyuhz8OaZH0cJUNzLsb/r4EItlTF8SzSEvFu9t6nlzheXbNMN14chh&#10;p1NzZHyLq03BBEohP1mGTWdKjCvvCOepYgF3WHNSIA2uGewFTIu87suipEDvIVIJRC4XgDHQGwyt&#10;6JpgcfgsblzAlOAPw19srj4L8Zh1PlpzSX0BkQzHvbmRHKzToNiFKGuCQHCnGGiQdkER88042vvq&#10;ZQdxK5yYFyaoOGm6+Ml1wq0UR1vQZeMEF95mFn1NWjsWvuTb15WsIb0Mxxhpywv6GmoaHx9h7iA0&#10;4C7oKD08cyOwsPP4sSOBvWpEKrvCADJ70+3KCEX1jWaJhrH3QerpmwI5xV6XHJHzzFocSKiewdx1&#10;HpjAlHMQWc6+xR5agKwCTinw275zD2Pk0/h1vk76Fg5WFfMHHvRObuIIu9rrZGgIaa4DQc8WUWtQ&#10;mw7OV7iJIg73V+Po91Jo3yMvF+j1a/3HE6pkkOqH6MxifSYWuaZ+SX99cu+E1rvqMJpGnHiKstx1&#10;g9COyDosUtXsVIwHdqg6Qm4zBCG6GZra77IBOPDMxqPlQ2TjsAL0BdyaXc+S52jk0W0duuF9sTON&#10;mIZoyMTAEKWE6u4iqqRLMcBmFWfXhQRx82XaDXlPf92rM8U1n+d6eXGAo7oW+aNnZARiuWDSBUwj&#10;ouyOqJJjXhQ+NkwllRw3j1pvbGyenL9vIoKcTnrKwTOb98R21u0soix52MgykseIAG+SyP4GudD8&#10;3h9/z49n57wmXSyulN7e529i8dfFKA55thbZspS9agypU6KU86EzsXgrfAvlpvuN/JwYZoxrKxqe&#10;si6+9RfmmukyeZhSxo5r+RZ3FNrK/8DwHOnOdr/39l3Flb9EPviVlrx6nEu9yeE5K5XQ5sSrvmUp&#10;xGjFqQZjJWeG7l9qIE0ZIVPmzHghB5HxQS5fyaG3v1t2174XOo4bmSKi+TQ5iIW9LynQ6thqxryO&#10;mPnLmPROyQmDlAcSaTVkA3Nexv0nS/iXJccY6yu34h1YcoYFcArnhvfAM3puRVQA6z8t8NHhl5K7&#10;LCXUM80tEJOgufP9z9frzxOrIAD/PLUhjm7+c54fJ2qOX6joYFdiXI7tfqkvYg7db8QcyZ9IZZQp&#10;c9FHyE8NHWnDk8bywYz2uHr0fV9J8ga71tAo5SGmaNoVJZgjZ0BVIHaRjRKQMiwwKfmy93QGmzE3&#10;MozlW5yMeiQzaIwFpJwKA64I83BAIijEJicHghqvgg2MtLwhu5F0ldLaEMesPUJuf++IoG6W+Slt&#10;833Cb97AQnzWonOu3vj7vs+tlxV+/7FVuiZ6drgONgDZDUnDYUefi8sTxWUVuLUhUHdeNXgbmh1d&#10;eDj2fecJYzBDDlaHkyeVHA6/m5hTu7hs1un+dw51GXHETHdzcYz7NOFmpBxn3mxGQvcpN2Eo7lT6&#10;d4umqKDqjmSJfbfwFVLNEAAEdfhcDlRhlnKwDUM7So621oGgOTBVBOoow4QTstflcKf8jx1X+ByU&#10;u1oRsK7igx9i44XNdS8h2utDx5tZHz7YvN0Gt+Px/KnDW6Z9kCM9uP4TB4c0K+JIg8ExasrERGK6&#10;FEpA4Glcr8xcUGTxrAWrp3rNsxKc9Z/Y7B5vhObOM9QzkwKqgWgXSJI6QbW5NAs8ESzf6+cvHO04&#10;0e7sJtQhNZHTD93UZVszIb+p1Pc/gGTrZ7qk72luh/X54/35yIqmonpU61WNZkNjdoqzqwI+xwcW&#10;RzM9u3u1q6pEbbHUKBqPhE3s1lj/ChmNY7g9oSUFzCI6hyPGdiuFkQhKDkUZahwsMB5Ji6RK1LXn&#10;/KXysbNO8Sah7YxzfVmZFZ5dh/5fJ/3tohAUF7R188OvIa3dgWVcyULFbU9pL8P4YFPgYku4BgnZ&#10;hLliHLdSBGXisZ9qPWBbsPVT5OFK1cI/bRrTWn7GHkS53B9rWubXWKOv5wgWTunRs1sxFIj/yOOZ&#10;BX4MME1R561rnd8TKCEjbBiAVof4psTwydaCpMxbE966U/CkjrudVRA74G5WAHTxSp74x2Khz3b8&#10;Og9aoecJmbNANtCGnfCNfgNGA5qPtcIn0Rx5bOXBpAXkPLCYMtfLjPUMpWTFMOCxwci2a+9iQ3Ws&#10;FGYDzNhGZ6ug3EbUuVw9AKZMdB8G+YxWlpXifZL+ZQUUGyLZA+mv4mJogjILc0WxR+Kys926UjcL&#10;Y4k8f1Xx2528Ulbi8o2+m3Ug186cQl688SfjKA7tr/zvPZQleL42FyKdxtF+dpsT5o77rw+g3Ig7&#10;l9IvfZwHfA7se3XaFh8UEmn8HMliCqjAD4c1+jxLvtDxELenccxb9vjMf/5/6MOWWu6n0eFAyiXW&#10;zGlFpyRK54umSqtTOla4gS1NfhgNQRhi7foi84xpt7wfK1JNywF5CM3gUuQxFpTbAwZvJE9Khk0D&#10;bqusBR3Dycxn5fVQBNiNz4qYH76XXuAlDwS7HlqoNE55uxf5hL2aZvMNiyolJYvMuiHJvesU57Bx&#10;evXYv42oW1yhpPg9u+zVjZPxQAogHa4xjdsYnZnnU6gwJWo40AfQMmBkrNQ5aisLWubnq6ozhqA+&#10;RXFhgoM2fMUunsb2cBLEvJcSBp/b8Zof+OfjeRbPFa2v4RUsyTP1cX6g8TN/1I8/5j6XjnMFJAh1&#10;sT3e/8+5L1KbVtlj74qhjqDvmvMi3sdsCFf38HSqb2EK0n7SQ7hwz/+4jdT+F0izGPPepmlX56IH&#10;4OU+nVY1Nb7AXpwnujqLJmOl2457JbtG2lHyeKQEJrRcyk/X3ZmGFfldxrgxxTwdBbMvIkxVwJQV&#10;YnjjIBVlrCSnj4NiJ0duFnrVDp44qF4yljBLiDl+zUqXyuUWYT8uZNtNXZLG7Z98xbd60U4Rkjti&#10;QBgp88aJEi5cJHRUQ6xFnv2jpDdjvSKc0CdHYL1qcjKGTkbVne2IMQsquV7t4Z+Jue0W6ryuRAL+&#10;0pPxBRv5TIzgSfAVnO3jbP9+HZFBcYFr9NTBusxqrIZmOuUIyDidSSKQYxfPkyEVZp701cQysj6v&#10;2whTd7NFpLdGKjlfgPDVJJMh92xTWO1q/PDF7BR7Xxld1hpkL3lxWbUgr+Kv+uznBoDkvHwNbkRw&#10;GFIVz0Z9tclgT3qkhC5rY35iB43zZYmQvyOMAsqqN96lcOQgushJw4PA/FGzCv91tI+5/I0hZPbr&#10;PA+NM+UloC+tC+LTm3YZiehrZElGT0hre+lGCiDumCUNJDacAuLnfXz86n/+T5Ej73f8+JLXLQxD&#10;saqx+yDreVu5x5qFX0GMyuMT81haiwoHw2vKP/yQXMB+ndEL9zkJ+kOctjTG+YYXZa7vOEcg+Vst&#10;574Zoal+b2Q+EGZWGWTXR761lUBwRoVXYJir3VUrrXV8GS1FXIOK1xwIKoRFoajFpsXDIRHp1I+Q&#10;fMtmD9GgqvbOV3bvXV2IfoIpOkvPxn1u07CQjgijj/t68irPybTky/gZ0oaWwl/feVgf5+ctROfE&#10;oXR/4Bw1z7SyWrY2Fjq41Gj24gH4rDvUxskwAYqJNiyVTDUBB6cf9f3H9vMPJm7XIFfPNzpPs7vA&#10;PxuxDFSuQmQn0bIaV42IIvfBuHQfLAkU18Y926ivIMla2pLvh9ZxJRD9VZlJfuXFrc6ra6muQFGA&#10;8pUUmJaR0B6UW/f0Wyq5Ty75S3P8elk5jRvddowUgjs7380fTNYv3Rj/XgNHvnU+tYuW5WFQMG0X&#10;FoLFRr3w+/ka0d3pa6t1xtwGIcMlwypXzeUTnqdHWV2COLCHHjoFsTLEGC7pcsRT9Xv28I0R45+1&#10;1oYczLVgOufY/3DeYXmHd1yzcnMoqYwc6n4zjyxNwFg7kHcDM3taMuplNwCFImEHH0KjwcxVMDLO&#10;iBOaz98zb5+t/QtNzpNd0J5jlTGdubCR0rpIrXDmsRdaYvypZvFim+XIQYVrmyObFwLJe1iKHVc0&#10;rNYc6h64c+jtirWbHnb+/D4CjOM6Bv2hKp0FBRfzc3tnwFmzfFdozrLkqnBxRVyyQoUy3z51Pdr5&#10;ZEXCG68XTd7U7srDyqkAHezR5wcxZBpyO0ZurHmyNagt5xBmRxCuS0Nxna+j02dvuohzR/0k6vfn&#10;vr9tVZ9IZ6DEg/lEHN5pQemnaRnXLpKVzB36XSmzKg46m4ZEnljPX3GePpqMLzmL11ams6bPD/6f&#10;0M9f3BE3j3k35xWh5AgWyIIg9pwuqmzqPsIEq76L58DY9APksJXkN+RGo4gMuCXUVd4P2ePr1DHO&#10;O7I2g6QWaEMvzNRGeqD7vuUVf82FHshQZoZmCGpOBVbqJmtVClKfZ6FeovwHP4fG+Yu7xEQwG2yc&#10;vYtHBc18cmT8cRM/ZrIRUwc4mcK+Oc850D8+3ynKVY4Hik5Z7frmMq54R+QV6d0zAeqkT8ZIIQhy&#10;FtC8OzmQeNtmdTU/Umum8cjhJDmfnN6eB3HS/cjKpMC3VB8OpCDFSfIBuHbZ09sfzNKwm45j64Ku&#10;L49TLIGLHVz85B/sHq4ALql7tqKIb8fUyA44bilG4e72r0ljQY1DTHJJMPxCr4P/Dd1JMXccBkuY&#10;3IZhoXkN4kv0ObOjv/M91Tl/tSyk4ME6wyaHvu+WSpNjow2lc0xQI+3Qokm6W7IzsbKdVLHaZ7uX&#10;akTOZQHRORYlnlYxEcVKhAFo16Yo5WWaH4rviuBgqTPzzaqpuXtdFs3sRdenonyvnt3uLHKAlbCT&#10;dbt05Q3OtwEj6hjqf8XwSQS4lHSFYqG3tlAzqvRuLdhrwLtKU/nrh9LFzNyJXO2u3bCuVBBT8RB7&#10;lB1oJ294emandRbfPsCCbMwcADqinX8esvJ6eJkDNQPhft2TvSWWuWrTwhgJm6bgONIL45PG04Mh&#10;B5hKEeQ3wm6Hny0qboqVbngjxHWCbbDURgRA0y6eNVVcOSElMpMxEXxSlX4wisGJDTEt0hcrCGXE&#10;eYQAtvldSWaMTZ2Zy2kDMbrEkPON1TAXaiJOOLUeq96NgVWwzTx2jOLAJm1atrix4TUevEuBDxUG&#10;heL/eQs9a37jXPylwpftFzRLC9E2Hj+N92378dif+0PUtFmvf56MiOdA7EGkzs4653WcOwYq2+A1&#10;1ENFBY2kJ1jOKdEQGaT1NH6XyJkMBFmj2CQxCmdqID9uVp9Rgk+cCw+nQJT+iotFn4BQIOWyo9xC&#10;I/2xhz9jhISLHYycA7SghzXyV3CwalI0bOcp4G2+WR24tYhKz07kMsW7eT8X/ge/vg1hnWsceAZV&#10;0KDbne54GhKG9X7s+ym8mXXbgcRIDNCYWwiGfKZWJ978w9JZrfiVvOezbdtIFrH7KP36SCTkhcYQ&#10;GdWZStSmvCEwg8+2smQ1WqrMCQLxrqpDA6A968tshFAPyvGQFpG+KSHb8j4rvTFeWz0Zi6ZPmPNJ&#10;xNs2NdL2x/6P/6r5uapnXLpt355vGz/203U1piav3kjwhNWTaXEa/g2JULpCFZnhsSm+dPiqlxRr&#10;d0+3sd3dJ15y9A2S+TT5qx/c/SjdTO4o8pw4qu/p8q3/+c37li/LQsjhvtaaOX03Ao1rr7zW60X7&#10;HDkerJvT7isn/q7gz1EUeVDFZ0CVjHWCV1autA9LJ5Yd/uLIK3ZEL5EII5jZF2mZSW3jkt/ktW/F&#10;rfzFtJhuUfJjuRRLtUO7eJgR9WKKSXvWjvU19uFCjUc2nmP57qE0Do/lz9pcvgxPYEPm7UCfK1uj&#10;m/8dVB7BKwkQ5CiE0vxHSU/2TkN6Cw84jQ38BbCEd4VCaHqkjNm5kr5RN6EjvDI2NQbB0tmuXBO6&#10;nVhO0/dr13S2hIJ5PRgqaLLc1uUPJmux2EL6tCy1G2QmFGrDBlDY40QriUtYn8f1+uRE7XU0Wblj&#10;e23rIuq02pnDvcK5VJ0yaqXz5VQ1TB48d3641QduNSCLbOzMZfClKdG21X3vIt7wf3MXYjjRFXZF&#10;Eb6IYvgfvf+XmUsMF60pEOLO1YRnu5NSI9re8XNwNNFcM77yj7n/QdKSdMA9Q4eWw9iBCa7DSaBE&#10;n5vorC1+vV4SG3eZSGe14bPb/yYcxrKzUtRDYCEHAWfeH6VEEZVDIOqeMJSKPTxL4Z8qEbKjRxVf&#10;T5azMB0xOmVnQmt7D6S9miVzAyDPzKN9ZqecAWnyEzJiKoMvEyitm1MUAd44Ps5FsIZDgKQ0gLPx&#10;vtpr9CAo9+FHrktI4jN1DZJGc/I1GthU2YCRVhg+jBJtHnRar+qnz9fJs8aw4aFl5B8VYGUgwNwj&#10;qKDBGywa6vygTqI7VSbPH3u+BqMnDHlwvV+S3uys4VCou7hk9/nFNnvJ4qQvWwDuDiNzdBJtpRwA&#10;daKDeWaJ74oXGeUyvv1UfKkWNAyUf/xR5iHMyNzMiDH8P6wbCpZwKGORaQoJM2r+SM+kpGVOagMh&#10;lq+0pRjxcNN2yZdXysDXFJ8vYX0jGusjFB0jrQYaXTJZA9z8Lfg85EyLDlqj4TkW1DvfOn1ftkOP&#10;ZK4KNH/3lKcvqS3Xpivs7CIxIlskhMKYdavAkpzJHsEcDcsuhHywo79CNJ3yUSI30A6laxIk5BPL&#10;2JFXzMDo4YIwtWjcUXElr6SLEr9kzUl67MrBcbvr6L6FR6lkreqVLzx0djbYWOyBGtA41+xZQ34W&#10;zXretfIG6Kdc+0jEjeLIvwS8UdmIq5KvzWFPKBqe+/6QWbDRfy2NXd1SRMw07hM7hIP46E6WJO4d&#10;8BiwmS+FURlXJkJunSPjhnLNDka2I1R0KCnBqnQNhZIERBsiNI10tM2taDwlWxwJw+JThUmTbcOl&#10;37D53i6WZQQqxGoEGQCynVpu7VSgZN5z+eF4WPjKpUnTQI5TehTQj4Ls3A9O4eDEYEtzrGqUu23x&#10;UcXAyTYuMyXFC5Wcpt4icuFtf4woFkkZlrlHLB7UoJDVaaxbBSDr6yCKrNpZPxCDKXc8Y8zxTokX&#10;U78fugTofj/+LE3JHqO41/f7bTAHlELiC6tgmEkfHaGL9iKSiG7spHxwfhSKZR7EdznTI2YW/Qp8&#10;WeT6C31WFjydFUxTAyayWrJqrxxoRnUeBesJafmayGb2CmlElYGZ0YA4ZZwUpmKTgB1r25zhzCaz&#10;5HKZhRXL3hVCmoNipTRpnAnS9sC8bRBYi0lbQiQejd0k3WCExk7b/sAgFvNCgsS2+WXOyaYfHGG8&#10;5ycfdNrqhf5hKCD1NW2FX3GgtGt8Xrf3sj0HXbkdEcd2EDC52eh8NMlELwRKxiG583D0mNUzM4G3&#10;7vZmnktrqWDBHB/l/Qfel5pbbB3Vx5PJGKSSFh3EfUx/gT2ffkDfhq6eLLmdUSAjf9VIZY9OikbJ&#10;/RLRa6K9ZmyBOVf0W/jQxiXJyOv+VfZ2V86o7m/XZvhdfUVdr0HXN57DsHY0fCeOXhihGRMyKV2a&#10;FzXZwgLoDsYN4pnj3HGnJK3WfAmSVtZIv+XYjbOMDfkmYByX7oEZqCtne5Q1fsi32PJSriJ1CErK&#10;TV2u9ki/jGq1LFqAL3JxtufyDt1jPCWL6tovdSSJqLYI713e3ixm9vUZ1nrD7SxxgZd0b+BSRvKU&#10;uqW1wReFXYPQUAwN26xBSFskIulewLytywKR2hWlxEOtQmSCHQ7dDX/bzsiVD5C3FCYuwpdT6Csm&#10;3duTeXcOIKyVD1sgvLcdwzgGdO9YFcraoVXPbWU1t4vyx2VHK9ZfZfGiqUxhcGc2+GMkhzGpK+Dy&#10;28U//IjyRqMnwoPCg6tOH7e0K+fIqC2dh8X52qrN9xWhdO5/fwAtJklv0dAqI94hkS6WxeLPQAoM&#10;+xS55vZb2qbZnXxtZMipc2CQEX0jHnmoE6cKe/7tc6vFCl56xznYKR6s9mY7pEuiGru2uNUFDg1J&#10;apKIAk05R/KfSR87f+Cf/0xno/jGv2ilLn/bAqNN3U0Os6y4a8S3TnZ+pjXAm9vq50eNyHWFdGP1&#10;Q7Keu2dWYAdW3tb1xWtiiFWOgBO8KIi4aLpLV8ygrmq3nXaMEFoLgeYSSJodPfLRGxvVOQxaSSPu&#10;rW+tVSg+CpGDm9NLzOoqCHZws85NBapOijsuuE8aMNPJUiSQ7TAzm3vbo2gqwIsFHSbug71IAIgS&#10;8IVanM1GX4cO7UkWHlHDV97fiPuQWJUZWGzb8iku8HKc5yduEGDsNvJwqgmOubz2rasNxzeY6C+C&#10;HXkeMXuvZ9uR3Ns0G+JTtItAh87r//Xft/cf6Ohy7I9rvT+395+Fh6nDmQedI3P0JD4afFFPdpI0&#10;5N0kWx3G3ydhIsI0qO7OkkiMfC+W1u7kmK/fW/QWXFIlbXXJ2ByUdesrjhw5DPm7k9ut0QgwFFOG&#10;GKE7a6xHwhOHtzoQhGu9hBzUHbr189mHDNyXgTrXOxvGIWYn20V4Hs+Yggdo3LfQsjhXslDReun5&#10;fEw4+J9beGb5gdd6AUI1evD+Uu6WXh/1SqjWKT5OsQnebI+O46nFGYTZ4z36sXKO+CdZmpQRwxHE&#10;ItcF+5/di02C7HVFXBFj3IwzS18y9jg0qPO4hYLxHTHlFiuKvvcZkWkv0FguxklfrXWKw+av3IPF&#10;/oSDm1p7+nY/T/AfEzhcdm4+6saybxZD+zzbPbb6Bhufd1CETlB8TzuB0N61KG47miBFo4jU+QXz&#10;mzdHgGQP6ahiUYc6LZyoFJvNtDkkN82HHOF/XOVh7m1twzNftds9K15JNe5ASp2ysoV7Cu6oq+Hg&#10;50Weje2/lV4k+OeORr6/UKgsgixg2S3m9HWZ//GkeUDEMpVWjZMbmAqqa5JCV5a0HvzKThO6/NHU&#10;+bNFpeUNYcL8CejBtvEaIg/gf4qGXpME3YoVhjLeCd1JQ4K7zl84P6B52T4/P9Of/4O5TNtfYRfj&#10;P/yJQFycAvawEF8n81icJFJrg/62vIQBMoCz4cZ6yvlsTgAd+XZkZAd+XO7Yftm1wvlMtv4womkQ&#10;E5AjpnsIQq8m1xKadufPcDvddmNGIx0a24YYK+okXCgQKZVN/VVI6JCPk3tA5frnQpXuiYz8PGLT&#10;FYA4j/LHR597G0Qr87TxICNt+GGv9fV861WhxWp0Y3M6USJXCFjaoaNhk8qX+Bir9HAggJldofCW&#10;xRO0xmaM4OdNQRNdLDEaEgax18qrmNs1f0TxlJ6bbmVgZCJovNdy8onPzzdsfg4nSuntx7Y/KVIa&#10;DPnScy07Y7qFlkrwjFOWDst7AJxOVma+L403u1HCFs/jDn5N4/fQvTvzJMdxzufH4Ptd6hQfWPQI&#10;XS4Ijej5LHd7U3zCymvKt6QxSkpJYXAfBgPqGMKSS4qVZTFfKM4rzzfG12QIWSJu11RUrZev0XxC&#10;F0fXoaCMcaUnqNQbNtOWOxz0ikKPH339hkUAgQFMkv4cQFMs5/UrUXNdBb/MlSd7IUjRookGqAFj&#10;cb7mQiAv1NpKI1NgbVKCVVY+1frS7uXCy84QeXkI8a0ewrLwm0ek7VY7okpP1XybU3bZEY3UX0nJ&#10;C2gy5SErNwgjCA1D0tA8cZZUoqIvrMn2oo+Z7QwanNSBXhXuyKZOD3fGMaNqNicOTvVET9+MCw8l&#10;fFPNFCh61Rsa+8ouW8badQpjj8ip4fGaNdyml5Xtiq/RlWPbU3FpMceVXz47pHCwToJ7iRL0tfXi&#10;KjChTirzdGLzBjQnx0zrc6j5k+XuqLJKDxl78QNPHNOxLKqhOj8XHNG3Ko8UOlG+9nXEbBDS3K7B&#10;D0kjHUui0svo/XfYE9hpMRgX9rYjNxhpVvLJkPFfleqN1Ijew2BaI5lRkca/W13uOWpX9ZQu+KEP&#10;whqqzpV25/YmPUiwCikmK86XHnVdX3rZEUdTi6mwwVjqRgcPfn1DOgSc1yVrWJ6d4ql9Xk21cr0F&#10;FuwrwJOLvpt/FF20rIiBeYbC7KrMmml7NATveXKsRJFEJ/sQk5CObt78j6DsFTt28cabvMjKBJIw&#10;lWPpc1xQ3xv+g88A5EkQ46B0SxH3w74+nyxOFZJSLKi0qvtz19wOb2ijNpznTrxanNaYA3YSnNOo&#10;xswKDiugWNfuBGRMGlsxW/MUpWH+7TwW8KUyCpnjoLkCtQNV5NtPTVBnLTsPUPM/KWcrq5lFXN2g&#10;VtyyphfzRoiS1MADK/MR+oDGRfeBhZ8RhwrGDn6KWy1360E0sr8E+91MfjfKS5Dv5eYz/iBuX8si&#10;CgfDbLv3CORZoMSb1Ws4M9ara0TBlhIaD2fOXii1nK9sh2S4rYfdaAYU29C5GquwD/jzmv2NL8k+&#10;IrypjaldmQtEVoKNPN/M6ViQyBGhEiM6kBbvlAW17ekLZCw7zMU8UdW2olYvII3YOSmsbsNBcf0S&#10;cSeODX3QcKHVDTry9GcY59utY+sebI5+sZUuoe7KJ0s3xwmlFio+ht5/v0yGlsIXE8Bxh23MK0iG&#10;g1jTv2PUh42QLMGk2NUyghDGpm+nqvBXa5/H8SJZi5CLTPKLqnyjDTaiLDt0H3gSzp4/z4O4+9Yk&#10;3suDidRSLIg0Sz31pvgc/MKdG2qJjvSJDB+1i8jk5Z+SIkgVHu+TQ1jLUsJ9Wwz0pJBIjVMl2TCw&#10;Am+cC8RQIKJTPSSCdYIYnTLzKccROK+HSM5pQvshK2VHdfzCKA6zwHf2sft9pF3shuGhGHNBfjg4&#10;EZ40LO+AA1TkNuCjA2ubDe30QnRvJ3uuM7OC8OtILpM2RydhPpWzHqXoiK+ZAK7ObbxT+WJ6p3Zf&#10;Vpa0x81TfHP52Bda5d7YWDykC9c+VlN0iLZzzx5zK+j/J+xdtCS3kSZNXMjILF36v5wzZ/b9n3Dm&#10;75YqI0gAC7s4yEipd9XqbqmqMjOCQQJwd7PPfM7DMP74inMxpSWd+SVcZ4uck1zpIvZe0YBWG8o7&#10;WhmZeQWBynokUquQDu1MogYsOuDSdPMJJDiNuhj0ND88kyBbZahJMFo1gRbkSfYSuRzBjubaoQhw&#10;z4fpFN2BQ+K5B+T9I6g4dcOLQdjQQCa78ik5f2Uq8nyp1Wu+5ENDJ+oiWSyT5RP9flQ+i7pciy96&#10;YRSRnuusDhDexPlyBCAlSRAawzg4L/5BPIOEJI3ZFEmK5U0iCUQX4ds+HQahMAo4AuF5GCSj4m3u&#10;HPSm/vFZf/vdLm2cFj7r7/8Jn8nplY3YiqyPjHdyEp+oWNlk/QvLxIj7gHQoJNxGz93Imd3Zz/Nq&#10;Vte6C7KSAtOiY/4iWbwHObyploVo4JqxPJU+/5fYqYb2r21teze1/2oV3Agii8QoEUN8l7u65frh&#10;zsfe0WzxeZA/o4nKerdxfO/E3n8q94WakPRSRYbjHMmq2fuAcM3P8LtKRazEwjG8g832mt7sjCti&#10;aeXJW0yaQ5igiiTdcnhFDRxXdpLqwLLcUmPFU5l/I41z0rjplIvjav8OZr3l7uD4skR6F2Hc5see&#10;DfQZXzTc3FvXzCfKD0qtKLVftDweWQvGF8J3ffBymEuUxiuOzoi1qwyFZ632hVDA88+5BbYDceei&#10;MhpU4OgDn+upCtnZ3UAaLSd1IRvkoXiYOjUXiU/MxQv9BhgYbKx6QrGwks5uznEfi7zVK6lAXuSN&#10;sT6PsgmryvateHgUjxSJO13sFXnq+XLVtXKZb/qspjze+2pmw1MaOk5QNpKZsFExiFqfa83Or4hZ&#10;MtaznSc/ccsEEPcakfNr7k+IF56lNp7LJzK4Bz1SGLsU1mot+g+NbBflvUvMWXmUlgSUl7pJRTuv&#10;08uKzDhGQEeIn+X2IzS+8zN8LYCgJVA4m16OkG/OBwbrVbkVGLkRaY93lRX36C5ItEaAEq5xbkFX&#10;BikNHM7Vkuq7+ae7C4TyuOt5dBchRyjmWIdqj2yjM97ZATCSxoBZ8L0qg+8752o5NBXlGmXPS/EM&#10;6CgsFs43gbSFBfZxqMiT7YX8lh0QQGkmCLbEPkRjH+Z2HvZqIgtlCIU+W3bSamX46Cymdo1p4NHq&#10;ytcsTuLhiXM4w2glb6LZwTATjanZqZiHm85Mh+D6pzjOSU6GH62T93zp2OwRJgW3BlvTmk6BGMAn&#10;oqLuzK+PT6pqeQ/PUviXf4ARc7y2f/x3Cd8LZ36Psu+INcSDgFY/wq7lV8aKjJ0fMuOh2NVyrjGZ&#10;yDa8jXCGxiXv8NqOUt5C7PysrbFzumqxcHSFPnMo2jKlhfRcLzN9UwYGgizMyKEYi8l2IH/DVXzh&#10;3KO7EbFLrlLW1ETuLY2HnSbQi9usOkDT8olOBeVPFFH0bEtFvZknlIIxZPdZUp6xLsXq4Na8QuPI&#10;9szjIk4bY3Of5Es9NyTXsENOD+22ysOxOh78tzYu9Y42IYZrW8J++1jMIYwDxRWiqwJPxEsnto3w&#10;f6pKXDDXKHhDkdpiM73PJBceI/zgtMxFmIbPhppvxU7sL498qoudk2g0esz73JbHLK3t3Cx3aTGw&#10;SRR3KuZDj4nE+UwZai7KSc5htX0cU6VbKmqMNw9LGs2wi5YRiYkAgQy54Yj7zCuQXekIRdyjEh4j&#10;ulKpIuvcUYw/w6DR1DTcgvrIarLtK3ZztB9DBqHuZXfznlvxfD4/cZjPX3yBc5XZyTTWj4g2wNho&#10;RW6cqTAlQ/1GhG/oDp3PMzYwp68L3cqOLuqeeQM00EOZCaf4V92DmhvNwwaF4+3Vu8Q7ekqY3Upp&#10;3NxuaU6fW3zl8IaXbhP8YdbQHDCfEkkrTTvbSNqFHXiJxcVOabRIuArfyUbuM5QFLLM1nn33ctv2&#10;fEwAl1nR3jbRMUqqc+aER7tzI5BZsDi1YDF/NK7r+FChQOYYZttxAx8vDiwZoM0RojPdFilSPhpP&#10;+XO0ZOkkQ/A6JzsIaSUR7Xylhcgd0ZHlAzAEC0UTdV6ej0UoRgQCfeTohDd0dOu286DEhCDshgfU&#10;ZF2RWAQDjWYY4dwj4YY8s1Am88gCLc2WYcJD1Efjp1AFkYeTocNNWB+Y2c6X2ii7nG9+29FsaSeT&#10;kCmGh1KmU7iXkclX9iaRLWWffX5/5QLb1Uh1jECZ7eh0nJbx1CmN/8ySj/PiozqvjhbU7lHt/gFA&#10;7o/fPFECxz8/Hj8+ytZ0m1HafbDxvrOV+hU0fwJfmtrUxNViD2pcSHcm7oiXi8D3e6EWKcUX03Nc&#10;W9c9lkCaim81X/42t76nCOnPOqE75TsRYeWxiQx7fW8LUbwK99UnjANeWmyXcaWEBQ60eAt3sJnD&#10;X5E2JQVmXkv5FRiQb8XlykS6Zw1GZuk1bNem2Pu4gdkEWisr533lyV+RKDTrpIgya8HP1ojNCFMu&#10;Y7srBlPRxoo4j5F+XoaHLD6yJ3MOkLlg3tfwsI0gQptr683xVrurDXNz/3mF8rsXZ/qz1BM7U6cz&#10;luvNMlgFTTtysh2iZNdICZErg8sz3mYSLLRHFJENO7zvWals6JoB6Vncs3X0wppHupKT0Z4Dp1wi&#10;8UknAuVmvs70PM99o0CD3dN2fR8HBHF8Vzt1c5Wh57qxmj47NjNzeAwU/lkj3kHTLEWffzE3mjrK&#10;28aTPGoY4YlRo9VYcF7xD+WDKtN0VquIy0G3Yv7qc+hYg7rwMM6UfdfofJ66e3xSoy6cIbEH67Ba&#10;fObqwHYXok8RL6wifr6O+RlgP7M1AlWm3Rqh1+pxqI1Q6ehBK7SP7WR6ITFN/Nhg0zjO83g9C1zb&#10;FpPb89P790HfyDfrryay520Ek4WckPuNvDk98HRVzxvk+a/+y+9BjyklntUTRepR0j4CohzG2uGp&#10;eFoaUc2dRrHCM7LRuqUKpYtAfxkKMf3Qvmg/RcXHBSi4eo1z4z3K3Ks3RiJC6LFn/UPeMVZ8/Wy/&#10;/AfuurKIVXXWPfYZsfShxoR90e0z5edg7S5Bzdx+Zj0N3YDkaYxrIFYTLSO1EJGX21sddJAzvpHn&#10;CfrRxUct2VWvRja4dhsSIfAJVYb0zu+11VREhK8nG/9l62hmdvw6/fX59RTjEUvCeWxbtW9tCXjO&#10;E0db4EDzyTXiMZ8RLkSnV9350pFV9vr8Lf/X/97rA56Z+Xz9+LX89o+dOjclFsljIsF25aJy4KPh&#10;YmKt25V2bJbzNSErKd+yF4ZjBXp+b/6NG3FyRPDeatZfaKm/aRWOdwxoN8V8tSQ5/yhjaUNuRgof&#10;0TSju8HNLPAvV9/Ckr5yqVYdn+5Hx0NCF17LTJ8Wrnmlpf/bzIm/5M5f2QxRAo63yxUQ5tBz5zvA&#10;aQk8Q/olCir1q6P3Nm7+yuYjehpXgzFfVM9gRxs+QC6t61d1W9KKr3CkT9BhSoAvxp1pF+mA46KS&#10;r9POTVyn6es5TFtcqpwesfAh7h+OQrQLOG8Gg+dlySwGoyM+SX7vzqUq+Vhg6Q2ykHqbm9ZXO08F&#10;URKN+Zz/qnetxR+6PiofUJnBwc192Yg7rPvchDTZSkxUEJZdHAp5hhpWIbRDd1JFwxWaSD2t4jsX&#10;6Q+53L9yehJQs6MNUxX7qra0injpPNAO4umOM0yM34JfgxhFlS5VkXJZm6KZPgeks52NanUMh8aV&#10;jdFw8u8/oPZukRDpru8Hu0GwMZCk1mmRnEvJ/EA+avmogtvhtuNLGjIhPVBeMw5egUdI7IPvsDIl&#10;ju2HsW6IEk7zJ6JwoKTloAhnmoOh7epL4zN9PfOs3lNAYil8fwOb3cbVy3TrLVaVuTXXUm2k8bbk&#10;hC9r1iTujejwsLzCI7y3I+LK3KwKuQdKAk/vBlkhBIVW5T/cgf5GR6fbI1GY0gC1S4lklyoXylzJ&#10;If8/OE4TdUwp71lS8vmBHR+/qBucmDYMhwmpnsxwAEqNrdEzR30iFgHbFR2huAiERxtzaNsDb2je&#10;emfrNucFVZjoMmFKNX7S+4L0puETwrAtV50G5msgKQ03JpRdD35eh8ii5OFLWY8JKJohtZZlvWD7&#10;kYR9OOsxKkJJ7dAlscuPfZ8nITaHSzXoEe1iKDO7lenz5im//0f5/ASmDXl9+3j8WoqDdc4gD5sU&#10;74RtnLfOq0xTHcWuTIJvZ74VxnthwdlKbH5lpHoB7f/SftfyRruoaA1Dq6zAzXnpYvL3c9zaFbjK&#10;tBzVonUsNgUWT5lsM1u0vGBULkWpfNraGKX5W/kR2RJXdXv4EfVQxij/U+dU5abY7MQ1iavNtnzs&#10;WWY+9sbSolePlbq5zFLG5N94uWayBCa6x6iuhLEw8l6rQgdH0DKjtYv+ml1Q8axeutFwE447BoZi&#10;kkoFUQvMwlD936S6VDru0tabZjby0jjGE28tQF6ggrRwpNYfrZwqy9nMRS2W+nrUdzOTRG/IfbCL&#10;aaOfUB0m4S/i8x6qXAgQZC7GdGo+qbOK+vM4/3g9kXjUPFw9T3qErRh2KghmY65J9F+7N/VGDnK1&#10;5o+cj/LBN7JjY9tWoVjco1IWHZwMQGU0lxKAH1Ta40ePgxv9yrbQWvFJhLzKNpscOskXm7W0zPhQ&#10;ou9wRLnxnoTW2ZSDF5maSZRuRf8CtWel5NK6/p6u/FEhlvTJnRwAzBd7UtxYZMJICXlPubJ+7+S0&#10;SaBU6JrCljw3uVmxfeDNtlssi0T3/M4Jl+5wKav7oTzktWQwIV0leDcn+MgD5pK5yb7g5BTpQxya&#10;C1ARLqRLcT1u2dG24Yhx6mbNtUo4hp7QtrlQYp/QibMs2HToxloJ9TKf6+Y0bnP3Fkeb01lYBvjp&#10;KTUuRjm9BlNQY2J63r0p8vUTSlKaXi6OYfPJ3LoCjDh7G/aMogOJoPO5l3DBUZZypeoEpDPqGSs2&#10;BQ7AdcBD9TxLrE1bNE+OG0l3h8PqeOamDazrlp6HF/RFk91QXY4XKzcKFrp4C+jea8yN6rATa1qx&#10;C+qCQ0KKyQu6poTFNOEcbcPWWUEj91npf8kpr6Ei8iIKvYzF/d5MMa2sDtVuSZQi80fOghGFLL35&#10;6bd/JJk4Pj8SdQODN/CPrX6BZDsIsYMXdnA2JCwfFbdZRvgeMkRo1IvkTmrtpJLuI6837+i7AEsl&#10;dl+URJFSw2RqF/udJpbHBW9xbTVu1UpMmx3oofyJMt5JLZEGGazexZtZE2jrKtNNeBqRQeF5MNPF&#10;jfuxxuw6UqmwvHFyLy/8dxY8h0A82+YodyT9l/KiMjSnLuvR7SpKCBb+V4GFHVLBml0K9btXWVG0&#10;/bbnxXhvJfLcqarDolMN5bsdde8yujCfVHEH5M0LpE5kc17smHU130hp0fvi2Enah17sATLW4AKG&#10;ew6pwEx1u2rQaNZAd/jgxd200LL6MCqBhdt19fA2nwCBvr6OF1j1rVmEZsL9uMwgoYpNy4BDqcJL&#10;wn0VZAB8V4IxnOC4Iu/1VCcjoYcxPRJ6rAMZt5KSLzC8nLMtYpjUkCNzY4RThn64uo2l2Upy3WkI&#10;7fM+L0pAK5MBrZ2FBfPlZ6HpjvrOq0YhUJNwN6bCWCchNuGrfDKe93OeCRjf06zmoy0ZXoTyiFQs&#10;bceSDp3kYm40nySFcshYQOGr+rTzV2Y5PquMD/ovm4kwuBwi050IJmRZOfdrFO0t36JPhj+Klr7D&#10;iPLKcwnt13Xf3+hF+VvyM4Lxji/j99x8slOvt2YyTJjwiK6m1HAu6H3RWU3q3iujTSB8lWM9GRBp&#10;VbyjdrAkMqBNVLw1S0HZlDe9PiBLsmaoVAmkogLrQPcP4UE0JEe7WGMNENham+/FjpcepwJJd3ra&#10;HhiM8X1hDFn3HqwomWREJc7n0bZHJ0d33kgbDx/q4DOnGQAzzY+HojAwMkRzABsOpDREgGnEwJZG&#10;ghO0877YA2MrCFKKNjUFhhCwAPaT5odOtSd7bxr9EvZofHl+bTv9EE1BuM3hgvMMc6bf/nP/r/+F&#10;22nbyuePj337zx8P6jlxfDj5vNdsa2llSrOCVYn1FSBPASIOLrDisnuEtBj5l5Ns/NV0qhWt9Vs+&#10;QzQqgAtV57B7hPINT3kLZCrhjMuhVvd4SsJuxlMr+Hi1QtUdpVal9vTWXbzrSxUvtsIaIv2krDne&#10;HW/o1MJ3dWpeqOzAPeTvhezI0YjJ9h/Y2lEX5OXm6rfKK8yTIyLf4pCxmGgxP7iq5FjNh4WgORo5&#10;Paq377xS/TwmJ/VQFuUroTCn9JZYZemaNiY3+s1YKxf2dziiICI4nGTM7+IdNC/RKpu0OYwxCx8n&#10;doMs1qwM9L1kYSnmk6Yox51mHl2prhrx5Jn6wcRzCV7mWj/rvz/P80VMYs++E3lE7pyOe7TGrmVd&#10;hjsmOgkOzYN2FehDB5es4YqCAhTOiLi7phnQTQgaH42ChueS8MkkWHP7hybtlZHx2Ff0sMiY8WPf&#10;PrG5q4RaSW+axEGxYwO7jRnQvtKObECndhdS6gdpMvVrSJbhuW9atFOccytLVeywmxPA5oGhz9q5&#10;ovMJhLVakPOjPXmaEZ5mfgoIFm7HvOCfm9L77DLTU/xBvGQDgFvgsPRSIiNPbZ/7/gGNBrSgG68K&#10;2Nnzb0STp3zlMUUu1PiOoL3LOAOTMCL4r4Phs4RjKwisi2Yl6k2kNepx0dmmSs9PIWPJQXnJRsGV&#10;AEs63ozHCA7Ru7LJRsg9BZLl6blw4NKlJEdUb4OFjuYl9gPP4TOcs22Rt1DKEp1Bdt++eMDZ0/6j&#10;sj2Ih5gkJWsg8Cd7vEErEuQCFLMnH0+R0sL9O5zxzQQOkZX47uurlgOADqfbMM/0hB4QFvWsiBdP&#10;Kc8Du6nyT5SnqDRU+evnbQMR79w6N5XvnfyHhsR2Rg7hjPeR5n0OGORrsHac+3cVWh0md7zKFjbE&#10;Qqq4Tqt7e4Eos3/mx+f8wrLv3Bnq+Pjlxy+/f0ZxNu+3z/l2mkdwH3UemnFDftb6wBRzfDK3edf5&#10;dURZksNLEJkkWneL3WB9fM+rXbFbZX3879xIUcgch7Z8L9H9ih9T3shm1xSv3PCc4+04V1KkJsUf&#10;KAyQ5D6eVyxF7G7BUxwhnM6Cuuqw1o3yiHNnX6rLVS+a1+cXXgQcsOlH506CqlMod3KExYwlhlnG&#10;vkykG5bhlVLI4FMJ/djI0F3uNIzhFpBmqDZB20GcbqBqGicir0gbMu+aSt9ki/Aro8SrjPw5m/2s&#10;t1/kxM/R+O0r8lEXRxhDc3a4CiTN1bQiDD9d3Zzpq9y/ItGsvC9CM8OZLixjNuwnDuol3bw084uf&#10;QCSnn/w29L522ek4yctsUVYpS3+yEQq1GiX1CBCoYmx61VPNqfXjtK+MvVlCPwuCcIvbHRCDgEvf&#10;k/bOEd1/ysc9wRM1jFD76PNDsMMLvuW8TJZ08edqbVfZK2Vwjo+gTgRg5SLYoEX8mtCX6ih5i/gF&#10;+BbPxUP8xKwGbjZJsJbS41TEUaUznPMs8jYdMjbBWuOJ60QpN27vmA5i/gla6gn7FIhQJ6wU4wvy&#10;EByl7dEMzJgxQDznUkSaPre9lDVVrXTV4ozyOo4/j4MDWqbKYZtsJTwqdIghzRyWKmS5nb7Je4/h&#10;w7DwKeWl1O1r0lecaK17qrsJ36/fElP+DrdITrfyNwhYpU4fkrDOskPWEBW7yufSFN3Ul1ASrBoB&#10;ela2OnsKapbWita3c25Lrcz6CZpP1tYMbSf/OvtQqNfQWB6TWtLaqTZkJd5W4p4i113qC3EPHcv5&#10;6oKFDsHP2JLpNCwRhfl6/Jhfur+eQ2BacbqxhzWK/ffOeEfV4hHnNheRqgcD/VKevIYlt9D70irX&#10;wQulOQfy05J9POxHJaepKSekHVD60Inb5nvZPgRvs6GOD8yxzY++o+zjuQr19zkvUAa1DP73j/r5&#10;i6lt20OIgC0xLir1H+Q06QFuMX/hUMHtzWrgkbYlXBg1hxRK1k1WipCC8fcoFy1YV+30LaPWmrco&#10;2nx7LazxBe7J37yA+VqD0z1K3urEIlZPiSj3rJDAW6v2dmQMZ5zd+gHEkc45Bl/rZFkczuCYPHOc&#10;r7btSN9yEXTmR7uCfkyhkjyqKPk9uds701Bd79SklXEYwW0Oj3ZF6M4nN3vqKWyOjvi/sDGW9MZ0&#10;ua6amQB5LLiStWLZTWZsPwBNUcjAvhbhZmFd49nUMBULkbJX0vBMWzp7G/EO6f3WgahGeJXvltzd&#10;FgmT+9WyzvnuxtR3iJw5GVGHWwWU648bI0eLe1UvKM2qolOvT/JEnBjUxOKXR9wzZ+VFEB6M+Crx&#10;EElzXeo1ujkAbHnhyeFNAWN+slI0pINGSTcPVu34EFFno8jk1NmIrZi9ODVmvmPVbfgIMFpDbnAK&#10;65gCSAeHSju25hoJjg5H1LZDihgwJafshpzMxFNKv3KHh+nH/nhw9FlIzZ7f8xjjiVUJy/XPs32R&#10;MQ0mS29wMqzqwVACiFx0alGabrsqrRztCRRGOxLjy2YibNeJMBmSMGoI1XQeGPK5rhs1Jhd8H+z9&#10;hnBJCGXJlKR/ZjQKQzr9EG/3RGidblBcHq+8lOi6cel+sbMey/cohEV3B6MPB67amyVKGb58VmqY&#10;WnUFVjrEcWSvneKd41M/W2B8eavzVJGdn0d/GTwVcjX0kMrLz5Mhip2/+PozH1/zAMZXvHdRqofF&#10;vrP6GfTp8xJhlR9espKzjx8Pwcc7oPxSTRaU2rDD47Oc2xjZb61tVWIoKIAwcMRsD7uUXtLwtIHh&#10;CdKAdt7jrXhN4VqEcfaWrmzPjCIPlX7LPtA6+hFdaNgzGjqodHzCKEPBDh6e7OTI1/4wfqSQqQ5f&#10;PJGso+2//l4/PrHqzvfy+KF8tx9o1FPAPL9zTmsIpUdy/uLO9McRBoKzNbAXKAvYsg833khCmvBm&#10;d39XbkY6gdfrNyVnvsUE+bxUcrrZB/O4kly/VZORWXzzGWZHvqZ8qTsjRl1yjnuggfedWlZYwCXh&#10;snLXAMwQlaT1qVkG0/N9670dNO/FXB/LqzbcIx2q2JzMuToOMbUs+j+fmbzT91BtrniH+LH5FmTt&#10;lWFYPj1u3spIQwoPnna4ZF5I5cApSMqhgbAsRUdP5+EpZwduLerg8zJEyKQ94mSdcyQea1nPN2c8&#10;zsU9xHieflWNwqJ6KZ5iGazuMKZaVgbKTfeKn/axQTfxAeB1lt9ik3AvILs6uzMVDyOrFCD184Ts&#10;M1z1Kmot/oBjhKDJs2nUd5l6dGMCUrrBpX7CzUZTnxxcsp+zdap4d87V9Hmr4B5iXOlPrbEMqTGm&#10;IefAx1dpIKOhSRT3pt4VZm8J1GDO/SrbPEm7n2Kp5wv6rIVaSriaKgO3HiFxrjGLZX0IPee83g/s&#10;eboHM70N5WjnvJi/Pj4fGN7Id0pHx8hP5OAUNEJVPUjEzR89oOSE0mGEuvrVUCnus9Jm2dlt+7Ox&#10;hekcEM7M3fdjA1VRR6/09Wd5Plc88LiUz+KnJHlXmDHiIIh0qdXXDO/bzGMoYoVgLO6Zc4l/fqUg&#10;AIjQh2vKYlQJPiy9N231FGq6q88ntnOQPKytKY4I1VvrBsmwR0pTdloishXgwYFc9lB27rKvpHy+&#10;xOMFVWni48NyIEQZ3zbPZ3VlkALLgNFb3WCzUfe+3CY0xTXg3KVg18OZCp8cPBXzw2BJ1M/H1x+V&#10;/M9G2cSYxWjZFNOdSoCx0DiZu3fuHufQDTaakdbd/kIHP9EmQeuBqc5i8ZlLjEAlDFAzR+n4I9ve&#10;6OCqryev7THvFQ4S4QZqlf3WFAyEXF51/mLd0dCZG/YD2eCI0qJJ/5ffP379fb7So4n3NP6k3qfG&#10;Ad7xfrbGmlSXoIKhfEgyn4DrFg92U4ziUggw/lL95XRFvqXxpuxPNwfgMuqs1uetxXmjryx34Bhv&#10;6e3u6/P+kbuF7NTlaZP6ZaxtT7TvMA7kyEjh6f8apBWzK1MYb+1Dv3pX15iBJJaiMb+S8wixzD4P&#10;ZgfP2q3fTXTMd/nJ0KmP3YIk1XpcGxds4n9S6XQDt5iruxn5eKVQXIrsO2lcxWtaqUkaro1ghaQ1&#10;w70COVhWQIXI1aiPiDvjbLxymeILqHr/cYEW4B5C/s3gtSxvokcLydgcCSvjMkZupJZSDcOwK3C7&#10;zctAddHMhQbYPAcE7UXp6Vjow+sqEZDOA79s2w9yLOZZ7+s4/jyPn7OGaQGvCfkPdwB2R8k8SxzI&#10;6eCiXVJVnWGKLpd9x1c4ju0NJU2hVCE76ajfVCWrJsz5TMwJiq41iWhkNsZNe3LrxG6UKj0AkE02&#10;Bgdie+bFPJlkq5Fwu/pr8jbRocygJR14sRcSzya0CCRI5Ic1fr4lajWqT7kolO1zmx/1/HtXFlqP&#10;XGIN/D4peiVAAKUG2Ko0MEQ3h2BrYcR1/4vkMhyunSJyhDfDMP+ax5D+x/9N7ck1qfnkYeJBN21E&#10;Zyd5S3ggk+Oeh418U3eOsSQJcdroC1+puqT3YGpku/3N8gt6D3Wwema4gm+Fh5fc/Lqq2ig53/Tp&#10;nLZwoHiqO2qRc2HV2DXLRBkn4kwiaFfLhbj7liV3acgxV6MXewR0QoSV1I/i/akYdwh9ZMVcEHAv&#10;wFw3ZP0Mixp0j1XuI8eTY+iCYm6j/wFgaGzVmZ9ahkEQy5NMZJjh1XkWeoSswEXOmKdAAIdx2uJR&#10;pNm8DNGz3ZOIxoVoCHJQ7m+bD+gIf+DwbH5bqng2TDTnYQy/XjiylbQKVeosrWt9zNNVpbIGyxUb&#10;+tsOYerca//7/8kKEvj8dX7nJ45hDPATEIo49eeJUK3ILMJ9yP6KEP84wHwAhV+tSqPilTqsFfzy&#10;V0DZe8JIdyh1vwQs8VePwKE1v/m+dZbv3olvUat3UPa4a04CACbnmAUmYyWr5B6jr0VaUFtuAT/f&#10;jIxRzKwlxZ2lm8OvO6DE9jK22qsHb+VCeIqKpDQNy2hLQHdHxJXNIxudPUv3I2FDTdZ5Dp9Mx10d&#10;NK6shzEienAZ7NLCjN/GfhJz61OoUexFqVkCzOP973TGcdLwTIUx4uUyozCjMNuVZBdSVZkHkExC&#10;yKBSPmq+83huahqG9aQQh0iGmFe07Cx6UPdQbSFZnLMsFt3GIbVCbEfHmtHqOWJjeTXm10OUzwfs&#10;Z2//PM5/PZ/a/DhXDHwsZvFi50JXuZMxHYJCE5Cc76NaL6AJplXZ7DU0fvsoGy8OValEroilVMRY&#10;zml5SFzo+5Ci1FmBLLKHE4QalDhCqB2tE4O6N/Dk2WGe1ChS3o16E4f3GPtMwWnj0LDgmmwhbI42&#10;9Yi3Safjsx264g3DPhm+8Ov0ceAu4oaa1M77ROe26Kg3v0YRuA2zIYYhdHSem/oj3emGjRSeTYhE&#10;LnOVyxbYnrdjXDDMNOfbxk23qf7tdTx+FxmkG81dDc2eBSqeZ4dWZoVBXEuKLVa1AtuepZl613qI&#10;AZgKKxHKKCGzUnKX4opaBM5QaTk2zfV8+swRNDt8viadRaQgoGJKldd1hC1LBhh66YTHpKRFmzph&#10;r06J2h5qxdTtIQJGcM8V1XSosuF5i8tDO2adhGkL0ot4a2NrSFt7leOgKKYKfqR6XXIwKhmeSLjF&#10;tWhdIEAcR0AaUxAEDsyCMh5PUsy3oahF7OhsYdIqRlY1K9IOj7+QWoV1ImcgZ2SgZZOzyorpprFR&#10;eFgyZSos+WyC//5f+2//MSTMQUYFbqBn67s090BbWHqm8QiduCBGlcjOnJfhk4ZFoIalxiDA4BQC&#10;+7aojpvE/Z4srhWdBZnHXeOvY8E1e/sLnv0N3fc9CP59eHgJnW9lp8fka/7E6VQP7T2pWkle6WBR&#10;lvGe5joWRnSFqy6v+EihALm/kqFYnO5TpL1kgTIa1eCkezB8HkENJI5P+2buN3zFsHyrjTVo/Yuq&#10;9Ma9HikYsGmJ4zPvjRDQch2l6pCn0cW0gDjWqs+yxOFa6KufU6rQSlJcdg8kiIPUmAcrBRThijlC&#10;11MoztZ5I19qVh2MinMuo1XbueN2xYgkR6tfne0eyHldCTI8JV7FZWrLcSJMxE2v2gyZlDtiU7MM&#10;Xl/OHnD5R8638wRfmcJYBaC2UvvksjhPi/Mj++XxqHmZGEmfWcmNHqvhYvDIWRxclFzXKqfCpLhk&#10;8z6dRrhUkoUY/sUvYbwAMN8qpz8oF1HA4aud811Inb3wDxSOYkT3EzXsiLj27C2CvWo2U93XOJEI&#10;35Tz1kZyhoxsxgwYYBSth7USZ8rJkLOOOzj8v6Brd7gi8qfAYoPBa4fl/7ERoNzh2WcbnMDTKlkv&#10;C+XsziHv/tasYX1vI2HU6wH332W6S461ZOZC+KSYByj7RGu2GgLgm/A2Nyph7tLZ5cqg4UzSBDt2&#10;ijrpXZzC8EVHG4k6cqXOas8Ih4aSFLWbAe8ZESKxTdInLoO8+ozhlO82vxYDgLGPaVY+ggqoQFAo&#10;/3ku3BtcfF9s2cgl0e1PcIksZ1tVnV2QnoEcqH685vbz+vxFyEZgZTh6hPaEfJxCizp969V0UA9V&#10;FN7Jvi+SlzcCYpiUjh2gyniKLdqgmSovcGa2BkVftc3aFCnwAKDxGXsBLz/ITOc5Um7HTRnIdChQ&#10;Ez4XMQS75+MLZzDYOT7T7//FicgPZJGAQV9OFZaz5juOWfb9sm8fDIRBzw48Mw2end73Gs5nDshJ&#10;10Suhnikjyu2NYc+c5SRrnCqiGk1wjUF8XX1K0se31fxEZORfzNL/Lu/8uqJxnJvKmbUMxIQjlAz&#10;qnhpegjTQrrkm9g+tqXheK7FQRuByqwOuc6XlyasW+t8qW9bKGuuAcJqlgMuLlNe26sVgyUiHdwc&#10;lILNHpek5NJvKS7jbfC47H/uIpoM5lX2SmHiiTKI/nhka46NWoECfODYdSyhBFCdG3aGaHlL9xKC&#10;adVJIfVXvnZekcF3ZdCIqFAhUWSIUZKFcERMaLRdnrIrdwV6cObkuHRS03J+eNEZbwi2FZis9t+P&#10;x/bbPksxTrDO9jra0fqzIYvOvDpFXHBPlUMI9nl2YA9sEl2AlS3v3hOTsoF6Fz++OFm+LlcNX4tm&#10;gTpjssxMDJTwkEx3nQSk3F9HiQRUht2j4alIjw1/82SayPOne5jCCdTon5zwf9T8yTJzY9T9ItdE&#10;MDoe2b24oUpQ4qgcYXahMGl0e+hElrFGwOm4+HlUrraG2cxGcYosoTu7AjxPmpjF3IdRq7J1dJRJ&#10;/Ti/4GRwemGXSHhoggjoBuoJsK/Y7G89RWA19+Sa/uY8nRyU0ZfkxyHyPbQsKzeFPAk0lZkKdCbZ&#10;zZl0BhVFY7yDIjB9HhtCSMYN2uOMnmxMGCP4ULn2PpbVz3VnbnWXcKMz1nVxj2UqK1dIQMxy2Dxg&#10;86kGy97jUhVIlDTuzWdDwo54mY5a/LAqu4VDGdpLZIDGdm60E3a1rmYpCXub4CHn3L22aMwQTrZn&#10;lpF8FOeNvW2fMvtmAthoYpkX7SzHC/GkTF9KFqYXqiW10YKiKXeQMywhb6kBZJu//ZBIEOC0+sDf&#10;1k4wiB4kGp605g1V0onbrzIUukG7ADXrPJA80o/f04/fYOr59bcY86STx6hftk0BRq+uxoPNtQWW&#10;ViULorv1RWnzj61yFepGTPL+2aLVNr5TOd/VlNeis7Ajeazsv34FC4z8jUt9B5yl4A2mv/y0oIau&#10;uM/rBTgTKzQzva0wdv0RjTfdlma8YVVCiPuGmdOdpefE6ZgRnk21fM2XHrUGhFk8HpFWPB2Ld52d&#10;03blL2WCP+SfXJF7vfdvIROrSVIE/iQf6y2QYvz/nQwWgrLk8OpcDO5ml5JJvu6s5sgristeVk08&#10;bjbOcW1mOrhyRWYTJzXaxh5KXC6My3snGlxq3kuKQE3jPsqR+gWOlmm9W3HCw1/oIOPb4RmMnmRt&#10;3dshf6sp3JS1UY96gJtooR3isTWMqWbt+PNoO4bz2BUgZckdm1wqL2xMQ5Mm9ccFiBQpsdHiNh/p&#10;r0YsxkC+QbWBDy9oZ17n2T0yX8kMRgCRqUFSdjs6Qp2YaR4AaS61vp2gpdT8NHfGAoSVe7lfi8Tr&#10;Wza5kl2gLNPChhuynlQlwDVVkdA0v8WzHZJocuyHC7RXwXuRxndCPsRUa8C4sCI8UNr15+uYi9mm&#10;+VFyuNILOjrbb4dKEIZxdnV3EUpVm3pH7PuihceFdb43zlZtdYeBRDxrmZ3dsfy7Eu8bInE9wPmb&#10;ofXKA6Or3YHGUlgxwWFDZgK9ZeJhUvlgoUlhr4BZGCSZRGDtItd3bdhxiu25LGEd3nB1l7rXHY5d&#10;lE0RA8cOYeY9qjS0fLE+eNBmIIyOjX3NLiWzzBsPpDW3n6QNzPIOyXeNtrkNShN4JGbpw8YPeZ4i&#10;kIlzVkn3pqoDDwyItNhQEeSAwmy3CqB16VpUIcyX/to/ajsKsACEeTK/uoGLfcIjt+3BvsBOjMsC&#10;818znHn+sMcv6fza9IDPrWRufiRcz6WongcD1o/B1ybKEm3yWU2gjaXDySTo+ZZeOBOgVU6zYT8/&#10;P7dZI55N/JpCqecHk26ZQ4I/PQ9h87Z/bOV/fj7nIfI/Pz7mwe7V8Ax+7JsqbPqOKDdCQx7r4o8K&#10;1LXmC2WBiK9TtQ9IUTnlcReFvCUtZ/tq/Y/Fgua3tfV9nvgdyKdgohzheSu+1ntrUXUThUZelCfX&#10;DlESZZVuNptL7JVvUXQ5pOTGZndnsZfwp/sBpOWg1hswuo0WG++ikcWkLWb249qWQtsgFWLAzZb9&#10;jit3ie5pXnHhOX+no+b819NDNHJyKElujgHsAKPVrk55mCBhN9XGkK5y7ULyLp6OjWUrHLkbPNZj&#10;X675NtljvVTSuyP5pgzGjcfAv6zwHuFXo3XLo3+TpNcazvEmHs4RhCTvN2/f+C23DEsJK53GF+2A&#10;vz/vW9klgWn9X+ehzLkTsgKYDWi+6m6eJcvJGU7FJw8reyPazoEYVXoW/shZSb4i5HSFisx9dC7u&#10;c8s5OOrApWa8Smd3tYPJqcBYz96ZMdo9to57lwN8wUFEfUK2d1XDi4PulixTolUOPa7XUPJjr8OA&#10;waq4SoWfYHrXn6eUQYNN4MJEJJwiGaAxRPXcoZLAZYXmgehOjvoyDwEMiMF5uX2RPLyxy9aarR1H&#10;l0wm641XtUl5l6GVRrCN7gf+65nPVyDjh9R4+e53GbcOh3e1tnhBtuuM8V2YsJ4AnW7NUoUBLpud&#10;Bn6KQcA8GPayHgClzaHaLZj/MfKFRu95NuhFeTWpGx/VU4ge8LvzD50veNj1pPEk1dllH0L5oMHo&#10;VYCqltU6a4iE7Sp4m2u+dgjQ2HCJQBRN8AXmi2ZIiVD4k7G6j8/fMpMCwfCq1nbqWcjz7IcIcyb3&#10;Hk9N31EW434/CwX/J1ONUKplxm5x+CYbtFKJUPNDI7MNYCQIy5yfIGvcpYuZe1aLNhqP3TKkwOSn&#10;48iBq/fAkEZTSiov8VjB2NeP/TGvzce8kJ8/OsuV+R0eLGlfyAlBmAU8PPNc99t/pG3bP379deMI&#10;M9cPnsXmDf6BMgbF5nybPxmhLNZKSdbcfJ2n4Ax/nKciSKH8UQczX4KXFTa0okLtqroPeG6zQEWo&#10;RvuH20Jf8OlrHcwRcRNh2+Nd3hl3/FhGB7OPk7NkCHbx4EexRsVQBs0Zx01oWoLAme9PyUqnXy1c&#10;98/q+s1x213c9c3GjN3eyx1LGfkUC5C7epRyeQx3MoohxdfQXsodvdf7+HOM74ynW4z9nbL2nZK9&#10;/lzt7tvX67WEm3ARDUK/tCaod6wb71oSUtEvyZFTVi2fzA4T1Tuy+MQRbmVFImWGZzpDnU3VkRdp&#10;LFWnnEtwW7blOvYoRwmTQ2sUfHLlTmW4IjVSDlo3LNKMjuMgjBK1+rmjg/jz7D/RAu1frf1k3tvO&#10;J0EijMAUDHUJexxw5uMeEoZkQCus9wRW0irHXGgs6PNP/kTcfJfEgUJKKjcQlquQd1x9uiPma5Ne&#10;QcsAVZnNtDBSehd9Aq9to3TJ2X4pAPQ5IipGjiW5R54UFqstcIDSq7NxZtHIx7Z9OooCD82LZ7ps&#10;N7drkfnb8yitl6SzEUqJxolW1hBxnuQbtbDz7R/ySiYuwEy7RbVqiCsf+1mCI6CH/T2UF3R9jUvF&#10;9ZYk8v1wTUPtm/936eneeHtRd6+kz1kuHC8MwnzGKL2EDXa1QIZFDGsVclkYyGu8Qwq28zAbhiSJ&#10;pHuFjC62CvaHtDqdrWcvGXnBErPgO54mCiDhKKVGwAullfNYQrtmYcaCo6mVD3wenM2QooJ95aBi&#10;oKTnHyyyq8EjibeM2jw1MoDwFTUoIHSvz3/Fglpf+wNamFncYUtLLXuQ36wZ5AMKSmoTjk6dLOgn&#10;x6BNstBeiNjcDgZp7X58MGv0oVixsfMuO8/STdbG6YwAF11/CGR6s2NYiCYBXFUuw4114j3+/t/j&#10;8VF//MIzGYJu5GKR03Q++L/UbZZ9/3O+/nWev8KzVFMEgKud2zhxmJcEwKbeP+YxLwnaGvbpEemo&#10;lx3OI70SqKEyVjDCuC3A98icdI3oUs5vjdOls8x/HWlfGv5sjqg1Xbwda45c9XsPJC8NSeS5a6Y/&#10;3hol4xLkW7Zjn8dYuSlvybuGHskwsdleky8kzg1f9q3Fe8lfg3lWqgN3b5J1DdmtRM05/1UbG6wy&#10;ahZTGf8mYvdNVqswSRw/4zxsffUbpLyHLnyEjDOyia8dvTuweIRMKRgAI9eV/HCZO7wtKXlPMbvk&#10;gZQW2rcmOyClkrbRc/BVrh3fglvJHlR9ZvFeY6HPkQbQxrpXghQS765xUoZxFLjM+6/b44O34s92&#10;/Pl6/vl8NWQ+IJaFFrokihWG7AnK75MNOqYCynvOmDc3a9F+nNvk4VB4S01ErEbMAkU31WbSrv5B&#10;oTtQ5eZJffswxVpLTX8lpRwJ7q7aWpVLot6uWzoiy1myInbPc5fdfDrLxUdMaZmLPGRYhh8iZnTT&#10;TR8ArXHcy3v5hB9ryEMwv9fc2r/Y11KaBN8LerzUbWocRKlnYgBSUjOE4x27PLIa0S9ew1l7z7/m&#10;n/g6ZulxKtJvbkgSpHznU4TuzAuPDwjtFnoSZyNNwgRSfhOGjdsaw9VjVn7tpfA5XOPWL7uVOaLX&#10;oU+fZPEW0E6e9+ZNkiQM6T1QxhylYKTWOKbiOauP2sd9RZLm1aRsBgWLaRnbM8fxCpYepAGiCMNQ&#10;rRx/DjlL6TWkWGaWia/9ZCOfocFIJcHZuYVpWSqCc5ZxEIbMAwkGbJu8N90v4+yzoDQ1GwHcwp+A&#10;6Yftjdnnvan3U4IkoWwkHaHEG2G2JfbdLt+4TJOoj1G0VTkmGTic4VKAPrbiRMhOAF2GVXy0+Ubm&#10;8XH/KBItn61C0oy57OYzHhYJDDLnrgmkLYAW+Zff5sM0by50a7FHYxQd41fGyCMRkcVskJ7V1Plt&#10;2yCcJsCdAS8ZlexQ+o1OIp6mKmOjXzIXzZZXSg6xroZ1+AYUnryM2EFCmnjL/LvF5TlS6RuOdkEo&#10;3fz0UBpnCrutg1A5nHoY1gar+p0Zd4nybuWp8SJ53OeObw8gp1tl2crjRr0QNKGAfHtYxu2Jc0je&#10;WGg3CoHVzl3jBOs1utmcFg7lRcO8NTav3XSsJIhQo+ZL5B3BSI5v4cO0OqwrZujm7TCnoBP31YMB&#10;aYbZuFILe7gqguZP4niZh76+5eUe6TRLJcv59L0j4i6NYUYMoS3Gf6QcBHN2m+IiLmElTthFDbmS&#10;HTnorvYtm8ZuM9lvTCZiB3+j7jWObGXuf7899k+eqmf99/M8viCCaTn8KNWdLrz4J4WIUo3/YNv7&#10;NShmMpckyf7onBwVuKTkcLc2wU6qujWoYozOkH6cgp+uH2pimDjpfEr7FZ/BxhqRKyIRs02+VU9D&#10;kRXAjaebXYezXDVyNeXgizaFygL+GeodUmkMf0JucCWHmsbGH4ioRZATItq6+DLFcB9N03lh2G9L&#10;D/jWq9QcpzqfTHqRVcOzXn5MJw3dr5Mz0fM4fv7rVr6P6yBJgEjkC/V4NsTdC8mIntqutJw7nVHU&#10;kRKYXA5xmZCQmeEpIn8dJghfaaQ3t4XknsPnvQV7Qp3F88bclp480ey6b+iHQEW19ZOmAkdVqres&#10;eCNI8DZ42K9nO7r0aAxuD5w56Mkj5YRiHMEEh+mJXb7yZs5LZyhjrh9GW9QPOeVTN1YeB6Syz41k&#10;O774GKi3gUwQmAR0BMCItjHMlonSxJhtzy9qJKEHUTKaLnuWNbDulOo0E/ZQemXF9upj6Tyb4UAA&#10;um3VVrpx5TqKepkOjzgxC2FMWE4n5287BnHQdtovNz+14+SAhdykbXvOam9+59/+8/H5Y3v+TEhF&#10;lkFz6GS5wxaB/uf/eT3nWe2z5lc/lYm1oxfaBQTuXfMs/SD2kbsjbcd4K2lc6VghZ82ix84a/snX&#10;RFSnUdFXzLmV1zrArwRtr+s0S+Rxja/Wgaw4FiMHaoQ/prls7w5BWt8n9r6uJmO81iWdGUSnZ5nl&#10;+YTV+EEBPMJKUZYGPhjVfQUp3Sdt/nvcD6rfPP4LYB0cUBhWALYwQskqmOXP9/a9oNWxHuS/GB7G&#10;X6vD8CSkW781OOX3IL5xM268vepzmEd8HXPSeKvor1+/LPpFq3le2ttNaawGYJMkW1LsqTnfCIip&#10;XG3YOKqMq3w0mCDUBy42hcsIHIOUL+IJh8sgq49KXCej6UgUk5K9oHbZP/fH748dGQWt//k6/vn8&#10;Co/D2LTE0aOtqIeVfvWyPjOXtDwt6kAQxMmlRHkiVjuIN8iIHEd++CAkxQ7nDJxgKnGJvOnh7LRZ&#10;aREqQ/F+U4Elwtf8kF4MFOUEkMZHYh5F8lTBPR9p7F6Ky7jZbGf5NQvEz33vpAAfJwItvMyn9AOh&#10;fVQIZoBgfiGKhZSAg11ekYXA9+dsI8eI0s62quBiSX+LH6iEpGzEIWkwOb/gQS42FsQ//5V//nOs&#10;DIy3u6xflAY9GKWE86pfQdqx1r91jKSHXWhKiUExnEXR4V5pBaDyLMLiS85yzTP4s9kZolQ0tise&#10;sxGNtFIe3IjiZKy+LRpq9+FDekDfj9y3zVwOJPhopao97G3dIZfUWatK9zXMGAfizNOjHMEifryw&#10;6G+ztkPTONEOBz2TJHgUztFiLowwQbbzMzuVhQLpCq2niBOq/XwWEdp4s9sqMzfg+aFpoCC/BLUQ&#10;s/A9s1O17QNF1+KV2rPzPoftFZpBpRRh7MeDT83y5ncJu9lhViyBIt5ZUWwvtGE4EYFadR4UGivm&#10;vEmewmR6PLUZ6pt//K/y+EBYR0k02GzEHsG3d1JihVt5zJKuB2xRBQaGDn9i5qdHkvGCnfJmzNHx&#10;4GyOOsR8t6yiLVgIOM11KxSRkmuAKTt38Jt0WQv7uFf9tSQz8dd+WCyDzAuDUlKg69Zc18jKshSt&#10;XFEQMTU/CjVazFbLjuly73cN3oYDYsrSuDQxisV1l+RYOIwVLRF7xMiRHx/HtRyIuntv8dKmpr+6&#10;GW8y2ZXmqkONvjjM/nlp3u7uwpxv9dzt2MB8j/w3WIDb9hKl6T0bhtZyh8yX7Iq5mKdsSirrFTHX&#10;cvq7dxadU6fxcXvAwUxJtvNfH2J5+kQikUXe8vXhe9Bhe0Nfu37Ar72Dl3BKZSozWwjatWYI0qdz&#10;mBJfV+Cus+xk5MoOyNILxtMyDMz5mk9ta1/z5Pt8fVIeaTWTM64Mc5M3iErISjBWKvavR4Utlv5I&#10;B7QgqE62zTl2SCrTUaCbF07Ybpdkpglxw/hARNoOKAXnhYIhnZMVmuRQk/EpGBIbgRbMapWJeBhv&#10;JumQbdTJ0p2zYduUHgqxw+Z1AJVcSrM8OUBjlBdcYbOqzzxaFIW9XYdIq1JP3hq7OAo8ZbLaS8xC&#10;EgdHIaW+CT/mgoVwyaG9sNC2/2cb55//2mbxhybw+bcq5nxhdW/3zfW8hX0oL5EQ5VhoDLZsrIz+&#10;alQ5ngV4ZFoOhWud9RjnrNAI4fiQl6eYZw0O4UbXoQoQFMLCaEKvLSuRvaf1aLORqtCevPJgRC/T&#10;U4eOc1NhFItJd27h/NjxGCjYmBAotqBH2BSXHIEBQD2CBmaRSS4BfYdqxeTIpMUZSViAeS/lzxVB&#10;ks8XgmQpn7SvNrt/3bJv3fkb43wVxt9JuyylKADbrPsI48TDYN77fBnEos4XVJHql4VPIxUk4dKl&#10;fevmzQKdwwt76mmq5Vk+tt4/zuPFgmybH8rHA4Xaecwd+mSKYCVxnYjzudFBEPr68XvZP3ZrxwCP&#10;/dlOhQMccz/jYfg12i+4qcteIOZl2l/6UWHbaBrzDlhp8dTjtxrsEF6Ke2jY6H+POZuX3I6mLURQ&#10;Y3GNh7zbi2F5+ZyvPK4Lfz6WNjT/jah/GFByJYa7CpJc4KJJplsb4Z7FoEFj/ES5uVsaC3kYlKsY&#10;Pdo2s8QyY/3oRQ8JHfLdDv93DoH8ndU9sjNfo8F7RaRf7M+LnJPHFSM1bm3SHICb/H2kqMinHJdJ&#10;uY3UjhSetlZBO8blul9hpAp4QxPPAqPg1OcVTXjFyToG1i5cYf8yHeJ6V52dXUIHaF/aVBtRUpev&#10;7AZ2u0nxWFbFvjKNkeFebAlgayAZ9eiLVUKjpEMRN4CI8FphuW48jWD8oKrbOWF0P7WCb/QDs/D6&#10;x3H+6/VEKDyyxpMCynV+N/llCLY5dsmKbRsdMjY9pJqkbnwePJn+WsuKnRuhdco+X33W7aNWXQw5&#10;x+vi1vH8UUWmZf/wUXey6jFxmhvJTnDFyQxCK7C4qjWBY4pW0CHHngQFouSduC2y1C5M0EVtBzsE&#10;P4/n2b4OYTt5uSOhKVFTChsDh41DeDb3FYuYcMdJsOe2PfaHjgUoT0Pgp32oAn+zjcj/OwRsy7FQ&#10;lHoHQ6ieT+5/OsRrhbXECp/XnZnol7hkt5pkjwuQTqVAy88/oZwvSiBVJB5v04DUlyWxYxkEET9z&#10;Fue/bq3nyLGUXHuUXX1IWiZ7V5YL7b7jSnmTwrPwBtjMM+NkWc6Vwl93jBS1oEVNPB39iw1UmNPC&#10;uKKcbTQyYJyZZd/cLTz/O3heGUp/HRyo98UX3B7a4jQzgJFGPwsvo54o3Q44+g33ottdzFP0yqGV&#10;Jg0SApf9eMZkOTO2M8N1XkTNPuadwBPTyWPOpgd7/hRAsmDJgPfMunrunxubFYw2REcU0+vziYh6&#10;ivAlwkjnieps3oHz5c2dG0VTP5hnVD5+lCGtsscgUCMzf2m+oh/w9EDjzZ0dgZdE2mYxlTpMSkWL&#10;+U8MFFpxwHgEMiTXB3rFdJ4qZEBt+vkipUfyzMSAsRKhtZewIvbRfJv4veUkjbsPMNQunPb1O+xf&#10;7bKell39fiYcYznStN/kdG0ZK2gu2RYbE0V1lKKSSdcMoNx99WkNEvMlDr0UntfOu1TTgQ993wnl&#10;1e5pXIeDsSj0anSM8RfxSv7Lv95FnfJ/5MjMu7+Y0tg7VOFbQvCiLA8YBmICevlRrr1dNqmyZiHc&#10;XFZ8Bpm2gSzocuvedCclohTPLtI/oTEXJXbFR0k6laVtebjNzVkDjXqRTlU7ixDRWILeHNjtFBPq&#10;5O/Ds6x1cyvBxq3T5Fhf/c8vpfxK6s58Nv71ev15fA1SwbqdD4kmOfjZdx5d2lsc8JoAmMSsSymr&#10;Br3tXX2kEflQm0AwsF7AUVDnIZwJD0yM2E4C6XdHbI0RpgvNtaponyUzq3tenE01uqaJmzh52+Y0&#10;cA/I+lezhaeprRBj9cA6M2VQDJ3kZuaIzaNiZLLNd/JCU2uQR6MriJ2t0hQkKSrMVRx/xvZjczFh&#10;ZiSo8UrOM8GD0y/4EfcHshePYyxRa1lPqGv7SNe6HyWL2nhhyJbMoF99c/rBv+lBiUtjwgB1hp6S&#10;27SQausrISw70NntGbGrSB0DheQmQaeLWGnY2qqDi2UN3rJ/q6TkDsq6p6xlkW1Ycfm3cQ3WmCmF&#10;yh4+cTxcKN0yRZ6DwfOsuP00QiwD44HBFkorg5k9B0o3KapgSAU8z4CfhB0cIjOAYUYHSAEghupK&#10;+k/G9kjz3tS8FIAY7j/mPm+iMkimO/88+KJc5KtZM88onors7ZWpuLOchdTPrI+i3WJv7fHH//Tj&#10;2RViBWkM9nqMV+d9JsUwk+IhtT3O9HqJ3rXtHz8QjjxLQ4jOtMKLF/ixZaI+MajuztS1lA8sGO6X&#10;Hzj/YQV7kukqQhjbJ1GRCWHgz1Gn91L8NwN6mH9EampR76S4427iSGALonDrJV/jmruY492uM/J3&#10;vMMaNflmHj2n947gzRg3pM0XYiFXJ9ne1SkRocMTzDYUDVnLWMe21WS9JYTdAEx/ZQu+v/60ssnz&#10;nXpqJ55i7sdlYDNwu7iRGLSZkt4Ja9/He98svsuYL7uFnNbKTBq5r1yIdHUOx8KDZ/svbkXves7f&#10;fnC/RWWc3AzUEF/qGI53b2ZzffdUvgESFpZ4Hp529CWqidqs/eBg8wzDyQQOMYtG0xoU+QqFrVJ3&#10;KLKNoMNUuehc2y6+OD7nunyEjSfBWf89Sp171Z/zGHy+ECTDbIUS26x201cfP0/Gxo5kXLWEjhEZ&#10;z9WjV8tJgMrFLGWwHeMoEanqhGqRLKhtnN9wYy8rmeSgn0K6Sf7jsBGOVdeIsN/RVmmbHhXDj66k&#10;E4lIV3vFg2vy7BXvB50kbYK8AX7Z91/3xy7+srUq+Yql7ImqhvTL42Pu1C+C1MS2wcQF9SjWoLMr&#10;G0eJzR70uyXMFsYml+hA6O78z9z5ZtWiTEg/2CX/f+iXl/Gd76F4BGgAxcrHvAkHxpXc1+eH8PqK&#10;O3zIfSbaJOrv1pfqbXhc4Jm+FFojAjslquIm3AXFasRYa3qQFcFzeajmz5B1kPNFkrrUuvSghypW&#10;XkrMyeh2QNVvvS5kI2cVnIai0OVydO9zvqPzVRy2cHAKJZD6ZkU7p2kdMAFMikheh+nGcPkRNTzv&#10;SMp9VXdih4JJEU7Doy/bME4Ddeh2o1gUV1W59r1VU5EzvIDPn/OABDInvmdr2i+xsUWB0PtOEhrW&#10;pX3HlzOw/qx7/vHrxzm/9kR3Xk9EUTXDy8tNv9X98evvc/8TbnL+Z+Mc69mk2sM/fLUzX+v0EBZj&#10;re4AXFAOSkp74Z3fX3BU+sOGumRWoGclE1KUwlWSU31k3FAMWocZqYHXHSsY4cI26pA3Ss43MeFd&#10;R+HWZB/vo+zrD6M3XWtO13DvFgERsrm1zpZIv+Nc2t74ofbpErwo5C5y/vKbY1YT70uNkW9RR8kf&#10;z02Vah/JaoAq1/f2NhWvPVbkxvXGXTDlq4hfIs217lsWcok7dfEtZ+w3WUteA7TuFs8SEEQYyvzv&#10;B+K/lcdoKVxDj0uPMH7rkePl5nR5XRJDW7HeocOyWOHRSs5OeY1uAB9853PcIz1kl0jRbNCZecTP&#10;O4biR5M6acxmjTcen3xNtzGtGrYrLJH0keT8KMHfeqhtErBN6OPhZ81H8wOOByxqP4/jn18//3y9&#10;5pLBgEByj+QrJi/rySSwxk2t5NC2KhxRui+GGDTKtVMwZrVb0H0xxPMsxo9kRSIokmlnp+ukfSKa&#10;q0mxHzxWC27E2Lq4AvLgYAxBuV2RwokHfR5ZKYsx9UbJEmrcDLgSudhlvP39YydFmo9ms9uvr1s8&#10;sEA4iOzFalIhwThfnFfmLNGiB3GGkQF3isHZx9WbId61xhmx57g+492rAJFFtVrMzQJuPWxt0VXd&#10;LCDIZR3q7ktGdGmoK2sEyqY142AOEWT3S8SWr/wr/ri8gkmD7ekpNBRRfhK5Ul1wp7kJtCo8bk3S&#10;uOWq4OyeqqJimWpYV+QE54LYEdXdF6/lRDk1t+dDcGuKyMqwk3XTKy2XvRdtf3g5ZEOdO6IOhlkH&#10;+lGENcdD0BQUhRgQyDu3rm2W6lBZEue2tA1cLt4qeTPaT6NrugCTe+NoXu4fTVeS0dkKF2znEz6U&#10;fEE45vulLyXPl8iuaOvMfwCZesca08s44TUshRJ1SYdo+sN3OPbSSLdpDN7FqeHHPz4fH6K3V0uZ&#10;cDV/e2ykESnvOlMa20m3Bb1P5Hc2S/EsVzT/a2B4VwJNlntDj1ft1g9UbcBaPgqPr+SZNrER8kqZ&#10;0tXKbxZqD66Kq5A4Z/0dvo9zi3JbLAOlqRNYCWmW5C535/p425lW5kp6swNGct9aW2Q2S9e+EmKy&#10;N/HlfcPTi9T7Smn8xY++5nxLyZhspB0hQRv3iWh0VvMVw6gvufwIf83rfS87xwUCjxasZaYrxW61&#10;TN0sjVDijVTzjX25LYKCH0LkmpW9lLWKiMuOsLuQAPZzvAVl5wUrWEcR/9DqLEM8qgelldzGqUgg&#10;WJUHuuSdFEpuQktGzaGBch20QgpyugdB3vAC/uAgSKGCvgX/mL2NofDhuaP8qPUHR3XP9vrjeP2r&#10;cdYeEBwd4B5sIz/b0cP/pJI5PN14sydrwcLZ3mPb6ZAL/rJJckygBSETzyShwAxwYAas3nZxMK9j&#10;Ex7uIl9UWnM6dBlQPrQXsKVMxwl6wGpC8sehm/R1qh6GJ0HKly3ne1wzG6FEP4NSVj5o72OICS4F&#10;KrXWfmz7o3LlpFpJFRejRtHYZAJzemwIjofDgCZ3JmjPCwsbwKwRf866oVlY6FFCGn9nkC1XNqgL&#10;SVftwUEa74/7G4ieAdBbeAa3TqZMhE1jW9Jcqo51o44eEOpOmbeHf8FbkhaxapzZXuU8BsTbJhKF&#10;XxAdJDIdZKheU5lCfxCM8UCUuYODz1tpWMPuJfravSPO8munTJ3zbbj9Op01uIWxGj5+yG6B8RtW&#10;423AAwN6ALqX6MwJ6L3hPo+0StmkiA2jQJeG/fmm5q3K3e01Io4vW2hTpObnyEyOuQYRqCjEOAIW&#10;iylJmhQzuEbc6YY8B+6P57mzrzirqWP/eNLwKpo2G7B4DGYZfcxbVMqoWTvi83JKXeNosLK7ilS/&#10;//rfv/7y63zTD3bCBZ6grhur3a9MAKWKO9smitZri34V7iQ2e9oHE6Q5XA/fepcDYVmGc7Q9V+g2&#10;mtdVvRywc1K7NioeBnWgS/+GT+leUlkntdvu4hMlphxvMpBILwqR/l9Cl8bVGv02EsupjNswLAUV&#10;tiUTyxf7KzqCOXSFYneWtBQxKa1mS4p+5duRM1Da73DU7z3eC2ix7Id9XCkat9LzW/PzbxMfbk1d&#10;+5Q9wIv+8D2i8OapVGWDneSRpFbn5c/yqdV+DfAW3S3CGcOuwByIVNfnGG+i5GCq2bV2K+9XPK8Y&#10;9lhNXApXaZWExSvjA8CXGjubId0hHbGJQK30oqPQqrmt1Rk1oFnZmOmhITXFCUUsZoUkbeUBD9D2&#10;eFD0pXyv6BjyLEOJgKTV0PUtGhef/DPCQCqzD4EKrPz+OTX3oG19W9Y2bLrh2mGkn7/hfCA/OHfU&#10;7G0zTLIbfJSZghp5yK6AeU6l9qQxQojPPM93ja7lfUNf99Xa3J1g3kfTDjM7BtZTWCAFzWVE8pNe&#10;mGPJzVhcNDBf5lee9EmUEV4h9bdZk5GlzAq4K/W5M5djMNUWzkFQks8zMab8b/atmzr5GmqUmBBE&#10;+s1C1P599hqryXGeSgXisn5mUceMKbBWrowoT9ZBdDQaSDba0bqshB1IA76mkkU+M2WxH8XbXnKj&#10;iM9zWXygJKxaD88vkZ4sHPjsaJYIW0Kvj2zYaa/ap+HsfmlvQXU3zxP54sZyM8YJBl2JLFQnG638&#10;/iNZaWzKhYL4mgIuMBQ4+4g8+oGhNlPvcTCCsPPkb6kdXSXFL4rTq3uR8JB4lwwNbZFXnQFelZlN&#10;uVL91ZgtjKFdE902mbq6YcvZMU0850Y6tgfhc138VXooAZ1h47cRzzgvft9kLe9Iaan/+G8MJsmj&#10;GXzEOFMvB9/OPutvyj4Lw4yeJC3kgG8yCxpuInJe2n98PD5q+ZDhTYaYrYdw/JYdkiPinTU4Yyhj&#10;TKW7EkHUXWDQ+/wq/a0V4F2+v9bxnm8xSPmC3uIDHDyGQgCVt2hW3JxnV8yd2+Nl5PQmjywrHP0u&#10;tcwpkiy9xS6NtbXDb2RtG/dyvvBg6RKKGsYTibMrmi+Xe/zs24AwXyLQ1dSLPZW1TkwcdBYJCWhR&#10;nzb6cipnSMheR34Z9n14zwEst8zu9JCke56XQtxJN6R8/iNKYJEocghAtV/XizGV2QZompOUtUxR&#10;R306BmpRWMeS15wpYtCvfEIaDOq+s5RSXYXHCak6jqevpkOQIhhx6WQ6tyVWRWOnBG/ApsxhRVtW&#10;iHwi5YSxCBQmVGx++8f++Nz2Hxvq3j9frz9er/nwHMMhtxuj7LjW4yl3jLv9eAmZjZFku+LltAzS&#10;196jjLFi+YyokFc73ZNhy3/+yQ9aADtTOjyYhEof9kRqcNDGqelqs0RqMxWYGAH1B9ET82UpO6k7&#10;v7IoYE9xdT0a7JVqwcIFNDGvUTk1ihjUfBLZ7sgRzfTCD+VBaYXV/fvi7msXh8KejLNpuG4MH0Cn&#10;fH7N6yd4lcIvK4asx2l5ycFoSlubX2Li0rBLWiNethLUWS4lzK09r/CEbsmTkJqjn1tImVXC3GBm&#10;49LGSedFothIEWvj+ibToyYB5x7a7LIyAmOuMf8z94mHVC2QtGC96goLRNYrUlt3TpRY0mHRR2cP&#10;A5l+EtWOvmjzgk3lJDaJzcNvTWJFBRutWOprpkCf1xkR6q98QL2ixKJG60QJfXXl6YjN6VlNHZyN&#10;F3cVjq90PlGSy8WP779WMS34DI5AEbuluQNRfUQWzUd6fMKCOhRvgy5di3ZrodeQoRND7NPhMncY&#10;DL5xlZqnow3vFKx1Aa9pw58/7sB73AC+LunHxycd3/mrdx7gEiXWySZ7IAl7VW4Rp+k/CDkjb1aR&#10;1LkHDeAk9vbgecEKu8Y6f9zBYZ6msOka+Hqno6YczmudjLIaStH1LX8XT5fjN/JFeFnMmWCAMg1u&#10;hQglxSSN2BmcxRRCsXFpoC8W0rWbLUfuCvkJUehVjC1/fY4VbGk9/IPWZGK892qvFJ/sf43whNU2&#10;ucrOFNTLdOfduM95Pyr0Nm4R5N93zvA5tHy/wkVz6XwfC4yVqIofMR+1gyqG081A9gPXt+x9PWMp&#10;TlWUzN2jqPA+GioGbaE+KvVLAIvTcoslbWnx7tZFVVfdhW9OVxxglqqxIW5scPI3KjebUBExbF3h&#10;SPcyfwFKmQjH7Bq1YRuZLHD8RHlv3puepwfVX/LQzyPhx+Px6/4x748/2vnP1/OfX19zWZ9f/pm3&#10;h7NRSoolPi9pEQkcDqy9IprHpkR63orP84ANgGOoU86BPo7zhfSfkZnMd75ObLX7PIwrTDyh2Prc&#10;P4BrSkD3fuAgLGM+2Zwu8LNajprw7txUnzwa73LB82i8g7WtVp+p3/MH7ei4VtcpPRKN/Bkxc3Ze&#10;8PkaPj73Uk9WjhKlEgLXny8lBiu9oZHCqHBjVwyfNHR00TC4Hzdsfufb6fGvQIcx3s6WKzmzyzY5&#10;3rsgI+TkYeyJx0y3GCr+58/RWuxyQwr2vsxWxG4pAppLe1N3AnpL5oF4eAHxYauyChb+lvsOJdnA&#10;gI2EjTF1nGQLCgiHwpHlksCXs0xgXmvhtscdtDktnN98RC4PA5MQzEuNIRP2imGHxn2yVSsWZz6f&#10;J+OonUU6a775qW4fHHCB7m7p4Nwjuyp4PmHEac+/JXiBjz5gbINFsFgToHGmHlqQQckIAXtz15zH&#10;I/oW6i0SXB/KxhzEzi8vr9c8BJw02xSqdFg5zqePZ77W6gmRTp+HybkKzFuFEG2tVPOb/td8Gkqm&#10;SpltJw0BaDx9tfF1tpfOiPPeK/UX/pSTTVf5kje2PYfJr1i7FOFZhkm5Ou+l9I2ElZfob5k5u52b&#10;3DutrabyU0ImDS/Tu5bzDcR3z6m7agZb/YyHET6mjBg63x6XUsKY7n7aRQzMy7dxDUy6y9YyLljl&#10;6sTdA3t1hzpLYllAUv6LDvK2ERb7PO5C1BKxsyWME0O6pPt1uclZbkyWMe6hUR7LjNt5QW4h+/H5&#10;cPJxEl5M8+e8VG4LMZu6AVogZ9FmvLA1DsxdC0ekI3VN+RWC4L6TuDBq+GtnKgzv7pGEfi1Sl3Ux&#10;STBW0RdkbmLJ452Sqk9Mwi28VKITnCxIK5PylTzIiMtj/keEH/GHFlNuBgqybcX4avzKOxVGvWwF&#10;R4Q7sMhD9sX2IyO15gvo6gNPGrHaauX1bHOYykCBp6uSaUOKEuVuluR0foc/OdIgdcz+yPkD/2Qi&#10;XpU6hhv1OnLRv0DcfogmM5fm+VM+NlDI2kB+hWSG5vnxRc4d7gzzJHjA7ErlcFgjp5D6vE1GBYjj&#10;2fZQUJ24gQZ7quEQVQUO2keDoWpWDND1zK1ag8Sze0iJe0rtNa8ERZZu1ZToNc315vVzjB568GiX&#10;93dQeVkpt35FN73M6Hdn4NLELZZhiYyU1hQ0g7bnXNPZq+zXTbAosSi8OAKn1AXbVzX7UIbVYdMm&#10;o3ElP1SKrisCU12AdZ7L6kmBsEkUGnoNGlIqEhsKIxQgXRL2s9edklCCp2vNc+nGjrgxl3qL5QCI&#10;Gdxejx+ZE9nBwLwuESk61zIRsjwz7Mb5oNJ8Fxla9PzVB+uertJclFnFoejAjXulS4vLekQAL0Qo&#10;kX+LJPeN68cx6z+aYNs4XxgKH3SZlnoLLcYBHfcKEzDw7J9PhlEgvWgDamwjVMWPzFxU5klvbDBO&#10;bPO9bPKA4aWevEXnGwB9kJ8GAy9xw88j2h/0qj7Ym/moLPIKeWbku58ceVKtZhORIJQv2CjoRi12&#10;sdTi2Hef24d7gm4HJFs36azqSFkD1I5EhKoy3AkL5mvdZtr5qqEljV08ddul0n3jEEYd5y86Q3KP&#10;aqqvHvot+OTy65Rvs8SAaSpEasW25psDMArSHg73snbjgIpwoe0KjQktx8p6ULsuoomWda+E31oS&#10;cE/UlQkX3J38JoK8Aqq5p+S8hh/5/jJVti7L47g4pdmJZTpUUCh/K1DGCLhAtsFi3rnzaLQbClsM&#10;7wQ8CgiMRG7JVaaOkdaI8+Z/rE6OHqS9NBzvQj1UXMyPK5uKh98qcILdFkWTUm9Rg6q+0k23yznc&#10;Y3nEZ9N9+lKzoBjqbBCM61ybHyRivOn6NIp7cVhSrcSyGmXcegF7zR9sp3wdx5/H19d5/mRSRKSb&#10;GswjMAS9VXVNSJclhuUU/joV9MppU1can7bKkXngBf/7k2FArxPp8/QkwO+oXefAiALSkvlVn5Qn&#10;sI3L1HPlRTI/3fXJsLWmUwtTIvuJmLGLWKuivFGnUHRk6cbxCuek8o8cSDaviwLYW42WEV4nPYgj&#10;sLoobdkCPXBgNz6UdG+Y+uFoPp7jeFLKp5hVHVCGebDLJ143lVNcuZWFyM+wlpsA6Jr0B+HV3VOH&#10;dLS2VAIa/JCeyf4jfhK1hbkejAHKa3Mtcy+srViXzs9K4G4mJxBOxmeEFlbilqIBJviLPveyxMk2&#10;BSpiCVFjHSNPPl6FXngWViDFMGV3AwdRHXVvfsv9UJpnK0EIlSVceisFEfHQ0tQqOg5Gc+GTG7Jd&#10;4ueyCHV0AcNjJXJhhYStaPuY+1PCZvZiTPJDCkfkAuKeQwdRclZVnSQn7AmTbigFsJ1TWDv3HV4M&#10;JfRu0vWQaIPebNtq23dWWeVEnhEfKLiFqj4LMDowZy7pPPe5V+KEglDJvj+e54HAQMbNqwEzfx12&#10;9TR+bIUAz+3VZwnoW+pDIxDGeKn0P5RPGZN4miZInzNM9iYkzAbn9eVsZvyV19bEzBdyiDuX9Mr/&#10;66EpXg3I8U0YiXeOfbbE9N4hZOOqBoLWsVQlfJZElrmnCnLBxB1WTQwp6S1QLnaZm5dBTbR+I3bq&#10;0Ur57kF4K+5GKeX7BDMUMfaarRDyv9oVl7IzRWmbbgv1fcG8rLJ35du4G/rzpS9Z7vacA5imfKrh&#10;uPRhInGWF9v56VRN7squ80f+jjMLkaKnKjkFhXo5KtU7NG+6ejQKrsUJ8w3UjNwN6jKmZEUfdcIK&#10;vKthnULGZuqML8ejH0rcwQKxqogUzFFrJVFkJ4sYp+PpfMIWzqjLKD6UYJC1sNUIKswx2DUZtFB9&#10;wm+1KVpbpzCUUCiM5u9/ne1/vr7++fX81+v1k+db8ODZFXTwAmEft4SlId6SBo4HR00/eB6d7wUx&#10;SUgsxdRw7nw/toeDjeQaZCpsuttLeUo9aJvfxfnIfmrInK7mf45IG4rRNkp2V8RwTKBEa7N2axys&#10;Kq4WigAmKuG6fGxbMSPUxeSsKBRt0+g+2ulKPLt882oq+sbdqMp9wH1cf56veWJQtK+CWXWlaTdv&#10;l8+VxfJFtn43+eVbDQz72hhj/Jt8Z42Dw6pAgJAPaV1BB1zEeO7vWuKp4/PTXADDlBrFLgVWvFsi&#10;7hENyZRb3eQLLF3DSDbXh4ZDRB92hP5Avh+VSnBBi9J5NGSp7VVRVNHth5MNkQzzqwCCa8xV8JOE&#10;culEaiS2qbkbOVIOHVd8XijFHmr34QnnftnkK4IZfe+zfmqvcI/NB2nncI3TOBrDm+5aylCZesmn&#10;lfxr/NwDCcDOlhbpVkUh7fOI0uX3PfvRzy9LixupafNkNkvAodadgi7R4cRHOA91ZXs9PuUXn+vQ&#10;+fhIlLoUegZw4339HE/0bDvZRjFa8FBBs+TnCchNN5890j9SoraFw5qhzOQ+b8I/Dvzzb0RAzFf3&#10;y2Y7LIf3JJwh9hlkvHKP2HOucEqXLy33sChTCky8ggZknahZnhkZwBFOgJXTs07YkXr7rlOJI1t5&#10;CzJdyXORIcK2hRgu8a1WjagxoXQcb1750O46VwxnE+59VVFn/pC82tsU/54vn60NY7lW0rdQiLGs&#10;8+aEpkuBv9TOKabqQmONW/i7qQJLV8P2zOXoC1bW9bmsV3h1iYMIrT24vAc9OQWjZk+as6MXuRxG&#10;B/j7Xs+9qi45Drs9VPpe3cVRLnhy1PvUXwGt7qp9taFHumN/SNzKYsbhnLTBb3qzWmbfLeUG8ua8&#10;Yi5Fchv4HFBJaCtGc0nobxc41SWJ2UpgY7KOtf8Ds73NIQeaqUqhWgN3RzYbfvrHtv+yf1ZAWPrz&#10;fP7x+vp5nF/MhTjU0WKWPbnPQ+k+hlhzd6T5FaSlOA0Unv9PTUjdLOWrPVL/qRjetYgb1ahFv/EW&#10;77Tl7k7qU/u0ZFA0td2yvvwE+rMadZRUNZ4rfDI8d1log52qn05e6L7Vm9TModAfUOeRL0xTM7Ty&#10;eOOOUWKWYTPZddt/fXyy8MJWd6BjHNRccrGf5ATMfaIfL3FXxfHKt5vDeevMdvAO2Ef8f0/vou54&#10;qq/muhYri2VLWVP50WlGrBv1XGgLNm5L2PmoRURcTlK8rdRyMncpheBC1SsXicoU02G6ilSFeJn8&#10;M9/jkamdcDKAZPNoxTWPNkRbrnvfPtBR5LG/bQQvsxNJMM2ZOC7lMGHYdIwcLgB0iDtpfCLFAd23&#10;xvsKG+heZ3EDGCdbL3Pnw5CuIgNdD9j5xC30+EAKLj11vLY8H0jXMmu17QNz3OefWPTnUWn/MHWC&#10;NZyABtUVzqntpye3YbhfWgNgAFiHpwLbQ91MxsDYH/O8x3HMP/FS82Hf98fnBwd+J1LIoj+bBSRC&#10;5+P5Ak1tVngHxGJSEs1tDGeRP09MpUPEN14DI8AORYx9RJ+1AkBhSzqed2K8g1ec0wpViZU8iXCu&#10;kqjEHIsnQkjD5ZFc3IqxEuFvgzSttyWyIL6VgLmtEbc2tkiYZDcrR8hACWJiiXprOLgo9HU9XQGX&#10;YWwZdluXEnxjtA3FhpKWOzyxLhgV8nmbvfV7AKH4/cEUC3ftTbaaVyJBCgjXVUcl+7Q0A+zXJprv&#10;DOv0XgjehaPp2oa/9UL5uHAIiKl1uwvBWRKujQSYSrIuc39D6qMUJ9SY4PDM1E9ll2c5GmIuGdLQ&#10;LTljarV+dc/A65p4jsWafnYz69Nqbl9QKXjjEhcJOwEuy+IKk8qBJBtZLcRBDWSRR56ngKauk2Pt&#10;fQ7RyPCAxJvKZrYstInPAudR8rgZSnR7H/SiMU+PUebQRqLT9uujIjaP5defx/E8Xi8dM6WHnAdJ&#10;PFSIcdeBb7Cvt/E9POFAmI+fe/PPrg6ctI7s3Qh/NDcPNXPkBeXyfXaDK8bgp0YVqNKxToonq+Wv&#10;gy1SYO/RGg2gnYYfyRAehzbsmN2kuUoIc/5Q4jwbBz2UQwo5mf/9qPgD0EicJO/n/APKeOt95nr0&#10;Ob8fU5+cW4vA932jhogvldbqqB0hEpwv/giGwcojcfFnbyu1sd3JJzkedIud0+2h82OVSTBZ0z8L&#10;It0CTzSG51nKlNdPn0q7g03t+RFjZaxyPQUoXzXd9kZQpJihsBEsZX5bBh6DKzWYPjVgGIrY5peV&#10;1iXc4/Axza0OnPC5e75+Fg7wVjA6PZZJXDQhOjVoThs2b54AUamwjfDM55lFOkY8Hjvzry+UIgh/&#10;eKk30Nm0zGTJZirnB0LidnfvRc1xw6BqqgkREPP2CvXMYYhH+VhHfExe5yQqAm+bgD1U1WqzAiPA&#10;yPWG3XreSW0/jw0mzK3t4Fwjk2GjG5E6xJPw2U/Ay+qBLGV8GK1Y3zCEUtxwQ1JjNbif4c6f++T8&#10;B47xTuWCdVDgOyVmQ9aOHPrwCt+qzEw4K9vfPCK2Y+R/Y9Hz9KsovdLj5zdec1VEbNDI7JeKobaF&#10;AndKl3K3YlUdVfe9TBw4HFX5bBwXE/6DCzp9w0NEONBNAUYAW/N38+5YGLrRNfSLeJqxjtvf33bx&#10;RvqevTmWyCX/ff70lZApgY0VQmKCUXhf7grOKHLDX/d33zAsdzn1kr9lLS1zoBsu8/G7SQigAOYv&#10;7+nGBv5e81nrtOwb/KSYJJ4NWuxGVpn0Fz5iDZ/KfQxzeU+GBeXmrhiClRjqrcOJ3jc+TeaDUywT&#10;jdHlMoyDQBamq2QJtHKjNq4quzqKCB2fxLlqCHYZDqNXP0u6BeeMh22M51k+J2i3PjaGFSinjAxr&#10;/o3V4zWQsfdSl8UoaiQzqB06j6XzgdvoGEFj0zFD2FBhnJAkkkkOdprq3F62+fRu1dMpwq/8B8oy&#10;rQrUSbvu3NTJ0d6FhjHzwZMlrCRzBdkd01D5svGc79j3i8gymP8ztC/SFYvuBo1G4JTrcynhAb31&#10;L7xdiAkf1OBodM1BZ0FnOGHyhwDb8yTCdOOLl+GviyBmlxTY2y8p5MvVAdJn3B0ntWAJS+tdPOvz&#10;4NgBVlYS5+8siNBgt+ZI4Ewl6+sLpdJ5MG2LaZFJt6PI1GwfKk1L2JNa6Uzoi1kBoSNWqBoYYbJV&#10;ubwORWKkcJQTSOb2u9BlzLMd9LG17QNXBzY4RgAiCYEHiH4aZ6ODCeByVGTXh8lXPDBp+lQCl+4m&#10;GQIOtmFudaOHvlHFuuEoAQEnfhF7HnmtrE1JhIGCFGVuOV5o3uIMhAUzC8SjMg4Kt5+5H3iV2yc0&#10;ZHSHU5Kq2UXIE3AkO5fnBF+MGSQgLw2VBsdlkC7nHyN9fn4O6Lbgcd8+HkysxYj9NT+T4/j4459V&#10;WZX6HBui7WskqM79/1HM8NSiN+/DnUeuk9PkjYbUxqPkyQH5fLiePDx3JFz6Q0xBJCuOhKWy8lum&#10;nA+kV9pWdDtHWvtbpopLgIOVVTeUlQ2nvAhQAR4J1osbaVzzSyAxdVMHrst7qYyZ/uq8Ol7Rugyb&#10;0DJLvKf9xEQ9+9zI725ZlNQl/ebWvw/VnbOUv+mwozQef6f+DLugUV5iSl8Uwe/Gj1uG35V29G0b&#10;HRfi9K1TdPEEBhd5sjq7rQDWEmgV36K6HVe5B9BCbAGFtnehHZjAwtfyyGO7JQVKlMDxtsUTmSae&#10;heWvafGnFZRjndK42TwRKDOMKHZ2a9C1fTcHpVQnki1FoY8bF/dRD7PloKOAd0OqzpV0vTG/+sDg&#10;qjWpUBeyi82GEj81FKqJ/j9EXxIBZXafpPHNjeZM/Vj56v3nrAAZMM2DpL20P8/jyTag3uh8FH9o&#10;f4r25hZE7O5Y+JSibwUFp9Qf4RHMbhWk8PCd1OTh6UWCGlqp6NsozHYr1hmhwOI9vWhG1V7+bLMo&#10;bQ/zXP9/v764hS9NmIRIcxVq6hXMP/Pn65mu1DC+TrZwo7NyKb9tRpgb/75JQd1vg0/4q/jB5/OL&#10;48ui1KHbZIEhrkL4UEFcqPrjTskdimAwNaeMakq2XUX2aGRkjOHTv5Lq5q2GQW0rPSKpewpmhkSE&#10;SYxpNMhJN5ImOvThOVah4kwbPyWRVn3JGkpY4MvtuK4VNoPJkpV0W9lAc4IEC6+eIhe6oCifN9bN&#10;x2VHrKLkOW6c72juZNsHhMy0hEOJU3bqOh6jPHCdIZvy4UpTvfmzkGqk0QSPYNJM98ghwZCYjcSx&#10;PcR6RlWtpii9+wckWVub2xP37CJ+KfdsnIO2h4KgQLpRFuDxrO01L8jWaOEgqOzkSjW3t5NdNMIg&#10;WkVyGJRH48BMAdNiZPvhitWu5PTBdn85X5g4ysPwVC4lD3xqlxwN+yL2QlzkLGMuzCDlhttJnAEB&#10;BNpM66U6/PKzf6sJQoiRY2XKPTzOqyO+MkjschEbqtgbDtBqNvHS0pUV9Bmy6Fvi3SXozJeyS+6b&#10;LAqRwxlE1ymreWhJiKQxb+a0+14T/C2bWMMhlL4N1SO1spfbb+WVsfvvC75bUOdYcYPhuMj5b/AW&#10;V2Fp2eENiBNXoK1SK6Vbv2hpREcKcoOCMaMCTlt0dccNf2NzYfbQdNHK9BZ2fhURvGtpk1M9KbV2&#10;3L4lJswMfttD1JojEwM76IKZjIhr4zk7QAWeXVMkpxNNifPToLKrPhyrxac5oiy0M+4eUSmPcA1+&#10;OyEOCJVtQf/SNOkYQjCrr+g1UGUYRegGdVh5Gh9eJB2iefhBd+Czt//z9fzjdXxRVfgZxJmafXqg&#10;o7zmsL2/wLZnTMQs8gA/K1fSe+z/QjfnYLgs18cHTOKYHS4PfefmMQvFg1O9+er4bdFehZjNSznN&#10;IdwEEA1BmKH1fizq51v45/PP10kBpwMLbbpi81OmfUY0lOLkh46UWsBisEK36AfSSjiP3uxBobeD&#10;orAGVosJ9PDOz/fwk1YHJlDdchsisop4Ya6wUirCm7xjEoY4Hq7mal8Ff2cE1TfL9RQ4tJEX1bts&#10;EKzOH/r8CRLCtskD37O5jI7xy+M2cOZ6pfIrgz3pY2ClRZiTBS7lVJEIVqw7at+gXuFz44GN1QBc&#10;9CBLkVujRXJUGXFsGhUxZBBmzOuGjjtBaPujEqtWpEoCW25Wn69Oq1FXfjLWQEDOnOOrSjdcKnX7&#10;2MxvQkBuOp8KWOXW5YkImm39gOkC+tLOc9KmS+nI5Ln7AB/KrsMxL+NpaTVe54O4pN0XnA9QDhKd&#10;mGyiGFBAdVQcDXFJDlgUUISec7eu2GvluEBLYO6LpR7bA3bAWl+PRz1ewvwmmeURqwSeg/TC8xee&#10;ffzrPH+2zp0vdaF0IWkJAq/GQimtsFBD5DFNqDLNDeulYzUcd0kV1dqKRetmnFc1fVYebCzkLRiZ&#10;EXFFnFOJ8QO3y/vOdIV637Qwq9waF6428LTx+nQUXsqwxc0s41tJdm2pl4xkpAVmvucsfO+g0F5w&#10;i0YaFwLm7l5cUpel1hn3ffA6maZ0y/j5dzuoVt2e3/BmJQwTF9tsXMJXKzYlXsdgLJM8matnQFcz&#10;It3aqjE9ZNFu9mhkdjAr5C4D5fQPGMfu8Ma8+Iz9Da3vj4HfpC5m/7gQcNef0mDkJDNoTfi0HLGJ&#10;x32rdN3GpKisTuoQe4UsHDSVcLqPVIqWUNzQjsgRpF4Y5xQthR9AkhXe3POBwvShOAY9Rczs3CFk&#10;lYsUTFx2Defmr85q7I/X6w9I+xF99wGqJzqCCy2qbexkhxHh5pBiV0IytwsoqzGb1qPwam/ZVWB1&#10;Mi93hrLlG6y2DTWc1S+gsyuH35D71fzEX7G8Hmhgtm61hffp5zzGn8fLChS8czoHk8Ck8/g8X3Aj&#10;HU6KBMJscNtV0s7EfJk/gRdAdijBrVhuUQEoPrKSJTDcQlWjOOJNcvl0C/lK63yU3Vmles7i/3Rj&#10;6f1N5En65ijOBnYTJQrd5vybJkWOt1O5c2l7Xzekjn/KcbUJw3YKofEWp99raC/VoA/Z7BSCkiOW&#10;z8/y8M2njPUlXSNOpc1DI+QqA0JH1HPVgU3MgmAVRROANPs80AB3m5gjfj610ci8FGJFH4AOaC87&#10;EQTC0qGup1RsG2K7dB4RE66PfKyY00pciWEqlE6CXBYJ7SE++cQlnecYXFdYvJqkMkhHYmwyAD38&#10;lGs9KTvakIyIYWGGzIUKURSsbe7rc8dtxUh0q24hzyvkxaADjD9DqwOCKeYRiqSFJ6OWKhlmSDhs&#10;7Uepvz8wOzh7mufRk9YPJmLiXnoU9Worofzzocb/PlDZayrBdxc419v+YuC+ok+XHCynm1Kz3ALq&#10;GItJ6UReMkWMilCJS/Ne7Ile87ly9YB0l8tNWBzhF/e7TIT2x6ZsoGq+nADRY3S0T76hnMdFtVyK&#10;8PEGGmNv9htuFCtiOGz73SdRPTDMt4n9bVIawLT81jwOjfcYbyE/aQQGxQNCPefJfd/YBXEP1f49&#10;+GncVaGRNBeei8EBrIva3fW41ODqww5lrtjb9Q6vEfPsvAfjrR+Smj68Ptb5uyth5OSqXZLJXjGv&#10;quEOTXLZs7DTBVLCZZZ5uaXVduC/yrzE3lZMfHVvkuXGJoDOc9yceuj7JOVVkpnLS7HItJvOB+eg&#10;aU/VhlwPNUjcRKQ2xW1zPMuEIJUJJQ4fEA1BV4nh2Xn++XpCV5b7A743cJhK+OkoLsR32CH4tkvE&#10;qRSatOlfo97dskFAakWq2ypL4oNYFp7iyS2rhVnsY8emyzPByE7FRSxUHwET12dB/qef5kRkxny1&#10;vz4+lZSUwypXkTO1kU1aPuj0kEUd3r7WBLxDHMT86/FYY7lnO0+eXkTNn7+GsejZ1AYXL61QNJSl&#10;Egfi2fkt6yBp2cuNrtyYKqfwQGHtpVuCBoRYb9tK4jaMnC5VLYUHp87zAD0XnVowmxZe54Yai00s&#10;HJU460rqxKrDQmX/NszzzCaW0c3GcYEnKdRn6oChXz8Y757XIS/eGwpHXWXhqtnOrTL4zJrshGl9&#10;Kx5W8JqzYU9vRhKcBQeT+eeZUzELKbgDc6DrbDtS54c+ys5Sb0RQmYLqsmdbdgRKPLjvOVxh7Pm2&#10;xEyiJFPj/Ll1n6cWSUkHuN4Z3j724DkAO/VcQo+zbZI16GPIrmh8VsbtSrY6bk9YKjFr3NoJ8MqD&#10;7vNZEc6D13Hux4ldn3a4Aw3VynYyDJHPWRmiSq2abmyEpL/AqsZzd8gSyvysZh4Bzqkv5v92BlJS&#10;Nc1QCLbQSSFZME/jNO9JtN/rKPQQ3GLwb6uwwGjVsCWe+9l818pz6hkI43nEpa+2WjK23wvxlaLz&#10;7YzXo7Tqvt1LsOlN0YweXpzIolS7zc/uoOdr1Pd3B8qrK3r3JOW3HNvrRXr2OL4B5/O4UgejRZnf&#10;eqT5SqaIqd4VnnDVxn8jgxnje+RfKSu2PoRBQok55kUJRCr0y7h0B95t/aNBFzsYHGcpXL6s6kxE&#10;Yx0wDEjdko8PBBF1q03SMnn6SvCRamIv6liuPqXCtKI1MHTXiqqMWAA0ehwhU9LVHuBkBvveKxoV&#10;DpzJOmlVn40ccJuVTCTcUb764WXJ2NUiIXiy01pnHSMxz9u+7ReOgP1AOAEIQ5kr05/H8aKIZAiY&#10;GU1LF5fSsCB1pTE+/qjMVZeiRfo5MuZrCkrOioJ0tk3VlLpItEJXYgkqA7TgD0Wuc/uZG9UWjCNN&#10;jECQAtxlrrCZUcNAYPy2f34ir9ddyPlaZj2H7NwEZOLn/hARTQWQvR3sB8yX+DzQTlY67qNKRZQj&#10;TK6QLNd00nqebJHizX9xRWQUKA8fudZ0JTStLBwOpvpqFBVnAGmv6+yr+uCr0I+8FNmUMgVye0F3&#10;Z73w/EIag4fZ2O106DGczGf4zbSLwKPH2lGA6FQgWI7keNG/5BqnO9Js67SePtOTVHxoECgdSrIn&#10;OV2MPkoxK5NCtIP3baecemy6Auhq4A7B6w/xiHti5L+42dS12rBnAJFWFU8nKwwOPnr24ru8rMo1&#10;KRGrzdYuBFIElSF+SHZwthhmBQbngxrPDd52bJjYyrJ0ypk5ZVpPuPdmh6qSEMIHWh8h7IQdpyW6&#10;+XAege1BhoN9x5UkLBPp9jrCzTu2AmkrlwJQ1zyc6f6YO97Jj+vn0WZFyC2w/L+Mveu25LqRpIkL&#10;ydiZp9Ra3bPm/V9vftSaKkmZuSNIAhiYmTuA2JmqNWp16Zy8xI5gkADc3ewz9fB/XLeOkr96uckH&#10;nzQ18/n9xHAbr0eXalt5k00wkdnumr01m1I4l7F5yPuImsu9Rq2LBlMpEVKB89AyopqjJZ8upr85&#10;ZPxCN4nhjewgCeWET48keb6X/PB5cV5ccmZ9XRIR2kIXe89I4cOUrQkSZrLA2kNtI/LW/QcthLc9&#10;cjDjF5Dp6lCc4LT2tgFPt/vYIp2e1cyX8NZLjNHzUHG3bVkYLZvJVMKsb/8byYxmkHWV8Nat7f96&#10;waIg/y/Ge/fIovOrVjh91F6ksBlTzEcxupB0qZLFgyaqJyKZJ7NaZtDIwQ5rIlKzKDvsBIleTI97&#10;sncqS7kWwpsbqjHKeW69qxI/rW6LwYhLhSFKfqwytSBbeSwwWHXTaI9rckFHik/JSQiOin19/8D+&#10;p3EIiKOq2r7vfYvYMWy/7h/X+c/z+QQQGwOqY9c+ggXhefeDp7Cl7Xlfz1ou49ZYPdngeYdUclyJ&#10;IuueiXIYMEZd+jcK24jvwe8+4UfG87xzUHne9Z/n+XndrdoNoymP9ks7LbCLa6Jw3foNraHMxQVS&#10;xKBuYTLnO7s1nOdAnvfren2eT37XKK8T/himPjdrxOzZQ0FrINtl/bfgfD9/xevkasuEdCZgzE0q&#10;Lk99MJscg3Ru85Vze7W6RIe5W4LJZOq3ocbjZqwVV15JmAuBy8tR3TbS+aXFFCYxKTYpprectAGX&#10;sC2WSnm5nmNWZGZl/zaaptWaFqvy2fajJBMXZUCGjWvJxEQZNb8y4NjrY5pBkL2BsbfUNRDkQ6Xt&#10;LiUTBfsllovxKJU9Eb4yDxv1+J7j7tM7u8iJtSbOoP2Ohg/087Y2OeckKiW5B7e74IoLwsnpUuSW&#10;hKqOVDNoKfeHxMmm4g6kxtD6ZnHafFxRDpH6CvU+pgtVqCzFYmTBzKu5XPsDcG1bETUQBei1IaMj&#10;Ug6KkA3N9E821QMhVnvc/tqzwhi/76aFaYyr5YQbrZdsIdV9I7xgTIIpop5oB7fNol/VMxTVJ7kj&#10;XZu5txcMfNzY3nS2cbI9IjMuKk1Iu3JwLSZDEAGTdlrE63CKfeU2yEhdXb/iaJ7gR8TgjR45uPzN&#10;euVUg3dWXZD15q/iDGzCRn6TYYaYwnvuxLAXDR/8zKZPMyjTw2TTO3twAVRM/3uMbbXj0wrg8425&#10;sTUzJ6EZNxQuyWeHaS2RWWqHUttIgApxeMzTBNPEUVS40RC/fiNI1j51Xciiyox2+Q4Rf1ya9Sda&#10;mPyeqHNaix7rQo+BjKERCrXsxYGGV5s0Aw3JomS4ACCiHUufdWMAnvz17B9aOZBkkxamzyA2Bqqx&#10;cf2MfGtuq6/yhh+sGxi/h+SJkSi++LnUwyJqNwl6RU+r4Y7aiLLl54KM5ejbVsoXrNwoLoGrVn46&#10;HzmaRYSDUVbDJjjU4LEIJ1bD8iCMJDuFxNJ5d3GZeWC7ZZFX40mv7kfegQ8tNzKV+vpCiPMdDSc3&#10;AEeIjyjKhoVrkErIKoWigcqC1U2UC2HRQAlIhQ6tKthHzvP6+Xo9MNyE9//z6rttzcnkMDUqjF5n&#10;c/OgH0gJaHe98/m6X5/iF0ii6wJVb+Ib5dDjh8NIbwyupxj+vuB2+OovYWNyx7FHA2+qdoGiHhMo&#10;Wt0J3MImf1Lqk/Qq1awTNh9vRjJT2k6dnF7utgGVWb9kTDAg3ZDgklSnJLvpX6mXyeSyFGrzqRel&#10;wihzAjq4u/QJaK8W9efSW2ejtfXKdSTGEHp0R/hZkm3BiZUiRaH0eJV4vdSjNfSdbuVK5EHUSoGr&#10;BsLQ/iiiAkd2AplcGHZKQ6skinK458rSkPfBU7Hvkiklgwso6URo514sXhjikI9D2YeGOLn1t02G&#10;GWVHSWFM1vaT2hRPTE6F7xQryN0PnRlt3F4tws/Hpk/5ZiduXOIn6EX9qBq/b9CXnDzygPxZtSwG&#10;TQE5QccCeZX2F0bv6bKereNKzL3Y4oJceUsosqQsNqq4+CaPMxpNqbFfcnQXjWQmwLwM13kQuaIR&#10;/L50N82x0KZxQC4I0/1GayhpEGR7ZaTWQG0eY8l7qbdyrtXy8H4LnYttfGyXkMwp3kyAbZMhv7ra&#10;w1qY+Mq7MJudAvAmLQ1fMsnalI5z6DSIOAv7OvwGeap2zAhtQcrI5hlWykyL6w/ScWCkD+oqFak5&#10;Zpao9evtlF1Hn1aNHjfhyfvgPEOCUdCCy0FUCsXphTYqWRzuMo3kKdsZI47swKpl1xkxSywwP1Zx&#10;cSG/NQyoIEyNB7Qw5hpU4t7aTB5GedkwvBmKqoXIQjSUDsovlUQG9AmWMjQ8LFmpKew3ajXZeGu5&#10;VUHGcOx+Hxie536c/AkiaN8mLgt3zghR2miGw9hjR27flqwmm24t15r3P8mzBR4u7M+16ELdHFXO&#10;LzHprRpWtO+13/bj28aBYDCCWv/ID2ofDKBkIfSiY2/qUWe+eVPYVNtZbibm4sic84FxXRPYrL+B&#10;4zjgUybaEPoDQj51FFTVTeVn3qxeDDIaYxU7n0wVyGuimbb4AWcP77rr5umC04Hk3f+o9r4D28fY&#10;3cRyDgK0x6GvnNcTXYf86BvF3asfzB37RlQiOh3rIdQBmJZIjzYjzJ7UsxBKlDUIhAVehDY2q00+&#10;E0wZa7c+3Ec2SSA0W12IIpQaNYymVQ6QorQo5VOvjvjtgA4G9eV+99u6V+EWiW1EdkwB+1/YD/zd&#10;fprp29JNrgPFbu16Xf2nwCPfj0m9CHwMqg42ogKZcNof6ab9Xld4/6a0HhVvdeI++k1/WHZG/2Yr&#10;CaXlyvdl+nyIxXZ8xTh97aTFMKFJjmqyZioltPhIBCIBKfTxrT4+oOW9+rEI8SkBXfR89Ootx0um&#10;fMoNGzd+5TOdCizmPcdIPzuDP2+E0Kvga8Gysk2kTYEofRF4EqvTa/Wt3a2mGQgUp6ZKZcJElng1&#10;MYKsxFmuJk20BpmhVyHUCSWp1atcLLHVk+STLcX25yhnT0lYTODu8ktRHdkQBt4resuMidxkDwTh&#10;Vye/ffgZBcBv4Z33OQCiy0YfhwM6DW1LXGUmX8vVmfcX316pLaFL8c/DxSE6tc8r8XScKextgSV9&#10;ybO1mpPmMSmD2FsJjmVp3o0Jd/stC5dX8EZf1Kxh9c3dMrZw83kVuLwH0seKFSFXx6YunQtZNmhS&#10;scQhXL7NXAgpM6qF86ThDhz57HbLaXYovANd1W9x8bxEmb51NEgt8a0NgemoosyBxfdZzd0RrNIO&#10;0knaFzb6w0IzCS7a3wWTYOLO8HbLUEsexojxJ27/XgjIIdBf9vO6+/7n43csRkfKZkJlJCIY0BhG&#10;lebtRxkMJNd0tIIC6CuLVJzse/HXi62f/YW5AoIF1ZcDgDPS902uP1n7kfmHfYujygSFDj7ybv79&#10;Td/axhGglJ8M7QH85bTAelXlCvyjx/E4OG7cvu0PEQnQdAKPO5H/AsEe0Nub/BpB7dy+tJ6Mg0BB&#10;cP5yeWecHlqFV9swLIU3O4/1Ei1ScmmfNFdp4QWZb1fjWJrE1pegRntyK+ervV6Wja6coLQBswLC&#10;WWnvg3wa8pCfTntq5YaRoXJgVxCV/PkKSv9JhsunQqaunRyHvPg5ntWZWiI1Z6PxU/yptC2KYNXe&#10;CDOSjlhqcq2R7U5qiskK0YxodaiD6vXC5R26g/7t98KGKAMB2DztgqMchtZq1qvkMiKTmNWgZhii&#10;G1rkzYm/028KFb4gjsJHjq2Ug2z2Rsy61LdnEjujomWojnllpWFwDdxL2SgMRhybiLh9f+i/iBHx&#10;LencTVNgPzoVEE7yTQ7Xcd2GyGjQUqFXyWQiFetH5LGStc4nJM39uWAuovk9raq7bnRR+7EPlKiE&#10;FgUzIlAd2jRyTF1qXPX+KcwyCBejGtInOgo4pjnWUq0fNdlG+EMdUxkdqUwOUBXDOQTBaRlkgZqY&#10;6F6RqI86z+Y4A+17yRYJ67UnO9tGsVN5JePXAL73zHeVjDNmXBJxliyKzkgjHW+YMJo7sts6g2yL&#10;kVBSi6lojiYfqswHkYzPO2dvZouhmTU1rHb0FobJ/8/OQonwmnQevu8vbkkr51t1Shv0msU8w1JD&#10;2YFj50mNLcGavT7m6ammNHTy1Tck4TRtiwq+DjAnC8sV5n+WlWPOlLLgaq1Ri+fMvhe2Q/Pm0jUF&#10;5aqs5SFPNr+gOmM30ioASOD4SKg/RN86zfgXUwZAPehUGC0LSOEhVFmyg4qFH/YjjbWrkEhBwT23&#10;T3wsQHhoKpqhRCrTccAVy/AMPOv9LPfneT15qJdNLWSq94hsZK4mS7QqOYyMfmJ4RSEUBM+saEoH&#10;4Yj6431iuS8MvskXYdmqjwRFEwuxX8QdsUiYU+o+74slN6acnLgrfYX4Ztj5RMrn14v8P4UGY7CK&#10;NmavKRlgyylLslE6h5RBrgZlKikxeLgYMe27L9Aw++qG8EKUO+Yg4pveGNdYw/p1hZGKwDBXLRfQ&#10;O9r+WMvo5uPK9SLmvt2fZ8EWqwqsEtAlLLXaoGipYQrl3nAhXnHs0UOSxiNnril3CjlMt1hIiqyG&#10;7Kk2z/Kp9Kc0IR9M4Bpq9GxOJdP1tTsf1t0QUJsz5iEREPMFgqD+lp+/1G4zv0U58TNRbAmlWQKQ&#10;n4UZQYeCK7BFAcHS115ii/h5eWujI2olZvIgGs0SoEXDXC0n2/4xFEDdtPGJS/xXboWKuKEpQtED&#10;Qgo0nTNYNcrY1pRLysb+DvLKRiM8NAKQZT2f9JwT0YcjJGIfjn1/QZvS30a+mYNYOAjPslcyVumR&#10;/R5Te7jWyzFhhcORjd/JWdtpzaIofd+rALokIbYGCknMVPUzY5vr8GqdaU5QscgvI0pXgYuikj08&#10;os/iYXjKVlFYOGAjJWFErtXMG6u02JYRsZNRbM303LgvlLXWDJMZxU03Xj93XJ2EqqRcS6x8dPvF&#10;KGQ96jZ55G0ao3YTgsU/O4pMyBjfQ9tHneSI5BhWHY2CDVKb1K7fow7/UNgt88oW/rT/tbVwHNWV&#10;qYq0dzaq8+UJM0ti9kBYr96WFFGutmcT59MC0Kl9DJNbUc0wF99sG7M3kByIYNzONkaYmjRqyFHd&#10;1h82O3vEzbR8NutUhzzrYQ1IYD/IVmrcpH1EIklzUwUjOuRwXralIoA6jTDQPKD3HO0UtkDHLUyW&#10;GNzxNzPipZu4wCerg7WTLC/NjkOjDMxsrXywDvt1nv99Pk/pKqIYm7BDqCWIZikDZRnKVryeESdT&#10;kgybz+Gwzj1D+Qmb+QhVK6OhOlrjyLYGLSbdDtUpBvtAkcaTNc7P/a98HA/6yWnWTXJIUsEb7Zrb&#10;HAvbCSkz1i3xzkJUe3Pj4kmpSz/OM0pbj8CDSblW+/Y76vkjnc+pQLZmIFcxfF1ZD0gMa4E3DUoq&#10;C1pbzq6aEEZL2DaMk17BGo2TJIAl8T7DdXpqTLXAHcD480hizr7tTnqEBPE8XvRKsdo5zxhDBKXo&#10;3NjsrBhsLozNTIJJnZUVg8dPne6b0TdKWzYnNFZI74CQMkSYLeGiUes1XHF73I7CgAfQv3h/FPZR&#10;0ga/uZqoaC1S2oqxQErijaHLoGcok+2pKFqIXCrtLM2kh6hsD5Px7R8iRqlfzkEVJ9C4UbCnMpeD&#10;NyB0KG6oFRiEkG7NAos4UwXKl3tHTYl+Ae4dAAEuDgUT2uiE/ZY7jxuAuU7wC2IQgO7FdmwXIQXb&#10;oAGTf/f34wBiyZRrHLHzzqKvif0hQArzB32rV7UZkxoc1LyQxtGswfbe1qOQYUyaNTIRE9DMOYOR&#10;1DQoLuZZH2J7VmZuX7MTXWiubVhSTSdjRunuUvBarN7ISKjOZWvRtywEKrHjllUssMyKaBZb9nMd&#10;tKE2UlOai6TNWms80vA7tLOtXvk4M9LDBHx6fvx71ubkj841cpj2lyFhHFEab9Ge9mXGEd7z79zx&#10;vskpKS0yLEzAgWaxRHHU6JrqSXxfDY4fTXboE8Kmib8hzOIoHKOOhYneHWf5VN/B67xKvTjLb7FQ&#10;yx4d2F3sy/neiwzNC+O4h/SGG6jYwfBd7FOJrWUqVmGXaOihgEXOxCR7nolK2aPKoo+aiQLNAMAZ&#10;KkN/9G5Y3imNVRoTtFLvwUZ3zV4aDbfmTBKzP+LnZctaCD5mwA4LIfibiBg3PadxYIccGQLLEufJ&#10;z3LpSPoiVbkpzifrLmNl6OKycNWr3+IHNaLNcV0PvGaU01x7af9w4G/2EzTdyBcHJrHaMZ3njE1A&#10;WCJJY3VsX9/GHoqAZ2V2o1cQtqzZHqtD7J1KR0oXg94bueE3zIJZZCnJhfAc97+POVCIllHugam1&#10;Ro9r/FNg0SAiqDXsWAbVGbbfGUEiTYQ8pS7aFnnlMB4j3rp8/7tlwDY/iLVgQSfVM2fQxkXSUHYh&#10;OMZ+cLxdLNcy+5/JnhtMVndazrGP1rB72pHn+UHtetEkTmNRysmVVYpjxPWG2ugQmIUtR0auw8C5&#10;g3dLkz7eXSaekj4ElP4+y0cPHCA9Nvb6qcvSltg7QY0H4zk8LCjVSjp2rZ99w7zKi1nyOm3lZi4p&#10;zPA43u6X4ChIR2py3EdupXVD6VWuZ4sfHCSQP0fNTOyb0PVkX3+TW1FcfeVmk7lfmX7an3pmJKGt&#10;UBmOAf1QLDcD6SFd7ofvtG/1589+mKw4dtzUutTXBYjgNsoQrlUvKo1BQQIOqUB+FvM/y4VlEIWg&#10;PZxyTlOfVVLbNONW0SMNUvRobDcwNIteNfgiHtuYJVfFqYAJIQt5kkuXgh/nsXuIDAfQtsaBV2Qd&#10;Qua711PWLze5mOcX1cmS6ffZNpBE1c6AzenMVGQhBVHi0zkmt3mAd2uTr2t1+uxGiZLaEqzXQlqE&#10;zyOJvoaZ3DQEGrYlVjPdJoOzWJkw5Q1hpFKPaUdsv1PW3sBvXquuJaLbvwMtBHjCcpt+x0sTOIIW&#10;0RYjGyLTIaC+YZ5GA09e5DHhkdFadEOS9TXcL2iggDRPLJKEOqfOlyt+4zkqbI/QkC0mO23QHHyR&#10;oax3m8Z1dXpa8k+XfAp2s/nCJlIyv6J7U5tN15URzzuBlrBDmPlFQ99/71V0fOPIiJ2T4rSx5Btw&#10;Zhs2Og9dHeC76TwBoluEECbw/GyDKt00t2LTcSRFIgT3Zphz0Z8E+ALeuF7PURKppaYXgNncG5Y6&#10;KwughKCNLco8cDvVG9VtUN1848RIj7OEHUkubYS86J5VOIPmqIWci0uFmnexvx3Ht+0wPQUvSWKM&#10;H3ME0YDcdbClKY2USiRoDy7P4f7OTNz4ZrHOujBqAZbWPJy9DSnUOPj4KagtQ3cnY7Njm3227Nb4&#10;Ungs0pZjSDVjctRqHmOodXfuEhcLrGSKNGgVzVbOZTHXkEbAZtIXzaDQXGXpMjYBVY4xTp+OoKB6&#10;JDZAW7ZMXUxS7wL0MkaQI9PHxNSKiDOOOYucTTfDRhM9auF+e9STc+mGzARRxdU/pwm1Um9PDQ1N&#10;O8pXkqYMFSedhRih2X2GqD/0xS9ek70onlCi3sfHhpliNWIFvsHNm0hKawFmBXm2TPbAFLawmJau&#10;G5EO+AM4Em67D6zhA0nl3AtReCyCNxqnCqyfljxF/C0KFkIQCDpCI9tvhf2AK6E/icdW+rHhvCOH&#10;BQyEwb51speBUV+AkFvzl37N1EDqT8qOq4XMlkzB81XLZhpoXGgygfMq7W+/xbvF9ma6a8OA5ijq&#10;5LFAcbEPZ8bG6c6wLHD9qw4vwRWJaZiBV/hJnCr6+Mb5TBN6PVMdGgN1rXEFkbEWOcc5vffnRqLe&#10;JPYqUz46WDm094DX2d0cstEldrZ5orqGQeoYRb3P+ltcZ5uKtffx/iJljL/Rr387FA8PbfJLgatd&#10;2fPVHLs48KGR32O5mjcufSNkhHEwXpcVrRVVA1ntl285Fmy4xd1TalObPOGwZDkNIc4d7OgSuT2Q&#10;l2ZKvCXcT1l0Re5XF5Q6jUZjuqX/nLnpZab8bPC3RXdoRfsWORTc2GCHxs0VhHHcUuYoaDfduo6e&#10;8zOej14hzZMjOPohhqf8Jt1rCyPBHJJL+kGye3J0VnAiKP7uWet/vz4/L8ZrsiGpINp+0/UN42PL&#10;x35kep9HarCBQZ2gqzfWt14kE8lbEPKrAMAmF8IIudXfy0nyLzRNbnV7Oejtt8hOLSj9FtF72YGD&#10;sELdCqd90RnRUg14mge5SzZbZ/Qutk946gkz5SVXhnu03C7umtiDGbUTDYoiYWf0w98X4bNbP9Ud&#10;7UXbfTtsYFDQvep54/AOXCrvZtdWUwSAiJx4IU42iN6SzIhUsgKB5UM3xJUxx3ntSzSIv53Xlyjs&#10;ZO+Bxyc2fhNH2Pm6RZk3yfT2QL3gnjHufqoZ1D8XuFCZTrcmcqyxesF2UxmPgD1/CM1/I3ZxkYsA&#10;7E0iA5LX0FTv3wxXSqgTQMps6BF8sB5MN32DGi/jYyehHXCjJEbOG5uzf5U6P8m1BGH0d1TAvaja&#10;H8nTrHhJGcNUeLppsJXEvGM+m/umtZk8gyJt0+RI6FbshJK1oUsTSScPxpjXxZKNMbuUpObHIT2X&#10;neTYtKzkvAtGzp8eRdzdzcelugNW934A+QUaUfvI+fRGj6Rkra3icF+GvBcwkHnBDdWFrmgNPUb4&#10;LWdI0dpoMQzagko6roRUTNS0E+fUZlLPlDu6CnRSH76GqyeT1piMz0lXE6MSGIHr6UvNCsqpp3Sw&#10;dRhMz0aZzFuF93sAg7FODKMUlzLQaxZrtYQ4tf3LVFDgv+FrNznFl9ii+Lbn6vlYG57vrBf/IcPn&#10;G8mXg1e2WIpedFM2H8HWLhYTOijqjZoheHnNG9LHoaclL40HJTYgRSZIDpNbZOttlr+MDiEizsZj&#10;8M3XpZkI20C0GJlqwIuRUuNkV9uR51kkWThfeFC0zcUAe+sWx2FcnuW0+RA3LXosi/lugpy1McPm&#10;VGO4Q9Ebdei0FlsrUpK7xxyEG2Tp9UETlMybhm32Bbv/iY/Gr+v8db1uBYs31+9TXqQK92NHzyZM&#10;drdKLny3Jz0Dj9yryV3fp6o3Uu1BNhDJBep3nr5JxxIJ0GFtqq5yPPpmC/NUSJ6mIYnN53k+y3kJ&#10;4+m11dyEDcZmLkdGIoGKgHZr2iiNwYl7d+hg1WGEezZdXMU76hqZ/jvArR09Rz/Te5nJlc2Wsjky&#10;W5R41+IwTViqw7AJAr3Wd9/XZyqmVWF/CCHsUvSbwEz9D1Oh15Zctk3OVrQxOb11htRjv7DqowvZ&#10;pkwfWsJBItgI47sbMgrgIidIGnmXCe9ZMrEo4Jy3VMzE2qSLiUwBYmJPL7Yo1FTxgeKaPpxqdxL2&#10;+F0p1LpE2EKoaC2mPcEdVthGefRzQL9P94++raIFfp9CIiHXS7xAgGO4buS96iTTn7DrmUoxQTur&#10;wLLt5/5BI4TSgFBYS1twJY/N5mEC4v/+ofYt3Aorlpm471tmvPKlJu4k6uN5pDQU1WO/Vp9n4keQ&#10;+lrW9f5fCp45pCC5ibdko1mIVEQ+zA/qbH9Rb/U9bw918nndaFREu6jEMB3WPnlaJliDrWI/Opi4&#10;vE2VQ/BY82XMZf0nqVsoqldhKI98rENjEGSh1kKedSZNlpi0bgbyTYyF3g9NIY5tgRgb7xFanTYB&#10;KO8DKIN7utQgm5zUFnYegzxidfi65wJvo3UrGOJ4DyNd0NyS1jOUGNVGtRJ/zqst1BbZkm06PaoY&#10;Or8B3uJMYZ9jETptFdCaPOJez7VyjvCd9fsi+U5Tfd2XnDaO1AsPH/ZaAreiRw5rDsft0K2XcbRw&#10;J2c0DiOLJzhowoG/2M+ETOSiLNYYm9H2luTmEio8JcEnMS0q4kcdcYT58eVZnKEE3F1mpMPHrmQG&#10;G5U2wk4lg8wmVtERbmH2DC6A5SGMYLk2y9Sk8Du7+JaGoA5/dW+XXPx8CG4qRvHnH+hb9ce4/Thf&#10;iBMCThqPNvL5qoSLWsRwW7iQDS/12JXbJwdkVRfxsW0fOR1bAoIsRRsfyjjoNiUiyHEtD6Te5irg&#10;Y6lDApzJ0JnwCoc234yclZWeeyUisD1Yt2ZDkqJFtVtcLDyIN33xF72KGzNfI1UGRr/vv3K9KLwU&#10;c8fDVdqitV5Odzy3cs6UmZ5T3ZCQSOBsdQRBwzamuJ+0NCPFIvHZnmja2IRMtTCAGzEOnz21oGr4&#10;Wj4XvrmyMY5AIr1opMD5fmW01bPhkXvh3jbqnbGKp1oM4J5SUQgEhS1UXaKTSPo6PHMm97dULIb5&#10;aA/TGUsVKfFsVaYLe+/NI+/RX43RTYe0qFKiXXfN0fAzT444e+WXLqQxtHy/mFG7V3BbGIjiwyg9&#10;NgoqakZY3XqViZ2eSn4zcmgv52OeGEiEHm5lTychlDbSDphL3WARKZToFoWCM5HOerXM0dyuWMXq&#10;BriG3ynvu7IBVYpGzYkRZmXkJCGjyUD8EBIF4jtD+k7F6lWbubOYDPzBAlSCIqRMa0dvatGXMewz&#10;ijQz3pqVYXawyporCyikfaqGrcVVdej6UKvgNL+x0aCUn+9BrkzmUFCAxk3mYrBXie+W82iEk9TW&#10;cCEpSD3rWSo+whfkcFn9+m/Yourxcda5pPTbo7nmVHLtyFh0inm704idsD6yTGBtrp3eoLV8kzmv&#10;k1GZhVM1IKq252wLLR/krb4BYv7H/3gUONuDFnDOdfsOQ8kjjf9SyrvCtTkxpq48Got/ih5EZOTl&#10;hMIutQUk81sxOlVD3v8dIDJJDqaVlIxmM6FvMK1zSab2ICqRznoIEk8MJGkSl1l7xmiTenaUF/ti&#10;znAqvzGQthljOjHER30K4+MNX28hWyJJBmFB8dx4OLRLXmuHaAwlaV6qBTha6ET0Yzgj0MK+5X3D&#10;rfjzPv91nq/ruhg3KKnlxRhqANv07hVbDwf6NqF4yW4Y+uvSwxwIkGMwfYKrBh0+/S0+YCTOyeVL&#10;nM9lszKQrshQF9Pws3Eavz3gYEcWRKnU3wIBVSz2rKa3QxgDctkZvuC+uEUE7VvfVdV7xw/aNoTu&#10;4sdfKLz0pU2KX/g3cdBtDjWmFpldZKY1trYM3g2pQR1jsCCmIZzVzD2KJ6CfDk8622IcUmcdX3Si&#10;kk9XrNCqpzgAtczZLn0U8v3ILc7dAr/SqzrEMFlZGBl0Rzcz20kIXo/wq4k6Lqkd3QIGsTIGXYnK&#10;FpDtjzdaMskStuoGW3pIQjwDco1kRnDKNBjGJjTwuHFmjBNHVu1oH3A3cVVGZhDMQReUNXIc5s3v&#10;c9GNNjo6ePaGvXNP8v8pWjbYsTejk1xvhLNDCsRdOZXto7/DXZ1SzlwGwNlgVVAAZEbl1hNM3Jv9&#10;wtp/8SB7qDIwJNL11E8GeE3m0/Sb877Kj/PkG+Jai1Rn0wdQ45HG0quQMk5VgPTMyL/EAOJ123n0&#10;bvV5o9GsPTh7MeHXMKSpZdHZBzsKh8Z23ndTQpyH/rWLP3qYSYGu2KopDFIQ+kxYTUbotyFZ9fOY&#10;++z9bTQHfJmCpkmrhdb8PdhhxiAzYXITEMC6s8Za0c7Aj6Gyz+WUWkeFvH0vOqMFNZkqG1KOmMOU&#10;KA7vrR9nV32o+n4xLcBuSxQbQiHviQc3ZViwg2mp/zCT/RIu36ITw+uClxk6o2yRiHFJ1mvSMe6c&#10;9OyRabEzqMNkRpnNmTzN7qEtjdj2viYOF0ecbUbKzpTDYincVkn0I1HCCdfO3plRgmmGH6Z5Lzaj&#10;EY/7UbqFvuiP4J7kxM7oRTRh60miROPAWnKYDE5zFR5a4gr8NGsJNjQP9GbVjeVQJyZzyHGivo2c&#10;qSZWuKacmj4hx24T8cOuP16BRdv+uu//99fPH+ezcfCo6FdOK0PW48RUPLMEetw8ild68ukRFps4&#10;SbBzl6orbjZ53nMyTTbK3xttedy5+4J8n6zvMovC5oFQvA3wyRSBTSF4uQs7YAZTNh2XgGcEoRUy&#10;zDZy0eyOVLJa8qBg3GfPn43cNUqyYnjv6LxRpIgwNSWIchWlW6lWtAbt8qEaG0Vj4TGNjXMNUt93&#10;eiTuFxSn8L9VBmVtLQ1sE4/OSJ+s0cpvsYJwKgIdF4YTOkaIVBSUNQWPWGRFaC2dWjN8XEpwzRzO&#10;Cb4puiTvGZR1zKBS3gUIcDxK4x94WKVC5Kb3bqMbM5nkemM2uz2OeoJ17OOg3724RVUQ9dL7QxC1&#10;4gnmtNtXwuu5kqMmvXFL8WhlGe6a39h8pyhpufQNeDsiS0YiLILCeCuAnL12FGyon7Cu+36GCrxZ&#10;f09bo0wVVG48lN9QSaMG51eGswLaJK8THXwecR78NV7s5C5+kXNS6+fF/tBcF0fMKPiKNFx8Qwd/&#10;UZWOpZvG4fsyZF6BzbccSTZWrC/9bsIIlC8/nH5tCTxNHk2q43SucVCZmycSrcL9SXeGA9maRHGY&#10;7dzvOcdagmJSdMtxjLciNXO2hXbsEVZOsI2Av4UTX6VmFz0BqZPMP5ZsRzH+bBuZvqYksFw8kSZS&#10;c9V1nLldrYUVcONeRjfWrSP4YaWIwcPCm79+cprazEiwjJT2JiSlmz8l05srapxLJycbNljzAWF0&#10;iaYv6wth2/tHiuzR/hebgzfVCI7uXeGuo1T0dEQCcSfKVRFuwU2xuj65fv3i3Za8ymSl0Ke+xu4B&#10;9YfY6ygS5EkBaBnTaIvXUYnaTVJFawWgWI1TL+Fp3A3WJCTJTjtFUctQ5mXodHbmWbtOaSEUJF9C&#10;PLnJ8nVLdXuBFxjGdCFyzHBCxkgECNtcdwlykir1eWgP5p4Lj5qlt2Yc4Dd44NKv+/6v5/M/f/38&#10;5/Pz5AZzZJP0BeTTot9XmROEfQstRDYwDe1glU1VCthSP0kmmpjtDrNEX1uxbYCPfLE9eJX7Yiln&#10;UUrFdNkJ9glsMP30jSM2yb/y5ieemt0lhDWSGYX92A4Ja7+2Hz5lpCmtFtYTfS067/LzeqFkQDDi&#10;bSHvtRpEYgnt9Ca9BkDyS5VgmVZscuKGK9MI2Nqk4yljQbQcUzjIkKXhnId9XifgLH3F378VnQlc&#10;sjCO/MkUYr1APNj4dAKHBmfT6MIRA08NDOlhLKUBZPt9vI/hiPIciOVG2R0bJqp93yXsi0FclBvT&#10;BNwPInBNAOgDmX7VqkU3wW2Cgv5njm9xe1ClU9Q3LrbhUXXPLg9QCigK8emz9VFDuogGA9obRxMY&#10;7PpNLNqLjfL1Ee9o4hxcQRSdcMm/HGORdX6t+Py3Zv8bhimGxVBth/JXhIBSz76H4f3UfJ/9nd3b&#10;gRZ8YeYfJSLFcFJ1F+t3EBW5OhCRWpgVzEblln0Jxhzn9uGfuOp3cUY/Rw4Xi1Tq6frJL+qvqHzp&#10;zxceMWtkzsJhILlMZB+n6HXE0tHAnnQ4MnQ9u4i/NzCac5bbEt2TSloRfjy/NFWEAfTHtBsNPdTB&#10;WdZMdVn5LR7Fgn1M6zyKE2N6tTkpNBBMWGJx2jAftJkmNAUlLJvazMYdesBVZDYm9OkN7znkI/4c&#10;xtFEjQPbGYe0u67xCr/lF7VlbYuLJe4teFd10qof9SCK37loTRyZMPU4o2VarBaMpDnHInmVffI2&#10;mF6GKHOYd7IG6Xy7Mufpj/ZS6VBLKg7VZUSLLNSzn8UMq8ZEBeUicRVu1tCM4avid+nzcperThsd&#10;CqJqwig3zIc5jB6HrsxDRlsY/CO4A08nnixEpd9GqEruFOJgsk1bhgj9VIeC6HbxrW/eNB6KzUYt&#10;gCKYjy3/dRz9efx1Xf94Pf/1el1MNPVAWpsSA3x4XaA9wgbFWqHFhSMbNIHbaGKvvG5MGuKvONRN&#10;p50dhBcyrErZuPuKuY/uE8ddu3rIOKPHPWfrd/Mn8fU3ZsyNpoGlQsqB8UIXFaKQBwK+822mCnRE&#10;+8ngPp/x84eOOkU9+JRGPyQ45c7VHm2SiWa8+hJvtEqMt/ymGn3nRBhBxcdj5hnod9w4pHpCvdQD&#10;Hhk7liQdQ7EcBU7MgskoqtqJcODBuU5greGReewSYFGUL+IK1ETNcBfwOKuxXz8N9E1F4hfNLFsz&#10;HZmUWEihoiGdWSi9QPS8w8wecBbJEVm49xmsDICfpKrZU6uF08LYcLW+98shVutGgDC6jP2Xzk/4&#10;GhmqHMECrax6swlwtoP5Qmh+p3pnOg8Esuwf+Uz5teXCe4/k66zlgJqSeAOJV/fzhfekah5d/Xiz&#10;jOuvmB573+4rs7H6ZwGQhbv9QVhEBQkONnxM+eiaD9uWjwf2OXPKtGF1Y1Iam8XMHom4n5HNQkYg&#10;WvHE1YbN5ZcqPvr6Q2ePGZyC+9abr2AmrRjgV5ZVgbRG2hgcw6BDXI0LJiG6bp9AKRETLeWUVV0c&#10;3ULdgnW+A5pUNeF96x6GacRWe1RyiCGwGVFasQggyjdbhjHWEZ1v1BiPLVyi/qyBP9NqzdTnJdDb&#10;SGySYt6yzOdzy89bzf03gwz5IJmFyFqyHNTXgREN1s2L86PFsMYDDpGJLcZSkyYLAWfvS6PZ6aDQ&#10;UTlVx7uMopyn5iA5QgYtGk3IHAcuJS5Yzepio/bFkWGwg7E6e+JGgg8Myn6LBbc3nynLtEZBoYLZ&#10;oges/kMjSsPjawrc4xsKq5no3M/pNVgCje/u9MRjwGbybs4d1eBxOZN7RmO1+0qPkzYhP3Bo55vo&#10;nly9qzYTgU0I0KhE155sGbaGMvDD8SPlv7bt2w5Q9ud9/+t8fZ59C9QeaH+47yK/ADMsYZEyF62q&#10;vqybUoutv1tk24BAqJxN/oidCLvdvqWN8an0nOiZC/G88bfE8Q52EDbOKkgxdy8Ti1oRlTm6Fdvn&#10;rVXmiFie71J+9gUugfnCzi17qSYowM5arjNQlzqUmVMeXpdnUF+2RIlejM/FwWwIaeRTm0I5hjXh&#10;fWW461iZLHWsF6qv9PMf+fwMmFJl9Tbrlpdjrc0+Ui9nhYBJTE6kV69Zt1A9+eZjCQVkisaiqoU5&#10;prh4kL0wiFVz30r+1NZrSm7bD5gCZVLZD3YRGxfrBrkQwQJ5eEcl7SWLNVwvyo9ohDeYlCLXgliB&#10;YQiXth02CWx4LiFsd7/xr30P5/O4zn4Vrm1PVTnmXKOgiIkqlrFEQApSLDJQvtH7MgFG/47I92ne&#10;+L+QT5tvuFNO44+wrOwXcL9Oog3ifl/4B1pd+52VaGJh+0LpwVAYWaV1HDosJkYqByGr+2U4ryMy&#10;k8/LBrVyKrid8QNkwcCfWkX4e8R0Q1/D4UWl/Y6TR+1Galgn6yx5X7EaocqKL9vsXd6pUb+As9Yg&#10;/WqHe/PUhTjNdmmUdH6+sNWcUVKy9jAsN9C4lmeF6CqCMEQOHCKWZKPa5tOO5uxA3xaiC8U8jd3j&#10;0b3FO1ugK3J+WcvbCDoKX39zBZeMYD4f+C1nzDCkl2Hwrx0GPwd1i/nCX1X7XZbdcmGtj4QK3/iJ&#10;d9Xaat8QzXnvnLUWxkjMhJ4owuBE14WhVijFapYNnJVsx7KWr7mOtd9sTAKr07sYSIDkKV9d29jc&#10;RuEMqMFUw4G5Hf4R4pj2UbeQCdbf5bBOKkkjT8F2R9zN1aoaLwWNoJv1s6bwhrgXtsB0QTFaSRaW&#10;xLtmxIFT7lb13pnHEN+ziCFRRgBYIRKGs6ZkxmqIzciIYh6abnjr20R7kPLAydrCjj/5bdv+/nj0&#10;h7nvQD+u66f74bT/9Bf4cb5+vuCOSAytrgrc4TaMgHja4KnwRhvzoLkX62KpyFKPMoZjNwqcFAKL&#10;inwYsq4C1oWK2EKy8NlgrApjyvvOgePN5IG7XH2p4krbLua2c+giGnJlUzTLAnED49KI/q/I94Ws&#10;LuSPv7BH3Fcbz2BYHuQxMI/ewB+FmreLortKpgZNv8YiwE+u1bNIbXOsLt5S97P2hbtXOYENRvHA&#10;1MTtS7xUWUuglNrCWlizE2YpT69NsEa1hbwSVp2H3U7wvlbkXbf8Qtssk4ek8i+ANJY10LC4l3rN&#10;D6pWrynvBHpwe6zQNnYRK3dZWF434kmT1bNCekAMBWhnFJm1ykGOdBGR50Qf45xVDR7vRlZb9BjD&#10;hDuH00Ep+gRDwwSa6tD+OgeNBIYO3z4YQIhJYcw7lKWwauDR18kyF8Tp9VvmZMoz1Cv7nk1LkMy1&#10;2t/76wI5SD4e7bcIr8At/21nL9RqYvzNg5z3/uovZrNYILZpmJw9HmVSQkPCW5i4bTa/dczSHl3l&#10;Ga3fiAPb8GK0tz2gvcfH/Jk9ue6MnsZn388MlRNetGXfb1Y9QltrsvHNmyhQbbwUZ2PVGwdhFLEz&#10;hdbPiOQ86bkwVGPWYSClWBchCX/2FsWJVxxhcy7hyJyYPc/ln9fcI6NylynENDbpEEyybyxNXXx3&#10;2aclJ6n5ozgz6EcjrJGmHg39tFy6MKCfNnesiMYExyuZROeOkO0qq6FSdqGVI3nO7ehi19GIbsoL&#10;tuy2Zn+yjngHOzCivWDnjm3t4CqijZOSvpNhcsAGIhg07rhSSvXLUAGUaZkIE32bvNS/UkwVZ5Za&#10;z1N0UMa4e6CyXRT2RqQEasVv/qxs7Nri1CvFNlOQndjnZPPsqzFJXTww2jKWozcGXfE1XCN2E7AM&#10;bcrS486RnuX88bpMTZOtdCfUBBLT0Y3YQFiqmnnyeB40FcukyVBBWv7r18/+Lv72+IhAaMBu/Ot8&#10;nuXeaB1oKOujMiU2U19GTpygyyc1v+oUlZgqLM9jf+WUEWbUX2dHO66+WM88Nub24mEqCHLCW4QQ&#10;RvJd9Ohe/8yvn7fcBQtZd/TcWx0HVO7BpSzR1oxxcSZf+yIpfheLGtV6sp/aiJy0dK5qGc8FqEwi&#10;aK6z7R9xUJjNbteIHW6OujXCC26OrMoHe2lAjo+rm2hpKGjfBYI3kXEeFu0Ap3pIkGYXEa1Ojr1R&#10;Quup0p+9y+2BO7gODbY0Co33j3A9oQ9jQ1X57HgP8vhBkvNo95OoBCQKSfwRSR43hAhDKvpGmO+7&#10;fXxvHMRKQYtfSSSe7Ic6q3iO7pvRBNt1Q2CStodell74m3l7uGs3f6LQN7ivXk3W7SBXEukUYBTk&#10;Xl7vKPL6Rrdjjem/iD7yhh5qP0ptj0dsopRkZiu2j36bIfAZ7c6M/AzY7gn0xA74RAcHCSdB095g&#10;GrH+R3b0NqqP/fAGNnamVTo+krGB0F+9LU9W/eZNXuDa3MS7ihx93ldNiTiXYo8Hn92G+mZMN++V&#10;V5Kji2ld18bTkPjXUma2nNrIUxpWg1HOxwUEiY9fNTBqFivfFlOfxmDJyEnuxlvmdbaFEIg1xm9D&#10;s2rGPoG7Qh2ZeRqrrwXamw//i3p7tTB5rEKTlyjIFO2MwWFDCW7ub+9G4LgYT8YvGfrUhyIV4Zy2&#10;tgzfU7ImfZ2NITPwxt2YKfGo0nOyZVoDxUR8NXbnB15x9qqsLYPdblOvZ6QfRyuzWYPyI9Kup6yl&#10;4mmCWxOEAAfXzeNoN+PGcAia8gCs6Og47ISuZxjhviPkyjohGq0Khx1EsU+eb4y5BXzm3pC0pqQw&#10;R3eVj6zZzLg1Q3rxFNg/wglURJHsj7tm3LPJBXWe3NC5InPYWojWMrW0+2g4tC2NNRV34Pctf9/2&#10;s13/fD37j6CHHBXAX/uO6WAyQB7K5Yx+Tn9nkv+kqdJQQxGr0Wev1dDmhd+R4rzGoGAw9N3rzvsN&#10;wG6Ef0o+c2z9J21cdYum+DroJSXhGKVa0AU0qBXoNtIqi+4MCCQoiCEjBQXr57+wTANCVsOcss8h&#10;g44PxvPO49sc+CSb/Rv9MqeRGBoXZlI0DojBYBrt5BIzJJPvAfKZyrndr3S+3Nerc8z4ohxEXK3Z&#10;KtGjInDZh8sarZG3tiNyyJmoZjHNR817hYPvShKqYFaCzYVyIF+SMJfZDMFhYR42oVSoNRFA/Szz&#10;Mst5udvou3D/Ifok8nkXSknaHkk8eKDv1xyyT85fNySmVPrw0sd3+g1wTZEXmLV3UM1Cu04lkxo0&#10;CRTryqpKymayBj/uEMxzo90WkTkVSTMXqkPx5wotj/2QlUzjF2V1T8ejf8LzvIArOgBae12nDvHJ&#10;SUZ3Lxn775Gid2fYbzY6U/uW/OP5ul30lHl+5S1dn8Rtf2zm2urPz3+gf5Epfms6oBcOYno9fqGL&#10;HGmFVDuKDEbLRwhD8VhdYmK93mZlW1pbnM5kGdOROLPg/LYdf4y1amq/09S41OK3qE9MYY7Wl3Hf&#10;m4vC6aFSi7axUcdJrVI5qejBpWXo2r/hErTt0jmEzTbqOKgz0VaN5h3S6BE/Nf7Zr/TFhhffKWmL&#10;z669RRRFl9Ba4+F3yLZ/0AW57QoeW061AnAVIFDA6TRhEa/ir16cWqQ3/vKgOOG2oKyb2ioQCppw&#10;fpn/VRrI1lbBiGaNJiMe+dfmmanmOVbLOlqoDndc9iTV5SkSuAYbRQwbg2Bn+b3yz1JjW1q9kQIi&#10;82l3w4joSNRMgJPENvP4P2kiAj3A6jzLnxwsQJcKPfedsJCtJD5F5/lE2CGIHFtOV1FY39H09zpe&#10;+Xw783KLgRqhZUAvsZXHlv9+fEQIQc+f5+vz9eov+h2qgaiNkFVF/1y7DA8kueHQujE9OLHj1ZfF&#10;n+B3pL99++vjQNlWOKxhIhJmaeD/ep6ncGuZVcZ5n+adlGZdaTPoI10v6kNBu66lF3n9LVldlRS0&#10;NO07UGgYXbz1KvDzZhmthn8taySolX7pLcHBoOShvcVKvlMpPN+hvt3IzjZTmExR/WJK2OTmvxrL&#10;yUh0WTDk4ZS+sJmWiERVbiUlrkAoTmR03xZix426Tytn7NsAntPM263YbJItUlm8cFAAoABFIckw&#10;NLLQXWfNAJ4eUemoEhGSuC/NfbvC91Kbzpb9+4alkm5CdU0JBKUr5QW2M942kopxwjMsfuH5DWDx&#10;1CswSlocJylfSrv6bo3HJBnNHnlKZ1FzjlV5sWNmYatuj4bC0v2fJSLPyMUlINryK3jAz8eB0ETQ&#10;qwvg2qVfK3zP1xUEceCWGQjJO5FciWPX67z6PxCz10veHbtpDK/zfjGa4mKrlo4sKGNftTyLjVF+&#10;XBcdPpCX2+CZqCm6aXFRb34d/Sx5QJaFp/h7zmm2JRVQ1By3o8Z39NPWVHO0r54zH2h5fWOty2jC&#10;zeqYMct4Gl2P5r51imI2zmYJsdJsPM4Wn+Sonp1rXAp1DkOa1cwY+oQhDFDu0nzahhsoaYQeJyUM&#10;f7bqjC0QezSLWXg3EQyf+G/KzPY1RXDoYigTQHWb0ru25n2XrGGBqbYvws6xGCyjfZspKgUX2R/R&#10;sgjF/RoYwvekM0b3sVV4Iz3MRESWDMyVIFO7T8QzVfvNGkf65k6Q0mwZrYOCq2J64ZbG6DdDlFYc&#10;K0IKHnha28izGB9NAA+tcPcAxAR1UMPJXwz+GZegDLRGApsYm7cni9VvLjEadc+wi9hXDWFC5lh9&#10;4zS7BKssaxiHLPOP6lKY0KW1mUQYDPVYGT8Uw8q2407jqZVykeqt9yP0C7JS/P4j7/9r78/m9uu+&#10;+x72tKy+6B4+SzzS3sMSIZogNmmciWe+sv/zDYOUXJqB1L4d+4M5aqSDbmrh9gefqe5JYYsN4jez&#10;EmrqdiF/J5zY/IqNkF3TC01pZgwBVC9Km2cQOIcJiW3zf70+f5zP+3zh13lmWCIs3ychY4heh678&#10;D7MT1WOrP7N9kTKP8CxN0pkISEgI5nio+ZnkFySlNwwMvzVqWwxrIg2dgjhbWFJEA88Kyk/2tatv&#10;UdsOLzmPeJlG7wYEHQzpgTl7adsspdLa4xpMj2JNXMsULQLIfBRNzY9CAiZ7GLiLMUdkegvmcNDr&#10;q3dPC6AI8cZmxXLKgtXxT1vaP/rWpbiJDX5EJXmNjldj7pB17MVDFC1sYxBSkwQGCkzGlWxH6Dtu&#10;VXpD25FGJKUoZCv4y+ju9l89bgVmJWlkUrxuuwgXajz+I9p9LEMFt+YxhkJuwIuKOtY1oRPbOHEP&#10;H1CUpn7U20CMSkIxaF51a/MI7V/nRROqvkeCIPB/0cl5ZHRoKGWfW4I2lqhlw/PP0UBob1O9IfPz&#10;hiddB95fp0yl2hGv2vlIR/fI6phoUBR5W53nqyS5s02vPTfWlEzVuCrWZjWeSh7QIzZO0nAwjI3B&#10;bW034ribqbXUbrXEZ2/y1kniJf0giansn7u+bWVzy2mzh9MGqm1FF7qawiMR00Sxta/bUbW9cxof&#10;zK/YZmd1ZiMtSqMhEa/uqYw8fiWDrUrjm9RCir5Pacfa2O7IAqe4zC+4n4Jd3zQas3pfF+dwKrFP&#10;bp+ib6iYiRPxKsFuzZKgGolVlaQZIem6VgfOJC+bO+XlAsyLmIqgQu4SbOhtPHbCqkbHLs+t8cGv&#10;rTjWJ7XgogjfrrhXpThQaHAp8I9PACi2QFREykUms0ui/y1/bEe01IhmOkyvULQd0/+8J0dtDaGi&#10;YyPbqeiDIMyExPFYJwGJ5iDi+7Z9x09Jr/v+5/n5uk46EDKj+7CdF2YEKtv6ZoKoWdwYcvQfx75z&#10;XRjdzofcCwxHVeVEIAu22ShVUrJwijYcJkxBkp4lGCwby01hPjtFSdkGJbY5C4BSDZoaQVzkA50R&#10;Nks7f4gLwT05NKK2N/lYijPkUjopGx1mWQw91inbvajdQs+/LwE67jVOfTRH1JwPqvrzM0q8xQxF&#10;Dh1SSWlos8H/RNeSTgZKV4LBj4zKrL6iHz91ojY5miHN1UflyseiyqQrPPUGYiRNp2/zdp8ks72I&#10;rgHNdKiVsX8yoANV5JaF3yqkiWpnpVqGXz0OI0f1/hyVn6LtpjB8+NyoiHZrRVb7iuymytEJW4j9&#10;uzqh0MmUufKkdW2PO+9RR8FaNow20Rtn2Yq4pUj3wi0CFG9KCsHDmWXOqTY26ldjPxrtEJCz3vCd&#10;VrK6+5a2s8N488veidZDhEuMf+9ntuO4YCdFvHthtuVZ7ovmyA9Ak/JD+yX3v0rJW7UzEid8EJ02&#10;KQorJZScCJps45e6slrMZFILU0O68q7em3Rf8l2b6/UFABUXQz1MswPGKVO2XVLG81oXAcfgmsWY&#10;3sw7bc0zGH2+wq0uD1ryygc030aFsaZYEEn0KIm0ZiMY2osGgOSe9LEvuv3ot5HeNNW1dxtC/H0a&#10;P5WWVl/HZao/c+LtSRYSjN9Grl+7m205Gyenj/uB2fKlwyxyNVnDv95s02Ub2ibDkbi9iDJOn9KP&#10;LMbZX5XOk/q36JFh9IPXt8zD5pYE2tujNCCNKQOJm5bWL2dJeCMrzLLTbtBhtJ8UFiVka1yjGZir&#10;+2R3FXTHOqRSuBMNUhfmNUc9RpGP7vhZqgncT1JgMOgVDwwLBjx3zqWP2pij0aJJElcXJzBKguZ0&#10;F6C7Q63Sv2hLpw1lkwcpN4LI+w/qW13fXR4cAfYttK8Q/3qdvX7qRZiglNHaBoGfNwzfAqBloPcX&#10;Mx2yW3W36sUuOirmGuYavWEagOYbGNdmfwjPwrNFhaqu//yPY2+WcynffR6nCPr/yKMCa0DOTDaj&#10;xtcFqmR+9B22rzW/fpBalcIwhYS3UEtXcsXfo52j5R1Jg+l1CtfiGmf8RAxvaja1daqMQ8lx1eUK&#10;kDvSkYbDGonVyW5xsOBhDDCMRvU5jiU+ubseX6DB7Tjy5Vytiv7IDiTBYKqpiDZ1OA37H1j6ea/W&#10;bEsgEau8k7WNE5iaRRfjX8R1J83InAOQWGN+joAW7IJVlWqvP4+8HZIEU0QFy0Qiuycre7yJV8zc&#10;BW7wdX80S9sQolbWxhgtMLGU68mhtKI+arteqdxmGLNU13hH0VtoaJR3KcayUQfOBu/WimUA5eT+&#10;Ng4schrNb7BXyqXeeD8/na8X4rn65nSe/UPuuCFx3+773n/853XvWaEZsD2A86Lkmr4d8lR9s2rs&#10;m+KN4eQQ5/GH8lpL5CoCfrIla7iE4xBMvMHK/hg4PkJIxm+WsZS7bHlRmnAsHXIYxFB2Fb3C0tE8&#10;x1FNDY3+ZBAv26/Za94eqTV9yTeiFAcIWgSJOEDdtqWRRKvWqwkFxVcPlpkz0wvWGBUTAMWvkUkr&#10;v3SZpZn3UIPPP13G4VM0LXcyk0Cs8S1iaUa2t7dalL1io5uY8tByJKQViAuJlTFpXK2icyLSyFMz&#10;Oa5ZUTgSMKlwsPicpmhnY8npcXBMcS8RHuYmFCBcHSoa0l2GF5kZqyy9auQXf1s2LEvs26NlZLsX&#10;F4YtuSvMVa8jVaE/Nk+tLD4+vGu0lZOcNg+Atv5Ci8PlEFuYcj+udkKuJo7u6dIsGt4YOEdJ35GK&#10;g5OgmuR92OTGEB9DKoywnjTbWndKIH6qerJmpRgEYp99lft5Y77y2LYDyaL9ae/73+ev8wXca6JE&#10;q9pAHhXdZkPdAhMe1uYta01vtOKly4bmTfHrN7fJ7zk/6KTqa4QAiTMlwUCw/XW27NwuQz/iktY6&#10;xE8SNiH4HgdsmRwU+KfEedDR+pmdwo0BQ5rZ1L+b0tfz9Nvxuor97RtlMXutgZKEUnvjRukhdyAh&#10;sXC9YLgVZJWNd5GyDT+EF4lZgKGN0IwKww0lsNwMFKVjnnRdLDog+4aaq7PiPNpSr59c5ptcGiT8&#10;DMkMAoTFONzSoh3FrVCXLDKtZHzAh8IUfwn7gj2PQ0HhY/oVPvddlRyPNZlkMRRl9T7bHKGUyi9C&#10;FWRm8xq9U4Z+F1LEcj/P2Ck3w0oY6na94uc/76SglNyrQDvfSwhHPt7GBAaWjJjS9b2ZF7CcGeh2&#10;VVCJJge8MUXo4Vo1rrr5aV5cYgNavc5zA84UWPjP81Wve2ND6YFtvv8b61fKkvvzvicl+oL8jv02&#10;w7NhfVeuHTkH50UjFEX/UJxRhqhny+/QFr105UTiy+o0/taoi57patT+OLpybwe4NuZzHpAzZJvV&#10;c9B43vZoHTnXw4T12Txv8bHO2s8KuhaXLfZNDRI948MFZP6vJnKhrDHahGBaJcaHSab0CW9oFVdB&#10;TEJZo73VDqjBuR4+PhkAlPhvTCEWXRvdwKu9LKVFTzRSpRZr+RILRaqQaTTa6Ku2yb/aDK7p6GBt&#10;SObziAPmKQ71bVKRUI3Cist3sCdfFykAwwPcjyxpE3mYbMLl4Jcsu7df24Ige40blQHsce/VaNn1&#10;WD5yyAdjKYeYOEfXulplKUOu7iVUIFczjoAmkz5mCcMcOjEMDhJLM5syuoscXmPOMpPxqYyv58iU&#10;OI8p4lTyUDnoQrEOB5h1UXTawZlgD+z7JGuAN6cAbclOdv3aIjCtnBdnDR8JLJhHPs5y/+v1/PF6&#10;KryhsWN8y8NuSU2B3Baj4J0MDH3k+L/2vuFZrnr/UxfcUygipAJoBt62fUJo4PtW6BJuJvaWXchG&#10;mJcgV/Bb04BPeV5VcG6wloJuS2wqqFgZy+t0sDZitIyzbvh1wYvipJdZySpRH+96lJelBfcdQMDi&#10;FjoJ3HNS9yaOFQe+sUKD45B4PUN5cbvbPIPTU+ai6ofgzsJGlZwEUFXTFTAqEVPeKHLUGSgZY0Gv&#10;DwfhxlZqrmI2LOpB5ToRNpuLB5Oi3GQKnt+3fHr7bpeP4KBdzo52sNCIyLFDra9jd85gZ4slgg45&#10;jT/lhpkPe5XQbwyOKC8WiQ9ewpo1vetlPQ2scEkh3ogJf7IqwadPY9994s3sjypvk2b/qMYwwq80&#10;8+ED/fpBlAyb+ZXbB/Y0Hu9aSYaPwS2yCV1bYIGI2wbuQDLwaeYmDLEU+XyN3c6737iAnZbXfY/Q&#10;Zz6t8SF0M6Ro96savTgxveFV6bgIxhfZ6I0ozbDXOutRC+MkC++5Nz/vLQvOvzHzNevRjQg43xJJ&#10;bGQOZA7zj4RJMNHqmqor4ppnLHhcUNAkST1+SwR8twA0XxKjbcb0Pxgb09yvhqqWtgEkHkkiXPE3&#10;Ii3kxPS46NSGJnu1lb+5GtLEaXkjN4Z5KIgjE87ZiNa2+lNSA30bcTX5pRZW8Nr/VHzbCZcR3ubQ&#10;U6dD3sEY37k27uLwUN0WpikpDp9lU5JLCbZgW8ejPyf+AdOEzKikRj8nuS7dP1c0cLCE6M1P8kVd&#10;epGpCVbesimYFM8B4Z78OLhxH2SIWMKe9dltZiZNDUwR1Arzr2F9xdGPLazo9pexbxWDoU45ldPU&#10;okOUZXsIjtQM1XOwqgJpg48Kedn5WThXCYb91L6YaOfvV+yRELUAjYkh7rSL8PSLpHumn8cpa6Si&#10;nW6Hx+Mj96N9++fr1z+fz37IBQg05etGk/QFkRsxntw8Dq3OPOBnGPW2b9Li4CxfPs/nY9u/7fuP&#10;+/4s9cHI9WjluEX4Jm40+K+ywq1XLD0Gcfu8S9X9ZAxyVTps/wc0UTOkf3JigRKHAkJj8OoRlrGt&#10;3aC4NEveAljsSkjsGqVxtVT6JdhvnHLbagPWYbTOs1/ftvv9c78w7YPuo8ife4vhxyBWjmxhVKdV&#10;JVMHxmFZ0IFPfdE0mifCsveNikLHqg6hJl7Z4xocp+joIwmY8ZVvZIOWbPkAsuZY7qadapFx3suV&#10;gw1cYlColoT8pFCzzCxAYED7IQPpCjslV/1SYeq8FTKbi5ByW4TgZWvSm/athW1Jfqw8BqWqe6PH&#10;KWgtzvuD6hAWuCid+3N5cqRBTwkuixVzG2Qu9ZKiit/Cve/qBJS+w6GbbHOrHOq34wHv43VR/oom&#10;5wsT8f6c7P3b2DlBZFgDggCbsPLNkjX7IrJTeoYdkRK//iOufqS+q50FG6OOXP+uqURj9lY/+R1W&#10;+QQ2SHGOqsM/4OapWJKtgtV50sNasDAo3SJgi70tw5ZLPeT706W3jM+i60TN8x6/JEO0Fe41evdh&#10;Nqtii0uCgUqtuOgWDfLfLB7PkvoUFjU9hMFSw4eyzjQlFt8cw9z95wzUaoDY3oaMXzYo6kSGx7H9&#10;Bif7coqIdZItGN1kndW2QMD/0ISOSq64eAix3KURY5DmWmJoH7Uos+gRo3Voc179g6aEYeQ1Nnde&#10;zrElDxrN4zYUrejYOd8lZ765AVHiEO6GsfbLmIH/mO5NDJol3xPHYHWILCTcuX6OUNyS9Q8N9Y+q&#10;M3MrUfR1cC+XnyKYcmJf54Qq4w9sfENc099Sm6K32GJ7C4vUHc9RPLN/+BEyRYPVuyvFU5RQ/FEq&#10;4lTmqBR0zM8yuzssv44Nk3yhmDDbQ/33+L6hx/Pz9fn5fN4Y+YRj3/sSfhZkynLjpH2E/3nsbBdj&#10;0Ih2q9sEsYL030IKKD97f8UPyOzi9+34tmUiWuK+79H39dKc5UVAvAFayd/SJ731DaR0m7BUZm3o&#10;iCG9u0FSNlaUUVycIr7O+X0bG4FYYcxzp1Pdk3G0+1Q5FsIqetZIVTgfNRK5J1lvApXqfWeM/SL0&#10;PODKwjOeMCjFGauI+xPyLbYheg2NfU7oBi7eoMmN0OZ/xWF6ZwepDsy/MPnZj5eJ4hSi37Ys7bk+&#10;b1VkaQWaAkeWQj14bsEM2NaN0ViKW3UdzelGmqoP2j/gZqHdgqVepdG+pq1AZbOJzHL1ne/xrb+h&#10;vRdP0LnAzhuYxyQV7dWqZyQwDpBQTbza/bLChKYOSm8Qb1uZqtLf91HRHSWwplmQVqsWWUrzI/Nm&#10;KS9KluH3CYNp3TOSvtS4wT1D7z8l5YZNOzFK7Qe7vUoHymbvkfK3lIvKP96iF0NXHunh8INYB215&#10;qKODDgqNXXqJtG0eT2Um7FvmWagGJ6zaTYT2KtGGTzEOfUM02I4USlYxNTlQ7ICX4ptGxLqchla2&#10;juQQ9r8bw7VUFbXALb4tt1kMzbjdNMnKthFFyxBK3oNKA41Edx46GEtY0vpEslJvcYSZijakmfRQ&#10;R0wSwGhsmEzCtl5B5qsHzTuuQu1F6/F98QLO3X8kv/todKn/2tr/HD8u9bOtIO5ULSUPojXgkfeU&#10;2toWfht2DXZPS46wizaV5ZnYo0KaZcni7tM/6E/b/moTSWhN4sQLgHVPugkoTNG/MuWwSzoYPd/e&#10;uY/+6RzhP5j6ffXY3KmN2SEDrVBgqYiyjZA1DRuwDPeJVV2lqD8wk4wETyorGtIOQOhXJKt5OaFs&#10;Pu3ypFQfCxPxzGh1RZkwmhnthcPki/1J26JhGlk/xa/oI9HIeAbmO+erVNVTvCi9qPrYHv2b+YUR&#10;4PN1X8Rb5INjmJtDMbwCZcycumUdDtQfLkqvRuoe4CwQfEIUGki4T3/bt2/bTuYD92Jq1vmtoLDe&#10;fOfUXJmET4wXydEwESbybwNAMAB3UPxy3UhzYOVRPDfBJvTW0vGsZ7UorLkQ36yo2AzIA1cf1Sf4&#10;SxbKaK3UKVngpmVSIP2ZxHwEWsZfwPgo16xf1cruH1cH9oQspXZj67uytNrowWohDyi2ndkZ0R7E&#10;M9MbYwAQLMsyD/KU40e0mTblo8mK0v2+cWLRJDNDmie9pjPK3G+hCBNu55GTrGx2ZCQqnDmL3xud&#10;M4zMBnycfO1bYVJSwlwPahpmCW64aS1xqghw0//nYqO2MqYDSRWZf54JQqQ+QeUV8p7sHNCfw0eo&#10;8jI0ltSUzjJhuPqSRSI4NuPNxDXsmpLCELm1R34o3Pn9NJZVQ9c705PusnYkUd2YKZ6vz5/Pz/6T&#10;CDkFZKNYsw0jQLl/OLPEr8vRC5xhNrK2haUm22o2OUgsk0dHf19iTWmgRS3+ZsyJYdZdf1C/BD/5&#10;LuzG1Zg2osijcUgW1ceM7RkJcr7bsqeZmk8L4h/agEtk+xcVTNM8kQytZvZVM+H7RFNhuXVEH5AA&#10;XAVmWEGev+cvxLDYIhbf+vSmkxmpTkx662S+9yQXIpsdHf7nQNs28jNwxrwdC+BRAwZQWWlycbZ8&#10;5dVvQ2wSrYE8FhJTZDX/cpNylur4pjXSzHmkC/Phtzgi+aIyNvv+lB4UKdnM2pSodoLVKIfjwHpy&#10;+K+zRvKjSWhS3YRNs1a2NGVOV3gsP68l/+Vou1q2hDY8SDvCcuNmCY62fdVBeRW3sDXDXSoiSP/h&#10;ZZRJVnubhVImDSPZidWPFreDTeCdiqW6sK1tGjUFj0NQbJeX6UXTSMazQmOCUBPJ6ZHR8XyV8p+/&#10;fv3j58/c6rfj2MkgK2YH0tTWur7y1txwnZ9V5w8qYz+2/Ne+sygMf4M7IvRfeWQ41B55pAFzC8za&#10;/JJrv0X4oMbHPjv6hhunUGAnXlhCC7Sj3LXvF5GSX3UtzuWOrg5tGpAxlqC5c90H5Sh1ip+xp+NI&#10;b8fKO1e3Bdqlm6VjpXHv4w/c1/b6lcrJVjzK5ZLRtaNYsTAXF/zozfyTsaY0DrlJ3pdkT8SG0sdy&#10;xuNUIqQahww7KHnRZdAFQ7K8m2CNU2m1mW00wKgHZiBt5rjiRZd7j8gKtEpaq8tSi9lBrEYTjWG4&#10;13XmVveBLVbSbQi8AUukb2vF0j1laCVtNO2pf7E8cOAT7UfioI6PbCvGiTMtFwgybE4grjFjlhQr&#10;8K3xvlfHcBxx3vxq5fFgQ1GEZyNNViiON42ab5PZguP3jd9dPyL0mw3JndsBRlutskJFh2QSy2fz&#10;fqnXKGaI7LKgrcJ2Dm1dUVko6VKGgOx6fidasp283a6XTyLepRXrOczclow14SCWb9tW/aNF2zXP&#10;GGyh2Jg6GthrVnwz8sDarZKwDzXXILlY7DZxGVbARPvowyQXnY05NpDczNIR54zSkobgjFPr9E22&#10;qROqj6xs1Oz9mQXQ25bkAS9j3ja2FkP4ow3C5kM2Oa9pEtFS++qJ+OLotdfTKVl84vB2OVXdWMSo&#10;Zfy681rwKCfApTk4Sa2NvKiZJWNUXY00JFOOZgzQNrpZ0G1LSyqyPoXOcFsw2UlkVHPWA62iwly3&#10;GMBELtAcgjLpRN92lKAh1WkpoRQO21XMY+xqwUDJ9cPMafEORx3n9jbl6xM+7olyadwFbIQSXhMP&#10;vd+MeITazGQehiTLSXXaf8BwguY9lKKdaIi3uJaIV86G7Za8QzPDAl3UqNaeeVggY+kFFxy6vGE+&#10;y/WP1wvQToBmcjJZsg5rUAD0LepVQMNSgfsgz0lXA5+Ld8MBq3vm6ldHEsKe4wcLQa3er7s6QQ56&#10;hIPJgxTQEhAFemiv+aC4Uyj8R957adh/7tFLwPMzsKO1gFGHbtMjoC18trT2DvXjEV30hjCG5uaO&#10;c9vg+D1TutgAXtIztcqN1S6h33lGtdfsJtohYkSRp4ARhz5Gy25MCmfXoqXESBvgwScdGOV6mz9x&#10;TBDqCHwYfPXKIww6h1CaIIG0MnghDStlv2PvM1yfam/WYKSqGTcZLaFTLDE7iPZvttz73ffgltQI&#10;bFLDWqBS33LgzOslWlTsA871FyOc1JQM+wP5D9HDccoZ7ivu3/L2Qa88lrvrfuGPbseBdi4a4Hyh&#10;q90vRSZwt9r6wsWhIDl/Vkzbco943v0hclfyH/bijZF5ZO2HpsqMhx3nSDRd+4udIV6iF/dbtJ/Q&#10;+k6/ZZAaQPOwuLOrWHrag32k200znNw3Am9rcRD5ju5zfN53jpKr0wPtGsM0xfByKcuIGg2RTV59&#10;rFIZL4TPyjAOQZCF87UySP2H0cQY3DOSwg3u4fFRXxQcZZjwklckFl1jyjsDZinCPoQ2xY/DEu4C&#10;Gi24PqURXs8jCnRXEbHsYjkjGjcSAo1ePTWBKnktl88U9y52dO40k4F93qAeS5X1EY8jIzDjKnVR&#10;nW00zvabCvSPLJjgPid+j9nqazL+59MbuYQGBVgnH74LuJfcap0dhBqtkGoT7fxGGLdmbEJYq9tF&#10;k1/GZsaKgQSQkbD4nN+nsGy+tPd0KF8OUxqt0uaxx545IXQHIhTqntRB06dPC9zbtU9Nbp7qNQTa&#10;ddlki8VZw26s1BFShPtoFmTt35nJGDgSoRHOfDUegm7vOPPh4PnLkhx1MSVzi6Jmu4FcVDeupH4v&#10;6PSXVebyEM7xrWQRkfsPoj93PEalePWIyNkDa8DnXcqvX72G29GCE7HTcrd4iG5PZLZX9ZVFSuuL&#10;8I5wPyw0G2Jr2s/n9a/r/GDvLaf+4jgfl73dWLogMD/LaJxDj04v4ykreX/hx348w/Xj1y/pkljO&#10;pCdmODyKXa9guLGJLRptoNYG1tnDpczAoI6yZRSo7IcY3mM4jM0U1lG752Gn0V3EH828nkqAr6wj&#10;AsDWu2pZwvSjQt7pQC9cAzNPDGGEomC5JQk6UPNSg8dbolfXP3Wz6D72djAGaLf2MLZD0BTBSa6K&#10;JM84dTKtTbfITj65cyCNgeTpbSGzyKFPedCyfWXyqm/k157eVIBiEmvKtp8JQtKsPZf5QZxlhg0J&#10;7GEDR6G/iXxcTzglcBFvZJn0l9wf+XyG7eCwC58Dvoi+bWzKsNzlccTzvm080U0eCSzq94UXqaik&#10;cVxJ4YYJormoHHBy/Eq5jYJJz+OLlsQd7VnYLXB+K8i2QEeBnpxwXZkBRYC5wE2DG/zzgoSn38In&#10;j2bul2W8yaSDJIXPqK8D/yvwxcCv7fi2sWG8qrsgxjyOs0p1vhmFV1cWpSlXEle0Os5eolTMhmMb&#10;peFody5hufbmXDMeR6oJH/k6pn2pEfBvoEmRunws48fAiHN/DtNT+BsIc5gLcq5x8o+q5SGkRcCe&#10;4sBGxpU62JwA470YHgbl6o3KKmizynE6BQMnh11S6eLt3yhd7NPYHh/+f/+nreC3kYltnWubeCg8&#10;b7PSyA6EToPzbyfM+KQV2B2/JnOYBLYki8/NWKB9VkNA0Nr1lTaLnUk5ZzAeFHTN1eGGyaRCtZcv&#10;6kkmBZ6KN3ZI6GVGgjrKSuEbg5uohlZCDA4udnidu43e0wy/GLHCXiIny1KO8TcJrUckhujuNrz+&#10;FvIRcx2YKw0TGuJ56UBA9b5HKVZGcrIdnaylESdRxbffmFKaPgpsUDNJg6L/4Mp7DOe+H4+/PY7+&#10;Gz/O1z+ev84LwUO9Lj2Yq5SY83JIy8Xx6p6P73vfqqBK75vTz/vmhpd+EuzxxFm7V4dJ2qK+8mBh&#10;Oh4kVRnpObNpL3MxjMbJM9UodSUrBzSZRgL460ZHLt13uUuw7g73vZTThOe3ODEabc1fGUKVES/L&#10;rQJS/rzvWPCDDuG6WX5TgqU4TS4SYDNDPF7PfD1L2m6eziQ5adZ6kK7Ccg2Ty7+NpDb7sGoBX9It&#10;JQYcgiFVjcjbVNtoWBCtU8sbP9lYMUpvQXcGo0TQNIFwBou+xDCi0nCgvosjU3lmVXozl6/kWBJR&#10;I5qqVizFxJixwZilNOHxk4M95AL2D3/FUi7QPyBoacrnxEYuZW2AQZD3A9rH0I7amQyBWVKk4j3T&#10;opPSrToS2SxM7qV8Pt/XgQA/xcXY8VMuawahw0yVxUPvB4689Z17Z53QL8o3aLvweGT16lVP4KQS&#10;7n479V3ZutZRdIuD7eNrREDhYIcvJ1sCE04XVxUfCl/nw2NSjmSHqRomwjkssehTe2LaqxGBF+KM&#10;Sm8i+7yFgzenak36o+lJXbw1t4OqSdD8+9Fz71ob2ZbRS4ShNp0JC8vO2kY23xt71ExuUmjEKacY&#10;eUnVvePJNGVtbuEjJXAZSfq/phk26pKJ1GbA0pLSHhdIb1tru5jGCTeOz/4+wZxl7VvxN9A8QQg8&#10;Gq49RS+4zDFIguFfJ7tbNtRuccFL+d2jllMy/+/YNl2EkowVQFV3nJu+MhiT/1e4JWY0qvBmB1vz&#10;thnPtmQAc0SzBZFVxrSATcjUBueSi659ZMY/k92grqx+sYqob+yTGSu5KIk9ln0B1NmtoH4sgWRh&#10;oG6td1voEMfSlT2lXQ22kRWs0xEbpEt6n6FWzAi6GGatfOdelVNae/93FYeCIZzJtg4+a0lnnP6v&#10;H9vx92/fH9vxed99C1RlRuBWOmhg/z/fPv7Px4dKzLve34DPfvTSrX+QTy50haCvzCoHHU7Kdk6y&#10;tiFP5FgWGJJoXnEuYfZVHPiM7Xm+UDz0JRXGiGy6kwgoNtpiVZCwZhQNWwmjUUfI5jKE8gL2MXoP&#10;uGubPqtm/c1bkYScJ8XR+fHWv9YR0IwpcKoD2aaSsiDugDnSqF7E7FYeId8KVPhJomM/TuseKppQ&#10;G7SRF4D95DtKfRmoC0Bs0NZv320z1hApQwiQYlayikMDgZldosnJgXeQNzrirr61Z4qbAvc/VGlV&#10;KEobuWWbBdKY0couIHUEns07eA1jObyBYqIxFs/9A/dv6H58wx6PICCKeCEYvnsVxu8KzBrsiBA7&#10;wWzYqzrS8vrueCQ6MYK22hDkpocHo29XIVpzvP/1gp2vStnnM0hwFvnxpU3nCJABvTT7ck/AWWBn&#10;Blm5Lh1fMivoXnjWfb9wOfvv3N9gq0hnYQ+Wq/2G00RTQJicpXeBqhNej1Y8KQgb6Av2fwGhPPvM&#10;DQETtDJqNK8trLGOhmxS492iw8deVxWp4oN9Ze5UshbfwgsMHTZpD44hYLxRCj4cdFWcBviehN5W&#10;m8Uc/o3U2diMVGnCdiXxNs9JGvytVUjSprYmOuAmL5qaYX/QmbXG0U9rvv/qI7WhxwxR3+gqyVkU&#10;M8vg+gu35ndq+Huiw1fi75Ck0ohVZB4v47KqBerpjjO6XUrU4tXHGHBWn2xEBy369igPxJrSFESS&#10;bWbBbIuGUeggazLycXk7JwzzY3LGmG9/0jl676rN0kolnPZk/ehgp1pzy+kmrnb+wSNIEs0W/d4u&#10;3ryt40Bh8IfahhuLmTbZB3L8ULHYHYUYI/LX02ASRJ9xRg8205DJHwG7ieS98/0sbnOn8+NSMsx6&#10;rXXAEAqFrNEPPtL7MNUvDcZ0X+L/9vH4v7791R/8z+t6vS60XlMiIC31/34kOxlcaByFXgv+B/JF&#10;CfJGJ40LQa/YNj3VYAV8FsuKY+5geOz4TbVedg38vFzr5eYJ8oinTVM0iKsUEUCBbwNCeeovuFVY&#10;U3P4cs0HFAdSauiqYtP4M7URfhsXlTJvKFUz/ihNxqE9hzKViGUld7ZWunJGgsEqY25GnLZw5O4+&#10;p40BG5umSL7Htui9NMWS8HQIlQ4KjeE9zOpAMztZDzvbwXQdODKCHNRCxnlWoAMJeBcoZRypJnaV&#10;YrXcGHgy4SUX5tbb5lzZ+8Z8MZ4X1GmRVqQdoigsXxcPF6l5YgulHmEvaIQS0lbzefXtgkQgxvtA&#10;xlnYBHbxlWwe+MMQtnCQjjD3oPx39BTvMgysgcDPx0fWX3USa+rlcm1Wl1FJjAqyv9J5yaKSCVV+&#10;9Y1zQ81dlD1OSgN+l8EXLxbOF3OZvu+Yf/+C1TU5JUIrQqClrzqkvnF37MdBUF1K1aFZqdTtaz+u&#10;LejFYW3WrCuOez+l6Jkyyx6h5aDGMQObTAwLPJJyqi31nT3TcYY4aP4F3Su7t9mCPYNycIqyrNDO&#10;5j3Qpg28ethRWxwFbVZNIxC+OQQ6ORdaKqFNFi6XEaV5DpghC/Hd577i6qnUQY/mbtNR/YVMZmHc&#10;/1P67x8RMDbUjO8K0egyi8EHjeU9U3DjcukPud2IcbCc9THi2BjGefeNKZpGdJsH2dSZbQt6dV6b&#10;xSO2fvKMnV7GKZ1l1PEW4jDUnGpJFsyUvQCK1GhgMl481y24QvVmHqzty0m+wSS0rFpDNjeazOoo&#10;zEZ8Q+Ct3FbaVQinYXCpJQwrP+Wqt3JffVIYNd8aSbW8ozKjhdTGyHJcLPIoremw8zPUJqfZg1jj&#10;J2zIycQiXCt97Vk4NGhkACoT04Ad/dT3v//98b2/2k9owZ9irxx8T0x7QDzApSIPvSYQqAnrwQbR&#10;d8K/tn50zx/7fuT880LYNqQchAgztgHmKovm5cOT0IWjuFxQH/5/sVT6P/Q9uNc6B7bMXK8Xst9q&#10;tQaHa+DnraKI8BT/SE18p0xMvPCXBM3mZrVggDEPBbOONx44fCq9Gsng2glYcKVba0sjEow2D3Pj&#10;ROfO6CQI8VAxHwLiyDdJNo2my4/RHIEkuyqlFv0L2+3J4pHlLmewYRUBXIU5JwyCqDQMBO0rwqQz&#10;bp7144l4ve2hEsMsc1VSfNR89PMweKuy3AO1GnEKHAMnyTmA4uThsvD2JhnZHIT4YfALMl9pP/S9&#10;aqdPQqDXK45bjr1rleBUjVZutGCY3f3HYkJJzq6MEBwP9s2Z8BsYEmrWp0rcwkrZILJNNnFHCNu2&#10;PzAIj4GxuTgA7de195uHwe4nd8GNHQlV9tjtQvt5VWVzevmG/7NRql1Hd8fspkE59Gugm9ayQZ3+&#10;w3ZoK2J2keFMQ2pjmbFz+4KGqYKvrJ6AcYdGJ2c0pb2EUX9ZHcr/LUkMIidIh2G5D0VZgG5DDGOR&#10;H+FBlrdazazt1rkaTVHD2DsP73XUgnl3fBOPntY2/XXvOszmGAdbC6XAiW2FVnistCc2fPE6JA9A&#10;ar95NywZaIlMWjBnFIEptgp3eW5hsi2M3bQG8OL4VZbm8Sh+DdXs+uxg6o/FkexuQJ4eGh25+Jwb&#10;+53N/htrnFto8GlvM/VdVic2sZjw4Ko25O/sttkRqHJ6hyOoUaSVCYIbnfrVtiIDkmhwBmghRZhw&#10;bVNVcVp2eS+08eDEM7DH7gUDmQ4JUuY7vznk022ZddZZIhwtnQ0md+N7FrV8WX0mL0UcYqBYaREG&#10;hkTQih9PnjMwMwCUuppqsTephDz8xEIBaqrWbfjYt789Pvp+87quX6/nv67zs9QDkhbZMVU5t5+l&#10;/Lhvws/g2DqBhbOhN9QzsII3ZaGBc1bKI2/fUSmGizpidQrkmrv4+se2KfTn5samuCWLkxRLmoZ0&#10;ls3e7ahyQ5i/WHtJGCLqmdEZJuNQk/qhAJMc2APiTZlLDxv3tqRipRq4J0nVbJWjglij2T1xk/AK&#10;3GrVaODB9h6RpEnDeuqqiNlQOdLuOgG2yabGvYSyNoUCrDhQzAn1HVoyhXdPEupmYyEo6Svhobf7&#10;iKQBNF00JVTgWVub0X3+FlwKj0ExwArB08Dw9pfaYGLuNR9KBZmPSenJnITf/fX44rdY0xkBgRJR&#10;I1xEx+L9g5vrTT3yZmimAGc6nYIhOx1v729Am05FsJFyHmDbuF4372LeohAK3LLixXRchRNExuoJ&#10;w33distoFAOiIwqfFmCq2bVu/XN+24++ez77RsjO51WLhqD9od/Zu76qTb2OmL/ldJbSn1kkI3E8&#10;0UvgVyHP3FLgrBc1vRkxrtO4P9DM5m20xNi1GdIcp0vvN7NdtEK4LUMs05mQ+z/oZrKE45JvEqe0&#10;AQxLcQpJpmF7sjObpZqmkRtibgLXy1hrNHgvEI2rJsGsbC9WBShfWq6bFcYU2zK2mcDPiQoR8uQt&#10;kSJaHcSNN+UvE3qFngSnIcXfh3ujEE2/WeOrpSHVMZB3dEoac4tRkTnFXEoQGkglnaVRrNZpG3EH&#10;YZzfsVED/A1jR6F174tr0UrIMOAoycYOGpu0kUfog8aFrRNJ3jMWuSBbxTnijRwKoZc9E7KN6nI0&#10;n6W93ONAH2Ad7Uv8vSgpYL+2QqvYZHAiE8LW5lmQmx9za/sKhMzqOEouFX900yvSAbq+zVER1bTA&#10;HOfN+BOLMGgWq1ptmmcmjTiiCRTsEtcKX3s/sXDN5+Yka7e+mNwsJr7vgIr/Ol//9evXf72e/32e&#10;Py6xxvD+X7WfjuHl+mvf/+9vj/6K//16PZkp2F/sJ1Uq3wgFEOscBI4cv9MaX33H1exNFFuYDMnu&#10;p8C1arrSS76P/cCfeP5CkmpbPL2Gqw1udjcL2aL9mf5HQTbcOSnnENXSVB1V00KKIJ0t3sjloyMP&#10;zYCKvrbV+4qfP8J9sdKi3dT6sdpT6+aOhbhtyhZVUzoo8FaND9bBVvAHmjH6Lx7fMAqrErwHgW3k&#10;c8+aX4pY3b+I/cF36eqxfgV6fXy+Qi+wASHToTly10FpZYWmgooAHnOIdt+KNmpvryed+9H7XNVy&#10;0ZEwcm732Sj0vhnHi6oP+VZ3VKom9uzbYuX9sAtTgZDsto7q9typoHvV41GAVLvQNrzPRy0GH4ei&#10;bUtSkDSQ29g7iTtEnt7e69/LjRkjrk/hqYAZgakI3lq3HQSL1031FrS18SIvpv8xzPwuTKN/3CfC&#10;HJZJSb8UykDX4KK/k098QPRRb/Q8gXR4AoodjowbqLiwZftj/23csi2+JVDG35zdQ52hCEbx+P5I&#10;cK5mak9jkhTfhPuud/aS0ahmLmjJNq5rvnMaxTItxRDFTm5aac7PrfU3HaXvcWhS3iHGNcVoTAXb&#10;1PyssdM1DLVpWxqY6e28MObv7e1azY0sOExsAq8NG5J/S3tYpnUr6nqoaqzLR7V6GP65WNrYzOZG&#10;TaQSTV3VQn49vnIco9vb1/e1DI12WEa+payiwRli1fFmcdlKTILqmUtfG73R2K0cRtQ6emuiaEKR&#10;/5atrDQV3PIXK7RiaJ0kkhzNwjVJbtd3BS8Y+2KZLTzdC94qa4shWeOwYVJK3v+7m/9Sx4iBDoo+&#10;dmnJyeO3PNjE61YFUJD4BSE45eb6fgz4OZdisyLH5QkSZ+/F3pUI1qqUguqtVl/3nTlKGrdSYeQS&#10;SAzswn0/9l+v8PP5PO/rx+sAzPM4vu/7M8VvW5Zf/u/H0V/yn+epxJfP++5nhW/bRlIUVuW/4s5E&#10;QLzVn/WmFpRgJoK/NZ7ZbQlm9AmucOUbyBR4xOfr8y+yNJVQG2TojjZp1dloEMyioy/DO9UhJk/x&#10;mA+AUbqVbRTlbyjspMgo7w9Tamuv1A8bd+kVCRzZKNqUVWQDin4F+h113xcjoZjJQHoO3RPZ4O9G&#10;ituSZknccfH9Vaq6yCspVGZ6ERkhIUnmZu5bLxarDE8adTJ9EyHAul66wSuElFzEuIlGHz+UwmqK&#10;Pbstf2Djr5Lloy68+o54PvuRo/YNEvcK1JhqiBNJKjFaZe4lohEw0oMUBG/V3QgeRJyIc+lP3Q2I&#10;ypYeVaUCpqQvZMG3soFygB56ttiwogzIC253HENU4EpTnpSDgiipG3+GyiXcSaCscW4AjNoG2T6N&#10;OtX3syIoCNdDmkeueBzldfbP3Y9n/X+gTI7xH+eVQVdvOluoDS+k0dUAq8g8ffdn6WLeSzaBcFR2&#10;6taWCZw7W4xk3/yc2r7Yy9QNXhO4ooYC1chiQ24Y5h6mcM8W/x2nRN32Zm1GLBY2zyvJgD8690en&#10;ZBjnb+xMMSyZ5bEONLasE21owZq/SdvduPhVJZe4b8ILlxHqazSaNsqUVtsf5nL6Giakyax/zZtX&#10;TipsX2OPLOXNyq74Vle7Kj84w2OUu3H8P5O6CUPswDCPZxppETyr5vlvUFW47tytzC7DrHaINqm9&#10;WQPtMK1BaqL20D5NmRFUyjFhFcX95g6LXkmXBb+cm2trahs2f9f966IHd/zKGqWe6iCrcoPMLlxZ&#10;wGngcxaVUxZdoGqgyvtcY/VCoSlSt9FGBlrESMOgS8OouMEsaGToBKeuRilZXhAQ4me9cPxqm2+i&#10;Bj+j/pM2wPut768GD98HrRTVwgzYdUVLjdBJDxmKQlFVP+1Fl2akao1x7eu9WHgANtaLvPPnef7t&#10;49sHedN72P5jRzSojl3/z+cvJU03mvGvWv8Gqie86v1t/20/+oeiGiY873twWLhryS9KVBtmh5C4&#10;w7CM4hiMZUhA+wZzntBToNW0RhIPq/uqgPNkzy2t8HW/3bxNpHQ8C4u2eyBZuFOQg0bfo0J5rHSJ&#10;8/nCX49HrqW/4xdtei1pmcDKU3hDs+8HR6dAiuoyc82BIr8xXg/UcahhD8YfXVJk9fKLik5B+/pm&#10;cd4yM6TkyvmNVpF+iZ+wG2AthpEAOXg3XOH4ntG/23mLF/T05NBsl05Omt5hXNV/TUFC3ETRAuTJ&#10;CzMPIigy59M0t8J6khgO2C9Oycd2hXCdfZc6CpoI5NjlJ1aNDKFluZKAVqMej8EPKzx4pP5mgXml&#10;yW6XnRi7ATGdjfxPihzNH+Lt5nZl810M2T3v+3ggKqwwvKPInuSZghC7Uou7kSmh80TfNElyt8O9&#10;6fOJbolntQ6RPxC4MzbebtddtUqcPBl/bOnqt2/mZMzZK+1rXkMbqXhrUF4akvhJsWlhrFYhaUQ3&#10;awWfvPzeS43uf4h1VDVrWLoAUczIiEMW6HiD0AyS81ZJWI8uaKLNekTI62z9ULc04o7HPJjGM558&#10;wsims9lWMtGjh4L+Lk6ZlR8rAyl0lrTO1N5Sedug/H1Vb5oJzHq87Td421cj49Kctt0UTZJNGiAl&#10;N7ZFOzr72DGMnNiby/Tm8O+48M/eQnhZUqQp8GGzhIt0rrOYSwxCS7qVZsCoPrOJXCYuNcQ25bH2&#10;5Y4vXz9mZwuUe1jYXCIcGb8ihRJ/nF1v6RmKy0a8lT/GevS8T0Iy04v4H3iAqs4dVNdU5cibQVBR&#10;sdWGjtUCcqP5ZPpe8us6SfXU+pBEsDSsNTbZGl06q8tHA76lMalrglWIPwMeAzbed1bDO4UgVRbC&#10;qpZv3eOQI6lPgOCyLaelNsZPOnL6vsOl/c/n53/++Nd/ff4MDN7rX8S3fX8x6gfLKn4iknIfefvF&#10;tCMQ1Jgd+uLW9ypV59VqbQPyopiQrlT3fk2eaEOVPW8CrDGYjSPhvkCz17Q++N5BWnIog1P2yj07&#10;NJpkW/JRauOefadntXEvDbXQaKi4onzQ47gUWxaSHcf77pXMSly8kUPgzM1DVVJSIAve0KwDibR3&#10;FanRakSm61FZwrPahVxhNCq1KCZB1tFp1LCJvoWRZpB4hzSmLHFOjNIJoqi0Re/ocEKZsnTCwTMy&#10;zSCPwL/CEy8KN0ygGR6UdgU1pNcv9Ecymd19Q+EIsN/vFzIo0PeD8Z3Lx50kvsbv9r1sp07HrcP8&#10;SXJ8blmQl6SoDTVEmCpfk+kQPb6VcFgzOoOWnRkj7OiAfp+VE6H1jDoRcCOjGuOBphSs3knzYfBf&#10;btgwLgiMi6Lnn1Qx9R+yS0YLxuwGpAsh30raO1kvH4QzCP1xYS9smjGmRTn4hZO+EsfeNPiD7xtH&#10;BoLhYaQoCdxT1VacdYTVPO9JBhqV1UXE2EYdYtiM8P8x9n69kiXZdV/8OSfzVnX1TM+IQ9EkRYEQ&#10;YYGmbOtBhGDRhgDZsGw/WG+GAb8YfvNXNORPYOsD+FkSIZkcznR3Vd2beU5EONZae0dEZlXbbsyQ&#10;PVX3T+bJcyJi773WbxkAW7Bov7ezEykfXe2MeJbESbBZK/I8hdG0GNHvOfs6UvschUbVlqom6aDi&#10;ZIs+iC1X0aZNMpoWXJP+t2fsaFzkbl8OVZsy71t8AKCG5YK4FsgaxyO/nd+8EeZhaswVDT3N1IPV&#10;ogMKxWTa8gdXK1re+gg3a9kC0qMFZ9CVSQe35Fxrs9zJBY+2SDyT5qZaTwIjrtsQChaV2izYOuvQ&#10;mVo1+QPsBxcFgFIqXeZMcnj1BkrLRULG4JMPxzJ1B0QjmlRvqpsTE+r71nhXzK8ztETYbCIEcpdr&#10;njyQzAhRtgGWpQwhc91LLqFi/oPxdpoGWE52KHXgwcIgXilOT0TojIIS77ouDfJAYuqe7FgR3Imv&#10;ge817z+/Xvtm9tefP//lb3/76Xb/VJDqggYYyZe9vHuHHNRErl98PctLTi8khX7qB2zmw9+goYCv&#10;UcIjSydgX13wWCpy24U05M9vr029n14kXS79Z1Sxtdej8zDSLDQJEXxZZKdl/1NPkuWPP7+tGjrp&#10;a9C/ZsqasAzcB6/cD3e1vyoaMPjpeMgG444V6Z7sAzyTPIWepMPFh3co3vt2ZgNhB+J1KHgkvFdL&#10;JpNyZcRhIxk+y2IB3sIZY4/BflCOluQfY6ePv+zs9zjSAZFSW5mWx7WUyGzCPzUNgvGNFvVINU1B&#10;+i7s8QLal0xDSGIkkOpGXtDK5U5Aek2pcimX856pUdeYEy3fvOtMAUBawv5EvAwHob3QPw8TBanO&#10;qKfuX3wxo7CS8RTbCSTbRlxOPBQxL/2SBmQF1TZPS8RaA0GTVMlS1AJPZJYLk9tHgcoz8SwoS1VE&#10;r8LJ1NxEgct42czcD1YfM7ERdZ8MiVFkkArSmTQDJ8YVx7wIPlX87izpJTIaYGsPM8U2uidln1si&#10;RHCvXDXByVcY1MUZnquVfjbIXNspDbFDxhKxnrE+DfIG6LIZ0jYgkNNTeGQBaZ7JQzs1tilMDBDC&#10;ig8bXknTjjCGPHsIYY4udfvJWPtVebjMM8Y0cXQo20iUXUwYorUqWi1NuX8bwRvOm/afZNV0m+FF&#10;ZkDO6hQSjmCBiOt4ciAGTD0Tpxeen9mgS4ahwFuarJYfL+u7vE6azSkMxHjXUqY082c+HKHCsAYk&#10;w0uHIUyOg9vimqZoeEbf/bNvDHDLWWhKkBw0ykxmKerBwo88NCTa0G12dluyqdAQoIrKIDGJUp95&#10;4kyeTCv5e2I4kd2bGzNWdK6keAOnTl1q+RwytGbCwlINb+uPjcaFBfGriowFvVmd1egvFDPDrEA6&#10;uZ3esQ0j8KKa/lb3w+Y/pK/vH67XS869qvv15x9/fHv9dB6/Pc7XUt5v+cO+v5d1jIeGCw/yAlLf&#10;sB71ShRKF0X76lrtaesbaK9Q1UbDZlwqMqdg6w5Mk0cRy4tX6Z7mBlYfIvxs967N3bG1Fmnas7fD&#10;xiapbnAYxR8vclGIUNWk1Vzw/Ou+7lse1XDjGOaz5U1KJ7Tm7q+R0bgkuqGOsQqPCEA1KgCW82Gj&#10;zVzpus/0m/QVsCB13bs4TmWwcOMgopK036lIjo/zNqbDkpLq3F5ge6jctIQdBjhO/daTDIG+NVZi&#10;2y0AI2/k0RR5S8u2s2RDMcrsdZyu2IhMySyvtW+iLW6Iei5HaoMIbnbaIxmuie1slVwGnGuWyIHe&#10;qWgOzEjCRDBuG3ryBRuX8DEwuxNGWy3usSAUUM5cNSaTqDf4VadBBCo5ntWYxgFoilqYMq8kYdWd&#10;RY9J1fVhgV52PnGZdiC1UorBKStX/vFoW2Rx9bzhoNs2qLoJaTUs6EQ2U+tG/SdmMbVWmlzTPeb1&#10;wvDFzYg/E/WlpfP5/+cfscbbtPwNylR8GPT9hBh1NObUFNZdmHnMaU8nUN8lUSLrCvm0i43DZPz4&#10;tMA1H/wJ7Utv5JdZewLNRy0fa6e0PXT5JK/3Vp06aMorVrRziM8iEXFvsw/jhEQqmTMWgy57Ytzc&#10;WhwFzHAUJKxuYfLKvYtiBw8JEZPJAUZOr1g41aHp3jJXsHskN4HgKUsGM+tpmh3EmdHdnr1cKoOk&#10;VLP/m8jdiByJKZQmNiOeJOegGrmRUnM+hdWErMOQHBUmyCGlnOYbz29O1faGqi/RTIfIlhwVbcpk&#10;52SlW8nTxpeIVCDaBrZk08PpTon244P7xi4etVFcsTkyHwTGtPXHw1mquO0CpFBOqUxBakELs6u0&#10;zdcHdZVHWWlg+d3Ly+9+803/LH776eOvP3384fZ6tF7k4db4fCjsFFq4k33R7++3H+/Y9ZpwITJp&#10;9VdOHmbx4xDJc5tq61s5bsfx7nJ5uVz6C2DztuT7Ld3fqtISHnOK1kaNq9LyFwfKqWJrVhJPn59L&#10;ZIf5Jqo7PfgJkeNRO2OJHSQ5FV9/huDzXo28s2r61KKIlOxVk6/GGZ1yOraK+Es6eqNBGDNxKAS9&#10;WbQ4f9bGpw0wTmCsjQeULT4ZDdJDn1tkoKD+Tvnpmzgztq/qbLBh4zlu1Jpw7WLDUI9YYAYT400y&#10;S6oM5RfcAqdSCfsPPRPJzJzlo/BQg4c4eVFA2WNNJNUgrg/vlG4KiYuCeraEZUfRVzZEzAdLEtej&#10;T4cGVEE75E4cPAV2HM7oMapqpfJKlyCVyjZwIYB2Yk3W7BvFWaU/tDBlrd2Pj/f7BRS0jQY+pdoq&#10;cQVga9SapUibexMTL1h//qaOB9dXDKlDWD3dSltoK9ZMcKYI7EU4Z3/SgFebnAezwyg7FPXIcVGf&#10;1K9K+H/inzXZboGb2Cmxfd0NbjwXK1I94WsOBhwF4yzcqBMBAa+DIljVr+Mf1hhnpAKkueFLgWr4&#10;Whno4Mqlylol+bMf+TADncO06EBYz6AP7aHnPHueCs+ZSm5CdY0m7Vt5fBQV0dAaSZc+VDAswOGH&#10;QeSM0J1VtTKGpHL0Y02qhhRIErGw0gTTLw8Anru5wnKoWpvrq5d0l1Sn+VhLH0j0ZBufulnEcvRo&#10;ZRPfBw1vim0hQwLVhnAXJ1IcPWmfYuWaTWW11J+ewKD2gZ/wAqOR/HZuJMe76yWh/ssv/I8u/tjj&#10;3ZqgS2cFfWFWex2Sq2DQoGJ/KIkprv5hABr7OXVqRkzwCU4/tAvnmG4ZzMMkO9jjv72+fHh5t+Xt&#10;8+3tb3788dPr61ml6q0kk7fPJzmOkbgS3kWIZcC2DoTpldILLdO9WCQ+BpPi/mFdt/1Wy49vb30v&#10;fdkvpG/08mDb+9oEOHJpITw5NibCcBTrMT32RWe3wKINSFqZNKbwhADkM+cRzmZrd4PpuGMNMoc8&#10;uRtPddkM9qYKj4zCSt5YjW4ZVEKeZiKEyvBQltlpZOc0QwuDsUP/52KMIeLKLYaeJxYxjwyaJCFP&#10;L6AyAJOZxDUqrnI2pg/vhl7eDBQJ/j20t49n37Zx1soMij3ljMukQfdda6vVjqssekVkKJkI8wi4&#10;aJssX88gzSii9DinzH4YqW3apLd+jsEHunMuevLn697E3tm2iwQY4h1eCwjUiPSjMVVtCSS89jeI&#10;4h5iqtSyfc5iUfNlB2WCEcLeH896HsYMwzXYtwv6nyczAbIfnz8eB8fSRv+GmiiZJuA0jhKZRPAX&#10;oifLGtKiC5LheM2/Ehfeh8+kbdiBjyqnWJ37zE0+1dHLSsTAiX0TFRMV3Q03BcrWrpRqos2wgq/3&#10;DrVfSTPbRnaEorndZ71EvwaHNYvRp51Pa2GJrt/32m0dug2HWqxUK+MKXiotNb716aiX3I3YnjQn&#10;a3K9EdptfdQNro9QqS7qQvMvRMeenBVOjMOURkBtpk62jRFHyrUnfz4kxDUzDMPdUsc+55CKp32m&#10;JfddtHm9m0WgDeZWWrFtI3UhubMmjtxqzA8kseHgdAvqSESD7GAJONj/TEPUP1wt2WOQLdDH9XVq&#10;JclM1gZ0NA5KTBvWL+lwfBdJC6bGjh/m1DQbkJk97qD04yHjg2vHkBKMXwxTVYrX0PqTveu4IYKJ&#10;XGVtiHCrJJqyooOFYuNIQS9CmxubJzWn0QFnMpnkJCzQNVZ095D1OU7Wsoqixck/YW5ByaE9sifX&#10;EByrSYCTvbQaIEY1a1OkO0Bl2/aOgs8f3t7++vOnv3p9HQFeJ1X7L9v+4XJ9v4PC2K/PZd8URLBr&#10;007QkbJowNAFvKgNfdoLxBHZk+GwEyO7A5aRG7t8cXjFhiE9eDyu22uqMhnZSeNjxKafumhqCug4&#10;vQJQaX8bApjoiu5CIG308an5JfSoUcTTEC10vMmkkOzcCVMpfDUE6CnE2wv27IxZm8YKAiin/CkY&#10;LNsh5wh9k+JeW61iv1hMgeBcbRKBdWHDqKWv6SdRpf1bDzjiHbnF/mvZMHgTPh+NRIDjXkxdn1IR&#10;P8So05O70fJOsUk8+xEkwvyjPNGdlr6Sd+pXub1z14PJHNO4jZ6gahMx5Z31mycnyQCVlLfXs39O&#10;QV5ixaropIV0wbidxwsws0FaFmHVxSPYbCZfhiWcOrhNT0hS4ElEUFZmoXkGler4w8u2XS8vTWqg&#10;DFULqQtNuZL9Nj34pRh8Bqg4tSBoap6alYbQhYE3gE95I+FoAhfjo+SlOW8s+U4mOkqzA3EQV2WA&#10;o22UajvNoqFpQ4QpMgGBC/Er7cKhXajhobdh+semsYAAjmlViViIoBvoknOt/PAfw0/UnW00ZX0i&#10;1Jz/3B6ru9ZWJeoD8US4yPrTla259msbrrho5FwXQ4VVATJ52KMOXIW4utS2bLVoB33XJuuhbwK9&#10;x4fsxafIgiWLXhHqznOanTNDw3z1utWxY9Hn7nPEB2OiKf6rld1DY5JNROszYTcXxMG3sThGZng+&#10;TFunTKI+fUBhHN/k5h3J2erVm4TShqemhIl+GFe739rqF2/Xj5kom481Nme9xBU5vgCRokexhiny&#10;XQMRQRUgnyz6zN+Kad8SU4qOJ1Uc9BAlYPp4ydsujd2SfVmd+V4l/vMks2wMXnDI7mehDw+LyIeX&#10;l/5//+bzp7/84fvvXz8bi5UcNVSuKEbM8qzDhkJ0ERkI+l8yTndS9C6+8iVvPwdcLcEcAXZa/Xjc&#10;b/C0DSSEBc9aB3JAE0YnYGqhLS9NuPBR5KWZWTVNte0LtoKEuY/QHlN8Se2rFl87bun+qi3t4Kgr&#10;G6gdHwsntQZfxe7ABbpy+jWY+dVPsQ69F6+62CHfhGFuN6JYX7xUOAow2hRdVdAW9p9IF8tMltei&#10;GqH94MfIGstc/Nsl6z5FvVjllIDYBJ18OiREoqFJtF9BBAnlDbIanpjzeWi6nNiPBtWz146g8FAK&#10;se/ovBj8K5MPekM3NUjUynR4YXTYtU8FmpcqG5pahJj09h0d3vsr3S/imcOumnPpbx5SW9lzUfNh&#10;rlghAyoUyHKDL1JNR0b99Ru1nIfzfzB9JHeo3ouCRKJuKspeys7TTqHJXKFU/b93/ByY3MluZR81&#10;peY9Tf2rlw/VBmbZIoatvjhrW0RY4THjzdQX3HOSL1ttLt6+NqXwAJIetJI1G9ASaDVt0iw0tjZt&#10;4CoenyIO4uhveKXW0lgW22Mj93HD5Y40wxZcRFJnWkRckuG9HzesswT9jZr4J2Jnn+Stfh4AFmvA&#10;eIfFYkTezpf/cOHt9KX3l7yI4H83pXgHBZe7ObhN69v4MNrsL9mvjY8VYlpLwPiw/43G0vAqWucw&#10;jpLDhSH+nZYJloJIlSnOAXFt7tl6qqrbAhgwrbRmh8mWSEOpyoM4bOvkyEy+q70CSCIfsOKssz3N&#10;MTpKebQKCeDpB0/8xwId+IKKAb7klGjVe6UWFOXLdybVc8SiSE6TNIRTuDZ3puQfvTn34V7K0Wpw&#10;NYqZHCoVjHXC3TfqblMpvDdS1oY5iQ1oO0YUdt/siYGkLV33Sy/vXrbtdp6f326/+fTp0/2t720v&#10;meREej8Cj8kbNW4/Q9Q7yrS+iNzhPzPd+71iksM/T2CNJk0uM/HYJ0XtOiFR9URP9/is1x7448k3&#10;jDSMxU1koq/2oJvOHuoeFw5S1Mh7YiQ8+NbSNCoVxccR+2IrvZc9QATxcP1rFhtLZ1RTynnOBopj&#10;a1qrFPXSQ2BnzF6N7NVMtUwD/Ujct8JX8jY4qg2SIfffj7uiPchgvcmC1Xee/byLgYJwIounZSgu&#10;S1vLW+m72P1QaCjgnHBRZKZVcFyHMrec2370y3XWc9/75rPfb6ZoYwh73S7sp1XqWdzQydNwRql6&#10;jhZ7YMuhiFLtbKmmtTptUN9wsnr2s0IMjGTSFtxkAi5yYZDzt2OnL1VaXNy6dpzpd44aOWhjFFzI&#10;CoxnP/ZlGCG2TYjtfssdZj9qd8YVvWSTPPNRqnIBCmPLJwuoM1GQUOW73Sjp5FVNcG7DJwW7qM4v&#10;K7xyERCnMdEyrI4aicTIVtVvPrlJc5F2OmcyHGgSqP/BrjCyzoxHHH0BlDEhWxkYUhy8TfXgrNMz&#10;komakbbq8AqEBQTmGlBVqxuyG32ME+V2SOtLbq5Dq8H0z14dmhvbarv4UKI9TCbmNu0DQd/tzDoe&#10;Fm9SC0NrYpumYcse3SiWpSNPuhxvNS2xTppC26M/iVk0OcwA6hgWmVNcAq2WwLU2l6W2GLVMEtWG&#10;+398YqPqHDaHAbhSvrbaUAv9blUXjTatHbQYjWQudavWp4fZJjpp5Erxbe9WGzGCgFPgRAR2naW0&#10;JxUPuLRbM6MmmnwUQfVk23Z8dHUxma3c8ygDE6dMfIKgnmG/Ba1FHUjVXaBbwPfxZE61ZPkJCuPF&#10;K98oLstfwOqCBw3uhGUbHHqRXg/H5JZEo2YzN8sO0fYtf7i+7Nv2Vo7X+/3z29vbCZnAnvNrP2wT&#10;Z7ZzR3zXF19Uvaj/kDBaxD5L/bv6l+08J5POWPvuiQgISj0xnhHXpvhbadEwKw9vYhyHoyKfgdwf&#10;IDgfvkbxo4PU0JE5DRslQGXmQ2FKtQdSTuzG0O01QvaGzK2vvG+v0LxUDtusByNmXiwxuZ8I+0eQ&#10;1bJvBHlLloFuObonp1rqsmzByat+U47Zr+RbyQ5d2J/ok8OQpcBajgczs95hn7DudCLC/O7Pxn4e&#10;9CZeZVdjDGHhjIkPxX5p2wURs337M34glr2dlRnkJpmq9XpupWwcDvdb/HoWBt5CNXMoobeqci5c&#10;/YSFfiHJiZj+ijKxBZOgxb4vcmSrx+GUgJLCJbSeoUrdmrVSsCvLwFqTwgbYmVOmd1aU72jTMKkq&#10;pXfXlwNZkDXb4By1LD1X7RVulSIQNGzsKd6Ys6vdTisoUq8rPhSY3+leVTAMee7MZw4jvV1QFu7L&#10;SkspNkdr0ZbquCKO49ezVbECy4ljFuu5mUWRD0R3HN0MB3V44OeizGjP9MvgnDNBjPx47yGsozk2&#10;IkOjJ6FniZGsF9HWKAbpCntd31/xCRuNnTAnONvlFjPybVC8+TBHCxCsobX/j3CGaMhvm5sursc4&#10;WnZrC8/dpQ/o1RSHMJfdXQVmmvCBoQVVztJNhj9fMjwR28BScZY4cw/w8/gIXv+i1UkHHltSFgKZ&#10;Jvtjee1LRyvKt+GKymFLSM/GkYUa91hAs/WZHVgaRoq38DFeP+G8hcVOW93IufCfcUZL94t0rWEl&#10;C3l7IAIZBie2Me4N2d4v/mGXL2s/SSB5aq7ZhuTZkdTjBjfJsb0JNXutBONsI6UxDEs2WBXyKVM4&#10;CuqKujTRrQtmN5SUS8AVgw/REU9H8ImQb2j1JHuJkqHyVKio9/4T7sRS92/p+99379/3y/bXnz7+&#10;1acf/+rttf+E7EEhn8+zLyufjvOH+/mpHsWKtprNuphUIxKc0T7fb293po9mcpDpeWikw7TJwItf&#10;8u2GR3Y+JpXCpsdeg+44koXTPB4sYhr7nzE+8jSeZVZN4ka6HWbzyctSNQm8OUHHEWMjW1Sz2lZu&#10;nSOTSlqekGzs5ej2yA4MbX8bn8ASFduMrtwJVLWcBRwKKnKJX3H2Mqhvddtx7//z7fJOg8OS03xR&#10;lLSQ7WLcc0kDiAOiGyFTLUoqdH8Z4MSUuom+VkC3oZEDufJEf6F72X8AsmchEd1VNbJ5kZVXuHOq&#10;Ddd/30371piUY8xXy/kVHOh5x3SD6GqLMYph5+dYN6hocmvJbRURrnyoN0mfkb2C1mhOlPPlYsDx&#10;fT+ZL3gSqMYUM0BwDnJ+NjMd0L7f+v5XObK1cQb3WnxIVwwVtdi2gzPMLDxNDe8yQaJyAzOWLWkc&#10;2YgALxJytknkqu4qjguvsjXLN5Pg1Zp7DsVpI/Y1zmSvud44diOpp27lXvTgrrgUBtbG48dsrucx&#10;+bdNetRLsnM6eWTHG2aiyhdG++jbaDKxOANXq+av0UhbpBp6FZGcWOlwbusXT6Dgw5l22V5mnqFR&#10;SqfIusXw6KBvnmtmLV+vPNuI14spLsUju8SlWOfdbF64prfwMKyMLrwxQUwLA5XTZthSXM/moy1c&#10;mkdbBx2WhywgeJiZXS9mNLcUvoh1ahP0LZJnfJS3j3wL/q3VoMkMMHGgMePsD/O78JMA/S081YYB&#10;LB/K23HOYl16oajPRNSuyNDnX11JNKX0jNzErukz1Jw8VcFbcGsyUrMwdyeP8OHqa8kL+kKo0urC&#10;IzEGH/+ctKmRH4n2zrZ0n5mUFE6c+CNaFIyjYUQAX5giUinwLNICWDa2E+BYXJ46c1bzR/ZDwIfL&#10;S1+If7y9fe7FEH7Rh/4DX9DqRJ332o/BBeO9syo4uSkmrb+mK+QwSba6O1pKYr4QCLdhBynHXddB&#10;LSY34sd1u1tuy9XSg8uew4gxGcHvIzCTnUSaoMegFYcadu8aO8BjuFgfTjiEfvWTwfmGG2m7ov4r&#10;d/USqsSfjIU0xixefNZzxiCdHBuFtaKrNjmKORhSrBIJK/MpZeQe+22KccDMlN7JXnC1/QDhOSgf&#10;aqOQo74QvZuZAXTYqI77QCg3ajV6kbbjoJdh+gafk2nyvbLrxVbfbntxhlQklHpKSG1SbCKjar/2&#10;O2HHpkjEjOJ3pROsMGacMuQLeFcyRn3H59hrtv3aHys0HLdLJailUI7E09WmdiWzKLF9Bqhp0g5Q&#10;9cneMWaHx5ZTf13YygTQoO1SJP2kXCeAsKFAK+fL9d15nK9vb1d2WWFtFJsJe/pRLfMy3hkrDQpg&#10;Cd/s2+2E+VRDHJ0+NAWpzYcm/HOx2Pprer9ddnJiGNapJdbcR7jJii3LKTjDZgVzRo9XWEzQWLEE&#10;rSKmzcVtlh1lJ+hkHYDR5J8/0lobZpxwg5mf3VJbIgPjkHk6gdQismJcsgJVXFYTmDvD64nZbBY0&#10;UyeWqO3Pe1/RlYYe2eY0pWmPs+ezrZVG8JbsQq1pI9doqZHGUy3cl80357v2YCfnE67CGzsP8/yA&#10;Viea4GS8qoRLYwq5BNB6oy9W6+ysw74UV5zPVMgu7rF1Jpdcn7IWa34kqKNfmeLsmI6XXsOCOF0F&#10;fB6YMCSgcQ2Y9A8iLCcePF1sdfWnZKMOGdW9uQtNoJkfFEVpWBSaccpVBzcmuKIFklwm0f9zr1jx&#10;q+wTzUlvnuKXbGY3C1lDbnofUigD5rv3o+Z2cR3Eqj4a0bZxnmbCFUM4S4TXvV10BIs2N7Vp2giY&#10;4G/dhDVPigvH48ZMGk5rvFGiQF2qzbEwv9u37969Qwv0dvv3P3z/8XZ7t1832vP7F7/k/C5n1X1V&#10;QkchvfCO4PcgsSr2b1dheknxmysiIxrlFe5dGNCGySQKS25oC3Ees2ZKYp55GNGZGjJiywhSqoRI&#10;yUJP6F6B1b2ERStkOW5DJdR/4HHDqqniX4oVVDuIESghhSE6lvgzb7d9L8S2UYIYdLeoDSQ7eQUl&#10;I2WDTCXHlh+oDDFU43m377XbFR9N32k285py1BShr+2byn7p+9eRc/8XtJ3P07i8Lt/xpZ9oEtUW&#10;Bl1P57YXPXr927crkxzgTIg+JzfDjCU00UdYmYAg6HKMF8zhmll0reGV1eyxUwUf30K0AQOBUDqe&#10;jC/Nfb+6vu+HnqSgMPTYd3Td6F23mbPGcmytWpnj7pTKn8NxYaZPXwkWh3yPGCpv+cL8o75Df77d&#10;hBqt1vWYepET+ixRBdK7bX8HNBHWhEI5tKnIEdoFsMyNZG9dGXuagkQwcYr6apvTlfaFPlO1VE0j&#10;yXYu62NJTDRLNE5ARqhJex51m7ZUJZtqE8kK1Ios0QqNKIvVMjfX5nHCxTkOkbbpKLtoOWvPhLwW&#10;V8GjGhQ4U3to1tTBNkcBxOdIoWe739xVS/tKHkL8YrovG7FLN9u6Lg7nZFs7Q+1RfLJMvTgVM410&#10;NAn/k72Sl61qSGlR42Pv8f8+NTzreuKJD7dBHVixMAbHUfSNsHDztGrJfB5cG+3Amwc2+gDJyQAw&#10;DODNssMsVFri/jDjCfF8ZvyTstI/gnVlA8MZ+pce7rkX9SNR/2nCnJlyTPkIhS3H2JZoMGR/mEE/&#10;3t+enkCn51BaUtamdBrxXnzLldGyIS6kXLZKWnKxlqsgpe3cti3NOWrz4Im2Jbea8P9ljwUmbawp&#10;opY1kUB37MF4x0lXT97+GhVPJsFW/PDy7v31epznx7fPP769AmztwJVL7mVrYi9SzSuDEEMCmtRg&#10;T9fMHHAqAbElnLfAfhrnODnmfXQsfOKcDCW2OE2fmjLJcEPNlxl3vTdTqsUYH/JHMFnZoj8xpohY&#10;+trO6O0v7wjHK6EnuHNcPt6o77CGhEQvCCUXsUXQRJ1qIOtP5IrhqnAajS2xcrqW6NujMx+KRcVX&#10;4sYrRjbfqvFFI8UslW22a9/77jdgcXrl1X8OXS2aklZuaZpQst97BupQ8L0pzpZ9TmWDEV4LCVFP&#10;iDJQP36nzAQRldq42bnBrkOtabi/Zpk1NNjsG8mWw+VK5x/r2/4vsNlVVmA1eg+mYSO/MESlkoDK&#10;nqhOSHk74Rdql2pWKhxDNfzj/4IxUUEoshXyzr7f6YBN6Uhy/HMO3sTW0FCxbkuuJZ5uQj7DOFWz&#10;B34hxRQNDGa/XPi+IkOh2QKl/rkuFmqlcQ5hEpB3ZK02o3c2J6ULZuhzGtuffKS8+FVj4rie7niT&#10;nxmWLC4CP7czm7M3Nq9ZMsf1A73iQQWWXDXKlBHKm71HEhcjbRoM0dGxW2iibUB0rWoBJbYmszCa&#10;NscwI2N81uKXoBeLpfwK/+yBbe1JCz7NH45Cx8tYYK5sgnX4L0dTcW4YzYejXociN2QafpqG8ynE&#10;p0TsMV4eiQ0j8NxpXu4Ld41ufJB6atg43QWmQm0G7PdGom0QOqnMFPnQHha8B2JcHAbGJ7nNEAGa&#10;HtAJneotbVyerGKgcmH8ompKY5DrDCPqFeSWmnN1zDiod6vdNDgg5IXB6/aht2EZHU0P61VmYbHU&#10;dGd/mI9Qk4i+1jpGr/DGjXHgIhJ2Oait19XTLXSU8h2DIvSU3M/TBuY5zRAcrrp82Hf9LtVJtQ1M&#10;zMGDfK//KGOpd8azXfbLL95/09/urz/++JvPH0tBBM8NXxnfb9m8in1VKuWkd6Kxndt/zZ6lp8EF&#10;fT3L7bzH28dGCtoarfDg4/lC6xmX9oi8s3WA4Jtq8ccIFe31y94WiPAQgVrOWjOqui0zGEmglNtr&#10;evvsnnX27alTjfRKDq8Eqdb9scK2RCv1BYtvOaDvT3FEN5JxAtbXYSq5QWkzpzALSnBnEqc+23le&#10;+u7LCVlSvINECWhRtP0s23GnKh/Hpa020pphEuglkKz2QjPxBJTlsetloub2Re7iSGcKO5yMDYSD&#10;cKstObvjBKFNj49FulblH3kIUTLOLsGliU8YjQ2o8xCIkZvYbH2DRNsJF+rI+0hfBhg2DlEGrzBv&#10;GCm27WNJMKpmO2dUWEr62+xvZDOviZbfA8oqGA5PDqThlyBozMb51N/uyeqS/jU7PZY/3Nl251NH&#10;RJHowebhRF+Zcg+JoZY0Ed1qfJT0L8X4ktJ2tOHfKyuFKNZqbUIP2eFvTWJ/8N2matSnJWfcz3V2&#10;+mqrO57yTsEwGexQzfRjMYwOX66MRJa/nWifYEgQ/t6RD6rFuAZjDdo8LcXHZPTUFCOlb2cvd6b9&#10;Pax77Tl7LMWVALMqXcb2Z/2HOCz5wdFNy49uXgk8cGXcUxFieOo0mvanOa2pxVEqDYvxItcdG0Bd&#10;QQQyLy/bY3sILPbCcSBK4xJyOHg8Jj8yOZBLLR3TGeMEljbfc55yJMLsrrvYL87xXmv1AaTdVJhm&#10;9fwce69jrxwCg6JS2jRrqjdzNKHRzNGcTFVhix8He0nHL4UOJvNCpGGKsfaQ9fPNIOTh9Qovx7Ok&#10;47l/9IHET8Lh/Oik4IjoeuC0fLjN5BhM0oOWcUuu0Q9ttFsn2az/5BdGb6tGkBFzknO5SVNQSvgL&#10;bfKnBKBijcb0/nK9btvtfvubT59ese6EY2xh9ClKVqe5CoOaLHCGY79y77/69rp9/F5Imgcwfhw9&#10;+LaIh+3mGG3j5tNoP0hxkpjCIC8OlVMbMCWNTjlUYpCUWVmmgFkiewPpwGAWmb9D5JjkKTl4Xg09&#10;bYmVUc3lTNxRCjeMsF16FXuwx7tRmNgGJbe1Xlo1WOsuHh3NlTftyScKtHXn4RXlGgyV5n3f5Ro4&#10;ELYXjaRYCbWkQhKH0v1dIaM57u8CdkHiNKOKhmBwbabJB0lYieKsAl0ahqlFj1Y404Z3kUzg0FCh&#10;RvpUznresUv1n3Z/rXQHYmeVtft4RcnbK9d9j/1beoF1HtCwCsO6ZV3ikoHq7nt8fzGcVZatmUA7&#10;UDsGEc1x4P2yP99waucsGboipGQBubtRevV2a8cdT8u2s72RQVGgNXN0hjLmvf0BP5VYX5hTVtnY&#10;FEEWrLaqDKVoRic+pJujJn354n1eTKQbBq7FsmdS9EHJFwGuko2ie9hfhT3n1aPPPGGkmiBO4Lxl&#10;ekUks5Zx+EzPZhbgE5/N1nwioOl9G25SHSSrujdpxB0NqUtlZ4L/1f0ULfxZgAfVDtLm2O2oiEzN&#10;H2uaYhWPSRr85RECFJ4MjF90Do2hN6QaFIOhe1D8uVcWYouGQ10svS7s0aob2pNPceoBBJ8HfKcN&#10;aI/RIjyNxGIn4qOdIA7BoaqNNgMEn1SfJtdJQbGKPtkYtYf7Di0+O3BZNCP/0CzorjVI7SxDn/J7&#10;Hza/Guzz0p6e40KCGfpVtxkUHagtDsmmublJ9x7nrhnUPFd5Fq1pa1oQBeu6FAkibuGOUdyMJVi7&#10;FNU9dQgObW3V7sIk1yQ1BiEU/St3KZUUdppmYCnP2ZEPbVBmkG8ellon8rIs7rTG82s0lzKYXzPJ&#10;QpAfDGiXs0IawCWY5h/7nG3rhIKp2n0Lf3pB/de3z2+u1/4nv/78Cvinn462zBEKW8EnvMP4WQcU&#10;L+HWd4ho+Cg816+f4oG47cD+LfvUp8thF8LFTwR7jtGfOf2X85XT3L+CFbTns1+CXlTpiYuCnvJf&#10;gY8BeSsa5Dqh0WeYmCzyeaYxTjNVFMlQrwiSjdVjw9tDEtCFzbpz2wVgqnlHeiyfNfYH+CFqKhcU&#10;s5s8mJKjZWDfwymyVykynidhyTI23cKPCvRJBOH2n9//k9qdTr54Bo9Qplm7HpykXSoC8xAXS6vf&#10;saGcT708z4nu8mDyFmovQRDtlWKNeqCadONstfuVPOHTA9igvzVQs/t+yA8b4CmeIPtxaGuX972+&#10;x+Qv09VQe8HaL8EekebR13AYmQ8ohYAD7eUbXhRs7pasw8Bn7tvO9AuEv7S0919X70dCDmU/DWzh&#10;uDN2o//Ilq8v/U8gOqLgpZ8v8WDL9ga5vvytOGvsENnYfKxYXAHOECdnlzuv4maHrRSHjVpbh8Dt&#10;yaxwzbUibVF7PMQPDdRiUsaiuVtMnZfa9Eo4oizOOHOjeNmf1yjPjTEXFVow6gsyl/sJ1AsXrW52&#10;eNQanMYoSsVWIrFAejlSNCxvvJieZ7jaTXXJGiinqtMU2W6qu9pIDJw4j1GUDKOeE5tjmMn0waC4&#10;5gkxs8STSsb2phnFNyJxZ2KtwnSaH/jakJ4qxdZOJKbf8SZH0pzUW8JKKUqjxsrerIvO4YqL4GUJ&#10;DArKPagxLfGkS559W47hzZzaedYZc8lCB77SkNimZaL6pju8GUNTs8wsrY05HAVqM+l/V0m6RRJS&#10;AKxfelRx6oKwPdZWdBCDscHdN+s7fvlpFiY3sOOu3GaUsZXZWIOqS5Ga52PE8VLtObdQ1OCBHkHA&#10;EYFz46jMwkiuUNkKbacuF5Q4UHLLfEtETiSTDEsC83FMRo2cKTUDhROkt0w4q510hNJm+/4eTomG&#10;dg6r7uepNQVWkJw/XC99Xfrh84/nebzs+/V6wTCR13tTNBrdk2qfns222CxcmVpeLcwGoBMw2tcb&#10;n/GJbaRgKwc7czyAQVsaHKLhaxoG86Bzme7EsxcTEOzTlJDcYzrQeb2ehZ0gIrhH7EH2RekWVxAE&#10;jSb0Axx3xfQE40Gy0wtSs87NVSJeHQNtNEqyZdHTmuyONVE0WojU0vfDGV4fgAAsplKlS2GAkPtH&#10;cmD0lagUPTdMtrDHsK29Mcil7WjU5nukww+6UEhUNpa5AJOVdrtc8LD3+onnvMJG/OW8nX17pj8h&#10;Gw4Ur5mdLrCo+76bTclFHXve9DZDvu46ULLYwwF3Zz5w6VXeBn0NbYLSHFj9WZtlKGAfxZuCd+Hl&#10;Cmtj/yZ6Ns/tUoT6k0cThkUm8kVs/Lnv4b2ivuQ7rJm9ngPnJVlLLspSg4Gh4NopMOQvXtCswSkd&#10;ziaWb5ec73D4YBh4729QRNOaFnWHJYJWdUgHYT7OPkJs6TFnLgxLM+7eYpha9y1En2M1N/RNapRP&#10;RswENr05rNqNnFGpc+J/jH2hfpNYUOg/kFDrRokUJnbFgMEy4nlAnSauSz9xEmBGNanmisCnNvnz&#10;rlh7jPJ7GP8N+q6VzV43jmLKK724MCy80dZ8X/W0+rhoW8fuU93I2cIc+hgiJg47vxmnm6DpXpM5&#10;M9Uu7KztzOHaxiGg+t6zjlqSf3wqk6bDJLq9bRlJVue6DWrHYMk0JZ6rT2iCybHz2fuqqks8RnV2&#10;JnzvcdCzRS+MiwQNiDUKxulnXJahGm3e6zfyJ+Z8IjOIxIVxUDGKcRCvxuropzmoZDyELskDMFSg&#10;GkJVTvRXAyMxvoT8HQXgMZvzxdEyjlPWYRVuQo+J+0qSY3bLY7gQ3bUyxV92Tmv9OYepMdkEpdoE&#10;0pTX45aobAdh7fDcA20431wuv3j/rv/of/fp41/+8MPHz6/9C45Q9Ljc7senN4Td9p99YTieFKdZ&#10;FjFws06LZCBAzTPNY/wJm3BYg48ocDDHKT7TNHsBnoLkjCJ/zMckXkstkaaOoFKOzTjQobmX3j6F&#10;8x4VleDhUIGpePe8IaK+FShTcFKiqoU3aK9w3/bLXU41esO1xidv6mDCRjw1l13ujfz7lKzzWcdw&#10;gF0Wba8n+ZkimWkIdybmpNCIjUaiofaldUpFtB8ftjVHkfQzHLcNKP8QBMhhr8L8sIlfrpVzgbJf&#10;S9olhiJEDd+Fgo+al1IOctekkIVDQ7wYAFdZP5jaBL5AQl0ZcGGJc5xlKs+dLdaauW/cry9Upp2W&#10;d3UeOGlpnWUNXbChb3oid4KNmKYAznI4D47fyEKr9Xz92F/ey3bxU3R2fG71RlEVjfagBKe/y+sm&#10;p2tj5yk4ysy04iyVSJWzGXt8plia6JYhokM9Yg2R+hwu2eTnMJks7hGL40sjodYIy0YeCc+7qR3I&#10;p9XMvDemPU0W65cV7RPNrrqUksvITDtfM60m1b3JFK7SWcavPYnR3pbjS2TWSimGNXBwQaMsxtqR&#10;LDgQKkb0H2l0cR3WPcNGw2TnhKc+T2zubZoRiD5DqS5ZjBoIq4SKw/TmXfKkU6qt0xRzt6/FLfpa&#10;kYYYZYQNuVJHuv80W6dxSbZCiZon3HxUt3yMvHlgu9cyCtWXQbsrrDsAtTHEJemDbWfZzz1Y2Qlw&#10;Czu7zfynUAaHyGFpkrPITi7LovAjHnKj1mLY2WbayLQQUmjV4Pha3GqbNgxYCzITg9Rz5jXaPNfU&#10;7q0ZTI8k99Pd4mOIa6ABH5ZmetWbfaDWY9mxbKQ4qQyKs3eDB+m9oqgJPF7dzquoox1hhNtmOcNp&#10;EOXHGJKVXH53fXnZ9s/3t3/z/W//6uOPx/2WhM81Z2R0oEWkepDJcIzNq+fdSuDW4k+mkI37umop&#10;X8Q/TbzS4DalmZrCydQQbRn4jV3eIJntuCtEb8HxYWPVdOi0gnPV28d8f6t81dUR9sIGkCiWjm0v&#10;GB9GyhlO7E/+UuhUt6mKEJZ1wosVSV05Nc4Wz0BbejX1CCqeRAPixiFLX/ePfS/7HjyDU6c/+bvo&#10;Vef5n8t6tBwuyDI0Tcn0s6vu6bfAjjlXps0ln4R1ZpZudb8wIBpL3pG2y3lHwCBiiWBexNNYTlQX&#10;2ZLn8QAG8WTOcL4lh5FrZFAZ68rE9ZNO9n1jK7/AhnhGws0dlkAGtw5raT+zTORxv+zJxzvpLJvQ&#10;qRRnHueJrmnEXhvFOD9Jd2gk1u77jR2RIm4QD3tFYWfBTtLFU4/v5K1eaHbbSC07iOgTqSBN0b1V&#10;Wm1qkmfYiwTTruEbuolqGhaDYrnNQDed1N7iLvQimw2IWJOZB934I4GJ3awa3qmuq05+VJKkBGB5&#10;cvWVG0nXsJoUJGuP0UAbzmg+/kygUisoj2qvUYwg0HETcnWsPnYlY5gmo3Uusfpz43AWmlJ1Kevi&#10;INQ0OdGZgywLuufSujJxbJ+t2nx+pcZ4r3gENnhyuvdjtXSVmL208Tq42qgu2gpsyQP2j+V/T3ap&#10;Nz4tA2NSsMeWn0cLyaUKX04HhZ9ocRSE0dxedrXS6IOPGMjROXS5Y5hhk94ST57oGOPKBXE5jwJL&#10;xnxVVDrZXavd40zAXpEDK7tca12T4IULB04blqJnbQS1RkyUmJxV5swOi6EPXtxLl3ky6ToMGiR1&#10;KMKyqEoY1eEwn7JXWd3QY0RTV+9X76Nji+PJpxTXkPBX4Dk7Wl9HnLrmPfex8/Gn4SR03TIeBG5p&#10;xv9VFE7/dmITvtkv31xePp/3f/2bv/m3v/3t7Twv+75tOQ7Nb1QqQog6qgtPbH0HLaCMNWjTV7P6&#10;Lr353IZkS5gUWggxtRppRG10BRO7lfZay9Cg+yzEt8TqnhlDRPBT7MeN44zHPSLVj1t4kfaSs0FA&#10;T06y0THhO41CtxWOb1+O44WpsHiWoymedBB0dbT4D9DlF3nYLNKy6G9x7sNmoCc31WRxnImQ6+0s&#10;Gd7LujMSsBg+GFt9Ye4uI0ZLZh2POU5ByVI3wZ6ifJFntLO7JHtQ6yCQFsmx6J1yAJBYxBlsAhYv&#10;NEtD3pMyZ9i7ppHy3j/Z3DenynGj8mkJvTa5If6gl5qnhDOyCyXGy5ToxjMXo3I7T0bgIuo3HzgH&#10;gBqa8ykyOBqn7GfA88c7iGiBs8rE2Evyizab6twVRRuI5K4GEmKMmqmmzGJlpHg8DBe7cVOa6Zdx&#10;Nb7ZkqWNVC0LxfOsmdyi4T86x0N10aPBLW2di9pnE12/yWeLaYG4hBEq73HqjuqNsysYg4cEDIyj&#10;w9JU4qbktK5H4YTsED718pAT9WSjE/ynTYMdhyxhbGACURwhhfa7VumI9YuDepJuTQ0Pke5tUfBP&#10;4/Yi117zgOMjQnygJOPEvMQ1Z51hr6Qy6jJWs7opHjZYyurIrFht7/H/hcg2N/jm1UBbeMOrT/9J&#10;hjODMsbRaCbscTgQTKtp3uXlOjTGkeweXOwGAEGcQ1pdp2Npo4NttJ6LxQhYtpQJIqXlM81IJbJy&#10;fafRY/zkvbRKH8cwuoPL4wXZzDkk6aYQKrEunrLhAjxBFCujAeydXaa9ozOZN5NaKJjHh1jytpNQ&#10;OyiXWeybvuKpMJK1jgyRkTdMN1Q6+gJf6X+KyIhPXt+L864+JQ1XyGht7B/tGRx91YLjkESFS/v5&#10;y7vf+/Dzd/v+/f3t33/68e24CyWk5zsiThx3//08XrFf9hX83lpYEkn0xXFtA6ypDs3qbibEjo1T&#10;aDznIrgnk3bJzC4Ud745fh+5gHFQh6v2+0qpS1T3BbAxyDjC7SPD53q5gcC5IT1N6ovRr1IkUnl5&#10;6fsHbiajiRpfCYCFnA8GmKpKhbiXUMUUlP3QdIKxMn9Ac6HzrAfbotiTMPOL960XRtmExnQ2IEWB&#10;jaf+MtgIRWFU2ZxUB4wQp3inEZG1F7yG1mDAi49q3heFlkIOakaviiepZTTl47lf8UttO2jYyRzq&#10;7YBhyUAL5nXgdnIuqOMgPla6+83F2HoJS4kFvm9jUlykKOYGr3dR462/ktv9XiiHAYwvSH4mQRck&#10;nf1DLSc+kQuL5oIKGxtLv5PvJwioamyLCKjx/sle7c4c6qNv2mdBgiUJ7GqrvEEnimeKuWDe7qBm&#10;WS5p+2TMtOXBDmobpvZgqpY4fg3IW3uk0dgytoNJgxgX8f9oGbXHEkpnsZP6n5wGz9M3P7PTRfsN&#10;0V620FyejRD8Vku+n1nkUCb8unli3djx3GPueREsVf18zc862oSoja7jml7vwpclPuk5cGUkqy7Y&#10;MAn+XW4zIgPb6J0qTqrG53TrJbzXgF5sbLK4cIlglERwxjSyAZJTig991PgQp+773Feynx7Lu2l4&#10;b+0pqthOAsF4xgYjHuxaznoPO42xhWIH+7ZGO2XGUQ5vxFQk+Rx0DbwoRNuUsBQAFJGRxRXywLm5&#10;DifK4l2HazC0Gd5Y/SBvW4A1FeftF+LI5kMR2Ypb8tXGMe1VsHblFCJa8k2m/IuIKY++yB5K3Dx+&#10;0uN0jVOsApHjvtQm/Bat2nspTF63kMfmFoKiRAHm/23JuE/NgHbMMEKRY9PTfgUp5KA7UK3CxBC1&#10;fd89Q+nby/V3P3z42x++7QXIb15ff/P66TMNWL0yuB9Hf1fMTjoZJ3oP95uZNx6CtLwbHcOTfTSO&#10;lCyJktT027SOG9xgmHHVrGfLpw0EB9tLHmm1nKLYlS5u0+SPIk4a2+HtFhFvrpFK2YxZTqVmnKT1&#10;1/2C3D60FvsuEquF53Lswlv1SMxPpn6hiohtNtsMEJqF6QQVZroBIeFsVnpBoqRVoF/LZOFAJxqA&#10;OpwnC91Fm41xsP1SU1GS+bfZizDyrxHOoBSIVKXWoEcQShOi5uC00AOAfSg5apGxVyejHnaN/eSY&#10;DDTVFcVHIG5JB1ezk9O3xw8MpzdIq8wYBhOhZNQ2rO17VNiQMlioVNn08eoU0rd/PqE81zLShIo6&#10;fGS0WESIbqGNyzwZlNvr/fam2q9Smw/vX32YH2lfZEfU6rtqE0FctJOTP03xpaGEavTgn+qJ3Wb2&#10;jLR9X+Rn9bdcqifnBI3TlUaI/T+pP1l9v2I9l1jmtweKf1y0fFqiSp2/TxtP5P1buCPkNhFQ+Jyo&#10;aF/mfE3uAqJ46oJHmQ4/zgipZVXkrE+1Zgiq7QmJxg3HZAyG8/TWx5EVHpZcJNuchxp1TP/GuF9a&#10;96ZGcg5P6WRR6dOawVfP4m0jlNcjUqtv9UZsSRTvVoGshIFqHuVLz6XMajmpe6JpFGdUaZksDrP6&#10;2O1G4GOcssZpUDNy43r4YZawZ/Vu7vOI1u6Ldhgfbm6xw6JBL6uLaGIYIP8vxrJL+RlGdo/HVnib&#10;NNEAtPUKcsvW027LZlcN2GreSjcRxjYgCs2MatE+Q/uEZOiWRYIn8Rqck5qWsauQ9hBo81Vu2ixd&#10;Giqqks4FpTmNhAaLYtGMYUSAhK+eL+LsFtZoXdezb4d0oE8yisQjtfnWYhU2+rpQp1BWx7SfNBBi&#10;/PnMDszZQ6igi0F037tfffPhXd5ez/v3r68fX18/328F6opN13ODivocYDMDHUtP3uo6L41xYGix&#10;XDaWFDbr58EhehC7vXFWXUV5gmbojMF/U5JWUPuccBwjIUYYLYr7uL8wrKMc8f6ZdgJPSGzuiHNO&#10;iELUIME4jsR9hc3AyjEwXygERaSLcXxzQIRpD3hlk6Ft+bZv98sVY+5ebOJroIVnS5RXFY6AZtNx&#10;XpKdgelqkmbW05Umz0z2Xkl8jgOzGnwkcakFyz8yZpOXY3gJm9C1Qel5M9GmsRGaDcXk7lL5ZjU0&#10;JY0Gox+qlmI1Bhw+RrgparOnIAOpK0SnD8QT/fhNzRVkQRw7DYs+eMJbzsiXoNGLsX9137W6QqiM&#10;D7D2gxf2OWZ2wZgCDirsExRmN6l4RmwV53+WjF2q9fX6ZbozUgTxZJXTndTCcleq/29DjtFHihbP&#10;zmJCZLYRcDvO/h7E2RjUSyjA6AuqdvTI0HkKw6eYant2wsWHldc7800pFWvbkgPffmQSTW0qIIZ6&#10;KjxRRyY62sVeUmpHs0wUk002z9dlEuSImbAevg5l0TgvrktcUWNf6tdaGptxtLnjIFPHNtqATXLd&#10;sa4mmW9qmMTn6JTCp9GafrlaK6lNOL2gna0OHVH84iL7ppGsTAkzxKe19hOpHTF+YWH0XfCpdnSx&#10;LPJjN9nOxuEmTLtXmFyxWNrC21ysz2MQ+mj7JuwkTpOcHS6bATD7W98sNTdbMKnrYfw+tFeZF+yp&#10;dfpGsAfVj5Jx1gmfiYPyGq1nbsjmMoalnu0sKVCb2b5Lgk8MJ2MydeYt1aeJVRg4DNtqrU+1eG1L&#10;5zx4H0LJt+heSucS1LUMLjhGZQYYM984V4NN65SwWVQ8lVCbbYq8RwtTAJO6Xy2ZmhcXpL+wy5a/&#10;e3n3i5cP/Qt+8/nTx34Md7rxziw0vNTzNiz4Awv1HN/ALHEPObIByuAe+ETah9nMKzB/Yq1+T629&#10;i7j6RP15q/a51yUzmmeas6+nrz/gUARsJBJdSpB/1wge1SAJaL+QWNYGt7N57q4S9ZSUWMTeTMHs&#10;8DyyN1K5wuUC3iZfwAmmswQyJHDkrVC4yAcji6oRZc6mLKxvYLuxAWM0WggZfvLY4BSPvYRL117z&#10;Jr4H9BAUYarDMLNgPLIFIX99H2VmHiSvKPgYAU1rNPqPMnUzY1JNfKIuewV2Nv4W1ER5LzAnomkc&#10;+h+2YvnahnzjJwxrBxoQ1WCTZXAhehl6vrxwrMk+xdFEw09qMjaFrdIsaMKIRmjo1SFfXDA5v8gj&#10;U5dzsUTL7wE3aqLLkelPzXy8WbNz+U88YptrQbX2kY4EITnQ+RlGxBKN9IHgPQdzSMcw4FMLuIvs&#10;vTohfWsEEJchZdiONSa4sNDHbPo91VUH2nEjjKVjK4pt8RxY2KfNLG3wY2HcHFOElbZpGdM1LAPP&#10;aTVX0jlWlWZBeI/uhpSWFHbv7adkjj0f7zMPukx6tCRJOhW7lig9bgwL+yWtRro2Z2uuTIpyvjRH&#10;MMtDEoY3/wk7MzEubVoI4k+HMq1zyBi+yIh/lgfbRpGWr7bRQbCgAzMgWhXS8ro7eAm4pt6IGqr+&#10;RhrgF18P9UGc/NeFUGUKKoG+3C6Jj7qXg1eq5pQrHLLQJ0kVCvUOIIIWpeiEOjAPLtlo1Tc2ig08&#10;nYRnnl2Df8EpfSM0l1vwEHfTPgMEM3hYzAcwsc+BrarEiXOYYqSRKpHmsYaYN5sg2ihRJJRC8ApR&#10;MyaC2CB/aPejfD7ub2hw9VO5wdxlfbyd9+PEcTmbWTdyBJsVSXEUDGle9v0X77+5XPK9HD+8vb7e&#10;70x9YmYg6qrJYg2zjLKC/wHna8HCzDPwXItxqIoL5ShZlE+Uh6T5VWvOQ2wxPDRbXOQy5GBkUumU&#10;xe7c/RbLoehUoqpbHLhEIbA8WULSZW1IyosWVagVnzhKfK4GBlnYXOKRzJ4K+yNS8bR6PY5e+rxd&#10;LpbOxe7wybe3UYF/IDC9X+49cBB4JBkqPHUs0XXXwgWyW7yCwH5sItl4V8GsGIe86YFSHmT/QA7S&#10;R6XDT4of4sU+66nuXhRP7vI+bhcd7PQ2o+PwdReiJUtdV90vcBzSeqjMnGjuFChUYXinUa8d/R45&#10;YFVAyiM+8bLl/r147/1m6Z9C1QWs+5a3l0t/jbIAbRQAQwuz7/0rjtZu91v/dZ+Q21U9STTKaTpt&#10;ckEYaetiY1LI/lZ0TxmFEbbjyMOQtPzXERLEMUIxL4D6gxYC5zwfKeea5/lO5FeL4/6z+7d4HnO1&#10;bONY4zCpmtXPTo0soHesIClZE7GhH4KWaQq+S9gypGQaM82EKe/kDRH3rEzeVIrtKtU93Q8rvUdr&#10;mS+CyoVomT01X+LQNPrFqe4UbBbg0JaoFj1xRrsdnkgfmKYxqmJaWPI1IjhCoPnpdCBGtNGYQ39s&#10;JC2svzZ4DeK/MhqgVEr0BylTtGW44L4X3dO0TBYP8MVgbylBFmWTL9jxS0gH/+ocDJ82G0k2/Fe0&#10;ntbolOJMp1qF7nX4sjQUZHsQ4/5i6hhlgXHUSXvxYVRi94qhsjilHOGlqH6ikllZ+FhH/9q1aZek&#10;FQTLA4szfchtaFKrRKm2WPgpzfuFEtCmiWBrY0ZIzYFqcjOb1nVQN1oeeFeoOUuYHse21DSm8YVv&#10;HbpNqqDjJfF+tz0+hsXpWPX5csajRaHioFCVQ9R/T6JrRQ/QWc6P99tbPcVj5EHBoHG6sGdVX6Ff&#10;qO2XLx++vb57PY8fbm99Werf1b813T+LpUnxenIGDZUFjhoaPd1kgkbIQam994RgRkMnZZ2JBD2a&#10;dp4/45xXd5HqazgmGoTQpc0q+rshGDibPECI5hqWmKEaNNVLmDIJwWx4xbxVT5PnD4EOs6gfyOVw&#10;CHuk16v8W76UttM2l/ran5XkUE8Or07tUqNBxcAg6er7lhlObKta0Y9sCeuy+vHThLoNCxQAZvGI&#10;KTumx3thTUm5me1/2MRpJTzTRsVhI/wzo91R1iyzQNvfptDXsKglwhADUQDVN9F+9cQf5gpNqPV2&#10;DdqPcWHiPXtqJ/qcJ4wL+1V4B0X1ZkHOgKY2l0X2PexUp5T9zMrCMVS1IMMdae9VLQ/q50ubUxl8&#10;Cpsp4VEmnvwuFLZRx1B8Tm/QjvLYuikomZ0TasNafjBVPdcBq9shNvUB2AwudVIGOaBvDpCcOPYl&#10;rM7Yhp46YxYb4vazun9RAQR2V1WOBNbqU5VR9RG993lie0iEnbbZrJTtmNpjwzU+mNangJfvFkge&#10;7+sGN+q2B4Hg9FY9uhtEbn8kAlDLZt6sJbu2OaltqCvq6FzOk3B8Er0sIarmPzRW6QrtdnWOI1Fa&#10;Gxw2WxMXp2N78u1PD6b9FGupDQ1fC/GLYItoa94Q6j22DfjKKws9fSKaMbtZUDVzeog6wriHSKOm&#10;iqJMlhwaeTUN42WMbemy2jSRNx5ySqP0/S2YryVJrX9yWoU9dcQGTynMjBo2FhpC7OrQJSXZFl1G&#10;JI/K0dSEjFMzacNLcy/4TN5tIYz7pVvACGE0nltmxZJ+OfK7DCerN21TUl7vgW/xygvLGg7UEEG0&#10;JQ0JP/G674iiBdW6ah8ye0NoV6D0Y/93jAbBxJrDbq0tvZp8PW79G9/t159f3+1p+/Ht9jefX2/3&#10;N7iSSQB5iNJ6qOM1VyvVVZ7xCW82HFPstdZm+62XbiwfoYfJI9ImWkbwxjKpPYdqSp9B3x59F9j1&#10;2+013141l4BIBOWOFaEb4dEgW2ILSXfWc1XKeW40uZ7oE+ybmnRrgCjnpyV6UBVeaKn0pYNqdsBO&#10;IMRybo4qgBWVHWCeleiKE9X+rJlUFIgbSLST2aC/ybpfT46T+1Z6kFJdGcFYWnNRnvQAwv0wMpcz&#10;H0Uk4+hZbMieMinPUT2RvnndNI5BJQKfieqBMqIrydSDeiWUww6l50F2ZFbTvm1bUh5PkmUtXQrp&#10;jTmNqSoRFpC8lg0JhRHoNsQYHX2bjOkqlCAZ5QBeMjgJslE+UCX4bMq25HDADcLNy2vPGC0bDymI&#10;vGOUjnmGcMkMdihBLB+zjVcTTcpw2Ba/9bx9i0NW1pw6d05xuk6/nU/PgVisI102mRLELXo2zPbm&#10;0uhyeKtz2KJ0mq7G3/J8uzrWcyOOVHpCg4fI0VwlrJRxTFbXms6QPo1oVtrPjqNBG+gwJbc/R4MR&#10;pxFUGtbcoCWjIMURU/MFuNAl4PV5g9L1H+EJjoZZM9zb2lZ8+N+BCdrBTr8SdJjzIlqUzhBofrkl&#10;rVv501jGE7i9gvF5Sn0iUH8pSEkeObgAAOY+Lsv2mrS74DrbSh9VU7pObk4bjsOFGKCjX1PET3Ch&#10;pHxmyftgdcDnlEziKkBrotUWfTpnuSGWr6VgQsm7sQWeXAuUMqkStQ7/tW8+/dXsyUzlkJ7W1YNm&#10;vXdtTsm3f6FCOMZQpb8UfMkVodaf0LNgjGk6u2sIM/ppOFapEYV0duNWwaQwHCagAFSoE1C6yBEt&#10;PFpc9ssv3337zfV6qGUpTItfDb1aeZ371ng7z4L4mPzdS98Ad0GEj8v7/PISy8F2YloIZ/NBYL/O&#10;Rb6O5ZwNbJN42QzbdQrcuJpRgZ30FC2ygYeZhQ1q5x9nxDQLsovzIa3HW/z8Q3DMTyIQJBekC1XG&#10;ejP4tjohqg0LhXphJ1a5vpICSCIezVZtDo/iLwk01LfMzHINfRYEqUuCJAFO1DiK770YUwjaFDQ2&#10;0Y0D2LN/fAUINOZSQQ7jU1Ksugn6HXwiRQYz9gmFJaIHX/SSwr2rUiZkgZeZ9jgYLYpqVHLdLDim&#10;qYyjyBjRWi1ZaLPoC5gU3l7hyj/vliCszifDj5QciQhxd/qhxQqR57Hdb+jhcZjJIQVN+1vuN2IV&#10;5BPM0HDc7ic3+0D+Tob2VfY/uWbbrZhmm0e+1BZef+XRUw0hWdNF7MPmyldh3uoWnYzoI5aRBZNc&#10;wGfK2zVZJhGPkpSWh+ZAciTSyG614fCYSDW7J4ZM3E21YXOpSjFq9tyHpi+NGUPGvXDzvbXcNAFW&#10;dz5aw9fFDTrhzzNgjaaYDA6piuZKNGm6BRkmi6GfcpbkvaJmaurFGv2g/xjeJihh2atscUV/D/5a&#10;bZM/M80WYZF5NJfFDAtHnI6DNiT/6nAPVEoKagN6vLnmGQ+l7iAhmtzjgeT56Ngb5Ou66iuXXWfY&#10;Jp95HdbNsVLcxavrSFDemjiCa11I8pT2aL9SdJyyHMiSs2NtvscDyWbHNwQXVEc48G6HVYjxfhZG&#10;u5wieHYyJk8ZlP7s0/C7dX6iOeOcA8MSobK4HMu1JGfJTgnOaOV0IObJKdUkBjf/7oQcnRXtZmRN&#10;dIYw4JYjamoQY6tbGqpT6KxDnIKp2jyYKjK2/vCeLLSGpb4eqPYYcwjEcH8XROD3pXz79uXdz969&#10;27LO+Ih9cO7gGjTS3ykcgfCLI3Q0vFxffvXNt3/nmw9/+N0v2h/+/fOP/uP3P/sZtHyYJ7Xq5F6j&#10;GsVFuEW0so8P4mQiWfpq9aSqaIiLajU1L1KZcdCV5cQIABtdUBlKNa23PC6LXJDVT7ms0u1qZNLc&#10;pJsQgspo1bxVARTZUEzn/VQmcCnyn7Zk+VXcNra2X7DXpXSHDIR6G0g+bFmDYpOTzqZ7LO+saTDR&#10;ZOix3SpZhRccg2dCo27uW1ireShXb1NecBdPRJkT2C/Gt+TmsW46RBmaH2WopllUEUJduZ9HQTl7&#10;TfZICgKTJeE3hY/Uto1mfLPG9mPVrulTyDuz1VCooCujgBHAYkI+jyvJLKJrJQz+LqAMncdmxG8N&#10;egBh6ReZ4SThEM2WqPfz/nbHlpY/3/vei+dDYk61nnmD0xDBm4MUGGiti1aPhmm6Pq67rBTedZ+3&#10;3AzQsVSnadsVWwnpjkrADV8GbNl1NU+ea0Gr0mxHT4nXXHOP4q7VTSTTBRTGyyfLaWrOGLPcw/Zl&#10;pWE7Sx29NZhsEvDUjK9Phh3iDUHbg0Kxko0Lkj/XybIXZPBia6KYbStx4/cc+WRew6+x0doCbXku&#10;sKLnL5v8yjUy6qH5fiL1z7TetweY8yNKzjE8i3OezHLeSXXGzZtwaOobhxHtMVdo/PsIKI/tAVgz&#10;9BfKCUqhrUWuDgBbcu7oBKdaExB/WFpwik3VWXUJ8LPyItm2p00RSShLOFKKj221xqBzyyCh8Jyk&#10;imTOL3QgRElRtz87TWXW3VPIjEPupR87hUdtlZLRHB9TBtVWxUmTfTlpIDDL4OFJpuGjGl+lpGDw&#10;eIufzDTgmXRwhvf6NlYllW5LjmGYZDTmtia6ysLOYuYQmVX972jmwqZQ3PgAIzhoiWcIA1NzPc0D&#10;+oKULkjQTYJcK0dI7FHowjknFVgummrG9SCCy+f04eXl97/59k9+92+n//DPzz/7L9798m/BPF4c&#10;FPjEU1iCsZqhhB9oD7GugUg6TAxpy3Tbtkff6kNC8heBWUPrzFyjs75+DLdP7COqz5IY9wMgo0iA&#10;ZsHkyVi5H4THYudsCOVhScgK7+QgMIkn4BEsrAKLtRx4JZE3O5zGMnfx9NHrPlTnOd1bu/f18npJ&#10;bSSgmXZU0JnAAOGY4S05uSsQnkakQ4zH2NuVqSSpRN+dKqUQxz0aPa2yRbfFy745pDEz7bZoAn68&#10;oY+Kl3bwcczRkJDQhPZdLZQDe7O4JnmXl6OVYtp5mN24g56HrQ4R5r8N8fQwV/LloP9ASkBqTJhS&#10;3bZdoBg7caP6D6Tn7cKddQv1zsTbTEtGnMEK0pJWIhDQilaucqPChSLnxAZpm+ziUynPnLq5d5YJ&#10;UuzaM9fKhA6VyLtqEXoeYbvaux4l78HpXeZHQb2sY5mlx4cp6Rz9Nu1gk+WukQ0BU8sy5UE8+HCr&#10;gBgLRIv1nFxuzdrlZvwctoH4qAGJD5u4fB4e1btGpmsVbe0hlP0JdOZH8DD9Ro+7VR31XjSd5xp5&#10;0QaKZYBh1iFmGsF4HuVmAh8RU83loosONYTTRpqPjFLwZ3gmCvnsbjIn2xcKlod5pk5Z0TM7Hjk1&#10;3if35W78467naGauNhCdyZ03/sEOSRLRXy5+geYwb8nM4WmNmy8jO6M2d+/gvFC1lQSYH3jQqJvB&#10;ROMA7Q9njG5TNu3JpyIVL/EYkZZVNVq4kumOBzDMCNIOoY0Kf5d3NooGbobUzCEfNmyGsxRRcPH9&#10;Wd7t5mbwcf5oa2iGJ6wkeTkkl1R6XIgXuteJXKHJsihVXLxvChZxGYkf5eKe1m44nprz9XZ7O+4n&#10;CymRfaJjK1VlZp4eODzC4QTjBb4JgBNb+3kMf/eX313+7C/qn//zD3/wdzFJAzTEuXxro6Q5za/6&#10;6LktgKkBDlAHQ9DkOAcC1BBNWnbk2zahSQgzyn10Ta2lZ6sprt/tlZtK39Vp62ase3Y9KDamXuEK&#10;JqKMNkn/+zmskgzDIdjG6XkktkiKqNiXeHZlhL3WPheoE+mbydZ3zS2r0s0caNO9wP4NA/+QwHWe&#10;hbObxLrTkYGwA2LIdoAhwBZiaMthmVt6EQuJnXd8XDd2xyj5rxa80JeLffdorczqgJxSdFwREIEC&#10;Lm0JdNakObTKLIV2YLCIijZy4H5yNIDXRErcoRFW8o8JCxPlikDD8CsB5+lnrL6roWeOOzZtu07J&#10;algKBC2JVjw1PCYQLqn1gkcGQ/E03Zls3iTBWDbRl1D+Akoel0PjaPpEPCaiIZAxITvpMGFbS3Cc&#10;+nn2CSPPnQDyGsNMOog29Z1rRDODqzXn2GhjNiNO6DmoHh/nVA8gZ0qyinFb/nw5OJPlIZY0um3m&#10;5E+GW/XO0TLrRoEvsstjWGoyPclXKfMTEq99tRpxikdrpyhZwNOyJoo7MKwgqX0FFT22egu/bY8V&#10;YzRbum9tuqXrqrJZKqSRrZDUo7bvSQb8tBmHi1NbWhiiLQxhZPyasikM3e+yL9aHv7WlU0KPxxN3&#10;HOL96U6MtpPNLA/eyjYwa80YdjMUQbiHcM4fAAGCgBcDh23TmOY7J9fR4jXCIIzrlW8CMBvnMjlt&#10;1MtfGnwZgNKfaSyJHJWZYy+FsOzjNSyR98nndWnYUKhCZO8Vn/hFKUWJiQeeNXAyfmgwWcZRpoZp&#10;T1kgrPI2WHiDcKM+3YxbHNhXiOj0eW3sABWnl0WyoBBMz+t0SfldvmQ1lNjcAx6hr15nuQOgb1rH&#10;zZveskkgKQLyCnxkW96u27bzs1D9h7kVQ+y+S/FPvvvZz/+j/6z80//h5T/9z3/2y18CDn2/B/Wb&#10;dCS3Zqh25/YFwWAkaBglrjAgI450zKrsPNdE23ClmI1hiH7TiJxZgRo2tg73N56g90L86xRXj6On&#10;erxCUTB8FRIg2roDcwGFlHTUu1QPmMbx/Iyuo2SiUXo9WBQO0cWIx2sMwcBdc0kisKOAVt78qbUs&#10;kVLNAjQjnxHfi3SNvgUwwA/htGzIYZcS+5HczlxxWMSbh0kRgy8w0vYtDn4CV4pyv6lLAkM9Twcb&#10;iWWYWZJCLCgU9rlyS9Hk44LaM7lQE3gMtYsktmkTQfdEDtPWb6/t/tq/5kQCcDiDosLxWygXUrez&#10;6qC6Nzwp/ebbidnLzH3m3AnbZz+S9bsTObpNjth+RTeFLlVbMy3B2xUTVCPhByqEsCjMbxB3N0Ut&#10;teiKQ2sh2n6lKsCgOg5oaGPZHQ4zNL+yrC3y/xtX2tzuDmSJytJrq3+L91ZUzW7ytpTVpeQqmQYN&#10;L1k7FK+nulATZwpJaw36ZDaAOlll8nuGsUQGLeLAt+DVKLlt5Pss+UPNjaEV7c6E6OZYl+wiRwU8&#10;0t0evG7eloxtSf71cWr7KkjzaRmIDhiJS3m5VGwjS3EQRryTilObbSmTJNUM/67ehsi/LX7d3KdB&#10;TFn/uj2XytGsSnHIMaJNFYfafr4CSztUElLxlxNX1o/J0Zt12afgwmc1wZlhY8BoRB1OY7ADbR7b&#10;Gma2oglXC4x01dZTyTgsBABCQLprknQsBuRvWn6N4MBIFCwZB/c/h5PNjaq4eJb9rjZMMM3SnxZg&#10;27SzCk/TPAWp8DnRQNMavOqvVsjeogYXkGawo4nyC9hJsuoNl+yIoDRtkHbspSHo5IFjz2QkV6QG&#10;UqCH1fggrIo92Wz4clwAfMHOF3vqKeJhJ0tr7cprHilgj0fsUU4vIfzRNX//x3/6V7/z+6+/98fv&#10;/9X/fvt3/xr7nI4YpbSfcNQ4pYlyQd7KvTKox9G+iMFtU/pireM2wBJfkAWf+hmKpK631/T2KX77&#10;u1zeDuTCMkLPqKn+DPT9JkPf0OCFRykIojSjZbnTMSxZ9VcaLASej6gSx41zbrtmpwwiyklGl360&#10;wg+mWc9BTUTVbdqy4c0+zuos/iY9VI5XrEXhcp6NoLJDsZD9Nih0kOUNEUWWpQWeGaMf9eiRLB08&#10;QzMHllFVPbpKFmhl3iASGvOeDH4pJnsv8QX6TnZg7YenjNBd/PBt45AUcUJIgqDnr9+itZ+O7m8Y&#10;EKLzSpUjzhyH1rZMCmG5Vc1NVRQlCrIORlXkbT8ZLpj5w8GvyBtEs+d5uSSJJx5Dz9rbWS5JrlU6&#10;SzxaZuP9nCHv4pKVpLDS9if40ezyWazGwI9U92/LU6miq+BgwmPCkG6pnzTcgWF63cYaF2fNYSNw&#10;aUTRGMAs1ASO/T5Ddxi1YkojtcjgYVW5ZdGlE1OEwjtPDQdNX4O85RMnL9uqYVx00lIQ9rR/K3Vv&#10;Elty86ZmXDzpc2qxKv2jO1KfXN9hcMCdORNsuDA0cMKczd6mRjkxPUpu199lFU7zjcZ0bfJXRff8&#10;evpsXF0TbXrb4xftTU+EsT123eFneJ45zdOTOWGqRi2+0GpxnUT7/XdBDaFWQ1pY2FAqb2lxcgjN&#10;5Wa40QDUwmKgDfn1GJGnJG1V+cmaGWm4nnXCZL4uS0ACUiR1cCAL80YGaYGHwjvM5rbs8oQ82i24&#10;e3buEzpOLbwbkxbQhxcpdjE3BEtBhuoI7MCX2JzW6SDLlof6adbcKH0o9VOWoaKpLKvL69LwkOdl&#10;U00rRkd5pS7jjSjwwsSAS9queRcenaOu7WW/ELxFkJQNWQf+rBpKTVE4BGLxmL69bHvuh/Ha+hH7&#10;jb3CX7Tyxz/7+a/+4T+N/+X/eP37//CK/fGgrPExKcUzrSYEZmRdO+nUNrBaB2tZubRYrsvUEpln&#10;NU7AvfoNNgh5CJRA4y4dr+m8Ebu161opSMjYqmK3+pE4R8sazfzNTA/gJWKr3EoFTMIid5u2CS8j&#10;cQPviTsRl6HvW31NZ0hs/5d+6ZpaGuK38WpsLLuUUhuJGQOZsxeE/aftLygP6tEswhfRP72QMupB&#10;hr+9ycKng92284RU/doYBipyZ1DHAHUkaTIH0951AIu62VA3UlUaKWDB78UdALJZ3sJwaobKUPt2&#10;tyAZlCQIEcR4uCLqgaPx1Ir5bfCmguZqqMOQdntKpFYpv5J8OZzFVm65ODJGb/3vEblYLVMzOhRI&#10;y4GzkCD8yYrZCpEkB5niCo9p6GrYo0ob4cgyHxWDx6ybQ9Bazwny01CHbHT4uVWhG9M4fFFRNCc6&#10;u/hT85HEnacN+4FPx6KZ7rjIgdbNaGTboQfHZeK5bHLuIXYrkDGaJig4VjFIVsDrUSRzWJToS+Gi&#10;Q6Jn6yrYL6oOjjPnZ1Sy6aF8iw8J52kZVJlJPa5xgP5szi2E2XuLwaONwWIcnnev1ynBqrJ5a6dI&#10;Sne07zRhgjf5Hl0Oy4I+dmiD+js4zmO141rAxgXD0b4WTdi80B1D1qyfrPYiYxLRLVNrC/LsVB/x&#10;nXZY8XlRWWxh2m0lR6StUCjRFWrjlnJtpUbXY1hOsrlqSmYy0U3eb4UyWhUtHC6a36LJXiqFbcnS&#10;vWldZy21JeD3Fy2GWSKZ2ZCGUWgijwg8rJZcYzeeHQkGnp2SPzANKRzZfDsfTeMwhhVN2D+z3uOb&#10;RvKSgrTZc0zwwsOqiPUFCexYxftW13/s/byDxYoaMBhIR4+JRxySi9HfIiyDUhPsZv8BPbtfecSO&#10;c9Ipc15huf5Nit/u+d3f+wf/9tu/FX/+L/f/6//8+MP3OG1sWwW5OM5Q5YeAzFU93EaTQUq7B5ED&#10;x6UrKz8+4OPNqhJHUpufUPon0/f+7fOPrdzp+dy8O94ybxG+CYs68BFLFCMZKfGW7RU3thkTb6Oq&#10;5TFCS6le05Yhso9mx6JvX9msqr/67osTSHjZLv26HlXRUEzEZbV9Mhk4Oqc+a8WFSMR4yVVadG4S&#10;iNuFSREvWvPFQIMbPxbY3ZJaUKgP71q8++b6ft/fevl4pPfHcc98jIQEYnAi8cqBk8IzbNcofxB9&#10;kMHO1+0UXp97JF9VcT8r0XuUQDfnr6a+8V82FVGYB563cr0OrlM6y53PBWwY8DrAEVGM5cRT5lmR&#10;cNRqGgjJqP6cAN9R9D4OGODveNn311JMWYh+E1r8GwaE3hFX6yKbhZtFWExf4QmPozfvyOzGF+1P&#10;deDMn3xk7UlzxYipkEy8K93H4hvknI8hHTg6of0SDBOt8UJV5NdX8we0P1TiDIzqK/2CzavUJ2Ky&#10;UjCzNLUGuBx+2lcPxxt2HmsXDIBOkFv8cl/3o/vXUoGaJyu0iR11CY9zAqcS/OFAPHLOazMOszs3&#10;nHJiu2Q/xJUTZUposQ59oHsRPBxYq1l9DBAO7SFLaUgRkq2sUaXjkyni8U1+sWAFC5RcEKU+fnM0&#10;QHWLabZoLQi0EDxShWIJNvVcM6HCog9cXPU6r5BUGeKsE0yqEB3vUy0dHo+T0b/gf4gXC6zkMxIH&#10;mRYNk81pn9Gc7PhXah3Nf8kJvGLlHUwbPfxSqVjWFCkjW290r1UB5eTJfvzTMlNPJkldEZhz0lmt&#10;k5Xi2GlTciyBBR9a5yBMNKij7HqBttO/DO9/rwv4AVBjL3gl7vmcU/SMPP0cLPQoE3WEinKWpkXo&#10;jUEVV94krCp/N9KgWv1VqH/4O7+3/eP/Lv2j//pnf+ePt37sf3ttXyrGWvgJ1+hjDsTQe3rA0MMt&#10;HZ9yUGJYnYYDgkKVSubYT3rqotQROwMZU0E0fIitdFHVkLbxP/lRia0vlkqUL1czjEa7ot61QtXS&#10;qzIcZahC4OoE0grqS95E9MCgGYF8V/ITUjAThvx8J39ULzxu+xULPSPX7RM7j6iEmPu9gjNAixEy&#10;Y7MSvja7pZIylgP2Odx1Z2UtjlEix37M8QieVxQ9PK8wopba7GyVf//uywUDApyj9pD3sxwymOMp&#10;x4XlLJklddJkIsnFWIyRwtVgb5DAHGmDMrGWDP2LyH88LTK7kXZ7hakr6Votimg736R+hIPXJEdl&#10;vBqv9RRuyORovTYt5JSOOAPLMUttzelp1jRrnJxtbdpoosCJnNnwUNOSkb2qzNWrHn0R45t6gn4k&#10;IZnjg8g+jeMccxi4hiZJhePUOpv+dfFNLwyuJvUjQxmE547+xRJHxBkvxlemiSHH2rbc2yhTb411&#10;nnlpKCbR20tBK2la2dSxua0+xbk9xzgmstWZWDNwdZx2o7mZH7XayUGlloXqp0YnZJt3vkh7X5uf&#10;ZnhIrSbtNcmfDs3MPh7rwoyFbW7WjtYkbA4/8zxVLzMevA1tGhDHYl3lvArVFaRtZEBqutz/7nQZ&#10;sGkOvStu/jStJgNiM/RjrQ2RiLvg7WyR3MY1RCSs0mwSI32161LVOY07dUfVvILJa8bkIrF0FQ/P&#10;lSfesLd0IL0G2DBUSSoAhLYzrp+FKwOV8UR4SJVFDCbI/qduVD7F1XF03lSU6CTUKVi0iI8bJveV&#10;n6mimSqtCGLRe8J6Ugw5P78MnbXSQyhLaPu+XbDl4RdvWcnzaZsjSe31aWqjZaSzsFAQ4C45X6hC&#10;lOPwgN4BFWzhmQ5Zt5RD9RLgfpzHUV7L+aHc/vDDh/0f/MX2z/6nd//on728XOLxZqzVcSNZf2Us&#10;AuMcYMfxOICLDOxWSk1YwLBGTItxYeWzw/YYsWS6hP6VfY2mABKl8L7zIgY60y04QJy2voW/Jek8&#10;DCIsRqNNzKMCAOCRR0G5b0TO4xMsbkjFasvN84Cte3ObcT9DAAR67/sGlY0vULwkS5lzRrItk/ul&#10;QgqK17gjXQHuddjecRE2eg0D9tYtpePIJ4a5Zng4btRBYue1cQvUnlkLw3k/II/CF+x0sx2OUmM1&#10;DL/BSYXyFkGDQ6CEMg/6azs482K/tsYFFYm6qheCSMF1O7h4JikeFAph6yoHuhPbBePc84TQBtvM&#10;nrk4bNtWMxlDNJVyUMzQPcpUTLvCS5pHc8ubVXSAsoEMwpn5E0s0VbGEewWN5Sn1diZobGHNzrEB&#10;fnQFzGCipJMX0v158dS4cjha4yM8hD+tTkoadV6etbYGtAaTCGc9bgRue1+QEtN0njaqHMP2B6Fh&#10;c80EEa7sFEeh5GoocYVFoRvkUer281Jc4qCTtnjPua+z92tPYx1JRUvGgdZ0D9YLdUV8h8ecivYY&#10;ikSMwsgs9MW9tYfayteEOBcMSzavmtlUH4qMlAbfPMY6Mj1SM5vryxCHMDkBdXH7PXnhw0Pykf/M&#10;KADwnBqPToIk1udAb/jHqKbfgugydkfzscR6EUqbrjGcvg3QlaY0aKR+L1FKrkts6KnQaZ4GBL3N&#10;RhlX+mbu/ij6Hl5Stpj4MJXZlFyasgX7DXtFJAv3KnwjadAIlAYUYk4QeoOcuNTgkbVDwczkdyI5&#10;+il4C8auY5cmp2TS87H1kkZmbCqegKzTK6lgf1EXSsD1zOJQXONlz2qY93d5w+wkEH6mZLUm/aK4&#10;mqojN8PraCi70W3ezDYU/SjWlCwWlLyDhbeA+J9otyp+l23l/P131/jLP/3tr/7gN7/zB/lf/cvj&#10;//43J04OuY34KjvhybaT21Osh2DoNhGeGRdpvRVZLz2lZD9Ex1i7I2F7+PibdPsc3n9ncUjUOpRe&#10;n1yuIM4d90QRLKu0TY2zMMcyoof32upeSM/fMnqSyFDNDEGS1SrWLIorZT59+eaWokmMmNgmE98o&#10;SH7r7zEr8QObGezFJwdfTVmDcWMwet9EN0FPJcVXdwc2GrgJzkLkGWoW7tA5S6Sqbi+LVhxX8BUQ&#10;NwW5Fqgoxm/MxaqDCivHkagrVHQtPhS0S3vdWS3fXEa9fhNf3rdyhyBju/Y/YdlakxQxFMJYgJUe&#10;nHICjc0g3Nv+7iX2jRz+czV+v9n2t1Ju6Ezg/sA9vGU2kPEdB5WozZM1DKdHOXXhwf6k2JX9kkS/&#10;Dw+JTJxmmrqICTx+eECG8HHuAXOtiloM8jZk13wKvZDbTGgGzjWGp0HYPA7YzuK8Fyo5Ucfm+BwC&#10;7gspWnmcz9bBs2rBabnxJ3CUoXpYe3V99rhZaxpPjSn4ahKgZrZqR3fIvNJE2zGiwXXsVv04Jccd&#10;D/PhTNY31dHSoMhtDYsY+PkHALFj3eKzpDOQZx8Gr8yGENF5y+ohChvh0v/46Ep/kKKE9vW42vi0&#10;nU1Yd3vWpi6Tvwcsi9Oqsi24cQBUo5faPPWIwVeX721x8cmYkc6DbcNzNPDj7msEkJECYmRwXYri&#10;oMtT3GFDFth9UV3LXuPccZUH8eYNhuYSzToyGuNwAEWVADok0dIXm7lTQoqrTNZjk/hDFaVbk7Wh&#10;vc9jCWtMcU3DtFmtk+o/RrpoF+0Ho4MpWQlyVhQE6rMhsMaENY24ljZayNAywMJ4YVHSPJ5+Syb2&#10;TCMuLqNiMK8ov4DwhDY+Vm1GRjxIziiL7ThQb2UFr3M9YsusfXN8/qMP3/zqz/+r63/7v7z82T95&#10;6T/8uA2yvN9s620alwCxmeP3cLZ6jiBJD0kjcQII1W23s3i/Bm+fEe/Aweomkxzt3vU4K973xtBT&#10;3K57q7suKaOtZfo6mzlTcIBI+Uby5FHrxiBhoUm8M5wOUdBAVivhuLfzqM2hDdw7z1pv8rS4FxYL&#10;SD3hZoaotPKz7BsjYZ6Id8fhINM5ntxKD7BOr5X2jUc4gtYoprEHY9v6/0SnMQIDwog8vO16ufDZ&#10;6C996yUmKsAIpjbeBStRzolBr4sHKGVwYpQzmUpAN6jNuIMUpsuiCv8n+J8EDHmwYPPkz72F63FH&#10;dHtmW5Px7q/4Xez98lT3btvgPcTBAk8bVQKB2ezYrYXuC4N0xD5t4D6KKAmOvBuTj7K7JzfZKE4A&#10;Rj1NtdqEdwoO2khVoZnRIB0GRJg+Q9OqWdvZBuVOo9Ix2aqH9S6u1R7q6OVVs2My25yxEqVqyA61&#10;5k1J6h3Y9pBnZJsv08gsGTOZTL0kTx5Cu8BTDBFP3BzyhpEGmudIMG5KeK3SVOIl8SKX+9juHQy5&#10;SCW1ENS6pArGNnzndl724b0ugK2j0qZ6JpRnVCQTK7Qx3rf/Th3/KFhcnmq9vRqCS5G0YXr2S1i5&#10;IjyRlTAo+/N4nH2F/aobckFQPeyswVqOYUVCW9C5biHzg85A02l18B9SZ8xhdBnIIkyNFu0i7IRm&#10;mZoajui9OgzUvrnGhaLABUzc7eYsuTBCAbhzYyyt1tPmj5TED3mutM3IeG3ESilCxeaXOYxpnTW4&#10;op/aznZKEqbCv5Jpre4NiTa0jjOILcpGDi9DHaIq42V74OSMsWhtdAmateKk09Lwj3p49V+UY8rN&#10;7GSjni2tvtZsyerP5r0V4qWqxyfpNKBTi7FLpKQi+6P/NDreIS+ESwZZ79cMe7P8FarPEBl+3n83&#10;hG/++E9//Tu///0f/kn7P/6346//suRLNHY8pxZqOfqgo1rTs1DDlyd+F4UCKmnoCd0VoBjitCjE&#10;tNgGRd+RVmPTzLP0ui1Y/RIQModOQt1vN3xA264ADHhRSt+3CpkpUKCrWtikO2FP/dJLk3oiRs5c&#10;NCgqtgZ/wIlkvgLJflYAA7YcjWX7stkv0RsYIIX3Bg2MaCCUOybFp+WRIwnvwhFdObcNxzjcLtmI&#10;fuQe75YkwdbFDn9B/5lZoi7eB94LojCOSNIstxwve9/sg6KseP+cbITzjYazHEIMclTW30jfcHGY&#10;zJY1gK65ECsJeXsNW500Co1p8/GguhSqys0TtqNauHjlBWPJtKFkK7BzpyqJtamwqyGQUt8h+/53&#10;7XWpuhxNXFSZKXHNT6UzeOgX1mxntUlPd6r7HYNzCK15tmwVQwHR2nAmLFluLERystlZGIQrAdrs&#10;UofVzDBRKdZfamuUTJgxB9X7mMPw0GzoZT+lrtF083U+FTH49se/QmOnRJdzRVeTcjmQcdpQSTZb&#10;5r1izgrrueuypTZw2HoAnNqZhvTD56qPBNCZv9rCTNGNDp5e6JpoUIuk/KQoWZqunEJX5+SsIG0L&#10;SYptXuinML+1yAsz0CdarRvTWifGr6b1fg3bNlrFcel7j8hZcYos4rW1FQajF69wozYanpplm10t&#10;Lad8I+NEL1ZySmNupDhYy+BmM9M74wJy4p6HU1srv/9SA1jr/uJdt8d4JRpRumyTx9TZSFYbmR4p&#10;e3Y0GVcuJtOaFPkgH4hQbclCG2pyd7ANses4DPOBbz5WTMNXoyMUfxr5LDjtbnI3Bhv2Fp6p4ZEK&#10;5QZLb/FpQdF4+cKaMrhB8GjxXuq9aCjJnE++osKhSfU7udESUW1HkY1cihCzv4NEyuKjf3lfnniW&#10;gmXl/X7ZaYKSZ+5kJ+1CnAd+aW3fnLc/+tnP/oN//N+8/xf/68t/8k+uOZbbm81VBR8Yk2lPCmes&#10;R3305axPv7bmovyU9pTk5S6juJh9oOP/4ddb/6mXa2X8GYiGyADK1mNhazOR1HvnKQpyp816G4fK&#10;8ohUvH7ld6HSQs16oo+zmc+KquKkqBf2uvsGli9psucEUIm7RVFSiKeKJcRxzm2i2vAcgW0JreoM&#10;fWJR1BeBsxsoBO3tvqds68l5qvTAFPk4yA8Vno4Tu35QOeFcVGBhbpY9o7g1jPvkA5CEp3/T5R2M&#10;jy5PUO9R50bva/Qy4QrmGQDqkUb5nZlNPBIEujsYQ6EeBj2jIe4QvGyv91iF6eZTW/v9iZf+4/32&#10;udfKTdYWvO9+3LnSH8L3RhNROatNOTFR21l2HzTQX0gYkBZe63CtUpzIXsDK2vK3Vvp/HOnjBKc2&#10;KS/YB8Q41zqMG7Nq1U2kCuYrrjTTTKa4OBCiYGkjGK6m0AavrUkbuAbAau+Mg6PdvkZoaR4q7303&#10;EXPGGTnOWYBV6zF7elYlzYiDHHtiRpA37Dvp0g+DxozMOjwo2IIv2twiClpy+cFjkmyr7QFDKG1E&#10;cs6osF9Lz+eh5TibaDI9xyUjII2GrvNnqktXF6RhXPGGTp5zOYl/SMGfyfp1OOI4MD0yFeNMUpn7&#10;dfNaLTiSatj2FqmSh0Rafuzjb4n+9YMRqS6njqstOB1LBVGyGSsX72NYUqQYiCCbeNuMwnQVge4w&#10;E3cnab7PVkHhUGt1SZu7NFpig6S6zufC/7lwQB88pSE6qa+vj+ci6vfi3Y6qppFq0drBo2W8qHOh&#10;Jcl9ySQgEmPFxiUPCUrVZvWKGSVygx05gLLouRfLTLoeRoNilGVZE/iuIv5Bwem5nEizrXFYwgLD&#10;dTl/reYlqLKdMD3YkjQ4WIB8SVi4vsBe9n1zoGxUSoMU6wR5fDxux+3z78Xy9/7kz7775//z9S/+&#10;+w8/+3k+byiM3Vps0zUdyKrn+LWwBvUtmc9fa+tHb4QyuNSYUu6d6dcpvP6AwHN4FhBRsPHQUCl6&#10;pHjNGiLWXWjqsZhEC9wZYTlg3jtnYolpqvD/d6KlT0Q25+Do34RzQMb4j5cR+Qmkg2IXZkh4f6/9&#10;7wPOD9IbSHxTGZYLMdOmQSTUa0LL4n45YV1NWe9xy9XtkYV5EVlaLypHiOaJ275B83IeuZStmVw/&#10;WFZdvWCXSic9oMl4llGnS0ZokWjCLZpbdUI1Sd+9YhdMcGOu7dMs5bi8VQaj/X4gQIOvS7k9iWE9&#10;dz6VZus8yru8NbHrXDVw8MCnx0e+nc0eRnE5qvHPgCYPZHuiY7zzSa8+zteYujnrkVkAbn6etxP2&#10;H85CaY+o9MF479wWgmqxH4M/X9vqK69rA9/riv+HsHd7ti3JzrvyNtfa+1SdrqruLqkval1a3SG1&#10;Li0JCcuiW7LdCNm0kBy2QBIBxibEJQIQQfBAwL/AK3+Dn4jggQiIAB5NEIEh/IAewA8GDMaAJeTu&#10;rsvea86ZmeT4vjFG5tqnFGqE3Ko6Z++15iUzxxjf9/smDBMVt4U2rLZwnccpyApwfC2lE0V4wd3p&#10;M+lSF6GqroxmKr2EuqbNOtFSAk4z2TZNPJx9OJodKw/76Io0HImIap3pfUELEopr0B1IkzdhcePm&#10;TfZIc9vJSYO1kFKOa15Sertld7J+xikoqICQCoGEnCCuWTLgoUBVxzM9eFDVskIY+O5OqjLT17UC&#10;XoQDb8YYTZ/WEhkf1ZqZJ7jLAIx39z5qihDQ90R49hTvd9NJSIM/HYYsB14zt8rRM4kgzW6qRT20&#10;MY5cEpLl7aNsgOsfwCTwwN5FdagDPypBhp3GPo9WwTU7XbszVpZ39+yxeoNyrzZm8XryM+QPTYmA&#10;HBAyccZ0iEEdPm0BxOkotGoiHtTxtVnzR751hWioAMlYwS0j+R4FJCXsDVudXOkrsnAjhixHpaOz&#10;0S9VVSjcmj8nVBDodVWec6TyaPycbRtbspTUeYPwVbUjVM/Idtot5UzfFKzOte6n9Anfa8dXP/PZ&#10;z37zN7df+2vXL/5IPmQOpx1r3XDb2lefa0TTfA3rbDeiObACncFDtWh5aRoPrAAW3QlGCXwjAyzW&#10;3W9dQcUTUBbLflI2WIErfJmS9EOodNFTXRTqbClEZ43Dz2Gdbp4xxw24UL4Aj3YuMsxSU67qhKVw&#10;kW2DamGUUbJFjcJOpnQiCd1gXgGLBDw6rD+Mle+ka0VhxuzjC0FxK31aZhBl9bQKQiXDiwm5JKSf&#10;SDNO47dkhtp34MTQgdGW2/n4OI4xEn3NV/J4QvFaqPNARZssebGTH88fzPUzs83MQgPz7lHyYi58&#10;Src4S35hQ78XUZnx3C44OsisbjxP418e52H5HgKCuSJORF98COjiDNsin0Du4l6BpGfAvJORDWwX&#10;Z+UymWPdvOd0T+DY2wMzLQw3GbodyrKlV3MCSLtwZIKwna9fuHSwWie3YrljIfX+4jBniou4qFoQ&#10;Lq8nzwQPHymhd/pFzSpn0cYuntSl0VbFGbtshkWGPqzgfLJiE0GUlsWQ7OdpagM7WoY7xVfpb4om&#10;G9XoSwFstmGH8r60ncf+Sa7xmdEd1k1IB6kJ+olE2ojNV9hptPlfWAMW1pAIYrogtaCb8n5XMzdG&#10;W8L2/qT/LLqVfl+KLmBFl9y51aLPgLY2Yw2Xg/tyrWxVBXIwzAbAFOIGHW4WVCGZvWVt6HcohtlQ&#10;5fgrsByZ7YDgnkxujZoAlayEDX4p9KXAOA0FI0z3iKLuU/rNtTulGc/7IvTDhCQUmYtIpaScHPC9&#10;yLsqfAUnQ0nZYpKvqU33bDsoc50EHxqUxGiGMRrRGg6SuSRGucoF2ZaKnevgqBr3ExyOAItaVtti&#10;c6as0d10UEDWi7a+PLZQtvADTm2Kd6jxpkL1o2NUf8dzrVvdf/C6fe5nvnH5i3/98vPfum4l7E8q&#10;Do6W05toIODJfhLkl0QwujJanDkW1j9A5REWgKGhEGO/3eK5N3ao+V7QD1oQhg4awNiFmIws0Qhd&#10;h4QbjtP+1LHNqGkMKUIbKqOWCkBkRqUh0C8IrEDagwgPuOpMPn0F6DloA2P8+QuEEfW2d0Uz5sg8&#10;Z0nX4bErjQpvZ03PEKh6XkYlhIKIsk6kq5GMkyimOChlGhuwZKm3sm0AvFXaCQQ9A/zmyWq+MhxP&#10;9kqCSnlY70Buct2LeTNck2j4JeU9byK7kX64GlDk3KDoCDm5RaQ7id1w3Gt5EsWwv+O/yLtwSrY7&#10;khXSziIviRVxXKjnsx7S/JRm+zg8FZkDlHHOyxB9iagYBIpGZQDAZnifEaxrh8kmMlZfe53N+GaT&#10;i/lMlB1HxgEbukw3qU6PoE0WQbCB7X5tzncbNnWVLLe4QIcJzjY2XuK8fsngWwkqPCDrQD+6ddz7&#10;H2oSUEWmuwO7JSK5403dF4Z7T+73UB1dxz0DsoBHuW7EUenqN9vFYojxE9zf6jyhLCP1e2Bnf3N+&#10;tm7yXa0ac/tRmX2cXZ8wyZ2UIfsbzzV0zuGUIqf/Ni0AFeoF3IoRTUsa74Z5Ho46z0AvU7o/YRM0&#10;IFlXiBsfzbZE2GqTJSr7q6GaGf/40jkdmRETFvgXPaxV2V6hvem0Z4eM+58bYJpGRCkxhyNFEuQX&#10;+RAtiEglggHhtImT2RVhs8VFu4LVOwONlV+GtArMv+3iyo7AvobXtYyojkbkzvgf546XnvgrndEs&#10;pZKqQoOHI5JUnmkq5l0zHVbBOIQJ3JodUnXPRggIFyNpucPJIDnXbrVs5umUfFtRJwJmDafEBVKM&#10;2hVBYKcZgW6MDSQCPVqDZkg/JJ2JlrE6Q83BHm5i7Jns4vX5PK95L7sQNccX+WJJr3/oq//3pz/3&#10;4Re+HP77/6r+P//7Ua754VVUdiJvj/wnm+WUNZx8w+ymGUXkB75DPLppnRDjneIOP3h/ireP+1vj&#10;IyJXo55pK4wcEVO6OBhbwnGhcgAWbXNnljpuyk2SQ+IDresoraFlCwo0x5NxiehydhFSbnhcT03L&#10;kLu/5cvHsTrJgYLoEx8XwRHJxD/CK5M16TwKqufxsy8C2JG/XHReLg5L+anCWjuziCOl6XcJ4Rgl&#10;07lLnQo3TsWvxks37nS53nYxqYhjo/FAOH5pue0YzSD4SZIFoY5OmcevPgr+cxcEEdIbYpU7CaBL&#10;FuExsS+2Lgvqc5RxnTpTPEFVAnWbkhWQGVIlVlDnrKeUwhdA1MLxUcUZU/hiaMyPzXs8Qg8245A5&#10;n+BEEaiinUe5+ntVu2NNEjJ/Ko0iMA6qe9drMsacwzmZkfrPeTCsSrO1iRw9tarRV5OpiqqmL0bC&#10;pWCQgOwKr2BPSlVo9k7zd9WkSOHuM0i8t0kjJmI1lL5Fas3Bd7L+XrNGaLPMmtg1CNVRiDNLwznI&#10;ibA7Gss1CK7hlY26lfDFY30Lt0ZctIWR1Va3XYo4RxYAlCZYp7Hb3M3pnUYm6fcUad/xtFNrfUb/&#10;HUGBdDL+OTUTjrRdmmkVI9dymHFDOvGLLrX3UjtYuqvv1F6yxLuK8EWW7wyfi5Y4HF8Uwg3tE+9N&#10;Tc2u7Q36K7qRVKPzowXfgJadqLYqG3ra+zLH0YxcMJPqpIiwpsX/yPN7MrnPSUbdewzdZUlw+WaP&#10;aoiWbRTnActICa6h6CrVhUu9miU0L5YRFVxCusIkJJkvIfBkjiedzWZDiMnByyHMUHf8xkPAFg5u&#10;ZW5RDgz8Q1FGSYCUpCY1MnmZXNgre9Sp8Ggiz6dgm+VwihgH2NeQgsv3g+aJ8d0OvH1jj9z3nYPP&#10;A/5mdhHGPbodu/gdY7pwbOOUKJs3yyEdF0c2wjrqr/5OO77yqdc/+It/8VN/5d8qP/3N6/jVTx9S&#10;jS+ZQRT+9GZtZj9MqwRaoTbeh7defbQv3UxfYvHXeJifPgzH83isDkrCoYfMdM1iHegGyjyx5hRZ&#10;XMclCkznO7GrFxx1JN2VXWlpvCLkIXJPi5tm/XTlaYjOs4yX9BkN2SqbHDr5KV7FiICcB8BNIOWX&#10;lHNk90nllTEFPIOa62GPY9w2jA0FRGlIXDK1w5zVRew6mHXvmOluZQvoMrDIqSKkpCBUYmAZ7bw/&#10;XPpWkMxwkS7D+LBjh5MU+A4BBE48Jx5ARA9C9FD6eYza/UT1Nv68hMqxb4enXbOxxj6L8CbEmwhY&#10;EJwg+YEMJBF2DCzwCccFuc1w6tdT9FyXLVPVEjFpDsTWa5gme5dyVjtBgxhf8ip8T5D5ADErwXD8&#10;vu2F3t/wzUwfmGEHu0caQWkqyux7BJHNzfqdiQ+CaPIOG4loSQ3RfVGT6qgvqoQ4LqS+hIim5nL5&#10;vshaumvncmpGKlOclGXYgRJbF7O3ZuAWhv+gik9VU4GJ8ymguEiSJwM45EomCly0sux9Op58m6Z3&#10;NVQrmdrLeaaBNGebz+Ux0bGY8Q2K2CfXWmgCnqZEB6ip9QknaH3mDDk0S2s6mHuxCKa2nHdWONu9&#10;vKV/YohF72u6rMVdxJc5t0Roco1yNHa3xF0dFU5YaH/JaVQ0M/thwex3PNQ0i7QIHm9G9hC8DdW1&#10;Qq7QEd12b46fczOEVXizExEVgKT9UE61EB42/nNogJQZbRLJD3Fs1RfpZPklaJw7YGzXsSqNM+05&#10;3tudCB7+76DGvsr+StbTCTCNERnr/CzdcXmnzt95ew377GRsoW2ciLFFdjw++zh75kaeicztaLSQ&#10;VlPwOPMOck1Ez0wtFsp4jqooa/BOSd2n4Yt0M7LX1p72Y3ywS9JbAfxpUuliFKj0+F2PkqUqfdGM&#10;xW6Hm3vr/Qtb+NSP/Ng/eO/3vvN3vhr/9n9xfuePRBJPliQVaIUI4bbEW7aoDkvVTqnYqPf7xooj&#10;MzgnDOPi5P0jJNLIUX6/XLbjaCaOgOJflssDh5OrMoZ4LwPLoC2K4/vE5XiUWnrr2yiBTlG4FpCX&#10;5XanUSgd8AnkoK1w3NOAux8u0ljMScs+jJnRxx6/9DmdIW3IpJdnj1PuhB6AVO1yfyuvfLWX7BoF&#10;xcKV4YbaEcG8SbKNABe94rwzvtouojvZIyVhT4wcMZ9ngxE/4ueKB8xOxqmU+nyTonPL4xIdYydq&#10;p7DNpGm698tVSJG9aXNbnmYR3cRRL459CgtCfbjG/ZQutNbunfsisgrG1ZKIWYGjH5I7K9Yb0ePs&#10;p0xSxQrDJ+wmqCJMJw05IVgcKF3gKkFYinx4CD3wNsDhx454pKpNLqBJM+Yq25JFMXg8GZXcSi/T&#10;QxbDPBZa7CyAuA0Q3bmqDWEVgG0OVxn0tol3qajnqutNHU/v4XJ+SI9+SpcAByoY4rJVq0epa2i7&#10;S2G625MZ4Ks/IjVmfMdF9mjCLRlJm/zfOi9JY2+969U0cWJBcxp5vt+ZAaL9m2QS9rCG6+kII95t&#10;GzHcMzLjC3uvYqwoAXWRJARCKENtR9OtcaqCepxp4XqEsANF+wQR7ZrO98buy46/ncSrSno8bTKw&#10;89tQUsdV8IjPQ0oWfkhKMb25wxswZ0m/61ZOR42CX8Jereu9tG0ZsU6AnyJdoula8JcAg6CAOWmj&#10;YgGmdx9RLxeAn5Ww8+jWRFDkL1gZz2YGQv9sPSxpX6Yvg7gN/KXmLu71TMeuL8PfwxrXQJ8X+owQ&#10;uTQK0bIiKHmSUgJkRsoE+3/WhxYtXLUUNBb8HJRukjEuteNYhA7ZkiBvl2ow2f6n1yZpcVlBPkuM&#10;hwO5tG85P5QCkFvltr2PXbjpHaeDmjqnyugcnE2ej/PpPF4dT19+/foHvvHrD7/21/MXv5Lrfu7P&#10;qpC2D9zNB4HTPgKTlZeuT0cwumm34XxkWzpMsP557OnjDzLo6uMDx8sGzefBAEGZY/aoJFU0Kque&#10;14MGUs7jovhLQIsa27xIf1RbO1nco8SJktWOJbQgNynKmp43jItbaAocRtxMSS4RIpaWS3xiGV+a&#10;8fLxXjSMezMehmqjBU4it00sdFVDd6RaStoKAx5OXHknmNASgVAw3TulzqgQJsWH4xiFcFfOryDU&#10;ZHuj4/nYe74c10fhlI2PuN96LtpsGh+mbFDAC32tyPRZ9uCIFrpOVRkSeezX87iKfeciAtEAMFlt&#10;SaVAjRHiDWnJ42dvcHfU7hmy0Vri2Fg6laFVGrwyTwVmT2M+TYqioG1d9Jf5UDRyiQoJNK2Rv6dG&#10;D2YQa7wln3lEVtYcVQvTaRyEoxPIKYc+JbS8WHB8VAZuOpCPbGEAcQbWJeNimc4kmxy0qdRSfRRd&#10;U9I7Qm1yw1Oal+CBVpInCEWnMLN72XVgoPYTc4lp1KfJWvCL8iKQSZ6H3nMybkul+5Xx4nqctvpI&#10;22VRn2yB2c5RWl9ZaDFO4LX28ZiaGvT8zbWwocKPtR1s38OgPUO6u8uauv96zadZCNEWOqwSnUnG&#10;eJFz1PsnOv8mJ5YcDduc1kEjL2wzGvJ0+3l70+VFnq1MoZP2AHVXTrYHzMRTnlzsL9LITfNDsPdW&#10;tdAJQbD4GRzJJvfuCe1TSPzMcYwWe1pxeF/yUedNatpTVRTwgREQZPKRAYGY1dVujsuu2NuEMZQ0&#10;xpz05uW+14p5Yf0gVCJ5LzpN1KqSiQBzhOIclcGGlv24DXvTZNoNU1QJ1x0rPASHJ6s92iQa4emI&#10;amJ/DM20vYrYzpm/pNRym95sZT9FU96A+0NbCb5B7AHIi6e3suTA4FxrB0G8U7vKzPVpoZrsJlXj&#10;WGHqly7xyz/9Zz/9W7//8M3feNhKf/pQ/nIpjHKjSZM9pmbiosk34D73hpLBEpT10kqJ8PRhPEWl&#10;Mcq1eCItm5uNNPI0B0ijv20iIeGrKIm0WMeV5xfkDRM6TJaamzlonPRmaKws3sTkADCVdg3tkbOE&#10;IDG9kY8q5YRoGAIRGRxRZkkPJX96sYAzAY/ZmBu7abtCjSVX9TwUKpOlZa0VBDDkprUHUkFKrNDU&#10;7hVOuBGwq7Z9/KvtinBTWfllwNZqVlSTKAcPHmvg/R6fdasVKROFHmL5V+chj2gpIm1tB1fFdO4d&#10;Kmzp3wKELTABjA5j1cOMpGUBgsMlt9eamX9EJZc+CVGHbl2juM6mZ/4KPcE4eWXUX+N357d+6Veh&#10;D9XOeFeIL2X7M/zNJ23WD4yeWBTjUs+oQheFGdKwoOHhUR+RV7wE+mfs8MmgDWc/WjxpcnEmVikZ&#10;EcL/2BlavsgfSdC0QixR2NRpjgkG51VhjrZtGXnng644My+NtNs18ls5Gk0hGZEaA9TpTG5KViLH&#10;JWeJVbWa8l0Sz+3OlIvsQaoQs/t5VreCZaRhkIGZy2LxeMZTBqL4cnv7vfj41utt2xAyV/lrUNe6&#10;UTv09dQ7+5bJcuNOjVVh/LfKzOM91azfIfLDapkPM/hwiiZ5YkG8eEKjzI4iTFhdlKi8rQVVzptl&#10;pucu+ekgav3G/NW4kgKsIa5hetrVsP7qhn/edMH1eJSY/YTLZDX8q2JuBxsYq0QFuegxKb9b6ryj&#10;0WdI9awuMNo1iAiX4US3KWrkELxLZdpWRdmX7FtkJoiaAiXzt+MFTFxsUPEsudCdNHDQQ4SIiNxV&#10;boXg3MPJpxGHtP0xuI5LcIjG9aSsRg7Xx2knaCZ6N+YQd4vaDcwXxJOYKcGVjXCcu8EK2crGH57V&#10;4oYQqyScqvFjb/XQHVwBOUILE9B2jDcZ8yRuQe+U+NlPv59++Kc+fvWp8If/Z//uH0kS+uXKGAXl&#10;MzHRxpBBSQCW9V5+PLdAWyeSP7Qiqfj0587LIzolY8k+ZfcpJWt7vI9PnGAwcIcxurA58uyOXCop&#10;dzjNl7D7ZO//OCLI1pHskd80ElX+4DgcPMjBN91gWypyHNGykpPdEz3vDBNyQRqD7KB507Rkiknw&#10;lma54xmGBzl1BfDWJSaltU0UMgkBjZGxPmwDIiWusyOCqk8OMRLnKO3XfGvt0pixh7jBUTWc5z4u&#10;ezuL/KFLAPNoXPdLY6xuQzDhlqAahQnykPNDuTQEtY6fsWM7gsp4nH12qXjHtcLDcTKFDYlmqRtr&#10;OtmRXdwhuZ0H3+l67J96eHjnrbfYRWAXs5K4YjMIHjGb6nIzm8YXmTiiA0XcygJyjCslKQbHMiIY&#10;iOKlnijoZz3YPJ3biwJloieXrjiEmjtyMlI2wOGqxYiG20ya53qnPjDCpcx5J90yKFZb+siJ4Y3R&#10;CjNKDCBxJ41CdYXuFuZUNoI8qBuXLoAptml5a809iuoh03AJWX8Se0tx8T7fqdetA0vSkicl8cNX&#10;pb4Fta96Pt/SZosziXrx9kYTX5gGlK+fkIGChBp109nrpaaWOt3nUkULSEj30zsNZIn3TE/bHtrc&#10;VF7iWB2yHRfKdVPQmvVLo9IcyqS/+OeJcS0xU5r2jtXpaELEsGYXL/i0otWYijPDQkrVXCOcV/Kd&#10;r1+Hptn7irZbJ2YDYT/wuFo5ZcsEIiq0OvRkCC3nnFfUW2fXKKiudoO8qXVQ0IeNYzNCaRRGzZrV&#10;lD48/eNuajAv8y4gyuBljc0gOdK1KmwtqsufuYWy2sr0DlyxBuo0hJ/0pxMpPZvAGfkv0pcTCR4h&#10;2rY71m74CD34UvWtpTavBt+Hs4Ivkxz/Jl3JbAfQZD36iPn7WZEehH8yHt1djH/ylZ/227MYIfaP&#10;brd8e/7StXz1l7/93r/8H15+7pfL+RyA1wo5d4cCWB4IJVDpjrFY9YIteFA0J5SY2+qR9qdQ63Ye&#10;o1jZk2aqNrbBNfsFdE1TZo23rsI5F8EZ6Mmp6PJlNywe0kAum+eZdbDJKS/pUWNEGw7WnIOMP3RN&#10;Ehp1pLDDXS37FppMjxKUUZgvcbRTCYiVzUFh1NHWPfbJAwup6K3wcmUc+E61RI7PfCYgHbM5h9mJ&#10;yAGI64R2N1+H1vJ5or2HniFcLds4r4xfWm/yFEg4O9g98A3JNw3SwySq8qT7Rpp5BFIQQxhryfLD&#10;xk9AVlGQDVK+qaiOr5dx0S7HXk2JK/dvPNNymi9EDI2jOaqq8ZxUqrnpzT7IJTfeufRUrA21FDZC&#10;cBCpi8pR1ePO4Za8bdx+klUhDKttUasHcwqaAy/pFk1Xg9k+cD27KsiJcqrR19JZcFQTudEyyHok&#10;96DK11Vwo22OgnqnzQAHzSu31VaDw5PGLtkwk6yk6OHOWMdrtEiSsNBfevAJeWpWLcJCl+NkTTfa&#10;jybWsof7KD5jmLh+3VWUbPRSQRAZ+eZ9SMtT7f0OM93nvjdNc7HzJG+KNaEY1KpBpNqmxoLWQmnq&#10;fTRtB73k1l5bwqdWUCcVEK5kiX+av2+VpWgZ3mEYcAGlhSIoRToYRhrQovNemKBdoKWP6tvknDLa&#10;h27rJQoe/6ejMnO21huSdwps4Gq35FbqSZBv5PEmTsDNrpxg2UwcBoSZwsj/XDJ2JlAOMP2Rgq3Z&#10;5kdKIZ9nms40Ek7vQk/xLkWTantutxosnPI1KwyGz0D1NHewangJCxLRRvF0mLxHBIOWxFubLtRI&#10;T5QARU6DtEE3lj9p2EXqeoSpH8sojMYSTLUF8us50mvN9EoFynUtMg3iYDAV9W1XHssgLuykmAIs&#10;XDVvi6k5ItQ64IvgHv90u333ow+/+/TRONv9YMlf+9GvffG3/93HX/2d7eEazxsGjdFheC64xQgF&#10;UEvetnZHfXGR8arFimKrRwSFlFob67Y6NqrjhJ+BhxummpGHNz7oPtb7B7r7O4tB5HXovF/GXGNN&#10;Po8d4atSmb1VihgkkoYlckwL+orUKDepodMFXVCF7Ad9STsZfvgAlZxStiWrBKtX9qWg7eK5pGCa&#10;K3cQnBfIQ2Tiy3B54gzG570oJqntvJI6m6ddRnhjGudexAVfEwcG4rA4j2e22+gmwTac5auJBxHw&#10;1e0S80WwsWIVjDXxmIJmr+Bft56v5C/RAy8tgeOM9Rxlt7SHjj0cexOeaQFsVWaM4yOhez7OeZsw&#10;TlVOa/OUqA0ns4VRMIYSC1tGxmmSMtdDMjdo3J55PEE3MIT82mA6Ey2cJr5KY9YTxbByDMqnzeFT&#10;6NEz1+DJZ503VpFTHddBm8LBho+W7R5s2/OsdvIz9SBvgaaWswDvS0yxT51k0jov+vjP0vTcP05r&#10;agIcVtmSK0XMo5IY6zJ+7pmnB9F/SldvYvzkFM54ZylawxB0zKw9QjqumFwTVyTYPU4s3kXj6i/I&#10;YVX5JDvQqnRyfuC+wAJsdbI/I0fRlPW3vwwnWmyGLAHW1XrqCXXVjnFGNGBlcZJYXDz1cUWiWWDi&#10;3ZUyU5frbrqPbuKMgm2eu0ULSe/hrgO/4NPxI/emmrgwIwDjjHbDpDN5sDhWZ48GtKAlmj9DdYHI&#10;Eh3FXvdlnFMxGWCt1uxMZCnQDIDgAE+1LNa9n54/y7zUc6ua/iIj9xgcwTOpAjel05WCpt2arClY&#10;9qMGOaXApMACVH+kPq+eQuNsVZVOttdeUNpK1YGVbnpZmhGTkjGP5FwIRGqS1tqBpjm5cWY70dk8&#10;3AGiVlC+OtqkW2YgrvqHEsn9OV+K7LiWSpXGMf/j2/692/Or/ekrr9/53K/81fznf7t89vPx4++h&#10;B51NE9XnJMXIL91iyeIytVziNeXDHM8f9+ePUiQnulIEIIlU9IjwHJYBbMUogEBgQuFJALgIyztp&#10;pAo+y8GnAiYNhp72mSEGddXY7SwVi2o7tD0bHCDkIyuvjnELyD2WKePbyB8+xrpUCjIoTiJqP5ai&#10;+SxYswWjKhZ1OQNF6IQvedzWBMCLNDlP7ShwhESFe+c2f+qbmZrgyjCyPSUp6Bj3d3zCrcTywADe&#10;SCd0iiwrM24GQL6wVRDgXFsmAhcHdnEKyo/M6PxLEZwkKiJloRA01pHyy88jn7CMju1w205966HI&#10;PZFXi4sNhos3O+gr1UWCeWhRO4YMMNc3UcbJkShuJZBXqLRFyZOmpywRI8FtrSoeksGSTTVodoSP&#10;LN6iqnP4r5A/Fimppu+0abobJozdW+icZDTtkso6lDkKSkFTlqIq2+yktxQxvjPJpcEJV+Xa3Pb7&#10;MizSEoHed/7Y5FoDpqpV6he0VVt9FLe2/KL2cizC1mypU5HaHN8VwkSWqMovxunHn/YC2iGm7aE7&#10;EpsvIC94t75ktO5nV1C9PIm1e3Ks/vy6wA9J2qKMyoVEKyoRniSrO6M7ERTm1tcMo6WVutraZx3e&#10;+qraaOh20mAp1y1pPk+zrmM0ni9vVlscDnY4U5v84jXsS1ZSqDRmUQJq6YDcvQ6sciVFD6cPy6jP&#10;t3geASofFkO08HJF5pixI2SdQrQ24dCC7KBBusTJgxA+M3i3Usd0ja7HQRAfvHk0Jm93JR2Ko8S4&#10;JCF7+1cTxHGKb3pWLES6qbHE3s3l9LRBANA03lP6nzLdyUn9pbV6S5r+K0GOQbJRsBRUsVx1dq8h&#10;/AHJHyGiRaMmEXPJ46gcL6QpNs7nDLg/oaHXAbmsQYY9J2oVaXUnuVzSqRPJ50UGqZnvLbID5ZOM&#10;jfD53D8+b+H61mM8f/haHn/uz/3D7/vB+j/8l+F/+Tvt+blfH2Ne+Ep9DedSgoLBy1WYTNoNPs04&#10;Bezx6UPJbCkPOIgz8lwY1k9AuCbxPIxjTRVjB5pm0k7MSbwcUUUScu93MVLPfGeJwpNREbz9siXd&#10;kJZeZJSrpKgTM67CE7H1LMSuNbbkILZ0oWajRtyQkXQyl6TJYE/OYUWY/QlizNyVSuZBbBlD5ZPB&#10;UrLVRCg4RczZLQhT/pKEP0jXQp7YQ0zmY/e9HJLMd+CXSuKEvKKZisIGJGhNRXhpFocwVuxGrSkT&#10;eE6wOKlDklMFIgnFqHFKjANmqwJjH29QgcL2AJALu2GUeCPpy44dcpePuG/4uyebRPKFU6XqEv3K&#10;qIj/ZDreTtVC1hUqnc269Dw74iNTbBscLhUtVsE94/DwUeSCPrfNopIRpZiUm9h7IWNQQD7JxImN&#10;Sqwi+78U8ZXMlLUBYcs9YqvUim4xj4IH6ovDOlhiH87fKn5sM7mHys9ughp1eq2DKnNyczjuXNPo&#10;Z0Y9hlPyw3G36eV8kunVTYz3sb2Ll08VJS9quCV7N65lkAJljU/hFYMKzNyEHhflTpunlOCJnRZj&#10;Y1+02ak+oI1W3TbwIqhIb622QF842fsSlR19b7AdqN3lCcdPgL3YHWxqHncVa/QIwGS2gzDHvXNI&#10;6QNpZvGxSFKwnLLo7r5KuktaMooe5ca9T6uliX67wT90FIetohkznAHezHfko9lttlRZhUFKHsV9&#10;3w6MVzydR+LbpNeozK3KlhJFnYkcFuYVzJRaF3HGJbtKFYpYBzXNJUtbshiQ6LQHQgN7UX1u0ELh&#10;n7SL/HlMyaUckUH5+Lub9BqzuR/RAauIopU+qIzu7KVrzAoGkRJDdTsTdOdG4wvuYq/qYKUkMzfB&#10;8Y1CUE5X6H+C4xjQjaXF8DyOoy8oCNK4oX/RizTuyt7O2yh0QvjCFr/2oz/+xW//3vYXfju/+5n8&#10;9EEQ+V++dyd7qiN7yPWeMrxEOY+F8Lil42a0eexEiAu/QGQLiaAMSk6O0rFSjo3Fljnpbo5fJlMv&#10;KW0ahm3yaeQqdBFrHrDkVG0IYySZhEvXVF4rF2HXaOBmUkP5Pw8LMa3yO1BDQWZfElMfwi7ClopM&#10;pY3oTmlWAaCVxGqyNSRvuJ9ENr9xDeWUIg3vAx3wE7yxTT4pbjqEchVYkooSs+Fcx65egqdRMnV5&#10;mOymyUCfuYgINpbxKhQpZMcWeCI3sNQ9kAKOdFiJWZduby0a2srjZi8YNPZx4BHDX89yhBKQGWIU&#10;MpeaUYHfxh4NBJ9ERzDg3fLTMtHHMtvLFWgGDtVhyFHZdtU5NztDrCXwZNdE65oISaqnusxdShdJ&#10;5DrAIUeTgy3ASUE1XL1jYjZj5HBY5LASDVGljibnlCSzviS5mwi3aygNn+BUoCCtoOrQk20KF5uv&#10;MShUrVQ5WZyos5S5ZfdkXqqo+X6BFgUvaibjuXs+rfW3Zh8QrG1TEq6pBn9C19M6y0t/cem9Gbdj&#10;2XIMVkFBWQ4ez9SjTXPm7tR1whyTGwk8Z0lnFFQodM9Ii1Q/mjY8afJOLCm92MPiG/9lpif1aeYz&#10;sVX4ZDtgYx872d2IU3fHPh6W1G0WpmtM7tS/+IQyq9pN+4T5DVBqsgap8smC/r/NPmKbB49uWfA9&#10;LNqY6MY6gUxoKs25dMj526qZSCtOofaAmUzebocXlNJBK8WtCuzYcTPpd9oMbSy71Kgvw0y0DNNU&#10;cln/wpYBuZJaTGNal40CeNQqO03TGNwC4eesAO1AV0nkxnKZMC9h+Rgsb4rnQQ7fzUjDMiiWUq7y&#10;DfnhZatL1ORHS+GwW8DefaMCAWKZpjMtddlxWYpmta0idmi3s77Vjq+8884PfuOfe/Ub//rlyz+Z&#10;9qd27iYC0KOWZmSo6To6ZQjFXLPpMYLsnz6U7pzUtTWDnyZDu3peNXmovwKT2kfRYLLIMY6tIanh&#10;xoq0CciGJwYqYjdwpeUJOqSvx2qsm3tJVJNUXTZEc+hpOaHK0T27QeSi0VtExVMchXEZmCsw/4mI&#10;ilImXaxBnEkgqgjtDKpRXSkK86c0Li/WUiJzEjIa2FU2wlHeyT8XDss5ySe1K9ZWYsHggJQugTg+&#10;MsymDFHdR0mfS5KBHyMWxY2d2cNK6Va2U5qOTXap8Vvk4pzbcaI6HZ8k7uLDUXqXCFm7tJdFftQC&#10;4fCSkyw8tbHVF9pqGrogzj3MGHaO4nNclWw4aL4VogmUUaI0YUyHxxWHYT0WpSpqKjIgtM7BxtvZ&#10;ccXzI4dGqeeIhvASrZuikttLQnvBbTLkmfHoDMOAql36LJpAkKGoo1sQUmtcg2R0GCy2lAAPilP0&#10;5Zthcop84jxBJ4jjadyipjdoKLPPIJvRlS1hNZl+SE5v1VuSrBLBstNxilYsMczkubY6xeNdaRTj&#10;mlnfu5tgWfZG5QkE49C7LSGaBjhqpoSt1IFfqJ1Mx6BdiwiCjMubY3S4apqhTp0AOl2vLbMwLhIY&#10;NoOzBoxpIt19UbcIgdgchm3ajCKRZY0a0rsEj5mR23gkq+7AfAG+fSbbp3NKLypmP4xER306JnQB&#10;03BslhVsl9btedXydMt894/N1cezL7UAHwtj1wJBQvLQ7uDDpPRYQ+JFNRuxxxgn7kCvGDU8vVsA&#10;Yg5aBTZjbPqnZJxM9YOKgIdonYwYL4XiF87KWI6nqhLY5cB5k2Mwzk1iyeg7c1PVO6i+z6zbWbTw&#10;Cm6cOdgPTxZACaFERA4BrZAcVwVgKsVlIUIFwZ8SYxo5FbRJgxn0LRauRWfsowOM4xrrNvpG4hQy&#10;9VN4WaewRnv96pZ+/Cd/4fVv/Bvbz38rjdLo+aOg0wO2FZg/6M9X0hDt4K9UYnpVO57b/nHDQSeJ&#10;MCq0vEHUE5AqJHe3zMxI+VRlggjF0XhBvnmFuChQb4IOtpBRkZiBiyOgTQJss54zcLDXKaB2aaQo&#10;hya5REY2yrXaIRh+yMlYFwrzGH/yIttJon4V5ZV4+wSKhitcELR6nIxaRB2NAFs2vx9GdZhgaMQk&#10;9yLdy6iGnc5OlCzgudUNlr4IHc14cM4i0JkoSpcNqRf6vh14Pvbxb8cGuW3i/cbZZS/XhgNOR9e3&#10;czCLhFtaVTJyTp63rW/bWP8PA7MKgkce9DpevMwuMCLu9cEVS74gCVbBmjlXG9oewY+8NFChB4Cx&#10;Nf0ibH1TbcimGD0NKtkyjAArD/iltA/ZkPGnM0MXG5AD5nnmEygc24IqkYSglFO4z7yLOIvZBF7l&#10;EAz96Y3xtvqnlM/X+/TxLSAYazMqSTgZTS1AgKc/1udmRGsoxIeZ4y15roQ6pjEuSWwIADZPuc+0&#10;473Bsgx3yrI+vXB+TKAUcKau+qm1tzVjqOlCQVlfNm1/0vj4SGxY0jQ+dL0i7o3remKcVJBJjJ5j&#10;PPPWaITFYrSwywCvzB2W86UJb/oTgNKIQRMvbCMJneMN1IgV/OMY34jJdRRdMDFqSunNPzZHj0m9&#10;U8GVs3Ghrc7WtMUi47iQXkQN9yWzAhKSBIC9nUzQaGfmV1JTSuewKnd9FDnihVIkJwvv8BHxKhCq&#10;FrOj24yRQhc8Z7Jy1n0iMWuGe5w5Q007Wia70aZxkrJPh+SJMihkfdZAml0nVi/LYidv78ESLyq2&#10;Rjc5/BxW12V2cSGLhZhGaiPG/HVmzVX45K0LzUdUJ6mReVswISTlnHlQhoZy1RZWjBMD3ShlAkaR&#10;EmmxzAsTVEShSHX9fKg/9aUf/vw/+zcu3/rd63uf6c8fmtmfV0d7/vof9FUnzz/5Saun/RkPLaLN&#10;xi9ordx2ok6hSpWfeXZF5kLRkPeuqVEZhXXRBjlInokGxwS8qgBSm6IEpDcO4BlPypHliFRCwj8L&#10;O5rDQhiQVIfwKEBqVVY0RThFZABp3CL387EuITDyvECx+NzqM3P38IU3mRKmo4Xr2KQ5V2tSNXIY&#10;zU4pK7ozacKNIL7xoy5Vtr1DwC5ClzwLfik2Qs+869tFxK31CExvZiciST7RuHpjex6lHkWko867&#10;iF4a4QcCCN03zNUhMAt7jjJjPg/ZP8oG8Ye8hxKyCApaKUnmk1KFpw9v+3JO5VoSKR6mFZZmtAak&#10;JqX//MQlWpnSjAnY1SJgukmsqlq/RGKBOVVPHv1DNbFO9pxDD1UG8umNNMaAIQm0b9n2qkoPnrIn&#10;Z2QZEx4SavMe7xWOTDHWhifHhNrUF2sLHeNzsQ3d85A6+7RUVgS4DZMJJ3ymhUwKs5LxqMtNxTjr&#10;Go2TrWKoAtqxuWm863N2DUOy5MxFk9TDHEF2N+HHWW10V2fqs+0tsbX52PxoEQ3uIM9Q0iVH0CHJ&#10;NJ+TMRffzGGHWk+359Sncj9bjpCDu2AC7H+S56HP+Ae77/1OeqBOb4v+eLOhGu9sExZEZGFAfWkP&#10;ZEtlmvoa6Kr8a+bkxq/lwVoZpI4XX8OiZpBjxMnY2MhgxVHPQzq2Ujx1PNwNOiSv8IZElejhiWwL&#10;mF5aQFY4R+pL2rXjmmP0jZAFetZNP3FyxbOXbt5BuwPaG+Gf0KhtzAJTMJk3jiFj8dKI9Xgq0j5d&#10;6YJHQckqk5s/cQEBloZkq4mYXHPW0+PMWQxg/+ktr3zosTTbNua1HSkRkEEijA3bS2Kfmd34ROGx&#10;tjfDTIRiHypR0dBAMeb9TR+f9bvHbewc7/b2o2+9+oFf+vb12793+ZGvJTEC7ogXvEgvGhmIHBvC&#10;hNIcz2EFYZYwoP05tVNVMFCnX1s7bs+nMDvpKmpUplS2QBOy9IIGnUN3fwq4skdkDmeOmhqwy7yP&#10;sN/J+Oww76H1FJSlsAkcM4LDIg3hE7M9SV6MAsyjW04ELDiObBIbBOh1N2w1Q0NFyUL9V5zIv8S4&#10;8XAqsDsyo5EyVFTq9AtGeKaBzUCKlUhA8bYdJSPMIZ3YRUqFNFIKs0NDS7ARnA8PcstFZRr07iFx&#10;kDBWPo+Rkh6VVlQJ6EvlUNwu3rhS4nHTdFKZGha5m+jrYgFJz1V0rQ8lC6vFMtfJuW4Ei9no3Ngp&#10;AXgNLb5O/KKZSBStQEFbLLWQTFmO9ZnEhG5Ur07Fp3bhkjoWmpcOPFNFPyiqjUF1JQ3a0BQmbVm4&#10;eTS9UfiYtPltzthxIqAlrtMdUkeVjG4kQqXoOURbNiZztPdFqaG/poXk5Zw0k82mYFUgnR7MQomp&#10;3UWvaTACar2Cckvwr/jMOm8L8X5IpjoO6x6+6O+FuDIuPaJnaZRGtyHOw4b/8GTHrugo52RDYxYO&#10;7FefyHeucY4I/YOY9z5ohDM979QlqqJSFSUnJQhxTjzXrS7cZ1DM2ACDvDQF5TEfI+3VIKRLP3gO&#10;fVWJMi8Yj+yuAmn93u3Aj5p0m4mLCsMCGCy/Rkvi7ltpWqMNDa8VPVje+rJawapxlAEGkQh0tDaz&#10;ueGT9gTjHXilWzRutro02YNhXLHu97obcJlHJjDpuxLUFBkc1HHCh6Rpvc6Rb8bh7KRyh2YY84Hz&#10;MqoKRcSo4P53wXzYKE71bnqKUHtjRzMNjVnKNtH7Oypd/OqAatNV2+cb2Lp9zUCphTQYezs4RtJm&#10;EOuoxFfX4xJZGlaal+3KMqRXBES18uIcVWaTT+d5De0n3rr8+E/+wru/+W+mr/+KVMy3j9txBHbx&#10;uBo0db2fx97BlzH8DrBkTx+k82C2XO3HkbeWSzjO27FDKRYxoss8+1aiYZKYDdp5QGoQeUYyZ5Iy&#10;HXGSgLYI/nGK9BMc6qRHJnStix5bNeEYyeMRSVKIIMDmzzcw45nblIOV4IVPKDqRnCAFdBvbwANU&#10;l12T2uQEtIn7sz6PvQrpCGMLP/USWO9ExFCNwccc0459e88FORcHygB0RXGbd6rdhedC3ymHRfIT&#10;Rk18Xq91KxEzgkOWIKHeyFHpctkl1F4SqUXwieDljbmTZbvI/5RC/xK4NNpETHKekCmcfCpp48tx&#10;MLtIPWnQI4S6tGWrMQlzUnnk3FIpyRU6/19VGHz2zcMWFqA+RZvUBEBuQxGXTQt0CTUzmUGTsWZU&#10;5Jvr0pZy8D8fKajhHyTwTEZ9nA8nHrWjJsRaR0fKxzCtwBbiG5Rh0j1uVMs1TazvrvxX/IdiqsbD&#10;ij0Vuh7SXvAR4dmXS1BdF8/9jcod4PWg4xr//dK3qy6UKXpMt53p+6pdtInsS92IS0BnCOwU4uv3&#10;uY/X62vF0pfA0xTmApoYknKvP5nOgKQCem8Tk93atejlWhhXhkucspU3Ksi70Z2N1aznVwjTsklX&#10;MxulTXZU4NbDavNYd0NdimWNiGSFGDHBAIgYQds1X4rk2haB30SeRTMwhKYckDX+VPddn2hSrqXU&#10;EJP1eJvcxmQQJTmdzs8HM32HsHm+ZMkpNiqJsf043uESlNymGcVWF3Z7a3ijc9Ap5AaY1vhHp4H1&#10;0Y1jTZXoKI1GqBHdvEhaalEBm5fqMzEZLUqN6BV5IElmzMepbfZau/qfuEvhvW0m90HjsmmK6BbR&#10;tMThoAkI5kReXjv8tlHKZEShSvQJzFMUemSqeDBUwVYU1Vzcx+IevnrNP/tDX/7iX/prl2/9bvn0&#10;++H5A2m0AgRD7jcjRRqrIhb13OjH/3fA5y7S+OPxEGX+jTq4QyhjcHiHQxsPONaK/T2c8O8Ly40x&#10;3cL/RuQWVtfMEUNt4l7ELUeoHlIPgytuzBUfGuQYhOeZEMjKR21L4joh3ig/Y5UPFrFWMWkaV/gq&#10;Oqi+w+XEbmHkiQKdrY3BKRJXi1OMtQBPlbTjt6NOgi63NptYJQTCttgncBZg4vE9OOEjJ0jCjKrY&#10;1S9ircmj3M1dRTHaEpC9qyZk7XbCXyGPjkhLlpsOFyB7YeDLy+t2qzX5i9ckguJpF+mv7JL4KCJB&#10;qp2FYzVfW9MGpKnFVCitBdvMUpc2NEr+FtYUWuuumNK72dJGk0OewnGbHml3K7pzAA537mFxyWQP&#10;Popyp5450KOFRngYmxPZO2UuFkyQkM6kKxV0p1xukv2f4xelE1cwqbss+IzQjn56XutT5ppr2jhC&#10;mz1DJ3gqRwbUHu3lRc+dwPk4TzGk9f9mSy7GTw5A9y5ZSBNErTHZd03cBcJiEPHgWDgDHy+uOCrQ&#10;FBt1d2jwNSvM4B3l4ROO1eLMXQ8v2Gaf+BUmSsxUoCnlCcJZHHsLM0Hbc/HOA28Pxqp4vFOyRzfC&#10;0/9StTR66TvEcKE1l9PYUDNZW7cvIkp+DT9DxDn11P44O+jRKsg0w7KrKjlT8hNejDMcUZN+3KGC&#10;zjVmWjXq7Fa7f3GBjCOoPfOUEDF29clxs4SBnGbnIGrfHxT/Bs0kFHwQ8eYHLDSnsx+iWNk2Jj2D&#10;qAyBVLMcR33/K08nwLDRw5CEpJYBsFbgoDtDcNChJJAgEdE5wv8AgApp17jIh+A2xj84ldYRveER&#10;zFfb9LEAvkb6tGnbJJRN+7TYwtVof6vtD5+fxkf8fO5fe++dr3zj25/+rX9v+/o3wvP36tPHOh/j&#10;6aFVe0R1kJaoddhv/diFzohGnATrZPA9PDfDuNlgN8uP2vcdWx7AK7B1y5QqROtgyf06eWCBt6Nh&#10;uJWJADANFPLhgQQK4RG96HGxbxAlIbaHJkioFVBdjV101x9Z9+O44BS7N7IxecrU846OOAHrQPHa&#10;H4S2mkmWqZj9bKgTQPcROWi5bOdx7tjzOjAogeCxUvQtFkRZETGLmrMl3k/ewCIqlVzP66iZx+8U&#10;3oHY7+Urj2di/EP5aZLlOSqvvB8NUVtgnaXbuKvtHFcT7hqCqjOM/XLwE2jf+L7PT/XEiBmBuiaA&#10;VjEJymgZipfpsdGuvwQyJ0EUoevQHYSWtH2G+9RgDxdbN4O+Zt4OZoe22KjJSWUnM+Aleh5P06Ze&#10;101b5ZRY6k4cJ0uC7CfjQwAN03fcM+y+wHUGS/LD9gQedtMtylak7rFxbLqwyxA0+qYpQTS58gU8&#10;sG7ICX7MTlK2MthSNFlGMtubtnVVgejMWRVn22w3WUhOYoJ0dwW+nYsVVRc1xvq+cLL9hTE3vZkE&#10;AMfSuYBGJ31alSII4xAcYsHLz+zexngbpL961qs1+roHf99rUm2tj2tC7ZrbHmO8l3jC/443LS7q&#10;Enc0xr64tPv0ayJ/r4c1s8rPGTYDU6ClbbrpPh0wrcXnZJrMTdgHeNGkIDDWKcuGW1QHDjTPekfB&#10;LtUpppqwxG2OgxZCMVZ0aHfCll21SVYIRgnxjN82fS3qQ7DdzBT9nk/Qmg0mdKvm6OoEkwz8yGaS&#10;vF6732Tt3tJanzj8T/D+JDv54aez9j26oQA1hLYdCmXohk1x2OEi3ElxelA4i7DZeUMEYDNPqIDW&#10;znPW9FQAWEtdKfQpFKKj0Ag4UVfqyFzfU2j2owpGEZUpn7pgDDkOds+1PZ/1O7fb7WyvQ/hijl/7&#10;sZ/+oX/+9x//6d8JpYSPvqNsGlkjASPji0u3FT0Rzx8gYFd41hXtxKTfKYAQXQ/pW3amhsvWQ716&#10;pJ1cNjkOF/ZGHVbLvCmJVLlTbwdF5iZUoWc9gvIoYn5vFqkEVFumF7Q9eK6/SrdQqs9rTIclKoxf&#10;skGAyvwTmMpkhkd8MmpfirrVGlOCKiTs7Ug83pQAsA/t3Sj97b1jr5mOy1hk62SAA+MthckpmPWE&#10;Uadc5CzdggDFb0P4ecrqFoDDL2tMULqN+1q2MnZQPjIY9Bf8VU7Bz63If2hSLOCnazyq0FNJ0iTi&#10;wB5QTZfExg25bBOooWw6oFnxtFHCjAQKqhrUeovXhfWTXp2ubbtowajGDrXmKbGbk2PyMtGNvgMm&#10;fTY7XiMNl0NEr6yC1w5xupvnsGwqH1QogsAIbUxY1vziNjRfupjmmftq2e82wuxM1VUcTlOZN042&#10;TcE4mlvUgGhUrgYWJ1lGq7G6zPvGa5KSVSVzbIjnZXUBxlllK8EmeH7Ei1zhCfBVfaDtlOIbDZr7&#10;3Vj1a8s7VEu/my64Htbp3USLUka29ESBxaA4MIZVz7IkZTPBLVgs+jREYmbVaCNB67DnRdHb54XS&#10;gq8t40xPrGszlVUVnxSLLMqa5FBjVSW4xjL2SWtA0hAUJJVpxhoecndx051VM3pmBexoeFs0TvWF&#10;xcNwctZqYcOw9ruC2I8XGRQhosI4n32hu4l3vQJOIhPovXS7t6YtzXGkFrss24tC5Y9ty4mqnBy7&#10;aWB5B5MnPmIypKIHxEoEeCszWoOiRZQ+KwwrVburPAHmrBaMKu3nRlWQltKE53Ta1SEwoW5GDtqt&#10;ZfT8nB4XF2FthbeaQz4SnjIbpmMhRsx9ADuAT3xzxTmUfIge7Aeija5ZIIvjv3zvtks8fU7v5fal&#10;z3/uf/vL/9offP7L3/2v/2b7h/9rev2eypWw0iMNgcY5gRXU51u+fSQs5u0BudaJzCnsb8A+I6OG&#10;4YXCvUUe7FhRT0SnbmKBj5ZxqFU7le83nIivWFIkwB2VHNQcjIltBW0qevsyZljXrM7pKqyccSyX&#10;JivlZohGUq9WwQFo3HAh8kT7jVGfMblj8B2NFZ/6JpR0ccvlQLkMrrqEw+sMDOlUUiYJP3NU2Zd9&#10;P4QAc4TEezIOf9R1dCbVjv1adjRpYJ6BM+YzF5BVu0g0W2J8yThStMtWn24yI5SNLMBpn6EbwSJQ&#10;tvEsjmOMNEjZTKBpSbKNkf6FQ0nDbJUSJsimInKQ0F9lN56tTowSA6pwxMt1ppdA5ypaDmngm2JC&#10;Gp4s5IN+N2qx0eHthvuaXa+26hy4AzWZakZD7mpM4FTMU/NAbAqPJvJJMh8RSFkCBSyQrSy6v6RC&#10;gIZUo4UqmVSho0lBwRagrIP6JeBmusI0j1s7hC26nz1NWrfa9FyzwAklU0uwlpgNUtNuxfyQpzRD&#10;GjjtxRgszulpNJdZXLwOwXChd2nvxlGlJEgUerpT+7qrLMemQ2s5fjLjeHJr8mLa87Rv3WG6g3C4&#10;vpvPwfRhFpj0p0CtV4r0Cyt8W1Sf0Y1asyG8lGmzyxl8j69ERWpBpsosLsA0FRQzQdwZ3O+36lkq&#10;m1pxXvpu3UL9tLF6GJKfWHAGL4rA9pBHbvlhibPk/LDZ0k1Uf3D4yRQ/ugoFz1026r9fjKZyExLU&#10;oFnAcbEiopOQ4qQDQTGSm4WfZoDOKFo/AzeCaOT0LWEiaD30UxmgkXDizHRx4NqaE3usqjTbpFQb&#10;iR8v6rF6Q1cqKmORAQE5WzOZBXLJhf2GohaRaLAbt/cpLrp2bRJyY2MA7/gYe8cwDJd+lzOFLN8J&#10;II+HUq4iYeiPubz/+Pj2ZdQ/4UOZJEoT771Uf+bV9s1f+fUv/Ev/QfraL9bv/XF7/qhh4tYJx2JX&#10;Bl3+euzpg/9vvGQHdkQsq9HlWkWGZNBtZUtclkYi8+LajoeudApArJFu72ihSkZcodgMIH4Zf+L5&#10;OG+kfYfwmOMrwYjrU5KJJgWO+anWWyV/VTQ+YwPLOq2gLE8O/9Im1HWn++LmChpCW4qa2hnu6Fkl&#10;PPGirRoBF8UKqXnUSnJlOz7STiqaNeGoCPblFOB1waMk+gn02xJHU/u2pf3YTrmlBbmaB2sOcF6O&#10;bWtjn0MdJ3FRRXznG7FJymYlobnH2w1QJFze8WdHofhwFRHWcQbPXlDXn0sNeubGqDkoEW3e2s3T&#10;HBwXOD5yqVhNBNki4QA4vUiKRGyIm2hEFIbphVvY+bzQ0RpTvjDT+W7HZ9gLSEtRO2cLixy8q1I9&#10;YvNLPnRQ4iaTta31R8ky704LilhA/Q7tJ61u3rjk0ZSzbhN1rtjKYHIb/9NUk/ZFjBi9SIIitGlg&#10;rKgRIjgv2AKNvNDCdF4vFev9bC2seewa7PdiR+HSSWERhQ7J2c3R9ymLnWNPKEUTvKwimkmgtiov&#10;uu9v5kapAkUvkBc0LzGbd+EP1BY7jI3+FN2S2gxqNIIrrWrEeUd7pPT57TCW+hbFt2BVnbwYLtL0&#10;aBLPtEbvWsFHyFXwAW11x+HqkfdMgLDiZLwPbOrH7gnHySSzXCFx25EALIASTb1ONvwLGpUo75Cn&#10;Kt6xfHxCmltw9Z0XRko8QdwdJ0PIP/B3TU4GF5AMS7KZpXKbmrbC9bCBWHaUaddA0jWKHz40irzs&#10;EOVLFXLalBnt0lDmyy0jloZ7dVGqwIm5kWzVAvPfLha8pbcoWMxstPYwZ4RJoQuJzQMKZzs9cDqQ&#10;l2svqA5zNI4r+YBE17Gc3ZpME0eN8iBxUfnVlh83dsoD9k75vrnXn9rqr/30z/34v/IfPf7535K2&#10;1/5M9SMOEtUfKannnr6Xjn2ss1s9+TAUzZ0P535Ion1TF4qDqDAY69kmCLhfOmdo6MfsgotJm9kc&#10;S2aam3zTvctSGxnFh1p+Q7p9RioWsy9gn09wZCaKfYA4x3dkZkAHdYFjDpuZCpgbR7FizBskAalp&#10;qgePBNEejwlUI63xWydMp2fjCWM6JMg2CCnoB6g9Az8nnch8IjAdWbqUACP6Yyvjt2xAckpxfN2k&#10;wdma5nvDyVC6NrtrUuAU6/sMhUsNZjtKIt1IwjhNPBJ+KNCzCvZFgq6tRYpUiT2yczJ8fvLZVOpr&#10;uXb57V/81QDeStPbGXXlmX5tvthVhRddy6/kETbeHVKqOTG3PPwggUyjf7hy45yizOwOVlsPvll5&#10;u2fJMe/UrZg6wdIG0cjWlox01xqNHPaR+DKrb50/TTwRGvcwm0vW/dQCBzQJMlzpdTFwmqUkIhhW&#10;mag2eOqjfKc2iS+MCjU0qWFmqSs1Jpr7Is6zvqsj+wusVZxboNtZ+53AUv91GU9GOd56L79+561t&#10;eyg4aVkOYVzrs0R5T8BcPphlUq5KXVMlTJnS+svidS3y7Ddova/K9a4DFeOnRLTazUMQCU8IFB9i&#10;2hpVqemwApOVglAbCaQ28RUnh71yfumBs8Z1Xr32GWoPrzs9LU9dlUsuPCWsG9p4vK1N/ZXJB5CW&#10;upji4stcrZMQ8Tfk6pY3ZE0kfvLFYdtW9XtBj6KmYbWWr0XTdYsnNFg6tQyBcVFTIguftQ75z6aY&#10;cr2MsowSP0xgH/JOpdqR0Q04gPh2iWmptLZKsJ+fMggrCebzE+UBtn0OOyyjUj7uJslz+ZA02sBk&#10;YDbuENxTbJjNQ1KqzLZNbsKRxbep2lMP0514FDu6SX1ABCVgj5AvyiBW/ouQpvsHkgfX39oEH1ex&#10;Po3b+v4lv//2208/8BMfvH7v/KP/q//jfxTyJr+xZG+y1+OQ6dJ7398vr6IQRKHTVFensc0s8RyJ&#10;QHii4McsURJ/pMCqEoJbQP/CJFaGhaDbaJgwwcoHvyz+t2T1EW65EKCUaaConrS2sATygtU8WXYl&#10;tC2BN44OZgZnjp9+4nS6wZF1is1UVv/cCeQLm02R+fBJ71tSe/sZhNuS0QYY11G/K3u4mMYROiev&#10;yrZJPgM23wShSrte5F81CXOAew0TTRy+LuMJKKVxuTh3UnLlm4iDXi4ceKGjQL6eOHvLHxDEGr0+&#10;GCbKcUHi4Mc/eLVdP/P2687caUU3aGpaJiYlLqxKsQ6WTuYBVbBv/9lvxSWogD1GrlCkmwd2TwXF&#10;amDJ6JoGajeTibQgM+H9mvFEqt2IlmVqWWTJbH8Wvxdnq2lKJ3H/2gSvqMwlqVZQKxezTrGfye0z&#10;1RjvnXcpOERfp1g2e4M5pat9WRefpCNnmUDgNc/sQcu3I3NCK+1G9ncczzMhueahi1F3P3+24lJC&#10;6RXzCAQNa21OgNGIgWW2qf9rCaxRsBlbcLnsb71bXr/7qW27CmEkefuOX9UzgGyCPc6GqjmMpncg&#10;F8aONZb40vt9CzdOxaga0d1RZ92ezn5QoGcZi2Di6mzUOJwHmh8NlqBR03jXZlY8ldV6x1KVHb4P&#10;rfg4N8hnL0DjvS0jeqbRvPIa/OxCTXvGnY2USNMg/QQ9nEV5a+1NbjPoA/qkbO1jU0cOUVLXaZ4K&#10;mr0iDxxaMFa3Uk7J7dl/nR2S0tJgxifO9q6RaqazWI7pEysze/3I4G0a9kUCEpEY0Rz3d6osMPKj&#10;vcIdU73ORqXqsfGQVRXRUHkYkX8uzaYTC+Umwx5WbzEpALCiVIvej1KsgfomYtHts2cVHdGhG2+n&#10;QGketi1T4I2u0inK0rHZyMHoCoNITtEPfVs/3xqL4ue/sn/+y/t3/rD/o/9DfGNJXhwR2dM7cbnk&#10;dz5bH99Jlg7XTDoYIjewxgTwZh0OdtvwbCdg/WSnET0HBkkYU7EElBDHUZ4ic7sjZFieo6MxvDCU&#10;kHceEVK2EDGz8CbNnhbgM57oU0klck8RJJkst0ka0R1u+nG5HrM5J3F4ywIuSGgsi+KXgpqD7P6U&#10;uvUkTxyVimDDeO4SfQ3TnLQLSvUUxDWpiFj47BpgRM9wFgeCWMK2CryA9KIj1+2cVI2K4ZtIPct5&#10;dGvjdJ0j85VIfXrG0KkQq1/ULnwah4b82defagbvTURtdssTXebyhOZn2T4p9dQULQ0XNRORuquq&#10;d3wC8O/Sb4UxXh//2CdOTL0XXXvXNBLzX7WknrnKdytYfKzGgWkLSUeAppTRsoo1n2AIlH6oszf+&#10;XiGOTyuxKqfYU2UDpd9l4snpAOz62JbZmgoxWSTpcqT6CfH/MWZ9du3MS6Ce8xSMilpxZ7o1m/jy&#10;vlA6GOSqRdfj3aU9zM3fYrKbGo7dz9790KxuFMg5W0ymukdnfCNQRPRWea1LpuMbn3/6SASyLp5L&#10;0ZW1aCPewIFQW6z37l5hDJYRRLqu59oCXY372lzVyAILLaSq8+w2xokza2FmrTXV7+BtwatpY9Lq&#10;gpduHb24dioh61f0pbHcVnWqh1qowAotOFeoq7JLxYyUuLeucXTeU8yGprL5JTlItHJZmoPS5M3H&#10;YT29qlWl7JCbJff5xLLaO7jaK/sLkgDewFPWKScITd8IsUHcPjE/69krSHOFSdh6D85F42LRTQXe&#10;jVLhfeSs7RwqYCCvSMkWZMCymRmitC8VjI2lb6/NvFBWxsC8IUgU0eDpnmqKOZJgO3MwrBMfKevH&#10;7E12qrFmHueRAwHBcsV2zIaRFS447/F3b6dg/3lRpDt6nh+NquI8fuYxf/Prv/Cl3/33L//Ut8f7&#10;UT/6oNcziBgVj+V5yB63XcQfJWmu2bsmAJBikyiZgr/OWFFs79Xkc2P7ukGSn0wqMV5D6ZqeYha8&#10;yGAvEvhiR9l4612wq/38WNZmLqQ9KEOyH6iyN8nwk/luFldDk0RyjKjH5s+xNzks4xuNDf5VLldM&#10;y0S9gnNbxYSV2xV1GaBpC5rlCoPy2Tm5UsgZiQpynsjpYMgdFm4HPMW8sQyQfqawQmWghXiFvB17&#10;OnYdqI19dOzuZ41mvxNFlVh05ItSI1Ipn4aGs0ZcSWuUVx1rX9iDk1jcfIlla6hZJQceU3EbOE2r&#10;LAQxbbqV8JZVhqtoKF5jJCzbHmku833Ot5rHZy9rZdc/E5chiSvyyYC2Dloi3iJbjvhCvJqHSh6M&#10;2kRPWVZAnC3QGCylPXhVSBJf1BcfwixMVrLGtvPIznzFJW/hLmJB5TnRHXuU6mTroGH/E5kbeHxU&#10;3msMQVe1i76lukVlpc/PX3ZnCLcsH0AWm5eqFhFYTIjodvE+545J9wX1QapswnxkESEqWjRKq1A5&#10;vLGvpJMXNM7oZGwLsLMU4Hv2mLnfolcGZtrrmj4RvSUUlCSi6X1LQiHGWriTlU6pdFexRQVsKfUk&#10;THrZrKB8ue2WMEDgCLPlHFbX4a86qyo4ojlXtU+L8cmqoNVf1dQa2SF7m1lKgJBosJFVe8uOhRI3&#10;zKAJEem1GqxtCP+LHuObnSI4FcyFkK9I7ZXJZLT8LYvZg5hDZgDZSVZ+0dFcWmFvk6Jk4spbOCSa&#10;Dy6mrnVSMpoSox1QVTXrsie+XUYpEiV50wW0obyQ5a4SQm1XgTHx6mcXG1/bpT6TgKQdLlO+QGUr&#10;suTB+Za5OESOdaRiGvdrF1kPjWeh2c1GAD1EJQSnoojhPwTNMpxwfF9zuuDprLq1s68c91qfj/OD&#10;fR/f4/vb809+//f/8K//q49/6W9s3/eF8NF36rHDgzl2oefejk6wiAr/5guQUJ+cWOk2JZZxvGWl&#10;LipUyFJkNrt3xQJgq1eF9lV8C6rGbvjz8C/KS4cAd1m2q/VawGjNNvGtDFvaZAfIFn0Vo8ujcXg/&#10;tF0D5StjTY2RAY88untJp9Sta8XSz3M/bugYSuV4Ey0JFKdN2+ES1Nd1ZsKEqQhydx2v2CERewgq&#10;g2dM0GV01o/tDSGF409gFCibe9A/Jc8TTHz1cmkUYePgm8fJRlrfEuADE3wEXQV2kvHtzn38w8s4&#10;nYhgVRwoBYJjRhPPdY6SjAVD1VQm3SVFg4OzqCYGrH3m3V63tQzrA1+Rpo3Hl42m5qMWegLYq8Xf&#10;qT03PSPzMyXvJi2CwOy9nzYx2It8MvSwohLDssiFJepPCx4dHCUz1+EPiX64mcqFs7eG46f7mGjO&#10;S2QlRlcgGqEtJDsWqACs6yKhsX461INwVfdFjbQNd1AXF1l07z95DZq4udZIoExcQ+2CO9hV1NS0&#10;5tIQnuAUAoYJjC8pvSmCnbrPGZUiT8zXKTXfHW7tTFrT5z5xW0yyVZrSzFbsvqHRRVj7/ILdxloW&#10;VG4/LLBRY8S3mUolq5U6obiGrlNGTRJ7U2TK1bp77pCd/2j/JzqHnqDk6JBi4UdxjX53OqkNpaYU&#10;J0a7HdNoWfs8UIkAUPR7bAAnG6q3mU1h1AbPSGrdBoZRQyF6X0J16TBTV2ZSueoEx6BtAoBnsgeq&#10;Ok5HYbBBLWgu/AFQZcelHT9yK2gLwGKGjlZaSDhxwetQHB0gMKEaNmo/n4aKpKVuMZkSbd2UlXuq&#10;Jaat9JvKJz4R75O1dexZEHniiSIUksmFsdqT4oF8XO3rtoksEzGBeg+mFzZgawwaZ9T681FvrX64&#10;S7Pw47HK9/aZcP7sO69//s/95ff+yr+dfuwXUjva7SkyueWDP+4ffVfIVL2vo4oERKd0NQ9hobSc&#10;SCho3YKC9HZiB7MpvykupAeauA3jU21guFxw8TV5I4aHxIjgmXxduzZAMO6KUB2P3Z0H7EjVaQNY&#10;YBPbg/zRUeCO7xhS1xGp9ZISx58otWGr4DQ9I36pQ67LXaFnOMKZIpJBhNmlOyrVP3MoJJMPfYQj&#10;SVgRU/IupbD7E/LWEhvnow5B9UyhBhIdTnHJxAvGUp05QijBbPqAB39svVCpFfDtGL4lyp2CT1jr&#10;BYwFYevUZiA5+V/dk5+Q46KzF7y/FU78IqMejQaHcVC9Umm6wAwDZuPZCM2nXkmf41lykTaDlLmu&#10;ypauoGjt5leK+LpC1A21qILqtCBmLdCHMxY6RG1Nid0sVrMfpNtbV6/RZEKr7MSTZPQntK7GDAWZ&#10;4yUMWY1msfHY3bsnD/VJplFqP888YnMZN7fhpjbNtVezZOp3eawGyvHMXVXXmR6k+9i1Wc90zovc&#10;/G1n7DiZ9+Io1fijaPbAwIIgAgbUDA7a1Ns4m2ZE2Ck0Unnnxm42oltG26Ev+2/rL6BmNpElTcuK&#10;NtYEmyxh3smF3R5tcuZ5a5tcx6uRYJFka3dcW7VWLk9ryh1NO04SkT3Bbaa9O+yl04/PxbSyjMDl&#10;gFSM0jd9Iuv0xQeXDtWuuSDRIWr6S5dE47gkCca2OjAc0k2wKT8CUSwe4J2MGdPtMJWMkJbsVKtn&#10;PDMmNon8RoJHtkhiK2jdyRL6THuHw0lyVFFDz7dRGw6yb1d32ohGL/atkHYkl//smhTNQnosiJek&#10;qU655YsI0WWbdOXtJYs8HpvE2GFGKU5pk6x4l+LsXqg/SmEw6Vjctw0xQzyhVD8VZHYZYTErGEZh&#10;qeykjPZrD/sp2d/0dMLWKWMeYXzEci2quoKsKWy9v5PDu1//M3/38z/0D/7Wf377H/+b+vxBT6/z&#10;/hTPZ9RjYy/aXGOt/oGuUcmVccFMe5FrFiuy7ToUh9DHZCQttCfLNmoBrsc09j8ZTyT81UuIT1Xi&#10;pSAhpVZFD6/sABPNcwc31LF3r3oU0ZMm5VQFAwXib7DqwS+BWeAuVv1+MU1TQS1F8d74OdsmjpEu&#10;Lk/55FXn6nmXcwBJXq3ziyCSQdOObNiE/lcVcU8T0nSVMeo5fkrFgV5UTBuicppsXaN8v1EchA94&#10;yF0pEcl8bk5saA+nTpiB+okvcIVX7NZiScXxZsN1PqSRkGHOrMxebm5+EAVP2K7bWSub/NJHsXQt&#10;PmeZjM1kndO0aO5nnCi52ksJKDt8BOUZKfQYkEYuwyyzEKbWLUDCCGFetN/VNas1i9EUUTE6SOVg&#10;ukJLCvImDXd8aQxgm0EccGY0s5pXO0HpaKPcKb5yJvOeraJGC5eB+BNbgIY6TWN+hmAyVxWdBwX7&#10;8vf2Pyn3YEIxXsIxXaxo5AzTyCxzHzVgNevemU/BgZ9KdNXmvpf91ZLoTbhvW6IZIsZbVzAvzLZa&#10;1zgvRbqPEFrnT1x/85ocb6UazcNVg7mNiaKy/egWPzDeqbGWaY1hzCd709gvjp7ujh+bAba6T8TF&#10;uT/dBKy06IvjrJE9NxQi2kLslpMeenBnCZa5xIDXYGQst43GPvUsbPZpgIOKWjMjVTYswtxMH6Te&#10;shhHtA+otTcB6kKsttvPDq1SHnE2KuTpRL6x0QY5xvgxmarOyigViMxQDABcSqhCM0aFDnmQ9xWT&#10;2SntXjKGkYU4w5VwK5tj5CpRLOCBjO/2eNkuebvKAigffsOFc6VVIyvybjA8NcNubFW0rwWnLQmT&#10;OgtPdsyEN583FPaJ1j48jp3lgMGLM6A8D7m8vlwei1RIHMw+iVD++ELYf+b997/8z/yL+S/8Tnx8&#10;Oz59iP2gtHJNwp+MIIYxRSjS7wEJHizQeI/GPp0vmyzXZ+W8BIiALvHjteZAco02eY7OCyNdmZPE&#10;DAzsDjC7DLU8JcTRKX32XJzUW5qLCykZMgKMKrtV7TODiWRzlTAEaTnKA181u7og5C9KL7bGSXK1&#10;4DVBIVZETEi99SDrOJaeRBQ1gOLMF4dgYxSvwi/roJeRjYBhXoTqR2oD/BcAS1NXNk4HbinCwAJe&#10;jwz/ijpoc8FVgnMjJZ6IpR9+nji9Svku8YpJYq30UKh0eI1KHrtgly+rh2nN8+Mg2STKbO33bpE+&#10;LN6qI2o7hXnsGWZjmIVmCj0DpJiTL/a+GAA9TUyHWL72Jx0wdYtYk1pbizEdUymqBBRpwwD7Ypz6&#10;YpNqLP6afg0LppBHVBllrsPRkosPQFJClqnYq/kLu/vA0KzLQdXDWvhxkWpCD8odqX7cHpIw4J3o&#10;/yK9dt3o1IKogP67yeACt+SszJT8C1xFA6IYAagEfDvgY4E8gxoqVo8eJXg5WicvxZDWmAg1Uypd&#10;v3WuiavtogezKLwpwQg2vA8aQKxKWbO0W1Yc2Y8Kk2Zwb+IpufUJVQs6VmR0oeX7goQ5+1+We2D3&#10;VO+yl8DYKmzz08ZzcsODQh0NzGxeNG+ltuDUUKJawVDS8VPrMxNH56lumepBEfsc3QmXPjPRhd67&#10;bolb3dBRgZpu323cCun9lcyMNJWJzdRFIlHkVcdD4eCJo1NCpt/FBuc4NOCNV2t2ALY/0KkdLHm1&#10;cPpme42OKNmq2NVx3y2NiSNYj9YS5KcEt2Hk/CCttIBl3fRzUNxtEGKp0CZM0Q1vGJ4cMDgqjBjQ&#10;uTD2vhsVPeukvF3Gj5M0VAhDWntuMlpUAU5vMphMsz9wKRiw2kGHXoLx9z/V9599ff0nf/nX3/mr&#10;/875ha+E7/y/chuurwTwy04HdUNCH2FnDpMoTIvk+HLWBL9GDQJ5kTWhQcwj25k8Hhd0+UScgpLr&#10;4JkaC+hJEJgmJoZukY29G/w22kukgEJzNTBxDOT6E2bBC2QjzbyyULiAYwlfwinEuCVAG+9CRoZt&#10;tVqDqE8WtTgvQ9muglt5TR/Llun9SEKlbtcrc87QepWg9ggZiQzISsGuH+H5k1t/wslHDd5zFe7n&#10;2DbH7ZDLxH4s0u4ouwI2C9o73M2LaF42TyA7RKZTcW5k80REVRKTS2Fdh+wW8NJI36GO8hsga/Bj&#10;RJjDsOxlPEiq1G86GzNvrNYjd70vr230GbS6kJ1unCODnnVV0M5cVRPf21osK3ueJvCX0W6WjoTP&#10;rnVv8IhrDybHU9i1Xxkd5Hkf16rlWkVVmqKB3NhPtAhU3SWTxuylBUHWZqqr72DRM4VgwMduGM1s&#10;FnW9s1orfEJu3QsBfnALf1/s/y5BmruDFUS0DbB/rEMaEUSFObGycKnolDVDn9pFWROFLCE48lbd&#10;hfFq7yzOknRV0Nxn+DKvFSP92dFuC1zLTipunEgaRZ8sxy+bxGaWvukFNCfeBSFZZE9oSyncl0wS&#10;V9VaYHZc8uSDBxtF6+/fmTf8g9p/b3HeIHpyNfeO/RM89gWzwKbUvISuUG8LVd3sCrG7Zwf/KZlV&#10;bFNOX3ecGzVo1vWCKn1crIsZN2J3y2ij7y55ri+2loKcObjK7GxjOyjd+peoENbml08tGe3UUawc&#10;HE9yHako1hQnqv/gCZb1N5HwmWZDmMqWkHK6u7DdLWT6T3JWFkwD38TyEzWzLeMnjxWQjXz4CyUj&#10;8PmUihYXRLZeUEXk0PzBfn64n02fb8FqX7ftcdteMTkHe8Dbqf3kY/6lf+KbP/Iv/P4HX/qJ/fl5&#10;XKlzLLgaB4H4AQA/d0wskQ801vaGpmo9jkOeB9ksZWp+YN/GOhPp69hwRdpCoSUPB7y6cJUPEm+4&#10;r7BGYOzNDKmg0tvuEEn0MzfxSPRnJCNSupWjIp4l1QHVJHfHHZvL+ItbFm/ABpTZFf/uCvu8wOd6&#10;Kibxo19inBNOka2KZeJjqV8laPCZJTVK3gw75/ihCirFARLEltKFuZOul2vtVuMkCqaA6Za+r4QD&#10;S0dBmpCNaLUCXQ9odum4PV3HTZL2J/wCApCTu/mqXJgtXJKbpHT+AIlZQ7UnD8MNRBtqRM3npctL&#10;Nmpi6v3eVQcDpqUOShXQ7Ky6+gPca2auA/acFvkAO9eMVkSbgueYZsPAHuyv6Bg7KU7MO6vA7smq&#10;ICw6YpAsTiIoIDFqwhGqlWzEEGrrGfiH5iTfvjwnJZjT087Qreuz4BTxWXlDgXpRv3Hq4YV1oTVD&#10;AcD8zgIxk+htURkLA+5PRYTxL8a7nXAJpI8hrAgT2+2sa0E58o6ybfykEqW5n3MK9xnoM4DcysZ5&#10;W3uoUxuzKN0+McHB7YkxvtjMcTeg4luGp5XlH1JqtByBebSZwVuzjaMBEixEV6tRN5PNS5JURzO7&#10;yd7ibxrcZ23i+5RcbUd4WMMMUu9MrdOQ1TSH2bNhb5LI6S93nnRjLz/qLA1lC6YSXYqtE4rhytxZ&#10;M552K8fZZgC7QWtdN5R4w9OYMrLsVxkgjcW+Aelp+QDxxbh05upVIyZzuR//VLSI7E51haiN5WPn&#10;G6vIfI1Gbtbs5IZZQ7CvML+/GTpkgRs7wu3cx27UsajN6zypUIEa13NRNnHR96gNlJ+s+HwjZr2i&#10;XzSJQF8uAtdQVu8SPCvpr4mwGxVbcjCBbo1oKACrorQE8kUh5owDx5fz+Ss/+pUf+uZvtnffH1f2&#10;+vC4iVFRblDdyjM6TkUl4dLRBUfaAyhqZ8jG2LZkexHvII5EnfF7CTTtRINXD6eOSgJ8HcDMsOGZ&#10;5WDRLet09SphFCdNTp5es1Ir24YQjfHtHkp+qxTgXnUmUSW0ARshdCuJRXOMH551FPFjI7y4jN8U&#10;Bg0JtzxdmYhJ0houeZPpGqSDZ2jXUtpxwHgofL3SpV8IIYxOCoT9gVwnimCDaHRzAPf1Oq42x8mn&#10;/ORU5IQhghpIpVPeZMk6jkKrbi66aPE8DdKNJoijeYTf2S1qLdB8KXVwEOCnOILU8aKtfp5sOx4M&#10;kXkR98EXA2zNnha1O/UjycsR9uNcIINYWpcStomaNAi2KtnUrKBNBNrhLZB05WixFPO2JzBxRFD0&#10;qL1vPS837xgySsLkcWZzUAYxE6HaREpSh6D60eS926iZnCGp/dGSmXBi6S2sMU89WsS0UhsKKDk9&#10;bVBsOvGEnJkW+8J5C0vJY41B723O4JXuRsS4jBEjBDqed2dzPw0SwKrQzX6uxWt0WSnB/9RYJhMO&#10;JlTl47hwTBchhMBxwVjjTeBPaOrnU5hdN/s2Z0zR1EnQVa7Au9iX0aWsbm7BSKFmDNcBaWYyBe8u&#10;z8iXpF7lxXi2mA9XeLQ1uLm/FoOzhPs5pXW96JKQFs5ZtW6LxuDslgaR9aCQqKdlYybeG/+7GxXZ&#10;+MBfHEvsyRJNK16RZtTQ+ywrpUcd1Qur2cpJu6nTFbvybNkK9K3d+p8IsO1YRmXF7ChqqM2JXSfu&#10;JpmBEuRifpV5lNG6mXtkM4kylWQQEndTvfdWqA93TFxbuvpJ0VbJENX+CBkkpblBih18Nno9dIH3&#10;Okl1kaM3eggAoBgkWEKVkSIQDxu5zKnsVnsN8rZsRTOh6JEQgbyQRBJoJu12VBZM4y+/G+ufef8z&#10;P/6lH36Ae6FI8w0KLRCDqXDBbpL4uJhkMTBGdodjXfQpLWx6ChPv2rP695PwzDDjNtg9Ii9qs9mt&#10;tBCLansKHVUJNBVWda1pg338yZI0jYjns7GhjBV/fLWnClFS0ugAE4bKqzSOI7cqxDLZs4zehWBe&#10;9iS6DXb0cAPNT9IA9N4fNBQhI44KTMPzHH/lhm0pAW16oAU3ftzT7chM0xXNZ9aJeEJ4quje4nYR&#10;tmdFlSvfUoQ2m8gDzn3sf3tFqIYwsuVRvsAqMrbLKz4PnCNSlSIqi0gzbPNohtLf3LpyT05MmC5j&#10;+4YQUYLsoaVKOipgeHrsi0jCAk0wdkpdTY6LeNF7sEyECMn5+hbirtcyLZHdMYbVAtdVcLikNHi+&#10;n5U23AhtG+Fnq/S/JxXx6Xi/K78shhnVgZLRI8itwFW0Rvb8TNcbMLKD63nFLwIsVIHK0Qkjclm2&#10;xghvkQirVaIhOsQH+TPOfJKqWcrEhbsdHLGCaWgKfcmQoyu6N29EL1JXDVNYpNGN80ZLaE/rxNG8&#10;cXJShsQQXxL/7wnzqUn8u1pSXzgC48zB7UvigVOkHfhpSGPNynVzW1hkpUtdDHGN6ez7G05Ebe0G&#10;1SNnnPC74aKD8TDv4qFo+lH9UNooDQ8Lv9M+P0PqKyXr9+FNJphhso5FRHIcmdKauLEQvfmrsUrG&#10;bt+91ykV7Nq0mGchdSkonxeqSLzn3hg2Lk9Kky7rfKAsrzFkLPQUN653KdlbZ2GV7E22pKeBFlkT&#10;RFjlZoA4dQFQLyM6tVE+oJxmywVMyhlhQaj7WXPh2iiPtB8mZc15KvZFVoRMerU0psR3gYionKP1&#10;qD0wCZPIZo0p/pXWWbjIWX6Xn9rS7H7HZGOLj47juxKzF/R3oenM0vYknsTAQBAEyrf98LY/H7IJ&#10;Pdfz3Wv5+vuf/dzrdy4pv75cXj0+IKO9+4mYoqhWYdEmZVQq5hjBSxs7tog+znokCDUDuDMiRJQj&#10;8Pg/t1ECJihmO7W1xrsRNp78P9eyaZeY4z2tH+SQdsDe/ixMUmp35XxpkHV5tZBh1B9LQvu6F+ye&#10;m1RPyDdGBTF+yKsiVstTmmuJIhFVaYEvc+LwNH7yx7jIDMR+lnMabhHkbQKwzTKKqyrCw1uEgV+V&#10;nyz/mD3WDM7q2NuOcUkIfkPUUUv5QepUoD5lrAtyqQhn0Pq+bDdJIU6Xep6321iHj3oyCXLHQ30p&#10;It/tdFKS8JuiOkNAGQw6CwR2tfv4XwfhSZegpPUYO4/xfnyTuIvEuMoTmaGikXv0oqo1QjlPugPR&#10;4NuT7xt3ax7tlsuO6gl63Kpq9FxaXRx1FhWSzqqY54CNrhLpYkOlrhJFwyl3Rf1699AybdmipLEv&#10;WgSspwVGqDGiehmnp7CnXrWbJ4eIZNGg2LoyHfBx0qi5R7455gtaik8FaLSqPFrsYO93mJoY+0Qf&#10;+0mCZn6xvSQPObQ550wzmqYP1dNzGUWQGI99xrt8ww7P1o6mKFjZtEyFFmXa4pbpYery1W1gNdD6&#10;CzLjaKO3xKaqm7vfXpv13Zw07RVlpLdsore1UogeFKAeEcuIMrr3CrLWixTnAa731aBpohEDiXIs&#10;WPv93eFZosJgHZDFnH1P75oXuwWkqutMV54Mv94tm8Sx0hmi0RDcd4vlxfv2TMolrJzc+SxTTM0L&#10;hIWlMCtdUV4UG6cToZLYSIkeXmt1nPaJRFO+JWUIMdU9AhSp8ir7H0kBrIAKtJP8KSj7m8YjYB89&#10;KseBgRHtqmUV8xkLiuijT5QVDalF8JtjaUXuYHLtKC/DNQaB+QktQNTy4w9/jNGUTg3xW4qI4wUw&#10;/XQe40PyxnMDloaezKHEaVBK4nvz3vX6zuXhHKXUW6/fuz4+lG1sR68iMhm20rXJ3NlAyegeJYy1&#10;SvdHTFaACwZpY0MqDd2rsx+nXB3QskR9j/ZpuSKOPqpavb3aNgSg13TPFBzXdJw5Lkb17A7LR596&#10;bCgnFvpkw79O6VNTeKxGUaJTA3y23BZYgeU0txWAl+UTtCs+/RPCmWlO3UPTUYlUnPlh28iulZAh&#10;YjHoFdou0lHfxYHAfXu7iMEk4/XdUaM8lNwBXZOKt7eHXPxguO/7uJhj21OmLdAGYlZhGhGoE1Wq&#10;Nmnyjmtbmw7PkumnKlqdKVApJ8PXcfdF7zr+ezvVz2QosGTsa/oveTCPFhPRHOWn2gq8lD54SlDO&#10;5N79PKqrDlsBQH604HsfK5MpQlRdh0XvxAWzj54bvpIcJQr9SLiHhqtMmgE49YedHU6QGbpZTmmE&#10;Ciu9VAOMuNRBCJtI0O2W8qAxzAgq4kwEdK3Ulv5Ts/dKuwRRD3KYjmbagJvTKI0mtw7Q/BRPnGSb&#10;gz9NbndjQiTv7a509SRDKnYRg4q7Vz0C1KrOnGwfiapw6yKE1bfCwmMROdA05MTVTCHcN/fQSySi&#10;vlvKFeO5g8OAFithmmX8VJTw458qClXYW4sqh+nWJk9WoOgIyidscUYQdRUr6tPZyAzGp7YNprud&#10;wHMCTbIZquPDZQ3Od+ChO281pBXWPBbbGCPeps8i5KmOov89TZWt1b7jYXsoSRboiGhWG3DSKTU+&#10;whXVmO/GDVBvp7k2I8QyETKz848WMpE/lcNzZcTW4F1GvCZFNt3sphkqXoNPF1nUzapYqjquQFmO&#10;5IV3Ky1ym2ZatArZxd4roZG7LMSy/2c0XqlTZW2dfKaPXa6QBqJxifLxvEYPdD5jOe5B8eKyy0o2&#10;QGfLPEg/XIJXH8v2WERpvQUaV4Twl1EHfLifgH+GG3ad29m/93x8JFhkRn9SCgB4G3aIx+0yPoNE&#10;xV4uxx/8t//47/1B+NR7n3373YL8WKmilDuAowZeuhMlZgEuTg5E53ly9tqF8IIAIOFnSqmKB/ys&#10;Nc3M6EjZIhei8VduWK+Rg6iSZBkEZ2XpyzRrfFkCwtUWIF9W2vu5EPBgOjfVnFOmhABGecAyFz0a&#10;bCSbV/irNj3R+h2hEEljK6W1IDWihBIDPXqltAnlOBz3pUvGbcJccNzBLcH+YeTThGl3GyeLi2xb&#10;oBuIRGvcNdlAP+wnQfAnZrfjqR33dJNdWs6IBRPQCsHn4+VSbCovzWQGFRrb2V1ALJUvsBJDkyWt&#10;YEwGo42JoF3Su4BeWXTWVWtLMHuL1i1Las6isL5lBXK6ideka/Z/WDKcHpqb+dBFKqby/cls6P2F&#10;siI6XBBfrqgWnSVaYhsqLUlDE35CmT+rRq67yfzXy/+vDBoNxkQvy3YLcw/YNMXSIcysoRpYWgkF&#10;1DMTVzmcS6mbOnaaN9gKT9EtVB7Y6CIRs8BPaJaDwWwi0+8y/5wobirRbs16Q01kxZRr3NHCkGxq&#10;rq6mJpAwT07tpysh3iXt3ue+esFksso7glsM8/9fzaIzs49raNORWHA7ttngGpd7VVut9JG4Smb9&#10;/NQtGUmt/h5btTJRuan49tc9myNC4B9pOmxKGDcVWdWnqSrBM74MOOzKFmwaLYxKX3AhBnrBvrux&#10;VQjZZWUVa51hK5FhakqJmF2vhCh2bnSFoUiCKqeXThKfalKStg6a9dgraTkd7/kFqXvNIzt689uh&#10;QzgPOTG3D3mnM1JAiidRMUhuU7cMOIP7MK6FxjxYiWuId9CMAAMcu2xZg9qI94gKscVqgledGSaY&#10;AlYhXwvZcpRfQJDYa14Z+spG8ziN3RrDg+KrUh7H3whxr+3jo1IB/8HtfDoqGdn49FC1YTEdK+0o&#10;toI6PkkIa+3x1fE//Xcf/M3/+Lv/89/eH95691Pvji3ngoxcUVEI9jNZq6AR6YmGt7itJRhOLP9C&#10;d3uq4vjeFC4gC/r4C2cM0R6L8fduepKQqzA2mOd9L+gEV0wQ2cZBdlDio1lkdshxJvScElMlM8uL&#10;R2gZkgYObD6Bo5I7z0bOMn8I4/1AyoZuyE/eNyjnH/PGzkaO0SXT3LYPKIbGfRFgkNgezmhWSz52&#10;WKg7PaBy1s5jowsXblESoZ4Y2gfMjSxSTKbNdLTJYTyLcPfYx33PnYG7YsIXA2bEj5PBqHxy4gjn&#10;PK2j46q2tqlIb63r5N5CyIMGDEViBZJtOO42NVgFqX2BjB4reyaVi8FFy8Ld17VT0yG65qL26mYE&#10;SiItfMCXxD7DeoKSIL2fNZ6tlI0rkzvpgjpGmr+QR92s+ahNpTqRdWHwjEbfWlqY+70OIrsbl9X0&#10;BeErd18BtkWtQptFOKWQXJ2Yu4mz71WePawSjXCHXnyx9bsLcqY6zJaie2CtlI0mVjXWZpy8ysRo&#10;pZ5mnzBbBKI60NlhU8P7nTJ1XeX7dCXPdHULPIjLXrjYHazhee90NLEDujzVWEJW74Rlf9IDhO7U&#10;YW60zQ4oVKfy22XzMcTewz1whQHPMjKZ7j+t7VxqaGU/TfmmAg2wvrktYR1NrWNLPCikKovWvNB+&#10;pm5w2XtKYtKcyHqayryCUmYEdpXUuCOHVhzgE2xybGnQjMG4c7WCUWmFjZYY4ol4Y07sWRVIFvS5&#10;Vag/EZ3an2CvPd0T4BWaJtvjJorrfnRZ7YAXV+QuOg1mCwFtJfg7yits1MA0SUbEo6YeJ6BiGmHk&#10;2CF9UWS7sm2nzYXM1NxSHsTsFSifhRcwPtcmQa+YV4uVDX0/5jyMn/NQyuuLxHu9dUHKSYoPZdR2&#10;efxfYxt4PmXiGKQc364Z0Ui4JMz3G2XMWbaP/v7f/+A//U/++G/9Z/vl+n3f9wPvPVyLRBhK4dVz&#10;PinDkkUpUR956kOIXFSYtSUOsJ5JYueEHT8+4QUwlGovL4ry2SiQAuvkeA7AOVGbim4y6APQOQFg&#10;0jpjwINOZyscQikFpc9QpFOChimO+/7UMAq3Z7hhKpYQBSUTq1FdSY0/9tR2Feia/JlLTt05A+Mn&#10;i5qmEUaREBAh3eko8OtRuY3q9mgymZOtUQzj9TjH1jxuBA31UvNVzEvdV3eN+VbH83VK37VIHQIF&#10;0HlBEffxuR8YW45/+HycJdHf3Gn6RMu0K18OPBdq1Mc1YaQH0aUia4rm6cXr0xRtzxD46OB5bTmC&#10;SRMttbzqKAznhiSNe9H0//98vduTbll21bcue39f5jl16+qurr4grH+CF78SPDjCD37yo9/87L/A&#10;YSIwgUJAYAIhEWBhSS0jIUMDtmSMfJEgLCIEGGQJwpKRkIRa6qruqq46p845mfntvdbynmOMudb6&#10;8lS7o0KqS57ML/dlrTXnHOM3uuGh+pMd1Tgdqast9PrP5mf26tMMyEYXNyRVpKEN21knVvj2aT7h&#10;3NS26vWEDNnuX4ajBouawmmbazuZg6DuIpdwEfcpzG0j9yewciYgEyfgPQVvZFGuABVWpQbDkkBT&#10;xVtkIYtM5YjMdtcQzVdiHS8icVAjsm/aMmaiTpzNbGNlGv3l2cuID2wNBxMiR6+ZewmktT7Jo9Z4&#10;1OIwzFd5bauZzvrssQiT+KO0bhywvX9JFA+MyjuMDN1rgcyki3HdjkzryprnFnKcQOFW3qeWMtK5&#10;2LWwTW3nPtbIAh2+j1WKc/2YdK2ZkSe2qsSMk62c7UuxpCEZr0KyNidr6DomTwyehrSOrUN3Npuc&#10;IYMrHdp0PmTJ3819IpUQLQjH7UKcag8eg3RNuBcf7yUSMQihD3GzSLa4g5UqIry/wxV5e8zcQfa6&#10;1UDm2aKuVRHB9m2WDFBkj2fyAywimdi1QhpfKT68PcqLJaXeCFECnxkTrbC0/htj2TOgUdV/7e5O&#10;mfLq4QwLUh/wgfb8JupAqQGxLvNiDbpxtoKIwxa7izUzxWiwnx6sIc/mIc8cb+DXO/a/t84LjCHm&#10;B6DsloE+2SiXjaCQ4wfdXYgOCe/enG+OcjCFu4+/9/Lnf/KTb/7VZ598ePve17749M0TGB3Hunti&#10;++f4bJWLSKNKlW5ndlSPq3X8xwesGKfdHl9qYcn0KG3MMZ6gLN7xrHKqX7CvIPMVFXwMDh6r0iPi&#10;nHuy/PcIy0elXs9ZXxzMVlosbkycw6hqWT6EXMGtuTXHQkQKRKAZH70KprfHU1wu6OI+OK3JHPTN&#10;shv5Iy545SIfOnN3RrOUZjtlHDvZxYwoND8lom+O/3tGX+qhHdueUYGOnSwwlPU4RO67vUdky5mp&#10;1DQWN8d+DE798fmfZBuTbno8Git2zPRsXTEs+rFJ1122ILKvKidpUdh1aEGtPB9LSLVzaQqeLeow&#10;TEh8YGWL7lp1AlpTgzi441zTotqrgTqZAn1DbGrXtYxCOMQeWKPioggEGjzFOwlz2JqzRNTjysxA&#10;miE9nP8F5zfFIWVJjswPCtrWGVytSwpIU5Y1Uss3dkM8cNW1oeDHMGaHOoYcHO/bjxFhwLokFOQe&#10;3Yb4Wwzn+NiJ11Wg0xwqXun7HzEBXLNBmLrHAmouGeg765ah5oO6Ogk2+jYQiACvw/8+JSLOWRVt&#10;uCdTX9AEj1aELPcPSh7YlSdLWVkTDMrpN7nLWH2u3Ctg/5i1K2uccqKWpuW5dCODJMreT47KqZzK&#10;T0E0mMA+y0Qd2SeImkNwoqLGA7xHMQjZRRucrj4W/8iasXCKp00G/oTaSBmfprZqadJ4OpF9opzy&#10;bFf4+HOBV3pBd/oSkE59LNOYuzSPfnXvbGvuQCFJHJJhqxk2sZj1HrkK1oE4nm6IY5BtMD6xbHM/&#10;B84n29t2tL8SqgRT0+QYnPmOEDSs5hCrJHoknE4EwGYPG+w9hoiIC1tSYMZPx1J3nPdL7Q+1pA/W&#10;8oLWgk37HWUUCClgu2AFZ8vu2PsKenpnuMFeWWCEDSeNdpRUTGP9bFQRY4Osx4/+Y2+9uSLhZTmt&#10;+/3D81/+B9/+if/6w9/6V6cvfvUr77z79HRSFENegL6yJPtj1bgBTU3SW8OYVqCkGmhducCiCBJp&#10;2Vp3hVmlwnQq2CQ0Xd6qxK5M9CrN3S+NA+LIodcmlWVkvDmDRE4g4nn80HGpKSppt1AVMYKEDwc6&#10;hyCI4ui8IfaBQWanhLwtuhyiNZZvbSgrDDfb8uvxbOMVWiAXtbsHntmN/UQM4zPNdFJtcJjL5DLK&#10;Xy+1WPwhEoxJPKfA/r5Y/OE5LScuJgAaFHV62x2OAubhM7LBXkGY4K/M19qUXzUsamPD8AdGNqHC&#10;JH6kHXUzgWuWvkVypodJY303nlt36BGz6UkB0tTHYUHrMa2sG2Nn/PfVSl4j5Sz5zMj7dDA+azeN&#10;3ntpU0rO0nePUDOx10qUbmP+gpEu3gWlgVGaNYlFRmhq70ISRSD/feizpzgiZR0yUQZ1LHLvJ8u0&#10;0o5mKt6l9bAR/3GoPXalMShbrb3G/hzSyjABT4eGMniy/PTlQV1sLT2uE2WMj6R/LGcmpmUPgesn&#10;kzl5cMK2zlnkaii2q2h3wd8GLa0pOjxOeJR4xTChN8qjofp1yBIoOYeszby34UCoLl/t+lJVbMRG&#10;+GXJSo/TJtc3R0ejsuhkpmv3gLarmrUFPxRpbjciMUaurGtW8TOKesiBkUOObq9sdtSpiI8Mrj02&#10;SuQFBM1meqIDdbGNQaM48lPUKhkOUNPciR3Wl2ZdKitpBB5NgDS5QJrPKVrsete+D7EDDPTiQnY0&#10;GhwOBFfruA5neq0XCy6yinGvmFRhkVooWZKTZNy+oIvj3j6/L2m6pxnFXAmMIICTHReddLKeTY0G&#10;jG2KG9asBHvSJmEq9qEAVzi6FMc/vtzK84cLjBNj9lCASjl+xLHZPz2vQIss27GsXh54YdLpFNYn&#10;d7/1G9/7mb/wrX/2j8Lb7331i19563w6doIFJJAtWs2wYylINIqDexYshy+bHX6DVNFWcRuEHVXU&#10;DunUbiqSigiDcIdZFXxsZmKzCHU25poSffXQ+TO/BoqAWo7DiVJ8dAC6EMb+gdqGRr0rV7MXZWNw&#10;7nHdLlg5GBD4hM9QQOpCYMqKhS+i0adbRiMbFc+08BeaaMy5b2XIDdSdBbvJxZwb+Sbmi0cOLeb0&#10;sGr7DvyHJ8cltPBFg74dO11lUpI1/NviOspsYB37qAtykY69/NjuQAZonldiUTEWAyJrnVH0YpKr&#10;ytOcMyWxSTZujMPIZ2HmPXPY1Y100oZgJU3BZEXBGgS8xtHTi0PAwnDbGLxB2cQB5tFywUBOulpQ&#10;XILPWOgy9pM/+9nkUKQlpDbxOsTaCN2uEBSGO1FKsRNz5tdwnFHOAw0tIG5DRiU/A35yZWZDqB5Q&#10;GrosBWWK7c0pN6VWBM7/FGZkPhUwuNuUEh/iNdYsdeZY679pl7BgW61eyHp00cTpd7znmBRKzcEx&#10;SVWF6vumnWT9rojbgQpM7vQ+G6frS5F81uYme6V1Ia5yJQZhtI2pjKyhWbLdOPbs/o9dCNrNGb6J&#10;ToNC6u4GGqdd/ceBq46dwzmOXm342P1PJGU/9kDIpBSGRsRoR2dbdVLaiDEaZwIed5ryDxi0hmtY&#10;YvdtKjxdY7gdqhDYpo2um9k28O08iKCguWSEZl13GE058MAwIjd8SJu0swIH1tAhnKwJ4mQSIlzG&#10;mrvRhzoScSdxN2JXzdfg89Y+VG49SNJG6UBzLJHFrnGRm4O996KGsKzZx9UAY+VS9guWoRQcReHj&#10;JVKn9+q9Xk9oStGfj9jmpwG0qtYcncr3MoIfmLzP1Aa2wnbHY0879rmXG2SDUJyiZmwPe7nbyysr&#10;EazXvSPdEXCoaJG5pVCnerfvL2y3i2eQWZ4/3L16+YKZ28TtpZvb+z/61kff+PO/9/d/7MXD/fL2&#10;l965efLOup5s01/2nFZDH9QHQLq4N/OwYum7CySR7AoYhP8oGMNR5DwwXtW764UgMMmdkvX/S8Eg&#10;OevW6BzeE1FsiLsgptVtuhAfoem0e2enQExbQFDrL2Jyic2xnZwidaHg24G3wnPVxfwJ5Salm8Wu&#10;ycWAnIkimoTCLoCHZ/1N5LkDbZDUGi1KurOzj+X6HGcB2C3sm4OJZwWZiUUL81KObTKnE3lAiYmk&#10;aSvoahsndoXSxK6XsLFMSEx9yhHlqoGOlVsvQ4AIJiK+H/1Pna6UFFiV5roQXyGvQk9QBW63GLtk&#10;8Qgy+/dFC1yiNr9NsS4DV5aEDb6SKIarpJ+pHrAnw466ZoJMMkSlFAas+FgtVmLZGvz/KPgbZTTD&#10;pxRmvZ923cSRF0ZxZK5Umz/jtCJqtoeYSznvCRbDkR81wG9OWoFAuXUfGwp2o6jnVPPiKwosz526&#10;3LtxLfTFd6JrXu+HzceGs4nuShA00t8RlpAHeacJbc/uvPMtJcMntkO4atmnmXCZWrwOnPCfjg0y&#10;ojVRybH0p6r1nSdd+yLCIxDn4+4u23o9QU8LJScN83PRc+SDe70n3o0wQLO0Zv7gvYzThfEwBPcf&#10;eoJMDzqfhaxUMZjREL7lssvVNiWYN083DrH2w8GUka4hqOLXKARNHBzHXqylJqTEznkmbmvmB+v+&#10;eY/+bWLGhl5OLUTJ2XkutilpWkmKLHaTwsdYb+0IV9jZc2+9FqaWxf4rsWrHf7s5wZWlvnmK3hrW&#10;B3W693HUvRjCupCIhqeuMsIpQZSJ3q/ZAWOYH2hPC5x0wlmMWbuxZg0sDRp6AphMgsF4oDlixMBm&#10;R/3XSref6jNs7ahKKXQyFUZO5wUpBzBfH5f9gnY8WaCXbX/YbPO8Oa1l2169eply7F1323pP53J3&#10;/71f+Knf/8k/8+x3/vXNl7763ttvv3HsfyZtMS+EsVpab02JTLvjhLygTW1y3mqGccCjj+LGRPxY&#10;IwrZyIt7PZA7cWzbu5/miFcQXYtVVwR3CVC34+IXsNw4+NZTs+OwwjGxK97sfHlGG2DzKFsWLpjq&#10;GbbNRC7J6Eg3iUlM9dhsnqR8X6pHhKr0XpAagTTBfIbl9PgEpvVlKCCewwc7DrbTSoNpYMXJ1/zY&#10;6h6aqXbP6wm4lh1zycBkXXsFUt42o+Jk0xnZiPQOjYQFY9co+aI9mTbjLmXFwYWNBtDnfB3BoT+C&#10;xOZUiuT2c5vyuIofkszsdj1fd5K9WRTBEJ5JnxOha0JXY1TUYVZduB87vkOw3uINw+ahCmFsAh0E&#10;xk2aTTCplZYkH0fR6oj1RHI7FXRBwfF0bx/HADssknBGBtwu/lncGVXBkXJPV4o929YOEInb6miB&#10;NnT0a3XFbEKBa3pfP5VBXpkrjsVRq19s3dMxAsqHqX3eFKrsyeJatUFva736DDjbx9bN9z20UO5b&#10;gcQoW6xSuBZnvvSmU+jKRUGuOZORO1tl8tDRtt7CrbrjdlYtdWwDdeqeTTm9QYqS9lqjtwo7WVxd&#10;MnI+3LDuag65OSAXHAJCb6prwwkCV05lYLzWrw7Rqz5Mip4DOXlT4rxh+4g0yhwoigQjjpAagwpP&#10;+B3STJKOFoJ4MhYgnmESZ9Qc8ac8lVEgzhroohReHL47eFSrH06Z2PY2VFDGtq5tdMR9zqCYWua6&#10;jerKXzLrKB77gURsQ3ZVe750VSAvmGGZnvEIrYvnRbN68wm6orR5OqnU5FcqSc1odcFcrfXcRDRL&#10;slP4ohTK3Z00xPWKdUZuZTARx3RbgvBq07oBmknK2ZsDx2H6WGTPWaD0Y1m/XRPWSpN4HJ/pe/f3&#10;1WqO/HRd+6HfdoVtS0gNnA5a2OTP52OHuvv1f/bJ3/mR7/7aP0lf/Mr7733tC6dj/4uXnJsDHaYD&#10;oUR6WyTq3rLRTyC0xJUR5NanhbHEJMPoTCb42c3C+ECBkjO34OcztTkdrUXTDvVEbPRFaxbgCIsG&#10;6pV9CcN7mgc8Ept2/I6oO4+d2BZP4guKx3gBkGL7x2qXMx178PFtn+YcnZNX5RnAqQjmznsTVe0W&#10;3wik8O2ycsUhuuWUDBRg5FXr38ODATWGEXDKfhwCzusCK+RRYa0I27OmvWEcLEoi3QFq48fVeI9C&#10;FwWxOdmzfs9AKHWUPRFaVxwJcQ1bdsqT2OsUlYS+lgjzPtqGYTKJ8z2uMjzxwIaDZEIsL5XNvRkR&#10;iL9MXWCZoucLuSrKtrGJptFJoryzVcDD6jFuXIF3+e9oA+POGnOLw78ccO1cux52NCRdQtaU7cRX&#10;CtHGNCdlN4qpkhbZX+tFJuKb7nka7tGeat3A1uf2dJFbVboGpej1LuXAfnq10VVCk3dtXps7/DMI&#10;eukWQOQJ0uPcgvwG+2VHiIl3Yh0SyqI3Rj6IXJJajIOo0xktbD6DGeYSwA7hif1sLtFol6RARelC&#10;MHqMuslTT1dW4s/VELF4DVXakP2kduW06QgAnwa5t3xA29QJIkG4ZwCW1g3Z849tfdDM3YrHj8X3&#10;lXELeIiu2lxFYG4Cm0WXAoMgihl2Teo9a55K8YJOHBDR+YEddOYe+MEmuJQe2CAK/elq+9tDklm5&#10;pQX2LP5oeyB3HzHuIcjKn2TdgwQ8sjKAggYjIj8oAPxUI/PZkdiwY6xWMd05TXb4HWcg6i1Xw6Dw&#10;pbPbzdipmQcFgxrFZo4WhV/+DvE+1fvkJG0e/3CGUFRZ0ZWMguM3KixJLCl3MT0EPSNEnMhe4CR9&#10;dBgTMwLYYT52Mh5HuCIssIYg86FhYoSKFoXpXSnP7rZ7Y76wgknMPPpsK9978Vne7nWexOHTM7Oa&#10;7a3nJ/d/9Psf/PQP/9bf+xufXS7vfvUH3336xi3cCVh5M4+lhUs2HeyNW1MzmAo2AATapNL10+js&#10;WmWMeTgNnQ2xRLBp2zW/FDtCnWJ3Jwu0g4ZhkoQOz5vYOgorP27izh5plqzZvp6pDslKdrjXUZ7a&#10;41ZbGou27WXHpburpsAMmOwgsILRAkgO4n5iZffxPTP975yo2yq3F/Yw2N7kG2rBFCaYsj9bMONk&#10;Pfewb5bra1SXhbx1uyenxVIdsjlq7GqId9mA6gM0AKUnR7wVtRVzkWqovYg43pbNOjet99BS600f&#10;YLk58CsZ/c+R/T2ybFUZSkHA6GGQnT0EwKddOGp4zTNHoRo1u7YJRNynQaHKc+sOGI9RpRnDThl2&#10;XQi9d5wzbXYxXYEmkzokau3RiYhtGPo8ucgSw4vQZwfARRjfXpEZrBzQBo+L74zuIY9EbZ16N7Ia&#10;4xXJDjHXDNEAje2NuKbsqeBiUCUHEbXXIhPila97CCpnXUqT/8TNEa1ET/K7curhEV6JWfM0ztR9&#10;4XFwNeMUchQGCO61AIo+amQk24x3uRphSmjQTeOMvXL0alNygstFScbhQ92jFp33mDoVJ8fvH5HR&#10;bR3+fIxnjZqpTuOeY5BwLIivOfqV/OegRd+Asy3HGugmD1FKQZ1n7qYENib/PcDDxGS6Ks6UWuDQ&#10;999ET0UYsPfgpLncmmLJKW8O5EN5ombU3qyxZWMOIqh1atMTu8/JGs7LmtHam18oA9VE3PQYzFQ6&#10;AY287chpwxVckvcaIi2MiqvnJM+64pjldFybf14gLrMgam5miKBLFyZ/xflZ1WGlEsdlgnm7woVZ&#10;gLwIC+n/XILEUWy0+XPlulkyEhkC/H+N08zC+0QpICxuRyF4FHwc25Ato6J7PT3/+MP9+SdMcpfI&#10;rMO4sffm083+2YtPv/ljf/iNP/fdb/3b5Z333nv7XRwaXOamrBt3ddgp4OLWdOXVRPoWsM2XEJ3p&#10;YG9NNTudTXbvL4ZkU1lqgeyIiHQrGh/TBRZALhwmDsJZB7uI7MaZQy60TZIid/RuAWoPsxCscsSH&#10;Vj897/CYPzHcaHxwk9mNCQ8bbOyRPNoEgqj18+FUr7DWZHjA7HdEiIQolQB/46dU8Q0QvWsoCWgp&#10;VpveZFphm0mZ7CM8Pc5AKBUWCKprpdfQ2rDZA5Nhh8IIf9/ZAQ6Y+AJpygTV2jp9l7BW0h2a5g4e&#10;RkfyS61X4TasB/3I76MFucjV89TkzP4NxT+9Y4ZnRs77Gpy6YvdX4IbY9Sq9v4dTUXL2TBa9PRU9&#10;Cc4QYRg4eYQUUypjiE4ypYW6ZVgJRxkANwp/nWk4Np3UHQvo21EBO4lSNV2NpsjlMF6CguqeQ/6G&#10;/WSHW78rRDh06HN7LTZIwDf3OMYZNca8G18n3Qyikq0EKoY7D7rH1eEARC4oVSBRvThnCszFHeRb&#10;JVPy03riMJu2RRdnsKFrzxPp0EVvH/X8bVGX2lRo0qD2utyUmcg+RE1Nx2AdYTxgNY6vjd1sR5hF&#10;DPFad6pJXHLFo3dbZ5WjRL5xQmSzd0mUqeLXBlTU3X6Ye252X+2HMwspuVJUIZdeaFJlWWWN1YGl&#10;Tg1aVH86HFXPbQga2lX9ImNvRR+MzerWp6/2PY81/XT8T5M22QSsCEH2G5qnRhiWC0Q+XSb5STYl&#10;SDVCCXaV9JrDFf8dqMOpStC2Y1WJ3ZGCFlPFvnosZ3l5slqPTyF33lChdlQzp6gote5pUQ6lt3ub&#10;UqJgCrQ9m0Y9kQSQvrEsKLnokzt2PvDM6n0pL7fCs81Wax9ABEgn3jiv58WwLABn60lc1tOrTz+u&#10;r57H9TRTeCNPbgEjuuNjn85hffLq//rHH/71//K7//R/Tk/e/NqXv/4Gcu54gY79d9t3a/ma4Vot&#10;ueMTH7tIyYnZeIjFdq4N0tYfoEir5EHjLArPfkHKRCSDMCsXThHJNQy7DAqv0MG2l912plvry4op&#10;cXHUnNIwMDBmms1OfRyOaOQX6P6SGnpse4lcqwiXbds7dAKFhsF94CpHehFh2YScIAWi0ecX8PnN&#10;7f6AZn8OvPu2fwPks1BbADEO+tx4Vx9MboN/g4bWcTCCTKmI3OvJXcr8AvQc+mqqwOwDDk1f888W&#10;qypDYeiJ6LKvhsDViokqsr4VhRZ8eAVYDOpzNEeAMv3Ens60JkYWC8PaFNWLoVFzqVcZcgaWJWFy&#10;HnelofLq5nBuPyfF5i9rlDM7Fi94VueoDKB16w1S6dFqn3uMGD2z+SPbMDXXZzpKrFO1QurN/WFs&#10;yJnUN6BB5dloMmBVX+TrIyf45/HD4iP72dwInOKZ+j4AHX3PnGrOh5M9pblQIvVcRDHPpt95uIjV&#10;0o1DamrLaPH0hRiH6aFNfcXX/Ip9R/PzPQWKzGqZE4l8B08a7bC5J1hliOFR79I/cooxXlWqYizM&#10;vOn4CE9aO+Onjb6rR5M3f9uHPiuNAMvoQRk+M8cF2YlUTdYVTEkhrjT22VkY9sgdBuFNKr0INm/o&#10;qC4CrK2VlBhb0Xl6fJ+GDgvgFzteLyEJ7U+wd/PAe8/CW0y5AIlEpWmsgp+ZaHJfqSxQJgtw+Gw0&#10;EvxRj5N72dFI8EiVOKS/VWmaQCWgJkMpmgSIsD4naZ+EcWS3QxZaYnmSwcPXEEwYkbBKdjYVngtA&#10;TrbC0girxTxupR3VE1Y8/Pse32IK+8QWK9Wkxy0AD716VaSGmymY9vriwVaIu81c0tbqDOF+23Z0&#10;i47vfGyjlxfPw/1Fj+2V39YPiw1zu2WJt29evvPBp9/80Q/+7o+8uty9/7Uf/PKTo1BZy761B4tH&#10;tCB7wNhyhArEmNYbjxLmvrRxrxUipz54rd0XZ1kHVHNAk9hwELGJEDLos/S+0gNohcuxK4o1Hq54&#10;bBFrH0HFhPAftegFB/RFVpOwpO5qBXsBf4OIQOsb8TW8sRNG1JNM5k/15cjobuWc0tPTmr29WVC1&#10;r3QM4udu0Ppl8rg5QaQQgVOzoFPOig8AG0K67Bv342pIaztV1KBGitV27IJVxEUlvoPWLClgo5vX&#10;Pi/BQzjp3k0gK7WQuu8c2wEjSlK3Ugt7ylRb2LDkwfWuI0IvG7dOJgFhxNYU6lmZiOR5gQrwcr9I&#10;rHtyM2ZjjdBUKaBsAjxFU9Zchqg9puFCo73GS6Wk1d4hoB1MliB+KT1kB3pitInsQyYk3hdNJaje&#10;U9qv49N8Ht+3QHQNFu6+tjVkIPZt8T5uzm7JzsYkLz6kjILgtEcR869n+Lz+L7t40oG2s94x9agV&#10;B4SpctTZGUBBwMzUQSWRpGn9oxjD09uax0ZMKaPBD/iTMNVjGh5LOh93SF3sjuVn9UGjDbZSs/vR&#10;otDk2lJb9Pxr4svXAuW9B4A4LFzS8D6pjFMa+Ih+lUNW6O0O8uYX7zOPTdIibefJIxp4ITP6SCGl&#10;+BqKTqLVTpJDF2JDhN/KHp25vAInEM1lpDAeFOpl0C4tLIUDQ1a7dBqXOBNuPuBq9Ifbw707O9PP&#10;OYrvmdAHEQ6K2rdr0+sdVwDOIVvCYPBpdM1HPcpGqzLTwrFHJkY6eKYUwto0T7YfxPxRrl56KvBo&#10;HZvKuiwemYzahSESTomQE9QV9iDt2p82TIkNndj4wkQHiB+m01q2DpIjorMHG5GnKQkvjGnNcVke&#10;MMcyn0BGS/MobdGE4wt0u+Rzzh+9enUp7elpIS2PVb0Z/I6f/+r55KAd7x1wolauCSaQsLOcbo8/&#10;9en//j9cnn0c/tP/4t2v/mDNf/Cdjz86rqANozazblslkWxEhnZfXXD6sdU5G3rGei34SSfAt46v&#10;WUwMRX4m9P14KbfNBI1HKXkLxAmSg1rnFAAVZPF1nJhifTdpbKAyAoY5rOSc46SHIqeATdRA2lli&#10;7E8BXRYgNthedQue3tbamRGb2c5eN8flyul+33KlwKquiMg4KqQVe7NVk6VSlYAem+0OmbDpZskM&#10;oIdExoUO1HPRwZp0U8YRV2i7jodwzctxfe4hAQ006YbasREg3yoGy4pCboRBxAq5gLAmLOrODZK9&#10;ggU4UkR1S+MFyetsFnERi9053vjkg0863wkEk5lG7HjCo9uKEZ4eJUpEcmNTqzCwl1jU2KEbNktT&#10;FgQR7aFaRUf6Gl3qjj/F43RVIwX1KyDl+uLh7GUIHy91UPAjhrh+7OfTLj23zgWOu2bflA53/ln6&#10;Jbj3m0qP/8lOHMaxawJbtDAxsB8HOV1lCjiwNHY5ZndYtOT56JHcVB06cEpIkgBIU5DgyNg7wM3r&#10;VmwdfVfXWmvHQpXfvKdoCrh3GM5Z1akdjzmFhoce89MF/7byut/OXKju4SMvR0qiadBWRwIEA4RR&#10;RHikn8NYWxg2PJ+2kePTNPpiSJ4b1VtPp+uX2BT5kGa0OeRWohuicfrc0J3XNOS3a7AnTqZKAXEX&#10;osZ1rqhp0+oZ+6jTPbEMxhgfDKKABQ9iEEolcoCXiKnH0bV2Zq8kOP3F0BmySalhWk28EtXbGqkx&#10;HQF0TndVmNup+fVYQOKvE7ea+BjsnHxZozwRkCYmZppFsj87kbCBMIZ2UdX3wJckjSd7iFdQzp83&#10;ZwITDRN3UXWlA+1uhSUybLV4lbFlJAlMZGxH9X6s3SeLeojV+yArAJ62kRjULTHb9hb6l+PrV1BU&#10;eKM+fdhfvnj+OIFMJ8ES2mSw0JMDvMiTt+9/7Vf+4KM/evkf/Wdf+RN/Mt08/eSjDw0FHukgDt1k&#10;uyy5uGs/WLoQY4OIRw+bWREQEwi5O6c/eJeNsnzUansNknF7MsVR2txvxz4ekTebHnaTkjLMNzFF&#10;2cpJG49lROsd1VICsjYDyxBrKGowi3vJIVRBONRxN9SuiXX1Ab+FLiHGw85Geb3by609qJZ+deyF&#10;L+tGpMIC+ige0abmFE+WqKQK4a94VXcH3TkFHqW/3xfzkhBFQyyi0csKWq+wyg8deiLMQhooNrpq&#10;iV0SrzBXqpLJvI7T6IHNySYbdugzn+bQMvDZevcxSreKcUt0Vw+fY+vNRO0m0fV8Q5BhxLYWpjnR&#10;4EPSoGShUEl4YbG1spJFGZ7Qkt6v5GSZxJxbwaZZTGrYpyD46qL5mpiLTUl3m2bUOFqTCypeVL8G&#10;YVAOR5QES9WsrSRy8EaT/+LzoUHeeKQKeZwREIen4GpDbN0qSKHBFVxnqCFJL3BPbEwaA1f/r22O&#10;zGvDKA6ep339IiG1kvbYliQGMPUM2y6G9OcuPXIHPjKcT9n1RHo2Zxj0vKVO0qEuNI3gYld18pRK&#10;wbz8SYMbKc2OQk96R3d8hnaVGzng1+K9WZcP1GA8EF2W0tHj9XHntX+omNT/MJ+1YTAbz16SAtfW&#10;0xuEkhDb0w+OTSu+Xxb2loV1V4tYlw9DQaL5GdXEOFlWPrtZkuXc4kkfnerq0TeesGUsStu5Nt+f&#10;aQbOegzsiblZj40jk/Bd3H8eHXO4QsByoqkAhMbqLoYQpozrAQ2v8CwvnrFHYFbYKK6JHYmQHDto&#10;jUgDnOblZjWv/2XbcDUSJzdn+7FL0lLAgtt2PtZ1lIEkd4v22waLmx+VcIXePp3eu7X0OmTAWs2N&#10;pJvjCm/f+/BbPBeLq1GVvRWumuxjDHLUdNny0c8Pv/ub3/3GD3/r5/+79nD3pfe//oXzk9NxAl5y&#10;Rcw6k4EjcGLWezRnAGPV0pmMRMg6kQULRFw0Q7eBYPYCOSuuXqhGf8ZrQBEQnzSjTjOC0QPHLse+&#10;hbVsKzs2blOOnpgeHOqa03h5FeBgSyKDBheQzIrZvXz+zqXSHmNTXV44vcZecMoGZEeLO7P4sYww&#10;m8ltO2YoVB1XmWltm6QmcbgM4NAwL6btGzAqNFaKAiqzCtvA4nnjdLoRRDddmPtMRIivG5h/NfZW&#10;wbNtg2JvfRY0Xgtuqoe8TsMUvs5+FovufIvjqFwHOn8MXPhq0wLS5NyU+ytO+g0nSVZ5z1xmqbMg&#10;y9jII1EHnXnI16LVP4I0pswe1hbY+TJHuIubcfn58B2pMD/up82kc4FXClGMWUBCzhFy8ah6AL61&#10;ewHUC4Ivhq6VO4qnEZHcPegjEPgJSco9tXW9TPi+IUFdnNkTpjyBaGy0nVg2O9g685oxOpheJQeT&#10;Cqvc8RmtXTGzUWOxNFyxqaaoMAHX39qBAY2WOAq+ea7mm98+iB5xEFxGkIPD7BRIodZp6F5HRa/T&#10;TGdn/5pjn7v0UFNA2jBQ6kEcfFWqO//akBr2BzbPYtqU5l1wvBYeaRsmNUxlImhtQmASouKjQf/5&#10;lqJgp1EoJ0YKle8bFkOaGNnaknu0Z5oBTOeNErM6f0ERk0IdfsDCgjZIPJLRhVPVTSNYSY7NHEDq&#10;odPmb20L3yIhQ58LDfU1ND4r5kNNnTRbgnlCZzUve3XONyu2oJyshjKe177Bag1Rom1VcGg3kK9z&#10;z9ktvmFzusl5UlWeR6MhJFb1HsCltNzXFrFZ2nMYfEDbn0ZDcK2C5ypoMSOk/gHWH+mJmI0ZdXxc&#10;4f1lqxnX2DDN4Iim9vCqfu87+t47+9NCzT064MXWIYSMZQz5ydvl/uHj/+knPvjGD7361r996ys/&#10;8P5b7x7X0HIM1vU4NRxftGWK8qXQFCAeAbMsJ+5xe5A/oNjRu2rGDLdr6mB4Qb+0og7KDJWnbwe6&#10;GAbfi6fLpggbT3ZVsyMTKDTFCAAx7og1UVIj2w8XiP22ZrsdZ4rgwx1VICzw+E8cEygfGAGBAaka&#10;J1jdjxu9UxxXSUeG8Z8rKZb/xYISI7Svdmuhi04Xbu2JKSXuxz/OAQ/bsa88WdbVJE6JI9Lgv5oI&#10;fNBArTwpRs3UmShbES8cENeFsx47IFWwUw4QkG0Wu9DQz+nO4dMOV2PfzbXuVGWVwbvMqaeXfCx1&#10;PcCTs4+BVWSZ5UUOSHCkpQfAtjrismhvr+p4UblwXLikiSmdLskVmzu30E76RHc0N2hHrSqvme8h&#10;0S/asfC32IgKTxEx+1CZMiJ35Tp8lEKDlpLvtSgfE92gTT3SNvHgfJzWCzGSM6UVDIOx0+ZgQDdm&#10;C9rQD9tOMytBhmFXzU27bQ1dCFnVoaODODl4u48R68L/15M7QgxTpzP6NLETQ6qHIg2EY/+99HR6&#10;EpUdWcZZr2c/9a2Ak7wdQ+/oxIHmUsngeE+yjli51lEJ2mEwu0wQ8R76w5wA+XROSOvmQa48wCxC&#10;nl3JkdD1lZ7Krrk94nvfHbmKwapsO/JemxO8o9Jgm2z+OckqFtUBK5W0i+Dsd5/5LS7npXxj99Kt&#10;AdZTcWClZJp3bXG6KgMXeKNs6mg2CaUD4nPV6ALeptcXQ+IUFMYcXQTjKm295zhClVYY/q62TlYs&#10;Q7LTuhUYRznC7MOY0qzjIhayRwNCjBCpUNd2CwAmA98pjqk+GpyU5c0r44SogI0OM4oPjvV25TAG&#10;zAELZ8fz8wDBTGLDoLG1Yfd9241CZ3aLQoqb3RtIU83/dzGd6F0LV9GRjXEfBNySX1DDVSGoGqGl&#10;da1p+ezf/PMPf+LPfvSr/zC98+6X3v3yW1awgjBZaNAMRd0P+2AblRbxqN2R5ADNUWpdI21/XQLb&#10;fsLsZQ+btCc5iZ5PWaN9/GMTMvdCJo+IVVfBBr5B18ozETu9a0zOz5FVNsBR59fctoLdSi4AZQJA&#10;RyE+PX5NKEuPn7IHtpHTxcRIspMfn4EAM9Mz6UwaR/YLxGocazRvpXLCdcL4sOK3zT7g0aFqWY7b&#10;+fyyPSClslQqOZuyazEuFW0CA8EoSYHn8Pk8oHjIzsgDVAkmP3iMQ3bvW+BV2qomUpmh9Z0PGGZn&#10;hDSSrD5aFIeT17ek6NCtKKimR4hWd9djqNHUkAxd16Qr0pztIqVCgL8cuqGqf68jZLyOWrXhCpub&#10;XeENc7piUZnbQF+HrWIUsS9syuOA2bgt5zAopKpHo1RCDHw4XoUWPS779RzU18u/2IbF/nNao+mR&#10;PDROAbctTMEIV/Dprv8hcdiAvMxbWcg2HXVmfASfkxq21zExtpG1F/oW+LpEJ05cDHfsef6uMyuK&#10;Dmxqnnc2N0U8coxNLO0lMVAnTrIbf+BcRnUcBmUujPqgOAaOFVmxZ6k/QdGpNwS9DqFQD4XowY/8&#10;LBg2FKjfldhH5QUBixgXYF0KFUJQ0E5M/ykKDbBSxfHstfu+m8cbY26guX1LLnaNAqLL4ctzOvPI&#10;qCcGxSN745TvSIaScCfqMAoxf0LUG5O+miQ7c9AS4tIrnV491pqcm4K6MbKHtmN1NvM7EoVYyuGH&#10;ys8XJ1eJKz/tEViXdfEZp6JOHGGUeYu7drdUUSns4gqQBtMerYZkqCZO4HfsIoa7hHwUVrhwLL63&#10;67rykyEM4dj57vfyarNvmIxsmW4QIj9innm+eQ3RF4WPaJ07G5WfQSN8xV+2XhmK5fTk4cNvf/dn&#10;/tIHf+/HLg+v3nn/B27XmzOFCZcdRoscSzEsGc/6Vc5OWusqImphDvbmJA9h0TLwuGibYCSQl1+D&#10;MtigNqo6RiiNORpfFHxqBDFGyimtnw32AGKcrY7cEdPRUvRxIqqIRRCGeIOO5oYH4zbnTXnI9rCe&#10;qXmCFR3Ai2NxbfBCIFcw1tXyLBc1ZFC4rJbfJ7QwtdDNcp0y3b650VdVKeC38hYPi9thicKh68zM&#10;8oWy1ZwhmMIKYC1cymFikS6+OYnZY2iDE0777KQN0qTX9VFfWn3qM4WiS4zQ0/KSwhGCWiUVY7JI&#10;w7i2B/Yeasfk8J9btzTwbGV4l0xxGdLOFF0r9CaVGbmJYEgduqmmk5mTwnbUfK6cfrS9OIOCx4PU&#10;19biVl+cClKTHdDWxB0nVxaFuzUKFOywB5cXhG5WZGmrGrTK98rDyP/Pztc1EczgkQX/kf3hdWtE&#10;mzZG61A1pXGG66wGdRQRPA1ielvECcSwZOoK8qtLE2fEp1B9g2WvMsziz9c7uQMF0PyXanrMSs+G&#10;GOgadvT8PvgAW8Hg4SobIvni2PfcFMJUrEnzQtsTBaFtyuGdmpoKSvaT1ICVxBAeMUKFR6HGi4eN&#10;6robSAmC2w+xPTtGw2ecWGvQihFOZae8U+4Jl+MGPT+EFtmvxVZemDrHOQyB0slWdsNJoaaxTag/&#10;21z+BHeJtE9EnxjZ+rFknvJpm3JDA71ojcM+H8Sq7dC6Q6cJjlWL4tCJt0YATV5Zx1wJg/Ho726o&#10;TEl2aHoM0CoyDQfFPRxYJEJxq8o1a7vZVLb4fWZuIqzNcILbdoiTxV3Zn12Oeq/ZarsY2CxKNRWw&#10;xLdj5/vsYbtHQDzVjFRXHv+mIHX9WJE++OTTu8+erfOpznVq4ARWkcXcIxNbn9qE4Xw6Pvntk/3+&#10;8uwf/q1PfvYvvvh3v7G8+c756RucIMv3BEMnLCUcLNpl4E0pAIZtaI3cLgtfFRvo4Hknv+b4x9Oy&#10;8sRFlWMOgvtmCooyYW+JtE/m3KpGkQ5IWjxaSTb06rhnWvTxctxQE5pURq7jU70qHJnZiQpSAMN1&#10;Vk/nMmERNjkE7cJx3WXy2PdurEFtd8IygRmHyk4fkiA2+HB2JORSdk9r6XFxzma21mntZEiXBJND&#10;fGme9kI5YtPMOrHX1/sgCcpFnL1Tdb1+imrFJHbqWq+06LQNPaohsFBVcy/29BR7ewvT0vCnyuh3&#10;dROqLkrKiK13nj8kEzit+sAKeiaRhJKgf8fdSFx00ggGwNbNLkR0HHQny+g4Od671BHwfe2L8odX&#10;GRDtzWGXFvFaQjdGnqwJIwb+VL0mkgujl8XqzfZEp8ovsylZlPFMHvPXXAzpSjPvMyROK2McSUH6&#10;EY73vt4Qgx9I3eARr2nSMgJNrbyOKlO91EdKxCFW5l15NCFXDaVc+Z7aaNZJyaUubQZ2tgnFnTXC&#10;RFGCw0iNHmOFH5E844jF59KusdaKXY5deNQ3Pk1GM48vGhppQRIUNCnAIcbOHfWGMezMKT3ixXRf&#10;YBsaGgppe71ZF6fMeGafpxRDdsFTDh+L1Ca7lYdaXZ1j3OiRsiZWhWLpKtHSCUQu/GLqFif/cboI&#10;KA0LuH8cTlU/67BlyrxZOsPNJNckIuwiFi4E8ArW2AWW+O3pc4AYiDTApLg0tqz9qSp69lxvpXN2&#10;84yxBktDMUo1hHyE4655WbPOyUsmGi1yuoMBMzCziHOKrnSFIAlIFEtTdzoQmfgo2i7FtjE8bFoi&#10;j7+/248Ca9Tfx5fd2jgKcsdsf/C+Hl+wF/Q895Tvn3/SXj6HbaX6wa5ykwTiOPaOxjgpUZp0ldFl&#10;EpTltNb1yfNf+9VPv/FDL/6Pvx1PN1/86g+cz2db4bCZZ87S8WtsgVHj+pHZldsZCT0GwMSvvNV9&#10;g4Gq0cuxZFcFQAsOBOtDc/GksAKJyRFLj9F24TiUPplv9MJNC70Rtj2iRKcF0Jm0t56mGc8mYMoY&#10;Lxe6g9SzkZrRnroAbe3xDYFYqAt9VXjed/txCv6U2zLG+7JhohDPQG5tSOk74Y09nv7VDW7JiG75&#10;uInH93uFKSO+Jm6Fbk5ry1wwAyJSmG4eDHKkZ0ccns7jmuJpgDJBFRvtTrW6Wc1P4tGjmTVvt1c9&#10;d59a7AST1Gj77nh7yd2l1oAvIfvyzSwVu9EJmUfVdZJhvO8K2wT/G/Y+lnetv3dXQoyoUWbnpGiT&#10;oPq7052Dp3u3Hn1gRWfz7FtmxnUcY0t+ITxRvkUxAsyjhOFlGqF7U6zF58DCvn8LdMS4AzUQFd08&#10;BUHEgTdTguskabn6gQx2UPd45AfNmszMbjhrx9izwxhEmtzZHXuwQG8AdDjCldUd/wiOemTuxu5C&#10;BY+DdHoZxuMq7+qESYO9tzgyVEAKjik5TPbRv9KUpkHjiMjxCWXzaVPiCIv0H/1KHih5VSvHsdnQ&#10;KTzr8zFgdlRscs4tSRGxn9GunZF9N01S3IjPUJX/ldRktLYqVnDuItjb7Vx8sTT2YT1gK6KKCIP9&#10;LzDRxmJIJatp88PUkm/DfZbrZHk7+W3Wku2kXWsgH6vbbtY65GWbRm+Rm4qy+GAzKmbpIVM3WCio&#10;ov6oHrSyDHyWBgVKTQMNYdVqznAqW7mzoDPZOjCIPFJEl1vifObSFUa+YmJFLi98dckMxCw4d1KS&#10;ZFmDVWUan4/b9Vg3EysDKvdoMyVgPaSlXe7C/cvAYJZHzZkuSy51RC23z3mvo2uKTQF5++Tuux9+&#10;+gs/+dnf/Svh+cdvvP8DT9540waVDTQEkHrWFpVQ45oWIw9DI0qa13EdLxBT3SzLsU1eCsyOZncz&#10;ac+dyT+tpWBo1mWhq7LPBXbwgzq7H1EP0TXJdlxMthtB7YxKHK7EDB6qUQL4IB4bzJMlP80Lmw36&#10;mNhr0UC2EvNSNMXfKtLebKvGVZX40AYBnLNwpwQwPXJMzqb5xWAD9TgYmX7edKR2GDib0x4IGDWo&#10;bVh4WvKTlJfievAqO1mpCjPBZC/pxidFA+HBs5EiI7uVwZ4qV//shXvvQFLYASlajB297i0dTgEr&#10;B8BRrWctoE2N9wTFTpHPDf7NWSlKAlfVebWbwqFz7VIM4fXcouzkVYPIMOqgDZPeGGFeLe+KgsgK&#10;G0mL2kro0c+dxEhghUqN4lYzf6CltUz98XclI9Yw37F5R/JSl7MGll179313vKum8qSTjG2gXeqj&#10;sVrzIcRgVMeREcOPRlWVDHMOaXrkkog+D5ZcqAnG4ya20CdkM2t0FI7+TdvUpe2ZMLynJVCjKI9U&#10;6rupQHRS2TA5p0qezLBpz45QKLtA5GHkgwzlZf+Jc8DE/BBMKNPoGY+hXkfbe+MyEgGVPDFBRpc8&#10;oKSyqlUmGdgHTCNLyQYbjMtQPyN0I4Ys8xa4ig+XPK8clvBQugtPrAyfcCCU0y2tPFM2TnNXH6zC&#10;iS2Uj6S+/hRReuM3jidNHuCVqVSaJtf86R2x2xltBQ4AXhN6Q6T5CSIEpmnoGN10zIMmczEktyEd&#10;Tus/4doVo8PsDW29+5ldJPub5RQXfjrWKJwOXPZyD9DkDTLhKiLOecD47GL5Qecsf2E2pNli00FQ&#10;TbE9E75vP+42L5cQv/vhH8bLw7EdT4Dd2b3TtI6W6trq+nlsCj/gHyX7UQDdPG3p9Oyf/qMPf/xP&#10;X/7lLz15+tb5C18OlvNn/eAdK9kJ7b/Nz9Qbgop2TZP6abplwqNrfVXbveHTdu6UGeaQDRU29qcA&#10;H56f0gwZuvAWRnXOo5QgtdrUM8WjWjp2GWqPQw84AxEUdG2Uvo5Q2SzV8tichKE0eYp9pTQsPHH0&#10;dw0kPCg51SfXsJwn1NOyVikKVj5ud5fLahFUpvZmVOFR5+WY722aSG8bHh6zqdj5xh7hJmwkTgvo&#10;9hugrHa6OiifwmYeT8JS0Q9KPV7b3q+igNbKmmzE/dTeiIJSpKRBwuyJYIVPKWi80jD2maBArIOK&#10;xrqSPOCgua7zBT0GtvApV8Q8NAEI3aWShzo6rDBU2SGPQybN6PZYbwc2fjf40ZFKVbXiK4ATOPNG&#10;uUpyA2aPecmBg4kOCaF0g9BttMWrNwWaSglcauviNCXiUSeVX4eBqUWUkgKq3AQNIU4c4dwemNIe&#10;jwqx19uxW5rgQXZ2mfuiE0KPL5hD2eEAwcljBfIHuVGWrVL7RhHT2FK6ziRq+JemyZ8E2Qqrqd0O&#10;XDwfYdbIJP8doysJQr/9/adxIhLIuVCUYs2ip9ZEuYS+OMOSX6jz9jmTjlNTIez7HKe+iTB4iMtl&#10;kw/zEHw65GCWmNxhH7wd65hSjVFjcQtyCi5Ah0kUsaIVB1I7Z+8+7ky+tnZVgChMsOvixyzZWpv2&#10;HTe7TaYj8PI2uVEzLZ2IrRMk/areVQ889Yfp5MSjjKDKbp0k4pOtsLwk2yR4uoM1lhKUcd7a3NXB&#10;Qm3bdziLkZHSJ0zCI9RcAxSKWOSKXycTyirt3JQZfpuSSe1NE8IwJdPEAwzNtRgTJpyNrCV4lCZp&#10;N3GH7bc7riQDCkg+oxKH+V4G2m7gOflRNWN2aFPiGO8//aiVLZ6fhNYDPdPM3pX1jI0WB3y9Dp93&#10;t2PqqRdtvb37d79VPv7Lb/7ev1n/w/84vfPl+uqzVAqQmFpU+GFtEHr865RuooIXzuw2W7bDfrKk&#10;i3CH5+dpYviiiOEPe+WMk2fvrajsqTpYoEqT9J5wcNpnjx+VTiZdOUqudrddjmdmsZ0w3F12I+bU&#10;kpWoATUG6v4HROg9XdeH3aatSbY8Y5Bu2Ca3vZwwRzo+FGCyNvJgMEsKXRUSCGrDt0XUX073wcwb&#10;q0/zj4PRmzc3Lx4ux9Hrfq/nbPkTyQJGTV9TEC4dHARDGmO0sKQmNhkDjDLTCxDjzmQGK/nUGHVw&#10;HS8bJIGx26F5qDS1NEU4QyEi4TP2i4U9We99k/PbfImJLuZwMLN7vymfbCyIJacnvTo0RQJQGNBU&#10;cXuJK0eaYSdAQU1dHCgySMII7to5ADelOSmbIPXCcbPbUN1FUaWvCdEbZcGd7aJmh57CE7NDo1u0&#10;iF2r2SGlTPyAybNYXld8ttHizK2k4HD+oRoZUzWHAYTYu2g+PVLekv/+vSBjYnwdmyc7vrXSv+Te&#10;AYiGMWZIbWjcmz8Yzv3s/JIRwDh5HjryGWBAnWI8Q+qxwb/1wVUXXAWnqtc2oh3dN52kQqY2CqNg&#10;lU51VJxtCnubvBmtGzCiEFsqohWdFzOFKt0LkTpXVjesdqY3hw7wf1/V660zx62dxvAd4zGC18yD&#10;eVLVhz9uk7RA0efxkq/uMgTLPxmkOcceFdtjDldTJwK0OILx7Dy3kk7kZTB1yFkzwTT02bBYWL4r&#10;x5/NlTjBG5IuLh9/IPokSxXu6PYXHY1UoyfLYuWYzVm0TVMa6vtzko1bjO4QN55pzBlmdu+VyU6t&#10;KjcYrMgNgKzIBHC4kHyNMJoXtwrGMKH/Zm/3gwHFGg6+8ekJk0WsjGikt5cXM4/k3KdExo7hDBsk&#10;lHDaL9b/DfHzPbnxWu2lw1TxA1X8vm0dWFfXN97eXt59+sv/4NU3fyT/9r9anrx18+SNk6+6qztA&#10;Etw+x6e9h607Q9aPVF4rYo539Jwz/eQVeuatyvqJbp8J8agWsYRYm93aL1gqLPwQk57zumTNDeyw&#10;SGN7zEjOAaDVHg3bZk5YrtmpwDmzkOizoFN6gfvQKDNJSBr2q08MF8FIDwQ7EwQ3ZbO2M3B1mcYk&#10;wA5pQLIsC6y3x4+l2en4s09OpzWvQNgUeDqODd6ExhnAQeME0qQiiHRImkxjFp55svEBF2yfLQ6k&#10;IgUgOpyNjDd/0Bkjx5tjjsUW+oQ/SM2f4SqtSQXUGDNUoNzBfcu+oPMOSVxDS14b2VFojsVQ45jC&#10;dA5X8nlX7OduyADoT2evho1c6sUzdtSmJK0rzIe6UE4Nyzh0+CSbep8Upme5TX8Yca90kHX1SNMm&#10;i9NlApK0HhtizrxFbWTBJrd+xXBdAM72sj5bajHMAoRwRQbtyb+Rp4HKfGqXnHWJ40J1j5MKj/Jh&#10;a9YuoA5YXZtJ2RbdLtF6B7VddWbnCcrnILmpIvGNrXmkaj/XqA825dQPmIIn1PhWn4bDMQ4LYfE8&#10;PseWh04865734JkJaWwe3Y41ZB18wkm77Y7N3GvT2Aso7iOxc2NYg0rspMtE7sEAkXcERj8hEkSi&#10;2J5gynhCnwRMcM/0qIRRawXqhMgDJwQlkYbCtOq6K1xwuLAT3umV/sI0EmDZ3pUMNhL14vBahBtg&#10;2xFoyvFm9PgAiAwB1IJKleOoLkeqgfFICuCMpJPbrLeg45S4BrnzshIR0rOajv+7rvbrwO9f3f1l&#10;H82QLuBdHVvaBZXNhmwsyxzng2+8joiZaL2v7bNt2zAf3TW0x53K0VPx6v2+r5wXmpUColn7DmZl&#10;e7Hv+/2r7yfHjtNYvfWHSL1hhhyX12Irvb2SFVK93NyE5fz8//n1Vz//N+tv/ONwvr19+wvZ5Vp8&#10;7Y6K6viEWyuUEN6CtwIoT6VF6/jtwOZtYIBZv+2owy5IxbPwYfM4bgXbHlxb9jl7R1QgAZuW6VXK&#10;5p407+OO/I8FySGvtsvxo08nMzs8XUz2eV9Y88k+tJuvQIfBbGzx5WaBjriZGPj4hDcQLtHNC5mY&#10;9XLdFhylukDbmcsaUdrHvVvystsJpoBoYdvtZ5ftuLOWcoXoPrvjxTw2xx+5gDHbGFQkf4etawuA&#10;zhR+G6sT73lt4mhqUU7eFJrXodTrLUIXK0u93ipUtFgUBYNlf2qzxbnHnnp/pMOcIC9RG8oVcZzj&#10;o5fu83ytngEwQ+7wVZNBjRkpT4WRgk3jOhIPNKnKYmzDkuhZAEVnACxYQEMRXuDd/64roLi8BYcN&#10;tzQTufQZCq6pNwdVC8PImKAJym1guEbLce6sXb1iqcs3Yk+z9WiBoVxtnXOhdKPoO73PgryIdJtn&#10;7/RZU4ia/Uw6Hadpk+EFBcHV9ibhSY+tmdIcPO69x2JMQo9+M8iaqz2rLqTeiNTxRVi96kF3Datn&#10;d6bTKj+oMU557aHeI/mitfmy9uj2rlZgAcZWHjrRbbIThBSvEtTdPxo9sKsNqWrsTE6+OLUXrtoz&#10;5O0NVZ8Qx7TaYt/e7RhRwCuLcER5ZnRjL0RUCt9jTMonewLS4DEcjbUrsichL1UzSaexSARRkKl3&#10;lv9q8+atrQhk2GunyvJUmnxRsL7mCWyL6nmqzfu6qPQtJ6HF6BqvqLMuYfeemiFrWmgnwn7V508+&#10;GWl+pGs0a3Qi/vHbbIZXFmRnE2EDzt1on3zxFKSHst9tOwaKdS+CRkgqrwCwKhYOzouLr7+XozR8&#10;8WkawN12jcabGUnTuZXhOyR4j91xpFFfd3pwIdfTsw8/eP7zP3n/v/70/nD35Avvv3m+aXpFZCdk&#10;lhAVK2yrXBC2lxXy3lyNZxUbmWdUUdXQGYtGst3K5lLnQJfIQ5Fy89gdbcMCU9t20H3b6n5CksPx&#10;R5493LNMhOfBvilBCmuKyjeIoccpL0YlPar5uuHIRkbgVilTqkTZ2YjOJ9xganPEb7ceARdaUCxZ&#10;1zQv9oPuNytrn6wLn1mg72zbf6hwSSZ7zjlnIUgE9FW7DcePRqqPybIIFtqJz62Y6XG74fCwz6se&#10;yRL93I1nx2J6QoeV+ULOm5Abo2a5VmJDdxJw8oZTVLR68PgGHA2drKMBUXb+SIzdJK33p0cX8iSP&#10;8aTFrDtRmyzzUQ3I/NtPsaF5G5bbMV7Fym5nZCSWxzP1OhXka/etV7cn1h7Pi7+62rR1HwdkcVXu&#10;buVPToTP65iUx3OC46iSuzfCy+DJzT6QV51VhsFJU4pEqNUxaBLsZP/mGWJ9m0DapW+8YsnZBvER&#10;ydeJKjqHt+Cnci4PdWLbdX0ZNbgexsbuqaO3Yhw8oN5Fmrk3IsuomJqkraFf3UduQrDH6nAmdFRe&#10;N6jzZKD0AG9Q8oDDjSUOPctAIlx7SjwdUAYt9Q0IIYxh7gdGGqX56Kak9Itox+GyaR7Thl+jRz1M&#10;SAN08Dlkrb6xUNgJjZ9stI4QpT4+dgq0uhpQmdW5uR46Z9yZLlFiZKCJ6PMPjLaJhMKEAZVgF3Wx&#10;VwCdD/gQmE3TWif1dIUtzls4MbVsrr7kCZwMCWEfEkjSclSBoq81HPNdPZtwWA+Ay1gRkzzHk5bE&#10;i7XF7I0+ZSbx2tH0DBPcZvQWuwv3NKEdu5pt6Y1eFCRdWOW0YHDKm26gnJSOfah89EFwXnn4vAnF&#10;I87EALy0nmHXXETVHpMjSOG0n57X5XR59uyTX/zZz/7OX7l8+3dOX/jK20/fPHE6jpAjLKEmKXpZ&#10;iMG2BegoW48H6ZyFm6q2Y9lzpWCTIPgMkWmX6mcRXvkGt7jxyXarQXP2UUPD8mdlBtIeeHhJd5fj&#10;MGDDv2K+0vQEZnZrMmMBNLoYNuZLbdnplTfINF6tKVpfbvtNsqFgMKfmcVPCoscvrHxx0dK4yfH4&#10;izhvuhiNk4pbBVkTzoUp3wJ+c1STG8gAjchTRg9GHRgxmlPqblWAZKQvDlUac4v6CAv6i6Qmoj9b&#10;18xIzzDhKyOzAeQlmYVKIqo7IkzQrRjNA/CmyFLzrZv2RsO/ABUtyGJ+ro/zWYvHH3YSKMGM7szF&#10;DS7aubW81KDhs+n4nX1Jg0Ptj2wL7oCWD4GrfpVELeUO6uSQ0m4J0a4Wds/TBXuSKdEqTtYUNsWj&#10;uE7ZUg9FEuZ5finHuannIbWrF6G9FmVUQT40C5K/SLOEc4ou1ZWVwqYa9wKSdYk0+C5UmYWr7xpJ&#10;nO+KKNQga+aAHERP66teivU6j2LoWQvYk6oGKlNN5wF8ih4i3lOXOkShpzcwX5B5sZa3M1YXcXVH&#10;pdtmqGycuHuxhSnjuLkhSTAV1SJt6GAzI+NVZEv+32MrgoOzfeisByi5eCGPMPbm5rogWlXV/rRo&#10;rG5fsVmDsXQ9yRJFiKd5rnG4MCPK1QCP3mkuONLDLdf6TqZHCK3N3MOXaWw/wyJH/l5ufM6b7alM&#10;tFVTHUowIDqPT8usn+zKdBFsWue52qSTqXJeC9tNW1JsV117l1l5GyiJjR4xZwLjFA/3PmKSq5iF&#10;FHylpL1cnUYtUDuLyOAg2Y6PwQ5q0BOIODYM2U/JBPd3qIeorb+YyzLeLPjjyLtYIPk+bs1LKx+O&#10;UjI+PNznu5ecFH1O59OiGnnyjp0Ey1dyynoQKWc6prXH8HruN3XPp3NJ5+f/8v/89Gf+4rP/+5eW&#10;p++8+e6Xj7uADHq0FtmW5+oUzfXBp+2cbIMBI+k4VO25NzsMQmYjt626+MM/5/GPDxiIFvpqrF+a&#10;j380dwFq8eMXuTWJJI8RCTuoPX7WQWVwo8T4zNS1Yuj4kGdjmAGtZ/RK2GqBZ4OQ2G7B2TRT1hbM&#10;6PnTEfeqlruyA8qaCRaxzdW6mvaYX9COWaH0YXLRtpXjlzrnxY5K2MpurctqiVVGu95lpIqMrepN&#10;iyTCV/JFxPPaaN7VfLXVK4uZd8gcJ2qJw9UpJjK0Sh2S9IyKqoyReaoOeeIql/ti3NdGaRH5nQpT&#10;NaJ3tVJnDcnd2mbLAhcyguStmUvNjn9od+sHZgLs7AJK/qgxGd9GChuWbuCDi2EPY2TfuZq8PUXZ&#10;vOoWWwIW1pYixlS2OR/e6+I0UbsOObGBJ5VgfFRQPD5fxm498BjddsXoDgOw281sbdL5t0YIjohY&#10;TmN2lNRYWDODHJxw0jN+h9iUk6Aho5l9HdoD9AH7/CP654mPD80ja/yq7ev1uJ1XxHlJFW9e0W/F&#10;Gx0n0EYP8Bl2hTSKQZ6QomwaofNjpToKatazJdB7d1MjqxX3L9bmuypJkopqp8he8Y80/NT56I3f&#10;X3HkFpNmsc7FAx7aQBxEN5Xa91KirNdDzX3/cZTfXs5L4xQ7IbY0Nxu0PuskOCYJBzH3GBj0ge90&#10;4jwYR9KVwbN4SkmJRKOlxQGIja2nBYI+DWCo/UdIGHKY6ASCJrojvup4Ssx3Phu533qzC1SaK6GG&#10;Mpzif+jgeB1sNeZuAzBFNVYcQSEjCoAvcwrFiYVthBuCIm9g6r7bdt5rhsjcrvlmSb3BbArJWu7L&#10;zvB0RNltVyDHQbyqPiHv1IeRItl6zhb8D67j8h7EOLLFmfxuCQ/HRT+d7/7gd5/97b/8nb//o3ev&#10;nr/xhS+9c3uGYMpo6VuDxkeBiHbgWWGO3L2ZsTAru7++OF88lO3F5WFBOVVLo/xkt2E/KuBguHGe&#10;26oHilQrhTP2nm1dljdOBo8GOlW1TGWDOSKMHl4vIhTesE2Ig5X26jhtmDvQjnfH5bedCYkcDdvh&#10;hvrK+qsIDDERUOuH7lRVPlkz9lhGn55OGO7yXeZmUF/u23E4OJ7b07LcgmWYnAmMHbBSBeMxD4x/&#10;kn5fgd4kT1alw6XqKT+k10MhfJRH5dFZW2cLHI4zywkre68WcUGMMJzrtY62HdNwGnwfghEWY/mq&#10;c+dRUh3QD1d2lYXIt67mISyLyjvuFFaHEc5Iw2+FZxbUAnmMOPcqYUK4uYfGG0ZVDq5W+3lNQTBR&#10;dWqBXSbYDY4EamQv3iyvshZcu1Q1tszSplKsneYmnqdIPeZ7KkGXkUQxfk4zujV3IfRLhxI20tYy&#10;SWSrQoua367qffPBxQ+e4Np1pf1vehROV448CnBvcbBkHhFC46MIoGuJjKtUjgOKpFK7l2BIZgkd&#10;DRCvpfmvN6M4sZL10g28Lne8+vn+kaJjo8X4b5OEoXcve+2yB2rgxm6UfHqos4VA04Et9jQw7xpG&#10;Ln4c9Y6lRF6ZAKIijOmOoL3mpXYlW75jVgEuYQQxBT8Ur0TLkmibfh39V8ZXXlBAJN365pB/VczR&#10;H4ERM+3zgCjoDPng3UmpKWTq48qyBQeacuzlU4mavJ+bSQ7yaT1SI6y2RFBtU0iKOriKpoldIaa8&#10;A+bQ1UFBwBfx7MILRY7M/V5fmTK/Uih4uyxPT6tpJi334Pi5gKWRH4Vi5fiyV2Wz7QT9nWMfqtvD&#10;flR+cjnFRxb3wbnuErGpCzrj0Jw15H2Tz4l55v8zMIDFF9w8vbx49dkvffPZz/2llx/+wVvv/wfv&#10;v/UWu4scXS4CC9g/Hrv1nYzhkVyZPVRSN5mgwZCQvdQH2UUtE+P43W95ziAnHfqgJROEm9Aicte3&#10;CXftgltRdNzjbWdWntM4ES0HjkIUUJoSehmtj49wMmdOhb3HGkYr1kOIaYmETRjnB6BYMH50wJUz&#10;pGw+Z8y8aJhySCZtfTi+z1HwKVOJAFYEzuBxqExkSz1/IMos25qM9iyNeJiVb5tK+OhGRB8VWfT5&#10;vOCWsXBHp6I1WmRSfzMbkKl+/sZ/MeNskV5B8+gSUu1tq46xcJpL7VzLyRYQHfDr4U1qcXoPz3bt&#10;YtuevQ0nx80AbeUp1o6uEm+39m/XtYvWDl0G48J5mOy4ikbGPMa4eA+1a/XBwAY+gDta5rS1kj1c&#10;GWg/IacVP3ZtfYj9t/YjvvijjvMKXSzqLJExcbOxxWAdAYXeiutkiEXoTc7Uk2HjVZKxUzdp/lK7&#10;mPIqwsD6obdNBvPekpw8n0MEiXMZrNHeGk2zjYJ1XG3eVQdGPjo5eORsNY8pnPx6/XAyEOnuD5y2&#10;6oF0chWjxyJqOuVXQyBBZ2DjOBF5WqpRzMPoYvTuIaBVFQoAjb5adXQnz+MbCCyixlKNlhUVmTCv&#10;3INamtQfYrTKgM9ALbu0xQqAw/NbAI2Sf0Zajh6KSavyzuQcFfYKgnBZlf3comqcA+vqwX/H+rWA&#10;OOX8NoLz3TLVGHKtkZv9oUv3PQTlOnfFR3NNTSSLp/v6aw/vUloTHY1pFq02UgVS3XdlQVDNUQun&#10;rkuKvmbJrBFkG0YlgefheCVfXC7PH45tTSwFJkzx9rGRyeZOBnrt4eVn2fux3RY62IoSVHnDfO99&#10;RWk/RmHXBWaBONA2T2niKAExb0IcRMs3r/71v/j4Gz/0nd/4lZsv//Gvv/f+bYgPm2VFTQkEaQPm&#10;ACJPu1qXuttmExWTtFo2mVHrjyfprpS7HWGAyHRd9EsbV22vHD0SqRp5ijs2vBugVXB6sGf2KKNf&#10;7Jc+mHe1l1253SPo4DWIjEq4sdqR9nNSFKzWPKfFJLvWl2bckrKTTX4iVHDBadXkywZ/L/vJdjsz&#10;mCLlythm6A2FFYFQvquFs23S9lHZodMSFxlLAPsjXzlghIAOsMkQxgS0yeOBDgrrmGNJR1qoxNrH&#10;h+6sYg1ZZH0aQtEmt3kYAYIs/jzE1BL1gszWU19nRkxdRwz0FKSrPkRV0qnj+yVIp3A/TVWIEybS&#10;sHxx9aoj3DVkT6D3lTnORh8pbJSR7mIHCUmaGkQWpWuzuipQFXwXONfabdCc0SmgrfefHjFdnIqp&#10;XlwbjZXQZnle9CjU/jfoc+WRnegydGXAMhVITbxWQ5vdCyQfjn+h6D7du+To2+TswegDJ6Wla+ur&#10;oZMQp0Nw7Rgo7/rVdJVZ0UZyk7TBrX95nPR/PWNL5FNlH8xPXz9Wi1bVJs3n2Jm5UyWfCMcwEcO5&#10;mCYHnNgEpYFA7zO/ODAH3afIpLAwk/SgXmv+aGEemTylXqKl0MtthhR6qRfpcXgotknsWC20R3dW&#10;C6RaDEJpcSKPuhz/gmiG6H3mY9U7wUUHlW885XQmgoHiLJJHO24bgV8rs0md6dl7JUvk7ia2bXdM&#10;mhm9kdLCt8M5go1mQZyuUdlu2E0STE2ead7b4dzMRA6t7hy4N7vffrOkc1rFvMPtW1AMoby2yVNy&#10;qdQZE437/Sh3wu2SL7V+7+7BkGCC3dt6DUaJqRx58UzguOT6cF9fvHjNrt7mNYm3XZzl6pMATXEe&#10;0fGCOKiSJNch5BSVPQ2BBQLrw3pz/7v/7wd/40//+1/48bSsX/n6Dz45n8znoCgqxGopDdb2NF7w&#10;FQktmBTSWNLQ5q2MwoBTUB7/JA6D1d87CrNFLrjKMOTTcbmKaT5XA7ypPjl+BY58dg7zYlaskuk8&#10;TX2CoQ4bYeY6BTDPtuezUbntdJhD3pss4BswbFF6FvOGZrtZWxfcHseRc8oFhEv2CY6/P8HOUWHf&#10;zItFaGVd3oJNca3ondjLkbjfMTeppTbc3O7esXepYIvMiJ2t8se1z+NuUU+iZg99Ai0o67WTt/zN&#10;hBbaO+Hk69Q4LOEt1y5XT6MNGAa5izYDsBz5wa1qjsIoz7blODmbgwjbVmKHqp6S076h10wYg6Ca&#10;yS3N8eM9mHuO2x0yjqpaN+J7pjZtou0KcdmEoSFlAAtsjW5tTjYRrLOmdup/XjWWoXkZo9eu0R7i&#10;GCetsaEl72WsEiIGmfcUN02+uS4HwSJ1EpXYmKRpODqI5RKOhG7Ia1PEgUse1f+xsht/sbPhXgF5&#10;BXsJpw8XKZYV1qfvwpoIPS5/Q5sFhyBJtmnFiEObMOhrICzVkVsfr4aE3Uijpm4cXIBhSI7KIlli&#10;gyYuzbYUV3qOwWv0YNPZGt1GX6zpuKCjQEMjC31ydu7VcUkaxDMSJHQf2cglDx4ls1dTjTu6svUJ&#10;quQxAGE3zUNtV1hsjGbPC5K+7RnAULruGooIO9WpuGpLY+Wejy/2rWxGiahxyP/26vSzyhH9MCwg&#10;B6nojuD1yIwdrjye0W6PoQV71WZw34NSHcw4QeBODX3a1zRJlCGnRv/ZAUjJYmlB6emKSghwyOPv&#10;jl/8ybq8eTYFIePsXm7l2d3l5cN23NhjnaXUcIt5e/ZRePncbGCTsOjz2bt8SdK0CiRvYXhTYSQl&#10;j6ZpbY/31KkXj7c0PX2zvLr7+Od+9Pd+/M+8+vjbX/zKH//C0zcsD6QY2cd2N0BhQOs2N9uC/bsK&#10;Zp02aeVt5T3hvh4v5sV8kCUxzt7+TbWIecRlUKhScazBemXv+GVvWQJ1yi/DhvZhFqDvuGh2MS/W&#10;WaXgs/BwWMBUy0gassOHVaKy4i3o9pNEfGs8NcP3uC4x0yNyAZeONPzjC+8tubGwrMSrtTjTyKzx&#10;F9Bsjv/7YIy34zrYPk4pUJ8fdTOm+9+gPguSPYL1pSWzo15aCuXK6pD6GVzCi+qve6myu/FHrOjn&#10;Ck2hPPeS3BDBFZ0OOY4FgpTWqSMiM/4S6DjqlF99Fy5a7nHBkkxIPG7vMRY/hqXQRv6SGxX8GYtW&#10;6tauE2zU2yUyFUUrjm5fjEDoGu5LtJerLqXpXOCCtiZ1Gt1R4QxNhE9h4PEAIc2DHZnoDe56vfWx&#10;MksuCnEtBp5KTWk4+UCSzhg1ScVfPY/QcyHUTcS6onA4rGXJty/Pw8CN3f3mZveJE7I6MidISPF6&#10;vic9Rn+nmexRvBnYK9vB1YSTT7ohT2f0+t2xP+7La8qcbepg2wEi9jwk7oIcVLcuNvWJ2EgAbn28&#10;qLZArhq4lTRGN/09oZaq0DLlxypvVrJo5sGfhMnUx9yMNyo9X8LT3pmXvZpqIG4M8INytmEWyAS+&#10;FV1lPhoseRL2KntZQEro0ibO7KBwQUaPkT5rP5o4gNWaRaY579NCwQKbJwzbYBWVQQGjgw3+7Hu8&#10;DoaF3hmFGgw/Oxeh7Pm0TgLQ+rB7MGdhqE0ivXpcjSa0RhRUqSPTIztwXelN8rNtfJhk5R0BxyC0&#10;ZfTTLLGhhy9t9kkT87t705V15dN1fefmdF6oqTKJ/GWvLy77xvYARjbHz/usxu9859vh7lU8nXuA&#10;pXjA7LYsKYy9Vq3W6fwbu3p1rv/cxaG4lNAzuOf+J7xvrR+yb2/j6eb5r/5vf/jf/lcvf/NfPPnC&#10;l99750tH4bva6TteLjs5qky9o/BvsVJpN4oC9hg/O4MuHXivLd13x8tW0PTERpg28FlXnBLwBEP3&#10;0Gr0qn1dhHclD6swuZIZjQZTTTQtZDx1lnilGELbbou488xNqISbI41hw7OFXMMQ7vYN0WoNsJ5E&#10;FOQCIehRg2bQZ47bexMB04mKaiHE4LLVi2ldJLJE9oY6OoXSfeF5dVKPDUJ3gleBtG4xTh40uw15&#10;BKq20MYMhfeHh4uhO+yRpH0B9a+RwDQpLT728kqoTi6dnhCv0lLRehPGZOoUxGvjTeqcFQWg1uiN&#10;QodUZZZu7j/QKaLUjitTNnz25li8dkcJU9Iem141RG2EsYHjl1J1vwgzK46/GgMakXQ1vAEj4XZG&#10;z7Th4u7izzYlPDhgTCyJFkVhxBKT69QUJd4i6exfGO1GeRj6jm1Wl86+M08NqGG4z67Iq1dcGo3v&#10;onZenbZqqw51HAny5IXnNm6VngL04nrH0DltlKK17qn39m643lC1zhUMzB6BT9N1AmKcXMdNSmal&#10;ohKf3dnoVJxo2Ca1bWVkfNZkX5QWUjYuaMaNXDdEaCf04s6ZedZhIPGi1+QonhZEwSJ6LfODgCUb&#10;lqlDTv2WW82aCwQ8mU0DCz6gbLUPTajTESSHusBjQCuoZcPixjlqok5zUvbZzGeH2PMaevIJhNKm&#10;JMwLACKV47oeEdUdI8hkyBTdCdZJannUq5sdDB770qJlijN7G5UXlX0IQFAqccSRx2Q+F04KsROd&#10;jAxqVoejsNsJBMnUX5oLArgv5oNabXGzGvmMw1GORY6C4NUH/94+17K8DuoMvILz8xzGC+3xSqPz&#10;fvXgsQqsg/PxGu9vki/j6GStvadvX37/tz/6qT/3nV/87/dl+eKXv/7W+QkC0zdEH6CxZL0+e05X&#10;xMTvlQIIBYDrGQsMUgDXybYTOzvdA+Biek48twtx8lrQbBPa0EJcMw1LiVf4uBF3fM1Q46JtUE9Q&#10;mviz2bZiZeXtkiHsMo95FHXTGqEnmHKyUw9JVmOWfabkHskM4HTbSI+NyuPccnyel2W7R/hotqrR&#10;8hdvzX1fOaco6KozIWZJ4xDCPT66ZpoLFujctYU+DJMAIzHWnK2Pdh1h04Gzc0Jp52oUjs15ROhm&#10;8hC6am0yPExqASlPapOdfLZK2xlz8bkR1rPFu0SNjrQezjJP0Iq7PSrJGJSc0OKkd0w2L0BV2XWJ&#10;jCsaUoombIM9DU3wjtLi9UakQWmmrKjWcMWM5sVMEgYQdBKuONWzyy9Or0S8BkxcYQcGjsun4O40&#10;mGElDPilC4zuHz12IT76foKJuZiEHJBUXNv3Wkp7mx1MDlupgnn2Elb/y0oGEBIsVzrZ25AwxeHB&#10;o1W1k88GKaa1iboxa+rtoxbqJZjB27QBy5nTCS99BhklEXVUgY0KWAH1jbaHUibWJ60H8QEHjGYF&#10;F25G9uytK9pd4g8GWSJADsteGlcvcmTFZJFutbGUN7cJNmn5Yp9Rhn5/ujT3KCiBAZ1iBcV3auKE&#10;KIPVWoiCX1MUMJwRpUmSOqUWR99YRUfv13Bi4TRWa8lTXfGpsCP2P0sxp06cUJSAz4slk23dmjwn&#10;Bjdvhy+5S9/ysq6UHXYWEr3YIfHspIyqHomXSFy0hFUbdC3qgDWwu9AkBMDaVPjZcKDJG30vt+0o&#10;BO8ul8v3Prhy3j6SKCPvQKQofyy7vOX7IP/GfxJrvRXBsmSjbVdUCdwGtvft4bt5sj17/ukv/NSH&#10;P/1Dzz74/fWL73/17bePi7JbzlFeWdzbcmeyyeM3ogmBKbJGK23IZ0dmzqWZ3mSNC3aaAFKoRt5U&#10;P/F1vFh71ZSTp3WlQ/z4EbenNaXsOb04WNtPXxX4biaKdldNaou2pz2oK3SkhFfzwtwsJ9trW6At&#10;ECpoE+kdL97JOs/p3p7MRM3gxZm9GTXDUaCd82KAU9wCKoCyi4cjaLqMfMMpVtMHIppjz65CI4l6&#10;z4USl6o+pCArTLNTwFqU+EIIVdU3ubFJagrZirKaTsxRH8rrhNF4BeqBhEA+LWkk/LXqAbBxUppE&#10;SUNTHQkKXA5y6OMnSURFOFIuQlQPmf3lLHAgzxTWFwXovXa9BPeqftgvhEcwERjvFqGpmTP1KMcf&#10;Uy2l+sMZ6/gFMk33QwGdKrJAeAGzvehGu07A4htfh+hTz7aXfzDG68rE+8VDddbpJxgr1iSxt9nj&#10;RNqn35MJrnhVM49UkqpihnRV1EZxzqLb4/cg6JkdZ2IYCJbWFZJkKBhMoPTohqlMzbOgWwAT56Hr&#10;5DKtL0lBHDhn8QDSSM6svSnG3lHsw8Q4s1dq7202BzI4RrJNM6yWxuVr5PaF2FEDPRdwwmE7TAXf&#10;kE4DPOXNdY72cB8P2blCdi9mLsxQYnsarPIeQwQULmKhpSFwtl4aTwAFDD+CSLIrWMFTqYBb8iTD&#10;+2zz/w2LWqLpTcw4ZVju4wCGd5z6LvRXyeLbPNyZW1jTnhrZtZUu1JE6nLZjwRG35ZTzhoYkXrlE&#10;M6ZjFBiz1zGDyCyFwb+5pd1xMNVE0YMn1ybmg87q1NCfPVKSWglEI3GQroUb504zYB1X+M6axolJ&#10;ucf92qtxqh/2EtcGg7ZBQS323TahnGRDtLfGCk3UqWFd7B3gksnXd6izesiZeIyvZf6BUT/4OHPA&#10;JVhDDPNgOmXMoQ1cIlF1enYLOoRWot7U7fLqV35x+/bv7//Jf/71P/GnvpbWj773nWIZsNYkJIfA&#10;lqklF6Oo2FO32xNyXK7EV94slSFYlYyOUY0tdUmdJFfaEWl1OLbMm7zseTkKREqtktuGzw5pPXbI&#10;W2jaS1PEr0XG07YK+vZq7HLbci6WmqTbRLoCO+zNxYOtSrZ+Z8ujee2P73m3bccG+ubN+dXDvX1+&#10;dlBCoWjp2DU3w5ne76rmBUPASVSzJ+5gVf4bvL1s6ropDmoOhgqGx4QJwiP6dtHlhdHXuD6YSkPU&#10;4FGTCqPhH8pVrLnI0qp6wlHv/4TeMnOO7/FdV6wRhTY5rfj2TZa8em9Bw8IUrhQheQq9bO77XdBI&#10;6URa6f5t6FqU/G1POn2BhfmARZJ7iEtb9eaPgxdDf3R7wo1IxnGq8Bgja2dMi+lIc0DKVFEPKNgE&#10;c05XcSpJbOUr1rXJeVxkjWlEUSfP6f6K8B0J4q+HCqZOc1bq3mCOXX9xa4ojl7hiIMEm5nO8dkhR&#10;nZ8nby+d3WoQpxgGpmUuqIckNV6rYRGpoFMLQnauWItzY7o5B6QI38xlDA+2bI/d3mN23SUpqq/1&#10;uM7+2zVF5em5g3QCIvKWjxIleXydsLdUslkb8HiS7osVIjzVlM4suE5Jze7ukaMQy3TRuhzkMGaA&#10;gDK6whoF74+NZeh0bFJHlGcHs3VhcBLR6TKOBrUP9DPE4bP1s4acqUtLHVavxpHVXor+pkgKOeyM&#10;P3N9KQwGyPKelEbo1NtM1HmtqjuB3Kqa+sFvxQYy8gLtAmTa56MbBXyImRSjVt3mbCl9e2v9AMlB&#10;5TmrNXn8m4eiVHcuC0XDXftvq5Ezw8O24xqdwulsebYxfo631OkJveaL8Ypn65CB2ONBukyqhWka&#10;DY6Ze3Nei8QV2RwM3rymJ289/N5vf/iTP/y7P/83a9nOb793X/f7bYPI3IZjNznBeF6Pv4Ez1fwz&#10;xxnljMRzO1Hhxt5jOnBB8MUOuRTn9PSDgQ1gMRfb8c33LSs4uj2/f7CUqJzPdAry5ItYgfuyg/Ni&#10;p4aT2fJgzMe0b9fk296yHYMJjPDrpWxmaUWzaEOT31ov9tYkNg6PJ+p2WfcQ7/b9qMaP/2rdV8s5&#10;sqt6Z04P+wgXlLkXiLYuzh6WFMBbPxH0K1r1OkGscL+IIgZmulmDsgl1CqdBjWtTivPy1GX4TlbG&#10;fjAS1Fun9yoWJToGwWn4zLTmK+Uybqky5a3NGgXG7pXvtR6pkbxhHZvgab2T63pISaMbEwd4uQIG&#10;RhFm8OR5TJ2tEsfRtTLWtQYSOgqFi0IuepOydu+nGzZcYc7kdFhhkkwSkjh+DtezKtckdcpYbI8h&#10;gmE29k2QNOZXVDHKW4uDKy7FyJxr0Ttd1xTXGD/PRS5/9qN43b6vuK1wHmLGEXgcPLprXCnqu4d2&#10;Iqhaatc/Y4bE1MkjODvW26RtaJMN/xERgPsYjqXaDxbndRVo7f23alHsOFKaYmtXqR4eDdFYz+02&#10;m3DMR0rBFVJdU009PY9JAGnE2pmx/UUJXgW71xInAy8TOAUQPt6M4ZZxUzC0IcaM819Jo51+Ehh5&#10;P4JLEiNhcSt2pTHRhpUpBe5qxB61pqU7zQ6ToLR0a8mk4CACU9tbOzHLyeL1do4DOZqof6nV0VLB&#10;AdwNApnqwSNupUN6jnVBEwLb0TwrSgxGPVbVUtY2I4UOwlRR+OJy1RcPhkw4LWAptoS0hyIHGims&#10;lcEIVlx/9vL55dnHx+pOIFA4to0cH8dlzX6sFqa5cx/yxSnh/RqB3eXj3kSOmmvXz49P6r4opt2/&#10;8Xb57PlHP/dXv/uzfyF9/AdPv/i103o+SuFjdwdhZ9mocD42ciQ+Hp+IQiq+nwX06iVJKvygdEZC&#10;xsMJ+NWFS9SxayKftMS6+MwAmV/5+CYv9/3Y8MyWgf8JmBDFPGNqoIG20XbmN3y6rmz51R59GZE4&#10;gV9xNWqbPFDonx2LrXGul5gYVWHlO3uBrWOlbO0+vr/FF6MJbKpX01tAIOZIB2qVqbNLvi1x8Oop&#10;tgJh1Y7l7VHfyLwPjItQZo82GXwX6OaSgQCsa1o4TmNoEzINUP+Z0g0/TC1Xdk/psWJwbsaos2pt&#10;DHLkdqqkGrNqa8HziK5TE5KVDxq9kxxlcCWlxTKoE9VcKq8IBLKN+iLUB2apsZtj/7jis6GQqotC&#10;sdlAbp5GUNk9i2QaidBIZR3tDTg759QyUZo9x27KSp3OeXGKojVmQA8iaNNCLi8yDQ1V/WX70QgR&#10;dac58gNaz6OnvuRYrTf7bPjy1sKEZ4lTyd6ntS11EXbs2xF3L61BDD7Ubo/zPopI/ku1ET1/QrQe&#10;167WJJdi7SEW8VEQtlYWCZEwEGKHKstVXDtEf/weXsxNIud5a7UntlZN/kKcrv4weAYngQykzlAE&#10;4f/zVMs0QTcO2bNTeKSl30BWPx0Et1bajELuTVlor8i8Zsv/eH8uBCek4B+kwb9km0Cx8qXstX9k&#10;5TZg2hUySIEVE5cTRQQOy2GsjlEuOS3D3LJ5/q3bIhUq4Cmuet19gIopnq3Ye/GOB1XAwKOnIoBw&#10;sCvBBWRydluZTMq/dk57IbfGFjsmKO4b7VyU6E0VMu/82IAlKbZOM2XgRdcuW2TSsc85UnaHj+tm&#10;ORblcL9Xlu8AxNhR4OVmQQSX4xe7PKRn32t0xFGAt6yRlRM/M/TlVFz4KCZQC3Id/jB6ntf7X+sN&#10;eebI0PTC0LWOGYp9g+zJIewjlbKcbkI+f/bP/8nzv/Xn99/81Zt3v/L06VsIJLdld8VBgYxUQ45D&#10;XYkRL7OdQ5Iy0xDESa5lgiGslW2dUni57tmiQyDBsSEe98Vo2kchaO6CWngKMQ1fbooPso8MYg5j&#10;BRvY1seOtfdX2JBY3lzNASgWjQBsNUA+rf2uRJdFbVu2fR5725qXB4vwsA31ePKf4AlM6pvHJ8t6&#10;tjapffPUcQ1N8JceFBOQbZuiPgP2GJNsrZBFJ7rQ4khx8AacORZTTU5z5UjDGtvHRt326MO+tDAH&#10;FwEfuHISlBIPkZo3WIqfeEnBq2C+xD5qMUJYw9ap2RVev+J2quZ50746eYcKYn54TRxt3he3nbOK&#10;GSYG+G9wEba+OSTs2eH3PnxHq7PVFa2nAoWDcu991SxYXUuIPdpIdlroZmtaDYpmb87aRENLVRn3&#10;142O+KjsiX3xezx7D2oNef4L5zZ154ZSw+SJd0kgo21ajFdC1tBju5sTmdpE4G5T1mzxDmFzayM/&#10;hoemXx+I8X3YhiJHuUF0yr/i9MWxZ/LFifx7TTRzT2SlhlBB4T11NnalbhubNBxO/oEno18NvVMq&#10;EG43FrbuCwhdpoEjMte/Nq23WDHqLvhr5f8UG1LkWa89OLA8rrHDlL0XEN0ZyIvOi3XfmeRmNuEk&#10;CQBnb3kEqAbmtR7n5nVZANurvjUoc1sJfJRZc5DUuPPLpSliQ6CEHIKX4/yUssT9U/kOU0fMxGdR&#10;5oAhpNFSMFovOoYNzG93r5faxmkxjNj3kw0DzdqHPmfiCbj1XYBV53GJLZ+v0LgZJ4rvlUws2vFy&#10;zYbz1i0AVYpEnGLVA91jE2gPN+4ozT97MP/78WHWsm+fPXP/hXs/8xrWxba9ycL4evbJgHXEMUhr&#10;Pr+bs5Cq4yT0GLAo3feBmfg+ibi8Lut6yucnL37ntz792f/m2S//7PGgrW9/qQZP0Gjh2AzWvBLt&#10;tBkDrPJcVT0p0OQhrXD8vBUtCa/KhRX3jt/S6sJYACI3gsdRmt1ZSCLELOx/l3JsfXdluyA5CK75&#10;BVnEjeizbAZKW0cvBgsthG2B2JJPlg7I3jg3OVvSj4p8sfFBJrUHip70xKo6+61uclzRirgAbEZW&#10;svlbjF2Ox4NvafQlImCWl1gF+ihgWvTS4Jd4ZGXVshODKwHkY4FEpXpXpPnq2NoYFwCUz5Zl8miA&#10;0KN/WkxuvuSimUhCaSnVmU/hEWLRGUIOOmmd2suyrqX0GPHYQ27x/i0u3lNXTXRrOcpiH/f3cUd1&#10;HjA4hQlbfod2KZvUi9FeIPXtofTfbXDbKCHNgk1ifa7Zuqz90BWb4Pp0k1Pl5ZpvrcvJieIxDF6O&#10;61uz+8BdY+T2jRH26uEWFCijn9ym1D27rTh96wRQJ5jaWF+am8fblfyztUft5aucF7fdjReaqbbq&#10;IfpnjG0iozAkaLTQBW4uOGHAYNQIZ+kYdK/pNcTtgQLBC9NeedCDgQKKyR2Rr3Kb7BO9versUg0N&#10;Oa6jE60GjVadAov4iKkD7Dxxgm8V7jC7dNxhb2/Vplk4AqeiGacszyw5Aihnj+KwLZC9SKpO0WsK&#10;rty0/euhHH/ZsEdBS8ro6OiRBvOGMTh4EzOhw3jW4BPIPvMO3K+j6nvd0dWe5qVBybqibsyiHNjz&#10;s7sudHAIfeaKYt2MrhmXnArdBC7+LgKGSpCelc7laSN7RkcJvv34mzqP+LGQwKYNDacm8gXNt4pM&#10;VwoK1iyu24buNulZBVXLYnltdO36GbZX1kddsiywC3iYVIxXgZxjk4tcb5RfeC0BjdP/uAtKpYrm&#10;5xB/jpSBq1NxlBYQbMynbz988vEn3/zrz/7Hv/bw/OPlnffefPoG4hTKs8tGXILtBMa4sU7Hfakk&#10;z96AlKoRCYIyCMrJWGoZE7hMWN0GEpj5Z5L4VkA/m4Xu2AxXGFgtndCqQOSHp3gDLDWn6gVFMnDV&#10;yaPuxVLOoA7Bn2cVGA1HYMrSXWESUPuE8FSaI9Bi5fOZniCIUYhEf3nZPtu2ZeF9V8++REOpsPuQ&#10;e1OHCWCeJ5owDpRSPA0d9ujOsf7LGkelHhdRY+9RVhfHWB8Co5KqIiP2sPMRQFeJMLLdIrNa4q3d&#10;+dFTbP3gD1yuK1AzL1+YVlgm5XToC6/1BK6chs/BY2nQ7mKfgp0Jk4qrL0SuIw0vqTpqV/oB64Db&#10;/9aoeaPupYCROi56nK9+nJekUW4/KyFz0C9V06M0I/e3VYXZNGciduaZVvVKAknq0Dbudxwh126/&#10;jx0Ghl+qujYnRzHznVSuO54oOMRsSrucT/w6pm6K8IxhBhRKCs5mXNPACc0lTlbCkPJ4xnmvYWLr&#10;OYoY96rc7jjy3hMC8d2tOeTbzKOUDnSg86/JUk8XxK7cnHhFBcVLmDvduye/++67swnOEV5j48VV&#10;r31c5qGYMbYwKxZlZRW4IDX5FeQogGSg0WznpxtDYEPbnbkc8fiFFSMpQKID3bzzhq2APl0RnoLC&#10;Kunsk3GeOP+YzlYmJjYnkwThCU6tXKd8AuhOB1kV/Vvpvxhl6nGN0f0h6qGM/Kmm5wZiomTLkyWU&#10;0qVY0Y2z32ulCwtnA7IZ4zVfCVUF/X3JzzZk1bJKocErFp3U3Y6djj1vYdsWERym7F9t9bRPvhWm&#10;wgakIOkIeNm2/f5Vct961wGrd7GukjjvdbRkB9I29BQLBkuzUlcKzWSHeEQ+05w4J8eVU1JWrxo9&#10;gtvF3jG35/Z820p6/iv/y7Nv/NkXv/Prt+//sS++/QXL37Y4Q2ueHSUgEs5sQ8cBy7bGB8REFAo7&#10;hGi2Hj6bnGwFZzvlRIslbnbxiVCpnBa1umKVQG4JV5II5NjCZAnLKDYwbGKY4vFHbpb1FCMQo9aM&#10;BWRgJ6uExyaT7YRwXk5cEXYmf0kW1Bi8buKXsh835unx8Fbzax7f6mY9ebImq03XdeMB9WnLeF/I&#10;wWkw/LA0gv5Th34rUOr/x9i7/dq2Zedd/TLGnHOttfe51CV2cIidxMF2IhtIDFJslwQKD8RlIZ5A&#10;SDwh8chfwUPEYwhIPEQghODByE7gJSCHQCBGcWzsMuByOYWdsi3X5dSpOpe991przjF67/T2fa21&#10;3ufaqwylXVXn7L3XWnOOOUbvvbX2fb+vbcbcZYhdDAZZz8EjkedgKjadRJK1J51JFh5T4wiUSgKi&#10;iDWulIBSo1ajCteTlVbkSu/6WPK//URWXUxhGnblapYZUAZkRgHTNKVoBrJmIh8hJUKoOVJ1kjkF&#10;h36Vi5g7nSymE/3iNsXU2Slh7E/6WToMNQxKMhrxgNPbpCtafIUlMJmLLJg8aYJv8nGqjg8YEa/X&#10;qbieZyrgohbm70zxmyZcXHNEXT0IMaSeDkau+9SczclrAHV4TM58nQmrud5qrzZRgTTprbZUPUWw&#10;mUl4vIVqVBVDz4zsohjtMxjIhRamf3+rOayDTL4wer9GhAE3vBS9mtaHpWp2KEyz2HGzqhkvVbcL&#10;VTO16nF9ckJVB4wRL4MaQHeR3lXMOVLTqTvxO7LF6DES9I/KTix4+gM6YNF1JIWIXcdyt8zVJ6Pc&#10;SiEZvq7aUpkRWh0HMkhKSTRVazDQZbTsjksrhF/Iagb7YNN4y8aq3SPpo3JrOXVXAQ20s9y81AhQ&#10;SYFP3N74WcRmyluu++sidgdEsakJYMT9ijYVSthGv5ZGl9QR3MhxBkik0EZfUKMv6Lcc4PaXNhrs&#10;PmeJv6iHRX6nL0ZF0VHtxbrKi8vLpx9/fHn96tiX1NlIarZi2X4Oh7Dv8kvhjlamOiVYb95modTO&#10;9gxztfcEAXPFQovhmuoRntHH6Vy1F1xrqfn+n/zf23/9H+XXH738y3/1s+tNffXheduadBfzMaz9&#10;uFHQjewf+oVybnBfJRxYDl+yL1ZVAiNKU1qgUjQtnN0UaZSsUWasO1CNNRHxIr19bh972e4v0lDl&#10;vcGzZhIjhMY+942ttgv9u7Ixp+UoTYtCKnL/WDCB5tCtoRCXmsLSxESZiOMaZMAQDGytf9D1gAv8&#10;8rByAhFFnF+SCusEHGjxDtFzsLms7yg8VHiViSMKBjxsPpCRXSoZQ6sFdSwahVoPJMSVFt2uko1H&#10;lNTAlbJNkMVk4oFk0RCE3ihug0KVZvRk27Q1hBq/Mr5JQTvIgxGWoEFktrnpya0w+dyY8/0XRoBm&#10;6hoe8cbFrCDi3AoVRUQWmKVAEKexAMw2h8ZEzatbornv7W7lgD9xT8VEusjDnuM1RbSFQeZyWYzn&#10;c13J/dsQqUwRK1oWqlzgyvMvHCCop2JO40xNdY53aqJOWEPyr4yevDD9QJO0lWYk1zljwXzTHoWo&#10;1NzJFmIUcyBUMH7DPlGDddw5r4bwshJcqWt/Y43QooVC+AXyQn8WnY+S1ClccDKF6mQZO1/Z1Zrb&#10;Mv0Euu+72VXNmSdf3o/BkExK59PiTB21wDZjqN4ERoYtwhCcNOt3KG7qjDhQ9QBZgeBvLGrbts75&#10;GdhTXTUKtTp/ijZEzMg4YK16JNSkKrRV25SPKOohHMeTQuHrE4Wvts1NOYvLrfhQ/SyrcgerSzzM&#10;cInOSsJUU25CVKUYERKTBgeYbPboZ2FxyOjV0Gqag88abHyG5N1MuWDU4S7YzeB27FL05P43SL8k&#10;/BW9PqL75NWLUFD4LlLZL3x9fYfYkR8Xn4mxpQ1JeiS9/jud5I4Qo0DhOjLnQQIyQjndQjjxPPDz&#10;vfCJ0cUhMcpUp1VBCa9lJHbPqAncdiLRvH1n//YH3/gv//oH/+3fLK8+rO989ni80bGZeOOEEtDv&#10;ZD8todeV2yRKX4AK26VN3x611y1C5YfLpeDz3AuxWXJ7HHGHSCBf0XCZ/mHeb2ce9G0wDyMNlpLH&#10;rT9FTTIUZdchSk0+P1V8Y4S/5oUQ8xXMT0GPKlOtnWVMEcWzgXzvXc554tTsP/7+8dy/260cViIE&#10;n0GRu9UYlfL3W7U2ZFO9ZlKX7tXI2M3HcTB6E6NoDabBc70KzFT3kYl436wtyUyJOjXdkk3ZOKVX&#10;gFkcYsRqZ9zdlmPXl8HHCvOJpgUFD0EqakfSBhxvk6yO/Kbbob0b6hgrEKB4Y3nmnQ2fmnIyNHmn&#10;tpnpFmyoZxG+9Gw28+Jz7zY/XiNYCPVt0mTTDEx2btMDxmuiHX/onptC3+ZWNZvVqlptcfBOmm3S&#10;xspUzcMawujfYKq+ot6fzHT6OOXrzLxpOuVRGdcnT9Neshc/hyf4gdZxm22oKf1APxwhsMpZRK5l&#10;HEdHvQzmiJagtq0+Jc4EqzvnA/XIh7teM/xma5a8V+185l5FLqlJA1+s75xUrjyUFolxT2rAXOAS&#10;DCY5tn5a81aeL4W0pmzWb4kqJNQ0hHgdATyLIEYCgioQTXKpWmvdx5uRBTRQaeKQuOC6Lx87zRr9&#10;odgLTAKVzJp0NfANJucxOZTfPkqnjUp6CyMfw3JL0oQgUGxo8ldY21VYo1V7zHsyTqHmOTXrrerU&#10;rdEoHTlRbwruonGtMtST2TeVc3wBTtYbWVwTHfnwQoDF1Suk/ut4DK+/E873EGY/3fmMvY7JQt85&#10;oAJlUoJ2TZ7Uc0bYiVPg3zPOhzBnJ9EdqtpICGZ3qc2ku1ueOGf1DpB5cBa1581d//w+/vu/8MF/&#10;9dfvv/wr4ebu3ZfvHWK+P5/PdT9CrbMBy9JLrptFZEs3eblbDxvcDoQKoSyT13KA+5PnvygUIZEO&#10;05COUbelwll2aBFsuqy1FzSENVFA1OdSqz2U/bFssm9JCpcom6KUgXuS1nqBrQeRDjg9ZQ5lMYdL&#10;6FGvOl4QLXv/eberJFiIj1C8RnL1MOeG+BqNtzEOMO6fIgQo9eemQrUhKZrViJ6B+uHmzew426np&#10;xBdKkMkHktkhgEGh2LIxxCfX2sKMqtS0UcPq65rD81Rm9Kz0KBK/RYYFyVzwjVzYPVj/pJmKw2V7&#10;ikJONm2IhJztavRWOQYpX0vUQUxFiqOmRVMA4xkDkYDz2CwtwWLHYent1XpzEChhY1S0emkUh0o5&#10;juokMiybb02BjBpK6h7noBBAO5xB9nBtXHzaEuGOn+wz8clovNo2knJ2TMmfLJ7KCzz2kZq1dJuG&#10;uGmP33fCYqOh2q4chLbEG/evTRHvoY0VNcYW5/yDMM3ZIjNp4zMJoGJ0G6KSoIa8OqhqT07TbWrt&#10;KhQ8G0SZIqo6ScDUNV/lfiZHexX5GVNaOVlQbFlSJdOC5qCo2JJILWhnNQkyA+pRxYh796qM0jXd&#10;54Xo4UOilRhneBUgjplcnoU5AXOhYnNTxnnz5TWl9CnE/Aw2tAkti4bRs9vPEQjiCwA0LgvYbaxd&#10;bJ7KuRRCtukA0jFkNbJDpZ2BeU3Jjg/WHFdryhTIRZN7lqFfbOJGKH6eUWybTSvZ5S2aJ1b12IEe&#10;l4gUc1a/pqHVUY9jP+4L4oJ8ec8tmbOf0b0H0w43jnjFRO2S6sPrsF1Czs+FLgwTYkSgUj2gpwgS&#10;lEYwxeBUdkt1rM+H2F6fz2axaBiTvfgsAvTaG1xISO+XazndhuPNm69++dNf/E/Pv/x3Lr0Sev/z&#10;fZ/ohVcCZvOy74Q1Jgv6ePfUN/3EKNYDhLsJtNWEz+iQ9RCUBBSQN6UXMgtEyqw1qVgHxtPGLaso&#10;ijOXyj6EYzt6+bKw8Nnkg2oMWTVkmpH2ig5N5NPZNyk0l8yReH8YAe8uwGfLiYYxUY99f90umHa5&#10;qDuKoZ4SHcFYt9gc/BF56l3gRSgWPW3D2KpzGKCT4EwECGyYDhppE3JKqZzo0ufUKqfimcdSOuJ8&#10;FDVyG01Iw02fk1OsDlpQmj+f4nUPnQWNlJ3PkUUwVoSo744dqmo3YZ6WZhtaePT8GBeSSUwGF00s&#10;nI7idAeDkT6jsmWU6O8nmk2tXYctjfYjH4piuC37rIOJWpr7BJKt1xPE3zk67UnCIfSci31wmLQ1&#10;Vei1MeeMTv/UT665k82kQDgYqUyqJcc8tnlXcNd68zdX5yQEF5t46cSvKJO1pKLcSW0M9qthZ6eM&#10;qtFCYj7OVbgjhaB+GrNrnlVIdj3tswz7QTIfHb4YJnkMNLhodHM4nSJv9YXbnHVB8pzqRrmaRIai&#10;QdpsOmaIU5D4kjZRk/pqPYpYhhPS1ZJZVh6X1rT1+sHVZhFQlTWdukosMjHpZ5nQ0USsU2Nvq7bm&#10;UY6q1WrhHAh6BiCQQtuKzRJdeTIS1wWyF5lpyTbZNxeMh4ovYurhUR8s+8HAg8kNHla0KDmYsatb&#10;dUaoqt9crFmuDZ9WKKMzRXNSnG4ymZVJbOwc73ELzNEMSMqWDTyl4yHFN3u7SHBSZYsaYsW+rEt8&#10;j4CwapH0OwakYhe7NJagvUApHz88hgkh0eLbKB4f8+kMRW4CnwgG58peJx+9FfI3k6/tAaohhif7&#10;4kgcUeflOBDatxpJizjM574jPXznO/WXfr5+94ObL/ybp/e+r54f1rodklgOenm/hYD8JlGdvMJV&#10;IPmF1vB+GtkFJCaJj4386H1f8AIQyEBxU9VMXKdwt9D/2gU36SbHDmkiCy9JbpX9JmfU61VYM0Wn&#10;AEvr5U0W/8q+A/suIq/77SI0tSSarE2crJU1CrhLmSlX57Id03K7HoDOlyEuBGsCLL0LeacbD5i6&#10;gujBJGKZ4Ti2ldFobcoisTNo9aTipjEM8hnjxVVbclowyL2KQqyoDHrWw1xUdk0vWKJinS2IOvhQ&#10;fJA6+7lN1NIoSKq+EkYTLCgFddENVMRwM1MybrOcqQSff6IjygMD3Z1N51kjC7ENA7J3ceCbylrN&#10;RSqaxI+iqVPooVUXYiimaXQz2pWqWWV3tN2R9sIn2rPWpmZPmOJjpwiwiek9YMOagQZ2pAbucMHX&#10;IdkA5dtu6t/IZkZxPnMqb8qdlj7Yrf5XryoXJ3dEI5V7P3xuVD4pQGc1pG29ddTJY4AZgsu9rzuZ&#10;ShqbYohNVnB1DTm0qL5ZT+WI+cHtrVmOhtr1puSQFNoUYWIfCiDlV31IZZTE6GEFJh/LOExHj60g&#10;eEHtkWJBWyILkZkcSStuHIZDS9MYDEzW4/igmWRBN2Kbp3NVkt6IPZOlJZu6yCalLHr6KpMSCs6U&#10;D+sBm2GdQXEVuYA6ywD7rTFOS42CbUBd8eJdrgkPWaFkNLoRCWDiS1/Wgo/w5KJJOt1etXerUl8a&#10;14I7JZjPbnaY5l1hHme1JYorncHQqIEBUrCqJ+1Gk7xPqoum6JJI0OLr8/7629/E8fl6DhCfKd6i&#10;3hmwbSyZixP24QGZnReCPwZ7PWOzlfXbTC5+tSw8V42O1DbfA+OyrJc3D5/88v/w+uf/xval/6X/&#10;zst3P/eZ21u+5FTaLszMfhTYYX/MOIMmZA9Jz6NwHos85L0OXxMWQ6SyhHC7ZLYN+lK5CMM6wuEu&#10;S2tfme9L2XaRqKCloFA9YaehdKdaG2fMROgmtPwLBQcy6iwV9LMqR7H+woA7X5iUJ/3VvDc10x/y&#10;esgioKhsS1BYmzgp0wyvgtb3IIurtktSjUDqUkg8nslShtsYOID+pXIqQHRvY0YuPpMFtp5+p+vs&#10;tJRr6n/jzlQ0KxoHzWSt6wjsjd61ZKxKhh/N70rItvSHagHilq/FRTw1jZZLu2pMBI2TEcTE3mmd&#10;xkNjUtGu+ghKT2Y723i+ZoEE4pMbbaPRnC1Zh4VNSau2hWdDgaemvRit7SDkafiMJY5jWXK5hFbb&#10;s1ZW9QBqgNZVWzEaCwUVCkanniZeaN+umvY6NqEKfcoShynKAlbrVaMwou6OxR9xql/CcHdP4ve3&#10;6JTtue5MVLo/N4F5nqVVY1GAyxDgatyOIJ3Sk2lisx1U82QL2Rga2Vyu20dtem6lZaoCZpfLNn8S&#10;SFfjR3vdmaK1TCsRkYNH/qyACQQtkrKcRnf4T5kcbD9aQo+5uzx82Djwfi4lFsY0WNxOKrXCCKnB&#10;5KoRz84KMuykTWPuMwkluVtrRAlFkk2jlopKayxW2z11MVx5MumIdzEyt2C1FCKspHJkgVeKsAiM&#10;cOyky28FpEgz9wvCOAmcMgJnVBM6gEgQG2LH7GdT5h6gctaIPnm68TTJanYIcQ3pHPZdtIJSgfbV&#10;fMvylmVCJaiAKNBJCzRNyBm43/az3AMVpnmJo0ugMPcjjYTovvlIQYzfs8/4ZC8CMi+C+YKhkJb9&#10;TeW4E+czURPke6H/6VQCet5Ke5KFVOmQJiiieU3xzG4qxaxgSw79Kn7y1d/aP/z68YPf/+Rf/bc/&#10;9/6f+IxsKtsZ+5OIQaW/XbRzHYQPfUI7eJPut/Cyi4wcw/Gw8ljV/+ixlDu5rvmxbDyXCHtZbOmN&#10;M6YViiqgd8VvitmANCaOS2wuN7GZCMaIyljYAU1exQ9GRaigyVl5oRRJdHH1d9YPSY/ynQVb+iAu&#10;RrpWXEVHHbXCtqP54aqdgVXMAyBfNn2OO9fHYbvF4NY/ufNCy77ON6KIkokimm94fv7VyG50ICt6&#10;p62xTAvw2Ebuu6wIJQ8aV2qlt4u3vPsPamFiWIrRebI8tS0o2wnCrkCkN4y+xgDpehyF47aUG5uZ&#10;QIDuzcqYiNmVdjaSIRAoIZAv6VACN3fG5Jw0gTSbrD3uiWN1XT7kUy1pKfHQcq55bclklZNptvnw&#10;1eWWI6bpKgCFFbmLlipLGQ22ZqCX4XnGRxunfWfqYk5k7RK1uXsdkfSE62v2leesBcmdf5NclTNR&#10;H76NN9um5FJTQ6olzQr6ORSGfCYr08aq6gG4/te1lFX5hjY96WzRKMHZMTLoMpNfsDHBo+7WpkAJ&#10;Fce4NmE1L0XxQyO7kGIXv/eSAyUwfEU5gq5qM/VyUA3kUMS0kaKZmpsRvESdeRUWnufdiEH3VnqV&#10;hL8q2VNzdCtDKtibp2ykjWY7FdPJ80mEcD1Kc0XMCyYNQYZ7C04g4hQ2Y3S02tklTWrb6mFK/OSS&#10;wqQ4h3OpmqKvel2RFSAplFR0z0imRpQdBRqS18STIjNYqsN1gmMtoK3RWFG1QG1gZfVrccFlf9gu&#10;l/M56jhz5k8/s/VZ3qTK1XBxcluP8ua1Gzz2tinSKD5peDJSzVXK7apX8iSbkproqkqnJxUg3qSr&#10;9GWh68fr4839Rx+9+p9+8dO/8599/K0/ePG57z/dvWwJSRew2OxSiO/0E9S93EPytGpjTG7ODYWg&#10;pOLgHfXLteE4v0svMZwFtlLZ0MqyphbydBYdeQR7VtQhqvF7gTYaqZwAhcmBXFDqbHEmu13XvvOe&#10;RaGqLoV+snncNulgR7FlX+Sh678prILDIhtyUekEjBH4VLJmHuU6F0IUc/dzFqciWbNkiw7iPMZP&#10;drM89NkAz1dtbWn7s8Kuinl+tL4iT4mJ95+l5KizqllzqbIRimixNBnMm+OBk5+UvXoDNBKPC7hk&#10;MmtZyAXVeZA6vXed1YXraD1dmne9bysOpTJrTPq2iKx0aX5V2AhmjW26HXXsYTEU/PZLjEz74tss&#10;uFyR7GWNTWgbVacwp7ckiR+x2RR/6rJ4T0/OTXi4DbFp3nllxsWpDovMogrGYbGpHSfvjSFGqY2H&#10;T0EHjHa3G8MbrClNe0kM0+xBJCHVPuv21hHUp2JJrLXNQnOaZlCZzM9bEXnOm+V8FI0pes9V7Hdt&#10;XWhXAR6oyzxSg6Gp4+A8GY+8l1WtuUFmglAHZa8qrvdUiwJD/5JKQqiSRNBHgUYA9updFn/uYzzI&#10;NKXkaOdWNyyDxjtHVv6zaPzlkHVqvSjtf/Tf4J4NzNriIwTIr86HNT9I7W5OItB7IvEgakETgxui&#10;JyMPIByBDk1Ne54ELksRIpjT3sp06spi86CnD++BrADSjXHTwqPQV0QQQJm1xuRqMlHHGVuCoFtV&#10;JBTTRZnbYd4S2yVl/oTA4su+H6UhJgmoO8WfNuKsihiXRlkvC6RuaEI9LqjaA3VtUqCIWKFfrU08&#10;KxXBFvH+crl/fMjrGiRzrpokiEl37e0NEEf8mgyhXEQ+2/f8Y0sFRsCqYXDtaRk3B0FM/NLvJQTV&#10;1sXMVUMbps7P21V2hCIUpLiJh2Ovh1//6t/fv/1HL37qi8e/+FPvvPd97f7Tc9n6VpdhvgL4NK4H&#10;aY1LyJ+gVRKQHgGuuwrCm7xaCUyvwrZm9fIoDoft7nDIbIEqWSM+4vNdc9AGWOgfWX3ndJex3vfH&#10;O2kwVuVUoLSq9hyANyUIjiWAfJCMiQuHnPrHve37QZRfy8eXx6X02yDdHg79VuwvbOt32kE+eOSo&#10;SBY7ixM7kmmbi3rj/k8ArCnuOmhzZ/JjmQgQ7His5slNEOjAZNy0pIQOAPK0V/mROllJr72jMHP/&#10;aYrBFJyjd1RmcWojjdEqAphQX0vmQ5GVqK9cEiWMB6+A+Zxgo03FZv7VZC+0eaFzzZ1PIxQQqpmD&#10;pvyaRc2GL4uBSQzpIh+YtptGPJDnxs99J0e9VXss6arLhFTJIqKR8+pDD08k5q7SiBzvWWsujsAh&#10;NrGMui9hzrxfivnHq7N7LBlBP7Wrg4F1CCEGZe3d5tRd531xHEg7S3s7BCLMljtzxQTKzVccXPY2&#10;AGRxaC+Dn40AmQI1HmEaTpEh8mRUaGiGF+12tsHnnEJ0s53BuRmYUUI7CtUOCGqFGc1s/G5uBT02&#10;j0wuxJiZhN2EUbFoJqIn/NkkCefiNfJ8RgB+mAtUF5I0FV2xN9jQo9ZLU4PZ23EtUyuzApuVBp+T&#10;Eq7Ikwz5g6mJkYvybcg/DJXqNQO0P2FWmq5tPKWT8shauuKQNuIAZW6Zu5jO8vC40ng3dxFzznUq&#10;6PnFh5zxNSUoRkS8egJkUTGZ3D5LypuY80tKamyn0UJfjAEV+hOwYRU4l4ocHNEiSps063GKVlc6&#10;vW5WaaOJWndJ2/1jKHs6HJ0jY76q5uzZJzDFppwKB3D0b7oEmr9qCq4dszHqxIV5inpxCuhcILYr&#10;fYviN+z+LFczv7cnk5ExqSGvx74w3v/uV7avf+3ua79196/9uzef/ZPrm++Gx/taIRJO7b7Uk6QR&#10;9c2DjFVddw5Q9l7kg5aFDF1NmWPjjImGgAy2xMDQkBIsbkvsL7uuNHIsKriD+99a0yJLt5CypT/e&#10;7/BHCFAj43CRw04w24ap8jGmM2gvfSU6oHvxIFaJcrOs74WbXvbdLst536DEyQOqYZ059aWVlsJw&#10;+XjnKXHW0oygyElSEydc2hNMac1Ml8hn5PV3t4TrKQqDVZsuEE3juPQ8Plt3oylt3PSVbNizEEk1&#10;IZ13UxAj8gT9Acj0bX1xYWMEYqNYa1qOu7ujOnXns5MSRdv8KqwtyinBKiBjU5wWqnbvCcrQwawH&#10;JsjxJCVLs4vBQUHaa0tIrJZddjcCGCYYyueuqPQRqmiolKZkjng938JlTAMgFbLDjXRKQ8i2Uc+S&#10;EsZGnsFuJ88aPfKHUbFVM+rDlMBXNeUkVi/p9NoUe1zrhN2fQYW+x0TbdSih5u2BwpdjMxK8TNV4&#10;/cAmtgix0ik7ozmdS/0VrgM3POZ49p3N47rK5sns44CgOSbB+sOZ2n1TOE/TVY3fNJeHDuQdwugh&#10;D1pWYTP2Otqy5VHFypC7kfU5o8nVRaDiewPjsPjysWTzTEqlEOQ4VbXsNdiMOntIWdAucX8WRWOC&#10;+lT8qWjC7/oEc74K54BGfzQdOLhhh/wwazn4CQkvUi53P4kf4KReko8ytVFkkno91VCsmXT6O5w9&#10;vhlYkqvUjHmIirWj1FfMLErF5ZCXo+yg0HLayYkkVTp6MPaWeI1+5YXmVWozVZdYwjHqwYlGsC9S&#10;nhYhhvTNIJVLPN2Kg0XyGTnZyEo81ihelWmYiyl6oG1qnv4hKyso9uAQyJA1Pp9W1JQSJ19Vhm3o&#10;ma1RygfN0/AmKOvdJ0YI77K6w6fv6NIAPN1ul/3VP/qlV3/7b77+6q+1m5fvvvxsEJPcTiY+7zrs&#10;SYEl8sEypUWOJAWZrh+0V0pie9ZxXYuUmqt47iBIAalMxDIvdgVpiX338eHNvi/CJEMMMuW4jQPa&#10;SP/mjpiU/q8nYRTEC3gUC+q/XqpKz0OKSFE0HwgmAJFuM2SSligRTVpomujhqwgnx7WWK7Nxju72&#10;mur6fz/LR0+BldIiBXcKDvm9TlkAMxsKRZ85hXBFx4+jie7NaqdmTwFYQzrPHi7352Ib2wCQzste&#10;M4J2HM3waIpQyyAdikB30VEjZNFIzoxvbVpnzZffrPXQ3MCbMVAiz68qhNQd81QEkDYlfwUrmjBk&#10;aSwsaa1WXWlY78BDa6ihdZnQoppB3lN9PpWejcjQqmRAHW8FZvJOxo5hu1JsoyZIB2bOGPa7acp8&#10;NCHd9HOe8yql6za1k1MGHyQo7iha2EK6zhvi77fo2XEe5dvqUCmPSMbokFVtYE6YxaY49GezE31k&#10;FgcucfRd/biWCEJN2vOwcILhZeTJaxVGl+wZbdyJTwUL1Qrna81Em+EwQvUMyZrPuOilju6Hwpo1&#10;jWjotvVGqJrOMUXBFRnq4DM184No8zSiEn6tfq6X9RlhD9gysllmyQtrCqwJ80Lr+noEtTQ1FzUW&#10;BI37WVI8rB7coOKO0DPIwWhB7yOZlk1eJ2u4YEIZWXyx1eTFt0+88UgLpltD7PagIM9nnnLJL6X2&#10;+g/Nc422X5NCfXnNHzc11H5yqY+P93F7jDc39XgM6yGC7qY2eoYWxauMS6VBxHmUPmh8LUGILlbE&#10;NU6BR+Z4mh4//SlTNPiTOboJwZxaMi3R/1//GWmcTVhoLb/60j/6+Of/xqf/4Bce3ny6vny/r2Fn&#10;7I59J9sgmpITw771au+AxCKcbwS2HnTIJ3O+M2ZVJ/mQZXlbrdENe5E01foJou9KD5soSklmgnlJ&#10;whRXETsCIBzFUMEBIQwSiB4U1O3uM/tjUu7R2l/nLirQKAm3shG+WA4AONRVZr3lsQggFMy25Bid&#10;lHM1/gAGmcnO/zGNw31Mc2QxDXmUrZjpbjY5jU6YtvKTijFC8P4MzTzRQwDi9C38iKNNWPdeeASs&#10;ufKThtAiJ1aDdoP6D4fGUg+Wddpukxnbi/4vebHoeYaokp82QEM8MKqTcdZdmjjSo81ZMDKmweuQ&#10;NCNPvY5RXpHWBHD79UPRIjmIXL/yGnKqrT5dnFN0vLg66OcQHN8DWnsSXd5EFoz3ygRwFjn49hRX&#10;FDsXNut11TZcJUiWZh8J9mHjMSp7fjqTjoqvtSHSsP2uWhu4WeRecaYTRzh6uiQDZRT7es5I5lsa&#10;yQ1O6pm8GlMRGBS58ISa2J7TnlK2aLHpb53K2xROg/Rzb1TEYhnrNKjW4Ulmwk+0EcOI+maHFakU&#10;BoCd4iOmELemhC3SbKcUNLfBe18HXQ2WVky9VRCcNAWDWUfEjYrbHo2Kpus910KkOtDKxLw3Iqoq&#10;vMettqGHYtxMMtmUJmUzfUe2/KTSFALNiyIWWYyGYqdNqXBLbRrXwsU+gWIYSKvOOvo1E50yPlFG&#10;UwgRpRrrv+bkRW3u6DGIzQWJps8peloVR81k91PnUu3o3H+zb37nrTIx6vHyKAPO4006HNuyQGuz&#10;MEeX7dKW0pVmnJuQUrrSBDR3HJrUII2hLjYin6q6eCXFy2n2T73FfylwTAVXP8WJPjeSef54N0Vf&#10;/fv7Otw8fvDBp//jf/PJ3/6P2x9+5eX7n7+5fRnUONNukAnVF5E3W9//RBfav+URyg/6RpACwdOM&#10;jG/Rn+lbl5CvMWgIj1JGiyIZkvu++2cCswip6/vWjm75KmY+6FGkj5rP6MOvIMv0O0XaoSncHSTO&#10;a+ecCpDB22U5LMyMbI/l0iSA8KAokqaH4GRBlLXxRKW6uYoy17OU8+1P/ethbhNRCiPBrSzeF1V8&#10;YTlrZMyrbs/TALTvkJnbbCpFWtH5UmZSWgmjv8P2CNKLVI1Y9fvrPbSY4SZSzxLVe5DAvw6jeAGS&#10;gBIjTYyVt5slaxfAcobz2ZEyIuNR2ldVk3LbVLj4KAZn0jQEHTazdJ6aHEoR51stRN5CIVRRkSYr&#10;O7OsKl8h5mVRXEF7qpyNz/YJz/dO7kOTqWSdptsWGjYCVvr3XI/teHe5fXk4ne5E7JX5yVW2n5yB&#10;o7mguuMUe5LabMsz4qWPOtglKHW+OHFEKMRRivHYBQpKUtB/U8CjeWMDM0u0jHJjnm0tsQ5/2xA/&#10;8sInTVNeIs80jNDzu8GJ/BprwN4sDx9UZOjpLk2+lxRdoWuINY9tDnrxdJ+Mpt00WZIRAfljNBFC&#10;8XMRrmOZi3CkVaoHbthjV8s472hlTy/gUMdEA/iI4hG8kyd8hmi7TtK+sh/45XHacQLNZLBNzZL+&#10;cO1wSvS/IzsG2cdiJ8heDsPIL9+zaKc9EehCECtagsZ5xyWD3xFCF3K3J+ynKnyShljzHWVjOCWD&#10;fQSL6eahdyv015usRw2NrgU2cr49nHCtwSmBZZSbL3JzVMN82eUb9lW3V9Tiebcn+3A4fu2Db378&#10;lV9b0XYrEIdmvQ/4NmusXPGsOWtYJcSr4Q/N92tHZAg+ot4+mMDF+RGOnmhparArb/u1z2+M16MR&#10;5G2yrOGJKpHOA2o0CWKCo4xxMfdtO3/9D9o3fjcd1ps//aPL8dSrXvISqtmaqo2DxLEH7Oei0RqJ&#10;9fIOkxLgL7gtoQ2pBkUE9y+eIO/sl1pOESk97EVirbIgOvtd8ma7LEl5Ln2rg2C+ZDFayAacMR6i&#10;OO64SLtb4UrgwYpjG9Gx/WPsr+G0rMd1RShg1gstF7zlOJHJY9T2nEr/cENnO1YA6yWZ7MWahFWD&#10;UgMGgC0ZONqVMs1SkIZYg4fi1qZdYzQqmx1kk5p6yXhHpJEIwKNG4NrXtAnZESjvxNsq7li0ROBs&#10;bTQ+KvtVeG0cbJJGMn1yBqEJIqYxJpn6dkBPw4HjwGtOTFnfpDqe9eC5g4wHUhOiHnVhihRP4irc&#10;WzlOyjwIl7aF8FSfyhpqEreHNrm+vRaKOl0WYU2u120V+1WjYnEqKxgRN6bdNrApHENp6npYm8Ao&#10;SUXC0X+nmWm/GpCrTbGLO1y03mQI15Ko7N8GnyGJ4T4VHvv8QL7o0qgU5qBu5SlE8JpFZYqtZtAN&#10;DBQscSDEp5OYuafq49xo08mZ26FmhunnUNg3ET8ZLZzUYa0tzEpbXPMcjFqsz1qvPdHBfERWc1ZL&#10;etOoQCu4VdgiDKeMNrzrhnGqU5ZVZI5oM+anAmnlFfWFRvLRiLuK6BmlZJGe9j8cDwoLO6koWrv0&#10;SgDQM2+DeiJrkwSCiySZALp36aaCqpFm2TjPcNnikWTbHQIIEbGtFL9jfscP0rTSyYJKjCCoVnjB&#10;laKFk3gWWWi10isHGm3FEEvo5O2IIII3236/l/3+1el4XG5f9FVoPZ36ftAOp7Cu4IssInjULTg3&#10;hX5lRnXyGU2WI/9Ws0EyJSRLt5etPI/qQlQxNi1X0brYmp4M8Bxu4AY0K8wdxRynB6far7fTTVit&#10;iro2941kPb3+/d/76L/7W5/83f+83b9+8bkf6Ofl+17CITMSnOTKeva+CHmzqQZNSsDGWzyEN2V/&#10;ve8vjze36wradc1RZzaSbQSep5jl0WqGEb5+ul1u10NfG++Rjos5rNxdD9smwVoy7JOdTwytkjC8&#10;HA9rhd4+Y3fIKKzgc8eYUqIK5eXxYJa0QsWJzfSJNKExexleGFhsMB6Xq1+wLHsbtOIm1lLJLUMV&#10;IkmfyenEocUBs2c3hj21WgxinBT0BeBZMvK37osZUfJLxRw6+9xHW9ttTj5g7F+uuu0lBzpCmLxj&#10;jTsgb09zY607Mhvbo0lYm3fAfNLW2gQ1MpJLVJUNlc+zMJxnLe64lnPmueO68JlOUGwxF75hiTSD&#10;GgZOXNn8cn7afpvYwA7yGlPAedg5jwZFfQ4wlfJqHDeoGRYcw+4mY6s2IpOunEntExI2lKsYlQod&#10;DdyTdBszhNcEq7arZwVlKXW0K8MYVpj6ZsRimUHHisi3ItwtSn7QZNitVbHffJO0q5jRaMb9pt2/&#10;olO6Ntq58cpcH0YK31Xgt7XSR8fVMt9VMtai6YTlfCYfqgLWHPHifeZofC+iRjxoxex+TY1cxZrS&#10;k/r3+jJObfKosXSR8/kahuXDqkAyumOeL+OadFRZYVHox+to5AcEJWtsL2WcWRugMRt7Ido0k6hs&#10;DD6x6RZsc9TskvdNt7v1CjjL5w5afeIPsRgQHVkZ8ViTiu33jpLo58U1L0bItzBnVq6LpIHLU8Af&#10;nsQgeEHhwhygvjhuNmIEbUS2xlf9pHZ+WA6nw7ufSbcv+nfJ6zEfD70kbKKKwaVbFjsKZeZO4Fc2&#10;NHq+ngu663zHs4H+J8ydoVrxep3FNeTY8TkBS4zPcHCdfO/3fX9ftVoofJyIMN4qSDyyyOdyur3c&#10;P3z0937ho1/8Tz79w9+5ef/77u7ezQB7Zgz8kH/lzWWo9jgLVxWgmCIEwlnJuJZKCeVguMGncJb8&#10;S5la30l0u3jY7/L65vx4v28LRF63h1WijJEayDlR/8KzgLD3w7Jy4JBYemE72O2uvmyq5AOGt+/Z&#10;e987Q9MzcdKI4FZH6AtvM7gmFpki5xc//bNgafKgb96xAXqqbagBbC8a2WDD78KciECdq9MqPCiH&#10;7kGTZWEMJn9xoZQRh1NmcRpORBPcozVCBUaAw17VzghcCJNMIRnGrJK0aettGOKXNjCS/XWihNXv&#10;ZmLtYCZlTGGtsEmLcUMrPQM8AE6OMNxJaBQXzbNPRhU3x7f9R5PbK/zu0MfK6Vgexn2SX7SqxwB3&#10;uttrU1SuNSqd66X0tlSPN/vNO/0cJs1xANI5quJwIhnfGVm9DFLXrYW8gzqj4NB9HGa+qL9ZQPfX&#10;ei7p4CWZVntUvzx/qcms4UwnS3QBHmkDb4W3tcKsrBZTGa1NxqrnKioT3AfrrRjTYWR8hgFpMB0z&#10;yg6ucYGzFc67NLHel5VqORmNl0pndqp8xJnflqZkZGrjODNgO46KkPJPAkK5Kqf+iO/SUlMv98Tb&#10;dj/+wL/pIKDFC1yPTQMiQOwNNbR4ff5Bx69dKavZ5m5KruFunPQxVQl6RGom5yU4uqVMC441N2AQ&#10;lo1MlpRFsMIJglUL7cXdWAZ0gF3iiLdp3Wk0uwgVq3x02D9viNjDktf0fsTJSUZ2S3IXTdO4QXAr&#10;ddumjkxoILqcca0KiChPDJIl4JH/jtcs1coR36FKHy9UlQ7J6z4t+aGFb37r6+Xbf7DIygjYVF6S&#10;DwKoX5DNL4kEie5JvpVWbfygWlBXYTaLmFJlMu0feArSZP5w2+1shBjHmikO1//C2OwsVXiKOAuD&#10;yXOF97AYM/9qNiphhrt842uXr/5G/5fbP/Ujy/HmIMjMyrHCCQDhfno4CsksboCj6jNbkQoLUWyv&#10;nNcla18hkKSdJAIX6N2XSJ0lk7rX3KAloxrDa2P4wwHY6/4jPr1cliQ328a0Az1YM3S9yaRQPn05&#10;/Xz3cl5xdisijcnvnG7oN+WY2br3SqkkpamhR9J/cL79mS9GJfTFcYAA5QRkW382GW4QrIow90OE&#10;giPmOCazHNnIz84glikoGXIg1FJsRwQ69uIUZce2VjVJaEJeTNPGvQbvBo8NjwrwjdAdMTxIusBh&#10;dARq891aGwEIHa4GKFFhgTuvufIautOibh1f2BzmS8lGBj5b6WvW0iOyWrg20cj6irq3cVUjwbr/&#10;6LLhVAg4llhLnWnFXS1pnlBTRQUBodb3tFzfaHobuchrW4/b7TuH2xe3WaIsUX9ofnmwHBnlQZsS&#10;KZphDm7qWHRrwfBX1bwcA0SbXDQTFQemdrUnMFPaSQzSzHYgNwmeHJvTUO3ZrFZk5Xg1aJzi7IJn&#10;d3jqbb3q7YZnw2xHHwl8FpmKaxDqCOsNhp5S+dXAOiJPPS9jBDbJochUVTUGPV7NCQ9xDqGUUwWa&#10;ff2FLFzljQGmIR5jrMNeYCUYodpeyA9iQc+3lPa2kMfb+22SQYztlIcbT7PCHbF5LUBaA8e4BrlD&#10;2RcSO+SYZUuyPLx3xRik6ktqnlTOIlKs6DacJRQ30n1jwRgyjO9raBaUdrLTsMbeMsrTYlKq+YPC&#10;2DeJams6Z1e7VFpslCoFpkwKVWEpL+smU5Yh5Yg0h5a0Crurvca88+Uh36zLp3v75gd/VD78BidV&#10;1sO0yDRQQiLcX8nOomzCDfJ78luxTjbfKXSZfhmR96xiWyg1TMPy2fb+ZOYXp5PlgMVMKo3rMLF4&#10;VU9eAf+aXk/tYfiJUl765dOPH7/6m+HNd9M/82fe+5M/tLZyPp/FQgcYS6nEtcTdgr+BZSnbvh3X&#10;tQnrR1o9h9ivbb60whYRlVDH2M9NMs563PegpljSeeqa882yXnohmHIByexmXV/L5pfRqmyJ4d74&#10;gcjziw/bpb+S43o4LuvDdiZUqz8aUlYejiu0Of06X2jhwKepymSUq3oA7afSymOSxtekXQNV8ASl&#10;TMzBPKoZSKqoNvbmJQH7izDkSekdQ/WJEMQ6VRfBxDTSpmoLiZ0LoPIbFw0x0lmDaZNJTqIVdsmy&#10;3NF5HozhSu2G+zPczNy4P6kwTgUCPABSExTSCJ4dd17TGb26Jr3213Zivzx7VF0mS5so56Da6NLl&#10;uRsoVE7UsoE1MvMV+4e6HFL/hOJmB7HBGsvUXA48tU7QLQgtxkHLGtgQmpXBRuRsLwBEYg08q594&#10;QcuUapvNjY4etUZUVBPEy5tE/FUdLRbrcBpsurjsM87BnnPOnyY5ULLkWYlxynAfa4EPNewgMHEX&#10;LJq9eRBAmLPp2xURQ/9GYmNQXmdVBawNgKFUbsUy56opYDx/D9C+pE6BNrlQLV9U+XyqwBDdQ0t5&#10;sN7M0pOZbmTD96jWmqRpKwpvU132xSgLrSqUZ5cPQ17YAmcRXmv1XSgaQSl6NyzZiVdraxaMLFMA&#10;0a1Ua8hteWjJ4h2yg1/aLLW1rMvquImmGS5ZA61tpBTRiB4A3ESlJVHykfo2CqHZGCg1DLa4ntnx&#10;PSOhPBIYURvPJw75UbiE6oGx4wl3Ag0YziyV6iI7u6TztHAp7M303VsSPe93uDsQVwVHXn96l3K4&#10;PdaLkKRqW/tPXaXMQaVWEChHL54G1AbNnMnIe/JTiM6tDWYQLWFFfxPnrwIc6BLKrve65aJ9r/yj&#10;t5gvccSpPQkzaXPnP7RnouBbmOT6nKjI0ejmrj4+fvwP/+7lo2/Fv/rvvPMjf+kzKb969ckraVFm&#10;Qeq09lD3FcPYC4YaKzRT27ZnOFceL5f1kIj+BzI7oqCvyP0tdMQJvQHzNeGTiANSMGb90Xgs2wpx&#10;bUMhDghqyqZ2X+VEVfsXHmTz28QCLuPy2gvKh10UnAn25k1aj9KGlfAjtELafDRkDFkScY1EKL/4&#10;mZ9Fap3WR0tS4ZbaFeiut8l2itNSpccfdahnQ5FpnJjmBTKU2TtRiMfDCRT0GsZ6yT1uZ021VvOI&#10;4fIOTuBVGmBNd1OAj2kM1LdXtAPnhEUOAp1FcZ2RZQGDQc8IGs1n/V2+FisLokGiMGLJQSncwYKW&#10;VOtmhnf6AGXV4pCyRU1EpV44Sc1X0i4loPfdBvxCzQKhTUJUI6dQmqTSWlXj95e0HuvxLt29eLGu&#10;R+ZCGsGEg5xrp5ISDOvorqbq1A8N8ZmPQJ5Zrt+In2C9BjjZ93UdarDIVaywKdrSxeqTlV1172SO&#10;ydfC6Pu7lY9eTKsk33ftudQb+7M+3t7vU6Yl27VTVHqbTs7J82BxpMn87EKcXavgvRdOHKenS5OV&#10;R3uqKfcAVGX5plvVs9QUQG9DgsH0i7D6UpfrvVhN1q3mKXIphKq3lCc9kgebnkCxazcvrCEBJ7Eh&#10;6dkl6wqQzHSuCkKCvZvoSCme9NqE+QwlMGzFW9duCcXkLsNlg1zSyoMsUdp8QDJw+dUivUpjwEVq&#10;GoErjcn+1G14mVQZLvIgJ1v6Q0zeNJrWuEbEuxpK+1Xsz0JC5GD/vw2dur6Lvdr3U9Y5U/9u3z1f&#10;Pvj4w8ubT1G9Kn4fwTiLNAZi1AjepJObgEGg3T/kvOgeTtOwjXgy2yxMV2uQnemjlxSBP80L3J88&#10;ar63N79JcDbu/Ba01TzJGtPTUMDoxsSpfepaGznQL/26XT74xsNv/+O9bLd/7sdfvHy3nu97FXWU&#10;+FIRalKkjQJYkC6nZX2UQj+c8nquO38qVaCY/8q77KeJc9kZ+AQfhdxSUuGdxf9+XA4Y+aMgS6Fv&#10;o/3TQZJ7Zv5fvwlOqxxFeh3KbhRLxvtedZb95nCUzQydxZfHE7yJVYPEtbLTAScuvWZRomzXKDvk&#10;L0UrZxVQXsb5lC1amg1QezG5nCcx5DPIPVxZpSF1nk0DafiiPisWk920V0bnnCrbudjKO2s0pOPe&#10;kY2/8bHc0S1cEWwmDhJDwre5XooKtYsTF32D8uUQfcfWHguOHuJIinrCNftRdORV9FozY/nPLXrl&#10;wT/LWFp27EzID5PXuagtJFVvycS2wLgkSwh3bXft4qhQl3XZH+o1pKhFz6SN8WlDD/mibFA/CfmW&#10;5p1IpXZ+fNEPnmGs9pMybGJgIo9maCTl8+73sqwXHiXe5tSOZ9y48xYUhgzdyWoYNFEl5ITLNtoA&#10;6p6uyru0uab1iV35YpRuFNtvHXqvT80TfaayRHNac4umIyCplWe12X2s/eZq+bQhk1RgsW00P6DW&#10;s+aiE6htRBpH55y8W91U7DtfR+82HXMiOUi+SvRysZWis8QLhRJJ+xKWOiSAECaPNqzIC4QqNB5A&#10;jgKkhfRN5QbZsKLoeUhHENHdlbtpwYPTv1F2yYoDGveG4E5g+PvLUx1PUVCibM0wS9DNEoITduzG&#10;W0mpjtzfGCtExRUGkZnsPWpChUxG0QOPYSlLoxRUUWMaOGVYu8iycFF/kRSbrywYfDd90HfJgugH&#10;z768hjf7/lDam+1cLo/heFuPJygBI+1pae9lzbov5z0+yL/3RbyXgRlh3mUXmueyhMsWLxVfpJxe&#10;3NPlOerfHAeBtrYMoDJnH0MxPkToM0eiBWe504EyVX6aqOUt/dnW+uTpbJ67m64FdNQMrzXV7bvf&#10;+ei//y8u3/rDz37x3/v8D/zZ0wd/+PH9wxbqHW6yvdS1UQkFMqtcaBUpbAFhrDgW74Lnldtrb8I/&#10;6/vTYVkotuzHphcH2/6x5DKSut8Nrx/P8pejhuj0TXe/lNcCHCfLkODfcrfenvf+mZW7o7yjJNCf&#10;1WiQkQ6ZxQblEWEgHJJFJsL2neXuZ75YCdxgWI9H9IxTRrKGaWzDxRfsnxMbxmicjj6yFWdVkZZj&#10;hOZh4tNnkpQhXfH2EuZ81BlaJpP6tEKizlNkXtFOpmZ2CITlX2kfKMCKFPdrwzCZr1jd1Um9dMnO&#10;WtfAvKx4RW2U2xhFFbepaMucgFMIQ4H9pcUwMRjdwJK7SzMUrF1T2URA209M+3YtTdIXp6WExQ36&#10;IVdnaF6j2JS79Qf15t10+/LusJ7yweQFc4K5KtOrbWVTgwbFetHKj9JAOtYVFh8nMuHwCsTWnmvd&#10;DIaC7kMgK8IyjH3dRf8+vfO5idbWV7kLwZMvrN4fEd4xXktk53Rcb9lZWcV8S84lHTvJN2VY9mgx&#10;sAiw0/QoOFrspO+n712IFtrsZVmjt26IbhdcrAF5Ka2Y9dPbXZz5lUpnqmGQTPaVdEcNNJO1qpli&#10;M2THFGUk4dnl0ISRhqpLi/AFbx2BbdKzJMwlkYA6sZUtNlazo9g9bOBTN2XICaqjKuQoQnreIGHT&#10;V7pACl8MzGPm2HQU3ZOQr6rFiPIuqEqyDozSlMN7UrMggL3SYdPjedA86qgSUN4+WvIBEVmFgMWo&#10;OXl1fc3NzfIP6Z461/YINq+40Fo719rLiA++8+22b4sk1WW0lAH66G9QeigZEIyCiGLcyExlSoSt&#10;7poi14ZFNzhyIzZPZolXiWBqLWsDbHdVpbmwKg4J2hOgzIhHiTM4NPj5tg6pZzT2wsA06lFw6K6F&#10;aIKA43WVQ9Lv/87j174cPvP593/4X3h3yfcPbzaRpaS75fBY9rM0D2UjBJkzQ18gj8IKUAtjw89y&#10;u3q+cWIi8QJWy7GvVHXv1/GYJTCZFoVeR15K3XDC6Dvl43Y5rYcXh+N523NOh5Qf9i0y8wFFBNrp&#10;1Nv1GnR5cThMV1yf4qR3UXUkDoWq+eZnfrYCNoPyL7U6sk+tm2jBtlyLxWM3Bp5urduJ3LRUGdOn&#10;E9RbvapOdsVdVDoNauVnaeNRmhFLDuamN/vwnrhqy5/nKQlNkzDsBJTseqxRLc+oWdWUqMJkVp+G&#10;gsxhRBiMZAN4ZpPqDiI6ckr1RjczIX1eX3EhTBXLuQ3FGYhI40ZYzIlOZnDknEB0LnLIFQKjJsNc&#10;SfWH85BDfquios3/m++BeIRaPuy376WX77w8HPpRKFpgWxCpBV2bGsiQNRrDvQfRANm6x6YIXUBQ&#10;b1wjU8dZP+Yj8CzfSof5dM6MFqDFv7twGAN2jGaTNqv8XEJDhr4cOrJqP+IVXXuGyfhwd0Lixeuj&#10;W2wTdI3bg1s2DWyqMkX3Cybzwku4eVIDXFRGj6f5aFEKlLrlL+vPVLd2VSkq8zVlOb0odFUhEZFE&#10;zag60r0xttqaoaZRCrQMoIWJM5b0c7Kl7BbLDEnqHzcVdG0eFKWRLJBLpkjcSSOJs0opxmbzVZeM&#10;p4LFVMeeA+q2TtbKWQtc7Shk9FpJF8LgjAEO4B9ji10X6dog8JblslzJJUFeK8ejRuN8NGN7klO8&#10;Zq4iN7QB5GEAHShiOOwQSao8ZQzUlXv1uB7WvGJkGzAASBi3y0D8RgQYwiMVrBrugr6af/jJx+Hx&#10;Prq+jD5mJMyJ839ZF/R+NfOCkm/1uwvGTJOCOdYNdVKvWQxDeLLDDUAUouAsqLdRZJ3c26LnOYp6&#10;rsCTDkavbwdB2IPZUvTOh3FpUnqan32tlJaHfxEX8v7NP3jz5V+57Jd3fuQvvf/e59rD6zfbVnhy&#10;hXOZvV/pBEhon8g7SSaR8VuU0eBRRMJ6rtoES5ZeSAg7o1jlx62SKi/qhP617xxv+t+/VOmRrjlv&#10;8t3SDVigIhxtre9wwYzaR9GFiHjqguHz68v5Zj30X9hKE60RPPSHpoczPvsFZahsfskNDj7hpsTT&#10;U0ON7GDXhp4VdajXkIZuFkuywbIDt43I/gZ+bkU5kOIMfYzTJ2bpgwZ9TLqvYDGShTjzw1QvIcig&#10;2CGjxcbIXiv7isil8+xfQBWpjnF2+YmA19RAyxHXtRPfMQkpwBawSPlXs7CYFOJUfEWnD2Oix2NW&#10;P4SqdZLEgLqEZI4SNHwqDwdizI2i/Cw8r02bXzMhuDOO2xhT89LqMq0Y4Spqz3fX2/deHFaoPeWS&#10;lajNhWDx8bwiyWFfSqBWeYuVHi05XR5FUtJiQL/GSkk9VenrfEpm0hoKqneaalhBqzS/pmGMj2Eu&#10;8jSq0PzTorouzWJsfe1w/ZthtDRQfmr+eLnqdypuAOcwMEgdVBplYmnVCnOz0sdzcPiqh+1FQDFl&#10;0UV0eGpMp04UgmHzwENYqgKPi1MXqsL2FmIPCI7CbiVLARr+XiK0YVsn2C8SPYzNu85JIz6TtKqK&#10;ideN+m+clvj35SDT31qwj0b2lUTkmKu2SeWKdAGyGk566TQHqiLGC/R2c1hiu92xLO/RQpSSCqcP&#10;MnvLgj5oKv7EcKaXAgvPi3ysmppGInihBONh884M/qzT6cf9n8k6zvLOgfkXOxeUdPJqpOIUcWl+&#10;A6rLO4dlzYzjkKeu13/32/bt734Yt0tS4nB/JGUkH0jm1A5MYnC3vHvkI/IODcnOQ8mGq4jRsiF1&#10;NmDt98jH5bIsM50Q57SbJ/vZPNserQ2jFEfPhTGn2BglDs1/mLnwIcx9vquNs2qiTTye2uP5/v/8&#10;5U//6Hdf/vCPv/MDf+7x4f7x/HAQs7LcgbfMllKWfuSBqB+n7i/7AYoAIVDD1dCPD5sEO+Tb4zEr&#10;okWOQZKkhM0MnnTEYOFxOEhFWJEIK91vdDLbbT/SZ+H+9BoRnp/+Ka/9Q+y/s8MF8fJ4UqRZ1LxY&#10;eRXAoDMBRs/P0QQv3k1SZ5O20ayVyWXfcZ1YONQbF1VHVzkZ4MOvl7ZSiQzJFnUNcQjPU7J7d8yh&#10;7OSe0mhroaOMu6xYjztNbnV9qZUoob4ESStjhwnBTIGhWO1ohyZZAJIRRyeflhkB8NKTKZetFuR9&#10;HasVonIG1GVS/j6bXZbCSq9xblctD1xO7T1XzS2DqihKQmSJbY/tSUrB1YwtkDCgLXvvCPJEy8Fp&#10;boebcvvecveib35HCYoc50d/Py3RZ6IfoqdHmXnbpoSYVhcrtFCrtaqZAS1eSTYMLHZ18By55ta1&#10;SRZ2imY8jnveuXGdLSXzjdkFGH1pPqIlTOhRxbWNDpAEb2nwUKeJh3lRiJYkarwV2zSzrpzcBuz2&#10;kxFZjjZJCjoEauYtbOp+QdHPipAYk3lRo8+BN1RjZ167zswhYQqSfKsdkJugFX1VEakvYdYNZhVO&#10;4GaF5EaNK+zEqbawkcS8ob2ZKD1Qdr5qzSKDJFQN01erJc1V47i1gKcJOo/MVtc2jFVa0/BqJpd6&#10;pDNsy6JnkYexVO9hyCywVQSQKvaWeiI8TFkfQWpR0ahtGtwTaRfNaIRakakHPm7OlNJY91++jMC2&#10;amOXQ8p3q6jtL7KXStGwVc0CRJGTPzk/fvjtb/azDKa4Zdk3mLX2fnqppzs6oGRilCXxgbJBHpVz&#10;WirbE4mJwaQsVqMVR2sCWJrO9YwcMXJNz3mez1kZg4r+rproPYs1eWFnIw8li9JsEsJTNNrso/DV&#10;7Jne6cQ8auNnydUJ+XD52u989Jv/sByPn/uxn2xprQ+vuN/vaqnUQ0ZCXpVk72HefBKcXdqgmiP8&#10;OgMm9On5McPNuYuZfUEnALQdjtOrRPQkdFN7id5PkPeXMydi0J2uvQrs55hDzq/P5/6/p7x+fDn3&#10;803f+W4OBw5PkaUFae6SOeqmMpkWeLEdaxyQTl/U/A8/ChfT5sWwZlJpLK3jQ/DQ4NGlzDP6cq/Z&#10;8bIsbDFmB2aq6VabgTojs3yVSfLE5VEig2FvCjReFPPSWZZQZS49Fhr5hHeI4jJ7Cdj54hDHm4I9&#10;qqRC+012U1SdH+poAQFCmtaVbdqXmuJMzRxJC0Bk2o0S8dyQQFRYsJUaqadJfo+nhYgAM4mrDv2X&#10;NMCLZ389obnUAa5l89IFKLNmJVqZ2CgeaV7tTtJWx5tUPtGoU7h/mz6F5a3u0kwLabot2qVG8Ul2&#10;T9T4pitzkWcn+eV3YwbNFQXSelfT+2CfZucVA+Dd+IlBU5aaHrKw2lbHrZthLRk/PhhUyH39pt2i&#10;8KtZglFwty9b5E2NDo5Nr94dbm0waz1VBhnnHksx/mmQhVpjgNyuuY1j1qL9KIzfdo3jygQExKnb&#10;HemVpu/BAY5FU98dvVbsSmJ+0PxDXyORZSCVR2DkYN4IzalGacCyBolGRaZ1chVikyvEaONU7n4F&#10;+f1NkmOjF6pjhK4hy/1n77sIZzga66thPHI8alb31qp/BkoRgLAn64jdjwKao6Iy2Zy1AMYPu5Qd&#10;hVkG0A7Ch2XJ2qVsB3FwidhVNj9NauynBDgRhUm7L+uhLQeZrcrDeSO/td7GfFgVfrRR4tfrje38&#10;eOmvde3/3B/eve173S+SkYuw1CQQi11rU4SDUBg0hirNqZCzGx0b4SrsUQgmbNVhn4I74hiJNANM&#10;GedMZ+XliVn+yoPrh+Dm3VHGhD/JPLHCHV6R9M775Vtf//rf+g8fvvLr7/8b//7y/T/48O2vh14o&#10;Y7djilAi2L3WC5bpHScX5OqES2OvQK7yloqEQuzlxSogDnR587aV236NYcKTWEW7n49yjgH8c9/l&#10;k1uR11j200qxvcTeHWFFdK1jGUlqTQPCKjOuY17JDcaSfvfTP1vNNs7dDg+3PjqNgJUwKmcuFFoO&#10;NmHb1GSWSWu8qAIb648pJtSOzagJlca0ETu8qAjJNQ3BuzjOsuc9VG0UbIeYqAd5ibRtsG2E4yTp&#10;91hdtrOYnabMU6efaYmQahw1Z9IGhEt1phitKYikuY3B7HTqKgMEYjgplMIXna+nzeb9ovFw+yUV&#10;gP7w2zWkOMVnNpt1WC5QC+Zc4S9Lmkq98ttfvLfevpSZ37K4/DrwY+BBw9se7KPxw2apW/zQF9ow&#10;gjNcYAZFBGt7pjl5cyx3ZofwXc39A8YG43GhOehyAmqHIbQx5Rv3OU4qePDeNYsq6EFIBVDo9SvC&#10;RW+bnIbkNWr7Ohi6L2jB5qdfFJ1yxJeiRJPV+dJzcOGRXResv0kZR0FR1sNNw2Zv4gq7V3rPoMrQ&#10;jAxBUReUaDR7M3x1N80zh56I1BGVSPGGc07usDBW6YR/HMkkzVviDfMwdKgYLqg7BzEFKZn1PuLn&#10;wFxMywGbN9ZSJBW2KasanWFDkSliudXmE9Zo7HISxhPdF7K2CxCkV3IH8UePwGEPMdM2Iy72joMk&#10;WTA4biRHXYwMDYOlSfVfmGWTkjpuZRBz0+u1TBqKZmBt7UqL952Hh48+fSXBPf0JAogAVCncMuta&#10;sXBhB7dJh3DjV2sK2CxHC3Q9O8g4Q2BNybPfzJXLBlkawTQctHlgMP4okFeHUPjRhHrCN7AGh+5h&#10;xh96osS+9tF72qejEaIa2TyRotaoD31lz0tezum2v+jXX/nS49d+8/T9P/jyh3+ilEs9P96XrYr3&#10;Tu4EJjBv/RgQygEspWw9lf7fc9FUU1j9pdvcTyG9Fn95WIE3i5txXgjz5OTlLOTOAiqQiEL6Hdj/&#10;moy9BZO9QdYuq1p/avqKd7MszvPrex6n45AUNyaM9lsREJ+Ub3/6i2zWWYxmyKbDV29fa6ZSiWYX&#10;M4KlkUuqUjJSxS7HEahJQLH6UOadMJRiXcjJoPc2a/P8zLlvllyvl9IYT9FMh0+42A2lWFH8LJ/0&#10;lJCMq82UUaWKVM3A4cvlYV4bbvocDu7e0HpWl2trJCdasvI0kfsdkh2kWG2UpDVitoxLq7gs4ZMm&#10;YQgfpO3Zb7iym0m8hasQt3CF76AUTcEldK/gffRT2OF2v3v/9EJ8fodl1XqHhTiQ5JYJjpdRtRmi&#10;Tb86be9xzBgcculoCT+fpHFB3uJEG0kiTtpLXQNSHOlEQYMXvCurU1hvA5kD3StIWsGGEl+rBBSU&#10;2Y9y0aIOAdFyhaoK67R7MQQq3neNtCEHPn6puRlSs6GNvV094DJYF8H6c/GafKdoNKQFlQECc1GU&#10;ttPF4bRo+8BNRz7Hqw5hNdXEFcAvTDmGvl/nxkip1rRBEs3trj1oOvx4Uq1Fh1TwRTBuqM2ZwNGO&#10;WvwxdERIIzLrDT4Y9nrMinrcd3OqCIj6Br9A+7AfBVCV25TYFA2Wy0F+/8rdQmro/IspxqlGIawJ&#10;BZyjilgfiw4iS2dMrWY0CBZYK/rPEaq12P6SSUfiRw/3n3z68ZLX/eY2ne9xOha52gLdKXwI/Vv0&#10;onCth1NWBCF5cEvWnF5NB0+0rbLrA41RmwxA3rrXE2a7avKkFp1aURe9G0cb2uJ4wmwFngJMHUb1&#10;fLRffBL4FcJ1kvZ1W9aSAGr1SCaxx9282D78xpsv/YOwnV/88D+/vvPZcv+6F9E7CABgsTaMz3P/&#10;dB92GfIdRTvDGG4Bg0CiKWXZItLc8FA2UZ8s+bxdcESTLyyE6jVkGwW5ZxIG8McssiNU6emE9OQd&#10;+UZocsoH/eJwOiy5WGhUdMsLRR/4QsoV880XfjaZE5D0zjxhHSYnePSUce8j6dMN8A+FYc1h0WRl&#10;MdctNsvYyEWxRanaGmfkCEWHOr2sUN4U9VRjtIroZzXNYWgTksZUNoUieXxUJcSxMPnorTn4bORh&#10;UsQqN7prSgZcUzNvamBvvTogj2n1cDHKW87Bb9VcMPNYBpaMufDTKbvfBvTP1pLkjqi5bmwNpjno&#10;Nw7a9igiTQxGFKnaJZelnF6Uu/du7u4k0khVp823NEtqbYrqsmC9moCONTs8hYAq8GEqaHwrKoxv&#10;eSra2ltW99k5wnFpjoMQY6GCHqlhooKhQoseBOijPSiq0sCb8ZhVW3F2q52qLFNQlZCMPsijyFPy&#10;zjL6Z2GefjeNI3bmn26odQqeUj/rSC/J08zPng9g1STzDPGRBu6PbQoXDFAkLs7YiyQI8yHSHBIV&#10;DGqmCj196j/RGmayyePxzs3qYpn8ETHYXJ8hfePMk+rco2w+qfIJxDi7WCujMZ6PPNhg7eQyhLXu&#10;322MyYSQJx3SwnPWjmnlirGcJG6Xohy/ZmZgXKatlGIH0YKNDtaFMEtSpZ8soBDSE/GRFbg4MnOV&#10;Eir4ZICjcJam3F5U0z5CGT96/fq7b+4XPFriD1uOYT+nh9c4PWFhlYr1IFlg+ahVKUd/eWGYhgaZ&#10;QRGaCMdAmO3kgJkk5dcwBGskNCJ/lIvFJyyP1k4Lb7cxm9YFV3LN75nq98Q7P/61TT2tt+3wfPH2&#10;WeTDqT4+vv7SL5+//k9O/+yff/+HfrSV85vHB1Rv/VhT+iH0Dp3mS7/agIIGVHh8qdCgowORxX/3&#10;6rJRfPsAyBlgafVh206LHE5ebZe7w+Gwrps4S9sNeAUB+Ox+/7w8nV6dH0QMnPN53/uVf/d4Q8Qo&#10;90IFJ0VKT/ChZdYn0vxIk227vTVGmqR1YTwHlK/7/gdDLsnXyUeFxRvbVSUSiXlXVRsUg2Siqk0L&#10;A0IjMcbr6YoDQPFfejJ0smW+YFTS/TFCjFyDzIeejcjpkZ4F0FGExUvaWtUydkdHPEW2m6+MOf3p&#10;XObefGtO7G5qG/PcLJQRSbXe0SQucoo0yhfkMLIqLkVody0fwnqJgntlFEAg02rkmytGMnqKJwEx&#10;pg3SI4JEI+WluuGgNkYAV0MdRufBNyJpaHvQVG92qz2yoHL4aIflp0+U3TI2/b0eIwzmmNaGXqJY&#10;5JObHJT9pttpiI4xI0ZkRENE66HhgFtrc8sAT9nB+ZCz8nPE1ser4RVLQWgVmGA36lqTdwkGUGzd&#10;ihMpA7U8alyc5BIwzTE905XSHIxiljk/3mkSwST18jzFnQUr73SVF0mToxrWKGGoV1XeDNS13pUV&#10;d5asuE0p7Jyw8qW1xYr1YtWHtXCskWpNxwj5a0rxCUomaYsV81rz0cyoCTmxSwWwhCtvWsRmROBL&#10;2RFFVdlYgwKo6kCUbYnsV5i6GG6QAE03Ht79gpmTqBnQAQe1qgj4pgsAu/5yLR/6EydAkAW5D+AT&#10;cFDfX1SShK/Dtslee7yLl3tqEnYZyce0i49dbHCSdr+m462AmQTWt3MPrOshXiQCndK8pZcvYofc&#10;0Trb4r7b0btQH4hnMFdRKVSL8k6DvKeFoFo4Bamy09ahlKWrEcyTtGavKKbbVT9E+823qTGwn1c9&#10;B7K81uUNZCr8aO7L/dPKp5uwHB5+/X//1td/v/xb/8Fn/spfWw+3H3/ynX4d07Yth1XqtVLvpPjb&#10;ztv2zuH46tyvZ3x5Ou7SLd37libQsn4GWkT6srd6Rh7VTTiIwyH2XfAgwiXhfDLnTvAIPEsdMeO7&#10;7GWJ+yq9U8lw7ztov/F6HblSUz4jQYB57s/F1quLqjkrArZW5qFwSz2hTcHkzciVJoZp2ZBjzVqd&#10;Sf8axnkxWdbC4G1GsxsVc69UPfbCyEf6F1ZPJiUq9cTkANXmf22KVLUW7PC0Y31DaCtjnDWDUr35&#10;0YsMPXJb/ox62nLz4JtJacygBsjJWrIpT/DYI0KrZEwqsexZ7f1qJuHy1Wh8bezZe/ysDgilmy6B&#10;urIQiM9dTLSSbTuImhYabFKQEofnynSS0AuwnKjLcTu9bHcv7063N1mGEizr90YXny2vaBFntXtb&#10;ruMwg4cw2VCM0djmMaojm2trM9vM2dnJveCTqoyGgTibAXV0ZGdhvJIp0K9NBj7XtrFJVtvIeY3O&#10;UgnDrBNnLn7S9rW+JnZCIOfZPbckjR8wgnSpoFHz+FsiOn+ZiCXTunPEktpIBo5SOVE1D23TekPt&#10;hZ5c6EW1iZAVCFkn6Wr/5Gh1KHoPexQXjTbaxNb8rcQ2sxIX7QkQOjb4DYTmw1XpuHQE8rFIbRrd&#10;Fwx/E7GB0WKhaS7F3NyK4UZT6wAtXzEGXmKyMXdK5p0VqQVXmsMjwfxqf0LVmoI26YVoL5NR2bkT&#10;s2+1L67TBIl2Ay6S2dNS5u442fJNZbMjZ5EdSrYc/lVeLYPPdqwd37p/9erx4YRSs8kzSPtOldNo&#10;XuXCli0S0ZBzO91JE0j41AuN8MA25rwc1C0bNINHtHfylDdqAHRpaK7DU3eQWDdVgekofgol2gg4&#10;4Xi1MmgVky24UQCfC9dE7NEx8nTAt8WfbxWFPqNPk/L7ifhce9Q0Xqebu+3j7776tf+5H04+8xf/&#10;5Xz78nL/uh9ubqREDpda4DaRpuXt4SBBRVDjP277FtohSwXdtysu+yIH7e+lEArDob5MyffKqVni&#10;h99/S6x+vXzsF7+2CxpDoualdrTu75xuFs0ubkM4Yrly/Gd8r5xvfuavGUc9uqxjbwpqSdjw7FwV&#10;SAEdA9Y4gnWaW0jSRPhQ3J+unQCdMko8qU9OP5PKAXuAN0BlhkHTAGpw/4789KLz3P7IJRvf6MqU&#10;eFIeyUTBIOooDpLnQSjzM9KFiKaletEguuH2nYYWZnKc6qiqmqCeBJbgtUmyhQ8zNoBgWpgo7FGd&#10;xVgkzG4vFpcsz5v8y1IubRp3TYtetBCGgaIkzxPtFDxW+bAfX9S7d2+PN3ILwIrk2MNqkzFa5XJI&#10;JlBykavpc8bwWz0vdWKkGSLW1uLnzp5JlxvNGeZlzIoDIrCSdrHo4TVZ7Zv6fkEd1oDqt4y7kylw&#10;/iM2DOnOZlqOBXz7vu4CcQjPuIVq9z3HKRcm6mi2+bZ6RUq7zlXAS6LnVONNg++hWv9WCuHsAXRr&#10;rJfKVVWtFoFnl7GCROZxExRisI9X1BI74LRX/awJqpsszJqEgV1FnvrIRzuRkICKQSdsxPqoIQsp&#10;DJUw5S57o5ZbVP1keXJqbJdMOZ4puqXGr5rmYbDRzbAHvs2DRjvRhsv4vUaYp3RZ8fJaGmo3eT3S&#10;QVX0Jo6LzDduMk4EHF+sZokaKFk6H2o5YRZIWMma4gXZft9+uH94eDgJaAl18MiV6lvroQr0C/Wc&#10;jLOW/eYl2EylrseooRY5CqSehmAI+nMuBF4kddc0NQcP5rvxmeKYsLQWr/B610Z0JjJWJeubMy1Y&#10;QawIiusbNX6v5udzh7lovcDqJvpndkqN4JLbIB9O/dW//q1fefNH/8/tD/7I8ft/6LJd2raJqw+N&#10;ClDHJA+rV3h9p3r1+Hi3yj/zFXMpXdF60VFp38kWEVCLkgXBZ1noLRLR3ivIfoHvlmVHks+ypPtt&#10;e9NLQznli5qm//13TzcHlIBNVy31wewwn/QPQ1oI0hmJ+eUXfs6S/MY7k31KzBCW6elx29TRUSg5&#10;wKipXc1H40w3HkGKJk6uug5mbyuymYPvE806w1sI6blaBXIvlCV+z8lkI9p+5HMFHcTcok2zW67q&#10;rFKni0GfrGCtbdQcdlrIVoDWFlyOYcqCanfDUB0049fksSZWzw5pKrE0/aQd7Q6c/apDtQrkWpqA&#10;G6HvyZdJHz+SkKPRzz4EJwYcTLi8lONtePHu6Xg85bSCq+FzAqVCw6in/vTmEINYR1Ws7jo7e6rq&#10;tV01SYx19tyzxcs1Rx1R0ZfdoKdN2pRU3leTSWF41i11COyvQn7bPMhWt2V22370oGIg2hXEFZzx&#10;1gbFII4QjzZQceMN1HFLw1tt25gq+dt0a6uGlul3ymRPSYkBjUciRPYEKAI0ADoqu9WinQr8gtld&#10;McYDQ5yengqqbskEjoc5gZInmGqCW991Yh3t2YYiTqLU9K5WV09mtWfbbWJ4rN6/yI1NBEZET4HG&#10;yaQxBrb/7rqkp8MRu/hZaRI2ZiZNRgxexVYPyn55YEo+U+nrzGb2fFTqSiSnv975coVR9YnNc0gq&#10;sGuumauNsCRQOIYN9VYv6G56zZHzudclUi9KaFyvGD58/ebNdjnwTLwsdT3V/dz2LZ5etGUV7MDh&#10;RoQV/dOQjVAU+pHbf9/k1mNdDtSEcCdMwmRe5YeTmmwmVx2mVk4/mj/gvptrOqoPlaJN661wj4yg&#10;sIhrNo09PmyaW1uXo7UQY/j/8Z826dg1x6493+qYhvpRFWXL8fJPv/Lw27+63N7c/dkfl8pkeyQ0&#10;qBd2vQTsdxC6lPI59p2sn04vdT8CTbwh7oODur4tPezb7bpwn4HLSurIvr1BJiPd0YO0SfOjeG3a&#10;3bpegEY7rutjP7jE0L95/1bVUrwNNJCQIMHmooqn8t0Xfi5eQVflFl+gyhAjOM4huqbrEtMml5sv&#10;dNad19OrU/sbOl3Rwk6n0D/8X0bgcvAwT21+ZosMTkrNFjt53LFfwsArJSDhyEBuN7uj8OPiaDyo&#10;ylHie5pMZqiDkPWu+NLcFNkwlnEKbYZ4YBjh9Vv6PJ+FVUkL6tbG9hRHaLsRzhg0qGsCbu/FRIiN&#10;Slr1GKq7NmxbgjnJHF7U22gzpA7AtHaTxVerDM7UJNLhRbt9cTqeThBZJdPdt9HVJMx4MHuaylzF&#10;9leTraMxPheF4vd9fD5Szh4/rrqFadEWM6AbGdY/fuLJmAu8ovDqh8KF1c7IV8iLKZ1yGeE2o46Z&#10;emLRpbmZHROjfMWh2woDDKatizh2PlN36DggalC6DipdhYzfRkda+l7qUXWKC0bruNnUoxevUhU9&#10;DBekcujfzACmaCwYp3Db4GzHw3GF7lPTa1lAa/mop0Dd+bC1+LMAq58ZCKpa48PIUqDYOxELqiUx&#10;pZzBqWsGk2ttcFZgXaCfIfhIydW5KXn4EClqCz6XreyyReRs0bnM70xjMlAtvQQHiwy6ipG9DBWo&#10;VA1pnRXmzeKaSlQpPxcNikrweMi3z9a1KFgZdjgB97J/8PrVZd8y0pRMENePHnuDR3DJB4D7+2Xf&#10;pQvKDNteRhxu9DQn1SEOCWlhnZxEr7HguVbfAspBOc0XsUBgzBomKZdiI2auoRKRHKnspA6msoL9&#10;jVlNtafuqop5Rt4Sv/dGaI3TwUR6u1icdd1jx6Xx43BTPv7O/Zf+1/bw6Wd/8l+5ffHOul36JboX&#10;+rRseGJLEEZrL7XrhqbyApmSNC2XpPB46VrDIJRlC+hfuULg1je2pBqvAs1Lut8Fgfbu6bafux73&#10;nanFp/XQd74jsANsWNIWReXXGKvhpffN74uTPxq6/OhWTBql3fEa5woPDUaqCZtHYXqXWD1hSh1U&#10;C0y21RftTxmzGTbBjzqKYCoj8xYT5ZRL9NQ6sRAky3lbqx+U1GcWh6t5shTHkTKZJjQMBzpcKIL5&#10;UZqysOVjXm3na6Msbmngu2VB2ZJoTKppuzka0RwTSCitATGlL5kccUCpwJ0XG0m5cLasf2oepklj&#10;2aIm8/EY6HtJv7Nu6umuHO+Op5sb6e0sTVGdEzEb3cjYrqr9plFtKoFr8XkGk40j3PRtJOhpQseW&#10;ut8DeVJmz1nEHjDZWES0MaWoFgo4qs63Aj+zx1G3of6t9qOjWcf4rbNZZpqj/+2wk33k7Ly3GOZU&#10;WA0fTR51NeHFFegyOoJMBVZbZFPOeqYbxjnH0Pdqr96gerQfcTyGHohGiEfmbHAAgamdKkOgMc7o&#10;hFerevXjy8xCeQLs120dhwCoXeB50mgAnA/8IFSCap1EWz6OR7pI7zAvoFS1Mwv0bjp7Ifm6Vs9o&#10;rToTrdkZM9hcd/zOktXsr+1pNAltnsv6tVmrKLnCOlkzX0McZCeD5hNHBP6lBZYzupJWnJvJOnVn&#10;CxprAePwcCn7h/dvLv0YLbTrKPhqydGQIV7dL6Lb7HXG5T7TpCbCGzwxSfL/pFoRKUeoh1P/ZcEC&#10;leQYUQRIoYJ4cOHJaTBStXi54aEdY5lpwDbVgtfBEGCHL3JzJQf0zxvfIFc93bS+VzE3cLhvGQSt&#10;8dHmv6NHnGr7ZX+/x1P/XO+//Bv7t/7p6S/85Mvv+1P5/PD6fH7cy2kVkupDrbfSkwx1fCt5R6vk&#10;JVWu4MeU3uz7pYgXRczsYntoDC3o1Vu/mHeHIx+B28Op31d95xNeAYnxIR7X5dQPIuhN2A1v86PB&#10;3pGzkVR+0/FfcdN1BLrpKq85mZbrijDYRJBKtYxAMzkI+drLYhu56HOvHX/5uhTH+VzN5zyCFwoy&#10;NWNJ9FcKTFFgppwI4J3BGsSxdPTZom6jM5vfhgOeSBHNOKUbA+c0OU1e7GFtNBej7Z1z6Bub+ETy&#10;eicuMD/WsqgJ7J+c8toLrZZyTqAIhiUCx4598+u/fFKY3spjrk159go0BPGWP3w97OvNfrq7u709&#10;5USQsZ5aps6ejx2edi190PUWYm1Cwzzz4LTpqZiBZ9HOPdcTuujEtqb9s+GD8gPgxO8MczGhd8lU&#10;BbZZFzPGutFgJQ6mjTZsm4yk00jc7uLg92Uk30VZyxPcdhDxNe3PM5jY3VIwRqhhbG9XAwG9WTDv&#10;0pDcqIWyN7yrNtnREpQmdtCaT9OR3CvphwbuWOKaGTbQMY+O+jtNG+A+pMiaXcEy0Q4iaGaKHsQx&#10;I4YhrMhD0qAnB3pWzW5I4bqwpvYbwtFVRxjSwur7DVziyR2hfKE01+OIyYUIESmTIn9K9mBlL6M2&#10;KeBKPWTVuDsAI3HQjCcPbFizb8Z4YaoTSEeXff/Om9e9HMO7lWmSbHg51uWYIZZuwvzECf94U+VM&#10;yQQXWTbacoj7Y68Ry/G2rkd2PnHgka/E05nRGFLuWlDIYeXBe1hJ3HvR/H5xC8rUypzxSSp0oc0Z&#10;fd8UJ8enhaKGq2j45125b/3p2/ny08DSnjWcpdy5qADWw+nx97786iv/R/rcD3z+R//F/vk8Pt5T&#10;fLdgN6JRlsbWY85bbed976UhfxZnUX3zuwCD0GD1uxFlqCykt+vKs+Aq6SDy3PW/9rDvC5rz/e/c&#10;CjQmVyu3mpm4YdbiuUlzZ6XyS4ZoS9bMwkLfSvD4h5bUEO68REWIQXqWavBHlhjGZPzwqIM3lAN6&#10;cladSVot4booyB9dULj0PMClKK7KRArGcm6RFVVLlrGeRtVPloQ5sSwpWUnWmv2sLVZTz0WOd/Nk&#10;bVTHEpQ1zfMlYAvb8X5X3bqyiuAUDc6cv2ZG++SoIP1TviJw0XB4T6q6kK5RSfs5liIq07qPJI0W&#10;TGsatGYDDlD0aMkI47z8ed2Pd+nmxel00++qlakO03/SZIOLHgPark6bzR+0cMVWnpLznuFHzP9x&#10;6LDpSydCkNg/LBQea3mZHKXpLahvC+3tzTU7pFBVtFq6JZ0W68pep2pyYSPQ7l6d4yqvSHfTNvv3&#10;gykmk8V6YV1P1tWPQ2LBhB16bXTmp+4EU/nP9izNJlRCn5lOMITA5udaWKUiFJMwcIqZcJKt2Pxq&#10;cOAMCi+b0l01uJxsh4qT7OAFYIvF7svFkaQtTPiaKguWuDiaA1g5B2GEO29iXW0VRQ+URBt9MzYq&#10;eQxfIDMA4UOajecipq5Fzm1X96BlCUdQsqSXudDdwUiQeMVMp1y4MKWCGyfiIPnjkpF0+CRVM01y&#10;i9khqKrQ9PXl9YP7N7JW9tuzVxGmKa3987xsYTuLM+J0V04vMjqZDQnsGmAoeoJlNAvFu1ZlTLgc&#10;EFVd6RRM6yHx+et7J2KDEg027LhzM0+Lj4EtAjcZNYiRHj6Q0Ka5BUYs4P/VZr7UcdKiID2lP0bt&#10;8uS2eUYOA5IQP5lmZCQXaQ8VYERh0z/141351h9+8qt/r3/c7/3YT643L/LlsW9RL9ZlA17A7Lyi&#10;0izwxrw8nWT4ioKPE6UqoVTpJktYbo4Zu2PtX36UPCOBf/Zv0Gu+4yIWwP797g6HAgxC/1ZKf2q6&#10;ZdPRkhwaRWXZLTY/s1Oqiz0oRMvwf7O80+YgtNBBogytsC9emM+l6KHbsXivLwbNO0huVW3cd9eU&#10;nHrMWXY29k/UrN1oLM048PZGsFQQuwW6cityroSfc6KhWVTYYplPc7C7/Wo6sU+a1Vc1QVJJ2agX&#10;ORuKuwoHrJShvBs4ipIgTuM5UUcS0JZim5d3kfnOKneCLBo64bykslW+SCQ/XB/SaAFUMHUzqSdM&#10;7od2vGmnu+NNr/wyTMRxuMW9AnBlUrSkvuhy1Ghy6xauLZZ1bIttLvjC1Ht8NrnTt6DGht7Q/jW/&#10;aG8/h+3t9GrXzVsvdNqx2ySV0uZ7bYMI4+1T7pTVEQdpdAN0YKaoP7trIfxPngsyJCaJdDsgVKrt&#10;I2llFBNXJTv9pQk/NvmuqhFEPagqwCC9VCJIg4bQpGahCugw7FdRfnCoyfoh2180cES2Is91hOla&#10;CbEonjWgQbCwRWwnIushix4hVp/uRU+5jU4nIDxTR+UoDSDT1ViVFQGE5PFjI4yFKlvs9AsRZFrI&#10;NxvnJgt50g4zs4IyaPUtXMkXq2lGuEuwbw2VSQTCyrlMZhrGCogMnYjWa+FE9vXl/PHDfUZ0x96g&#10;O1PdeMswI4HAve7rAdhUWP0q02ujw+dAN+4bYeYZOfSKsFQxNyOgFIASeUn9uZT+JweWOCzBkMwx&#10;Txr9gXm6yRZXvPLDjB47Ek57tRr6dS514r0E5ba0p8a+66d0LgrrM/uiLFpkvLp4fPbympihOm4G&#10;HYibu3C5fPLr/9ubr//uyz//E5/90//c4+tPzttllw0vk5QEMVS7AIR9WqTHfr/3Ml6yx4lDuZEa&#10;Th4YBjX3Aw0jk/qW8SCC0sxz7eN2oRx9R/X/8nCkYA5HUjmB7aQXoSnCeCxRGLz4ws9xjajD3+Ec&#10;ed/SPJ+KH0+KDqBLOriyqiJhaWeQXvTuSrRuT3Nspp6Oh1gmTOTlFJhcSwkJu7YRUwrjSeF5WHBr&#10;EsiJAb7CKDVlIraJ+a8BQIrmtmlEnKKxojKsZbO05NtWIazO180JbxHjXu8XIesWa/2FZNj/QteE&#10;+nVks1s80Q/mWd3YGnPrEPJXNnA+d0pAr3c+j59t0SPIvbzu/7we6+Fmv3l5uLm5XZDqoKtwqzZb&#10;UoMI9zMtOqcGY1RW9+gvMQTDecXxrVbnE6D10z/VK6nLE3RNxfK9jFsR2lDDBrOXXa9zCjVRR2mc&#10;EWJt4kz7Nhk1j4GRyENJIO+68ElOo2tEhHdVgQYRt1F7oQuP3lrRGbhEnwuwLrW4a+AwJQQ36d6Q&#10;B8yhtvn20eMAGuL6I6fqttXhQLFZJTetHWbkNEUnVgE078nCNLnSDc9inGKpLfyQWtwzfuIC2bf5&#10;n0Y/umCACu9zGf5Et5w25pQzGUP5c2SqcPOz8o3jvcL5fY0elctBo3wBl7DRwdVZCuGxQVsqTAXy&#10;fK3r8AH0TvBlUR/m/lmJJFDKsuEH7d9ohagmwzUIixGAADG+enz86PyYbcbO41hJMAqjjFOd+LKW&#10;aPEdwWRQ67FXeG07t3zAIKa0vr3lVdar5RhdWYTWlrzdw4G8NMYEGnVA70jVKIcxYx52qynl6ioP&#10;nm0CGXgemUYrW6Am7U1n0Ge6nfEqO1Qn/ukJI2ao/cx9FdViGN8KaYpTSHlIh2P/dfm93/70//rl&#10;/Jk/8X1/4V/q7+DTTz9GrkuGGAy6biL9anvR/3LpVz2cVtFc9tJ8E49ywGIZzkWGxDfLapiq8PIg&#10;1phetfcdUWI60Ck9HQ5SGo6eiOWXac6RvjM58r34wherMpsaqStM6RQdDrh5ycnycST+NVm+hCQJ&#10;4F2gbTYpXrdJZ8Af5qB2vGj11tT+IRtTxZBOoG4Wk+WTNo6AqukAose/oxhXxSRPRnFO7U4eQT5M&#10;1JShZPsHDUAh1RreBo7kEdFuQNGQJ8FJIhEfiDJ5JvvTnqIFLbEFoRwq5F0psDTb85yUzSLtyv6z&#10;Vu/Bgc8lhoeyIdh2I23hevBmZg0QatiUU68fPpq6HEM+7jfvnGTzW2Tz42F5YpxNrgBVxhvWfIxE&#10;rSOqJ5JiPvQrosQfqxwb+9/Ub7HENb8FaDwfhBilerbJYOHhvZphNA0k2EKkWsT59ilNBJ44sTGH&#10;kapUTaK4mmBQjWn9c0tUxgdMIpHqIXGnceXX6qSqKAktUog/E8M8y8inbG/3b33SrStja3H4EBuD&#10;gJZMPGZjyVNUq6tMMnafS6ntya4/nS+fMK84L+mPqIdzUS5lJakM5Ciq6d9jXRbxRQRLTWJDJ8jK&#10;sHNHZH9Fszga02rgzuynUjDf8VEUdSxIPKYSazibkEFmhq9WpenBjAFXbileVdsXiHrQJGeE/qg9&#10;Qwfn+uFn1mTmsqiUCClUTA02TVOWwuuHx1eXs7jBYN+n8SKBVtxf8LaupFC3JesYUjrgSytIeOA+&#10;J3ULvrVovzPUSLEsK5th0gJVvGRq2BIScSo4K/BWLpZTJqMwJMAEv4XZZWjD/27H1FHaOws5Oofs&#10;GRv79TMbc5zzLq8kBu3JFhvlkBTmCByL2jSVIwYSzZFAeCJ6SZpOd/t3vvnJr/zS5eH1537ir9y+&#10;+7lXH3+nSYRyCrrWB8JZ5X5g0BHRHFBLrEkpBEcx+Lc3u/B33jvdyDYZYq8XCbeDOzBDaRVenG5c&#10;B6CTbvUeaHpr/1oR5t594YtRJw0eCaWuWLCyBU1J7xoZIat2QLM+sB706hYtVW9raPs8R9GWoDZw&#10;WuH4xmheOuRAcyMo3JVrfU3MJEhWOE70RaV7qFUI8EY1MzjmY7jNuKzXFLY0NdeJ4aU92ZbDxKN/&#10;NP2nsu0xRLV8A8oa6YUnBqrfDhxoTVMjua3FNFk9o7xpFypo2wKLQ9PICeSPikWwYPNrJuV5knzp&#10;5h+6r/ywsKxtPew3d3e3L29JeEms9ljFDsfC3ILTUmqQVPSBqooFixYuF8IV/qY9W/MFy1V/+6Q5&#10;SOX0i6Qpc8IFSq293fxMQ+QQqCVQ4FsNSjuzI06y4gTSBjBQ9Dw9g7q1QTr9ONWShGkVibb0TNb4&#10;YEIUz8Fl8VbdUYSZj3zaW6lGRDeJ6Kjs1Oslmyhi9ciqMy8GkmBxBCOIxGQjBJZFUdBDBFnaCCfx&#10;AHqndOQQn4xkfebdkj0jk0Ve1wpDNvVvdoArYWdNXCvraGTXC3tD+7a66BGmklwwI2dj59Jjk08e&#10;Ig2aAdjHKZhwc8czkGP2v45FpwzRkP8/p2ia1cXsnozss6bPEGJuaoMW0mI2eMzC/SCvtnjrG7f+&#10;q/Pj6/NjYjWDdSSTO7ptHlxasuZ3EbUhfihEHwgFFOJSTcpaVpYQsq5KIu4u1/10V/MagUZTLUxC&#10;0JKwY6iHgAiwbzDyC2aoUsesSYVG5UkQfLuOhccEEpcp5zhDB69kn9WczB60WacSsE1U/7cQ1/O8&#10;sFQz2odn/j6FMFUt1cvxtv/QT3/zH3/y1d9458f+8vt/5sfK/etQd64r/SpckPBO7RhdEP1/HyGS&#10;OuDpXfOyZnnSz6X0P3pxWE/LstV2WtdLAeGs1jUtFwySX6xHz5TpazqqzMo2Pn3PhV0HsTpMHGFv&#10;K+4W1plMLURpAc3pwAQz8dWN1k5DEa6BjhnNxmFYsuhqZTQ8Y7bdS6Fyo08Wg/FoLMw9DotWc9uc&#10;Cr6yGdrVEzTCQ9R22JKqd/r/lf+XtHd9tiS5rvvyUVXn3Hu7e2YAECYJ0yJMyiQk6kFLDuuDHv8A&#10;6b/WX2yHQwFZDFkhiQLhV9BBmTQdImECIGam+z7OqcpM515r7515bjfID0ZMAI2e+zinTlVm7r3X&#10;+i0XPJrcnP/Far9aI7ESTosuYNH6NXggUW1D+FCQ6xSnPgLanlUI5xMTrFk1zLZiX/OqNiB9vgSt&#10;gTxRRzjg9mNKz+1hTF9G81QjO3fh+ClJ7tL2fPOwpM2I8kqx+iggkG13VodpZOPejAKmOVAwBFyb&#10;5ZuDKDi6jzZomdBKVNXy8066msfmsNGYnE4f536L7xUOIYoWQNTCnEXdbBBLeS1TNKKlI1kOgrrX&#10;8jDpxmpOnmr5LposmdTKb9EH0eVudr2zzRejsX3gGUdTougBwAGkQ3SnHGN91Wk0OhzMALAFmhqh&#10;mEOUSo2amGsgrm1CPvlW47T54bFNw3auedOGL0guP9UpTp5GTZreHmTJyDh0AxOtKbNYorH7YTdn&#10;GOwK/xovEBeXo2qQtVfqyrTNzOpVFwrbzmSiMgpcR7ZN8SpHg+4LyeyAeKH/Keb34thiBuJKsm6o&#10;PKEx/F1OCXr403u4/7AddgzhdAaFjONmCF9eXn4GLnMUu/SC8Q0/BqbKosZdsin+IEiFDVtQuvx8&#10;y7UJBVb9KqosxD4tvb3t1NYz2ukZOAvxOAa+/dwL7JVnNAq0nYRrCuM2c8liiLeJA3HO4FM1R9Rw&#10;YOlJHNU52nPAoqOorNfTXnVH/+q+zoDvhVfCt+T0Be/CI0xyy+e7/U//w89+/5/nd5//0t/9R/3L&#10;v/zqyzWm07J8vV+3nN6dzl9dL8/X68N26t/7eHmR9pVE3ZJNFEFKk7I4S1j80v/6+RDmS1/oEK0s&#10;ys+77XS3bfrMUEcJmRXz9XhG5M4iM7+bq0dTiWKpVZhYozqTMjEiUWm7FHmamsA+LZp+Y2ScegQ6&#10;z3nwWSsteTY57sQpPmmHLNoORWhv1FG/nRYT/yaNEbdOpXHgrIAHpkDmoJ3n2SlLFnLVFIEmH/Gi&#10;zojkYcv9kT0Uq01ViwYhMJwsD5KkfJ4Vpxv5Q8436kT53mhGLf1ihfM1DtR0HlUxMVp044mMrQml&#10;5IoZu0T9tVfs2qn7XoPCFUdbN6S1n0OP+7f5/s0d2p6RGWGfOp7FUS6MylifgzSd8qw8atrE4xSw&#10;QuLYBvdrbIqaFhlvx+bJBfopBseYRc6NzMzfJinNK4Og6Vq0LVnHe0jGg/Ya0Xihbcyq/Cq1ecDZ&#10;imWdzz1JqqZy0nPQmlRMS8KQxrsYwWu43RULipFBk/XaTzsWUK5BeCws0zgNKpOau1+0imoegtrh&#10;Sd0+gTY7z7Sb9eg8jKaYp0z27PNGY51lzUAEK4AJecny1IMfQBUQZfF6HCIFEdewG4RhcEZgDZ8T&#10;jZtnA0Zvpej3EEMjdYMiMTkKpLLCyBWdxGbZw9TsJS9y7GoQALRYmmuwri1OKtKV7a/wJBHgK24v&#10;NSvJmE2RP9GXZ/6anzx+eH+5nvIYJ4t38JB9o7I81XNDQtqqKq7X/gO3s4z3an9mW9lOsp8LZyQq&#10;dh1cGHU+Lmvf8wQTI3rIRYSglDWtm/yDBB/5+csWs0l7vAXPRqtitV+vBjd+XW0HATWXB0ABZzHV&#10;GTc1ZrteLMUYPkWS+Ct9gWqObrcjRKZn1IkkGcPkHMv3D/XLn371P/8Pl6ev3nzvv0pvPi8vH/o7&#10;ez4k/E+wO4coorZluV+Xi5SDC181+mMVBzJhHrGp0P8g9vbUv3F52a8frtf+mt7dnQUo2ihSsYdm&#10;Ll3tOJ3v/unvBh/2OFfVdC6mkGQfZKHFntsJpJvqn3cTH6d6mUxty4ASxep8nLeluk0aCp+uadDd&#10;WK9NgAf7hCITp1agi1yIfsdUcwjyYrO8nf50ycgwNcXvqgIF8hxpq+4yuhN3SNOlOcqdLViZZI2y&#10;ltq4ODwl4GuT92MdkaPjKM+Hs+/LTnKSfy0WxkxgTaKircrAQB6kXeq/g5yz1068KS9c32fVflJ/&#10;iae6bv2BXO/entd1ywuj70bs56cYfyaeTC5rccuB3blDvT4RyzSoabLhtaEUjQPaO+H5DRytCRKc&#10;IJuaf7b0vaKavXJrhAndFBgwEEZWrZUO/oaVq8cdcbJTkKPmgDoVn+IrwZjIFE2p2aEF9xFH1QYk&#10;B6XZY88IkUwThxJqjRltHadAls2iOnU9otLpn+DX3mvzF7P6zqH1K5wV1b6vBjd1zEoQI/hYSEUY&#10;GcW0gVdl39BBEVWuxgModt9iFzda1JT1niuZfHQQSSCtLNb8SnklBwMueKa8lVcklZhSIyNrGU8v&#10;g4fQVFhrsUZGxlBkm+pzqWDPcRLihwHb454pN7/EoVcY4IwwxBrXZUW4Jfp6++XL077vQXS2gl1W&#10;flsRxKN8i6y40AgvkivBXTce0ICyRSCU7uUQ4HJaqZVoiOdcNmllXl9ExZ2IwG5tPYX1hD38CNA9&#10;EqOak/p0AsWCRP5k0x5DIA+ZTL2ZN9zAKsYJT7OuRHSzRC46pST4ID24OswwyHZDaPp5RJiRwUSh&#10;sjWWJqCMh7nYDto0fxSntSSJuDF++F/+7fv/6w/e/I2/+cWv/e14vfzl+6+2pa9X+SqT8nAF6PjA&#10;57VjVSnCs87nXiNeLmBbrySd9ILvXnhm64frpf/ax3r0D+ft6WwIWZNHOqQUCgY8oc3bnqbzNO85&#10;7+YalOQZJf/dw0G1A29TGl3S1OVh6k7LZIgmY5E/HZaZoyMb3dLU6DbaVsm6rEyuFMgLY9ZVdzr2&#10;APRB5HgnTYaWTYzbhs6+kaUuwLagTkE1Z2JWoHnW2BqDdpZim2KyknFhEjvHXuLamlFimpoP1uPl&#10;Cq4La7IIeS1yc6IWIKfgovpmGnNZeWRUIJDPwx7pG38rj1ep2SBX4cFJwsOW9Ti9zQ9v0THIXFDa&#10;VMC9elDM7BGDNyzmZ6opyK62m29RR0m7zbzS1l118X6Ko/mWppTZSDgZLhLZDUpDuX3kfGn7pO2h&#10;WPNXOvBNL0MK8wh+eoPu3g3azSfYBd1/bRcmNcCoWtIWNqgCVDf6ERFg+DgiLWfUxUAhWUeapmFH&#10;3ERv4PxBXWhNgwIR+6dIyOxpufat8oGUNilztRNeZzmS9Q+9vI5WWiZz9Zveks4f1XbxyhYd5c/o&#10;1qqGRewK7HYeLL+SkDvY4TtUToXIbD7gsDRkz8E2GATniH3fFUUPmhiLuERMFK09ZK/2oudqDhqq&#10;Z76SxV/18jUKTUXEiaEd9smEKRpHesF4vs1NXK1++fz8AXxkvTvwVf0VrmLOQzSrjvfWvK5B9UdI&#10;KDMU3yF2SVFy9jOr/PjlJE86hk/h+tyLsIDAB3m+ez2aVlGQ1kN7xaSHn06Ce8OyTjoXNkvto+h5&#10;k+89qwzDUC4pDiX4gN+bkg+9VrZValUC5a0aysQYw8Q6o2E+uR2a4Gi0HKzh0z7dIx0gfAG/5fs3&#10;1//njz784PvnX/ilb/+9f/x8uTx9+Lq/l9Mq5PAlxEut/XKcBU+cPuz7y+Xypm9pMT5LZHx82Daw&#10;PqRAPwl/Ln64XJBfms556ed+jd7Uo5sPjJIN5kVKmt/949/VnDg/OOtiS9hMsiH4YEJVHodV/OW1&#10;m1Y8eqPjI7GAIPU9RYuZ5YGuV117Jj29NeuKVdnnBC/EMCARQeVYqZG0ijC+Wn6srcrDebBDT5sJ&#10;dxhWFBI1TEQgVRdOhVacUSGYXjUSWMBli9GZhlgOJUxtDrFRn190boXuFtaAQvZT3LX9Ir92mZKd&#10;9UgOwYv0RiSKb7pXXZ6gyZfOiEm6UOf1evcmPrx7I23P7OMcQ03eqJuZgyvLbJtmC+quHRIYFRyG&#10;OfQweNJpHnHEY3YcR3SdjXCiasvchGC7fRi4/0/iBGfQps3wqJhxqeHg+MKJjnq/eu/G8h3i0BAr&#10;nVrz/7JjV5JaI1hLI9fUtryxRd4emSkuFH+uLvQICS6e/zqtF9Vmjor6ZLBRs/3rkFByvaHBBAkW&#10;sD02j5uZqHuJprPtBDFPAymkbF6ePHO1wSyk94vmm7XB6uCbUjEq/px930bp16Z8D2y02H4aAxSj&#10;O/XFpY5dJ5nnKVE7Jm1BYflvQIVhEhcUnRrnQOPmuT/W1NMeQxpkZdAQMczIukMEFqPmi6GdgXPT&#10;akE0XLhl2+4f3E+eHi+19JW2v5q7Req/g1mGwierwQhN/bVdAcmWpm7OFVm1JvqTOc56PgWoXVEF&#10;VE4atRZg8RAtykWGf+gbwQ5vJtYFQqyFevLG3FOoYKLzHa2LZ6EDmOKayyPFPLn8TL3H2hcB5q0Z&#10;K3YOaP1ITvexO2Luhb5SsdlpFJVGuqHDKDEwRhN+K/VPxCMP79qH91/+q//u6eufvPv1v5e++Ha9&#10;PK3YSO+27QAD6G6Vwd5edVX04M9+5/S/25GkKIFWckvL15zhbd6WJfl5K5mjLkaNKaYVVSs/Clf1&#10;addHrDAxVG8cVTw2jS+gnhY8sOaS9DY2v4lhHRHck+3pJG0UY+/oyBjwFBIThiomYVaLBI96Kymk&#10;T2kLndiJfcVWBpUADChTdMMnDrhVW/YiUqe5YsHtI0AHC1JHWCj36uZTk/baIIMmMMCe0UnauhPj&#10;QBonNJGQSNXpTolmtQCvCtkrBjkMphd+rrCRGpqfYUaERbiYhsAkeuWHT6Xk7Tg/9BvrfgXnJ415&#10;JJs8k5ASk6FkgDmKUJvpQqf0g+ioBHayFAXp3SjzUkQfFAclKyBiphnhkyrhaKRI3RNvp1a+pdzM&#10;4cIUx2BPFtdrN9hxl+Vezq3Fjale9MY4QhOa9SDCDbXcAuVdCxmGTzzq8YxmlWHBImdkRzYFZOrz&#10;z6N/I40oKH/jpu/Vw2HzG0BcUOZ+lJdZp/0tBg+SBkwffyTWcrDadb9JlDjWOQlD+750uQmQGpyR&#10;ZG6F5jSISp2LxtPr6K6qtJYZRmYEYjpHtYCOzHg2jpla0sNHQxhphlau8dixLaJs5/PbV6M8aL76&#10;MVduPJMVLSIEgH1jKwQtuJSz9UhNJnRtrXqKlkvHnUcDj0S4W7fLsf/08QMaqZIwlyGZPOB6zKj/&#10;jkjIgyySvLAV4clilmYD2DI3JJr6qEsj9UCPlEnc7tL2hG25IjxF4nBFBN6/cjtLEotsnlQA5QgW&#10;qLH5kkbOQUKVzFOKzphJpdrYwLyqN69qtjG7fBJt4h8Fv2ivGtMfHUDjPEePSsyYwzK9yIwpvpqv&#10;TVxFRYyYWULkrOl811/hhx/+m/1Pfnj/nV99+O73zuV4//zUNz8omPqmL8O8/puXdREWSgwP2+np&#10;euk3z8P5fDlEl3mU1k8th7hdGa4V35y2xTK5syaE6nPHTZEwwvzwT3/HKGD4dHHRFsPD5eSkxNTG&#10;CsnTd9IJXGOUOeuOZBpEU10bHrPpZM8Ukoy9DbcWa8Nlasg3nVtak6d2g/TwIqjFwaMZWRPDc2GK&#10;yaYtVqo54kpjuWXDN2pTsbCZyobTrwFeSsYx8Cy21HTmFzQxWummYSQIhmRaKh4mimYi6mRRnYDa&#10;PeSBl6FoJYmobc8QBN8GavG1YH+hGI3KLroP11M9C+Gs30CnvGSNZ9MNxuJ65HFastY3eVKOUchu&#10;9C89rpLscUuWsrOlxSHYDMAczGbLC+aV1pTXOA/z9H2/aq18HJPkVFX1Ag4/4jAqhpHJNyL8FLbZ&#10;TDIwARRDHM3YNspisB+M6c4CjbCJJWVvNlqkZ/FmEb+DLm8v4EfNEXziMLSrTMyLtTFrThdKDJly&#10;pOIsOBK2mdeClz5jAu9HCB6n7cFGXz0ng2qWZlHGUH0oSAk6FmJLE4QUmmHkzW/dRdpIQ21OLzdX&#10;Is76bZPaUQQfdU5RwOi0QSYm1RWLD1g0DIot/noCtQtcjQhlS5p8EVOYJM1T9mAkKddI3GhhBR0i&#10;8m0WK4Cxs2dYATUjrCEf1efDQpvMaynHVy/PEike9XmHWke8E5VZYzQM4U5ewfrmhixgrmpZTRi5&#10;81Qt0nQJf1/EMEER23ER9uSyBfmDJD+0dUv7i6w5p/v+Kut2zzOtLgZyal0WiUmyp1NA26myF9rU&#10;JkQ4VHBO7ECYTzzZhLqhVi0Zk2Z8xsrpoTXlzKnH3oqJVm4rvBriLYDQNVaq72BhfmhwodnMh7NL&#10;h9HBjPlyBkAL9Ef/99MP/kW6u//2b/+zvcXnD1/z+/qN1evy/h1nkcPIoaJXdc/Xa7+oZ3Q+GTS/&#10;LrlvhOjAyzDvQSKQFs28jlOaDSocDMlEz5Hv/snvDimaZRy4EjtZN896XBxFZPOfhrFoByWWNWKG&#10;xhE+zWduvaeTzPDCiBqINLq1G7OZquSKbiAW2P1x5dcCPzGSNKlvsebu6LKVEdPNzpQmq7EHWzER&#10;5NknDyQkb6nmgarRMsPgScfigXNchAbdQkONfmmylNw0Rrw6a8+EpuHGNqBSwgbpTt6v4nNC/9PP&#10;U7dNt2bzZXIZ5FmXPsxyDvefnU7nM7rhPI5paykQdBmXZKK+SecF6xgsyda6MKR4rOHGKcFPPccb&#10;z7pHxsZB9glhElvGkX4cpvSWwan6uWHTJhbVLbm5dWFAU4Y1whFtU7BAuC0rQ7ihJLoDEnVCbDek&#10;U/mQFzoxUB2gEd4geKyR45qozgdED6Sqak1V4U9QFJ0jO/hVB+va6VBltsstGZXX0sgc0Tw9SxNO&#10;llsyBcPZdbN6q4xmt67RnsQBOYVQlzXZj8kA4XWbK8UZthMx88OgpJnvUNK6KdnVVHm19FlBj2rP&#10;kg2DxznJvJC3UEGWAuFf1BjouE571yqi4CsotOuhD19R2QPXIts8m1psZcvhGilClNFmYj+Lpikk&#10;K0T6H572/avLc19kiSkO6JoySQCRGm1jbxNFbVMuB9ka8otlCVhWZDG3VWwfSxG9BupK7F3tuLZj&#10;T8vS7t4JHqQ/iesp9d2u7II4QVIu6owsWyadw5zPyBVJMmVMrBgVRotkpkXpBNgp9VROccM0GTXq&#10;L3kgY1ULg6pvtG1drRMtV/Fjn656ABhRfUv05emeIaAmYhzGCs0Cj5+SG6j0Pd09lKenx9///uXL&#10;Hz/8+t9pn//CcflQcSYCqFPuqrfn01HD83UPuGPXKIbXl3I8Xl6WPBk5MBEUBBrsLlR8JBtRUw13&#10;wA3ZK7/fDSPo4IYH4bIr61gqRnKEkunpAnpl29CbTgLj6NTHmx2LlEua8pO6saTLs1CzYBaXAW/s&#10;r7KC46zbkk9r1R694LktUYdnhq4QTl+NGmFTINISUnZUk1mcNj9C1KLOV/hvdcswLiJwLUwIQzOk&#10;WPAqOd0l5VeB5gn3Aiea6lWfp4kMA4qpmcPUs575xULZBuRa4o2EdRBumH4u4GwjpZVVTEDbM7z5&#10;7O60Ee8ZldmnN382KQcDVedoI/onPAJJvTUagaFctDZpqtNcAk5PwqdVpVEVTNYinYLLWvs4LXr+&#10;v+5gyzF5QmG0CKph3o9xEgCOn1DGWF4jZv34WTXgXvdELSvbLKmCPFLrVrwMIKSvgEnkZqB7Yjnx&#10;0FQLpCaksrlOgyOQpgRFMq2kT4gt0/E7yd2citJ3JGnltrwkjeHTMFwJya1p2Ng1fpnsWbPiu/Uy&#10;WqGg7WgGR8eRgtM8qM14W/aCFbHVYPPTDx01KLk5yg5OmshizYYR9NEW82hTN7ZmnQgdsEzIJqrI&#10;MLk/K/SWU/6w9QCEIFapSDrMzQKjgMCsLUUQZnLEB1p+o0j3rkjQzWggVLW4xMf98vhyFeCysQi0&#10;0wA6HavqBSo8omhWS70/0HLtJVr/SHbUSiJlqOQeYMnqj3ffwPoptv+M08N1WWNesmypvU4+AlNc&#10;lq1B4y1vUhLMcQjpVY4QBphYJcwsDduR6hwzLKEqGnI+2n5poiSbk8bgpfwkEdX0VLbheOANFp0h&#10;+0x1htxNBEQdurWPpvLN2xr6lb4ZOY9rtgNamgZeGw6R/Qa4u495+/C//tvn//CDN7/83ftf/dv9&#10;gHm5PK8cRYXwUuqbtW9ryxUY2y/uzv3a76XsOLW8PZ33slNAdydB8ZkhJ/w1JZhTcPDTY37zz/6b&#10;NtGknIqTZyUfOnWWA2f2GINszm6nwCo0xaoQOBWjebCN6d31SmQ+4Elr9qq7YDiUn2ORpwoYic4q&#10;aibzzwrA1O9NlsGJMF7ki6JvgPDbSLgC1/yFfQAePMG9MRlqVGI0w5rQttGcCu1wtmQll4Sz9H9S&#10;bJMQkOLOpNl4KBMw5yPLjRsgn9GSibtWNT3XZraD8ZYEbx1E9lnCOPZKkIoO74egVNpXWjvnpW9+&#10;7f7d/XY6L0JPUFSmX7ERhRbm3MxgST21jujMZN0nS4HneHU6oMyFlLvnZt9CpLh1mHDT/Jvxmg7d&#10;DOzZqQog9rKdm8GI+zHFih8olVQ+DSPnPbDa629zOUgi5TAQaijETZWBph8X96R7t3yYh+YByMec&#10;lYrCIPKMcYJsaYdmcWj2Ymuz9E0HbMUoP+qAqRrLPbLm8cgm8wgy3ZRp1OxdIYGnjbQhc3l4A3No&#10;03U11yxMfmwLY34HF/C1wDb6aE0/BxGdl8ZZuC5/EsZWxeGgdgTt4zcvwppF7I7sCOxw2Rg7oKEm&#10;Oui9fy4cmcIUQDFqXxuAaQimkPAu4ZJJCxQdeXwi4KU19PO551r+LX0ssosdaDL3v6XdCO7y+HK9&#10;PF5fDmg4eeY47DjU97wDZ54t5SueDXHARK4V2ClArj/zycLQB1VxwsGo4kHmHgMkG1jeTVVPUrZW&#10;+B9kh+t/KEehVbdv4dtJXBA49CM0jerVjD27AUWVaI7p1aFqxQPljU7BSsSfhWzDiFtRNjvsQ5NQ&#10;Jy7a1Liew6SCI3mdwesNG0/ARlDNRwfgahtLGrIaHRdoWoRuJXcP17/4s8cf/k+pHp9/7x+sd2+u&#10;T4/9i3bA21eUeP0N7dK5LJcqWpj7VU4427IWSXhI+yHJ732PLHWc2KIx8Uf/C4KX37mV6ceR6WOG&#10;JljRRYtVCVEYeS/6mpNGcTCNiIUTZsUuvTUK2gJ0QrHWVEOfIekYP07cVhCYouY2VBuxVoOMDlSV&#10;vZXFCsE8AKs6PjwSk7f0VKdNaCq0ONaRc1Zy6bTO8dtIiKmT9Jf9lmjW0BJfw53Z+vZQX6XkqOAW&#10;GzkCH7Alm4vHZmvU9SwUUPeTad2DuN1364nNzkalYCRpOCVtIIhJdinrXXv47Nz/wzzbOMZmEbj5&#10;Fh0MGEaure2JjKiNWqglXymNNjJNzMItXOnmr5ppc3U0kUyiOfN0xc7Ezj17XKZIqW0amCcbKHgW&#10;YLvFdXLi1ZhVHj82JDHkNs4NjtYsuZf3lkbRJXOT1aTGmzW5nUfDE7lbF/aaEQTAai3j06wR7RXU&#10;hdWiHKJlagWP1W3jIJ1G/HmFlrAVxWbSX2sPWxj5KskOk2WIbCkiHO4OnuznUPqU9ANFfwEZXiik&#10;7awxoj1urTHNUffRSNbm1MSkP8vxsQCYZs2AuYmt9WtOpq1S3aPyoUfoI4oz5ahFpBLWtuB53jX/&#10;DhtGqxrJ3VShuqMUQI2eya1mAAuZw64QrYbCyXYbiywwxC+fH796flkIJzO8VOnVJSQjEh0HqjAV&#10;QP12WLWqlt1+SQrE6d90TkISWTDnbaB/1W2VpzytWUQzJSL5SC79eo55ZfkL4LVUhK1cZTnqfzjd&#10;1+2u5lUIcU0QN2lZ0JSA1qYWKEIhb6LOXFGnJgPjKQ+Kn8hOpmy7xfL9gukTZb+WZh5+slgVywHv&#10;lR4d2AydsEHBc6o/0dpJaZLWf2pyYdykYAEW5DkYX1L1Hv2FLeeH+vT4+IPf23/8p2/+5t99+E9+&#10;5eXDV8/H8Q7Ezh9/eH9el3sxSuav338t4bfrajEgIhMtmIc+bCcmWLn8jCbdWqlSwmnsHm3PabEY&#10;+Qs2CRgXi68xOwt/WCpTa/Zwm5hvuMP1/Kq6XIUmxBm4a053FEnFRTZm5k76DPc9uGKEkhWSaZo8&#10;HLK0EKApyipAI9Fwu0iqQx+gR1XDKNJ6Vn40rRGnJD1LnZce1ysJpnHaXIazIKJBg59CbGG+Ggx/&#10;c1WGJmbgTmFIDoUnR650O1yTbf8QlemLwtWqGpWh3lhZj49Tr/w+uztLsMOGiraFIcgahtQWpuaj&#10;9v0Ny+DGlWAHnY8Yo68IuK+bIaPbNWDFbEF4Ji0DoRolNlXvnaDjLi6Xbgl1o1esYcJVyx3ASnF8&#10;ltHlp8GULPTtOfQ4Fk0fG/VNNliZbqDNdeLqlPGWbrNMh/6QrcFEdzGq/sR1IQpcUHVYm3NnDdla&#10;ddoN3gImuzhiRmauTqAyCtQ04g2rWlxp3Gr1hmfjJDlG2U1eOPYJkyutmkOZzA6sB50w3HVuQWnj&#10;a4KKgVGhJh2Ro8OpOinkypY0RIVhgrMEtxk4FJSmDjy1WTPfMammWXzJQCTq+deqlAa0dyTMWn51&#10;ogJIw3K14LE0D/UFNetZJfa3haEsv+hnT09fX14WoVpr67I/sztK+/5xMKBGYKHHQYTvgg0Dqs26&#10;2QFtlxiWZl1zXKImOFAw8o9e1Umdum4FCOEC9oTEUMjYr9efJ1mlBJCd4ZJY+v4mqbl3b2TMuD9r&#10;tAW5XqY04+mDBzbrSBFkyzleJU1Bz1vNzrphQgNzno8ts4k3LiAb3I3QIUxM/GkE+HPmGpP2+eMU&#10;+Imy5B2bGP0xq24lxt3bC9/t9PxH/9uHH/7e+bu/8flv/sPL84dTkyTbqyDNyl3Od/f3x8/+3/by&#10;dPrsW/1ItgBXWyTQQgrEXvw52n7MyUBlSQgqkXvv/p/8ThoQaO+QtDj1drk3HBrzjQAsX7m1/xR5&#10;qyUag1DaiwCktptoOGdLu8HERmw4xWkSTI5EZUrhpySoNpwMlS0mhSNJ93LBHlNk/hLVpIwfn9vk&#10;doA4YU5JkPaIxMaGQsyuEqrHsTyNeIMbfo8KQ1wrja2XsbeTE0taNMngak1ao2na7SeIaPBwH4ta&#10;lTs6Z7cw7i9hv5JGVzXjMKrXv2EfpBwo6UCtyczvbXvz2ZvT3f26qN6d0P1JaelVdrO6pwXfYIcI&#10;xojSVPa3qKKyOOXotfkSjfz1IbYM3vS+mXbjN1bT6UkXwkirxDZm5K6JUqmO1vnk1vPDl7svXY6a&#10;qjErqr267MBXfdAGHsYWfWv+M8cUx3JYQVI1QYptsSxkFdcXrZs3OWE0UbmppgPN7KbJxHayVnZ8&#10;scnEbtlURWPnxGKop2/GW7OFi2N8DiN+7GjNfG9K+tE2b4qDQqUYwkCodJw+KTxi0jRvtEVULZT1&#10;0o6pslIC2WRTQiC1mjYobPB8XyXoNWQOyI11yRZonHAKaHuCwpKMaosjQpFqD+K5qmRnGgT6s4Ss&#10;xFiZMUxeadWqlKxozvnC8Gdklczg8yVYFCOI/nuXZliZ95fnr15ekrSsPSZM6vjF7bywx8kLWxbI&#10;pJODwq6gp53QD3yWgWKQ42aLV2z+G37xId1mUYkcy9Y3swJW1FKO2us5Ke+k0yGNhGUT3r70kc99&#10;6ZRT77KF7T4cV/ofIg0tkICKUUKrZgYdWnypTO8M2t8MlKP1eJ2eQFhJ4WJsQXtZDdnFJqCKflK+&#10;Jb/EMJFxP7EFfqzcji74IpFxKptSMrmIcVD0iyGrfHhz/PjP3//r/76/vHf/xX/5kvrZYf/G3d3j&#10;9bpD7Rkvz4/PTw+ffyu1ImPRFJ+ul/7td6fTw3pC2oPuUxVtUkjf5cDUz2fige6bn5s0TcaqHshs&#10;Wec8LRS1xFKOpRemolO/+GBAgbCa8JNIuEPFRnd80p04VnMfTqt5tJpJ7teSUnNyWlOaqHECOPWN&#10;CZ10jiSN36c7n08WueRU5SZrKy7r9a/oPaZosGlPGZS7HzSE9okPOVoP06nGjd9c7FwEw1RbsYYV&#10;YqxHSoVcFo4P0TFK1RHcbvdAhSnXv9d8+5Wol1GMhBuy1zgJRhpe1/10lx++OJ9Pd1haist9/aKk&#10;OO9G7EhbFIPWHE1L5WRBr7oX1vaxG725yOLnPBMfmxduo3J1yJcMSRdHaC0GYc06Dd6ktbul1mbe&#10;bcfmsWEY23zqzBOFwP2mg8TNU7SRjm1yRh6Km/jZRWgmGKMPJ+nceYKM6yCZr7i61rIF48i2MQ5n&#10;7jmNp4zm6WulPC1Q5KLLN9KfhsaHGkyMLbXwy3Mi5i211WLutWGTZmU8Xs9q57EwXq6ebI5j2M95&#10;6tVxKc1FxilQe6iZE+HMFqviDlFJ1gDhEQanD04yYnhzVr16jaox5Ci1Y5aTUl2NP1O0fG7asU6G&#10;7XKhwVTgquGUpwQYUESAg1S5r58fX46rPJItsMtdbfaT9WwK/7FgaOSB2pQzzCx7hQElo+ptBvnf&#10;0tIQHyHl+bbt/WEUYAW6GRWBueJw345lzeVI/czaj6oM2JEVSMzdbX+J21kWVZCb+naYTBrWa6PE&#10;ftsieaKZg48UajAhQzPW0qjVmmUims0npRu0kvwd5KaCwz6kuLaSoKlhKXh2uAbdTR3RVyzQIf62&#10;xuIULpanXLVZlXoD6ZZt9uFtfXp6//v/8viLP1n+xvfWX/zP7g5pcj+X/STZ3afnvJ3xIheJx0rP&#10;AlUID+t2xuGm+WAEr0DEwJkOd9zNffNzUn4bfVn1tIaR6eZIr+D5pEE9McOfwNSTZN9WOeIyxmOl&#10;FiR6Lnxy7QQ3tdx00FhHq9aAny7DwnKAKPm4aLSdEa41lSloV5KzOjwOxV1B/q7ozPNZ45w0Z7hA&#10;aKpex6gPDzu7K1jJsonip6OV0qGL9c5owEhVnyULqZjOY3FkQSYePuqBYNur3IvNoPshtuE895dv&#10;BuG8ltN9ffPZ/fnuTobksSgYJVXTC/mhgtKUNtIMmgd584/ZDKAjs/1VkoOVrqPAG4rqKYXjdlec&#10;rOvUWwZ1RdrPiBbi4Z4abYA6zssW+TK15a3CrDkOqmdOdII3G5vGG0jcdKrllV8nbTKOa4MUZe5o&#10;+MqZUZejBh2oMzIOPm4d/hg99TVL/TJpXNJzknrum0v1COHEUyCJ52x/tOZQWnpVNXFqLDEzeafB&#10;4JkGKNWFuHMXEp29HA0EMDCeNNzI5GpNJt6mPUlada22afBbnfPWsipio/vc+eNoeEf7YXgn7EOx&#10;LRHNTQ0sBhn8YH+HqQ7ysVLrq8kihm3DCiCnciX3s49kZtDmpEW9jXXDjZSb9h/8k8cPL/v1DMxR&#10;//krewP0NrhpNPVH8AiEGOjIvQUrgqSDGkzsow6KcMiUUFCT8A/Iu1p28TbE00m8HXmpvVqpAoDN&#10;qDSvOdOFKTUixIoCwhYvxdIPWm1d2ENC+/4QZ5l0baFoY6J40pFu80DL1nzYi/LSRySaWRoMCDCA&#10;y0Km4rmJobgl2EzWwr8tyI5egBb/Sha2La2zf8YjWaa90xSE8RV+X/io5/u0nZ7/+H/f/49/ff7l&#10;767f/VtZ4r5lC8zLklYRyq4If3g59v63W157VbcsRBS0eRXiQFTvnYTNb/AU1AzMV+0gjuAycAv4&#10;NHUmuzR4xlefEkBe5UfCCJWwjDQwHJYYlIDjVgyjE+jxeHgci/U2nfmrAWycKJh53Ls3lWO8QMWm&#10;Xm/bU3PRhm0MUw+zsUOrO18bbowWp5MR9OXxU2VMmPYMEY5idpWTmRl4epALXBJ7LxAXUWCGQ9Qx&#10;jkUjuyRMwypu7TKkPi7LFcWfH5a8J0GfhZ5vtH7tZ9N6eij37+5O5zODIXUKYoqtuQsZRwuzjV27&#10;2eZH31sa4Kvb62CBkcFE06GZZ+6VINqFl/PB0IN1R7KaySV8XNicUDSYWVYFNjevqlEgmW9MU0vk&#10;9J2T7cszBdirglcvVcf7bcRVsDAt7EZPRFm+em3GMnnRjq6uP8Vy0eBMSLMxMYYRteknzjrZTWgn&#10;oosdUo44LVKqaK/TdhiwzcyfkNjmjFRoJj8f4I3hSjK1tjUkmY2nU++qhJTsS1UCCpw2c0W9KFG9&#10;2eEreue82hGnDNhuzH7klV0rQI0Jv0d0yTQjcGTzKBYnAiOgKDwBu0RglfazZOapyF+Ne0zcmBNp&#10;LKyCOFTGjcqEYY0/lfFC/dGH9497XzQzrQ5b4igZsX82Q5HQJYSMA4gTaXDURG4BectP3mvDYRFo&#10;b1yNvZYsgErx0ctBYlkK0m75c4QMgE4p+04lRouBQ1pxP7MdAPwy2r4faqVHyhN+ZZZ4JMcnaXJT&#10;w6+DOibaM58tcSQB8H1jKjb7sS+KS3I5f160PC8lGPvQHIR1pMtHU3LOnJLmmeXZJKD+xZP8wGM1&#10;xiI2OiLjgZUtJae7N8ePf/Th3/yPe0rrb/6DvtnF4+W8iNRVADCRWYC95jvRCfr2dNY2CU77xRlS&#10;lgCyIM/vd4NaaU1sz25nbFYLRpWK2NAiqmiARZjcYas51p1ozWqMJ9CsGn1tdAhgDWVnmYRD7MaU&#10;xEJ9xMRo7CcUIUlDlDTeb4r3ocs7OCqzuU1qsn+5Ui5ygVEwB64O5jroGMi4aLG9++coPCZkqM9K&#10;ZYsdpgF1UZgKJqpaJ6KtQbJoGu4/GbyrESCZI9sOaLL5peuzxLtr5o2NidFnxeKTbMKDF9QfkuVc&#10;Hj47n073EuqQZgBkmzK+W3S3eqPMvnlKsK7slnVu9Mw0RStYXoaDHrStz81wbjN+nGAe5l1E/5cL&#10;R/ApXZqgBNToRz8k1AEdZeBUNI4MO4fcCRb2gScJ8azGUWITBQ4ptSkLvt1kRyU5AUvLi/wL/e7s&#10;QU4WND/8Hbruy728UB2mZBsjN+ABOSq9FhS9TUcFzxC2kCs2nni6OCBT5VNojQLLoJ+oz3ngMW/A&#10;AabfDljb3LVsdGPuFyEyPQDjLczSZPev0LakvR40jRWkzDTvdzMKrVa3TNfafGFRdKV6TAGmwF2Z&#10;0RfZxbcnS1wwHaj22rCnIU6TRgKm1HJ9BlMeOzFKnkiVpwhTFCtj/sVK+4Fad0hogg+s9dNhLyD+&#10;/MP7Sz1WaDU3Fpegtm85XcRoXWFy59xHg6L6zz0l4z3ZwKopAd+jMERE1TT+Ku2kAiaaF6LkEnA9&#10;Pp+ResxtPgeeJ9Y1n84S6okSPgCR2iSqetUQCeFfi2AGCAacr3opGas6IH3R9mQhWXcqhkNo5VI2&#10;5/iC6NHaarwLpFCirMT+Rx2Cz/8mbou5jMdjrtEZH/FINGJzGO3D3CnRnkr8iJ3bOPVND2/q5eX5&#10;h7+3f/mT+Cu/Xj7/9noc170fOSCEgUD+4bRdDrk/JRFQETPs/MtBCkciiq9hBJe251AdyotfdNiG&#10;fAPNZk9DaxdmNr2KBGgitqmly7JJ4XGru+CqveVSiOoZ7sBmfTibh8YRpwOGi2GodOfQfDwRIot3&#10;p05hD0oirc5Ke1WwDXVGIjcdX9wM48/UQKrn1STilaHFIVl5Gch3SdVFdDG6nkTRb4oQ6pUfoRAs&#10;Unk6gHMHC2O1HlaFFxh/iBmElyhu92uEmNugwzWpfWw6c5CYkJa6bPXhs/Xu4Sw0JpIXg32Sg9Oj&#10;ssnmWs/msBW1fNjkpk1iEh4s0m1sglYspmvKwWKOZ2xmvNFBR6Mt+GJpQyciQLW8SsHkujF5H0I3&#10;7zQeDrfcJMtaSsHFonEy8cRpcsyKRIeLdZSw0fsHoJppeG62HIE4R4HC9XxtmnU8smiJpPa7Ivma&#10;r1cS2wa4EVO//dZcr4YExURzqExy9MR0tmz5dhNYNt7IbDSOqvC2hIpoykbu/JVHbJ3osJG2IJm3&#10;qdceL/RaDnjqVQMCaZiUb/p+BqibZoCQ7RRHR3yKeubg+D8npVZCtx9fCcwaidXR4Tf0yrB9Nbg2&#10;rPh5eLLcOususN2nYnWsDCJZAPoFb//Dcf3y6WmHGgKFaUgjai1eD1n3355O/ejzDMEtffh30krn&#10;nFU14jlNnQPtSzGxtO74jehvp765Lji+VMTRhaOkvr1KIGJ/arKUbk3aeXE96THvdO67dNwvlcey&#10;/omc7iQ4Iq913VJFAo18TFniILj8puycF/UUciApGACzHSpjOA1kuvENvPvCm1BsGFjkjFeQHJk9&#10;cc/SCCEfkV/xNYrZH8Rk254F6rqM7TVTzfcCtlrvH/obv/zhv9//+Ifls299+zd++yGlLz983d/y&#10;qjt+r5bFdHPexOduO7ue6O0srytVvkPb0/kXVUWUbaZNcplN1jmkwaR5Z8/OdDwBVRdQ4PetOEgc&#10;GNstcTA223RpJnSxHustVLO6Y8iVooXbsq5I8jKyrtyJm2JC16TG+Np65sz4aUFcUTKze0hBPo/q&#10;VT16bTSyNP+xDTWApxIyUU9Lr0jxWzLfhR1q6sI5ayQIm7s9lrVardNHAYX7KET7QzIgONcHzpnJ&#10;tooRbuqXA+KEVaTSd2/T3cN9yqdlmW+mzBfsFvIws110b5mP8h6A4yVDvM2PnibeaiqICmm7BZVN&#10;wCNPwfImCJZQRNs0m7VNn5EeCduYjQ/BpzFq+aBmNo6MaRJvgCYqMI1WwLoZLpnEv1HgQ/ksXuWC&#10;CXZhfR49FbF5uj2NdJSnRs0oV5m72WKCL+ljf0IuW3VRTho4pFGTRzLVmk+yxeRQqsZ+eWNAjXdh&#10;vly6QaYp8Q0nXqalQ6kfkSUpVo02+GE+myFQW9E2TJyy4G6GFhiWm1NSnDrEhFyruUfs6ZbVVnEt&#10;cATmyHO3cq0aoGAoqgD612AoY0EKV6+/P1+vGUKSNH1MAWX08mMhP0jcNoafPabV+CTRUT0idYRO&#10;4Ol6+dnT41WEKvLc7U1R3auk2Eu81NZ3FZSkDZZqLhEreSv4gUvGfQITIkJq4mxoKbi9N/TlKnz0&#10;dCvJCBHj7u35A/LjTxkL75GXXsktfc3sNQ0mKQWLhBTdp/tGfVwta702cNFi4lE5ofWRlu2kfL6k&#10;pQYDCgLjh91eJfSrqoZnFQsaEZs5chx9CSEsyUabxpE/UHjwaWHb5DT6RA6BP/jp1db4SZq2B1jG&#10;qXUj8sr1fPzFn+3/7p+f3n2xfe8f9vPJ/vKhf9UJaRgA59R3grdK2hHX1opUxw51SkkFL80bWaWx&#10;ABrunhBvQkSTJmhSCCRzhWUgO30kOpQKOHBlipjp/qvq55skenZGNd0p0HlRWdx1JonE8WoWdaxH&#10;46rSUdcGZSV8LFRJDoFVXzOxsObz42vWzNLRutaNIWlSjB39ozGN7RNy1PBkVATvoUVJqVKTbz0Q&#10;G1u4+WmFRJ1qQg54P20pjo+Bv6Hsons+rhEAJkeAOs5dAdpalKWyno43n+XTw9t1w1RjCFBmDOar&#10;FMzqYNzGZk70MZtGl5oabwpCgNqSZZMHC8WRp2g5R4q01mUFL6negnGbElNqCCP+zgx10T2KbYys&#10;zE0XfPganbhWa3WqpDdGpzG8q2rCNOvSPTvjHi9q0QMVoqmXpP9hb5oD1TywEn1y9NgWS4yxbzC7&#10;R2jarTO7iPGg3PtpabzuJmVVZNBgHtWDcgB4DtXGlbC+6riSA6cJS2+bJ5js/GTlsKvKtGoWQlZh&#10;WqLvv5BWOu/H+mvHyh6Qb4AJUd/8QL1RNFbwMtpN/TZCVios2QFy6Yq9WT53TWAxGkbfLGguyNKm&#10;6RiUbvHppONQuNpJ49lF3xQpR3K0cktOSkxp0BEwdXy8vHz98iIGBnyGF9yGJ+ham+7ciS1AtBsr&#10;HOcLyQxRQTYq/a9KR2IEaTI2fN9H0YVtsMnTnQ4rDdsqSwEXYTsVjC/7O7lbBPV4SN5hauUA/PpE&#10;ao1YIMsuz9HlSSi+61kCeNeTW9vhHehFz2rVFx4eHBeiFnpTByTFeNNjjH7MZxcvao4ZBpA8gdZP&#10;8C0+2uHSK+nmX/uf+Nd+sQ5/9dFIp7tw3X/6+9//+kd/8u43//76ze/U5/fs0e9FBMrvznfWUaUn&#10;Ves3eAF1+pvfmMn9Ru/hmfT6/EQLizL1tPZnUaZoxpLZk+mCsngxD4VPiCtSEzqeMU+FdZ6gckA0&#10;wjrU0Rtu1HT5yX/UVY3tz9Z0dY0t5fCRERMeINRF6E4dOM6m5gmFiZ9zxtyxqNDipjBKZsvLpnbJ&#10;NlW2Kip6pgzVe9VOQU2NYLQoRXIZ6pT2ZqKPxh9e1VXWSkI3ZX9JRazu8o8KhaXdr6d/zSJ36O3S&#10;+uZ397ZvfvebRPr5BlubL7ExfoRn56rJrDW+/yU6zt71CrIaZBe3tDFQa9bxSsP9OcmlWEUSpqXG&#10;iSl/TruONyzemSt4E7EbZ3lQGGKQEN1P5vYve+Cn3LKpbucZML5KNjIlCOevptVVYTDNwST9eVhg&#10;4pEuDUNw8E6JmwbU2K5bXqG1XxH6TFkaLFxUXZlGwKADhaEDYj0Jc5c4wUubulW0vQvrOKcRba4f&#10;vLaCqX9ojKXQzcNEqVm7qOZfzPbh9l9TFJJnc0uFsFGQGQinRuham8/8HijRbPuxGHHdqHn7Lmb3&#10;LRUO4aCN7P45rClo5iL2ZAyA2JphZJJCBuQBhJbEQYppwLWi/lKqzXWiKG/leb8+X688I/EQkmWe&#10;JwahA/XotVb2A4Trhg78Gl0BivMc1qLCBCd0AhAlxmjfIclSpww+3C2v/WKdeukmF1aMrAXO3v77&#10;FjkH5BeUspvYL3PZ98zCrlATIx963p/Lel/zkvvvPT/UZY11j56cqs4P8e40ME3SuuFEWHgiYSgX&#10;z8yh0gGRrDnBs7RNolVa1pSgreNngXCoirW9Ltfs45jTAeP/z83P6sDoK1g6n/s5Z//DH7780b+P&#10;3/rFh//8t96l/Pj8+IS+52d355XhWRAzs65bLNmbhQPUntMpm2MABwKm2/rJD526DUwFXx2Vn3Zt&#10;xllWZzDJsZn0OZD6tWherj4dpLkz2ziHkefXTBfB1W0ZrTON9KiY3je7SJM6MTrWkqe9FIyPoI4L&#10;azMFpTOpdjTU0S1t2gFMHh+GPZrmwWqhesFCt5vNckRBhRdwmDUtjqI25aibZ2JeJitdWACT1tey&#10;GAQonpde+e1XGifUCWDFpb0PXJAk58Hj9GZ5eHO/wkSskXYqA5majzOdSP3mPkakeNLHLZZgH3Hl&#10;Q2lzNIL1xuMkW51wNgHDD94wWWOhlH+i7nKnyHB+40Sx8ColfhC0LRMzThRm1byoa95T8xih6Z37&#10;6ahXNKZwxJCR9C2aWdxVhX+e5hWJH1201Hf9R2VENMFrC3bGPdmxw3de8MAqOONZtYPmPeHrZsKs&#10;IqqtrDbUXESMi1yoa6mjTR3N+SgJ6YuyMy0BQ33uJPf2+iGOgMqsd5RVpK1Ek1AZtjggU7QyO4XB&#10;CzOyHNE+lj8hX1m4pybLsnEtqoZSSYTsIWdw0FJIT2RpcRXxJNJxqWuVjFhheO7kQAe3nGgPmqnx&#10;zRKJEVmkWWw2ihZRAuUv7lyK1ux6Oq5P+95UxB53+DG0DcanGEmNB6zFi3EbsqED8LnKtCfbhpNt&#10;XxQEJUSpGwxTxRZP9HiRSogPWuCL69IQNt8/oVb5aGo3H49Npk0BC/YK2ttFPADbXd/zkDK49uJP&#10;vO3a3k+cPoBgg0gluV3WYJlVgTHH0BAgFL5NifAjy4M42WYJbLoYi5Q0G042fTLe1t1rsc0c/k98&#10;Zfgowyz+1RrDoUPEVRYV6MP+5396+cH327K8/a3/+nQ+X58/vJfY99P9SXzuWmcD8eNbGOVFFLzo&#10;RJBChjTaWiYDs+FVuk2q8DEDD3KH+x+936FTaWtywAbePAC9keSirPRm+Ed5Upa8R/mcMztFSd3L&#10;gUY3lR7ow3HjsI5DbXJT1oSWHM4ZuAQz/MHT4cc7SgzlUgmpnmMBkVECWXJKnt2l0aBJXB8Hix8X&#10;MSuejVCY0Ozkq/M/ovdIu04QwWaam+S9w6tZQtnzLu6WoMLrIRPGxlWjelGw+kuk39t49/Bm3U6i&#10;YVCCSZ2mOq/vQeKkOcSiYJNtL9Px+tyOGoRPEIxe7VGjUYGDj0WE2IPd2u1PQDc/EQuSbQ+Lt57C&#10;2Z3nx6VmSazYYlMihl/fqzGnfQY/vWACldrYIr2WiYbOpshQAdej7pzyOrVg1pagRdBNR0YfOQSP&#10;UMX5v4DdxeNFs6Emu5qeruQWyjzk5OYOwRFBOoRVTUs3IRgCx5EeR3W0QjA9AO5/xurhczFiS1qY&#10;r84nHb4j5YPwpRfjl4XJbxMMBFMVRp7clsfc2ps2ux3XYK6WhD8hmeEFZA0dTqWy/62/WMJ/cDHF&#10;RRDULA8riB5GMjSiEG8pmqnvqCUQUamUPmF/8xcRSD1HrPXK73p93nfK37OCfeQPB8plyZMTzn7L&#10;trk2K2RZ8F0kjkH+dFrXdVmfID5cI4Rm0oKT93K/5Be8p4XYscD4ixAJtFskB4k6A/xP9ZM0p5K9&#10;jBSLoQ4+W+4LOiVCy9bXyLZfJBoQJ+ay3UX8KIBIULtL2tIp0q4eU7aD7JCfyYuqLmoMkwNq8BAn&#10;l4Le+ogklOZTbZ9ob75m5se/rrwjIMHjVv7aBuiQHciru39T9uPp97///if/cf21v/ONX/7uy+PX&#10;55zfns68mZLZGzjCGBC1O8GbmRjNXeDejIwjHypqerIhuMwBzWKeSbB0sE6ONG+yhaEXbTHMkgfq&#10;zXBHWVqoqjcqzOlZCy09bxOk6z181mhtZF/eQLonnJzc+UvQZNcEl4Abu0kwygbCsgij6JKtZEpO&#10;LfubaZr9qYPY+qB6uyLNMpJBBTVslqVF06V1JwUZMCMJjJgbKGMJWsv0E1edK8jhrd9n+0vcL0LI&#10;pTHEKSGN/l1FewoecNnK3Zvl/t3Dtp4W4OCl7OMCmoIL8AyoQZdZHZyNkcqcbih3r0wDt3dzvMl3&#10;btNnoGkSHm5M7KE26Gw1dYBEvKUN+C0+BUDGOUPDjBkwPUWvhYPtSY44iuPkZi7pNlo2efB6cEub&#10;ciMr1dOA0pPT3kKUnVQabdznvZVBNeQSw82igmqGqBrND8RBzAMrVWHNF7Oi/3+Y5se9mRCDcNOR&#10;iiR78H305SreUt+CdeA0QgkLOlMpsqbe3KpDx7AFxXQzqgeXRVURN/XhaUezaVywZBBkchTriHOx&#10;0KiDjogYt4UjSCQ2YO+RbCKluTbrIYGXhLco/1YpcYMMQQWm+MU9nQP4Vp63IJFlGJaesLUOhqXx&#10;6SqVn8rfUBtz7gvThHgN+zfcSw0ls9WdVFV0Wo3hGZAwrkh0dhjWTH8IQnpFEZOPSrigtUxYAgIx&#10;Q48mD+j9Nwp4LaaXUs4xPWxb0Az3usIC34+/CP9bUkUExPkhGldHsyLQgo6aHInPQr7R/Kh8vvR4&#10;m0zKlibSRpysByZoMOcGgwYYNNL35ObcmFuOxWxWaCl9nFD9ugTkOjCHmr9mo8+pKFMAjF3MtG5x&#10;O13+zz/48If/Lr55e/+dX7/L+R45iNmRWxYzUg1opTM/JwjHAZpWEXkzroUlHiR1IFEWrJLxqPgH&#10;6B7NxBqG66PpDsH+J8IZkgIaSJnNkjLipA9g0iLVOlEBELAMZhWMx8FQdY5Ga5+umo3yokxbDN6m&#10;TFHQJBhKyoCS3D9XkjCxAzeCEUVTLMdjlfs1Wiuo3eq3O9GCMqIzqxWO40QRlsidtU0IFEz+kNNV&#10;MX9ZqiUyi55JOl1UA0rYCfEU+0sSzcveXEvdjFuozlQyPVKv/Mrdu175nbflnFd9LDk0YnydMqPb&#10;SFeg2tP87SaXT5Px3CLs4+hsRFPY2zTxhm7Jn1lMOBSNfaWHjkrnTbQ+rnpM46sSLX4sgE7um1M4&#10;lsXnqrc9urOCjL2bDZXlAIHIc+MujXTfORZEl7nJXBCiaz4nTqwHNjXLrxm7R5u+dBSvIbn7uDCi&#10;C0JKezgBzYMgk3DL5hVvVEa1upeq+0wY1mjYAVjMDKUR4pjBU4+fBz1Cv7+0EEdFGy0kvtBc2P/t&#10;SiPQLIQf+AgztgYdH4E0vXDA2IzBZhH2ZthAa2GJE/PDAtkDJAKRvNEJG1Q0K3EmjGPQh7pUgP2R&#10;doVYjb8qaE0MUapt1WrCQ3vw/eXlUkuaQk05x+3X81IOGeCldIcF4WKu0E0thI67EmVpxtvO6Ffx&#10;ts8yOGxt6kMdVSnS/Xpu+HrRzhwHdBWp9D1YwdSkeqPrToJa3xLTcsR2HEV2s/5TL099TzzOb8Ky&#10;5euTZBEuJ46M2t1n04wIqUr9/LtKmViEo535H67A6AlkxeuMFph9xM7qR7SuARqNfp4zcpdIePg0&#10;63N21t6Eek1LuPxqeL7mTTPc8ifi+Ce6A3jY4aQfm9P5vvzkRx9+8C+Pdb3/rX/U64off/Wz/n5P&#10;HnTBGUdSg+XCkxGGzFS1NYUwtXoLjJg8VcEn8DNRSSBM/c672ksTT2fUHiDXxQwjRdGoBKM5ounX&#10;z4fM0CJO84hEtgeTCWjDtjblEhDctscpjvujHa/dyHgYagdsIPbgk9JkarVr2reulpcNTdRLf6D6&#10;EiZ3a1KaFMgX4JlJ3KDZsYfW84gWKCGPYEX6uRrz0TIldrr5r5OAEwG5h2KODrw3uRMXHSPgzur3&#10;dQZIQJIwt5YuARN4zFlNzGuAr/GkcVkIo0l1MyBEYyp6qaOtgWAIbC9uLMC5eRxYc52limCnRDwN&#10;yW6T0gXYah74qzLzgk/p6PaoHqGFR6TU9mrn+8gpdMMoM/8KFqM253INvkkbjdiRvRkmR3/2olAd&#10;D+r/y8nNiE0kGUWbx/3/HpgAJT4yuBfqUD2zv5EsdiMlnQ4TJ4BtxoQtFjOqUQlJExIa2l9q0tet&#10;pekQXMZINvjEMZ5jPl+k4pjdsiyr41FIN8+yQ7gLJbF5enCiYV3MA0EIgOYFSEnTysLjvwy281EM&#10;MtMUix+Nq1cM9Ya9OR64jKd1wTCvUi+jmblGqLA0KAOuuzwW9VFRkZDU5W7BQrKg/Pw8bj9tFykJ&#10;CR5yTacyEZIVi5olspcC7Whbbf615cTnvVdpBZ9Xf5+bkoAi8OukjMasFbGM0YrAVuJpyU+lIYkw&#10;OBt2kbaziCclGAJlcrsWnghOGCJK2YdpyFHqkjk3bUc9xJi/rXE/8vW5lV10o33lXta63afrs7gR&#10;8rn/7P6Lj7t3ciS49trna5hRxFnRN9q7voU/vhdxTd8f8vV4ITIYqYEyiN5fD9de9xuNnR0mGRfv&#10;ATQiXjMVbOFuU8rRJ/Qvw8v0cwd+cwU5Pc6eT6N28PT2i/LyuP/gX/zs3ec/vTxfXl7Ov/q97Tf+&#10;fiqFvXGeuipaoIslyMjOlGwmRuWkqV4aZfRsddfWJiSWav6pdzh4y0bzK+Cj5ag8uRZRbeYeKQTZ&#10;ZlNvj3rV5aS2EPuzNFfHNTveBTXgw6u0VUiIW403ssPgaQkWeI3tuUYKT1ZkcyWTZbKEYBcIR2Dc&#10;3DL1EINOkgG+PMQLkGzwe0rHLrl1V0PYI/NockLsc5HJdbF4oAooLRYzya7sF+SI2m6ImvGlqpls&#10;n+oSdGZz9KexH9yWc8tPoqevFwWDhDApqtibRUOUfHBDTco142SFY0QumngxsBjXOptdvZlgypQB&#10;1pomZHMfrWnUsH2JE+bYfqHTSD/HFkYlSbRg9fsFy1qzSLX4MSBmpMrZV1CumSeErktIeThV9pCv&#10;qtjUGUSOX1bDOMVr1aISeDjUsmFGkJsYKaSshvQrUXcLh6HGRTWiatCopZoF1k8Lh2bbssJWmVBB&#10;5ZzjSH2ieQX4kqSiLQwMqhn8kpyyYqk6CmI4HwePx6cyp/zASlWI9gbJz8TBffFBT1TVU+J0J4gc&#10;X3In4pQNI5FbIJb0y5Ks7HOOKI81bsEMKrdBQaYTwzYyTTkJ405fjbzud88oFfTwjVryqESZNKLO&#10;kIUoj9sKIUdpPnvV3M7kpIVmZk98q4ZKcNbXcGXUGx0e1vWZ5iLY7O5y6tvYtQb0MKuv6DAnhh0i&#10;gTVlNmwSzpdilJSNms870nFb4ieFohCDdoEd9u0JORVossOSJ5hmsjXYKa1I66FQ81hOcb0SvFGk&#10;fFyzdqDgajiu/Qs47kssapE8KLqBu3qOYb9ejstFnBbyEp6Rsz3HdRX1UzUFXuBEi7UqTTN0Jeco&#10;HEN8F/2LanFf7yTm/kTqpzeADEbfpl2wKMLPT9ScpqdXxgcNHm+GYcYJM+bPv9krhq9/77/tJ4OH&#10;73y3X53HX/n1ZdvCtd2vC04w2nNcKB1buIfjGYAvrWoMLjT4CX0crvR2ztJQ9eyGhNQ3PzRyVNfW&#10;KFGruqCIgOxIYnebPAByjx8oQnuZlVT3LD8BWHf5powlohrxsdqBdMe5eqWGLygseNYL1THM4gGZ&#10;Mb7yvK5Yh3eSqCUOFDj9DLU6QGr9328SVoLTnB4pmlIt5PwgN8KhnnslR4idX/tscj4/2J3CSfOC&#10;Xt7GsVpgCyeW5FS7Fsx4XaiLkQUAL1jilpbIUXB/t6e743perk+t/0jvqNnomgHiFiCPHq5RoqNZ&#10;G6sZwWzuJQwrpueY99HwWhay3MKYp3Lxzp58ZKkW2lANRvcJtJ0gkjC0KRBlNOybz6JsM2uBGwCv&#10;JxKxrDL95PkzTUvt2FyaaUd1sqig0docJugvvrGIIxJBxx9Tfmu0aa65MIJ0lib+N88IO4lnCg5Q&#10;6I/o7sj9MlOf9dsQwtDoPaiVu4638LgKmCrS6vjEGnZnHIz5gg71xcoNjAdK9I08mFVnh1qS5OKg&#10;xKpzQexYitSBxnDiIWsftFmw0gD0LBOBai4NIvBvhfJdFyIha8m1RarB4TEvUfCB8yiTVFHOhZHG&#10;0j4xusCJpDmkm75QvLCDcYKB5+xgrHQm31IJJdfwKl0WqbeWqAud2Y3gg4KJbLFLcUAZ/xCXHXDn&#10;1WZpW8R8xgc0ypxphH9Xtm1b8whorAZIp6rQr0YGGLXozerGqBzBXBO8smZF0/ZF5izTpV4Z8hjc&#10;wCaN7Xwn7//lpa9oCzIPQykxb/V6kZsEmAshi8R0ffvN5fSQn76MaSeuU3RQy5bzsl8FWcPhTv/6&#10;g+YxFDGt4P+JIjR41kfUmPCJ9hz9CIoHZlvkGSkHOUbxBpn9CevCbRjaXNM5gXHWDswnOVBsfOfs&#10;16uXuMsKbZj8Wb58PfEJL89f//SrL7/zi9856uXLl+d35zvch3K/LMHm/tFyGBx32jyFHEKJgoKd&#10;24nnHFW1N2gKEh8oJCD3UwB0VsGXPnnkjpR0M5T7PnrACXv0rsUC5LOfN+kcML6E1hkVuG7t+Rhq&#10;KpZw68wbV6olI08y7OuQNV/Z71W2aAnIPSjsxoqRNWNRlqrDXF8L7gzKgWv0WQk4aBAS8dXlGEae&#10;NnMtaJVNaRX3rq928D8gmM1FhPAMyfReBNB45St+IiXJAdKYsCzxmrjnNdME1DAP0xrOYLlIEWmu&#10;/xYcxakhUNgakpVS6gofiq4wZde3GoebZ0qtU9mu8lGHyNM6nzfhAUP61BTnj1PL1EExvJkKBzeV&#10;bo9G7gQeSMOSf0OXmDOSmk+Ei2EHmiFq7EMwUkG76e8Tkk8LfYFIYfFdTN1y0FPUkcmwerIHOwYV&#10;M01jcTcjWR+41vRug5ctlYe/Vn9TuuuL6YxUFRwHUe4slpcUwYfn86VVfvWPxwpZtOlSNMtfMtcC&#10;rjUDoGnk92oZE5GiNt/BniHvUB7hEkdtPgr9iapN72kbwERvJEvNnZBx2EZIFr1iLXrgUdJGcphm&#10;sHTBeoyOm2t5iGo4rJNXp8IoOAasvm+7DHWkzio07bQC0YigO2t1Kl80QaRs4yj6pdV5hTD3JL6F&#10;gSpVZQ8uOwBNLAOkM4UVkq6PXAEIPQ55+2JTL7jmjfNaeWkbdLe7kLBzX5QxjVDXx4Ilri9rd+Je&#10;XJ7YhqEyrr/s80PcDxEBHEtZz5cW1qP0ErAfIcr5XhpQ+956kbPd9aWgb0dp39PlkV23pGSjpS9k&#10;O6n++NQlAG9MThoyo6BwqcfsRhvFXBvriSJmpXnnL3wCeb46zXj022RFNYh8hQXcmZiuN67NZvuA&#10;WGHc2D/Dvu1JoSBapbpfJfWwr5P1YBxXPw2cUb5/uF6/vW1ft/Z0eblbt4yu8qKzd/WVVXMayVGF&#10;sL4DGoxVCh49APAuZI+l2FCFMZkHxeFSxvG4VwVX16/8NAzRxdqCnmWyS58qzsI6LanUHrai0wA1&#10;kNLUJzdb4Y4iyy63Pda/yKOZR7dDOMRDVkStpbIItAqgVVHAUqH0FHtPNRYmk8wW9BRf8BmtSo43&#10;wAjUPzvgRkvTwWQVph8HpJJx2Pe5czBgCvLZW0Jrl9hPevORaY0OReB4J6EK7P+nigBNnF0BI31O&#10;mEdMgsZ5DlOKhSXHgUo2eCZdb0X7PhGNuJKsm+GKz5la+yrJYUiw8Bf5kwA/ZKo6RjnMPvzoiSC+&#10;P4U4ibK4/tTU8u38wO0TfOsir22qdbR4P6mDypgesHqraZAO9XHkYSgZAqaCsxWcNQCpbf/C3aQ+&#10;uxQu0bK66kKyJeH62nlL2WU+tWpQvDYgguGn1UfSJo1cDSMHA1CPaOHvUdf12nSwCnNkMfwNqh/d&#10;m5IZFNS0Oj6j5uHRmkSoPn0Uga15N1ujMka/Sk37iFPXvkCRTg+3YVut8GnKKlFVsNdGUoYwU+jo&#10;wPWJEAEwnEj1U0uIFkaMwBbuy03xmgErA2gX1VVIq0zJZaLGj0+ZGY10UDlsFMhS+kezNE2vod+W&#10;ZWkuPExXlrH9i1/EolhTGMox5aTnpdiJsNDpoeNwEYUyp7B/+vLdql8PbFaLS70l3WFwTlpj2UM9&#10;S5tNOop3KVzg1ihy9s5R89/l1lih/BOTtnxAdet3YA0vfaeTiB4xTgjiblm5pcc3b/PLiyQuiq0l&#10;HZJfFcp6L3L4cpG9YXvbd0f5gvO7li8CxT72cHlZLh9CesnLel6X/JgLBofSge1fzKLqSMJTlIKY&#10;6PxFV0syWKnG49Cz1mqhyKEoDFeewgIkHhsdcchmBvQ5jASyWQwmZ/3mPNdoyrKEKQ5U6tsp3t/L&#10;IaMfjvOiqfXUSEOS06D6lVNjf1j2SxKF7LVvft/Y1vt1q2JuuZBDKIKXAzFaTUsJ3pdyTKKvDlVO&#10;659HNtqDhoqFWck9AeltV5fA4qqThhy8e2nFgdvmsEgWcjSaBkbIikbRVJyh6U1rRsKQYNY8lLEH&#10;YlhktqWeGXlO8miaGtRY06TDHu1hlfus5H5Ik8e0Qp/JowsuiyrgXUC4ShtT2iRrqbtvsQ2XPMNi&#10;w/CsRp1gq/TXgTpD057lSEiTcwFfTfxAcl7QmDMN5ZHPsFnmIBokOR/raRVnfEa2LbM32i25VDYV&#10;AmLWqOlgtkbZ7qVwN053TEBoJ3/rhXmyoIJzxhHNwCuEibj6aToUartb1LmyWNNfMRGuZ8WztVQs&#10;oE2+sfgYtP2cPCk/b9Y6l6EtToE94aaaS5oKO/0gz0sNzTi/YfAPi6YwK+8tcnCqo00u08lN9tAm&#10;9FtnE4eViLeqmLIxw9NPqNWRflydvhanoW1TeJ6soTxa4YjZTFdV1YUJ6eRioZmTPoX2jJbiCDFr&#10;IbrWNvomNsAbIGbZuXtixyk9Imnc140fs410mMkAivNinj1HQasuj5ugZzxrKnoNBn7DeVRGocXG&#10;gIodby21dqNmSzJU7d+729vW4WfVRYBP/V4K3M3JQl3UiFwUNS1LgCQMSQRCLejN44c0TaU2wBD3&#10;VIyBZlqR3EhgfiYbfSlJPLkOI4n2UGDfMuqAdhT3qfBCIUm9S+1p75c37XiDnBS6sYCi2UJeLO6f&#10;q7zaxizPKE3Ovl6U2svG01kanvJORBbX75fTcSz7c83w4fX9u99By6XJJiH6pHq/LR/+sgooKgoR&#10;ZllyKb0orGs/ql+X8CD32bEXqPaksuQxkUmJ2KWBgxmLsVvOotLE3Tm0QclVory84vm3Ic7mm5Fr&#10;ICXSgQspb+pONH1wOOqxaN3SuhGELHfYsjUcAuVwdhwqZrcIF420rzWv6/74/vr0KGdKBOfsKCu3&#10;vByA5C5W9jkBqrnSV64lV1+hLUCPHZV51qaWf7MYW2k+ix8t42zV0FFl4aja+SwaOQfVBFZiGlwr&#10;v0sOstVew9GGri8bPdI6Qo2h8MU9p1UV7XXk8XrmgYnz7daMlD1Aur1j2KumvoZhdFJNAUy1qTCB&#10;06a//VdssuM2R1PGpqOYjaNvOAipplnRoN8j5wGVPj9qPw6eYpj5gPfZK8vVDDCksOamPjh5nUkm&#10;5ZJpIjzevsIeODErQc9oo4DHyzFAPFampnitgB3+tkiKTZrQ7sM2aa4suDVwvqujfCTEMfmi/EqA&#10;xUitpu1YZux9gmNk4UAZdYkYuNjZOaIR1D4WnM2i6mny53tIacHdpRbvM0Js56xXld1T9QqnmjkI&#10;1CPmxtFIunNUuyxces03DJ0Uslatin4Wd3NSEF0cPSJG9HCVHx66ZK1hL9aHzKgFG+oHlYRVs+iE&#10;MIjWAxcXkrV227RfjQZiG2LZqox/qLDt4ibPAoizJsGkkha+k9RriFN68qGr/mU0Wt6YMbO1TtdZ&#10;U96m0+ObXVI1cmD/72uWOD0SSZ6B58edD1DV9rcKqRIeYzvzVHVD2PCRYCkVDbHpK1Ax+XuAachm&#10;Sf2hhE2fqyderDyD5xqPFD0ODAFy0iESB3qtNzlwOJvwLw6RFy47no7Tsh7wQVowiDiBRSMqm4ky&#10;YpjBdIR2kRcmw7Y1iSRlE4tFg6IP5gKc/PvGfnfannvZB9GRUJz6yRjdh/7GIuJCVSHcV4ztvpVr&#10;Pt3Lrpb7yr+19SQzlOuLHAYeWru+ZNTWl6fHenkhiBb2+yr7Vl+YM4vvFtzrObGKYhwh2MFU1o1a&#10;5dNZpoDXazwKESrzSRW3cj8o7rJv3j2s3/pGL0aF3vXm3f7+q16GSmEnpozFY7tUwT7SRvute7Vn&#10;GXW7cm6JCZM7re6X/iFuCPHYTUrd98IVDCRyyKuPc8hftynRzcqGZy037XiLWB9czQpIe7WYPQl3&#10;ZbQi+qKJ1UV1fzFePJQ2fOGKP69mL9NoFN2REbMAuJGFCypLoya1nqEDVjVGFaZguflga3WFh1Na&#10;1GKo6SjBItrqCzg/CSmUFl5BP7ivXRbpjU/+kOetwo8hP6FIvy1kV1Xg66888GLxl2w0kvJDvEBs&#10;nYP5ZYITWxCAqWFNasjHoUHe80tfBZZz2c7pZQ3HBRxsfHZiqVfLnxnZF16haOguhThM4T4Nq7P2&#10;3pIqV4crBX/M0J4FOx41NwKqMaNqR4gn+qCt42jawqb0nOiNjjZpO4JFIvhjo5HclIHIGu2A/rHz&#10;4baqWZPfLDxE3eau0Znn8SpkPQY5U7WMUDxXAPYsLYuFuy+c2WoQqnjNC4VHqBAhVfHpHFaEVEs/&#10;MKNccGVjtqCCWo2hMHnSqVml72j2GLHBmGbvozWOEmRfTUWgCMmqzUwjOikptVnETvBoizS739ny&#10;1RaIhWGOlmk4lLXmrfOkTgTK8ppezqp65zQfcWqbmKxY6wj0bWaYA/JJJbsNnge0ItuSU7IFDpPO&#10;xvCTinuymUMFSbO9aMnJYetRpzNpcATlWixSg1h7uVqlbSg79qmb9tOpNXSMfrMxhzK73T/KVnsx&#10;Ji16c+MHUnsleQ55wYyGgtMCWLmChRf8ZQE3jgQEiTBrghdGqq2MOziqP0nJK/lKO0yAK0M/pJQB&#10;UDVKKq+QxXs9ezrLSPW6B6Y29YKq/82FTNJzX/PL6R5ih34DvV8vj3G7k9PvsZMKfemLzLHiOl1K&#10;gwCn7+J4V2yNOeLSb3M7eRUMlwWsZ5FY/ZPDvGs7taW0IsycFLSPXfuO2OvOh3enz744f+Pb2ze+&#10;1bft/auf7U8fQi9J1zX0f6CB6l8mwffC91ZSlfJZhQhQkRClJFqZlbEizJpKJr+0/+16kj553PhE&#10;eR7WYqNmbZtNjEiF+5vyOdicT+7cVWLVB1SwKI0qmTIhFjGtI4sHJEGdGWAswnOgzlIrqhScmXeJ&#10;RI8afEXVBvRGESYKs91HvbPly6T916S0CuYZsOxTDt3DpNNQi0rqTxj39iTqZNmDUZPFU1W/Rb21&#10;uMRJottGBXlTUbHE3DERwYRO6t0DE3PqgPBe5A0qXslvGY3RiatmH3IUJ2n1FXJZ4GLkWi0JnAiZ&#10;8a4o/yFDZZqSiG0qRld2OGBIqkkVeQ3r6DUxuCwhPjuMQEkLSVANTHL8Z2vBah3qm5t7K0XCWnHY&#10;7Nt/VYm6nscXVZpHTyl6VcZNEXqhcFUkv5CDUeztc53HMev8N6aHhtKPQJxwcyitzRMPR2feks1v&#10;lNes4mjLYXRzbGNKoagvGW4F6qJ9UaeNeCgFULZWNVmzz+AhlTC6oL4shoKJBghMThJo7RMaV7w7&#10;oq/Yh9u5Z3hmgZc7FqZGy3wak+/osmh5XYigqJAuj8111HZxVjVpo8AGaO6K0SYi6yS+V3sMk0ci&#10;o5m4S40lvZAAXlfgrajC17n/pUes4nm11l3iDZxTvKV9mApJ3ffVurLqd+SPLpZUQusV6112rfsT&#10;dZVlqq7oDfY/VykUli2nKzZFqfOw/VOhVuEjxKEkFc7l8WMllY/cE0S0rOhnYH0DklQqKBnWSBZi&#10;KEzeyVLapctxYOlsrJaY1bFmaZDWSl8gFEkj9bj0j+7KNrw0zBr6wLkXm8vlEh4eLn3bOydoLvq+&#10;e9n2a922JntYlR1sOV1lR1lzP0Z/SOn5gwgjgf2JD7n/fd9+dKL28tSPme04osTD9m9PErFU2yco&#10;IrrO+fgl0cWERQRP83YqL0/t+bH1urN/NvcP737tb51+4Zd6eZfWte775Wc/2R+/Pp4e++vM2yko&#10;NNzuV2vIT36mmcTWYNda9dlmDpfIXyFv7JX0dnq+XMr5xPasLvIyFVaxfKraGuIxkOW4BYrQYOQM&#10;ZFeZJ5PyoNs234xHkhUffW8Bo7jTKHgNQkea6tBFlhs4Dq4UlMsROA9Qp1M5G8VhJCZxyrEYfZ/h&#10;QXHqzllRZcxgAej2cxOnjFIEHlKQJbkzQPTTdv9AEAXV4CjBT37Arh4sTYElRLCfy3ab45ZgyoOU&#10;Vm0Mcayaqpq022KLarYGxRLSoYMTNjN12arRaZYQZeX12O7Wy1M/LWCfleOmXCsz6dWogulJITl2&#10;tRkb1nQWF9vtZt+ciWMSTW+1TaM6rlDygOY2lBbcI9dkoVAj09gg6bO7fAKjpyF/jkZ9aG2OGSGi&#10;OE61ozKF4mE6yTgViFawjw1ywFyCbm03i7sWMZE9wIbkQwVLi8o/sL8t1S2xbHmMOcbc1bl7qaki&#10;sc323mKnSZkJNa2czBuPN/KRwkj77W1OneGNKX5RzWdpI55ez2ZJhyCq0VPtXYvOhKXRs7+ZddDA&#10;VZZpNhydVlrdb9TuMjqKlAsV1SF6yl/jAgGgCbpC0sKQtnZuwQlHihRvyoQzSZBKwBkAonxKC2BL&#10;sMfVm73Pmp3weJTWRgyWX7Essg2xNCVLuZFufhrhy5F/kU1tG4k/rRKcJ+/ipZbPEKGO5UlWgI1z&#10;eAwelqAOqV5lnJOQmgoeLCqFerkmQ6ZQ9mPfli2FcpWVWipY4a7h0He39I8ei5JyGHW1fGntTCVA&#10;1bnUggL6qmC85Rqe+4URCb0I6GTlXq4v+8M7maFeXlY54K7hEBli/1x3OeJLeX3l/rRu5e5t2e62&#10;r3/a7s7h+qQnApyi9vpeAuIpvGi6bvVrQbXBLUnE+xvOq7CcymVl/kwtx/rFN5f/9LvXv/xxf8On&#10;z7+5ffGtcnl++csf788fZGdNombvRZ4cIooYm0kJiixJlLb46rnASSSZc04zVjJ0FOAV9eV23dL1&#10;pe6Xy/kemAI5aohwRzRrknwfTYUnq2FuA91kMT5qsEtxcuNblgLONIijzNpMxI2go6ySF89xkSqm&#10;eRJCQ10vb1HuJ+w6axHcClpnqdlJtRplsU29Gjbws764eqp8DdFTdQ4+w4Bu+LrR97e1v8FSD2hR&#10;yHoo0g/py3fqJwXBRUiDuUYNVw022xUIb4WExBpIOqlvYWTtYh4kv5qgatF6wH4HJ6nYyQ+V1yCr&#10;3RpeC6ebprYzWFqzI06l4vFgBzD14m9N6Nq3yxEcpNbilGARTYGNmFNsMcOr3pob2hJrtdDmOVMc&#10;CdouFzfa57SsaMyJXDUY/7Xn2kYcsfU4CfoJBglLus42fyVGSI4y7KhKKsweCDYxrEfSA2qtNBkI&#10;b0r8qf6L0w3QhpherxY9AE2b25TeuB1wIN/ihBHKnlWCTZJHH7bXcTbW02ry+EHbWzGdiQNPyk6s&#10;Fzc8SLY2tW0HuW0ga22cdkA8xWJIRM6ILNYaVxvXGsCkjRaITBDxmhhZsUrXnAlfcaxeTYWmftEI&#10;Cr9W5BkBLBTbdLeZxVFrr5tRmz6MOlXVk5YxsoPPCNyfCZVnG8KSbFbaOI33fPavhyFDxM8CIva1&#10;HFoQPYwFZifWfbBPc6auJ45dwzJJzuullWpiE80GOZfKOxlozL7cLUC/tKrdb7jaZbaHS8FR7mlZ&#10;DlM38c7uSwwEUYVumQpXH5pD8olfwTWFRDa7LtdF8kLbwA/fktTtNbUnRGv1fT1tS68p97Uv9lma&#10;hL1+WkUcfo3HLhZ4uf/206n/dy9XJRl0v4gc5vy2v42+CZXTOe7n5f2XfR/KD2/O6xZqL8pYHMv7&#10;qrGO0JDgCWee21N1UKb6WD4yS2AIYV5Pn3/j89/87ZqXL//gXwWEFD792R8fO66x3I8rthpO66QU&#10;oUOy17/tesj/5Uz2Nh2bNr7UvyaCTyRbJnId0fmyIZ0sK1l8izIC2JZ8wdmJ3J/FDO7NYqkj94xs&#10;TrLIfAPv9DbPOjQqGDak3NQnASO3qEVKjuYf1HNDsdjqjDqJxys1WCDwga+m2OiBZ9rSJrCVrqoN&#10;5Am5ezbozaVLvleWlTpEbNG1fwZi0NMsqWlrEunxYRLSaoZqg2uw6krqWkUQBGVh/TiENV99nO7p&#10;7ev2wRgX/LRe261HOZDScEKLlUhcwcdwY06iZCm0doRwxQq+mVxME8dsVV/EZhT2vAqjvf+GZW27&#10;PEVWqQ2sCkaAYq5A4SvbTCbO3OlTVg3reV76LKDODNC1uhcaDV/2bc04K55yy7QOivULHk7mlSWz&#10;IpuKPcWpPxnmmIU2GLraM5QDm2qQROGWU5hoW8EAMKaer+aJHuqeeIuR9xU5a43bSvXkc9vLWcpj&#10;mU46zfHpIKLscobbp75ydDR2SKJyqNmXa0jXqooc0Jdtu0Y1hp+2Df1QV6sNs6riMd3pUabKzz6E&#10;vtdWTWYxJrgLmqxvEI2iQEeQXjzNPHYhp8qiBX6Z1YHih0/ZH/aqIRkYw8bZRwTUmeYKfexizpOA&#10;1GyBaPwQC8LSjvJsnhmIseHJuwrKueEUn6ylO0NDLFhRwxFbYJdLJQsRUrWU7FgIy38/iS9BZygN&#10;zOkdFz0rNVQeYZG5pRURwQXPvhxZzuKv6D/5YODtYjytvm+Vg2BbuVu2ZUGcrOY+9b9a8aSg1FP1&#10;XCaXBLaRTNQLIxoCKVPpBQ3xPM6IspPCHyi/d49tA34BSzj6kKX0C7WK/6HFUxZF4dOj8DHevkGz&#10;KkmskpiMRdC+i7ViEyHO8/uW13h+F8pxPLwruf/lJgyw/u37Y9xO53ffiI9f7ddr2E5bL2qvV2DM&#10;5LIAqbWH296zwuHlRRecsBAq0l/X23fnz77RDw9P//GPX778y3YceTsd1wv3vKxAYz3sIR2koAZr&#10;cawJ1mgK3t2JN32qfg0vVymLBRoHMxH8F0xrkhqk9Gq7fbhevljuoWHSdstC74oZAwJqRYVEJGUN&#10;WW9+tFyi1hMa2RkNXDheFY0EyVaHPE0UyM/td+FFetABQFMCodJVhnANdQoH6M2xfVzkUtPkaLEW&#10;wZwuoE76eWKDPDLFNgT9fJr4mGA3rQQELcaCXlO4VkodAMjhkho07pK6Tc62MuuTEVkeqxF3s5zT&#10;5F4s1GNQgAC3i0izQqZcL8M96R/Yist6mOq+eZvbqUzEvoBzZt3IApjs2s91maDIqAHcvj/ZHl5y&#10;CwOkMt1G6iL3AZ4Sx5vDim/Em22CC9hYi/mADGYD0kABmCVZqcO5kg7puCWkCcOq3e44BwxpjE8a&#10;8vxmM0vVZfDOqwMVaGAznR3OJNrkD0xw4WP7ZDKYGSRFcJuMbwxJvTLA6QK2epL0jqqqM6FhZHUg&#10;BBMNm2gl4sSDQRdPBK0qSGSErOC3k0+NlHAFwcVJOVWnCCdfagzJJnCPGGcMy+24WutBfsw4a2Jg&#10;ztcMRLqM/e1EJJWwqP8b41nUBJjM/lertdMpQjVr1A0GEkItVwNANhiZKMePW2ojvp2kLYrAgl/F&#10;DI1N3sZGSxKHZa9xQil+Zw7QHRP6xOGOnGoRD5AXlgYNr6q6O1nqCZBVSgwYEnLtCQBwmkZIsqhA&#10;mmQyFBr/sTL0zab/nuM4GKcEbUdB2wjD+F41FskeY8/wJCUj5BGaDzJS1Zrd7KXyj0BK2aEHnitY&#10;Q0hnVQRvKBqz3JSIs/SyfxHUS1oweDiCBM0DBpoPKSv7PiSE7iP117T1CvGqSX791+0v9XRX3/1C&#10;ulzCcipMUHoSc0IS5WX/75crBjdC3epbe/8oLi9yHfbcxOoVp+S+hCSlSpuXZMv0Lfnufr176Jf2&#10;6Sd/fn38Wj5O4Z0LNFc7loq7CfLDLYNXxCmBpp0keoKcffilMOBmfREW8Fw4K45TVfW9qde76wYA&#10;25Evz/3zP2qZTaiBJvclKN21TmdkZwGWWlUKiL5NtYESJ1UlTMdxHuv0tWh8/CsLI4c7UrGJIT1A&#10;5RoX+CPRUxGo2ArvAlCKbbCwKsG7LQfV+gTKf9GZi0xUIeqlmbJb2z5tMAjwt0TViBtd+sVloXEY&#10;Wt6GwOWk041G1m1GB6MCP7/ArSFO87JnkvS08kpwX6iurFH2jsnXio9sw7josGaMmeuCUfDjHT6F&#10;gydjfWBBM0AvvYDuXwXrt4Z1W/MiYuVynY/CHqXTlO/kIKpYba9rPnoKStku1GVMQJyPlSnRJocV&#10;eN8RbUnNZHTZrSiu0mxHN0lJHaF3NqDiESu+ikwKpj/VLSc27a61OoyITf0JGnoXrVLkwLvejvp8&#10;HHCrI1Evc5z3FU/I4uyrohZsukzzkSNDNumYE8JCAisrE5ipidBLWdUUCE1TG7PJmxYtam6GwYZp&#10;Wuyxi7WUjzBQIc65vrQDWYPV7bAlejxaVJug7uxBJ7JN94qswdKctced3E7UUgs+iZ3exgHjtpLd&#10;CHJDhRSDW2Jcp6qJwxoqSTGUbBLBdjqqYZuFOBIQ00+3q8uJvOyzOlJP0nUSNGECqk6GpvVcNKl3&#10;UqpRUGgqGSulqMOZI13BWEvnkIlLGvQW68HgPXzsBfBBRt1CGJJorV2yoJn2sgtRE61CIN8gBjSb&#10;yZahX6tX2OrxQOA1PQN8s4kd3tDbmOqdhFxCxa9D1HDmS7hcteRFaj7cO0IhVknz6XTsItms+35N&#10;vcBb0rHH8xkN0iO+PMorOr+VD3l/abJxhrRux7JlxNKV+3frh5/G/drXt+W4awA99g2rHiX2Lznf&#10;N4nSpbi+Tk8ODo4Lw7IE9RkX2buPr798uV7ascv2xv/IPpoVwyck0h0VxyJ3G7ZP8dcHgsLM5B7j&#10;TJ3V21d0dv0lr/LJpQGUF7xZv/7HVTZOWSRLvDwdbEf6ORL/vSwxOcfWHzAZRAlvwk2mk5d2ikmZ&#10;/j7WW94flcAElBIWYx0oqv6gDgfwf4Xbjw/tBrPELhtG/yTZxkTKM59kIs2kTycVXT+oHFHptf3h&#10;PSLCkRWeGRTOPaH/E1XjQSb8u0VOl1rikDxMTWX2PPvWKKIgaYkwJ8X5kNJYxgvqd3o/nPLtZCkl&#10;5Qk+xJyEhSnLpHPBalYgEGlmOaoh3JCpE+QrZqvIJov1zlX/yy0vT30xXE7Ldg4vyyejjjUTQCmi&#10;OmKx6rABZCzrDkiRFXbMGT482e9ehU0qHUulrdGyfKm5p96av7viiL9YW8TwiZOu0njoDRTE8BHG&#10;xYCkehasuiVIpYG1RqXpEYvUYnHzfPKThQm7YeAm60I1l5qw0wzQ5fH1YcwU8TE1mj7ld+62SGLu&#10;RXAd1OhhZPxwlVKHzZAqRi+a/Xfh4MQVudr4U2d/bC4wiP2o9eexETHbKHo/GmhDNUdxXHBZpkUP&#10;H1QqiAM3q1K46zDACslIA4GeZsueDCaVgZZsei0U7Jc2jhcqQIhxePj4iUBIghNdUCQCj2iVXA29&#10;Qyz8xzpMsL3jMWH1H80IGBzNwFmDd9RfYFffAe3jMT2BmOnNhmjUor4UrghOfyn7gY0xwVPYX+u2&#10;ZCbRJ7JKpCfZ/5B3xAafwJe5FNjlsb6xdXkYDYCVHLnVBUP3K/Jst7hKIDVGegtMVTx49c/vRQJ7&#10;o/HElA1T1ZgB+2li5KEeHxYl1wfpVC4EqsnnWBKnDOGEiZCMXCS9ocRTqKezxSgfdTvLiX/Z2tPX&#10;UoFdX+Rh2M6R8VV9Yemr3uWlf95Llfik9d0Xedn262V//iDXaTvtVQCefY+H5m23pVOFkwZnwbnt&#10;+lJFy1r1CCtGDvNQDhD+FFlmca4BvK9aj2hD3RGkS+8si5n+rBEoqqnVzSZ9mGQfUFMgUQDT/UpH&#10;yUAo8ECRZ7c97s4FM11acKpZcVuIztZOahhCmgFCMZrKp0YorqrLLDxQOcKsdgD42aDSErU+/kEW&#10;YC+w1KaR8dz0PWOXIs1nT6GYgD3ilReMWKIOstUUER2cH2x2EWwHhvcAzwAn0cpta5YjIQ4qaYfC&#10;DmnBbSU0s4JBBCa8MSMvwX+7MqwS1wCiZxm/YpLLJHcKXBoxmHLCwp2yqMNMsqqrIHflMLNowpzc&#10;BQAMYoyQkD4qL/FU8knlT+RS6NlaxebowaUy8TAp1zzgEcaY/5CDhw5+0xCNtCl+WWXhdYrCiSNM&#10;USswwIvtFM887qQQt+lI4a3i4bvkQpZsxXVbG4uAgRrxsBtLR24DF60CnabdVi/7bpi4av63W6bN&#10;0bu8JxXFapuX4lCZfKEvUEDSvK8yOuLa/HQjPnUu7SYtiacLxNbI3115N1KiYtpts00CLRyHpIyf&#10;2mFu7VdnEUrU2kQxrRPCm3UkSBzBmISjCIc5LxwqaELaR2MWshJ0k31k9KLvJFaXamwnHUMXG5IF&#10;TZNQw7gvTHUsJtVgNFPqKc6wBeJahygp9lXNjY1qA6p6pni3/4+ut1uSI0mW9PwnIjOrAHTPzOE5&#10;S4rsFd//kXhHEd6tkDszDVRlhLtvmKqauWd1c6SnBQ0UqjIjI9zdzFQ/NbfAKTiLKo+uXwdHNUXy&#10;KEAYHqGNGhLq+y3B2p+VIKh7uPpQJ2tmaTQZGBBt/2P3/m4KRrl9Ci7vDjX/eZpi/L4BGwJByq1u&#10;RUQ8Cd6f7ejYpNAf1R11HZe/1XrDrXtE0uRgxIRJYwZSkiotjC6mZFLg9aNP5CXdmPnt/paHiJfX&#10;XXW75fq47f14Nnze9e3b/vjWr3rrWsSuIrUCA/35hzVKbw8LlHgaGq2//3b8/l/t8X17+759+3F7&#10;/3b/9vt2vzbWuu13OIkHn3UZjhWZGiP0Mo5rlzzNmEnpph4Ly+quBqG223Rcm+i+sXU8PJR7zPQY&#10;50tJUGq8sggpM+aLnQ6sJ23GLWBascVq5laoHLb73OSYxXk0AV7Y6pwNjJWgLRoTGs7x5Ph0kq06&#10;y27VRh6x7As3GcIWjM38DCwFpk91TGx2PeHXDp1n3BoXYUSTkEA2SK33XhT5T0nh0LZfWpm19yEe&#10;yutEdO3gyfmAsED025OatTbEtzlAS7LeZ4CTOzYqg3GjmBleLNsfFi2pqWAbZDoi26TumtoC924z&#10;i+x5opl7TYF58UC1V/2a413rFz4cGGojcJvH5tK2Ora9o00huV0fLnhTalJeqFTRLrK7hIcNRzxi&#10;CiGkodPMc9HUkTWndHFV8NWe/PVgCig/jODFejilbVhjUSdiNEtbmKeSJkXREWtvqDe71wdeE0du&#10;gJpJfXhMc/oL9HZaAnDTzHhfnA9YncFDkAw2Xr6KtS4AkmWQCvvlCK6iPLAQmL5YzzzNwe1CPbCp&#10;Z9NDXhHE6hP1PHVkVu9mtg371xjr5RQw4WHabNjYVjJvBM6OMa28UH5SRUZNl8b12eGL/j1Dyafu&#10;f150SWon6Fx7rbHNLMyviaYuo4ucwiQQ08grpLWoTzolUX6GEWczvQJEHMFpwxzjTW9xcM+ONGI/&#10;F8HXGqV1nHfnyRijRozxzMB30K15bV9XScT8eSSCWROYs1xUV9et+HGeFj3PRzsxEWy4z53iHZHp&#10;PGZZt2kX47LkBdtH0dMd52OTtDA3G8XGdTXf6sYJfbGWT/0wIzFaYjn/amb1Kz4cp20DVW69VWYE&#10;XoXZbTfUS2fmouU24MYYIOak8+Do3nyI+z1//tzevx3neVWMHTHxRh7ebUg8/qjWAn281/tb//zo&#10;4CZYMfD5ywaxQM2yJ7byJSD7x3Slx0dJg3wN8njymHQNjxSb7u1LkaxLnicq5wMkzZspWah2Ajht&#10;ozWDIMcVmNbxPHn2568/rjL/UfcuxJL971bcgae0Gss/yxz7i1mAvGOeIXopARDmy8+9jxkh5NAD&#10;d85mny2RdbAx0VEDdh5QLBGmR6XmQw4+fgdUk3BLEaUE4QB5lUx3Ghq9bLAR4STzFw7MP2scKuED&#10;oEtvI0DLQjUqdCBwWShnEcUun9qGwg4fmQmKACHvOyphGEKuuq3coNfasqTsculxmAeNA158ePZV&#10;JNUwRLpcI4+gPgbrjU4gar1umbkQRTzPPCZWpE4DVNfADmfoZ8IMA1tXd79mZfZT1HsjLGWEPSVn&#10;2s1WcvAOx2v79k8ozrwm3aRlYxsjzxUT77YkCXKSx2HrFBiAmLxcEBWfBtAI69iIGqi3VedZy2ys&#10;rDuf15Hure6eKjEkBuIkD9evJ+/YuNfHxwgrZG3GfM49dryksmh1nu3kJbkpitbqiRP5L5vbtJMK&#10;h6feUA/XGpZZ+XbzAl2VklidR955KP7lgOTYQCcRNgy7dzbHeM2lmt3Xa88AK3HaS7L3sZpanKN7&#10;p7Lml6ButrOT94mkuox3kgXJm+xZDGUkb21Ceo418iayHvnKa54uqaUFATb+AGlzu0F9xvnxVR59&#10;tpOKi9u2Xf8c3bqgtgmV7PbTgpzFzD4H1TrXbXK0zhwbdoA+Mcg16wHOmxsC0WhEct6sjhHm07US&#10;rCAm3tpFZLULE1EoQc9UIVEzeJhmgr8jvFjTp60EPCQdlXutP81RMLbrnA1tg7n422HL+u0OJ3VP&#10;+/2s29YYTVzSdh9gO2JcU59vP8b77/n6975vb9/uv/9ju7/nbc/7TqdOuWpL5sJOcGXPghh0qjGm&#10;2O06YRyfnY1QWqksQdf55viOgs2ZVavlBTEGefCWHU7P51FPK7YqdpIwkecUpjFQM3/8fL/t27a3&#10;pqLJOtUGNYW3micdxfnaQI5IansbBZzvZtOsjUKY0zoG9Dz1iHseL/Oa6GDZK+XmxNlBJbHbaAd2&#10;6MNQ0LaTKBdoLUDs37UAbJWG41r2q1a+3h5ymysqpNKoU021d2c+BaNyKG0nq51DdloJXQKl54oE&#10;MuOn+WYshwEK0iyxGbelovw/ScY5S9i8hbvxKD2GLxywgmHh2hHjpyPn0FrJFKHmm33sfD0yAfDI&#10;F/czSvYJ8GnTOdw+kavys0TmId6x9RYyeZ5WxnYuy+hvcmXHMzYYRc5apJQlKIprImJNIphhLWWa&#10;FqQyXB41oPNwlYYv9z7ane1F73tObYv/WxkXYxK9IMfV1ZwYNdc3lPSS9+yVz8iRDhtfiiWX7P8o&#10;R4qrmsdq188vCkmZMUaMoHgsM4V6RUaq3C1oMnvZbKtv8SAo1jrnmKHyKJg713Bxdqh+pL9Cctsv&#10;TnbHa7/KSTyiUtadKg9b7IJ6T5WyrkRV2GxFjmXGQsceSLYY7eMpGWyXMphkQlvtl2cPd/kISYvS&#10;DNCd6z7ZLRETxST7oSgePSJm+OEhB1fVIFpReIbqNAdw50u0yJjNDM84HYs30NwF16ph/1NyYdcg&#10;rkuI6roFvjTcdDs6nFsh5a3TRGr5ASXfkavVhmfp2ENdvflly3R3GA3Ml7ZHAmAWG0EWEicQ+0qb&#10;CmAUczMAHFBYUiFQt1lp2+kXOjp6lnwSB9fqAbG6580XKWk/DQRmcQrW4sLK3zj4v75429/v9x3t&#10;wHZ7H9YvyyTyXT/u8+e/TBOy39rtdn77W9/v9fHt2rKPH/95vr1fO2K+fTfLz+P923/+77fvv5X9&#10;Zpdr23rhzEl0EE3Gn09HssAqlCBDZSfgPKHP7QICUSHfW9xPGrXJJyOtZVYV5uFfOqFy90Mu0LYN&#10;CDhYWRYkXSBXto72eTcproLXODmWVC0lpyj6GGlNy0XIRqkMO/dzpbcx9Mz3VzVanri0FL7USvdO&#10;pmjTsAgNkOjHdWpA3Us45GGAOjMw7EDJCfiAR/AMjSHsDU9MBhmj1ek5o3V94eKofU9ErXJ3ze3O&#10;PeXkqoOsdu/+u91cC4QN/0shcVuW3qOw92dDv9MDr/uSHt4sCsfcdmfyojYxORO+nwXMVRxdcDON&#10;jxdPfFCdhRYeF4rhYKMs534HjnfrjHAcDuaA5JLTQUdVQRXNqoabHPqabfSIRCC8u7i3TYkYPpnj&#10;hNARKr6TqcByRQlnqulP4bMxRfySzE4xt9oDVLQwBVk1Hx/74s1E3+Xy+CKNeVVjrYCuviTCd2+L&#10;rjkRE+q23LQOKsLjOHos3FF6cv/oX4MjvMnb/SgaaywoWILXua2uJGV38KTIQV1UplG/Zh/v5WUP&#10;6A4PZg7OHI5iDaWIxiYuRSaQ9iIGTo3vK16vzzepk3T4gOj1wYinfhLmaxIeg8znJwae230Aytcf&#10;EZsH9382GhSAORSFJnF1kl5m0LZYfLP4eucsZ5SRgmEWQiLrYL/8Ffhp1c5p1k4MNucgTdvSJIAl&#10;3mBWwEE23yBy/WVCxPEoxSdW1ECYPuj6yt5OEvW631YwLpsSE3VhelTM/67vVvfmMSA1Y9SUpHW8&#10;ythN406ibjo1Qm0sULmm4fL1zbeyOUKvxH3P52dHkszgqcpcbJUUqvftBizfuO07RT3P6+j8/Ufa&#10;b6ZEQvhDvT3sa47j3MDNf/uWtr1fNc/b93x+9LKfbz+Of/wf49vf0tuP+v59f3/fHu/F/lZWoFOe&#10;4yZ3gPZU0gQiUIdh12SISGpzyq69o/dAOgNX3ESB9G9Y3C4egOA4PnPlp0pYTQReXG5S15L5+fHH&#10;z5/ncOMs4VYZzh8jmIzXuFIv6CCtEeD3pIkDlXvFx9E8PjO/cKjGGh0D8Vir1gndGFFpHKCimXBY&#10;rIqeGRm9OXdoiUGcmdTNgo7l53VnWAkPRmzrlcdJIgU6GM8uo6ePrDtbPhTxAJWPHZ6/E5Bu+lMy&#10;lCbdRzmtSwbtwcLMQ0pETo85iZEIwrVAplblc9t9KXcbtG5T/zgTz+114QEv9J6lIsF1o5qxgruC&#10;TmUdtzeDNbTPhOHrsqaXsbhMxlzlNPAw4hB52eB7dkpwcRtvSf5x1yj5/wTXH+KDOwh2LKBOCURi&#10;zOSDR9e7f22HBsxFQRbao+bOMffP5Bbx1+/DjmNaHNYRQcCJWjQ2g0gfvvcRfxSCUy8M24LTrDiN&#10;tyW1Iva24UrXKYAk/RdWs5hMjjwTl9QbRGOncgbzCo7zni3t9pD2geuxpAiNhfjy4vtWsA4vXcni&#10;lUVfnZo12QkGyOp6KoxOnqPDJB1RrmGaFw4bp8MZZh/hGGMNeAkHz/WyLSzbelUGzzSV9ZYUu9Eh&#10;Z3UJcqAhh586dbdqQrhIkfNYugwoBlQfyEGPj60Or0Lir7uIyBTstt/U7ibLwYnVSDwV0DBlJkjT&#10;EHasNNihTSRjHGK/1zAOlEFYc9OS2C6yQi13+iT46JuqZVAJk5WJgZSzbkiHmil7zuzutA7Jm1Ib&#10;r5dxHQRvXLcx/2bETeMQTamWmCji1LMnUusy6LF2//w8Tq4wfxxH2evRjjf7ILrVEo/HVR5eNVM/&#10;+P17OT4LyhIcPwr1gOPH/9bOz3N/s/f78Uf5Oba3b/vnZ/v8GJ+/Fq2mH4UKdvi+Kqi1iunuOK3P&#10;qkRUHvPgjh/QCRYQOVLkEp+nzvTLBIEn/iRO1/AwcwIaytR24z4px8f5/Pjo/X1CKnLgFlnDYdIW&#10;XTpVR8SdG3WlgTnVWTeUfGBAVeDdLgJRMhF3LEBDSSiwk4EnZK/UJrmiqAx2XGmQMgTmhpe8e+9x&#10;A6Dk2ucQ0pHPSkGm1fs31G3nVhuDaAzUyR+WRyTRI5m9MUKZyrSUb3jN1/u893TrHPVlYCGAcKSI&#10;Hh/Ws5aj1hMNy6LWrn2yVeNAIran4sF434UazoQueMEgDVZU0Z1zR+GYPdABzp7cvSoNUmtY4Iak&#10;NYaAOYjcZHKqtT3hYMXgsLvkwfWfUurGnhjsZXY9N6rX2beBCvTpDbLirjjP6tWZ9Mx2HOh/qroi&#10;k2FhciZq+cZ4aSl+ObmP2VaVEo+71Axb96FTzKu81TnndsM3jDR/PwhiY52x9bmzltkmTDPhbvxp&#10;aFmSu6Ez88wyRdKO9YlnUv42RfH5uSE6laGCb77TNgkBfMo/JtmMzS/RuoP/6S/U2y6opPqY1hS/&#10;CPqOQ3rF2FB5rWbmvXTXTOnyrOmorYurDpJHQRCzhx9Z1mxhr3v5g7qn16pXIbAZFGtY+xUazImg&#10;id2GVozh3yX0IMXgfvNnjHlY8R56bz5YJUmve23QIMJrFkTa6LMqKTJjus+L9XlvkBedTA0GF7JB&#10;UwdKp8Xf0IMYiVGgiHT/lLXBx8icUTsYNHTolVpDE4+GBUhqEX6gfOAenVGIRvky2g1RPgnTKXxW&#10;zVOHTRC+EVgIAio4umN31yuLS5zJ7El+sLVo3r9bx/W6WfvJoAHWqN7vfQfAutTT0Jr2V08js+DG&#10;Pp+jPdO15223q/jL/WiPH91+Xcvbj/3xlgnvZm5zrTHqHR7NbfMuOhNGOItE7JSHG/1EaG1rdgpQ&#10;tjfOvPnoUsbHK0UweMaNIAYcWhA3u+I/4Zdg27M9n7vNpEdzYyK78sUPz9y9ghSVvcdShqbrHhkC&#10;Yn3DbhFh35S0eY5dHV70EIsG7GGm5LN4GzLLO6HMDp4EAcsayDTInkUuPcBGcK1mibQ+JIpHtrKd&#10;V4VuvVnkIts+XYroD653GNiE4AErg3OFdKpcg2+9j9qaz4hswTXXJQhqPXkgd1arBY5XGHWHxVtw&#10;CaxOMgcpyvL5qvqxSFnKr+Qtr+GLZ7F4d25MVqX7ObyjoNgHLnPtOuRtd0v4G4s5zzZmK8iN0TDH&#10;I0HpimgFP67yiM/ubh8pQjHWvqWMnG0d6SVvt/vtMb9dQ5s0uyNwpEmUTuusrsvf1oePhZTK7Nu+&#10;d768A0vK15ic0i+tsBSRFZEBkb8AP1/24eFVizBGZQ2QmFusmpA9RwJ1oOyhsaJIyX7de/qTGz38&#10;o6N8CSPwKJ9X6NuadDgc8reaGb6+5UgujK8f4CU3hlH/RZe4e96n01pGce3QCoAtc/Kb/ZA399qx&#10;Dl2db9tDyIM6p/K7on2Dj6WHNmc61rEy8P6k49vJwuNFuRsCousQZoMRgbNbZ0++IyUxs2AaKwtN&#10;LI8MRb99PbvrJvvorfvOiYIuChEdDWyucB3EbfnAmuaCaCvRutq87ExZxxRDic/en2dHKMR2tv5s&#10;2PkiI8yzQapa4oS3pVtFyjVMt5DRbV0HBRilsHZFdBcn/MAS2B5sAhkkutElzGrzelIoD7zu2u+3&#10;nX/l2+3+vu97rdeL3Lbt/vboz2dyKM71zR/XuvXbb+3+sG9y7Y77rX77fXz/vdd93N/A47+PaklD&#10;tpXfHvvj3RR/Om60VyhGeoWPR2vU3IQjzrRcp/P8guK9ka/PQ3Qj2AKCvAXXp/i3L/NA63GbuPt6&#10;bs/rH4ciibzKRkgeXirButeXiHA+HPXED6iIY7FtLytSpyUZrLpGOB6AFHFqEXZKLquf64+izJfh&#10;Z1uO8emSrTFi8WNolpEg1aFW96cFMKcbSly7QbnPe1zlnn0tzqg43QHWl4lFk449EWeaqeVzX8DJ&#10;SD9kE5ZpFUgzE6AqnLG4Ss0bfhGCCDEOZXcWnJs2lySUxczSo0U+2+N68SJ+jSmmFYbXNHN17G8m&#10;Uy6i+CaliGGBEd4u7JXQMYzs8+MkakSasWVA5wQWLnSVOHN6CnkBbYD9hs5IHUwTD0zmEwwqTVlL&#10;srI39Wd6WrqyEbyQfAYpWb7c1PEpzxmdTGs6jc25WoCtU/joJ7j66x451l3T9wmWPkvuzxTC8GCO&#10;Y2WPxHh3fif5X5vKhbONvr6zL1vUK0UiWjd9jlZnxmH6UpUCxSBh+Gs8E7ywua6NR8qaoFw5NbCM&#10;qInEyT3PZN3DePOcyY7cg4abi1pfOWridSQ5uTm9B9glOJpu6hHsXt/M+RiKYBKUAHncOP8olwoy&#10;uti+FFnj/k643+BQzJoZjjgrgfWX89Rx+ZFRJ8AiQy9zdW2jourMSrSEcSm9C1RoADW8l40CYAwG&#10;u5JunSGgn9VtV6uVEmuQclGomaqS8k83l+2FZk5kMvCCWxyrxe7Y7rTV3TZRIoPET6GgPs/Ob0b0&#10;vF2WnzisM0KLZ7eatHzjlVsRiTwmHPGHCQtOs6S0eyl36+Ba49l29bd3VLl2iXYqIZP54s96G4/3&#10;/fG4lob24/f04z8S4Zvvf8NDm7drm9x3J5P3ON3nxbkbs5Zg5hfqv1w564r4uG0wq1sD313m0ueU&#10;PBE06rFXwl4TUenbDrXZpkS+Du6f1j1WLnfyQXgZ7lVv3BVprYtbP0skySZeI+9OdnbKHKwF2our&#10;IUpWJi0Uodmz7rt7bBBTZy3BhkYoEcDKxzTadUKf01TcbE5+5vwJZcpVa1OEfU9phySwaoWFW8d+&#10;v/RaDwePcHRqciRMRTsnJdxRsaJBg2M//cBbHVQIAd7JquhJn0ohvAZJ0e6FogEgC5IJnCOWsmb5&#10;JoxYEtuckuWqG1Rss0BEQX06Tn/Uu2zEWUL06N0NqSUy7s6Bu9M+7/0x9jtCtqDS89JpauSo88xD&#10;ZE59nkkprYALGieklubMujUEYUQakpcYtPTwARZ4NY/QuTT46DFyJFedjTbNFiMeQVjsnCNflj+1&#10;u9ympLx2SYcCB3i/IKEXkrhVsRm1VFpkOC+pdAtEYozxpUTLL8mP6es+7WTv5OdOaEaCI9f7bJhO&#10;jlr3GUX2SduX7xxxTuiqL9OkaNX6gKspQNsMgsNxgyWQ8Wi8W39vSuBgIIbbI6a2xVXkeZ4OxKXi&#10;PQ+7S3cBxTib/LvDQwqrJHOpT+lpcAkyTUHZjFW9C8GaAsbPT99FOo5xY4gdvt3p7ze9yuWAGcuh&#10;ykFMUqXLKZGPA+izKTzKHN5yvkYPoukerauPUCW8qMaVcWj8eNh2arqJaq5LT0x1U3kh2KgriLHL&#10;lWRJz0PrKw9HEuBg2+PJgwwzYEURWtsQY1rkcRiSF+KDw29DoOiyHVN7wl/B9Tzk0wSUG9G6uzFO&#10;+6NPPrFQPLkCjXxAHfpW67UZf5jtwV5etULwZiQwSEbrfksu+Tb94W0/9puxP23n6FcB0J+HHfiv&#10;1/r+t+ff/tsoG5vJ9fGGkh85xXDvm7cDzymDRTkq4T+zD6IGJkR4HDa2IzmywLqpxCXyDSr8Mutg&#10;WQu0olqHedq3IqeZ2W1ofFIiQNv4L617ZA5wyqDLQlc1YBbRscy03JrHMbeHcHRG9HliDjsHfqhM&#10;DOXqSWDP5E3FMqZlbiFbbZuHNlDSrlqQqJdSPzm/RevypE4XPmO7xe199Cfu1006tMHOJx8kddMd&#10;p2Jum5rB40fbAmlVFt5n3QBbkU/7cDCFp9SYKdFZCBhSbgFxt2diB/ylJpfP4IarHitfc6j/XsTZ&#10;Y0Hyx2ipkfdNKuPQdYGzdabzeIVR2vLdeHc8MmRp225dCBNr3ZIziKFIs7vtuk2v1evomhWU8F0n&#10;LnN6hjMtg/1PC3P80rFCQ3znEjMs1xgYmqd0Haaux/jwTkJ3WmNKiyc7TAzKlJFYbtDrjBEsN6gS&#10;DQzz3nApEeX8a3rDHKkDOoPNqPx5Mwu+6TJDmuWVk874hiupsVy88prrGyGUhMPYctwjjfb12LGc&#10;IjzzJc34qK6WG6q3L5qdMW37PBmflt+o0uqMuRr2RYvrjN7aK5BuTE+C+9/TlJVKW+iH7O42Bmzn&#10;/ZSMXIs+hQRl8V0ElyotfduxKIOi66Xuw9CHShCQ+ZbwEA/fR6PxwP4Iw32aN4eVbhGhVgSAQB1Y&#10;kI8Xg+qY6uy2Q9XOAIuOkY9o5bjrEANtRDTTVwCYWWgXm4b7Dmi2gITFUiCO40CvsviHaCu32Q/K&#10;dsNAc6vlaP3neXhBjXhLtHvPxhBED7KIZhEo+nZgoSW3jyqUXtLep8mf5y/hLPK2ZYffZljDzK9l&#10;Wp5+FbWpqfgevLE+7cHM+7ZdL/XjPBFrh1QAXLP77VZbexvp7X67fuJju+04HWww1D+3m9nef/27&#10;n2f/9r2//24Pxu2+vf0wzuK1uNq2XadYEltgNN/8YevLouKnXmqSjdnTcnbVZEYberJaGNBmJsVa&#10;J/M2M4wZqB/uf8fzie+TJ9hCau9j609KQ7PnfshOPTzAnQayItNr8o8nnlIz9pWBvCM/bJfBhrQs&#10;E4DhBnWX33ZOUrqyONDAxF7ckADV3J+74Qh8mBj3+rftbCYhMUksfm5nC5eqrLQ4n3iL4MyidiXw&#10;L5gFdoOFFgNB4GBidZIFI5SzKHrJczkZ3jS47REwPfIEQmb0QgvGjdwUVZnBIVDR4Bw6KjLJWEf7&#10;ETiSvDAcZ3N64l1SxEFMCnCjebFrmy+sJg2TfT3Vt1sC51ruGPYyr2vVzn4ebEUSe0yq61CcTRYh&#10;IC/R7bJFj/Mlr0fipZkGrNdWYqt3w8ZobqJhVbST2Mz9KhJq3UKv5EVXJrMF6XYo3pPr4JnToBgA&#10;vdje4z9iAtW9T5teDXxTy8jqjZr/GT6no1PJgZVOgiSV4j9LPyc7/sPjJ5TgU11nvj7irjxioF5a&#10;tZGxw62ehPgaNYTc7R5cNGhKp77JDespoqPSa5prCgO7HCl5fVXdEZ6xd+bp1g2JunuwcirLjxkr&#10;sX54GpToh3HgXcyFXtPxKlVE09kUCLXIVrkqhB0mj3lsIruISrSBXGpdlo3VpM+PWa9u2X/dF96O&#10;egaye9pOBrJqBVFaE8iSPHEDc8ReJhwAtQiJ1YPhCmq61WOwfBsRjWuyOMsY0I+9/hsUNMZoMCWR&#10;bJaS5BXLlJUpYDPUboP9Yen4VM4qdc1Q6fChkWrASF4Ew+VxVWSPsv08Ox/ta8fekUD2vm23Wn8d&#10;x+fx3A0muX+YxaHV/f7Je8n6pe1WzcZePn+VX3+0+7XD7QSJbR8/r7/0/PH3/Ph+7X9WO9Y64o6R&#10;R1eeqbTsQ2lOe6H2wNNX69aVCLx1Nit0DUscqNTJhjQauo40lseTO0JStxpBuI7WwNGtjbK3z496&#10;PncDviCRCi3Tq6gtnBVjpQb1SpJaJpUnfzE6OgFFnEdM+KaWOILdRb4fHixTJB/1+C2TmejYzEga&#10;ECLSDWHoBd3LrWCGbA5xWYc3VFqNoT8yzCplniAVVgQFQMuzVk7RmwWpw3gHgaU1Tst2fYw3yVUq&#10;8+vtKG2oNnD8sK12LDRIUBpsS/bo0GUXeQbKeAoHtXbc6WFwr/0NLR0SillO7ICfFae7khpqAtES&#10;eduhNoSaEfzDW1bq4eE2ntMEL2+nlYAPGuubShwjoxehh68q8DW7QGB0+32zm3pkQyvq5679Ppcw&#10;kx4OJQUJxQRTObXnVJ+fW2o/KXOgImRhffHgEvEaGdW8I6gx6gnPLtE/XcoZnVJdHxqlgLNHYnhM&#10;+R+0DFkzpKktjHeUFRjSY6jmRrfuPFgPBE9lUZ2F6iS4aBIResVXA6ww97BO/Nz5NaR9dlQl6VyG&#10;fOEeCYGJQPa9BxpmCXedDtG0YN7i1lyhuH1yhVPYwI1r4bVIifYwrg5UjJzHqUla0mIudKrfBtcU&#10;d5bibE8XYSkwUAlnnn/bI3RkuJoG7pQgIbCbKuxO4qQDwvKsSPbYEpbmNTqoBpzpZJ2z2mOdfZgz&#10;b3j8RWZO+PUnG8IBEotIwndNsE2sL9QrQFnSjT25Rdictq3ebiYSt/Jx6KR5bQiPcru+w7WF2B+B&#10;/dbFouUh1q7SvZQHJJ3DAT3cfoVUYnla1kxSGSo0PAtUqvq09tduxaguG5b4HVoYnMpRluA+ul7b&#10;t9vtHcH01rvaKsPTy9vj2sw+ns/P47SYw5rv729nO656ant+Ilb7hq5az8+f59vfzh//UQwz/FYN&#10;iv3SUckeogW1Z4E0YRt4p9mJFLZcgxR6PaJ12yzz3T1SmY1uBJ7TsIeJOpuygUgkKnpDDKVQaHW3&#10;KIvr3O8HVbLQejo+f31+/PP5RAdlxHCk5DIbLtGaMZEx3kC1fjqmwW6rx4LuPFnbyewKtuzHm5o3&#10;HoED6eTyveQBj5whCJaNAncvBD1L28aOfsMEgoFKrW7NffX+KQqyXIZs9s1Xq+sjOuv2BOqedfQu&#10;FbKN+ul2qAJk2Eab1eVH2CzavA2Alk0601FH3H2wcKmZqw974+uJxS6SDR3AOmgDnSdpL18ypaQ8&#10;Buh9Qa/1NRc01rPr9WPntqd+I6lhf7TbO7KZuk4EtmCZ/fE02BIOP5RKph6+ZuzvgwKW0p2/3Oyd&#10;luhPTjKbbZ4HjJ5ixKDZ00Khk19CEcwFOvITv0N+bfeQH1VmVBDYaeY6dlz/7mOipqUNYfukeRyd&#10;vffOZcxLjTFK4JS8PnGMcw6JxGxmLv6N0LivLlpQtdrw1+AEZILqZxfsRfSh0/qYKQevSpsxWTor&#10;3e1F0vmnZnMYM/qQr3yEnMHkHknikLDG+zhSie0toDurOsZRnC6v9cO6y5f4HfzJwgl36A7Ofe7H&#10;tOSD29UDiBNAXW2PXgFMT4NLmkVScFiMHQqbnvoe7cqFRTAWZWz0WYu0yolOgPyqMATSyja/JL5a&#10;97K7g7zTXPdlDqtrY9tt6S3TcWLtIfymffoIuy+Ww5DN/27X6bZfBRHzg0XuJXIZgixMPYsM6RAk&#10;GmMsy0eme/Ham9xNG3PuIbR+YU58YrNVTZcq2+4i7xoRLW5IJhoW2a/GH+0wcdII8Yk3vkuNIcwT&#10;MgAtM+R5njsCda/9bwfmjfL1j/M0AOR1sN73+vy8jfPaqwZxjOfTrvp+h5jfPH9DLL2CyV/5a7wk&#10;z6n2lTa/2r/9+PHf/8/T4tcrZ/rXPgwWAtx7ss77aF8q7z5NTHK6nKbINYfGVZre8Z4sO4KPlu2C&#10;AJ9YKtg//8dV7GJk0KS/SrKfMVgkY+1LDfVQWUUB+FO2E68Xd9rEWWtKxav2ado4YO7dOLxxt2uZ&#10;QXFJdnNFgYiir+DZ5NWSCxC6r/vsCtx6e5LHsswxmvfTGI9w9/jT7FxcqotplymKu7B3fgxtAKDu&#10;5BG9x8SdVObl4t0VNh8i1ULGkzGRh+KO2bbd+4y6prJZbQBvirpxQp0i5gMUhyFp3p6WhnMwPzck&#10;N4kIuu3H/b4dD3P+4FWTlYj1qGU4nK7P4aC3dKGSnNnpIa9Mzua0BQtZxKPeXIjKhWcDC8tMUXhI&#10;LIDe9xffFUhPsMv0tKO6oQ2611g6o0ogWGjRU6yEfRbFk9tyHM8Ifqiu+epZ7rFZbi1pfF62dZ0N&#10;scu5ztV/7MJmiYWW23NY4k8eC3BwqW42FNRzvNgVXYhHAMIkxqzzSKEi3LbR/0IR/mJJZFuE9XCV&#10;/AQvD0EENiYo7GSXmDGiR991yPKAoTS+mCJSJB36KSBDwj0UbOLpKBsemV5cdJCnErnN0lPRRd62&#10;TWzqdUt+h3Fr4jlz8M4Cz0ZF48gOYH2FYk+bQxxWFjV1MENqSq88hOnlqHnpOWeRYGphTvZwamnm&#10;A+U2zBT4DqbFUreBqHacTS1jhjZOTSavH3MtpqYVRFd2kT3ZlavKu4alHGFnRz+RoTY2B58m4JQr&#10;iPqdcEFqTrG4YTbfiUKoxWHzBW5r27EyJ5LXW4TbT72N7kh2CFlNHGvKz2vDs20GCldwR3eGDvYO&#10;3oK5+OrWbVN8fl6fzvFpMqANc+/nvt32+35+PG1/6/XXv6mcM5B0P/GTC+6X1V70aixaP1/jjRkx&#10;pX9an9X+c2a2tFRQkgKoWCxP97RQH2YBmp6FC1fJkRZiUb3NZaZFE+Brzwa5WwPp1rd//89xfLbb&#10;djfAtw1STLy1GIihLCgkGU63nxhB3nqpPnQtLImAqeye3G2ddOvLgYaH7ueWIggsF49Ta7odabWm&#10;Y8YS4HIePUWsTsfDX4i9gR5Vi577kTIH16CUcKrhhBGQtXcNJzgtICTAdvszidTHpLcNJ4GKEcF1&#10;Xa77cjfvYGk6E6QnNo7mCINGSYV4Ywq8Tp48oJB3QzrB8qxxCAyzhFkPueI2EOW9vVnYg+1rBnda&#10;BrL+hHsL1KpYO3/e36+HyxRW127lPUN7WtqRzs/TqIBhNs/ay0wAZhqwwwyOY8op0zhU2w2AHCnR&#10;dJ0sbChYX2Fus9Ba6i+VBuoOM2ERuK0ecG3aBegiHtEwZ+oeGkbUPYI5MXYStU7gy5rimlduWZow&#10;TDFTuOSVERTQHKNTtjTTGg9k16EP2ZwUEBhmFayY3VeTsYI6X3tsrykiPa3qnrREPVDPmVcw0IuJ&#10;aRWqzDBYgePZaAZkHgLd7roP2jCASoRvTUWOkw+/UDF1/ac3L5r3OchDmBeoJKQ3qPjJF1fDEa/2&#10;nU4sYWGtSjI2oZcOFEwMNYlIRMMHMAkL6Cmx55tg5yX9cMLPw1iCKlxjFSSmaxo6tBZJKx+jROqo&#10;hycTFW+i3kzxQfZFdpc6dPGMRME6fYB/PNnuQ5Ey/FnnebDua0BKEkuNGZ8VeZU+IwwHr2Xkvd4K&#10;Fy759cWFGeh4SQFugx6rWe57vRut8HrBdXNZWZKb41rNzHdBNd9AbYfQb3AK8SmZqg/MfVE+zH5z&#10;IiM3PUr+aOdVZL9ZiqE5F6/P8Y/WKkBRW93eNqua/vX52bjOd9lK7OLse77fn60ZKfTxre83+/nn&#10;YQG5t0fZH3Zj7psrPNJYN44/Sct49rqqtPb58c//+/+ywQf3IGf4UYLHqbtF8eGTF6xMh6jisgPO&#10;WbJuyRGJMvhzS7Ld0Be9Vplb+fj38evfJzTVaAM0V19po7vqNjvEsOztanVS+qU5NHox9kk3Kp6B&#10;B0PRrTt2A6KTt9Hhrv7uwI7uTDbLp8r4nPgYDAUfGJG5kLjbN4tcECRXjF1eYI6EdRZWVtJcg2j6&#10;4GZivLu5BCiWCDcH9ZZ1IH79OmzYYOPkFbfkNiQ53aJWMwenJbqdiWlboUCzIu8YVKuql2btKSfF&#10;cDk8aKJfUhByUCJfVAPT/eq63jjJ68hbeGSWfhpTwK3Y7bjfuj0vfJRQsdhszsS/p9R7Yu8ojZxT&#10;PwyiAI4ZjigEuhl3YvOAnO7ASgN/J0X4Juydh6vP8Hlo5y44euwa0Bry2JTfAQgd0+lVAAFHBekJ&#10;cEy8SmjFuuSqAJdKdZUZ/VCWzJRXj04NwtKihZK4iMVKeclIWP7D/UPjZTtyWEl6FcPmF4b01xle&#10;GqsBsfHKEV21ot+/BtPmMimWMq8N3+GI0h1QdR6+oBdP/zlprhfCTnOlkV6NVquORqJcD9VBIwXo&#10;pQAScP46lGzIR4+lUmveSI6gZeynnGNFpK813gdZmg2psE7BwdCRKdYixXylEHi7denbLmeNMfEd&#10;czSYV9wPcRORsOYd4+y8ZFTJQyZ5HMdOPs2JA0UZ+anuDPxqwwU7T95FaKVBvVL4UcBTdUOCjrhF&#10;nOxwb7XartC38IBX5BNGt8pj2ghNvr1xa9uB7cP5fQ/79bXCqOVuVZpGng4uvnYv6PaLPMdoyXQW&#10;WbnczPJXHpb8bGzpWy0HnofrVf3Yb9/KtTNcJZbVVr8+Pn8eT85fy223Q/B+O++3YgLXs+2PMlo5&#10;njbnKsR7jPL2bf/2W71blhBEnuUvbjwfT1ACmpvJ0dt5DGusDup1grfAxoJRqpG8m93FCPfc5o0Y&#10;OVGTVB9fuqvDnXoWGW/d1OtXv/55u145XJvhfC3cBmBdB0uMfmQNaTj5yI5kV3MLU8AGzgvqcRuO&#10;WjF+WOHImk+T2owyq82jMy0L9roY99MxxL7h7sHimBB/bFWFwri6wvuwVo7ieQK0OvOidvG9Jt1q&#10;uDG8Y3rsTzpOzVkODPb0iQ9PfC+J18XuTUyGC+AsVhRe77dgeW9Os+hjTjj6BGq9tGUkmkf/rCWJ&#10;70/p5SOvNqSFrHb9s6ErP5ipAjMWxyUnuptt5bo9+u09m2VVkiqe/gs4TZpDJA9kyxHKrmlkA8P/&#10;SLLZcByDpnuDXmDZFbymgBpWub5RyJSp07HSmSAeulcb6iuEyC+4xZEiOKh5ioWHehVhB9xrSpFt&#10;8sO+q0VHDISm+QF/dEgD+dJOXD6iFH5AHa5XGrI0f7MNmVcZ5aslZFWpDBdfzkZrdFRm8sTLthRz&#10;uLTQZdgAyHOIRdPdeZzIi4X3JofCBQeUQ/GDmpSkP5Nm/v//FxJW0STayH0Fwo41aGmMCAVBgeVx&#10;pm7v9ENzNjQ5l5EW1KIofMd0MpaUQ345sxZzWFN0TNsUidjHX0Xbj6jR2fX23iwdZDzmeyxuK6xo&#10;2UxSVVcQ7LfRiYjAsq7ECAqt5aCzXsu1T7DONstQVm4itAs+sfEZvWUhDdKuKVvriq7Th5iq2Iee&#10;ZoOXYlrEpExGy5hDnMGGQap1XIAJ5fGFi4DTCK9i7qROBKapTtFp9QXqhjjc1ln3pjsCZJFVZ+Xk&#10;tf+ldt6wFO2324kT/+0qRfe9tn5r59vbNziROl074+235/e/W4TF9QWPt+uieFgsDt/RunBfL4jQ&#10;EWthFQ5+URefrgIFBtE5qItAapQ0GANw20w82Jri2xYJyOF6LYQvIeWG9Ee7Zz4/cnsO6RBlireP&#10;9SwyoVfcdSfFhHai4XUH4RYvr2aGC5oGDC6uxGiUEx8DPthr4TNtAoeKqlpHWrCN9mltC/cJ3Sqi&#10;FdD+wjOxYWd7cmAzKNWYBZKnPseptGUntnhqrAZpoXORFRvXqbJ562TORgAwYpuuv7YjgOlGczq+&#10;uOm6Kv7C8wuBLsOgNBwX2g1ehL7Zg25U92xOOWZjfiwpPGWEU1ACOUzPndxbfOvCZUcT19Cg113S&#10;6g5cOisV/hn8Rx6D0nMcrdekURiEeYW76gbKEJ7YrM6hwWYfffpVUPN1zyqSX7enBUFs1/VEy1cn&#10;p/B4cmyML6weQsY83Gur3tC9keB7RDVg5W73yY4d26O+mdXmUqnxPK/2Q2mYpjgyaHrh/qL3GPOk&#10;hRoTbuu1bMpu6RuLJy+A1A7h83xhxBuxtFqhYoulQQDVsWhNQzrumfXuaSVsWCWWPSzITJO4pHqk&#10;UvgPvvy8P9esZMHMuW9Pntj+6qUc3gmjQFTcbl2rom70cNKzjRHS5FmFFcSaTkAz8a3MwOUZrUWh&#10;v66L53WxIPyyoef8RT2U4pHJsynd/CyilhkL0Exx0/w+DrpgejQvpqEu2ZbCUlg5+K803dEubZJA&#10;CnzAWyyBLcqclmG5sDPBzmOugYXBGcn+SrWrpsATVJS1JjZJmj56ok5BCjxGv13Ugm3buXsdV92G&#10;C1vBxGbKzdlOo8y4fYmyqye8IDiRlA9j0AwK5o/rDe779S0+z5MyIkLX+vMjEi7Tfofh7natNvnb&#10;3/v734bpSS0vPhGzEgZzB+ApajSmZ8SBOU7e5JdXrVnYlitiRyozsY7lbO2VPx19FKRZj0m3Chak&#10;HhT2au8lSH3shP7x/DwgkHFZNPcrEc6s+qEBHH4G83Qnd0K5Ms3meScIZyMMrB7LIhMxH2YICjes&#10;9T37IMHXg+6mItJgGwB3vDvJSDuNmAW2njVGK5KOF5YuLtxuBzeY9Ylmd5Fg9VolO4xFFB/fZjra&#10;ngdObNugxhJ6MBhrRwB66FwcRkbHF5rRWD5ctdg8xyWwy9519nTU6VgvIt1oLtQFxnLM1fyLOdJD&#10;1/Q56FozWa3Fo6dsEUHb/vo4mkVgFp+185DpQZd9qEnAolcCPhedq8JcxkQsybIPh5bCZLhBOC89&#10;2/Cvxn+eKDe/dkDYQQoIKV7pySQe/D4SZ7oasqtkn8uckv4AmtBcsLTQsrjb78TS5q02hSp7gdg5&#10;4R99pNdMP9qnrIjBclfyUhd61tXUefpn3VFWnH5HN04OoZi1oSkeHZ6X9XMVopBeRTPMdZmPedH5&#10;NHMZ9uZaLsmfMdry0K972hgphy+lOlaJB6UlhO+1SauYXnstZ4wKp+tyZvR4mCopNor+aCpBc0Rt&#10;2F6Cv2VJzuhPbZqzrxH3r0jSvwjppY5CITnMx0gxxuxLJOSf9/OF4pYX9XX8YZXQjflwHWP7vucS&#10;Ob7QocimyaC+musdWjKDR6FPcxXglvYwrMlZzLTeYW+XVu/6bhztIzwWtOvhAw54ZuRcEpJCSXsc&#10;Ue/FX9twILhfvutPDgzTobixu27LNa9CH4xayvJ+aypaBktRD3Z4qompAk0LuhVZEjtiIxP149ab&#10;pUA1n2dLh8lGrmfq8+e/rpIQFrhSbm/cnPqP/8B2Xff379UibTGUdlS3SsC2uM4XcE+S4wW3fxMc&#10;R10Zu7vaHElMf288I5V3uimXvGuWIFIY4WRAji7ToNSzxNiySaEgnI1cnNeWdmoqwlQzW+kbwJ6N&#10;K7L2M7jfWCZOgbt6gFXDi6n66U6YBg7H1iLT1g8P5PQCTnm0Q/wts4ZwpJxGnu/VdxJqmuaMJ1N4&#10;YbcjuqZ+cra1b6NeI2usHba2oogJycPItlccI5bMDWLoLlWAbXsbDpXFawva4QE4tZfX/PR7YJUL&#10;Hj1DBaO36RwNXrSeIjR1YeSrsxTQYPvRW/WYIh1VkCt2/fvYtrHd07XgbDuNNL3kmFu02LlC1hJQ&#10;riboZ5zN6dXlqwMholOEWQL27xIcinTGiMSANXbGBaLipbHqThvhyDPkTxEQzcu3iLZQB28m7lG/&#10;ZgHLefruPZ9elAcWo0oq3tlgx36avSSx/ioDjFW5BrorGC8j8gy+wqmjRer+5y7kZ+f5oI0xW+8U&#10;2in/4UUCMxY/H/5+c2zsK2Mn6xH3SRX6cpYBYoef009mLAj3LKiSmv8+8WNsdBENo7yEICVu1ZHA&#10;N6L/2ZO3JCgRZr+dAmPly5eozdLiBv40Bk0vxE2VyeSKLA0+zJSJpRH5RCm/Cohc4+M606++kTwT&#10;414reIX60h3o6ujibZWZLEtIGABZBWY4mErhqkplfQ5PTCaraD/0ICY6iAT18JqSEhheDxonWuJu&#10;J0tiNbKGQRAPcBMjqSAm+vikltMPqrFKBle/yrWGzbjw+IckTEJC7N5/nidal2xC2fbMdcz8Ga60&#10;5aScTd0bfvdEm/V9s839+itXmXvVkddv3rd6lafHcX60o7RWj8OsU1Dn2bH69tbev187Zf/1T2tm&#10;VoNs7N9/3+/3xMwSTP6U31SKx1aL/iA1g1OfrXG6aVositKYYS9EfdpmZIKGSBfYhBxmA4yzRiWx&#10;QtFhQoOTL4DyDI2SW/88DxRpGseUBu0lNx0f/lmjD2tNPR3JqxFdLmwowRFvrdv49NQS9Lu50jVf&#10;8slWXSQMTWgkziB9oMOJoQX5INztXPLpqBTrtAzrAg/8v5L7RYR5FvoIKsriwZU2OKQvO61eKOpq&#10;T2eZou1u2/xW6oiQkwXOQphecyNU9yz44bUdcbrFSY/XVf+EYJJJdXCAeOARmxgpYqSWa8eQvQnF&#10;Hj4poTsVyRh4Y94+QUs2OZvcfP02guaUJeFYWrRu6qPxbHsmmkql1kfMiN0RhTIEuHxvWKbxUjII&#10;spXbClhOa6prT3N19t1FtNrJ648sLSo1uoZBuadFW7lwtNRXFgwcjWoZe0e8MS7GdTG0nX4sowuS&#10;B+C+CAqnjHYM17i7Hf5r7O1UZHOS+hrPHRwf/Samzb15scZKES8p9kIaE+Hz956oB69qfxorCca8&#10;p4p1i7gSE7QhAjP7KdaPFZ1CCdfFji87uQ7Ilq2jU9ZwpOdYE5ctNBM7JbD9vp0sLG1WolmiqCZE&#10;xgqy6WI0+v3hSiTpAoL4Oiln6atsgl3TqCLHFxXPwu5Jnms/VqCorzrhU+KJCcJoK9c+mxIlhnsf&#10;8eA3tCKkoHhYtFHpLrDyMAHFDDaQqqLoPPurzZSgU66c2GhrCrs6kXXyL2VBkZYxBcTcw8VfPB2C&#10;ESPnRVLuFSMrFRrF81lC+xSg0UZxKcq6TNDJXutpxhlpKe1+g//h2jZ7rvt+t/3j499mSLk/rk39&#10;8f23437PND9+/MvY+vY1tVx/+vj2GgnmHOQ400RnbCHysJgjH2HRKPmAh0Os63yy7XYsz7GHOL/S&#10;3uBZDTRzky/QOe00HeoMhx9qCvznM/subA97RwOaWQo56kwLXiiW5OjHWJUUVwkMx34rhgdzlTYe&#10;XO7tCJLvKGnPit1RGDDOXbNrA21pPhOs0ylmdUKSM+4SzCElXOzm/qjXNzyvbc9+un3AzUPGzzSW&#10;9D4NGnoK0a27hAQCzEIPBC1cv7Kb5Rz0T00/chXdRiObDuGi5k8jlqmBgFxu+TQzSNpA8eeN56Yi&#10;nQmrnKk1T+Fh1+mYv38uI5chAEvpkZ3m1LENApHrBNXLRqFmr7VHYKCzU6LiQg6DiVnO7EntWGdb&#10;Z4EVjQZ5d927ESaqGMi0P43OsvIEYzNyEYYUtkRuLiaBkliTcJhqLwbJkSN/HfCEUNYaDzrWpCUz&#10;iTNAD8PSwX9MElhztfopJY7gBn+NXEmvhgW2yyZ4ReDmJK4eP5Aak9nymiROEGeO6lKzyeXKebvG&#10;NyDdss6s6RgpZTzAa6mU0KgqLde0RJnltEif1eh7GTbSH4vTMLPUPEUEyiP2b9MEs3X4gunh631h&#10;fMdeagoLSLSVsxpJTRJ2Kprhuokq9TB4CtrMk09bAOF6xGi9YG7StOSP8ZckWomxesqriCL4jkRd&#10;M/2WLfMCG+ypLS8zxLhnF1Ps8Kh3Ke9yNIUjXonKaj+tpidmN0qrkLTEXugH8C4Z9AxrCw9lX8+k&#10;Jlx73kUW7c4UmDEm/NyYjFafjryweYS4mdAMKt27yDnc8jXSuN7phzVLzbmfZPROu4FgbI/cr1Kv&#10;bK2153HcCuuOcu3091rf3r+Xt+/2ER6fxtPnu/74ZRd2u6d22BTQ+h7H9nir97f0yjZ23ZKgDZyu&#10;rrNb0gdsupWXOHgftlgsIgoe6X94czb0gEv2cA5cQWuuUtg5Zj4ZlSdG6C7j87NvGyguZsURTGcs&#10;Nxmn0F07oiZSlTrziJJ0cVfy/AQ7ezrMumMaW13Dgfqxq501IlT5uslsVkcli5sVBClgStBp9IGh&#10;0BIcaK5H5t1G0IZbSEJOM5A6C/yXGb8Oj1EiBsWRlZLPJRUfeuRHMFnA7bS3f88ky9gq8ETX7Eic&#10;QvVgLeIJzXlGGbTTJ04Qs4ydlbnTXnwqZjfk7rF+NU63EX8sImXqnsBQ02S9FI8uIkKdFPkemQjW&#10;87z12800Tp1FPsy03hBv6MkBjtx9ljMIY4RSrktURA+px8d2YbdT8I+tAncodlK2x6pD6iP0Viry&#10;lOjGuuvUhj2Kepw9xOE4q1LBbzUlLnucEGj67EKTDk+84b2fKJzh7VW4VjaocoCwwZF8kGs8TkKa&#10;CRRaFfNJMd99oq4jnnrWAktAtKjK3Bo3eKMktkolLW4HpldzFsICrKSXuAo/7pDGGbQBqop8kc0M&#10;aVMvEproTtddRhyPOsHLfJZmptY9SXU5g3fD2glcEFPqihVoPQMM7dROk/KK3eUPwoxPQ1wOlZVE&#10;mV0AARuMElAWWmvn4zj2W8xCiklH8NuU5yOffQ4FRCRvwjPlyMgMQ6EL54NRDm8V8FPg+Hc3xxRv&#10;iMN0W0NBwx9/AxjMymDLoLet6zAaTffDzQBCs5AawwBTKle8q9DADeYgRmFdJiBE8h9M8XYLWii3&#10;kb2KeoRQuNkSpvIVByDzCLL4UweHmzkERJWwQYuYmC4UtwYUlb+bbYrlpOjMKl3Q2HFzGEu54byS&#10;h5kg+/k/Pz/MEFnyx3FcL69/+82wOD//Zc7g89iu5f1+p2P7qgiP3//relfjKs6s+HtLvvHOqiOn&#10;vMKM8xqJRf/MiedjY62qW9Ww5xUnfoloTM1Ojb/ZJBoSOgYkSZG8TiNU1UEI9ivKarDiw0WME0HI&#10;04oX47asIYFDzes8ordREp2Vs22W8vQj++ptlNgeQrWqw7WjGkkPGYwBMG873gkXu+RHoSH8GIwH&#10;jYhkOcd5bBi3Dte8lX0auWX+9UgG8AWcNkhlzGoXeRGMMSPQrGZ4+7ckb+wmo7cIXnbYaa06qdDu&#10;+JifyXaYnEMiA0BwhNVtX1x6xLHXnNbwVLn5GMzLlcibJ30xho2lp8UGUFdeoKmb+v4YRR1+rx2G&#10;dn6WaYNm7jYcx+qdJips5/9ZRoShma2A/rr2r3kBntDgEVNLx6ar7UxCii0QZ7aNzadNQ9HEQJ4P&#10;dWftSxvag30qnPKXLFnpNXKsezpWZaR6Bk+CeJSMcY4FmHSii8Rk+Fp9pdl7TCtta6k18rx9nFwS&#10;acEjz61v2S6zuxglGZFFenzSPNObdjVsdJDPNE5GTkiHoO8eLQk22zKBAPammN7Hz8LqeK7RrTFd&#10;J+U/BUw4AKz6QJHvuTg+TVAbPxMUzy2x/bKdAbMts02VImB4mhhcQWNVY3JcDRbxpmbcIIUrL1JS&#10;ZhZGTex30YgQMXWZ4kSSptapafbmEpt4AAN8F/IJnH5sa+qJ2oZGxXh2pX52Oz9Dqk2TZY3B+1U3&#10;4DvdzY9ex6SbeiSn8pZtt8Phujzxcd/cVZ09cG7TIs682bqBAICunr2ET7MUD1dIoTHb8/Qfuh74&#10;QJ39tm05z+Y7MyX58Y3ks2JIrhFxymWNozIb8EPhkp7NHBlv2+26Mh/XWpeNODos8w+FRUXO4VUc&#10;2rer7f39/v2H7Uz1Om2/pdvDgmUe367NzxJ8AZ72yiha1qVuddV55exixLCv+F9z4gRsGgUgDZVO&#10;dpkLHI3J5ZPixsEYYTUihE22s1+FYEWUvAmQmo6Wx0HRBqGh9m24UyjmC7gyRcexYYIoevKuCQ37&#10;Elkiagh2mqusQVo85TPKhWkMzVlAf9Uz30M6B1K3UdMw4LPPvkJs0jRbkn8rDckV4O/OjuEYARrl&#10;iWJI7pGqZ2dVnc0j04exhZLOcxuupEdCRcIG7+ZXfW9jOSMPJ3tLmnKK0pqdeW+3DA2zEvcr0k8L&#10;x2b+BHRBU/Y9eELnRXv5GupdXAhSwkzgDBSyJW5HvV23I+3Q+lHWxeV/8MwRkuoR9ZR/k/BvsVUS&#10;MvCZlBTDlR4ecB/gNQu2TZ4lF/brRNrLS2tPFOn0hLm+eWD9EHqGPa5OIHj7mvT7sobz67gIFyFe&#10;+b3JtKOJxfPwOC59MTW8hsLr7OSXZ9n/1m4h3wKk4S+xCUPPaM4rkPJPufDFHdmCj/jPchOEDBl2&#10;Eu5j66NEJKdfbptEQEFdcXGO5Bju7C4IUdxGfom8Xc2OiekTsyfudxlAKnkvZUIDGKbjrNccar1c&#10;8oJPatKaW4fNkvPsH5vGwEpbePS+arWG7KU2PMI3cQPvmjUKLG4+wzbGZIKqHMocqEuUVGhpC/eI&#10;MuJl7yulzoFZRGJ7zSF00FXv8LTYRVhUPIt32KXOpVfBp4FzTJxdAw+HJWqKDd+OXV8e2bPDc2yQ&#10;1C1KFpXxcCRNOl3xpCZ11hgm54CCabsXq0+hJTgk4ZhPl94OVXxVHOBwQ93EuAGipitxbWf3cu3K&#10;tUEdjSOyRtg7Xv/TdJLMi0gm4rzdi5FxurE0c/7jw0AwabMMAlLErpN32d8MQlbqF66QOpY2mJ6/&#10;73LQnMUWb9FsoYSa+heIT7GyoPcP7Sq4KHVL/oOyRDHXS984ukzIICyA1zA43j6Fj492fMo7nzm6&#10;gRkFc4VEsGfPqUc2GBLU6nJG7mkS+UdOfeo+0JgqjGczh0MZIYKw26ppkq1tkB8eLT2YAENIqROc&#10;G/dxNGR0nzFYgRdh5IJCWLLkbg03AfqrHcVcGIsnXJf/3uDmNuAyDtFwQ2syx9UR6GvWVRyJWdmn&#10;4QFiAAIoWZMnusoWSe+OQbrBHkvXL1rkzqQv0vnkhSkbjyOOSnk1vi/gZi58Lp1U2gE597cKXvB1&#10;cLu/nftbg/E9sUVuIV6uF/fUgtTF5rbsPYMN9uTtPle7ePzLzMHpJXq4jFQuyqxHB9u0EKdtmWeX&#10;LochvZ1XCFWxx6L5OEDbVBQMnrUD4ZK6csN1uajCF8q3IvLiaB82EmhQtR0KzN19VpSTZzowYn7F&#10;X06UzisT84vmcwau+vTaw9MRttvbmpjgQ6Kun7Wa4m174/n9JPfAcBMmhQCUXKdCVLGkBes9QLGH&#10;7A4sGAmS44H6bIt+TNYXOPokR0hPAFFF/JLStNM9n8bqJVBFdSpKHMWeb/g9AIM+LR8jwFZkmTIe&#10;2rTWFc/5Oad3o/t+7tlVk/GNQeZabefYCBqL5DGb1WUm1JccdOyh/T9bpkH1LEppYnCxUPkNB/AO&#10;5qElReKZxLImot89lu2g2RXwfcbnIl2I0ZiVqwd7/WZvQKfbbsCusPEulk1GEGMnZ5GyNaqGsWmW&#10;4SrkaJtJJMazutq/Fp1H4es5wietr686kCQGG1/vZDOjWI0HOSm3xn42Y34RbqcomB2TzuPzSGrU&#10;J0YmmcDw+Lj+yhOayYzo3XPfxwaKs5mj7/32uLYWQDjTjPB0bBMkPl0GJL4RF50vnIelazSPvD7F&#10;xigUh5vqWQxaw1HYVdfz4ddY/Oi7t7HuVns7jEqKVZH6QYPLYFKP9dK5QqvWAKPYFBjMFK1PlT/Q&#10;wScqbmU4L0uYH3/dgILgqCx6jxtCa89EU/AoIsqzj1d0rienx5nCFaFx9pjCvCl734IWyaFs9MgX&#10;jpXOLO4F1xAE5466RGhWNSTLLdENhP6SNOK1Uyc2jQqSKjWcEzfdWwp8KN63QRt7TBPAX3mT/mRZ&#10;8uyBecKMxloRU9uVbB6kB9Tn9UTc721764/v1/6HXd9e6TZSeNd1ZizKjFXLyI54yND0JhNmSFDq&#10;dq7amtuf4zxF2sw+a8shTHEA0FRaIC+tyVK3UE3yBOSssJMc6pXIdpF4Ta0we8tP5jlqUylb/sqP&#10;RxXY49SVZ6SGh6djZTw9+7C/MDhzmkmKCyn7JczdlRWpC4OEC3yiZee/EQrNtGyEefkGkjkUJ3K1&#10;piACQ4dMItFL9V+HvKqMkfLs+TwWs1fQR1kkRVZDeo32E9KoS9bSndvidelARTKiCOb0CFDEUM4I&#10;JOpylWLbDMSlADZZeo3M/gE5WJI9lxjBlMei7PT6uJb8quvgHZhczzdkgszRSs7DvRBqiLnjJqo1&#10;tW62EnGm17c6NUjWBIhE260MP4oWftvNawDtfy1HqEjN4evNHI/CYMBE8b5naTo3x+5YelRGpPsY&#10;N+zNFiwnoivife0akn3aYZbD5A5bYybSBcUotUV8911TQmxs8njqbgMGFRuqK4Sbf6jNxpbWld25&#10;Hm3bdRS2g1Yt37fbXsvP47ge4HstWs17u2/12gjr8dx+/WFsz+Oj19v5239CoG9hGAVN3Ck2EJen&#10;wbxWJ1MeAkl9PtfOijtxY7qTRHfJE1E160AVmtXCj3CgNC3w0d03qnXMom2frOCcHvnzjyxRtCD5&#10;mlqMyC5eveTQdp5ZCrra+z48fktlcokBpo1Vm5x/GNchiIvT+GosUK6Um6vC+aNOjhy85bL5nsAf&#10;wHffcFOyVQvgllkMN8wMTjHYHL3mKTmhiKawofrTBhlh12wDVcjGgHvIR2c6loShVrMUi70tAWve&#10;cDNXdidxbthF/9O85/Ren9WsgaLLXJfzEtqSF29fdo2tkkGsdY4fuixZfZfDxLNWix6961W9mVxh&#10;O6wRv183MfWQGTJ7sUBj6cUCEUiRiFxDOqcsBIAA2OpJSBg7T4cgpV3omUWNHgrbGKI5DxsQ8AXo&#10;PjykNM1x58jzlD97NmMp/oKxfj0jZ88HDqQFs94pKvPEENe/qdtbxKaapzq8pLbqvFx9OWZbNK2Z&#10;hiMvG+DygBTk2dobvdUtx1Ptndq22D9i5Of06+4/yLuOrjA6sMePpXckLEPybzh0E07loR+D6FNi&#10;58uGhRgQfrU3pIh2ejl2GbgV3e68JMJzid+rIny4zhuu1oDpLotS542gbeWW9OhHznOEq095blO4&#10;+YJ6mnjP5Po1zuPloZJzQ80Rts0i2oixMIUeu0Bau0nE8yzR12LhSZoI500nT4Dia6YZJ8kpFPNH&#10;7Ek3kITm34qiXbB0YjKjjcTpLyUNRrFspocANq8BenxIyG+3w/VJPVP3GhpVLNaW69Y6zHcyNmfZ&#10;eVwse7wj8h5Hh/nAWCo8b9lqYL1zDKEw063Ee/MlsaQcgO5icgDEcpLwetv2X+3IEONgJ74ODFuq&#10;+1VEfrO5oBkn2n67vrudP9+/99//69oCrc76/ncuXEKuefeKxyRAS+fzwOpNAVhUVV0P0fCQn7U7&#10;yufbcDP+VM4ks+JBV/iPbQ9jiQhLvENwsKv/+n832wNzUn2FRNXMsg5nv2VS0R3mqSxiC4DtmsI0&#10;1GQ0To7MLZRJeHYCeZZyVXscAIBD3tVp9tN90UKAwSPvbyr72Q5CF+VmdE0SqHHKBubAZPzKyzV5&#10;001aevmSbefrxv/wbDwKXuTWbq5AMxgp1iAr6nFyI+j2AJ+aW8X1Cd4REvBp7WNrxdjMX8P3wQki&#10;PulcY+DE49GYPrUVybaAHhnNrpK3BTZLDTeATx2nlB1wTEAfF71OqF+hzB7NljQe+57fvp2P974/&#10;sOqbI0VPevKeumeed8V66bDSvZ0oySY8f0htJPmsjxB8JwrZ8wpr8FvarsQ5YFQQICdLskcZ7zAY&#10;m9N3JtCL88U6A4Z0/ToeBIW4Qq4dE8LuhwW/oMqiynI1FFTzPcq4CMbi1xuRr2C0ptgXDJxebX/h&#10;8nT01HIyDKQENlEu0CTPu1QjOws6jjl9igDoQy25zShXp/kkpaYoSg9Ko+tcfxikSmNFw+LgA620&#10;l7nfDCtyr4QnqI/fOQWFWWJ8cXX4MGmSj0aX0CO4KlOv500IF0n3HBhOtPh4AXk6bOgRloVatiNY&#10;bjazNNLjkcsPYZqbh34kO8YvRCW5xszbX9JW6xQnlcmzDranWg1BfMNBB+pMpT14/WqNqOuhuwOa&#10;tQ15Ywi/pS/kWv73urEdUgrH1DoqD6Ep0IrCNUf3Te4ni8Bzl1H3UUnh7VcQaaTJv6OD2VjCtKtM&#10;YT07o93ZUp7nm+lMxapgksis1aRQGU7K6Ml0gqs8u94CCXOBQrWeCmDTV+F2vc7HVg7YNavlvyMZ&#10;e9+ve/UNb/X92gj3e3p8S/fHc7t1JCKNt99a2eq3H4+//cPK/uIn0IBjDNqmekwihcboQSbwx0Bp&#10;DV0yHgKcaZdDIYwhgDf7KMlBDtRgOpbjeZDqR0w4Ht/rypzPdJ62/Wuuh+aotC7FblwalIV+UUjb&#10;XM7HRFllD0KbsojhpduAKvLauu5Jmed8q40UFlrWfZTMVQlJHLLHZWRf6VCsAbXdgtdZ6PrcqoXp&#10;dOkC8xC/NdH6j567X/monL3BlRhRcaApxKHLEsUp2k1fEI/VLMAMJrPR47UlfPj9CW2n7NKnR0u0&#10;GaNj//tEbILahp5u4bzlEUddfv/mVMcCDMZGME50jdz1g7glAyltUrdlNq5v15Z5u4/Hb21/g9hf&#10;c4q+EC25lZ4eCTVS4KBG+mKKclCJq5IkO4Bw7CoBbTk+c1d5ASMBjxqF3AYGDHuH9vA49S7U/SCT&#10;pHsnfKHWeT/Pdx870CRl9AzV0CN8iHKydwbuCmQ63Hw2GESFjfO0k41tFQrtAa3g1Jj9NfdnViEs&#10;oUqf4OfXYX4ODEVB8krygOIRya701fBH89OMEHYXQ0eoGEuhaQHmwg9gUA/df1VWmLNFrJhIp3t2&#10;3DDq0R/2YTRxWxYYtzMzZd2bUa6+zY8pcqEUswfslIhOHbugnWnUX1CVqi61IERDxkd7MHHkayvf&#10;5/QtKntqi7cytfs1l3/nRRwf3LWsSXxa5vppIcBQQMAZipocCCGy9nKsLnjQhjM2BUTvDirK3rDG&#10;WaHH2LcINCKVioQatn8wU44976FHlHZt4YlQEbIVZWHu2/3aUnFV2ZX3JwVOBpxxT8fuoFlYBcLk&#10;nNvpRqdO0SiijJrQQjhTSDjjQRNeAtTuaLCj64VgrJMDFBPCZFiWy3Zc/zut9dmvQmPfr//4PM+z&#10;nY/7jcrtrbf68e/6P/6fhm25tLN8+832wuaOfjFuMmKJSvaCJL9QDJxxLIOM5taDl/F6I0UrsD8f&#10;2ZVhXAycBkk/ZRE8GA1i3NSVPpHSz+e/Pz9q5ah1FLY9uxOzVCN5HmZTFp0Opp18fZ0XhvQFQHZH&#10;kkghIDQBfzpiyaarzAxwEXeosZxr1TumBTs0uJnDKplPM2AmOLMV8Gissc0GcHHOFpA0ak91N3Xr&#10;xB+Xuzly2pRXPCj9KV2G8a0NLG6IyGXeYjrZDhE5/UZsrpec+qyCkrtKYgQlLGQPbockXr37C4tx&#10;TeGhSDK35ABK4d7USaOwFHNWhAbb3kyFjMmCrgPkfs+3B31xBOUEKzmlOMwG9wDFhLeCkrLaO4tt&#10;SiGKN8XyStDwUoxttOpnNKTyNYTzdSkGkCfRdejrxwBE0HuAhci85YolDxmPx4JaZXm/Bj0lPBDh&#10;YU4egYR8TNDo7QzUvN7lh8iWqTW4hlRInKL1IZvH0uzT8qcNJweWKwWUdpXECJPK24GeHBTbs7Ut&#10;WnHu6qVgaCrsbwrZZwlBfu4yNnsdqpeBn0s/1uYmgDJFpWNu3e7JNzmoa95HVyh88FdLzmuiUP8S&#10;0usnIaJ/XljcRqqzEoMyVVpOC9onT5NQMVctNTp/Mzi9FoHZSHFkBGBijJ+rt8ZLiu1cD7N7Mamw&#10;ExeK9VPWfRoj9EB7umff7alFmVCBFuCYuvOyl+AOjtbO66B25P6JB2Wvy8EItjGHb2f3uDODs/Ok&#10;R1851DdoWvbz7GdQ9DZbl6+VpdxxWZpz8A+0H+H1owwxoYteuHk0FxjLlUixmgANmYZ6yHfpAzyj&#10;P0/9hEX6QAvKo/IAj3TndjKEi7p+OvhW109vVxHyb5sf5mtLvu0bJ8HXt611v77stm1GuUb4O7wE&#10;EDz8/P/K8WEFyXZP++M6gjOmHHMehDPgHqQ5hnXbK498ZhanKZDgmbzHGEFrKzZyNgi9NZKjp2+C&#10;S9WFIYvAORIpif3jZzuex0wcQiuLSzcQJl0JMm6UJPrL4eOYustyp0GbH0Elvv/EofDmMwUe2WCe&#10;YxOdyek4Kg8q61nTDmYYbYUBux5+y0B7dHgwOraK57rkB87Z1T1espFKYQVNE8a5nvmZ3dmGXVnW&#10;IQhqXhTpSzq3950qAl0R5Jt8lcyeJTV2iga9AMghuXG86Q5ZVXcwV1qCg6s/rll6/ZJZ81EC2YtC&#10;xtSzNqQbJeBw3itvllRo0l5gUq405YAjSPh4L27Bsr9iL5iNfa0B3SN7PLqMbQRSUCrTT7MnjhVv&#10;xkunOlh797n1d502G1Ll0TA9JQ5yKS9XREeuuOfAk6pOCAlF/KcAgdrTOM9LzmIqVibVM7D30wr6&#10;9rTxScKpeWzqBJIgm9lYspPHQmurw9NMfedlysHoM2OhjPYFtjVeyTOqFrxPyB2Sja3urkk+Vgot&#10;4T0/XlZnjCfVMte2xFmVTJdB8ei8eYpv2QQjtpkm63tfxNyFF8hFJmNMfR23FoJv2lj+UuRqLYIl&#10;BUx2nkoR5wIHG1MaCopqSAT7EUc6bzawkxb8xj6PHCm/BErZU981gdbQkVaH7PYHlmANKb6YU0aq&#10;JPOk2CjvyUPENgTLyEzmSBRs2MOlIcKOsHB3P/+oIvPiHSnX1FN2wWRHh3rgbgeq6Crx8Qhsoi52&#10;TJfzrrRmn/UWCVwgJwPfUmOTHg4cSE/RTGqdlGprWpQ8k3Bo9kgs/e2W28smT2nRbQNCjdKAyfZG&#10;DWE2NCY2EFESZ47rtX7gwpEr9I9v369t8o/j2eybFx6XgFVDlb/v1/nmvP/o3/9uFej9W7Ns29v9&#10;t38wMFZzXGyrifFkubAIyyniKl36QFHMdlsVvt5ykoFn+Fg9TeWVHwMBnLh2ZYQh3OAVYqFQdGS3&#10;/vWZzsM/aCaTdNlai+tMnO1uRXjlSTluGlzbrXuaF17lTjZ8MXWMAViwiDPpCkYfwEItEI8waN3s&#10;m7/BotFK9upzoAvqHVQeANBX8S1VzS7OMVBTDIbVo72WQ5hKvmISSmbq4uAjNKEKPVVrPhi0MDOO&#10;IAwKOyKBwRgY0RM8JkBCCFAF7k4Le8mLAZbrGvExvCOVH8tAoeEScpURfyLeO2j0adYVRaSegH3g&#10;Pjd20fX9n9fdtu0lkIm4p0/OfvDXj/4q2vfbje1In5kzwDo1b7f96QWV+CYUPwYHzwtaiYyW0B8M&#10;oXx5UvcCjRlqaclRhK3YXi129y9kUdfwdRmeZNPGTcAh6vXrz6G0ENkgdE1hAcgKcC5Kn7BwLgSN&#10;WjO8jWiZRlxHCthi94TLl1jVJO/wSXwlbi1MWTqXb7+MvQ6GTkiEUobEXzyDHfhnpBlpJORj4hxJ&#10;p9+Cky35LCRXMYPCasnORn0J4z/0xrQV9dWvH9jr8cVOKgmFNmD+kr06dsyGlnoVnd6iwBDheqCo&#10;ceSJAeGgw0fa4rdeFwFMFpR/XWO+ED97KANP4Xohg31U7mGpLiO97uYd6/wlB5RhGNLHRMK/+JJz&#10;qF2DSqQmHMQHqI9Q62xYmp700mkI2knrsdzM685pIvB0t+hUXbRZyyIPTd8RDUlbnfaNiZumz2y4&#10;4rYWbRuVpZyYHKLsCs7CDipCv4ucsZ21oII+ILG3HjJa0ia7pLqk4TIJRjvYwRnRH6amr4NfEwmI&#10;t5TfS36O/uu07ti2If0Vj4bFtSLlsFzb3tHSz5+364+uWvk//3v//b+O3/4hbdG+l/3+F/kbE9Tx&#10;UkrP8BDbqjb/pIo4pwM9HagAoe+uC+xOIybnO6v7DElYDQILh3wIljzSdTzmEYAyBODgIM4M3dQ0&#10;0ok20vjhmfUtSU6G55RqRnjrrMK9jgnwzyUGRBWCKK/d0bpzdF8Zr0bWKHeJ+mhHVwIPs7+GLKoe&#10;zTgNVP5TIR0jgl6z54VJuSnIp040/D7VGfWmMGZ00fVxume/Li7m7OMWihbA84a2WTWrecC7687N&#10;cTywg4aE3LfNGLZX0m0ITe6mUyX0waFN/Iluq8bbjCPN1F5E8kGfEaZjRt0S5G3C2l5rHKlDvYah&#10;vSdfYZi/SJsWZ4uAzeh1JQhXM6MnSM5Ze2VNg04vK3XOUz3ZbFOWzFEnKhGco0/svXayYNuIhtJA&#10;p9NyyDSRe6m3wkDKzgQfm34SAMHjmAAxakhGYF73zRlzRPS3aXHhscO/cx5LQNVwVudY6N1e5sVC&#10;bDpYrsBpKfB9bTwJovZJJ6eBdAJQ3a4wikwFYDlcxhLH/OS1nG/5usqOybYSFqsnz0Q0g5TQtCDt&#10;VjbP5nmwazyhw0HYeRgrNMRngXpTjYNtvBqxKVS4ZAREW6vjdp29keJ2MhDeewpBDAeDsJe8BAn7&#10;0CQ71iyHsHaw2OxuA5LvyCP6ZLevbtQIDSljITeYJEkLqw6JoHwG6Pv4ep6+WXbDB2kWX+0JUKYU&#10;zLDHbuDc8vSGSp3PPCQC5Gf54J+VDojB9jrR+bTDboELkEZqnoORclqyqr+BxV9MZK7MDMypWRBB&#10;V89mT0HIRzvgN8vZp8Y4PrZNfCkAB5Z0yk1xClDzYZG9Xt5u3TUbK7bWfp3P6wsedXvb9kbRJjA0&#10;htHsZ3l+jP2Rt7o/vpvM8npZt2/t/l6u7X3fl2y06E1SW6kUHAPd1F03YcB7qvdj0XmSxSKD1cJ7&#10;n1h/MSOuSsv2mWt3tC3oqhqRacq2xLWEFNfJyMTVxxw08ACHe9DCjLrmDFpzeSxvUKkk9+sM/CcJ&#10;7hSeIePcKr3rU3kwtRy1IPWQRMBVoizBmzFpJU1dOHRZHbM+gojU2tHUIValaNnhlOsq8A2WbVdO&#10;Qya14Qh93n38lAN1jZWumX4SmxD6hFUHzOzgWGIOiEmTrJ47MZD51npvtZ7ViKOcsRbpuzBrVDRR&#10;TypnHW+mJJ/kOVFs14yp1o2cUl9pOMHkFCFkzGrTEmvFFCadR5lsLwAUn1hYH7ZR9wbxMSlXlQMG&#10;3IEHcjna8F75q+Owuw6m+SxOwc3sGg32sSYEbMyk75nCPS0BC0slKFiRWdGFBvX5DEknuTdGZ4+c&#10;3SdaptlRD6/U5FiI3UIeCJiOS+gmb77ZcKxh2bdOaSLNR52X4ka6tPSuKSt1+VPiqW49IJ6ujQT5&#10;Krev2aoitUX8MiM+SIO4qqlndBNxf24joHtWwQbEhlZ9YoLgSrMGqdieidNruZ7s8jl5h8+mtHTM&#10;sy5SF8eJqcnemReTB0GG0RXImhNnb3go/zLySu0jvfvId8f6zoNv0UMqCjnPJc92Xv9gZEUA8AjS&#10;qfhiIYV3ylr+ktvgDTq6D+HE2Bie53QI3xPLcvgLYLLzW1o4Wx0eRWur0aNQF4l9DA9UqF1KpB3q&#10;OMoGtk48irMYyshh/oZcxHgvG/kvGNK0Xq6PkHvt2U5iiZjd5jgqzfv5aSIAwMhWoqMBZ8KNg0PZ&#10;TLQY4fser7VxKjnRqc6/tpqyWnKf8394AsOFTW9M8UW3EyNDoM6gViLf5LiKv9vdjsq3x3XaLh//&#10;LM/P42//ee737fqub98A7TwEUsYRAo4KtPYza+yanYUmIp6JOuwlQVGCvlgpkVc4w8/xF4M0BIwx&#10;JEGmvyAa1EZqNHBIdod1ESgXySF40jFV6MkeZQ/Ixqsnlq176ELZQm4Qt9U8jpJbhekIKglI6TB4&#10;zZPYy0dzgyztrBHJY7NDqkn9PKg9gYyYmmS95JFExVz251a3cnmyle46VBpv+eXZSaGcErDm8xJk&#10;UMcBw6l296jJhycO0URvjNd87STlOle8FQu33AGAOLVBEt/ADKa+TYH7+Bp2EApvf0BpHtiWLhrW&#10;l1aylClJW06QMqXaSq5vShpN8unVznotPm17a5ulLVeeNJeh1ob+Khuh3jFcZD9leGBt0Hjonhzq&#10;FEBJNpSmvKbYuh5S6BmvXMRPFwy5Y+MJQSXDPp82rmNwILvY+oqq+E+VLxMnJifWcGjIsDAnO9bn&#10;MK13ES24+S31TeKTSOwbMK1O4SEt7BU8MF4hc0vKWA6m6bWH5XMIotbZKbE96Vrj2zmWLNnIJpLX&#10;2Fk9Lz3USGkHgisEAIp25X68XubsvlmewBbjOH6X9IYV2ebyeBd/ONdiF5baihIk8ca5M3oEzNzB&#10;aFbiT8wvECES4XbV0zErjvcU6/ohDwR5Axmz2pDZrlIqEipYzY5tH1VIgvPqQhnl7gvtc8hd6hE4&#10;FZEXgERTkSMZEqNFDX/K6Df0VWEirMZqYW8wT4gs3iDPHzlKxpuRUJIfrkZRxidL0iK1p/dZGtz5&#10;oyvPm0IXQwSjJO1BwUXzdrMBYaGCyh9Mot3gmSjjdC2S4cKVQFMkjsNBKQ1PZMOaXLmLw5DD0iI7&#10;H+e6MjcjQxvEo5KkiU+beajYmgqtHdf98L5f9bxNTne4zRGVfuPNt1k7tIGgO9iBuDa/CsvddKBj&#10;IcJjLMpTjrUs0k9wv9dr4ef93WjvhIrHzOJAmvHD3Xdgr0PB5K6q8wDJs4jacLbh1bOVgseTmU2d&#10;SH2mZaDi6TXLccxZmuWP0OdCSTrOfgVI3KzsEfYF+TyQNjoOSuyU7GrOuWcufDaQtGgMpx377jn6&#10;MzMz1okp2WH7SfRAsXBA9bW0hGENw+J++RJkUfZaebos5K4lhiYP4QfV69850Ka/x7f26Qaj1mCQ&#10;+gB3v2emF8bHZDsVsiBmy3dMuwKUrrHs52ktDxHBcEOYgixWveeL0C6X2Qf3PYWxjZw/lUqEwPX+&#10;NoJOcAaws871Dm63fp28Su1kjGJYcpu7m3SS5lNmTe2i9rHqTucd2V1zEmrCQtWD78pzeyhr+N9M&#10;be3Kk5K9xlqUWX0n5Ws0j3xjg4x2gMLkryFJVmTdrUFnedIWh3uos4fQ91VzO2YkIN9rA+m9dGf/&#10;OoM7TwSdXe6uPHHdIfIm8LcgH1VMElfkI+VPW+/swW1wgp+xcyivkSFZigvglsF9y5WrrLczFdRb&#10;mgndIXjsMSkFsLjIJYeDMiqTJi9lZpa8gcOzBp9dJpCyNDS1Mwq4lcIdk0ZE7/kJdVhW6nEkqYKJ&#10;1Kp6huhcZK4cHatFrMvMfh2IXADtzgxnRcVE7lLqaa0AvQQPdUSOjztirTuF5WtisJrqMfYbyZFa&#10;kq5uRZTMQvN5Fny/ZUE8bc+DbgwfgQpB1nOSpjmxApgzo5q1REUdty4sjAPxA37HCDuLNYyJsuwG&#10;5xH5e0Y56K48IwQfl9pwibA05KzSkBFefGxsv7yjTmpCkip+h34GC+zF+7zddqYaX0eWp20qauld&#10;m8BmiT8JYgj5R66/1DUL7wWjynScUMmm7bCh9rNbRuD3+22/v/Xzs37+HN//0W/vtorednt6aeMz&#10;YFxlDpg8r2XwWF+qc00Avu4eTxhhmbaOteZWKFg4GHJkFvviC1YNazq6AbiYxycGnNU7Wtcn1Lb2&#10;Sf8CEjts89uuBf1+fWjb3muRlnNmMaXoLiIm3hzi2c2dnheTYqMK9Y6fLn3IzsiCrGjpapJVib/D&#10;47Uq03zEMNhuat2B+LJaZyZj3RMVTpLDbrDBJY/paQqdd1yn7bvphvTOU2pM2863RUzY5fMT4LtL&#10;OqitjJa+c+kTHj4x975KnhF/YeogfIZqQ6WqRtj0yCv2yS/fRFZNa1aZzxoyp6g4HwTFMy3MRNJ2&#10;Xx9v37b7NzqcBPfK2gz6iweDSfJy/hX/FHp6WRObb346X7pifXxJnPVUjbHw5YbHm0XdpIAx/KGR&#10;L9C5LMKSJGR1VLxBiP61Ao88RdBMqpgozolRIswFxxou8+MljDa5apSDMc3zeHn4InAI6l2gbHo+&#10;snuB7ZsZm8OO6CcECyZRaVpJx65UpnGw1LB1pzFR+foeB7r9sGlDaKMsQrYM7LF6IgNZ2iKMV8H8&#10;UwTkDCRyXNmZVZbXyK8A43yDMQhHBxXiNXrsblwTm811qn05f8u/Bya4UwU0WBIQgJkMzGcT6l6G&#10;EUp0PaF3dG6Q3aZudixjA1NNXNZ2AjXEULvP1DOsYGOJ9MsRlBh5KTNtI6MjHQhf/bgcbT4avimj&#10;ZMQmGFzufcVcJtOkqCCbasya3aoi2Wa6tiJT/1/37aeScO3ZI9QL1mrcHvEA02aY6Qm2vQ192iQE&#10;7CA5uiIska/KjuafXkBj2FXrxOgO11oVEqkG7CLksrLbXWkXtDMbSj2TK2C8V7aTCix/LPk4fbbD&#10;lmUDjBlfj5KJgfhiDsFPQtJRmVoC67XhmfPP9rxyPDs7c9f3f3xPjx/n/d3K0Wure/vGTnsuHqo3&#10;myclal3Wcxq6uj0nzqlwfeJ6ST6tmUtSvwqjMH7zbYfPXRS+FLcWY7oqWeWW6p7xmkHQREmzCcde&#10;GhODjRBKJGZyXyvGj77DNW91kaGl0mqZNDRooH2ixt9EBLz2Jw+hTvpIpfvx6XuZS+SSjKEDw0jh&#10;sc8sMfsGwgu9L9MosrhHxLyw0be91G2oZb75RkNRaIRRwLE+bvZSUaFmeuo4pxThurpxYY29RTzF&#10;yDPFRgAjvrUPKA0gcI+EV4JEN3lB89d2W/4TV3lpjhGe5JuhVD4Gk9vwcIx6GyyRh8QdUdF5nrq9&#10;h8+UPtCKpF2kBKPMYduYq9EVbcfSIe3GxJhFKGfKPoHLYrA0b9FMHHrrFL1dG8MxzqqhNueSWQIw&#10;lhTTGOmj/eQa0bE0pfzF5qlYUvO0xYyRMvnSqqsTuZ2xYkPGYXvKnJZdZKi+AE2QYUFC/oRSFKjm&#10;kIM7e1XOvs7IRsyiqc3D5ZXjw/ieFBi2MXErM4yPhx0mm4Uga3V/izuOukqXvUebmoRIhwCwyZZn&#10;fIXa0TQ+MvAvmNd0CmWPgC8z0p14PlbjLktVKzs96Zh2eL0usukjIk2QA5P8wHKv3CyfzTmTM0U4&#10;0cbhwIzvGHn57Mo8O7r+c7XXjpkMTB1pCTa270ZdWeAeFTeF5fiG2ITAf7l2l6vSNfq76XVZyGKP&#10;JJTD9C+oNUJJYi00D7K/LvC1gz4Q83PCh9OxP5FJ89nPAzxXZQyxsSsRt/q6ZhO0Iztyd0nRAo23&#10;qslt/Zvrj+zzToWJpJHyoyZA7gbkvNYxqHRPl+s2Z/QojtiiFBr7d67isctN1f1+bfl9PB6P6zNr&#10;Z7vbWe9+fZ/9NMfyx/XPeWQ5R21qX+9vt/fvdTcWmnkY1AJwDPOs4TGl86ZScGgzgWQuKQcqlbW/&#10;2RjsFrWbaCOkOHnfoMRvYh46cB2uT+4qOkFXExJhA0+1kcHDG/HAq6ozOlMjDT4KA+IkyKOyJ8iQ&#10;7Jz2oVYST3SVmkOuxAqIj9ijwrlCVCMVL/RkJ3jkXepzL02crMcbuFN0mvJN0BaZdpCPykkbvsCs&#10;39qVAyuje11MAGvO4DjR2P3B5E+PGXlEA6UhNaIFc8HuQa+urUr0lj5wWDqgpsHw03tGQRu3+7l8&#10;dp/Y0+Ti67U6WT6dD3m3ZJbgqynUAUgy33wSfe4ukmraC7NwPddt+Gu3YHdeAvvIX3XHXBkxvJEh&#10;qqVoiA0/IjOpgCnVkCymsYbgZR80cgTX87RLtzCT0aatek8oXhjCGKIBiD47zYs5YvAuItsH790k&#10;IEVEyxQelhlDkL3r0cM+4/uKbyejqgbO3YEiqXHfzy4bgC1xOtZBmu4j9C+SGGHGTkhW80NCHcQM&#10;eseys1zBzXJmm0rughnxXCgNX1Z5CWtGmctxIfCgSK58Tgq3nIme3a7NCpCH5IdR77EP3fwk2eeJ&#10;YoLGlUiLoIkrVZs8+MGpAUeqAumznSmMAPT3pYERaKvRiYSK9qIfYROVwD92BFDaKxktzrRKZRue&#10;QqxfYDIbuQ1xZyCUIIXqKkf2QVZGYGTCjeHAMzxWtZA2pcihznOLmuqFrAbesDs+34O8MFdI7rZ/&#10;2wARIQl1p58A7SsrkIQSysrrpLzFb1io7QoveynQfIoskUQ/xt/plE0MuFShwjjMy9qQ71Z0rEKl&#10;EtyDMiImjv0/Qkt6TC147BBvwD6wBp94hu2k8IRK7EBWmSUcHXgbA5MTgkQt2+heNuC3rM5t90c2&#10;/ET7ZXiJUduRn7/OsqFzc9WC36II84wzH2R33iZVh5Y1bysz/Mg1u4MDPIwDuftvbJ920VKwraLR&#10;f+ILCqteW3ZvN4z9zo6N2fqb1qj9rFZsaKkqfDZuOOn0nIK3Otznlx1ODyChiS2dMCWy9XWN+Cj2&#10;7HZ5E01pCd/0SZn8pOKMNVT0joOswjQNxVpdc7T5NACPE2XWWVOr3pA+c3TP8lMeevZmkfJidHLn&#10;EMUWLaxuNgzzvXOk1fDnYkG7KTt2ykwEds8Tx1scfaQr5om1i09TDHWKAZhHn4bvE+oPOr9kRT97&#10;Igw8JFBoh/JosDU7HLbYJwgcmkk8fHYjQOPa5bV6gZKIQ3ayu6s/NFPdoXA+Yqytqdv97MLt+1QL&#10;yvXZriJp46sNPHpTS+Zp981dkhaMSbqzG5eHwLt/fUz8R14xzGVJC/PtrVu9JXsvHP0zUlx7qO+Q&#10;3K9QmVgIE/d8NUq1MspLSrdE9lZtUVgk02Ryl4SVbNjpDm9+MuMq3yClKU45LylEhxrj1rWnNxhO&#10;hB4yXNUNA6fuXlG3ThKM6WEdaoog/xkCeup5N/yd2FEKJAnFsr/cmsJTV0pBys+uis1jTO7bmIIA&#10;xUmSgJ5GnrEYipoLfPsaRxxN74M68TQTskT49BuGnUamufZI0xjhkMFkrvcXYZJ/meQzDn8vOFHM&#10;9kSa8+LhnafuBKRwdBjHm9ZGRb7LE0lD+o4N+YkwXAbaHLiPQq50PVPXqnKHLBMkONuRbqm4DMMj&#10;BxVzp29SkgKJuGEz3GZHlNs5aFazZZZHh8P8M+r1WxaNsqbswtwqUgUB6uTOx5/32HYLWYPY0hwg&#10;15dtG5o0kH1em8NmMpKsLNwiEzoWL2M68r6rVyVg59J7zbfHbcAndx7P83oL3//RzfBwvYJH2m/1&#10;x9+AmXacie99ul9QqSmVMQtSrpCuEqzJaPH1RCoQ6/fjSPBgJNnmBWMRV68jxpbIZh/YmTvwOuif&#10;nweCHa7XcHoo1dAariF5co1ZSCUHktZLc57QxGjzPC8ZGx0R+cj1+qd5L78nj5OSsZHd+UFvwI4/&#10;atEDxheUvtypCttT4ErQGXwcAQqDdh127diy8CXXTej5ZemXXLsiPKxOXfT14svh897h7SYOg5rX&#10;4T2UAA4C3dMEu4gWMLSpMJ2uD7brZmLpcLMqa3+Zq9KqOcfp1psgKYIMZ+04h20OtydVwP7zjut/&#10;aLk0OWIkmvY1aNHj1bLT/2i7E5sjaJD4EX0BP/ZpYFj1kPlV3apj0+ZsFr0xRlTjgAeDv3VXXDuv&#10;Fli47rqjrLGyZoXwdXfvpWlI87RA9p891V5aWFzwEolKuY0Xysjo3jgDRofxmsnz1E4HPx4CunpG&#10;lI2M7ahp4z1X//GVexI3qyBrMZ6+8Drv0zdsuNh3WB2wdpO0wNSnjvC05u4jDzZVdp38gZAOkKtJ&#10;97ceNPZ1e5/cGc820bhBNpIS12C8Cpj+3HbPm092i25saej5sju7wiPNkDZXonTXQzHBLmu1BmAd&#10;cU7rDx4LdA0nmDbzK+jZXtxaY3FHhCq3eASKw7LVAi9+U81JmudmDI5ap5tiPNtJS9f/YutclyTJ&#10;jeWMS2Z1z8zu4aFRv/T+byczmY5I7UxXJRAnw90jgBqKtmbcme1LVVYmgIhw/zx6CAqiOitH5lOO&#10;Jiucu4v3E1LbEWCBK5weF977BY9jE0u8wgLYPFfd0Zo88ylKiZ/yUxZVBJEqkUHzUY5oueX7nTCK&#10;nBnAzUINB+Yz2tln725EcG0jLX39W3MP+7313f9+v9lBmNnWey9KN5uchbHJx1YE5BjN1/nhKpjx&#10;8b2en+OPv19//MN7JA8Pdvekr5z3czOVfSU0fwlMFxQ++IExc8sESh4e/If43nbMWHAmzM1IhKDL&#10;Y/guz96v1pKu2YHjCSwZVZMz9a9iX97iGRz1dRm0G0+Ck5JcKoDblmGMXiUf9m5VvUezA/WiDFLC&#10;UzJ1CKQJSg0MxkXKoXADU5LLG/TLIjwC4s9BfjVjxjjTsJo24WmRbA4bFJs4Q6kZ/svO+xBUlmcW&#10;IwhITLVae3NQgRiohKo+E5G4ShiTX0U+LZMXSnP7gSLJ5aA1HZQr8YCz9C6dHs22TWdJ4mLm72pP&#10;Do/cAlp7NPQkJellCRxiSdfs/whVgT+HDm8HpXxMpZgEIBgSCyXBdJF/yYUrp/xPsmOLp6rs07Ia&#10;iVXZOoGGWljhjcpX9uDmUSlcUgNK6EWs2e73aQqv39J7K+3Y+2F/KmJhcw9MLVIRA6ntzu+uCPZc&#10;00Jt1pW1EdVTrSkUCqfHVoSMlIS4YH7ZAoxJleYLsUpVWiKeb/xYsjJ4I7mUZ1wW6syYSkANyz/l&#10;7Vl2ewsjJ4VEgDjz0i0rERGf3oHmVxMkTpZnmvyIK2QoB6gU96rKE0PTGAlJVZb4G2aCijLYqrSD&#10;aoCVf8MMkThpcRoYyVwyPxzDF+QvfZCe4wr3LmJSnJxqBCUSJjfeaa5RzQtlRltKSWTp+4PCzSbx&#10;U8whurCzHgwyhbufhFyUdI3bL5+mIVMr5b9+hY+iASRKftf/MRb1iAhfnu9dG4ktBb4doEcibc6H&#10;KXB3PHPzJ0BfXg1j5smp8eEsAtRZ8Gl4pw4qTS2a3WArjq7YM5BO1POrCPYrLBzvw+4TPBRq72Fr&#10;pn/NkZ4iT3nfsrMI+XbCnD7mQcTddUHj6dMzIsrAVPN07oFT2v2X3497XYIA4ho0Y877ur5e589/&#10;eR/n/CwfPyAaK+ff/t4eHwVVpk4BA8G5rdkWa8zTsBMS7ovqedhD8ejwiwL7wXNPUyOgY82QMjn7&#10;bE2FhW4YZE3sDTM3ER71Lhldf62c7BYuqJoEpJWwFSinmoUWtx422O+/PaJD0ySdHhsiZrDlXpjA&#10;h3h3DEnow51SNPl3HeiecucYasJlwg51E3by3KBpj09QxAKuhMGHInyLdds8gVtYsAAJ5eTTrtON&#10;cTuEXjSqZcyGJ25lv181fvWh4Lm4AauRkqVP7IB1C2yzrGdE865YWhfWOvwRrWVZjUTskEXwKFhT&#10;DQs5K2E+c9n4oDx02y+zLoDMvWaMMynzakBtZWN5RMdshr6dogMsHOA3lvrkdMuUXEGtgEUIw7ta&#10;tW7x9Bbyh5ILXPjPhbJib1evYbAJCq2VRTKMqQliCB7yLlCd1xhjyDGvblXNqartLnXey2hM+UI7&#10;Jj1slBeYJrmWEmUZuYJv7c2sF+72XjJntYeFQuF2F5WKUzrtGtUGAWApaAyE6R7Vp46bhj0SrC7A&#10;+mYxUfARHjwWWNCqCIRqtERNxTsbu/2XsR1iy5UE30tYSyuJSCEj5cexpXnmwLm8ZVwfnJxVHUWG&#10;2CiYUacGietUTOAuAMt68FhalFZEJ220HNsid4u+Fxx71lV1xWFu0bxv9vdIoNlcmTNEHTx5AREM&#10;2jBfhmtOrq4wrPIa8wsyk4c7uymcFzpVKV1Uazfqt4ypGShh1WY3aM77YqNrKsEqmc79S0sZtF4I&#10;pSG5NPRafr2EW9PNzz6vj8tqW0B+StHg1r4LGNfCvIYeGHLDxU8fGDEApXbv0/clfblRyuU8E9G8&#10;F8VuuFvvumlwyBXP6b3Xfnko0niAzHm/nE8MgR2FMcbj46znUUmgn+gPHud8fH98fvctynU0dWfr&#10;1Y0E0dkM9ror5jZFmqrCx8ntfU0VU2a/8PPvkXCEbEK8D35vHNzGwLTvEDnkvgqv52sgnQDNQfnT&#10;I0cpGZXZUvAPpFMjG9l+s6oLOgL0xy7C2Dpfy8JWZbyLr+TT6As/Dcx4IBtFCJOje3WEBNvtsmXR&#10;FcWGHD39IqlIPgMefmhpuXfaLIu7sZJTEl0rjGF/wBPzCm+JEO8xHqPPrxbKATIUVJ9CUr8tsn2V&#10;FiyvOF48md1VQowwJ+dvS2BX0cYRCCsqbsCYbn0Tl0bdmRuAhodA4NZP0p5gzblevsiA4IyOP74f&#10;cUcWfTBMragE4wnAE4z97bfQELI/MyL6dSPLsi5XH1I3tEKstnCGmmD2Emmuqy86VqNIktoRFjQ6&#10;g3htIRCd8M/dj+5ErLyiditVY3hxUgknGayVS8qC8nRnRcyvmRrcMstXUG7QVXxUNv3wbsQ0s+ca&#10;DU9rcSyT5EpekRkyfJ5mGoEPVQ35CcaYu7gupWeuiECN3GQ0ZtlUXmXFUc31GBV8jFNcG9NFivNI&#10;5LzjtwTVhlIfrRkH4YbYtotaOQtm8VtW04q5fy/0M1DU1FGkjdpankYmIhIhXPJ1GbYJrOZVjYdK&#10;WPG0HGRYmjnqgkLg947Y397JEYsHCleJ7QhP2QczJ0uBSjN9VC3kpvcreE3pR/hTXBgZracYRxPO&#10;wfC4kWlPU7TajJZAuoKQJP5ofAXiFXemMpvUNwDGgUbAUdfp7USX62tcRQPmGuPyNkM43erb/P4U&#10;lNAekJ6aagymmWIK3qwHRpVDg5drTSezxnwv9AalWxsPtoFM6gHlHSq9Cg1PfPHP4Zvc6QHn415t&#10;2vl5kUR/37ff/nTI9fFZP38cnx8k4Kxa4L2TPmZYEueYMdRRZAUhsf4MhZ/9t29H4GFldGTBJJtj&#10;J/U4CHQT5sEL2fF63eWp6Afc8lB6DqzoxxitbL+DqgQnVpeV6uLGOG/YHTjkXFxnlYxqdRsbAMJU&#10;6MpsIZNoinr3QmSEX3ngzLLOMisJWofynza/IGgcdDjtpx6qpWvNTEkQSRpn5g3dNrOyTuKxcC/+&#10;4iY4YRHVyzplzs1yGKdicCPZ5q2L8WUbcjX3Wg4Oe6CPOpjoQ10u9ljmJpao0Y1itxIrC/2VjYQb&#10;CTHrTMW/OILou/qVmKEYZIP1FUqrl3K2XW5zTe40CtZg34yDt7l0JATx3EXPfEjdqAZmCCvEiJmW&#10;4OpCdvPcLmaOlGeoZtjRj/8q1vWMc8kQWtp/nlxl96dvyBuDPbRNhmV7h+dlF/SaGiJmNuFFN8W8&#10;nnioWtTNljFDsjJvZyL2GOoM1YZW3BND0Bf/Q5a9EcQRWqPMB6g5dKxO2HFJAGxK/hCfkatGQo3F&#10;7y1ZgNXUe7e6KYXEzspEb3CsG/MxpvZzaDJFqZ3ry9nZFpl2qM9aKUBrOgSUpaJVPa71fJ2QOHuj&#10;xxT384GVXt5f3IFPiPNwGqhffFWYWXLumAPFqVs0BrJhC611McyyGmRnL/DpcxuKq0Vclqc2g/3I&#10;EAAzyCgeYfR0i/rDQydm497vHUCYHw6kmkv6epVBYxzlSF1RdJGck3GHuNMbukE15tOUfF+VGUYQ&#10;mjIJQY1Pq1KZqU/OgxDO+qOFweYiuINpvh49t81xPXZppPKZKcEuwkQ18/BbzuR6xF3KxbhDbjVj&#10;9jthxcmkxk/Pae+IOvKIJeZE+s90RH53m4dfh85n837iYNyieMV7i+fH53V+jN4d+Pntz/Hn/3CQ&#10;yPc/z28//ADUe42AjkiB3Ad/xGtzLFpgz54ROEPDAdBCrUemYxSRNOtwgXa/YLHzDBEoCAXkfty1&#10;YydyeH79+nWNoWTEClomu+kQbQJvWPd5TQAIdPJSGK2XzGj/fzQhK9krY4UxN0mnTtbYmC7AGNTN&#10;u2+OqUnYErHHnT0qz8iT2IUWMsc4MXnXgirac/U5s19kaabu8LDzeEtF2Vl07hq2icdDk/sbl4z3&#10;SnSiwvghi6SEAwEjk8vHfpuVxCDk4XfP8gMQliHuRLIrl1eirOhWXLyDKc5L26bx8MV9CADh0zkK&#10;FQFenbHXDdTk+8TwdCGC3xUvZAC1ijYBPlhohNXNaSu9I8eKHtZxCTjsP+Ve2l6BJCWw4gXYTHsf&#10;+0kpuXoQmSmo3sVcJI51ipiyp9VEqkQcn/Keog5V6gK8uYNW3yeM5zxyvLwzOiUYUtPBqqVAtobz&#10;9reCwr/4k2R98FMyd2DGUIYCTnjsGvPpj1Z3+rbGq57QjaPXFnffVl0v3VKNXZYldYoYh6zS65sZ&#10;/EvGu+7oanPTJAk93xIhHIneIcJM83UMZa0FpZzHtWkZGbzuwDgqMmRHWYqwDcDoUC1I9ZP5JKCc&#10;KPeYk1p0p1xG5Gu2U1WnIOZh3Yvhek6CokPALRgseL28FR9YM/0xSChBtXFs5pDsqBkBmNMxlVA/&#10;AjBEj/KhtbSxfKbfoETDGWx0vwc+USFO2fy5YYtJxKn0w3HMsoJijuj7igfHmVrNzmfpPahPZQWS&#10;1O0J8d+BdBFIcClYywWqB8CLD91LwcZ+G1x+zZmIFq7QEFlzHChsKlyhB/FroG+//NxoPx4f35zw&#10;2Y7SKTHgRBwijHkXSR/HgRKwvXDdDjF9ODSr5paqu1odhIuW41Gu6/mP/zn/+LuXST/+4z4C3s8i&#10;4NT1LTY6TVeRqetL9FCfDqEf5tGAuA2clO2yzwsGOo32t+g+Toi7TPqToHx/Sc1R1yE9oTnSpLVF&#10;ixe7Bc3RIEuGNjI2ohbawxYxdd5h6306hY0x53DCKTKoyv+uXS3iEWqJ834tm6KE6w3DKo5gtlN8&#10;9eRjFknQkXJgy8bE81D4iiyUfT3gnm5fm95ef3npwNWWXQi2NOueHZNZ5/sePMuy7l6W3EvGwPqf&#10;D40B/EWxvZZP8RTkH0fsyqmohiOh57ff/esW0KYQp1UeTul8iFFiig0hckACbRlUwfH+rjqb+7lH&#10;OnIs2Hf1/OV+5Pvki2LRLB5AdpYsBLorw2DKFkeDi9S/kH7VVzTGjy0JtiXsTZVoXUn0Ok6q41cj&#10;ljTxKxbn7rjKmhearCv6nGUemZmuYBFsY8izjeCCsOPvxkQezxM2SYMUVUeK4inHBclfGK+Lkpiw&#10;3Oj/2aoKD4VIOmULpcerP2QSzyiwQLYm7cLkbmDAGbcoVQOCoS6kV6v6Z4osyGUaU+m6gqNcQiIh&#10;S6gaRQlBZR/npxHaijhKY/aBUvuVnXWWs4HMjeEjdDQYQ1SLKyeEhsEn44PzT6A2tF74XMbvfzaH&#10;+yxJG0goUp4BqLBiIN9UHMc6SNnuV0hP7G8AiMjW4vceSqwNOAhabego4OTaovpEkZd+ZRb10bMh&#10;TWfO4KRm12fWCOvAGvXZ+70RjhqKMbzQi0ucw4qbPnbCcpXvt2KWImlMivTJWY8cQqAZCC0Iq2U0&#10;fVn8dPRbQzNfwC+cNdpQhlrw9GB4osB7Fz6SEL82IGodIKEiXKLOKtUM5nANMhmvZWmu+tHPz+P4&#10;djz+43zgDHgApHJ8/O0/D9+k/ERtz1/98/vjxx9epy42/art9XQwUXJKyltlP/XlrePE0A52knHr&#10;zSl9Gsu70+k6Sn4/On/eQIBwyeziOJffX9Cv1+HR8DRVU30T8INnbyPtLlXEAZi+2wxOJvUtExPj&#10;YDr7l59q05VZS5qQSwlgm1luhIGVb2RSH4S7U7ALQL54qVh2fwKQWLcsvY7K8lL6VaX7MWj3/tMe&#10;iiVEf7Ia5kOi695XD2mNlRMiQQZQaWvSWBd705ZVC+85ZGqO+cHaoudKy52/z1fYlZZdMLMG8J5p&#10;66mtvS3Hc0Sdpxc5UuLmSpyGPt5Y8zIdElT9wZpD6i+DSf0e6bDB4+GmYvb+EVe7xse9GQPn8Att&#10;Z+5MPRQuEOvKqt3paLb5gGsz0s8MkjNYoBBhk2QGdi4t7QeRTrODZ7PW4dh8UlCJ3XlES3JO25z0&#10;oX5aiXT6yWn+IvdpBCCLXJUo/oN9YvHn3EhyV+EdUDQtjOUjjbBe5g516N8gPIGBaYLG4wbecndp&#10;XC+Njg4sYf6jZgg2Zow6Y9I18ECR2ZFy81mCHWixzMXR/v4YOzpJOd3kmxx5a2Bm1IO90CBIYZ//&#10;FX5GddyWwbQoUCNlxvjXES7awVaBB7mNIuJmQ++q0QNAqhY5GId4ykdHoGslTwFjnE2iZZkXHzFB&#10;2mCKt21g0moLDWFJro4nd8TgcGbep54E3UwNrUv+GnTu7g1+EhPTslwk/K9K3Iga3Q3bXkM0JKrg&#10;KeVnzTHeWZWe/uXTokJ248lRVJW/61GET7ikLQ2A8CyLSdTUqOXEns/XVSzR3UUOFgWEphU9GQ+m&#10;6rkGpKZpfYsBYYJVGkez2MbO83gc7Tle12t8EAQ6IPho9bqrt+tFFqu3Uo/j7C5LpJDt3gU/4BX/&#10;PB7fj/Pny+NJPu4q7frycmiO7n+Dd9b78fm9amLNJmlVmccOiitIO2O9ItvImcSey31/spdHpjIv&#10;CbQ9Wl91UsszihqNLhzqNEsx1fB+vdMp6oaDmLWPH/2v/zv++b/ncQzc+m28kTyxi9RlDLBa0t9G&#10;BxhFQa/C1BX976SYMMPgWOSx+1Ytkt8CPyWI7WQ5n1HCZM9kDDPWMP5LiarM1moYLt2UslMX3+No&#10;XaOrzi7ryW5DwKIOI3ofGVVWdUATj83e0nMIHXaNXHtUpf9mXzi+bAKN1pYPri5QZ3oi9ep1J8Z/&#10;RHh9/S1MIP/sUhWPrp3IfukrUFu9/InRQg+FzQw7MmJs7OHaRPbsHDvUOG7CfKN7HIH9LF4TYznz&#10;ivAnOLb3Fx/4FRS4DmEsoidcGSC35lF88uXSCypefcey8bEJb2k1Wwr3wN0Fuu63EEyLrJFg/65c&#10;m5K24bniSbex63s1UCLS0UKomHLdNx5efbO5hRi07qRvSSFSzc7YR4vPNhe2YkqxqLlaZfjFEglX&#10;dcFguycvRN7NsN5G9izzaLgGTSIz9ybKopHrIIJ0G3ptQxjV4NBn3UoqzVuwbcz8Rmh5SRj3NCJ0&#10;Te7a8JhGQdAv9MFO7EtwX7hZiPjA/Mzu7/9wBpgL4quk4GwfkB+kEXuJIaXI3XxEoGgH7qQLHrwR&#10;b812gS6dW2VLr9CHd+F3apYWQdUHhRAJnm01c+o5+iUllb+M6M6RspZWg/uhwfzF3IHSviDE8xkY&#10;E8/xes+AmQ2MRLO9xE7tVA5wywDrI+ZdnWjq8mZ7bxou0plbdjJOWN/oY2aIY4T6RuIm26oWXQ6I&#10;yw8H9blE3H8bU+OnbpDy5dno9cMzo460dabt5QLb+ud13V92eIbu+fP5NT104WHf/3adn3acx/c/&#10;2uNhje58NRxdjXeci5Nom1eKo9nWdqSnf3bPLwbBh4hyNQ9qWb1TQpVkpIWd31ynOnl8+vX//vXr&#10;+csXTFcm9eNAzaxxlUIRxDEJxUk1hSGsftQZROAJvbRJI7qeQ6I24XPQ5cKN7rcy7yK43+ip57wt&#10;6kG4e1ldIT+9Ui4co3vxKOpWJB9bJh+enLl6kcsLRA+4bGaMf79KjLKohyhucufC1rYE9aw7GiJS&#10;i4z/WpWGn3C1Z7aUKNQ3IMlKoSMhvvCApWyRBQPPRjheH4Q8cyyWThVBWJLoqvgyLRp+nkSr28e8&#10;9yt++JPvzJOOBvrwI/TEWmwoAmZNeoYOLpXjpIFIM1pDzTbjRQzzqmDwIPgE0TuIAivZL7eUuTn/&#10;WPSNVT/VQDXpCtZ/l3Uta0C8juXPSbOzut5W3je0zTPdyFaTHoRlLoe4evGolSMhz1ou4HoDFnZR&#10;nxsFjoTpE1W0hyoL2/trr2N9rqDPlYUTWj0/s7oc4RhE1SnUAI5xQ44Y/xhn9ufzPiwLbhmKZXYG&#10;bLzupcu4PfgDS+4/XX0ztPVq7fHxxmZ4lIiLZoLElOTtkqp0MmHVItR4+qVzccZdqUEGiV4OXF27&#10;gSpDKmLiQyG5DoNiAlclJ1BXpThfKzsvaL/NtIdRr99aNE+Vw/XaUM6JIrKS+AVjnQRsWzSEIYOH&#10;Iv0+CPb71HsRNefmIUKulRc84jZ4QicyeGJFaxeheoqgcc+uFR4xa3zkDJM40DjH6SA7WJJelwjs&#10;ncoz8wFTpDnU6Kr4bXUfgggJ9eMudd8ZZUFGPAB6IwUd9wu+Rq/a+2GNRWSfexD7XerxTcG9WHm4&#10;pNfk3iP/9Xw+vBXX/roLxDEeHWGux/Hz4/PX19dxb+TPp9s3Pv8oP0c7HpXkuHGh4QVaxvR364iZ&#10;6zXhyYPNyasfy1nZFtiCA9ooj6PIulfK3u22ICZDWGZl5Zb5lfAUCMSP37v7vf59/bp3PfSbneNT&#10;mIrycqAlqc2tRFZWMJ1t1sWZvn/8Q2xASRHZEUwWKbp8k0BGTuAUBJI8ME/ocLTPS8q6Rfzks9zg&#10;A70/9auoqk37xCybqMsf5v5ytOAirqX1wMT2ZVY68bWsamsL0s7FECWjzrA84WnLwWSSQw4smk9Y&#10;M14eGd/mmyacAzPbUMURRRorUsvsWlKVyzbECIx7CkNGAKvKqo3QCsfvpYwXh0E3wh+cr1CPLbt3&#10;i4IlztsY1sztjrmiEKksoxmVct2HueEBe3P4MRZK4lOMOQEZya0Yged4hZO7RK+soqUwyu+I8bLn&#10;V1ioVesa21h90xtZ2ZR/rMmasFUBqrQVRRC4g9QAVg4tohcUP7HFbuYN0stW9ER6otApFcA9S7UZ&#10;Ob/Md51lZuduC91Yj6TV/OxsCU44MaOWcpL8kDtrWw3iqrb8iKgpi0EW+sQ8ALHQxDhNgsa6Rvuu&#10;VlDjBPPD8YRYt6/VkKdjr/4hDZg1Sp8mnsW9mr9GtIzT6P1SuI+ppe4jFp2Sh5jd9xPE02RhGKWO&#10;oZwVFwTRgStMslpZ4j8GqFmXdMOqfruqu1H7FAC9vHXUk+sdxV+NJjzZuSwBIG4E38BPbESyNIlc&#10;wIJH0mxRHOi0JTTFh3nCoHcB97qtvV4/9b7yy9jivrD1Itn7Lgf99yKlr72mE7E7ifO0G1Ouq44M&#10;PH/NcT/cabzy5RhDj99cRkYvDLoQJ6hGvA2LBjx8JfWj97NuVHnY/ymfxISksYvyQkCngZfWi2jv&#10;7hU+emQO879PfkqPe8ty/WdJtvCjtc/uUe9P9Kkc79n7uDeYxzeX3H1+7x8fAY+KanrhTfy+uUvr&#10;XCLihAs4tcumm6iZ/m66ipKJoiD7ZzoVIjzRN/AJ4UyQP6m29k/9Uf76p/3X/7qrTsrm3QY/WBU1&#10;Z8RdsBM8IEBt3uet5a2FpO3QUJx1kTJaF7dQUbQXa3TJ7CzzLZuS9kpYxyT1S0vyy5QtHYMQ27uL&#10;iDNWQwQFnwQaF8vHuuIlU2Fh8vlRASxX0MxVMKgZvcghIJ1MhnfXJcmOUbM9yjiKJC0tVOaNQJSA&#10;YVYZYlcsC5e7bNq0LaPHuNhtZXNOHWvJVvuW4UnD1n1zc6Pj9BvchMrsZhxj+fH7cw77J4WdERGg&#10;XpYuWpgcfDJ/P5+BVRyNalIHQtaALXWlB1iS7XQsZYqN24CyDPq9eqODhel31wZTlfs+yNNC+HNf&#10;2ITvkeG38hcXkrFuroClng2zW8b/lhAMjUFxabj7imjtprDDVHlkXqYkvhJP2ghzlV7ILJFntWW5&#10;RxOeLvU4sFd9e56FZtR9giHV8LTLtcgWwdCPoydWouup+MwgPGy2mYuA08moDD+mILCtHDFG1LBL&#10;JJ0l1gW0aDE8KQ8h3t2Qg1ikoZBKMwrZ+egVY78pyYmP2+mP1CVY3sYo3sItYv+f8JKSh/xa0kml&#10;jyLS2ksZeZFDOVI27bEUkpXCjVDJQ6N+YPfrvu6JQYJamJnpM28kyj7DB1mVXOgGm6Hm9/T+B70E&#10;rgqhk8xd8lDug8nHoWyve/CSwp2Qb+W78YjMivtPpyTxfDG0TwC67Y7ho2R6ezSApyNhXYG4RypR&#10;cwTIVFc71+8ll87c2+TjcZ4OX/H7CCC3oSoL9DURzLFsXrhitPbcZ4Xv54Fm2GScPAop147W42P2&#10;bq9XOT/Mc97vXwMc23EQMxasycyMKfkEowPb8gxB315JE1GKkhCeTH+uLcZIJiuHrBrobex9TSB4&#10;l32O+fz11z//64oA8EYoF6pNvO3GA526Wsi7LhTpZWjuRPlKmUkLV5wJmFlNPOVGW+TAkQefFvWO&#10;/sfmwNZQTIXkrOVSttxOJJ9ZzPKzp2o6u7nqZJw2jqCWFOW5iaZCKEzXhu3/OzYyNYvOtmTofjTu&#10;FCmUZJX5y35IP3lXyQiIxWCf/dImR7yebuZvvWm2Y7iEQdwCEKhcqPpwS8R0s1LIPqPneLikqST+&#10;FyeVesjNKUEz+IfD9rEhz1Vq6/lV6RZBWVGGxnIt++2EqIir/jkc5PVcW3shmYkhGGoiEesjgJZV&#10;hbnYkDS/LB9yuPsDh7X2xizObJOCRe+8jLfQQE7+aK5q+1qZEqe0baZG36J5NINNG5GrHLJReR8t&#10;c8c4SXlRN9hIkeOeyCe0qTADk0iHb9kk+Y/X4z+wvWk79OC7+EWKl4B3B/T+vqhH5dmF3TclJM7M&#10;5xXLc2YaYcZUzZLq1pyOl1mWHgQH9sJUS17qAzsf4BKmHjRaLd2/5ph0BHl7r24MI64v9z3ZL0AA&#10;cEn9BHwgiIRgUmZ7zHClcBKt1FilFM9FKbcVhM5qJmeQVMBiV5it2BY2SQvK6r+0WEAZDR+BWHVA&#10;/iu3OMUBDPiFzRw7FkFo7BIV2t4vlET4FZPZcHzc1tGZrw2m98lUIva0lMg8cVgXWQ3vC5CzRGWZ&#10;2kJQWhgt2c85M+zJtyN8h+lgnQ0SxoXIwCuQm4mLi3EJidP+Y89msDf4CfqEwKJ7JKtcN+6EBrn/&#10;KdqqhMc8cxONVuOwroUJhvESvj2KSO9V7QFfQbl31NfzvJ6Pe3f8/rfrj3+M42TEdIwXBvdQW226&#10;mRSCktwP0h/pp2gYYiIEkfSIhs624La6QFhGB3BsvNZV6hE2xLwqvEYjm4U5upXYb8C9BjH/6IaO&#10;yGarsrUGWQAD6F9YCk7vhASxsHK94xmuUpcTInf/RPrO64rFbMJ1d4IyfKmeKDly6+qUIOMD23P6&#10;lK70e9VMPHdkJf0W93Hm0djM8KHxCbvj3CUGVFf5SKy9ipOsL5Wgs9l4bKGvfMx6nClPd+zVvkNk&#10;YnokOgtnOjvyqyx4i+UNLEq1+O691hRE0s7bth/KU04AQn2TBVoQIwQpCHCAEDq4geFHlYvf7nBL&#10;tFy0LPad7ItuYa9CQKIp4IRVABRsyAvvl/rLtU7SaFoyX7BEsttjRZJ6phzHs5N8gLWNHZJbpOCx&#10;/htIkgFBeQSvm3rFNi2R9qgQ2iSyOuqF5YRmtEsvOW31cVzGGKUUlCzGYIU2sSkvyEB4+IViorfg&#10;oo107E+Zli0opqmbXOQDbjDSzow0e4XQ8l6tNMgJB06o38UEaFUtj4ihrCFWtrf6r5VZN0jxxgUz&#10;RjhED4p56xwi+aLSAMmTbX/q2TjR4MkUzF5qbBIXeyQ9bqKRh4A4hFwMv71/S1PdGmmANVs7Kbvc&#10;eel19TWNxHuIYWcNTDYPgmyjVd2N0fhhOh0bnHBxQAnMNobv2Y41SQtRLM6HJJGAwDGpFb+Y4JED&#10;QpgHLA2Zqkbq0EdlvCIb0cX3Tsppd+tY7OptnYB53lTrssV7J3HpXgfOWkM9ZxIFsRDEMeDAyR5H&#10;kGsUhktYZi66zpE1ZnwlbcqUTH1dHsfH1pcKruZ9V8Co7/d4r5yd7pQTOyQmi/4eX+NqWrj8qjx9&#10;bmefJ5RPz6cvDsfDX+yP/xzf/uznx/np/c85ZZqowdZMMjFrtJxilBwUoe1Ap3pxnGrDgXOG3N0U&#10;hdEPZRL6Fs6aCAiGplNUQwwhYm8Pu15+xdADb6moRnXsR4+r0kWOs+T9FaOo+GSEtJPx4CSNSAc+&#10;oOqQKGSJikou2T5GLoEoa4y5Msm1NSSiIyKgmnNb0rpYJ2tyMyNssG6L6QyiaMt2uRtFiTinEf0+&#10;hLchWRcjGmpf43feme0gHz1EBC3aHIOWO8FLfeRZAhK9qhi9hpUaui3ZoWxk6HKEMPHZG4sWQc9i&#10;2czGNSeI/a74XacUljcWowK1+GPhpo55vdAHrooi85XNZajVVeNxIDKZq+qyM444z+b1b5yXAD78&#10;Qnl0aobqdggHnPrfkO44mWk+fcv0niEnH+gXITgoapIZJfW1REgaJc4NLVSTBMGNFvMkm8FG8bZP&#10;5cVLFE7SIDbKaEnJAC8m8pvYTLUtY2elaTKR6mAwd10qMhNA2hg6z/aGkuQK8WxrybYoPo0a21ln&#10;2tnQGb7AL/IpVIzBlr8UMy9A/Xk5uXZGXAuDwi1AkBGva4FL2N5X3donmdRK9xtgrdiNKA+hwKDb&#10;2qK1E0tkGo1N21RH4DfxuDBkgcowoxCt+rZTo4FcqTeHQYLqxAiywvAVTFocUqk22sw8Lek2dalx&#10;KVnSDaAgldVxHkrFWo31SLWtMcVk3gVtMf7190r1UP62B9f15YVBwBMVEwBj3gUxMoA6A6sx8NOw&#10;s4dgi04WNKgcldn9SDoVpFVUr3Cd8rMXRIEupPVQ9UZ8GhtRdNYDvoi7DnvPGQfIKyBkPIhcJYPr&#10;U9Ry37c92XW8aAYDLshhvovzCWqp9w/Uzv33RJsGosKAbmsURCDLl53VNsb46+s5Xdbbjn68zmMe&#10;p50PrnfX5/f+/Y/HxzeeRaAILoHLImK32zYhWA6nMRbSxXeR0/9BJL06tCX0UEy15/Pggxl/gkuw&#10;0qQrbzH+/+f/8RoQpO//FmAAPQywDq5uN4oAAAAASUVORK5CYIJQSwMEFAAGAAgAAAAhAEwQpUTe&#10;AAAACgEAAA8AAABkcnMvZG93bnJldi54bWxMj8FOwzAQRO9I/IO1SNyo3ahACXEqRKmQKBcCB45u&#10;vCQR8Tqyt0n4e9wT3GY1o9k3xWZ2vRgxxM6ThuVCgUCqve2o0fDxvrtag4hsyJreE2r4wQib8vys&#10;MLn1E73hWHEjUgnF3GhomYdcyli36Exc+AEpeV8+OMPpDI20wUyp3PUyU+pGOtNR+tCaAR9brL+r&#10;o9Pwyk+D5Kka9i/b589dyOR6a0etLy/mh3sQjDP/heGEn9ChTEwHfyQbRa8hDWEN2UolcbKXd+oa&#10;xCGpW7VSIMtC/p9Q/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RgW4R2gIAACMGAAAOAAAAAAAAAAAAAAAAADoCAABkcnMvZTJvRG9jLnhtbFBLAQItAAoAAAAA&#10;AAAAIQCYPEaPyX0HAMl9BwAUAAAAAAAAAAAAAAAAAEAFAABkcnMvbWVkaWEvaW1hZ2UxLnBuZ1BL&#10;AQItABQABgAIAAAAIQBMEKVE3gAAAAoBAAAPAAAAAAAAAAAAAAAAADuDBwBkcnMvZG93bnJldi54&#10;bWxQSwECLQAUAAYACAAAACEAqiYOvrwAAAAhAQAAGQAAAAAAAAAAAAAAAABGhAcAZHJzL19yZWxz&#10;L2Uyb0RvYy54bWwucmVsc1BLBQYAAAAABgAGAHwBAAA5hQcAAAA=&#10;" stroked="f" strokeweight="1pt">
              <v:fill r:id="rId2" o:title="" recolor="t" rotate="t" type="frame"/>
              <o:lock v:ext="edit" aspectratio="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37D7"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34FF41D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F6F1"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07EB6984" w14:textId="77777777" w:rsidR="00F04EA7" w:rsidRPr="0042508F" w:rsidRDefault="00F04EA7" w:rsidP="00A471AE">
            <w:pPr>
              <w:pStyle w:val="Footer"/>
            </w:pP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6C99" w14:textId="77777777" w:rsidR="00A3088B" w:rsidRDefault="00A3088B" w:rsidP="001625EC">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235966"/>
      <w:docPartObj>
        <w:docPartGallery w:val="Page Numbers (Bottom of Page)"/>
        <w:docPartUnique/>
      </w:docPartObj>
    </w:sdtPr>
    <w:sdtEndPr/>
    <w:sdtContent>
      <w:sdt>
        <w:sdtPr>
          <w:id w:val="-1109668070"/>
          <w:docPartObj>
            <w:docPartGallery w:val="Page Numbers (Top of Page)"/>
            <w:docPartUnique/>
          </w:docPartObj>
        </w:sdtPr>
        <w:sdtEndPr/>
        <w:sdtContent>
          <w:p w14:paraId="609DAE26" w14:textId="77777777" w:rsidR="00A3088B" w:rsidRDefault="00A3088B" w:rsidP="001625E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6D312" w14:textId="77777777" w:rsidR="00B2270C" w:rsidRPr="00C238D1" w:rsidRDefault="00B2270C" w:rsidP="00273E86">
      <w:pPr>
        <w:spacing w:after="0" w:line="240" w:lineRule="auto"/>
        <w:rPr>
          <w:rStyle w:val="ColourDarkBlue"/>
        </w:rPr>
      </w:pPr>
      <w:r w:rsidRPr="00C238D1">
        <w:rPr>
          <w:rStyle w:val="ColourDarkBlue"/>
        </w:rPr>
        <w:continuationSeparator/>
      </w:r>
    </w:p>
  </w:footnote>
  <w:footnote w:type="continuationSeparator" w:id="0">
    <w:p w14:paraId="709E8BDE" w14:textId="77777777" w:rsidR="00B2270C" w:rsidRPr="00C238D1" w:rsidRDefault="00B2270C" w:rsidP="00273E86">
      <w:pPr>
        <w:spacing w:after="0" w:line="240" w:lineRule="auto"/>
        <w:rPr>
          <w:rStyle w:val="ColourDarkBlue"/>
        </w:rPr>
      </w:pPr>
      <w:r w:rsidRPr="00C238D1">
        <w:rPr>
          <w:rStyle w:val="ColourDarkBlue"/>
        </w:rPr>
        <w:continuationSeparator/>
      </w:r>
    </w:p>
  </w:footnote>
  <w:footnote w:type="continuationNotice" w:id="1">
    <w:p w14:paraId="02ECE4E3" w14:textId="77777777" w:rsidR="00B2270C" w:rsidRDefault="00B2270C">
      <w:pPr>
        <w:spacing w:after="0" w:line="240" w:lineRule="auto"/>
      </w:pPr>
    </w:p>
  </w:footnote>
  <w:footnote w:id="2">
    <w:p w14:paraId="56DE063E" w14:textId="371CB44A" w:rsidR="006E0ED6" w:rsidRPr="000D5668" w:rsidRDefault="006E0ED6" w:rsidP="006E0ED6">
      <w:pPr>
        <w:pStyle w:val="FootnoteText"/>
        <w:rPr>
          <w:spacing w:val="-6"/>
        </w:rPr>
      </w:pPr>
      <w:r w:rsidRPr="0059379B">
        <w:rPr>
          <w:rStyle w:val="FootnoteReference"/>
        </w:rPr>
        <w:footnoteRef/>
      </w:r>
      <w:r w:rsidRPr="000D5668">
        <w:rPr>
          <w:spacing w:val="-6"/>
        </w:rPr>
        <w:t xml:space="preserve"> Katic and Leigh </w:t>
      </w:r>
      <w:r w:rsidRPr="000D5668">
        <w:rPr>
          <w:spacing w:val="-6"/>
        </w:rPr>
        <w:fldChar w:fldCharType="begin"/>
      </w:r>
      <w:r w:rsidR="0047772E">
        <w:rPr>
          <w:spacing w:val="-6"/>
        </w:rPr>
        <w:instrText xml:space="preserve"> ADDIN ZOTERO_ITEM CSL_CITATION {"citationID":"RZAUGfDe","properties":{"formattedCitation":"(2016)","plainCitation":"(2016)","noteIndex":1},"citationItems":[{"id":1550,"uris":["http://zotero.org/groups/2714158/items/F3F45ZSV"],"uri":["http://zotero.org/groups/2714158/items/F3F45ZSV"],"itemData":{"id":1550,"type":"article-journal","container-title":"Review of Income and Wealth","issue":"2","page":"209–222","source":"Google Scholar","title":"Top wealth shares in Australia 1915–2012","volume":"62","author":[{"family":"Katic","given":"Pamela"},{"family":"Leigh","given":"Andrew"}],"issued":{"date-parts":[["2016"]]}},"suppress-author":true}],"schema":"https://github.com/citation-style-language/schema/raw/master/csl-citation.json"} </w:instrText>
      </w:r>
      <w:r w:rsidRPr="000D5668">
        <w:rPr>
          <w:spacing w:val="-6"/>
        </w:rPr>
        <w:fldChar w:fldCharType="separate"/>
      </w:r>
      <w:r w:rsidRPr="000D5668">
        <w:rPr>
          <w:spacing w:val="-6"/>
        </w:rPr>
        <w:t>(2016)</w:t>
      </w:r>
      <w:r w:rsidRPr="000D5668">
        <w:rPr>
          <w:spacing w:val="-6"/>
        </w:rPr>
        <w:fldChar w:fldCharType="end"/>
      </w:r>
      <w:r w:rsidRPr="000D5668">
        <w:rPr>
          <w:spacing w:val="-6"/>
        </w:rPr>
        <w:t xml:space="preserve"> used tabulated inheritance tax data between 1953 and 1979 to analyse top wealth shares for Australia. </w:t>
      </w:r>
    </w:p>
  </w:footnote>
  <w:footnote w:id="3">
    <w:p w14:paraId="1EA249E6" w14:textId="77777777" w:rsidR="006E0ED6" w:rsidRPr="000D5668" w:rsidRDefault="006E0ED6" w:rsidP="006E0ED6">
      <w:pPr>
        <w:pStyle w:val="FootnoteText"/>
        <w:rPr>
          <w:spacing w:val="-2"/>
        </w:rPr>
      </w:pPr>
      <w:r w:rsidRPr="0059379B">
        <w:rPr>
          <w:rStyle w:val="FootnoteReference"/>
        </w:rPr>
        <w:footnoteRef/>
      </w:r>
      <w:r w:rsidRPr="000D5668">
        <w:rPr>
          <w:spacing w:val="-2"/>
        </w:rPr>
        <w:t xml:space="preserve"> Probate is the legal process to prove the validity of a person’s will. A grant of probate is an Order passed by the relevant State or Territory’s Supreme Court confirming that a will is the last valid will of the deceased and allowing an executor, named in the will, to collect and distribute the estate in accordance with the will. Once probate is formally declared, probate records document the amount of assets held by the deceased persons and how they are distributed. These records may or may not include fees charged by lawyers who are nominated as executors, or funeral costs, paid by the estate.</w:t>
      </w:r>
    </w:p>
  </w:footnote>
  <w:footnote w:id="4">
    <w:p w14:paraId="52F9BA12" w14:textId="77777777" w:rsidR="006E0ED6" w:rsidRDefault="006E0ED6" w:rsidP="006E0ED6">
      <w:pPr>
        <w:pStyle w:val="FootnoteText"/>
      </w:pPr>
      <w:r w:rsidRPr="00A46011">
        <w:rPr>
          <w:rStyle w:val="FootnoteReference"/>
        </w:rPr>
        <w:footnoteRef/>
      </w:r>
      <w:r>
        <w:t xml:space="preserve"> </w:t>
      </w:r>
      <w:r w:rsidRPr="003B1FBE">
        <w:t>There are other administrative datasets that contain information about wealth holdings that were not used in this report because they were not representative of the population or timely access was not available includ</w:t>
      </w:r>
      <w:r>
        <w:t>ing</w:t>
      </w:r>
      <w:r w:rsidRPr="003B1FBE">
        <w:t xml:space="preserve"> age pension asset test data, and aged care means test data.</w:t>
      </w:r>
    </w:p>
  </w:footnote>
  <w:footnote w:id="5">
    <w:p w14:paraId="5164233F" w14:textId="56EFF224" w:rsidR="006E0ED6" w:rsidRDefault="006E0ED6" w:rsidP="006E0ED6">
      <w:pPr>
        <w:pStyle w:val="FootnoteText"/>
      </w:pPr>
      <w:r w:rsidRPr="0059379B">
        <w:rPr>
          <w:rStyle w:val="FootnoteReference"/>
        </w:rPr>
        <w:footnoteRef/>
      </w:r>
      <w:r>
        <w:t xml:space="preserve"> The initial sample of HILDA respondents also did not include people living in non</w:t>
      </w:r>
      <w:r w:rsidR="0030285A">
        <w:noBreakHyphen/>
      </w:r>
      <w:r>
        <w:t>private dwellings, but respondents who subsequently moved into non</w:t>
      </w:r>
      <w:r w:rsidR="0030285A">
        <w:noBreakHyphen/>
      </w:r>
      <w:r>
        <w:t>private dwellings are surveyed.</w:t>
      </w:r>
    </w:p>
  </w:footnote>
  <w:footnote w:id="6">
    <w:p w14:paraId="09A91882" w14:textId="59CF3BE9" w:rsidR="006E0ED6" w:rsidRDefault="006E0ED6" w:rsidP="006E0ED6">
      <w:pPr>
        <w:pStyle w:val="FootnoteText"/>
      </w:pPr>
      <w:r w:rsidRPr="00A46011">
        <w:rPr>
          <w:rStyle w:val="FootnoteReference"/>
        </w:rPr>
        <w:footnoteRef/>
      </w:r>
      <w:r>
        <w:t xml:space="preserve"> Inheritances were not separately identified as a payment source in the 2001 HILDA Survey causing the number recorded to be unusually low (figure</w:t>
      </w:r>
      <w:r w:rsidR="009124E5">
        <w:t> </w:t>
      </w:r>
      <w:r>
        <w:t xml:space="preserve">1.2), and hence that year’s data is excluded from the analysis. </w:t>
      </w:r>
    </w:p>
  </w:footnote>
  <w:footnote w:id="7">
    <w:p w14:paraId="371DE6EE" w14:textId="77777777" w:rsidR="006E0ED6" w:rsidRDefault="006E0ED6" w:rsidP="006E0ED6">
      <w:pPr>
        <w:pStyle w:val="FootnoteText"/>
      </w:pPr>
      <w:r w:rsidRPr="00A46011">
        <w:rPr>
          <w:rStyle w:val="FootnoteReference"/>
        </w:rPr>
        <w:footnoteRef/>
      </w:r>
      <w:r>
        <w:t xml:space="preserve"> The survey asks about </w:t>
      </w:r>
      <w:r w:rsidRPr="005F2183">
        <w:t>the death of a spouse as well as the death of ‘other close relatives’</w:t>
      </w:r>
      <w:r>
        <w:t>,</w:t>
      </w:r>
      <w:r w:rsidRPr="005F2183">
        <w:t xml:space="preserve"> </w:t>
      </w:r>
      <w:r>
        <w:t>b</w:t>
      </w:r>
      <w:r w:rsidRPr="005F2183">
        <w:t>ut ‘parent’ is not specified.</w:t>
      </w:r>
    </w:p>
  </w:footnote>
  <w:footnote w:id="8">
    <w:p w14:paraId="0330CFA2" w14:textId="64763E44" w:rsidR="003050C6" w:rsidRDefault="003050C6">
      <w:pPr>
        <w:pStyle w:val="FootnoteText"/>
      </w:pPr>
      <w:r>
        <w:rPr>
          <w:rStyle w:val="FootnoteReference"/>
        </w:rPr>
        <w:footnoteRef/>
      </w:r>
      <w:r>
        <w:t xml:space="preserve"> This </w:t>
      </w:r>
      <w:r w:rsidR="00334073">
        <w:t xml:space="preserve">suggests that </w:t>
      </w:r>
      <w:r w:rsidR="00A900D8">
        <w:t>people who received a wealth transfer from their spouse did not report it as an inheritance.</w:t>
      </w:r>
    </w:p>
  </w:footnote>
  <w:footnote w:id="9">
    <w:p w14:paraId="1130F8AD" w14:textId="2FDD01A2" w:rsidR="006E0ED6" w:rsidRDefault="006E0ED6" w:rsidP="006E0ED6">
      <w:pPr>
        <w:pStyle w:val="FootnoteText"/>
      </w:pPr>
      <w:r w:rsidRPr="00A46011">
        <w:rPr>
          <w:rStyle w:val="FootnoteReference"/>
        </w:rPr>
        <w:footnoteRef/>
      </w:r>
      <w:r>
        <w:t xml:space="preserve"> </w:t>
      </w:r>
      <w:r w:rsidRPr="00C43008">
        <w:t xml:space="preserve">The key difference between the </w:t>
      </w:r>
      <w:r>
        <w:t>HILDA</w:t>
      </w:r>
      <w:r w:rsidR="00726E97">
        <w:noBreakHyphen/>
      </w:r>
      <w:r>
        <w:t xml:space="preserve">based estimate presented here and the additional estimate in appendix A is how </w:t>
      </w:r>
      <w:r w:rsidRPr="00C43008">
        <w:t xml:space="preserve">the probability of death is calculated. Put simply, the probability of death in the method </w:t>
      </w:r>
      <w:r>
        <w:t xml:space="preserve">used here </w:t>
      </w:r>
      <w:r w:rsidRPr="00C43008">
        <w:t xml:space="preserve">is based on the number of deaths that occurred in Australia in that year, and in the method </w:t>
      </w:r>
      <w:r>
        <w:t>used in appendix A</w:t>
      </w:r>
      <w:r w:rsidRPr="00C43008">
        <w:t xml:space="preserve"> it is based on actual deaths observed in HILDA</w:t>
      </w:r>
      <w:r>
        <w:t xml:space="preserve">. Very few observations inform the ‘actual deaths’ calculation, which means the estimate in appendix A is subject to significant statistical noise. </w:t>
      </w:r>
    </w:p>
  </w:footnote>
  <w:footnote w:id="10">
    <w:p w14:paraId="1EC0D1E0" w14:textId="270C216A" w:rsidR="006E0ED6" w:rsidRDefault="006E0ED6" w:rsidP="006E0ED6">
      <w:pPr>
        <w:pStyle w:val="FootnoteText"/>
      </w:pPr>
      <w:r w:rsidRPr="0059379B">
        <w:rPr>
          <w:rStyle w:val="FootnoteReference"/>
        </w:rPr>
        <w:footnoteRef/>
      </w:r>
      <w:r>
        <w:t xml:space="preserve"> The values reported by Temple, McDonald and Rice </w:t>
      </w:r>
      <w:r>
        <w:fldChar w:fldCharType="begin"/>
      </w:r>
      <w:r w:rsidR="0047772E">
        <w:instrText xml:space="preserve"> ADDIN ZOTERO_ITEM CSL_CITATION {"citationID":"Nh6juKTS","properties":{"formattedCitation":"(2017)","plainCitation":"(2017)","noteIndex":9},"citationItems":[{"id":1539,"uris":["http://zotero.org/groups/2714158/items/YMJ33UXH"],"uri":["http://zotero.org/groups/2714158/items/YMJ33UXH"],"itemData":{"id":1539,"type":"article-journal","container-title":"Population Review","issue":"2","source":"Google Scholar","title":"Net assets available at age of death in Australia: An extension of the National Transfer Accounts methodology","title-short":"Net assets available at age of death in Australia","volume":"56","author":[{"family":"Temple","given":"Jeromey B."},{"family":"McDonald","given":"Peter F."},{"family":"Rice","given":"James Mahmud"}],"accessed":{"date-parts":[["2021",2,12]]},"issued":{"date-parts":[["2017"]]}},"suppress-author":true}],"schema":"https://github.com/citation-style-language/schema/raw/master/csl-citation.json"} </w:instrText>
      </w:r>
      <w:r>
        <w:fldChar w:fldCharType="separate"/>
      </w:r>
      <w:r w:rsidRPr="00AF4078">
        <w:t>(2017)</w:t>
      </w:r>
      <w:r>
        <w:fldChar w:fldCharType="end"/>
      </w:r>
      <w:r>
        <w:t xml:space="preserve"> have been converted to constant 2018 dollars using the CPI to enable comparison to other estimates reported in this paper.</w:t>
      </w:r>
    </w:p>
  </w:footnote>
  <w:footnote w:id="11">
    <w:p w14:paraId="66404DB9" w14:textId="0C9AF18E" w:rsidR="006E0ED6" w:rsidRDefault="006E0ED6" w:rsidP="006E0ED6">
      <w:pPr>
        <w:pStyle w:val="FootnoteText"/>
      </w:pPr>
      <w:r w:rsidRPr="00A46011">
        <w:rPr>
          <w:rStyle w:val="FootnoteReference"/>
        </w:rPr>
        <w:footnoteRef/>
      </w:r>
      <w:r>
        <w:t xml:space="preserve"> In the United States, 88 per cent of the value of final estates is distributed “approximately equally” among children </w:t>
      </w:r>
      <w:r>
        <w:fldChar w:fldCharType="begin"/>
      </w:r>
      <w:r w:rsidR="0047772E">
        <w:instrText xml:space="preserve"> ADDIN ZOTERO_ITEM CSL_CITATION {"citationID":"bpUDeixd","properties":{"formattedCitation":"(Wilhelm\\uc0\\u160{}1996, p.\\uc0\\u160{}880)","plainCitation":"(Wilhelm 1996, p. 880)","noteIndex":10},"citationItems":[{"id":1717,"uris":["http://zotero.org/groups/2714158/items/3AIR6WZJ"],"uri":["http://zotero.org/groups/2714158/items/3AIR6WZJ"],"itemData":{"id":1717,"type":"article-journal","abstract":"That parents transfer resources to children because of altruistic concern is a reasonable a priori assumption. However, economic theories of altruistic transfers have produced many counterintuitive conclusions, and, consequently, much debate. When applied to bequests, these theories predict that inheritances will compensate for earnings differences between siblings as well as between parents and children. This paper tests these implications. Using a new data set centered on federal estate tax returns, little support can be found for an altruistic theory of bequests. This finding has implications for macroeconomic policy, government transfer programs, and inequality.","container-title":"The American Economic Review","ISSN":"00028282","issue":"4","journalAbbreviation":"The American Economic Review","note":"publisher: American Economic Association","page":"874-892","source":"EBSCOhost","title":"Bequest behavior and the effect of heirs' earnings: Testing the altruistic model of bequests","title-short":"Bequest behavior and the effect of heirs' earnings","volume":"86","author":[{"family":"Wilhelm","given":"Mark O."}],"issued":{"date-parts":[["1996",9,1]]}},"locator":"880"}],"schema":"https://github.com/citation-style-language/schema/raw/master/csl-citation.json"} </w:instrText>
      </w:r>
      <w:r>
        <w:fldChar w:fldCharType="separate"/>
      </w:r>
      <w:r w:rsidRPr="007774E8">
        <w:rPr>
          <w:szCs w:val="24"/>
        </w:rPr>
        <w:t>(Wilhelm 1996, p. 880)</w:t>
      </w:r>
      <w:r>
        <w:fldChar w:fldCharType="end"/>
      </w:r>
      <w:r>
        <w:t xml:space="preserve">. Roughly 50 per cent of the value of all estates is immediately transferred to younger generations in Australia, compared to 49 per cent in the United Kingdom </w:t>
      </w:r>
      <w:r>
        <w:fldChar w:fldCharType="begin"/>
      </w:r>
      <w:r w:rsidR="0047772E">
        <w:instrText xml:space="preserve"> ADDIN ZOTERO_ITEM CSL_CITATION {"citationID":"z7QZu6pj","properties":{"formattedCitation":"(Atkinson\\uc0\\u160{}2018, p.\\uc0\\u160{}143)","plainCitation":"(Atkinson 2018, p. 143)","noteIndex":10},"citationItems":[{"id":2993,"uris":["http://zotero.org/groups/2714158/items/4NBLHP4B"],"uri":["http://zotero.org/groups/2714158/items/4NBLHP4B"],"itemData":{"id":2993,"type":"article-journal","container-title":"The Journal of Economic Inequality","DOI":"10.1007/s10888-018-9382-1","ISSN":"1569-1721, 1573-8701","issue":"2","journalAbbreviation":"J Econ Inequal","language":"en","page":"137-169","source":"DOI.org (Crossref)","title":"Wealth and inheritance in Britain from 1896 to the present","volume":"16","author":[{"family":"Atkinson","given":"Anthony B."}],"issued":{"date-parts":[["2018"]]}},"locator":"143"}],"schema":"https://github.com/citation-style-language/schema/raw/master/csl-citation.json"} </w:instrText>
      </w:r>
      <w:r>
        <w:fldChar w:fldCharType="separate"/>
      </w:r>
      <w:r w:rsidRPr="00021779">
        <w:rPr>
          <w:szCs w:val="24"/>
        </w:rPr>
        <w:t>(Atkinson 2018, p. 143)</w:t>
      </w:r>
      <w:r>
        <w:fldChar w:fldCharType="end"/>
      </w:r>
      <w:r>
        <w:t xml:space="preserve">. Piketty </w:t>
      </w:r>
      <w:r>
        <w:fldChar w:fldCharType="begin"/>
      </w:r>
      <w:r w:rsidR="0047772E">
        <w:instrText xml:space="preserve"> ADDIN ZOTERO_ITEM CSL_CITATION {"citationID":"GCJ5RYuf","properties":{"formattedCitation":"(2011, p.\\uc0\\u160{}1098)","plainCitation":"(2011, p. 1098)","noteIndex":10},"citationItems":[{"id":1977,"uris":["http://zotero.org/groups/2714158/items/T8ERXTW7"],"uri":["http://zotero.org/groups/2714158/items/T8ERXTW7"],"itemData":{"id":1977,"type":"article-journal","abstract":"This paper attempts to document and account for the long run evolution of inheritance. We find that in a country like France the annual flow of inheritance was about 20%-25% of national income between 1820 and 1910, down to less than 5% in 1950, and back up to about 15% by 2010. A simple theoretical model of wealth accumulation, growth and inheritance can fully account for the observed U-shaped pattern and levels. Using this model, we find that under plausible assumptions the annual bequest flow might reach about 20%-25% of national income by 2050. This corresponds to a capitalized bequest share in total wealth accumulation well above 100%. Our findings illustrate the fact that when the growth rate g is small, and when the rate of return to private wealth r is permanently and substantially larger than the growth rate (say, r=4%-5% vs. g=1%-2%), which was the case in the 19th century and early 20th century and is likely to happen again in the 21st century, then past wealth and inheritance are bound to play a key role for aggregate wealth accumulation and the structure of lifetime inequality. Contrarily to a widely spread view, modern economic growth did not kill inheritance.","container-title":"The Quarterly Journal of Economics","DOI":"10.1093/qje/qjr020","ISSN":"0033-5533, 1531-4650","issue":"3","language":"en","page":"1071-1131","source":"DOI.org (Crossref)","title":"On the long-run evolution of inheritance: France 1820–2050","title-short":"On the long-run evolution of inheritance","volume":"126","author":[{"family":"Piketty","given":"Thomas"}],"issued":{"date-parts":[["2011",8]]}},"locator":"1098","suppress-author":true}],"schema":"https://github.com/citation-style-language/schema/raw/master/csl-citation.json"} </w:instrText>
      </w:r>
      <w:r>
        <w:fldChar w:fldCharType="separate"/>
      </w:r>
      <w:r w:rsidRPr="003860F5">
        <w:rPr>
          <w:szCs w:val="24"/>
        </w:rPr>
        <w:t>(2011, p. 1098)</w:t>
      </w:r>
      <w:r>
        <w:fldChar w:fldCharType="end"/>
      </w:r>
      <w:r>
        <w:t xml:space="preserve"> studied the evolution of inheritances dating back to 1820 and found that 70 per cent went to children.</w:t>
      </w:r>
    </w:p>
  </w:footnote>
  <w:footnote w:id="12">
    <w:p w14:paraId="4BF299C2" w14:textId="3BCE6F3C" w:rsidR="006E0ED6" w:rsidRDefault="006E0ED6" w:rsidP="006E0ED6">
      <w:pPr>
        <w:pStyle w:val="FootnoteText"/>
      </w:pPr>
      <w:r w:rsidRPr="0059379B">
        <w:rPr>
          <w:rStyle w:val="FootnoteReference"/>
        </w:rPr>
        <w:footnoteRef/>
      </w:r>
      <w:r>
        <w:t xml:space="preserve"> The Roach </w:t>
      </w:r>
      <w:r>
        <w:fldChar w:fldCharType="begin"/>
      </w:r>
      <w:r w:rsidR="0047772E">
        <w:instrText xml:space="preserve"> ADDIN ZOTERO_ITEM CSL_CITATION {"citationID":"5ZrjeqNr","properties":{"formattedCitation":"(2018)","plainCitation":"(2018)","noteIndex":11},"citationItems":[{"id":2978,"uris":["http://zotero.org/groups/2714158/items/X3WPTE64"],"uri":["http://zotero.org/groups/2714158/items/X3WPTE64"],"itemData":{"id":2978,"type":"article","title":"Costing an Inter-Generational Transfer Tax","author":[{"family":"Roach","given":"Joe"}],"accessed":{"date-parts":[["2021",2,1]]},"issued":{"date-parts":[["2018"]]}},"suppress-author":true}],"schema":"https://github.com/citation-style-language/schema/raw/master/csl-citation.json"} </w:instrText>
      </w:r>
      <w:r>
        <w:fldChar w:fldCharType="separate"/>
      </w:r>
      <w:r w:rsidRPr="006E4243">
        <w:t>(2018)</w:t>
      </w:r>
      <w:r>
        <w:fldChar w:fldCharType="end"/>
      </w:r>
      <w:r w:rsidDel="008E1400">
        <w:t xml:space="preserve"> </w:t>
      </w:r>
      <w:r>
        <w:t>study is not presented in figure</w:t>
      </w:r>
      <w:r w:rsidR="003F6DBA">
        <w:t> </w:t>
      </w:r>
      <w:r>
        <w:t xml:space="preserve">1.6 because the estimate is based on final estates only. </w:t>
      </w:r>
    </w:p>
  </w:footnote>
  <w:footnote w:id="13">
    <w:p w14:paraId="3501825E" w14:textId="77777777" w:rsidR="006E0ED6" w:rsidRDefault="006E0ED6" w:rsidP="006E0ED6">
      <w:pPr>
        <w:pStyle w:val="FootnoteText"/>
      </w:pPr>
      <w:r w:rsidRPr="0059379B">
        <w:rPr>
          <w:rStyle w:val="FootnoteReference"/>
        </w:rPr>
        <w:footnoteRef/>
      </w:r>
      <w:r>
        <w:t xml:space="preserve"> </w:t>
      </w:r>
      <w:r w:rsidRPr="00670E6D">
        <w:t xml:space="preserve">The HILDA </w:t>
      </w:r>
      <w:r>
        <w:t>based estimate has</w:t>
      </w:r>
      <w:r w:rsidRPr="00670E6D">
        <w:t xml:space="preserve"> not been scaled to match </w:t>
      </w:r>
      <w:r>
        <w:t xml:space="preserve">the </w:t>
      </w:r>
      <w:r w:rsidRPr="00670E6D">
        <w:t xml:space="preserve">National Accounts </w:t>
      </w:r>
      <w:r>
        <w:t xml:space="preserve">estimate for household sector wealth </w:t>
      </w:r>
      <w:r w:rsidRPr="00670E6D">
        <w:t>because the distribution of the wealth not captured by the HILDA dataset is unknown.</w:t>
      </w:r>
    </w:p>
  </w:footnote>
  <w:footnote w:id="14">
    <w:p w14:paraId="15F3104A" w14:textId="66489072" w:rsidR="006E0ED6" w:rsidRPr="00F0563C" w:rsidRDefault="006E0ED6" w:rsidP="006E0ED6">
      <w:pPr>
        <w:pStyle w:val="FootnoteText"/>
        <w:rPr>
          <w:spacing w:val="-4"/>
        </w:rPr>
      </w:pPr>
      <w:r w:rsidRPr="00A46011">
        <w:rPr>
          <w:rStyle w:val="FootnoteReference"/>
        </w:rPr>
        <w:footnoteRef/>
      </w:r>
      <w:r>
        <w:t xml:space="preserve"> </w:t>
      </w:r>
      <w:r w:rsidRPr="00F0563C">
        <w:rPr>
          <w:spacing w:val="-4"/>
        </w:rPr>
        <w:t>One additional driver that is difficult to quantify is the effect of superannuation</w:t>
      </w:r>
      <w:r w:rsidR="00D07232" w:rsidRPr="00F0563C">
        <w:rPr>
          <w:spacing w:val="-4"/>
        </w:rPr>
        <w:noBreakHyphen/>
      </w:r>
      <w:r w:rsidRPr="00F0563C">
        <w:rPr>
          <w:spacing w:val="-4"/>
        </w:rPr>
        <w:t>derived inheritances involving defined benefit funds being measured with error. It is not clear how this would affect the gap between inheritance inflows and outflows.</w:t>
      </w:r>
    </w:p>
  </w:footnote>
  <w:footnote w:id="15">
    <w:p w14:paraId="28C4ACF1" w14:textId="31AAC035" w:rsidR="006E0ED6" w:rsidRDefault="006E0ED6" w:rsidP="006E0ED6">
      <w:pPr>
        <w:pStyle w:val="FootnoteText"/>
      </w:pPr>
      <w:r w:rsidRPr="00A46011">
        <w:rPr>
          <w:rStyle w:val="FootnoteReference"/>
        </w:rPr>
        <w:footnoteRef/>
      </w:r>
      <w:r>
        <w:t xml:space="preserve"> N</w:t>
      </w:r>
      <w:r w:rsidRPr="00D258B8">
        <w:t xml:space="preserve">onreporting is </w:t>
      </w:r>
      <w:r>
        <w:t>likely non</w:t>
      </w:r>
      <w:r w:rsidR="00D07232">
        <w:noBreakHyphen/>
      </w:r>
      <w:r w:rsidRPr="00D258B8">
        <w:t>random</w:t>
      </w:r>
      <w:r>
        <w:t>, which means simply scaling the estimates is not possible</w:t>
      </w:r>
      <w:r w:rsidRPr="00D258B8">
        <w:t xml:space="preserve">. </w:t>
      </w:r>
      <w:r>
        <w:t>A</w:t>
      </w:r>
      <w:r w:rsidRPr="00D258B8">
        <w:t>ppendix</w:t>
      </w:r>
      <w:r>
        <w:t xml:space="preserve"> B contains analysis of this issue and </w:t>
      </w:r>
      <w:r w:rsidRPr="00D258B8">
        <w:t xml:space="preserve">shows that </w:t>
      </w:r>
      <w:r>
        <w:t xml:space="preserve">nonreporting </w:t>
      </w:r>
      <w:r w:rsidRPr="00D258B8">
        <w:t>is more likely among those with poorer parents, who probably received smaller inheritances.</w:t>
      </w:r>
    </w:p>
  </w:footnote>
  <w:footnote w:id="16">
    <w:p w14:paraId="1C2B6D06" w14:textId="5396FF20" w:rsidR="006E0ED6" w:rsidRDefault="006E0ED6" w:rsidP="006E0ED6">
      <w:pPr>
        <w:pStyle w:val="FootnoteText"/>
      </w:pPr>
      <w:r w:rsidRPr="00A46011">
        <w:rPr>
          <w:rStyle w:val="FootnoteReference"/>
        </w:rPr>
        <w:footnoteRef/>
      </w:r>
      <w:r>
        <w:t xml:space="preserve"> Based on an average estate size of $800 000 and using estimates of probate fees reported by National Probate and Estates Group </w:t>
      </w:r>
      <w:r>
        <w:fldChar w:fldCharType="begin"/>
      </w:r>
      <w:r w:rsidR="0047772E">
        <w:instrText xml:space="preserve"> ADDIN ZOTERO_ITEM CSL_CITATION {"citationID":"CE7K0bCx","properties":{"formattedCitation":"(2021)","plainCitation":"(2021)","noteIndex":15},"citationItems":[{"id":3208,"uris":["http://zotero.org/groups/2714158/items/RDT4JBWY"],"uri":["http://zotero.org/groups/2714158/items/RDT4JBWY"],"itemData":{"id":3208,"type":"webpage","container-title":"Costs and Fees","language":"en","title":"Costs and Fees","URL":"https://www.nationalprobate.com.au/vic/probate/costs","author":[{"literal":"National Probate and Estates Group"}],"accessed":{"date-parts":[["2021",9,23]]},"issued":{"date-parts":[["2021",9,23]]}},"suppress-author":true}],"schema":"https://github.com/citation-style-language/schema/raw/master/csl-citation.json"} </w:instrText>
      </w:r>
      <w:r>
        <w:fldChar w:fldCharType="separate"/>
      </w:r>
      <w:r w:rsidRPr="00FD67EA">
        <w:t>(2021)</w:t>
      </w:r>
      <w:r>
        <w:fldChar w:fldCharType="end"/>
      </w:r>
      <w:r>
        <w:t>.</w:t>
      </w:r>
    </w:p>
  </w:footnote>
  <w:footnote w:id="17">
    <w:p w14:paraId="49023FFE" w14:textId="7D2CDEFC" w:rsidR="006E0ED6" w:rsidRPr="00494802" w:rsidRDefault="006E0ED6" w:rsidP="006E0ED6">
      <w:pPr>
        <w:pStyle w:val="FootnoteText"/>
        <w:rPr>
          <w:spacing w:val="-6"/>
        </w:rPr>
      </w:pPr>
      <w:r w:rsidRPr="00A46011">
        <w:rPr>
          <w:rStyle w:val="FootnoteReference"/>
        </w:rPr>
        <w:footnoteRef/>
      </w:r>
      <w:r>
        <w:t xml:space="preserve"> </w:t>
      </w:r>
      <w:r w:rsidRPr="00494802">
        <w:rPr>
          <w:spacing w:val="-6"/>
        </w:rPr>
        <w:t xml:space="preserve">Thirty-two per cent is the maximum rate payable on a death benefit received by a non-dependent as a lump sum </w:t>
      </w:r>
      <w:r w:rsidRPr="00494802">
        <w:rPr>
          <w:spacing w:val="-6"/>
        </w:rPr>
        <w:fldChar w:fldCharType="begin"/>
      </w:r>
      <w:r w:rsidR="0047772E">
        <w:rPr>
          <w:spacing w:val="-6"/>
        </w:rPr>
        <w:instrText xml:space="preserve"> ADDIN ZOTERO_ITEM CSL_CITATION {"citationID":"DE2gC4ae","properties":{"formattedCitation":"(ATO\\uc0\\u160{}2020b)","plainCitation":"(ATO 2020b)","noteIndex":16},"citationItems":[{"id":1562,"uris":["http://zotero.org/groups/2714158/items/8B3WKFA7"],"uri":["http://zotero.org/groups/2714158/items/8B3WKFA7"],"itemData":{"id":1562,"type":"webpage","abstract":"Information for individuals about withdrawing and paying tax on their superannuation.","language":"en-AU","title":"Withdrawing Your Super and Paying Tax","URL":"https://www.ato.gov.au/Individuals/Super/In-detail/Withdrawing-and-using-your-super/Withdrawing-your-super-and-paying-tax/?page=6","author":[{"family":"Australian Taxation Office","given":""}],"translator":[{"family":"ATO","given":""}],"accessed":{"date-parts":[["2021",2,2]]},"issued":{"date-parts":[["2020"]]}}}],"schema":"https://github.com/citation-style-language/schema/raw/master/csl-citation.json"} </w:instrText>
      </w:r>
      <w:r w:rsidRPr="00494802">
        <w:rPr>
          <w:spacing w:val="-6"/>
        </w:rPr>
        <w:fldChar w:fldCharType="separate"/>
      </w:r>
      <w:r w:rsidR="007A60F8" w:rsidRPr="007A60F8">
        <w:rPr>
          <w:rFonts w:ascii="Arial" w:hAnsi="Arial" w:cs="Arial"/>
          <w:szCs w:val="24"/>
        </w:rPr>
        <w:t>(ATO 2020b)</w:t>
      </w:r>
      <w:r w:rsidRPr="00494802">
        <w:rPr>
          <w:spacing w:val="-6"/>
        </w:rPr>
        <w:fldChar w:fldCharType="end"/>
      </w:r>
      <w:r w:rsidRPr="00494802">
        <w:rPr>
          <w:spacing w:val="-6"/>
        </w:rPr>
        <w:t>.</w:t>
      </w:r>
    </w:p>
  </w:footnote>
  <w:footnote w:id="18">
    <w:p w14:paraId="765DD1AE" w14:textId="77777777" w:rsidR="006E0ED6" w:rsidRDefault="006E0ED6" w:rsidP="006E0ED6">
      <w:pPr>
        <w:pStyle w:val="FootnoteText"/>
      </w:pPr>
      <w:r w:rsidRPr="00A46011">
        <w:rPr>
          <w:rStyle w:val="FootnoteReference"/>
        </w:rPr>
        <w:footnoteRef/>
      </w:r>
      <w:r>
        <w:t xml:space="preserve"> The HILDA survey asks about ‘payments’ received. It is possible that respondents include </w:t>
      </w:r>
      <w:r w:rsidRPr="00615C5A">
        <w:t>loans</w:t>
      </w:r>
      <w:r>
        <w:t xml:space="preserve"> and</w:t>
      </w:r>
      <w:r w:rsidRPr="00615C5A">
        <w:t xml:space="preserve"> other contingent </w:t>
      </w:r>
      <w:r>
        <w:t>payments, which do not strictly meet the definition of wealth transfers used in this study.</w:t>
      </w:r>
    </w:p>
  </w:footnote>
  <w:footnote w:id="19">
    <w:p w14:paraId="0841FB52" w14:textId="77777777" w:rsidR="006E0ED6" w:rsidRDefault="006E0ED6" w:rsidP="006E0ED6">
      <w:pPr>
        <w:pStyle w:val="FootnoteText"/>
      </w:pPr>
      <w:r w:rsidRPr="00A46011">
        <w:rPr>
          <w:rStyle w:val="FootnoteReference"/>
        </w:rPr>
        <w:footnoteRef/>
      </w:r>
      <w:r>
        <w:t xml:space="preserve"> I</w:t>
      </w:r>
      <w:r w:rsidRPr="00EC0691">
        <w:t xml:space="preserve">n HILDA, the purpose of a gift </w:t>
      </w:r>
      <w:r>
        <w:t>(</w:t>
      </w:r>
      <w:r w:rsidRPr="00EC0691">
        <w:t>for example, to purchase a car or a house</w:t>
      </w:r>
      <w:r>
        <w:t>)</w:t>
      </w:r>
      <w:r w:rsidRPr="00EC0691">
        <w:t xml:space="preserve"> is not specified. </w:t>
      </w:r>
      <w:r>
        <w:t>I</w:t>
      </w:r>
      <w:r w:rsidRPr="00EC0691">
        <w:t>n the SIH, gifts can come from any family member, not just a parent, and they exclude those for the purpose of purchasing property or cars, to pay off debt, or for other living expenses.</w:t>
      </w:r>
    </w:p>
  </w:footnote>
  <w:footnote w:id="20">
    <w:p w14:paraId="66533D0C" w14:textId="66EBC70F" w:rsidR="006E0ED6" w:rsidRPr="00BB01FC" w:rsidRDefault="006E0ED6" w:rsidP="006E0ED6">
      <w:pPr>
        <w:pStyle w:val="FootnoteText"/>
      </w:pPr>
      <w:r w:rsidRPr="00A46011">
        <w:rPr>
          <w:rStyle w:val="FootnoteReference"/>
        </w:rPr>
        <w:footnoteRef/>
      </w:r>
      <w:r>
        <w:t xml:space="preserve"> The reference population for the YIF survey was any child who had direct (or indirect through a parent) contact with government support payments. The data covered 98 per cent of all youths born between October</w:t>
      </w:r>
      <w:r w:rsidR="00823CE8">
        <w:t> </w:t>
      </w:r>
      <w:r>
        <w:t>1987 and March</w:t>
      </w:r>
      <w:r w:rsidR="00823CE8">
        <w:t> </w:t>
      </w:r>
      <w:r>
        <w:t xml:space="preserve">1988 and the survey covered a stratified random sample of youths and a parent </w:t>
      </w:r>
      <w:r>
        <w:fldChar w:fldCharType="begin"/>
      </w:r>
      <w:r w:rsidR="0047772E">
        <w:instrText xml:space="preserve"> ADDIN ZOTERO_ITEM CSL_CITATION {"citationID":"Cb9Uqok7","properties":{"formattedCitation":"(Breunig et al.\\uc0\\u160{}2007, p.\\uc0\\u160{}13)","plainCitation":"(Breunig et al. 2007, p. 13)","noteIndex":19},"citationItems":[{"id":1982,"uris":["http://zotero.org/groups/2714158/items/QGV33RUS"],"uri":["http://zotero.org/groups/2714158/items/QGV33RUS"],"itemData":{"id":1982,"type":"report","collection-title":"Youth in Focus Project Discussion Paper Series","number":"1","title":"User's Guide to the Youth in Focus Data","author":[{"family":"Breunig","given":"Robert"},{"family":"Cobb-Clark","given":"Deborah"},{"family":"Gørgens","given":"Tue"},{"family":"Sartbayeva","given":"Anastasia"}],"issued":{"date-parts":[["2007"]]}},"locator":"13"}],"schema":"https://github.com/citation-style-language/schema/raw/master/csl-citation.json"} </w:instrText>
      </w:r>
      <w:r>
        <w:fldChar w:fldCharType="separate"/>
      </w:r>
      <w:r w:rsidRPr="00857EFB">
        <w:rPr>
          <w:szCs w:val="24"/>
        </w:rPr>
        <w:t>(Breunig et al. 2007, p. 13)</w:t>
      </w:r>
      <w:r>
        <w:fldChar w:fldCharType="end"/>
      </w:r>
      <w:r>
        <w:t>.</w:t>
      </w:r>
    </w:p>
  </w:footnote>
  <w:footnote w:id="21">
    <w:p w14:paraId="2259E168" w14:textId="77777777" w:rsidR="006E0ED6" w:rsidRDefault="006E0ED6" w:rsidP="006E0ED6">
      <w:pPr>
        <w:pStyle w:val="FootnoteText"/>
      </w:pPr>
      <w:r w:rsidRPr="00A46011">
        <w:rPr>
          <w:rStyle w:val="FootnoteReference"/>
        </w:rPr>
        <w:footnoteRef/>
      </w:r>
      <w:r>
        <w:t xml:space="preserve"> Special modules are a standard component of the HILDA survey. Since the second wave, each wave has contained one or more ‘major’ or ‘minor’ special modules. There has never been a special module relating to wealth transfers.</w:t>
      </w:r>
    </w:p>
  </w:footnote>
  <w:footnote w:id="22">
    <w:p w14:paraId="6D2929C5" w14:textId="77777777" w:rsidR="006E0ED6" w:rsidRDefault="006E0ED6" w:rsidP="006E0ED6">
      <w:pPr>
        <w:pStyle w:val="FootnoteText"/>
      </w:pPr>
      <w:r w:rsidRPr="00A46011">
        <w:rPr>
          <w:rStyle w:val="FootnoteReference"/>
        </w:rPr>
        <w:footnoteRef/>
      </w:r>
      <w:r>
        <w:t xml:space="preserve"> The MADIP dataset is a linked dataset that includes administrative data on healthcare, education and social security usage, income tax returns, and responses to Census questions.</w:t>
      </w:r>
    </w:p>
  </w:footnote>
  <w:footnote w:id="23">
    <w:p w14:paraId="5F346659" w14:textId="77777777" w:rsidR="006E0ED6" w:rsidRPr="00850AFF" w:rsidRDefault="006E0ED6" w:rsidP="006E0ED6">
      <w:pPr>
        <w:pStyle w:val="FootnoteText"/>
        <w:rPr>
          <w:spacing w:val="-4"/>
        </w:rPr>
      </w:pPr>
      <w:r w:rsidRPr="0059379B">
        <w:rPr>
          <w:rStyle w:val="FootnoteReference"/>
        </w:rPr>
        <w:footnoteRef/>
      </w:r>
      <w:r w:rsidRPr="00850AFF">
        <w:rPr>
          <w:spacing w:val="-4"/>
        </w:rPr>
        <w:t xml:space="preserve"> A 95 per cent confidence interval is a range that, if our assumptions are correct, contains the true value with a 95 per cent probability.</w:t>
      </w:r>
    </w:p>
  </w:footnote>
  <w:footnote w:id="24">
    <w:p w14:paraId="784740DE" w14:textId="77777777" w:rsidR="006E0ED6" w:rsidRPr="007D456B" w:rsidRDefault="006E0ED6" w:rsidP="006E0ED6">
      <w:pPr>
        <w:pStyle w:val="FootnoteText"/>
        <w:rPr>
          <w:spacing w:val="-4"/>
        </w:rPr>
      </w:pPr>
      <w:r w:rsidRPr="0059379B">
        <w:rPr>
          <w:rStyle w:val="FootnoteReference"/>
        </w:rPr>
        <w:footnoteRef/>
      </w:r>
      <w:r w:rsidRPr="007D456B">
        <w:rPr>
          <w:spacing w:val="-4"/>
        </w:rPr>
        <w:t xml:space="preserve"> In only about 8 per cent of owner-occupied households did at least one household member pay board to another household member (Commission estimate based on HILDA Restricted Release 19; average cross</w:t>
      </w:r>
      <w:r w:rsidRPr="007D456B">
        <w:rPr>
          <w:spacing w:val="-4"/>
        </w:rPr>
        <w:noBreakHyphen/>
        <w:t>sectional estimate over each wave).</w:t>
      </w:r>
    </w:p>
  </w:footnote>
  <w:footnote w:id="25">
    <w:p w14:paraId="60906B00" w14:textId="67FBDE2C" w:rsidR="006E0ED6" w:rsidRDefault="006E0ED6" w:rsidP="006E0ED6">
      <w:pPr>
        <w:pStyle w:val="FootnoteText"/>
      </w:pPr>
      <w:r>
        <w:rPr>
          <w:rStyle w:val="FootnoteReference"/>
        </w:rPr>
        <w:footnoteRef/>
      </w:r>
      <w:r>
        <w:t xml:space="preserve"> Consistent with previous Commission analysis </w:t>
      </w:r>
      <w:r>
        <w:fldChar w:fldCharType="begin"/>
      </w:r>
      <w:r w:rsidR="0047772E">
        <w:instrText xml:space="preserve"> ADDIN ZOTERO_ITEM CSL_CITATION {"citationID":"EVpu6GjD","properties":{"formattedCitation":"(PC\\uc0\\u160{}2018a)","plainCitation":"(PC 2018a)","noteIndex":24},"citationItems":[{"id":2793,"uris":["http://zotero.org/groups/164861/items/7NVJM2JN"],"uri":["http://zotero.org/groups/164861/items/7NVJM2JN"],"itemData":{"id":2793,"type":"report","event-place":"Canberra","genre":"Commission Research Paper","publisher-place":"Canberra","title":"Rising inequality? A stocktake of the evidence","author":[{"family":"Productivity Commission","given":""}],"translator":[{"family":"PC","given":""}],"issued":{"date-parts":[["2018"]]}}}],"schema":"https://github.com/citation-style-language/schema/raw/master/csl-citation.json"} </w:instrText>
      </w:r>
      <w:r>
        <w:fldChar w:fldCharType="separate"/>
      </w:r>
      <w:r w:rsidR="007A60F8" w:rsidRPr="007A60F8">
        <w:rPr>
          <w:rFonts w:ascii="Arial" w:hAnsi="Arial" w:cs="Arial"/>
          <w:szCs w:val="24"/>
        </w:rPr>
        <w:t>(PC 2018a)</w:t>
      </w:r>
      <w:r>
        <w:fldChar w:fldCharType="end"/>
      </w:r>
      <w:r>
        <w:t xml:space="preserve"> and with the ABS’ Distribution of Household Income, Consumption and Wealth publication </w:t>
      </w:r>
      <w:r>
        <w:fldChar w:fldCharType="begin"/>
      </w:r>
      <w:r w:rsidR="0047772E">
        <w:instrText xml:space="preserve"> ADDIN ZOTERO_ITEM CSL_CITATION {"citationID":"59Hm5Pcr","properties":{"formattedCitation":"(ABS\\uc0\\u160{}2021a)","plainCitation":"(ABS 2021a)","noteIndex":24},"citationItems":[{"id":1970,"uris":["http://zotero.org/groups/2714158/items/243QY2TV"],"uri":["http://zotero.org/groups/2714158/items/243QY2TV"],"itemData":{"id":1970,"type":"webpage","title":"Australian National Accounts: Distribution of Household Income, Consumption and Wealth, 2003-04 to 2019-20","URL":"https://www.abs.gov.au/statistics/economy/national-accounts/australian-national-accounts-distribution-household-income-consumption-and-wealth/latest-release#data-download","author":[{"family":"Australian Bureau of Statistics","given":""}],"translator":[{"family":"ABS","given":""}],"accessed":{"date-parts":[["2021",6,21]]},"issued":{"date-parts":[["2021",6,18]]}}}],"schema":"https://github.com/citation-style-language/schema/raw/master/csl-citation.json"} </w:instrText>
      </w:r>
      <w:r>
        <w:fldChar w:fldCharType="separate"/>
      </w:r>
      <w:r w:rsidR="00816542" w:rsidRPr="00816542">
        <w:rPr>
          <w:rFonts w:ascii="Arial" w:hAnsi="Arial" w:cs="Arial"/>
          <w:szCs w:val="24"/>
        </w:rPr>
        <w:t>(ABS 2021a)</w:t>
      </w:r>
      <w:r>
        <w:fldChar w:fldCharType="end"/>
      </w:r>
      <w:r>
        <w:t xml:space="preserve">, this chapter uses the ‘OECD modified equivalisation scale’ to equivalise household wealth. While the rationale for equivalising wealth is strong, there is no consensus about which scale is most suited to doing so </w:t>
      </w:r>
      <w:r>
        <w:fldChar w:fldCharType="begin"/>
      </w:r>
      <w:r w:rsidR="0047772E">
        <w:instrText xml:space="preserve"> ADDIN ZOTERO_ITEM CSL_CITATION {"citationID":"oDfWFMjg","properties":{"formattedCitation":"(OECD\\uc0\\u160{}2013)","plainCitation":"(OECD 2013)","noteIndex":24},"citationItems":[{"id":1725,"uris":["http://zotero.org/groups/2714158/items/MNAS5GF5"],"uri":["http://zotero.org/groups/2714158/items/MNAS5GF5"],"itemData":{"id":1725,"type":"report","event-place":"Paris","publisher":"OECD","publisher-place":"Paris","title":"OECD Guidelines for Micro Statistics on Household Wealth","author":[{"family":"Organisation for Economic Co-operation and Development","given":""}],"translator":[{"family":"OECD","given":""}],"accessed":{"date-parts":[["2021",4,16]]},"issued":{"date-parts":[["2013"]]}}}],"schema":"https://github.com/citation-style-language/schema/raw/master/csl-citation.json"} </w:instrText>
      </w:r>
      <w:r>
        <w:fldChar w:fldCharType="separate"/>
      </w:r>
      <w:r w:rsidRPr="007841CF">
        <w:rPr>
          <w:szCs w:val="24"/>
        </w:rPr>
        <w:t>(OECD 2013)</w:t>
      </w:r>
      <w:r>
        <w:fldChar w:fldCharType="end"/>
      </w:r>
      <w:r>
        <w:t>. For this reason, appendix B also presents figures 2.1–2.4 re</w:t>
      </w:r>
      <w:r>
        <w:noBreakHyphen/>
        <w:t>estimated using non-equivalised household wealth a robustness check. The same findings are apparent; hence the results presented here are not sensitive to the choice of whether or not to equivalise wealth.</w:t>
      </w:r>
    </w:p>
  </w:footnote>
  <w:footnote w:id="26">
    <w:p w14:paraId="1F65BDA3" w14:textId="77777777" w:rsidR="006E0ED6" w:rsidRDefault="006E0ED6" w:rsidP="006E0ED6">
      <w:pPr>
        <w:pStyle w:val="FootnoteText"/>
      </w:pPr>
      <w:r>
        <w:rPr>
          <w:rStyle w:val="FootnoteReference"/>
        </w:rPr>
        <w:footnoteRef/>
      </w:r>
      <w:r>
        <w:t xml:space="preserve"> Throughout this chapter, results are presented at the individual level. Relative to household-level results — wherein each household is given equal weight — individual-level results for variables that are the same for all household members (such as equivalised wealth and household wealth) weight each household by its number of members. For example, five person households are given five times as much prominence as one person households. This is because the wellbeing of individuals is what ultimately matters.</w:t>
      </w:r>
    </w:p>
  </w:footnote>
  <w:footnote w:id="27">
    <w:p w14:paraId="1D28D981" w14:textId="77777777" w:rsidR="006E0ED6" w:rsidRDefault="006E0ED6" w:rsidP="006E0ED6">
      <w:pPr>
        <w:pStyle w:val="FootnoteText"/>
      </w:pPr>
      <w:r>
        <w:rPr>
          <w:rStyle w:val="FootnoteReference"/>
        </w:rPr>
        <w:footnoteRef/>
      </w:r>
      <w:r>
        <w:t xml:space="preserve"> For the purposes of this chapter, the phrase ‘wealth held by each person’ refers to household wealth or equivalised wealth, as discussed previously.</w:t>
      </w:r>
    </w:p>
  </w:footnote>
  <w:footnote w:id="28">
    <w:p w14:paraId="432CE1AF" w14:textId="77777777" w:rsidR="006E0ED6" w:rsidRDefault="006E0ED6" w:rsidP="006E0ED6">
      <w:pPr>
        <w:pStyle w:val="FootnoteText"/>
      </w:pPr>
      <w:r>
        <w:rPr>
          <w:rStyle w:val="FootnoteReference"/>
        </w:rPr>
        <w:footnoteRef/>
      </w:r>
      <w:r>
        <w:t xml:space="preserve"> If recipients did not expect to receive wealth transfers, their prior behaviour might chage, which might change their position in the initial wealth distribution. Likewise, it might alter donors’ wealth accumulation if they knew that they could not transfer their wealth.</w:t>
      </w:r>
    </w:p>
  </w:footnote>
  <w:footnote w:id="29">
    <w:p w14:paraId="2BDADCC7" w14:textId="77777777" w:rsidR="006E0ED6" w:rsidRPr="008E3F7A" w:rsidRDefault="006E0ED6" w:rsidP="006E0ED6">
      <w:pPr>
        <w:pStyle w:val="FootnoteText"/>
        <w:rPr>
          <w:spacing w:val="-4"/>
        </w:rPr>
      </w:pPr>
      <w:r w:rsidRPr="0059379B">
        <w:rPr>
          <w:rStyle w:val="FootnoteReference"/>
        </w:rPr>
        <w:footnoteRef/>
      </w:r>
      <w:r w:rsidRPr="008E3F7A">
        <w:rPr>
          <w:spacing w:val="-4"/>
        </w:rPr>
        <w:t xml:space="preserve"> The evidence in figure 2.3 and table B.2 of appendix B leans more toward the conclusion that gifts increased absolute wealth inequality than the conclusion that gifts decreased absolute wealth inequality, but the results are not statistically significant by any of the measures in table B.2. Moreover, as discussed above, a better analysis would also factor in donor households’ loss of wealth, which would most likely push against the conclusion that gifts increased absolute wealth inequality.</w:t>
      </w:r>
    </w:p>
  </w:footnote>
  <w:footnote w:id="30">
    <w:p w14:paraId="06548ED8" w14:textId="77777777" w:rsidR="006E0ED6" w:rsidRDefault="006E0ED6" w:rsidP="006E0ED6">
      <w:pPr>
        <w:pStyle w:val="FootnoteText"/>
      </w:pPr>
      <w:r>
        <w:rPr>
          <w:rStyle w:val="FootnoteReference"/>
        </w:rPr>
        <w:footnoteRef/>
      </w:r>
      <w:r>
        <w:t xml:space="preserve"> This is slightly less than the inflow reported in chapter 3, because those figures included gifts from parents to their children who live in the same household and inheritances from people who lived in the same household at time of death. For analysis of the effects of wealth transfers on wealth inequality, these wealth transfers are disregarded because the wealth is assumed to be shared within a household.</w:t>
      </w:r>
    </w:p>
  </w:footnote>
  <w:footnote w:id="31">
    <w:p w14:paraId="74F8B20F" w14:textId="77777777" w:rsidR="006E0ED6" w:rsidRDefault="006E0ED6" w:rsidP="006E0ED6">
      <w:pPr>
        <w:pStyle w:val="FootnoteText"/>
      </w:pPr>
      <w:r>
        <w:rPr>
          <w:rStyle w:val="FootnoteReference"/>
        </w:rPr>
        <w:footnoteRef/>
      </w:r>
      <w:r>
        <w:t xml:space="preserve"> Due to data limitations, most of the statistics reported for other countries in figure 2.6 slightly overstate the effect sizes relative to the most comparable statistic for Australia. However, as shown in appendix B, the overstatement is too small to substantively change the results. </w:t>
      </w:r>
    </w:p>
  </w:footnote>
  <w:footnote w:id="32">
    <w:p w14:paraId="03D3CF22" w14:textId="77777777" w:rsidR="006E0ED6" w:rsidRDefault="006E0ED6" w:rsidP="006E0ED6">
      <w:pPr>
        <w:pStyle w:val="FootnoteText"/>
      </w:pPr>
      <w:r>
        <w:rPr>
          <w:rStyle w:val="FootnoteReference"/>
        </w:rPr>
        <w:footnoteRef/>
      </w:r>
      <w:r>
        <w:t xml:space="preserve"> Technically, non</w:t>
      </w:r>
      <w:r>
        <w:noBreakHyphen/>
        <w:t>inheritance wealth (wealth absent inheritances) is what matters for the longer</w:t>
      </w:r>
      <w:r>
        <w:noBreakHyphen/>
        <w:t>term effect, not initial wealth. There is a subtle difference between the two concepts. When studying the immediate</w:t>
      </w:r>
      <w:r>
        <w:noBreakHyphen/>
        <w:t>term effect of inheritances on wealth inequality, non</w:t>
      </w:r>
      <w:r>
        <w:noBreakHyphen/>
        <w:t xml:space="preserve">inheritance wealth and initial wealth are the same. But when studying the effect of inheritances received </w:t>
      </w:r>
      <m:oMath>
        <m:r>
          <w:rPr>
            <w:rFonts w:ascii="Cambria Math" w:hAnsi="Cambria Math"/>
          </w:rPr>
          <m:t>t</m:t>
        </m:r>
      </m:oMath>
      <w:r>
        <w:t xml:space="preserve"> years ago on current wealth inequality (the longer</w:t>
      </w:r>
      <w:r>
        <w:noBreakHyphen/>
        <w:t>term effect), they differ — non</w:t>
      </w:r>
      <w:r>
        <w:noBreakHyphen/>
        <w:t>inheritance wealth is equal to initial wealth plus wealth that would have been accumulated or decumulated in the absence of the inheritance over the past </w:t>
      </w:r>
      <m:oMath>
        <m:r>
          <w:rPr>
            <w:rFonts w:ascii="Cambria Math" w:hAnsi="Cambria Math"/>
          </w:rPr>
          <m:t>t</m:t>
        </m:r>
      </m:oMath>
      <w:r>
        <w:t xml:space="preserve"> years. For ease of exposition, and because non</w:t>
      </w:r>
      <w:r>
        <w:noBreakHyphen/>
        <w:t>inheritance wealth cannot be estimated without making strong assumptions, this section refers to initial wealth as a proxy for non</w:t>
      </w:r>
      <w:r>
        <w:noBreakHyphen/>
        <w:t>inheritance wealth throughout.</w:t>
      </w:r>
    </w:p>
  </w:footnote>
  <w:footnote w:id="33">
    <w:p w14:paraId="6FBDEB32" w14:textId="77777777" w:rsidR="006E0ED6" w:rsidRPr="003A057C" w:rsidRDefault="006E0ED6" w:rsidP="006E0ED6">
      <w:pPr>
        <w:pStyle w:val="FootnoteText"/>
        <w:rPr>
          <w:spacing w:val="-2"/>
        </w:rPr>
      </w:pPr>
      <w:r w:rsidRPr="0059379B">
        <w:rPr>
          <w:rStyle w:val="FootnoteReference"/>
        </w:rPr>
        <w:footnoteRef/>
      </w:r>
      <w:r w:rsidRPr="003A057C">
        <w:rPr>
          <w:spacing w:val="-2"/>
        </w:rPr>
        <w:t xml:space="preserve"> Another possibility is that recipients transfer their inherited wealth to charities or people outside the household. Econometric tests suggests that it is not common for parents to transfer inheritances they have received to children who live in a different household.</w:t>
      </w:r>
    </w:p>
  </w:footnote>
  <w:footnote w:id="34">
    <w:p w14:paraId="63F4BE92" w14:textId="77777777" w:rsidR="006E0ED6" w:rsidRDefault="006E0ED6" w:rsidP="006E0ED6">
      <w:pPr>
        <w:pStyle w:val="FootnoteText"/>
      </w:pPr>
      <w:r>
        <w:rPr>
          <w:rStyle w:val="FootnoteReference"/>
        </w:rPr>
        <w:footnoteRef/>
      </w:r>
      <w:r>
        <w:t xml:space="preserve"> The size of the lottery winnings was unrelated to the recipients’ initial wealth, so this was not a consequence of the initial wealth of the lottery winner.</w:t>
      </w:r>
    </w:p>
  </w:footnote>
  <w:footnote w:id="35">
    <w:p w14:paraId="3F3FC5F9" w14:textId="0582612F" w:rsidR="006E0ED6" w:rsidRPr="00BB7330" w:rsidRDefault="006E0ED6" w:rsidP="006E0ED6">
      <w:pPr>
        <w:pStyle w:val="FootnoteText"/>
        <w:rPr>
          <w:spacing w:val="-2"/>
        </w:rPr>
      </w:pPr>
      <w:r w:rsidRPr="0059379B">
        <w:rPr>
          <w:rStyle w:val="FootnoteReference"/>
        </w:rPr>
        <w:footnoteRef/>
      </w:r>
      <w:r w:rsidRPr="00BB7330">
        <w:rPr>
          <w:spacing w:val="-2"/>
        </w:rPr>
        <w:t xml:space="preserve"> The ‘probable’ qualifier is important here, as additional assumptions are necessary to make this claim — namely that differences in the tendency of initially wealthier versus initially poorer lottery recipients to indirectly consume their lottery winnings (by earning less labour income) or differences in returns from invested lottery winnings did not compensate for the findings about direct consumption of lottery winnings. </w:t>
      </w:r>
      <w:r w:rsidRPr="00BB7330">
        <w:rPr>
          <w:spacing w:val="-2"/>
          <w:szCs w:val="24"/>
        </w:rPr>
        <w:t>Fagereng, Holm and Natvik</w:t>
      </w:r>
      <w:r w:rsidRPr="00BB7330">
        <w:rPr>
          <w:spacing w:val="-2"/>
        </w:rPr>
        <w:t> </w:t>
      </w:r>
      <w:r w:rsidRPr="00BB7330">
        <w:rPr>
          <w:spacing w:val="-2"/>
        </w:rPr>
        <w:fldChar w:fldCharType="begin"/>
      </w:r>
      <w:r w:rsidR="0047772E">
        <w:rPr>
          <w:spacing w:val="-2"/>
        </w:rPr>
        <w:instrText xml:space="preserve"> ADDIN ZOTERO_ITEM CSL_CITATION {"citationID":"n4yzVnb6","properties":{"formattedCitation":"(2018)","plainCitation":"(2018)","noteIndex":34},"citationItems":[{"id":3031,"uris":["http://zotero.org/groups/2714158/items/7YGV92A4"],"uri":["http://zotero.org/groups/2714158/items/7YGV92A4"],"itemData":{"id":3031,"type":"report","genre":"CESifo Working Paper","number":"No. 7134","source":"Google Scholar","title":"MPC Heterogeneity and Household Balance Sheets","author":[{"family":"Fagereng","given":"Andreas"},{"family":"Holm","given":"Martin Blomhoff"},{"family":"Natvik","given":"Gisle James James"}],"issued":{"date-parts":[["2018"]]}},"suppress-author":true}],"schema":"https://github.com/citation-style-language/schema/raw/master/csl-citation.json"} </w:instrText>
      </w:r>
      <w:r w:rsidRPr="00BB7330">
        <w:rPr>
          <w:spacing w:val="-2"/>
        </w:rPr>
        <w:fldChar w:fldCharType="separate"/>
      </w:r>
      <w:r w:rsidRPr="00BB7330">
        <w:rPr>
          <w:spacing w:val="-2"/>
        </w:rPr>
        <w:t>(2018)</w:t>
      </w:r>
      <w:r w:rsidRPr="00BB7330">
        <w:rPr>
          <w:spacing w:val="-2"/>
        </w:rPr>
        <w:fldChar w:fldCharType="end"/>
      </w:r>
      <w:r w:rsidRPr="00BB7330">
        <w:rPr>
          <w:spacing w:val="-2"/>
        </w:rPr>
        <w:t xml:space="preserve"> did not study these phenomena.</w:t>
      </w:r>
    </w:p>
  </w:footnote>
  <w:footnote w:id="36">
    <w:p w14:paraId="0C9AC09F" w14:textId="77777777" w:rsidR="006E0ED6" w:rsidRDefault="006E0ED6" w:rsidP="006E0ED6">
      <w:pPr>
        <w:pStyle w:val="FootnoteText"/>
      </w:pPr>
      <w:r>
        <w:rPr>
          <w:rStyle w:val="FootnoteReference"/>
        </w:rPr>
        <w:footnoteRef/>
      </w:r>
      <w:r>
        <w:t xml:space="preserve"> This assumes that the difference between initial wealth and non</w:t>
      </w:r>
      <w:r>
        <w:noBreakHyphen/>
        <w:t>inheritance wealth (discussed at the start of section 2.2) is negligible. This is a discussed further in appendix B.</w:t>
      </w:r>
    </w:p>
  </w:footnote>
  <w:footnote w:id="37">
    <w:p w14:paraId="27DC3B1A" w14:textId="6F3BEA82" w:rsidR="006E0ED6" w:rsidRDefault="006E0ED6" w:rsidP="006E0ED6">
      <w:pPr>
        <w:pStyle w:val="FootnoteText"/>
      </w:pPr>
      <w:r>
        <w:rPr>
          <w:rStyle w:val="FootnoteReference"/>
        </w:rPr>
        <w:footnoteRef/>
      </w:r>
      <w:r>
        <w:t xml:space="preserve"> In 2018, the Commission concluded that intergenerational income persistence in Australia is about average among OECD countries </w:t>
      </w:r>
      <w:r>
        <w:fldChar w:fldCharType="begin"/>
      </w:r>
      <w:r w:rsidR="0047772E">
        <w:instrText xml:space="preserve"> ADDIN ZOTERO_ITEM CSL_CITATION {"citationID":"hSvjFVvH","properties":{"formattedCitation":"(PC\\uc0\\u160{}2018a, p.\\uc0\\u160{}93)","plainCitation":"(PC 2018a, p. 93)","noteIndex":36},"citationItems":[{"id":2793,"uris":["http://zotero.org/groups/164861/items/7NVJM2JN"],"uri":["http://zotero.org/groups/164861/items/7NVJM2JN"],"itemData":{"id":2793,"type":"report","event-place":"Canberra","genre":"Commission Research Paper","publisher-place":"Canberra","title":"Rising inequality? A stocktake of the evidence","author":[{"family":"Productivity Commission","given":""}],"translator":[{"family":"PC","given":""}],"issued":{"date-parts":[["2018"]]}},"locator":"93"}],"schema":"https://github.com/citation-style-language/schema/raw/master/csl-citation.json"} </w:instrText>
      </w:r>
      <w:r>
        <w:fldChar w:fldCharType="separate"/>
      </w:r>
      <w:r w:rsidR="007A60F8" w:rsidRPr="007A60F8">
        <w:rPr>
          <w:rFonts w:ascii="Arial" w:hAnsi="Arial" w:cs="Arial"/>
          <w:szCs w:val="24"/>
        </w:rPr>
        <w:t>(PC 2018a, p. 93)</w:t>
      </w:r>
      <w:r>
        <w:fldChar w:fldCharType="end"/>
      </w:r>
      <w:r>
        <w:t xml:space="preserve">. However, subsequent research drawing on a much larger dataset (administrative records of individual tax returns, rather than the HILDA survey) has revealed intergenerational income persistence in Australia to be substantially lower than previously thought </w:t>
      </w:r>
      <w:r>
        <w:fldChar w:fldCharType="begin"/>
      </w:r>
      <w:r w:rsidR="0047772E">
        <w:instrText xml:space="preserve"> ADDIN ZOTERO_ITEM CSL_CITATION {"citationID":"e22sBU78","properties":{"formattedCitation":"(Deutscher and Mazumder\\uc0\\u160{}2020)","plainCitation":"(Deutscher and Mazumder 2020)","noteIndex":36},"citationItems":[{"id":3012,"uris":["http://zotero.org/groups/2714158/items/AENBNMAI"],"uri":["http://zotero.org/groups/2714158/items/AENBNMAI"],"itemData":{"id":3012,"type":"article-journal","container-title":"Labour Economics","page":"101861","source":"Google Scholar","title":"Intergenerational mobility across Australia and the stability of regional estimates","volume":"66","author":[{"family":"Deutscher","given":"Nathan"},{"family":"Mazumder","given":"Bhashkar"}],"issued":{"date-parts":[["2020"]]}}}],"schema":"https://github.com/citation-style-language/schema/raw/master/csl-citation.json"} </w:instrText>
      </w:r>
      <w:r>
        <w:fldChar w:fldCharType="separate"/>
      </w:r>
      <w:r w:rsidRPr="00994A67">
        <w:rPr>
          <w:szCs w:val="24"/>
        </w:rPr>
        <w:t>(Deutscher and Mazumder 2020)</w:t>
      </w:r>
      <w:r>
        <w:fldChar w:fldCharType="end"/>
      </w:r>
      <w:r>
        <w:t>.</w:t>
      </w:r>
    </w:p>
  </w:footnote>
  <w:footnote w:id="38">
    <w:p w14:paraId="46D415C8" w14:textId="77777777" w:rsidR="006E0ED6" w:rsidRDefault="006E0ED6" w:rsidP="006E0ED6">
      <w:pPr>
        <w:pStyle w:val="FootnoteText"/>
      </w:pPr>
      <w:r>
        <w:rPr>
          <w:rStyle w:val="FootnoteReference"/>
        </w:rPr>
        <w:footnoteRef/>
      </w:r>
      <w:r>
        <w:t xml:space="preserve"> While section 2.2 found that inheritances were, on average, not depleted, inheritances were depleted among the subset of inheritance recipients considered here. The inheritance recipients considered here are older than the average recipient, and older recipients tended to deplete their inheritances.</w:t>
      </w:r>
    </w:p>
  </w:footnote>
  <w:footnote w:id="39">
    <w:p w14:paraId="5154827B" w14:textId="5FB34B51" w:rsidR="006E0ED6" w:rsidRDefault="006E0ED6" w:rsidP="006E0ED6">
      <w:pPr>
        <w:pStyle w:val="FootnoteText"/>
      </w:pPr>
      <w:r w:rsidRPr="0059379B">
        <w:rPr>
          <w:rStyle w:val="FootnoteReference"/>
        </w:rPr>
        <w:footnoteRef/>
      </w:r>
      <w:r>
        <w:t xml:space="preserve"> </w:t>
      </w:r>
      <w:r w:rsidRPr="004E510E">
        <w:t>Adermon, Lindahl and Waldenström</w:t>
      </w:r>
      <w:r w:rsidRPr="007D1B2F">
        <w:t xml:space="preserve"> </w:t>
      </w:r>
      <w:r w:rsidRPr="00BC768B">
        <w:fldChar w:fldCharType="begin"/>
      </w:r>
      <w:r w:rsidR="0047772E">
        <w:instrText xml:space="preserve"> ADDIN ZOTERO_ITEM CSL_CITATION {"citationID":"9mFawgzF","properties":{"formattedCitation":"(2018, p.\\uc0\\u160{}30)","plainCitation":"(2018, p. 30)","noteIndex":38},"citationItems":[{"id":1556,"uris":["http://zotero.org/groups/2714158/items/DWJGFPIU"],"uri":["http://zotero.org/groups/2714158/items/DWJGFPIU"],"itemData":{"id":1556,"type":"article-journal","container-title":"The Economic Journal","issue":"612","page":"F482–F513","source":"Google Scholar","title":"Intergenerational wealth mobility and the role of inheritance: Evidence from multiple generations","title-short":"Intergenerational wealth mobility and the role of inheritance","volume":"128","author":[{"family":"Adermon","given":"Adrian"},{"family":"Lindahl","given":"Mikael"},{"family":"Waldenström","given":"Daniel"}],"issued":{"date-parts":[["2018"]]}},"locator":"30","suppress-author":true}],"schema":"https://github.com/citation-style-language/schema/raw/master/csl-citation.json"} </w:instrText>
      </w:r>
      <w:r w:rsidRPr="00BC768B">
        <w:fldChar w:fldCharType="separate"/>
      </w:r>
      <w:r w:rsidRPr="000467D0">
        <w:rPr>
          <w:szCs w:val="24"/>
        </w:rPr>
        <w:t>(2018, p. 30)</w:t>
      </w:r>
      <w:r w:rsidRPr="00BC768B">
        <w:fldChar w:fldCharType="end"/>
      </w:r>
      <w:r>
        <w:t xml:space="preserve"> also use another method to attribute IWP to inheritances which suggests that 70–90 per cent of IWP is attributable to inheritances. However, these estimates rely on an implied finding that Swedes are ‘net investors’, which is contradicted by the evidence presented in section 2.2.</w:t>
      </w:r>
    </w:p>
  </w:footnote>
  <w:footnote w:id="40">
    <w:p w14:paraId="321E86F2" w14:textId="77777777" w:rsidR="006E0ED6" w:rsidRDefault="006E0ED6" w:rsidP="006E0ED6">
      <w:pPr>
        <w:pStyle w:val="FootnoteText"/>
      </w:pPr>
      <w:r w:rsidRPr="003A46E1">
        <w:rPr>
          <w:rStyle w:val="FootnoteReference"/>
        </w:rPr>
        <w:footnoteRef/>
      </w:r>
      <w:bookmarkStart w:id="23" w:name="_Hlk83222619"/>
      <w:r>
        <w:t xml:space="preserve"> ‘Wealth transfers’ in this report refer to intergenerational inheritances and inter vivos gifts (or simply ‘gifts’ henceforth).</w:t>
      </w:r>
      <w:bookmarkEnd w:id="23"/>
    </w:p>
  </w:footnote>
  <w:footnote w:id="41">
    <w:p w14:paraId="582BB8B8" w14:textId="77777777" w:rsidR="006E0ED6" w:rsidRDefault="006E0ED6" w:rsidP="006E0ED6">
      <w:pPr>
        <w:pStyle w:val="FootnoteText"/>
      </w:pPr>
      <w:r w:rsidRPr="003A46E1">
        <w:rPr>
          <w:rStyle w:val="FootnoteReference"/>
        </w:rPr>
        <w:footnoteRef/>
      </w:r>
      <w:r>
        <w:t xml:space="preserve"> The Gini coefficient typically takes a value from 0 to 100 (on a 100-point scale). A value of 0 indicates perfect equality (all people have equal wealth) and a value of 100 indicates perfect inequality (one person has all the wealth). The smaller the value, the more equal the distribution.</w:t>
      </w:r>
    </w:p>
  </w:footnote>
  <w:footnote w:id="42">
    <w:p w14:paraId="205A5DA3" w14:textId="77777777" w:rsidR="006E0ED6" w:rsidRDefault="006E0ED6" w:rsidP="006E0ED6">
      <w:pPr>
        <w:pStyle w:val="FootnoteText"/>
      </w:pPr>
      <w:r w:rsidRPr="0059379B">
        <w:rPr>
          <w:rStyle w:val="FootnoteReference"/>
        </w:rPr>
        <w:footnoteRef/>
      </w:r>
      <w:r>
        <w:t xml:space="preserve"> The only condition is that intergenerational wealth mobility is less than perfect (that is, the wealth of children is not perfectly correlated with the wealth of their parents). </w:t>
      </w:r>
    </w:p>
  </w:footnote>
  <w:footnote w:id="43">
    <w:p w14:paraId="45C6F42E" w14:textId="29148F47" w:rsidR="006E0ED6" w:rsidRDefault="006E0ED6" w:rsidP="006E0ED6">
      <w:pPr>
        <w:pStyle w:val="FootnoteText"/>
      </w:pPr>
      <w:r w:rsidRPr="003A46E1">
        <w:rPr>
          <w:rStyle w:val="FootnoteReference"/>
        </w:rPr>
        <w:footnoteRef/>
      </w:r>
      <w:r>
        <w:t xml:space="preserve"> </w:t>
      </w:r>
      <w:r w:rsidRPr="008A40EB">
        <w:t xml:space="preserve">Nekoei and Seim </w:t>
      </w:r>
      <w:r w:rsidRPr="008A40EB">
        <w:fldChar w:fldCharType="begin"/>
      </w:r>
      <w:r w:rsidR="0047772E">
        <w:instrText xml:space="preserve"> ADDIN ZOTERO_ITEM CSL_CITATION {"citationID":"FR1svwCs","properties":{"formattedCitation":"(2019, pp.\\uc0\\u160{}22\\uc0\\u8211{}23)","plainCitation":"(2019, pp. 22–23)","noteIndex":42},"citationItems":[{"id":1593,"uris":["http://zotero.org/groups/2714158/items/87CG2KPS"],"uri":["http://zotero.org/groups/2714158/items/87CG2KPS"],"itemData":{"id":1593,"type":"report","number":"Discussion Paper DP13199","publisher":"Centre for Economic Policy Research","title":"How Do Inheritances Shape Wealth Inequality? Theory and Evidence from Sweden","author":[{"family":"Nekoei","given":"Arash"},{"family":"Seim","given":"David"}],"accessed":{"date-parts":[["2021",1,15]]},"issued":{"date-parts":[["2019"]]}},"locator":"22-23","suppress-author":true}],"schema":"https://github.com/citation-style-language/schema/raw/master/csl-citation.json"} </w:instrText>
      </w:r>
      <w:r w:rsidRPr="008A40EB">
        <w:fldChar w:fldCharType="separate"/>
      </w:r>
      <w:r w:rsidRPr="008A40EB">
        <w:t>(2019, pp. 22–23)</w:t>
      </w:r>
      <w:r w:rsidRPr="008A40EB">
        <w:fldChar w:fldCharType="end"/>
      </w:r>
      <w:r w:rsidRPr="008A40EB">
        <w:t xml:space="preserve"> considered the effect of inheritance taxation, and found that both proportional and progressive taxes tended to initially increase relative wealth inequality, but redistributing the tax revenue then reduced wealth inequality. The OECD </w:t>
      </w:r>
      <w:r w:rsidRPr="008A40EB">
        <w:fldChar w:fldCharType="begin"/>
      </w:r>
      <w:r w:rsidR="0047772E">
        <w:instrText xml:space="preserve"> ADDIN ZOTERO_ITEM CSL_CITATION {"citationID":"FCkmH32V","properties":{"formattedCitation":"(2020, p.\\uc0\\u160{}32)","plainCitation":"(2020, p. 32)","noteIndex":42},"citationItems":[{"id":1575,"uris":["http://zotero.org/groups/2714158/items/C27I5VGR"],"uri":["http://zotero.org/groups/2714158/items/C27I5VGR"],"itemData":{"id":1575,"type":"report","genre":"Working Party No.2 on Tax Policy Analysis and Tax Statistics","title":"Inheritance Taxation in OECD Countries","author":[{"family":"Organisation for Economic Co-operation and Development","given":""}],"translator":[{"family":"OECD","given":""}],"issued":{"date-parts":[["2020"]]}},"locator":"32","suppress-author":true}],"schema":"https://github.com/citation-style-language/schema/raw/master/csl-citation.json"} </w:instrText>
      </w:r>
      <w:r w:rsidRPr="008A40EB">
        <w:fldChar w:fldCharType="separate"/>
      </w:r>
      <w:r w:rsidRPr="008A40EB">
        <w:t>(2020, p. 32)</w:t>
      </w:r>
      <w:r w:rsidRPr="008A40EB">
        <w:fldChar w:fldCharType="end"/>
      </w:r>
      <w:r w:rsidRPr="008A40EB">
        <w:t xml:space="preserve"> stated that the overall effect of inheritance taxes, including the redistribution of tax revenue, was more likely to be equalising. This was likely to be particularly so in the long term due to work, leisure and saving subsequently changing in ways that reduce wealth inequality. </w:t>
      </w:r>
    </w:p>
  </w:footnote>
  <w:footnote w:id="44">
    <w:p w14:paraId="7C926ADD" w14:textId="77777777" w:rsidR="006E0ED6" w:rsidRDefault="006E0ED6" w:rsidP="006E0ED6">
      <w:pPr>
        <w:pStyle w:val="FootnoteText"/>
      </w:pPr>
      <w:r w:rsidRPr="003A46E1">
        <w:rPr>
          <w:rStyle w:val="FootnoteReference"/>
        </w:rPr>
        <w:footnoteRef/>
      </w:r>
      <w:r>
        <w:t xml:space="preserve"> Estimated cumulative income is net income earned in the 32 years of the model projection for the 2050 cohort, used as a proxy for lifetime income. The cumulative income of people aged 62–66 years in 2050, for example, is applied to people aged 62–66 in earlier years for comparing the relative size of inheritances. Cumulative income is limited to the 32 years of the projection as income is not projected in the model before or after this period. Average estimated cumulative income for the 62–66 year age group over the 32 years is $1.7 million, or about $54 000 per year.</w:t>
      </w:r>
    </w:p>
  </w:footnote>
  <w:footnote w:id="45">
    <w:p w14:paraId="0F296AAC" w14:textId="2B109F2A" w:rsidR="00767353" w:rsidRDefault="00767353" w:rsidP="00767353">
      <w:pPr>
        <w:pStyle w:val="FootnoteText"/>
      </w:pPr>
      <w:r w:rsidRPr="00E0656E">
        <w:rPr>
          <w:rStyle w:val="FootnoteReference"/>
        </w:rPr>
        <w:footnoteRef/>
      </w:r>
      <w:r>
        <w:t xml:space="preserve"> For some younger sample members living in a university residential college or boarding school, the weight from the year when they left the non</w:t>
      </w:r>
      <w:r w:rsidR="00237843">
        <w:noBreakHyphen/>
      </w:r>
      <w:r>
        <w:t>private dwelling was used as a proxy.</w:t>
      </w:r>
    </w:p>
  </w:footnote>
  <w:footnote w:id="46">
    <w:p w14:paraId="42EE07E0" w14:textId="104A17FE" w:rsidR="00767353" w:rsidRDefault="00767353" w:rsidP="00767353">
      <w:pPr>
        <w:pStyle w:val="FootnoteText"/>
      </w:pPr>
      <w:r w:rsidRPr="00E0656E">
        <w:rPr>
          <w:rStyle w:val="FootnoteReference"/>
        </w:rPr>
        <w:footnoteRef/>
      </w:r>
      <w:r>
        <w:t xml:space="preserve"> This is a proxy for ongoing aged care fees, which apply to both those who do not fund their accommodation using a RAD and those who do (in which case it may be drawn from their RAD) </w:t>
      </w:r>
      <w:r>
        <w:fldChar w:fldCharType="begin"/>
      </w:r>
      <w:r w:rsidR="0047772E">
        <w:instrText xml:space="preserve"> ADDIN ZOTERO_ITEM CSL_CITATION {"citationID":"8VKJVdy3","properties":{"formattedCitation":"(Cutler et al.\\uc0\\u160{}2021, p.\\uc0\\u160{}12)","plainCitation":"(Cutler et al. 2021, p. 12)","noteIndex":45},"citationItems":[{"id":1782,"uris":["http://zotero.org/groups/2714158/items/DVMMR6N2"],"uri":["http://zotero.org/groups/2714158/items/DVMMR6N2"],"itemData":{"id":1782,"type":"report","publisher":"Macquarie University","title":"The role of refundable accommodation deposits","author":[{"family":"Cutler","given":"Henry"},{"family":"Gu","given":"Yuanyuan"},{"family":"Gu","given":"Megan"},{"family":"Aghdaee","given":"Mona"},{"family":"Hasan","given":"Mostafa"},{"family":"Shen","given":"Carl"}],"accessed":{"date-parts":[["2021",3,25]]},"issued":{"date-parts":[["2021",3,24]]}},"locator":"12"}],"schema":"https://github.com/citation-style-language/schema/raw/master/csl-citation.json"} </w:instrText>
      </w:r>
      <w:r>
        <w:fldChar w:fldCharType="separate"/>
      </w:r>
      <w:r w:rsidRPr="007D62F8">
        <w:rPr>
          <w:szCs w:val="24"/>
        </w:rPr>
        <w:t>(Cutler et al. 2021, p. 12)</w:t>
      </w:r>
      <w:r>
        <w:fldChar w:fldCharType="end"/>
      </w:r>
      <w:r>
        <w:t>. These may also reduce wealth, and so it is important to control for them.</w:t>
      </w:r>
    </w:p>
  </w:footnote>
  <w:footnote w:id="47">
    <w:p w14:paraId="40B0E97A" w14:textId="77777777" w:rsidR="00767353" w:rsidRDefault="00767353" w:rsidP="00767353">
      <w:pPr>
        <w:pStyle w:val="FootnoteText"/>
      </w:pPr>
      <w:r w:rsidRPr="00E0656E">
        <w:rPr>
          <w:rStyle w:val="FootnoteReference"/>
        </w:rPr>
        <w:footnoteRef/>
      </w:r>
      <w:r>
        <w:t xml:space="preserve"> This statistic has been weighted to match the distribution of the year that people who moved into aged care in the sample used to estimate the model, to make it as comparable with the estimate </w:t>
      </w:r>
      <m:oMath>
        <m:acc>
          <m:accPr>
            <m:ctrlPr>
              <w:rPr>
                <w:rFonts w:ascii="Cambria Math" w:hAnsi="Cambria Math"/>
                <w:i/>
                <w:iCs/>
                <w:sz w:val="24"/>
              </w:rPr>
            </m:ctrlPr>
          </m:accPr>
          <m:e>
            <m:sSub>
              <m:sSubPr>
                <m:ctrlPr>
                  <w:rPr>
                    <w:rFonts w:ascii="Cambria Math" w:hAnsi="Cambria Math"/>
                    <w:i/>
                    <w:iCs/>
                  </w:rPr>
                </m:ctrlPr>
              </m:sSubPr>
              <m:e>
                <m:r>
                  <w:rPr>
                    <w:rFonts w:ascii="Cambria Math" w:hAnsi="Cambria Math"/>
                  </w:rPr>
                  <m:t>β</m:t>
                </m:r>
              </m:e>
              <m:sub>
                <m:r>
                  <w:rPr>
                    <w:rFonts w:ascii="Cambria Math" w:hAnsi="Cambria Math"/>
                  </w:rPr>
                  <m:t>1</m:t>
                </m:r>
              </m:sub>
            </m:sSub>
          </m:e>
        </m:acc>
      </m:oMath>
      <w:r w:rsidRPr="00A877CC">
        <w:t xml:space="preserve"> as possible.</w:t>
      </w:r>
    </w:p>
  </w:footnote>
  <w:footnote w:id="48">
    <w:p w14:paraId="5DF9C3A3" w14:textId="7B68AED2" w:rsidR="00767353" w:rsidRDefault="00767353" w:rsidP="00767353">
      <w:pPr>
        <w:pStyle w:val="FootnoteText"/>
      </w:pPr>
      <w:r w:rsidRPr="00E0656E">
        <w:rPr>
          <w:rStyle w:val="FootnoteReference"/>
        </w:rPr>
        <w:footnoteRef/>
      </w:r>
      <w:r>
        <w:t xml:space="preserve"> The $66</w:t>
      </w:r>
      <w:r w:rsidR="00B34E41">
        <w:t> </w:t>
      </w:r>
      <w:r>
        <w:t>billion consists of $29</w:t>
      </w:r>
      <w:r w:rsidR="00B34E41">
        <w:t> </w:t>
      </w:r>
      <w:r>
        <w:t>billion worth of RADs and $37</w:t>
      </w:r>
      <w:r w:rsidR="00B34E41">
        <w:t> </w:t>
      </w:r>
      <w:r>
        <w:t>billion of wealth held by aged care residents that was previously excluded from aggregate household wealth because aged residents were assigned a zero weight.</w:t>
      </w:r>
    </w:p>
  </w:footnote>
  <w:footnote w:id="49">
    <w:p w14:paraId="51D327A5" w14:textId="41C5D973" w:rsidR="00767353" w:rsidRDefault="00767353" w:rsidP="00767353">
      <w:pPr>
        <w:pStyle w:val="FootnoteText"/>
      </w:pPr>
      <w:r w:rsidRPr="00E0656E">
        <w:rPr>
          <w:rStyle w:val="FootnoteReference"/>
        </w:rPr>
        <w:footnoteRef/>
      </w:r>
      <w:r>
        <w:t xml:space="preserve"> Baker </w:t>
      </w:r>
      <w:r>
        <w:fldChar w:fldCharType="begin"/>
      </w:r>
      <w:r w:rsidR="0047772E">
        <w:instrText xml:space="preserve"> ADDIN ZOTERO_ITEM CSL_CITATION {"citationID":"DqEMKf6v","properties":{"formattedCitation":"(2014)","plainCitation":"(2014)","noteIndex":48},"citationItems":[{"id":1588,"uris":["http://zotero.org/groups/2714158/items/4BCZGUEK"],"uri":["http://zotero.org/groups/2714158/items/4BCZGUEK"],"itemData":{"id":1588,"type":"report","event-place":"Melbourne","publisher":"Asia-Pacific Centre for Social Investment and Philanthropy, Swinburne University of Technology","publisher-place":"Melbourne","title":"Encouraging Charitable Bequests by Australians","URL":"https://www.swinburne.edu.au/media/swinburneeduau/research/research-centres/csis/documents/Encouraging-Charitable-Gifts-by-Australians-Baker.pdf","author":[{"family":"Baker","given":"C."}],"accessed":{"date-parts":[["2021",1,19]]},"issued":{"date-parts":[["2014",2]]}},"suppress-author":true}],"schema":"https://github.com/citation-style-language/schema/raw/master/csl-citation.json"} </w:instrText>
      </w:r>
      <w:r>
        <w:fldChar w:fldCharType="separate"/>
      </w:r>
      <w:r w:rsidRPr="001C20A1">
        <w:t>(2014)</w:t>
      </w:r>
      <w:r>
        <w:fldChar w:fldCharType="end"/>
      </w:r>
      <w:r>
        <w:t xml:space="preserve"> found that about 2 per cent of estates are left to charity.</w:t>
      </w:r>
    </w:p>
  </w:footnote>
  <w:footnote w:id="50">
    <w:p w14:paraId="2CA4C035" w14:textId="77777777" w:rsidR="00767353" w:rsidRDefault="00767353" w:rsidP="00767353">
      <w:pPr>
        <w:pStyle w:val="FootnoteText"/>
      </w:pPr>
      <w:r w:rsidRPr="00E0656E">
        <w:rPr>
          <w:rStyle w:val="FootnoteReference"/>
        </w:rPr>
        <w:footnoteRef/>
      </w:r>
      <w:r>
        <w:t xml:space="preserve"> For unincorporated businesses, there is no distinction made by the HILDA survey between dividends from owning the business and wage/salary income earned by working for the business.</w:t>
      </w:r>
    </w:p>
  </w:footnote>
  <w:footnote w:id="51">
    <w:p w14:paraId="476E6DDF" w14:textId="77777777" w:rsidR="00767353" w:rsidRDefault="00767353" w:rsidP="00767353">
      <w:pPr>
        <w:pStyle w:val="FootnoteText"/>
      </w:pPr>
      <w:r w:rsidRPr="00E0656E">
        <w:rPr>
          <w:rStyle w:val="FootnoteReference"/>
        </w:rPr>
        <w:footnoteRef/>
      </w:r>
      <w:r>
        <w:t xml:space="preserve"> The regression that was limited to members of couples found a statistically significant effect. People who died had, on average, $216 000 less wealth.</w:t>
      </w:r>
    </w:p>
  </w:footnote>
  <w:footnote w:id="52">
    <w:p w14:paraId="7279DBD3" w14:textId="2025337C" w:rsidR="00767353" w:rsidRDefault="00767353" w:rsidP="00767353">
      <w:pPr>
        <w:pStyle w:val="FootnoteText"/>
      </w:pPr>
      <w:r w:rsidRPr="005421CE">
        <w:rPr>
          <w:rStyle w:val="FootnoteReference"/>
        </w:rPr>
        <w:footnoteRef/>
      </w:r>
      <w:r>
        <w:t xml:space="preserve"> It is not uncommon for studies of intergenerational persistence in variables other than wealth to use creative methods to overcome data shortfalls. Prior to 2018, the only published estimates of intergenerational income persistence for Australia relied on imputing fathers’ income based on their occupation </w:t>
      </w:r>
      <w:r>
        <w:fldChar w:fldCharType="begin"/>
      </w:r>
      <w:r w:rsidR="0047772E">
        <w:instrText xml:space="preserve"> ADDIN ZOTERO_ITEM CSL_CITATION {"citationID":"B4ypeOFS","properties":{"formattedCitation":"(Murray et al.\\uc0\\u160{}2018)","plainCitation":"(Murray et al. 2018)","noteIndex":51},"citationItems":[{"id":1558,"uris":["http://zotero.org/groups/2714158/items/LHVMN2HB"],"uri":["http://zotero.org/groups/2714158/items/LHVMN2HB"],"itemData":{"id":1558,"type":"article-journal","container-title":"Economic Record","issue":"307","page":"445–468","source":"Google Scholar","title":"Direct measures of intergenerational income mobility for Australia","volume":"94","author":[{"family":"Murray","given":"Chelsea"},{"family":"Clark","given":"Robert Graham"},{"family":"Mendolia","given":"Silvia"},{"family":"Siminski","given":"Peter"}],"issued":{"date-parts":[["2018"]]}}}],"schema":"https://github.com/citation-style-language/schema/raw/master/csl-citation.json"} </w:instrText>
      </w:r>
      <w:r>
        <w:fldChar w:fldCharType="separate"/>
      </w:r>
      <w:r w:rsidRPr="00B00EED">
        <w:rPr>
          <w:szCs w:val="24"/>
        </w:rPr>
        <w:t>(Murray et al. 2018)</w:t>
      </w:r>
      <w:r>
        <w:fldChar w:fldCharType="end"/>
      </w:r>
      <w:r>
        <w:t xml:space="preserve">. And a recent study of intergenerational persistence in occupation status in Australia from 1870 to 2017 linked parents and children across generations by identifying families with rare surnames in Census records </w:t>
      </w:r>
      <w:r>
        <w:fldChar w:fldCharType="begin"/>
      </w:r>
      <w:r w:rsidR="0047772E">
        <w:instrText xml:space="preserve"> ADDIN ZOTERO_ITEM CSL_CITATION {"citationID":"c4OQgil9","properties":{"formattedCitation":"(Clark, Leigh and Pottenger\\uc0\\u160{}2020)","plainCitation":"(Clark, Leigh and Pottenger 2020)","noteIndex":51},"citationItems":[{"id":3015,"uris":["http://zotero.org/groups/2714158/items/RV562MGN"],"uri":["http://zotero.org/groups/2714158/items/RV562MGN"],"itemData":{"id":3015,"type":"article-journal","container-title":"Explorations in Economic History","note":"publisher: Elsevier","page":"101327","source":"Google Scholar","title":"Frontiers of mobility: Was Australia 1870–2017 a more socially mobile society than England?","title-short":"Frontiers of mobility","volume":"76","author":[{"family":"Clark","given":"Gregory"},{"family":"Leigh","given":"Andrew"},{"family":"Pottenger","given":"Mike"}],"issued":{"date-parts":[["2020"]]}}}],"schema":"https://github.com/citation-style-language/schema/raw/master/csl-citation.json"} </w:instrText>
      </w:r>
      <w:r>
        <w:fldChar w:fldCharType="separate"/>
      </w:r>
      <w:r w:rsidRPr="00510F5B">
        <w:rPr>
          <w:szCs w:val="24"/>
        </w:rPr>
        <w:t>(Clark, Leigh and Pottenger 2020)</w:t>
      </w:r>
      <w:r>
        <w:fldChar w:fldCharType="end"/>
      </w:r>
      <w:r>
        <w:t>.</w:t>
      </w:r>
    </w:p>
  </w:footnote>
  <w:footnote w:id="53">
    <w:p w14:paraId="47F3295C" w14:textId="55B2BB1A" w:rsidR="00767353" w:rsidRDefault="00767353" w:rsidP="00767353">
      <w:pPr>
        <w:pStyle w:val="FootnoteText"/>
      </w:pPr>
      <w:r w:rsidRPr="005421CE">
        <w:rPr>
          <w:rStyle w:val="FootnoteReference"/>
        </w:rPr>
        <w:footnoteRef/>
      </w:r>
      <w:r>
        <w:t xml:space="preserve"> Murray et al. </w:t>
      </w:r>
      <w:r>
        <w:fldChar w:fldCharType="begin"/>
      </w:r>
      <w:r w:rsidR="0047772E">
        <w:instrText xml:space="preserve"> ADDIN ZOTERO_ITEM CSL_CITATION {"citationID":"xbhl4jaB","properties":{"formattedCitation":"(2018)","plainCitation":"(2018)","noteIndex":52},"citationItems":[{"id":1558,"uris":["http://zotero.org/groups/2714158/items/LHVMN2HB"],"uri":["http://zotero.org/groups/2714158/items/LHVMN2HB"],"itemData":{"id":1558,"type":"article-journal","container-title":"Economic Record","issue":"307","page":"445–468","source":"Google Scholar","title":"Direct measures of intergenerational income mobility for Australia","volume":"94","author":[{"family":"Murray","given":"Chelsea"},{"family":"Clark","given":"Robert Graham"},{"family":"Mendolia","given":"Silvia"},{"family":"Siminski","given":"Peter"}],"issued":{"date-parts":[["2018"]]}},"suppress-author":true}],"schema":"https://github.com/citation-style-language/schema/raw/master/csl-citation.json"} </w:instrText>
      </w:r>
      <w:r>
        <w:fldChar w:fldCharType="separate"/>
      </w:r>
      <w:r w:rsidRPr="00DB52DA">
        <w:t>(2018)</w:t>
      </w:r>
      <w:r>
        <w:fldChar w:fldCharType="end"/>
      </w:r>
      <w:r>
        <w:t xml:space="preserve"> and Siminski and Yu </w:t>
      </w:r>
      <w:r>
        <w:fldChar w:fldCharType="begin"/>
      </w:r>
      <w:r w:rsidR="0047772E">
        <w:instrText xml:space="preserve"> ADDIN ZOTERO_ITEM CSL_CITATION {"citationID":"Dissj6WI","properties":{"formattedCitation":"(2021)","plainCitation":"(2021)","noteIndex":52},"citationItems":[{"id":3149,"uris":["http://zotero.org/groups/2714158/items/XZZV9CNS"],"uri":["http://zotero.org/groups/2714158/items/XZZV9CNS"],"itemData":{"id":3149,"type":"report","publisher":"IZA Discussion Paper","title":"The Correlation of Wealth Between Parents and Children in Australia","author":[{"family":"Siminski","given":"Peter"},{"family":"Yu","given":"Sin Hung"}],"issued":{"date-parts":[["2021"]]}},"suppress-author":true}],"schema":"https://github.com/citation-style-language/schema/raw/master/csl-citation.json"} </w:instrText>
      </w:r>
      <w:r>
        <w:fldChar w:fldCharType="separate"/>
      </w:r>
      <w:r w:rsidRPr="00DB52DA">
        <w:t>(2021)</w:t>
      </w:r>
      <w:r>
        <w:fldChar w:fldCharType="end"/>
      </w:r>
      <w:r>
        <w:t xml:space="preserve"> each use this approach to measure intergenerational income persistence and IWP, respectively.</w:t>
      </w:r>
    </w:p>
  </w:footnote>
  <w:footnote w:id="54">
    <w:p w14:paraId="56868410" w14:textId="77777777" w:rsidR="00767353" w:rsidRDefault="00767353" w:rsidP="00767353">
      <w:pPr>
        <w:pStyle w:val="FootnoteText"/>
      </w:pPr>
      <w:r>
        <w:rPr>
          <w:rStyle w:val="FootnoteReference"/>
        </w:rPr>
        <w:footnoteRef/>
      </w:r>
      <w:r>
        <w:t xml:space="preserve"> Widening the age cohort would increase the sample size for analysis, but at the cost of a less representative cohort. For example, if 40 year olds (in 2018) were to be included, the analysis would be almost completely unrepresentative of 40 year olds as such a low share had their second parent die between 2001 and 2017.</w:t>
      </w:r>
    </w:p>
  </w:footnote>
  <w:footnote w:id="55">
    <w:p w14:paraId="01854B42" w14:textId="75A411BA" w:rsidR="00767353" w:rsidRDefault="00767353" w:rsidP="00767353">
      <w:pPr>
        <w:pStyle w:val="FootnoteText"/>
      </w:pPr>
      <w:r w:rsidRPr="005421CE">
        <w:rPr>
          <w:rStyle w:val="FootnoteReference"/>
        </w:rPr>
        <w:footnoteRef/>
      </w:r>
      <w:r>
        <w:t xml:space="preserve"> The model shown in table B.1 predicts that nearly 30 per cent of parents died with negative wealth — far higher than reality (1</w:t>
      </w:r>
      <w:r w:rsidR="00EA23A7">
        <w:t>–</w:t>
      </w:r>
      <w:r>
        <w:t>2 per cent). Hence, the cut-off points that delineate models 2 and 3 in table B.2 are somewhat arbitrary. This does not ultimately matter, as models 4–6 are used to verify the subsequent assumptions.</w:t>
      </w:r>
    </w:p>
  </w:footnote>
  <w:footnote w:id="56">
    <w:p w14:paraId="71A4D699" w14:textId="77777777" w:rsidR="00767353" w:rsidRDefault="00767353" w:rsidP="00767353">
      <w:pPr>
        <w:pStyle w:val="FootnoteText"/>
      </w:pPr>
      <w:r w:rsidRPr="005421CE">
        <w:rPr>
          <w:rStyle w:val="FootnoteReference"/>
        </w:rPr>
        <w:footnoteRef/>
      </w:r>
      <w:r>
        <w:t xml:space="preserve"> The panel comprises members of the narrow comparison group who were either interviewed in every wave where wealth was measured (waves 2, 6, 10, 14 and 18) or were not interviewed in one or more waves due to death or travel abroad (</w:t>
      </w:r>
      <m:oMath>
        <m:r>
          <w:rPr>
            <w:rFonts w:ascii="Cambria Math" w:hAnsi="Cambria Math"/>
          </w:rPr>
          <m:t>n=320</m:t>
        </m:r>
      </m:oMath>
      <w:r>
        <w:t>). Hence, there ought to be no issues of survivor bias.</w:t>
      </w:r>
    </w:p>
  </w:footnote>
  <w:footnote w:id="57">
    <w:p w14:paraId="5BC9B18E" w14:textId="77777777" w:rsidR="00767353" w:rsidRDefault="00767353" w:rsidP="00767353">
      <w:pPr>
        <w:pStyle w:val="FootnoteText"/>
      </w:pPr>
      <w:r w:rsidRPr="005421CE">
        <w:rPr>
          <w:rStyle w:val="FootnoteReference"/>
        </w:rPr>
        <w:footnoteRef/>
      </w:r>
      <w:r>
        <w:t xml:space="preserve"> Random effects was preferred to fixed effects because the null hypothesis that </w:t>
      </w:r>
      <m:oMath>
        <m:sSub>
          <m:sSubPr>
            <m:ctrlPr>
              <w:rPr>
                <w:rFonts w:ascii="Cambria Math" w:hAnsi="Cambria Math"/>
                <w:i/>
                <w:iCs/>
              </w:rPr>
            </m:ctrlPr>
          </m:sSubPr>
          <m:e>
            <m:r>
              <w:rPr>
                <w:rFonts w:ascii="Cambria Math" w:hAnsi="Cambria Math"/>
              </w:rPr>
              <m:t>μ</m:t>
            </m:r>
          </m:e>
          <m:sub>
            <m:r>
              <w:rPr>
                <w:rFonts w:ascii="Cambria Math" w:hAnsi="Cambria Math"/>
              </w:rPr>
              <m:t>i</m:t>
            </m:r>
          </m:sub>
        </m:sSub>
      </m:oMath>
      <w:r>
        <w:rPr>
          <w:iCs/>
        </w:rPr>
        <w:t xml:space="preserve"> is uncorrelated with all covariates could not be rejected in a robust Hausman test.</w:t>
      </w:r>
    </w:p>
  </w:footnote>
  <w:footnote w:id="58">
    <w:p w14:paraId="63AD7145" w14:textId="77777777" w:rsidR="00767353" w:rsidRDefault="00767353" w:rsidP="00767353">
      <w:pPr>
        <w:pStyle w:val="FootnoteText"/>
      </w:pPr>
      <w:r w:rsidRPr="005421CE">
        <w:rPr>
          <w:rStyle w:val="FootnoteReference"/>
        </w:rPr>
        <w:footnoteRef/>
      </w:r>
      <w:r>
        <w:t xml:space="preserve"> </w:t>
      </w:r>
      <w:r>
        <w:rPr>
          <w:iCs/>
        </w:rPr>
        <w:t>Each of the variables in table B.1 were tested for inclusion in the random effects model but all others were found to be highly statistically insignificant.</w:t>
      </w:r>
    </w:p>
  </w:footnote>
  <w:footnote w:id="59">
    <w:p w14:paraId="0FDF585C" w14:textId="0074239A" w:rsidR="00767353" w:rsidRDefault="00767353" w:rsidP="00767353">
      <w:pPr>
        <w:pStyle w:val="FootnoteText"/>
      </w:pPr>
      <w:r w:rsidRPr="005421CE">
        <w:rPr>
          <w:rStyle w:val="FootnoteReference"/>
        </w:rPr>
        <w:footnoteRef/>
      </w:r>
      <w:r>
        <w:t xml:space="preserve"> Because parent wealth is censored at zero (the imputation process cannot generate a negative wealth estimate), observations corresponding with zero parent wealth are dropped when the model is estimated. This is not expected to bias the results because the censoring is exogenous with respect to child wealth </w:t>
      </w:r>
      <w:r>
        <w:fldChar w:fldCharType="begin"/>
      </w:r>
      <w:r w:rsidR="0047772E">
        <w:instrText xml:space="preserve"> ADDIN ZOTERO_ITEM CSL_CITATION {"citationID":"G6BiCQq7","properties":{"formattedCitation":"(Rigobon and Stoker\\uc0\\u160{}2007)","plainCitation":"(Rigobon and Stoker 2007)","noteIndex":58},"citationItems":[{"id":3190,"uris":["http://zotero.org/groups/2714158/items/WXYCN6WW"],"uri":["http://zotero.org/groups/2714158/items/WXYCN6WW"],"itemData":{"id":3190,"type":"article-journal","container-title":"International Economic Review","issue":"4","note":"publisher: Wiley Online Library","page":"1441–1467","source":"Google Scholar","title":"Estimation with censored regressors: Basic issues","volume":"48","author":[{"family":"Rigobon","given":"Roberto"},{"family":"Stoker","given":"Thomas M."}],"issued":{"date-parts":[["2007"]]}}}],"schema":"https://github.com/citation-style-language/schema/raw/master/csl-citation.json"} </w:instrText>
      </w:r>
      <w:r>
        <w:fldChar w:fldCharType="separate"/>
      </w:r>
      <w:r w:rsidRPr="002F0883">
        <w:rPr>
          <w:szCs w:val="24"/>
        </w:rPr>
        <w:t>(Rigobon and Stoker 2007)</w:t>
      </w:r>
      <w:r>
        <w:fldChar w:fldCharType="end"/>
      </w:r>
      <w:r>
        <w:t>.</w:t>
      </w:r>
    </w:p>
  </w:footnote>
  <w:footnote w:id="60">
    <w:p w14:paraId="064D714E" w14:textId="5E25FEAF" w:rsidR="00767353" w:rsidRDefault="00767353" w:rsidP="00767353">
      <w:pPr>
        <w:pStyle w:val="FootnoteText"/>
      </w:pPr>
      <w:r w:rsidRPr="005421CE">
        <w:rPr>
          <w:rStyle w:val="FootnoteReference"/>
        </w:rPr>
        <w:footnoteRef/>
      </w:r>
      <w:r>
        <w:t xml:space="preserve"> This approach to estimating the share of IWP attributable to inheritances is based on</w:t>
      </w:r>
      <w:r w:rsidRPr="00C43E0F">
        <w:t xml:space="preserve"> Adermon, Lindahl and Waldenström</w:t>
      </w:r>
      <w:r>
        <w:t> </w:t>
      </w:r>
      <w:r>
        <w:fldChar w:fldCharType="begin"/>
      </w:r>
      <w:r w:rsidR="0047772E">
        <w:instrText xml:space="preserve"> ADDIN ZOTERO_ITEM CSL_CITATION {"citationID":"pbzetlqV","properties":{"formattedCitation":"(2018)","plainCitation":"(2018)","noteIndex":59},"citationItems":[{"id":1556,"uris":["http://zotero.org/groups/2714158/items/DWJGFPIU"],"uri":["http://zotero.org/groups/2714158/items/DWJGFPIU"],"itemData":{"id":1556,"type":"article-journal","container-title":"The Economic Journal","issue":"612","page":"F482–F513","source":"Google Scholar","title":"Intergenerational wealth mobility and the role of inheritance: Evidence from multiple generations","title-short":"Intergenerational wealth mobility and the role of inheritance","volume":"128","author":[{"family":"Adermon","given":"Adrian"},{"family":"Lindahl","given":"Mikael"},{"family":"Waldenström","given":"Daniel"}],"issued":{"date-parts":[["2018"]]}},"suppress-author":true}],"schema":"https://github.com/citation-style-language/schema/raw/master/csl-citation.json"} </w:instrText>
      </w:r>
      <w:r>
        <w:fldChar w:fldCharType="separate"/>
      </w:r>
      <w:r w:rsidRPr="0007495C">
        <w:t>(2018)</w:t>
      </w:r>
      <w:r>
        <w:fldChar w:fldCharType="end"/>
      </w:r>
      <w:r>
        <w:t>.</w:t>
      </w:r>
    </w:p>
  </w:footnote>
  <w:footnote w:id="61">
    <w:p w14:paraId="6400736F" w14:textId="77777777" w:rsidR="00767353" w:rsidRDefault="00767353" w:rsidP="00767353">
      <w:pPr>
        <w:pStyle w:val="FootnoteText"/>
      </w:pPr>
      <w:r>
        <w:rPr>
          <w:rStyle w:val="FootnoteReference"/>
        </w:rPr>
        <w:footnoteRef/>
      </w:r>
      <w:r>
        <w:t xml:space="preserve"> This contrasts with the result for the general population of minimal inheritance depletion in real terms (chapter 2), because older recipients deplete larger shares of their inheritances in a given period of time than younger recipients. This may be because older recipients expect to have fewer remaining years of life over which to spread the additional consumption that their inheritance affords them.</w:t>
      </w:r>
    </w:p>
  </w:footnote>
  <w:footnote w:id="62">
    <w:p w14:paraId="005948B6" w14:textId="29FB325A" w:rsidR="00767353" w:rsidRDefault="00767353" w:rsidP="00767353">
      <w:pPr>
        <w:pStyle w:val="FootnoteText"/>
      </w:pPr>
      <w:r w:rsidRPr="005421CE">
        <w:rPr>
          <w:rStyle w:val="FootnoteReference"/>
        </w:rPr>
        <w:footnoteRef/>
      </w:r>
      <w:r>
        <w:t xml:space="preserve"> This Gini coefficient decomposition was discovered by Lerman and Yitzhaki </w:t>
      </w:r>
      <w:r>
        <w:fldChar w:fldCharType="begin"/>
      </w:r>
      <w:r w:rsidR="0047772E">
        <w:instrText xml:space="preserve"> ADDIN ZOTERO_ITEM CSL_CITATION {"citationID":"ir98pTpn","properties":{"formattedCitation":"(1985)","plainCitation":"(1985)","noteIndex":61},"citationItems":[{"id":3187,"uris":["http://zotero.org/groups/2714158/items/LZKAIABA"],"uri":["http://zotero.org/groups/2714158/items/LZKAIABA"],"itemData":{"id":3187,"type":"article-journal","container-title":"The Review of Economics and Statistics","note":"publisher: JSTOR","page":"151–156","source":"Google Scholar","title":"Income inequality effects by income source: A new approach and applications to the United States","title-short":"Income inequality effects by income source","author":[{"family":"Lerman","given":"Robert I."},{"family":"Yitzhaki","given":"Shlomo"}],"issued":{"date-parts":[["1985"]]}},"suppress-author":true}],"schema":"https://github.com/citation-style-language/schema/raw/master/csl-citation.json"} </w:instrText>
      </w:r>
      <w:r>
        <w:fldChar w:fldCharType="separate"/>
      </w:r>
      <w:r w:rsidRPr="005C76A4">
        <w:t>(1985)</w:t>
      </w:r>
      <w:r>
        <w:fldChar w:fldCharType="end"/>
      </w:r>
      <w:r>
        <w:t xml:space="preserve"> and first applied to the context at hand by Nolan et al. </w:t>
      </w:r>
      <w:r>
        <w:fldChar w:fldCharType="begin"/>
      </w:r>
      <w:r w:rsidR="0047772E">
        <w:instrText xml:space="preserve"> ADDIN ZOTERO_ITEM CSL_CITATION {"citationID":"HdDwLF6V","properties":{"formattedCitation":"(2021)","plainCitation":"(2021)","noteIndex":61},"citationItems":[{"id":1564,"uris":["http://zotero.org/groups/2714158/items/HP8ADSW6"],"uri":["http://zotero.org/groups/2714158/items/HP8ADSW6"],"itemData":{"id":1564,"type":"article-journal","container-title":"Economics Letters","page":"109701","source":"Google Scholar","title":"Intergenerational wealth transfers and wealth inequality in rich countries: What do we learn from Gini decomposition?","volume":"199","author":[{"family":"Nolan","given":"Brian"},{"family":"Palomino","given":"Juan C."},{"family":"Van Kerm","given":"Philippe"},{"family":"Morelli","given":"Salvatore"}],"issued":{"date-parts":[["2021"]]}},"suppress-author":true}],"schema":"https://github.com/citation-style-language/schema/raw/master/csl-citation.json"} </w:instrText>
      </w:r>
      <w:r>
        <w:fldChar w:fldCharType="separate"/>
      </w:r>
      <w:r w:rsidRPr="00524333">
        <w:t>(2021)</w:t>
      </w:r>
      <w:r>
        <w:fldChar w:fldCharType="end"/>
      </w:r>
      <w:r>
        <w:t>.</w:t>
      </w:r>
    </w:p>
  </w:footnote>
  <w:footnote w:id="63">
    <w:p w14:paraId="7C472A5B" w14:textId="77777777" w:rsidR="00767353" w:rsidRDefault="00767353" w:rsidP="00767353">
      <w:pPr>
        <w:pStyle w:val="FootnoteText"/>
      </w:pPr>
      <w:r w:rsidRPr="005421CE">
        <w:rPr>
          <w:rStyle w:val="FootnoteReference"/>
        </w:rPr>
        <w:footnoteRef/>
      </w:r>
      <w:r>
        <w:t xml:space="preserve"> To ensure consistency between the 0–3 year and the 4–7 year models, inheritances from 2016–2018 are not used to estimate the 0–3 year model, as they do not contribute to the 4–7 year model. Estimates including this additional tranche of inheritances are included in tables B.9–12 as robustness checks.</w:t>
      </w:r>
    </w:p>
  </w:footnote>
  <w:footnote w:id="64">
    <w:p w14:paraId="5130E6C3" w14:textId="0CC02EC0" w:rsidR="00767353" w:rsidRDefault="00767353" w:rsidP="00767353">
      <w:pPr>
        <w:pStyle w:val="FootnoteText"/>
      </w:pPr>
      <w:r w:rsidRPr="005421CE">
        <w:rPr>
          <w:rStyle w:val="FootnoteReference"/>
        </w:rPr>
        <w:footnoteRef/>
      </w:r>
      <w:r>
        <w:t xml:space="preserve"> Unfortunately, it is likely that </w:t>
      </w:r>
      <w:r w:rsidR="00457F91">
        <w:t xml:space="preserve">some </w:t>
      </w:r>
      <w:r>
        <w:t>people anticipate not only that they will receive an inheritance, but that it will be of a certain size. This may lead to violations of the identifying assumption even with the restrictions we place on our dataset.</w:t>
      </w:r>
    </w:p>
  </w:footnote>
  <w:footnote w:id="65">
    <w:p w14:paraId="5C1198E3" w14:textId="77777777" w:rsidR="00767353" w:rsidRDefault="00767353" w:rsidP="00767353">
      <w:pPr>
        <w:pStyle w:val="FootnoteText"/>
      </w:pPr>
      <w:r>
        <w:rPr>
          <w:rStyle w:val="FootnoteReference"/>
        </w:rPr>
        <w:footnoteRef/>
      </w:r>
      <w:r>
        <w:t xml:space="preserve"> Were </w:t>
      </w:r>
      <m:oMath>
        <m:sSub>
          <m:sSubPr>
            <m:ctrlPr>
              <w:rPr>
                <w:rFonts w:ascii="Cambria Math" w:hAnsi="Cambria Math"/>
                <w:i/>
              </w:rPr>
            </m:ctrlPr>
          </m:sSubPr>
          <m:e>
            <m:r>
              <w:rPr>
                <w:rFonts w:ascii="Cambria Math" w:hAnsi="Cambria Math"/>
              </w:rPr>
              <m:t>Inheritance</m:t>
            </m:r>
          </m:e>
          <m:sub>
            <m:r>
              <w:rPr>
                <w:rFonts w:ascii="Cambria Math" w:hAnsi="Cambria Math"/>
              </w:rPr>
              <m:t>i,[t-y+2, t-y+4]</m:t>
            </m:r>
          </m:sub>
        </m:sSub>
      </m:oMath>
      <w:r>
        <w:t xml:space="preserve"> to also include gifts, however, there would be a strong prospect of such reverse causality. This is why attention is restricted to inheritances. Whether the effects of gifts on wealth accumulation could be estimated by instrumenting gifts with parents’ receipt of inheritances and/or parents reaching the superannuation preservation age was examined, but both instruments were found to be extremely weak (i.e. they induced extremely little variation in parents’ propensity to gift to their children).</w:t>
      </w:r>
    </w:p>
  </w:footnote>
  <w:footnote w:id="66">
    <w:p w14:paraId="2A231256" w14:textId="77777777" w:rsidR="00767353" w:rsidRPr="00E81A66" w:rsidRDefault="00767353" w:rsidP="00767353">
      <w:pPr>
        <w:pStyle w:val="FootnoteText"/>
        <w:rPr>
          <w:spacing w:val="-2"/>
        </w:rPr>
      </w:pPr>
      <w:r w:rsidRPr="0059379B">
        <w:rPr>
          <w:rStyle w:val="FootnoteReference"/>
        </w:rPr>
        <w:footnoteRef/>
      </w:r>
      <w:r w:rsidRPr="00E81A66">
        <w:rPr>
          <w:spacing w:val="-2"/>
        </w:rPr>
        <w:t xml:space="preserve"> ‘Wealth transfers’ in this report refer to intergenerational inheritances and inter vivos gifts (or simply ‘gifts’ from hereon in).</w:t>
      </w:r>
    </w:p>
  </w:footnote>
  <w:footnote w:id="67">
    <w:p w14:paraId="1E8326DD" w14:textId="192C3FD9" w:rsidR="00767353" w:rsidRDefault="00767353" w:rsidP="00767353">
      <w:pPr>
        <w:pStyle w:val="FootnoteText"/>
      </w:pPr>
      <w:r w:rsidRPr="00691E8B">
        <w:rPr>
          <w:rStyle w:val="FootnoteReference"/>
        </w:rPr>
        <w:footnoteRef/>
      </w:r>
      <w:r>
        <w:t xml:space="preserve"> </w:t>
      </w:r>
      <w:r w:rsidRPr="00F855BE">
        <w:t>Even in a static model, incorporating behaviour can be complex.</w:t>
      </w:r>
      <w:r>
        <w:t xml:space="preserve"> For example, t</w:t>
      </w:r>
      <w:r w:rsidRPr="00F855BE">
        <w:t xml:space="preserve">he </w:t>
      </w:r>
      <w:r>
        <w:t xml:space="preserve">Commission’s </w:t>
      </w:r>
      <w:r w:rsidRPr="00F855BE">
        <w:t xml:space="preserve">static microsimulation model </w:t>
      </w:r>
      <w:r>
        <w:t xml:space="preserve">of childcare </w:t>
      </w:r>
      <w:r w:rsidRPr="00F855BE">
        <w:t xml:space="preserve">had a limited set of discrete choices for hours worked and childcare demanded </w:t>
      </w:r>
      <w:r>
        <w:t xml:space="preserve">in order </w:t>
      </w:r>
      <w:r w:rsidRPr="00F855BE">
        <w:t>to make the model tractable</w:t>
      </w:r>
      <w:r>
        <w:t xml:space="preserve"> </w:t>
      </w:r>
      <w:r>
        <w:fldChar w:fldCharType="begin"/>
      </w:r>
      <w:r w:rsidR="0047772E">
        <w:instrText xml:space="preserve"> ADDIN ZOTERO_ITEM CSL_CITATION {"citationID":"jyFAQ71s","properties":{"formattedCitation":"(PC\\uc0\\u160{}2014)","plainCitation":"(PC 2014)","noteIndex":66},"citationItems":[{"id":1921,"uris":["http://zotero.org/groups/2714158/items/WMM9L7V9"],"uri":["http://zotero.org/groups/2714158/items/WMM9L7V9"],"itemData":{"id":1921,"type":"report","event-place":"Canberra","genre":"Childcare and Early Childhood Learning: Technical Supplement to the Final Report","publisher-place":"Canberra","title":"Modelling the Effects of Childcare Policy Changes","author":[{"literal":"Productivity Commission"}],"translator":[{"literal":"PC"}],"issued":{"date-parts":[["2014"]]}}}],"schema":"https://github.com/citation-style-language/schema/raw/master/csl-citation.json"} </w:instrText>
      </w:r>
      <w:r>
        <w:fldChar w:fldCharType="separate"/>
      </w:r>
      <w:r w:rsidRPr="00047747">
        <w:rPr>
          <w:szCs w:val="24"/>
        </w:rPr>
        <w:t>(PC 2014)</w:t>
      </w:r>
      <w:r>
        <w:fldChar w:fldCharType="end"/>
      </w:r>
      <w:r w:rsidRPr="00F855BE">
        <w:t>.</w:t>
      </w:r>
    </w:p>
  </w:footnote>
  <w:footnote w:id="68">
    <w:p w14:paraId="12B7C42F" w14:textId="77777777" w:rsidR="002920C6" w:rsidRDefault="002920C6" w:rsidP="002920C6">
      <w:pPr>
        <w:pStyle w:val="FootnoteText"/>
      </w:pPr>
      <w:r w:rsidRPr="00691E8B">
        <w:rPr>
          <w:rStyle w:val="FootnoteReference"/>
        </w:rPr>
        <w:footnoteRef/>
      </w:r>
      <w:r>
        <w:t xml:space="preserve"> Housing wealth was set to zero for all children aged under 15 to control for large outliers. Values were smoothed based on a simple moving average over three age groups.</w:t>
      </w:r>
    </w:p>
  </w:footnote>
  <w:footnote w:id="69">
    <w:p w14:paraId="6DC70060" w14:textId="77777777" w:rsidR="00767353" w:rsidRDefault="00767353" w:rsidP="00767353">
      <w:pPr>
        <w:pStyle w:val="FootnoteText"/>
      </w:pPr>
      <w:r w:rsidRPr="00691E8B">
        <w:rPr>
          <w:rStyle w:val="FootnoteReference"/>
        </w:rPr>
        <w:footnoteRef/>
      </w:r>
      <w:r>
        <w:t xml:space="preserve"> One large negative ‘other income’ outlier was adjusted. Values were smoothed based on a simple moving average over three age groups.</w:t>
      </w:r>
    </w:p>
  </w:footnote>
  <w:footnote w:id="70">
    <w:p w14:paraId="06664FD3" w14:textId="74AC46F4" w:rsidR="00767353" w:rsidRDefault="00767353" w:rsidP="00767353">
      <w:pPr>
        <w:pStyle w:val="FootnoteText"/>
      </w:pPr>
      <w:r w:rsidRPr="00691E8B">
        <w:rPr>
          <w:rStyle w:val="FootnoteReference"/>
        </w:rPr>
        <w:footnoteRef/>
      </w:r>
      <w:r>
        <w:t xml:space="preserve"> </w:t>
      </w:r>
      <w:r w:rsidRPr="001F5ED4">
        <w:t xml:space="preserve">The assumed </w:t>
      </w:r>
      <w:r>
        <w:t xml:space="preserve">rate of </w:t>
      </w:r>
      <w:r w:rsidRPr="001F5ED4">
        <w:t>return was about 4</w:t>
      </w:r>
      <w:r>
        <w:t> per cent on cash assets</w:t>
      </w:r>
      <w:r w:rsidRPr="001F5ED4">
        <w:t>, and 8</w:t>
      </w:r>
      <w:r>
        <w:t> per cent on equity</w:t>
      </w:r>
      <w:r w:rsidRPr="001F5ED4">
        <w:t>, based on the 20</w:t>
      </w:r>
      <w:r>
        <w:noBreakHyphen/>
      </w:r>
      <w:r w:rsidRPr="001F5ED4">
        <w:t>year average</w:t>
      </w:r>
      <w:r>
        <w:t>s</w:t>
      </w:r>
      <w:r w:rsidRPr="001F5ED4">
        <w:t xml:space="preserve"> from Vanguard </w:t>
      </w:r>
      <w:r w:rsidRPr="001F5ED4">
        <w:fldChar w:fldCharType="begin"/>
      </w:r>
      <w:r w:rsidR="0047772E">
        <w:instrText xml:space="preserve"> ADDIN ZOTERO_ITEM CSL_CITATION {"citationID":"cyy5LZSX","properties":{"formattedCitation":"(2021)","plainCitation":"(2021)","noteIndex":69},"citationItems":[{"id":3028,"uris":["http://zotero.org/groups/2714158/items/QQZPCJV7"],"uri":["http://zotero.org/groups/2714158/items/QQZPCJV7"],"itemData":{"id":3028,"type":"webpage","title":"Vanguard Asset Class Tool","URL":"https://insights.vanguard.com.au/static/asset-class/app.html","author":[{"literal":"Vanguard"}],"accessed":{"date-parts":[["2021",7,16]]},"issued":{"date-parts":[["2021"]]}},"suppress-author":true}],"schema":"https://github.com/citation-style-language/schema/raw/master/csl-citation.json"} </w:instrText>
      </w:r>
      <w:r w:rsidRPr="001F5ED4">
        <w:fldChar w:fldCharType="separate"/>
      </w:r>
      <w:r w:rsidRPr="001F5ED4">
        <w:t>(2021)</w:t>
      </w:r>
      <w:r w:rsidRPr="001F5ED4">
        <w:fldChar w:fldCharType="end"/>
      </w:r>
      <w:r>
        <w:t xml:space="preserve"> </w:t>
      </w:r>
      <w:r w:rsidRPr="001F5ED4">
        <w:t>data. The rate of return on additional assets (which included vehicles</w:t>
      </w:r>
      <w:r>
        <w:t xml:space="preserve"> and</w:t>
      </w:r>
      <w:r w:rsidRPr="001F5ED4">
        <w:t xml:space="preserve"> collectibles) was assumed to be about 2</w:t>
      </w:r>
      <w:r>
        <w:t> per cent</w:t>
      </w:r>
      <w:r w:rsidRPr="001F5ED4">
        <w:t xml:space="preserve"> (half of cash assets). </w:t>
      </w:r>
    </w:p>
  </w:footnote>
  <w:footnote w:id="71">
    <w:p w14:paraId="1E110954" w14:textId="57F39554" w:rsidR="00767353" w:rsidRDefault="00767353" w:rsidP="00767353">
      <w:pPr>
        <w:pStyle w:val="FootnoteText"/>
      </w:pPr>
      <w:r w:rsidRPr="00691E8B">
        <w:rPr>
          <w:rStyle w:val="FootnoteReference"/>
        </w:rPr>
        <w:footnoteRef/>
      </w:r>
      <w:r>
        <w:t xml:space="preserve"> The values were smoothed to fit a monotonically increasing function </w:t>
      </w:r>
      <w:r>
        <w:fldChar w:fldCharType="begin"/>
      </w:r>
      <w:r w:rsidR="0047772E">
        <w:instrText xml:space="preserve"> ADDIN ZOTERO_ITEM CSL_CITATION {"citationID":"JgJVtmGK","properties":{"formattedCitation":"(Pya\\uc0\\u160{}2021)","plainCitation":"(Pya 2021)","noteIndex":70},"citationItems":[{"id":3156,"uris":["http://zotero.org/groups/2714158/items/IL62GZDS"],"uri":["http://zotero.org/groups/2714158/items/IL62GZDS"],"itemData":{"id":3156,"type":"report","number":"Version 1.2-11","title":"Package 'scam'","author":[{"family":"Pya","given":"Natalya"}],"issued":{"date-parts":[["2021"]]}}}],"schema":"https://github.com/citation-style-language/schema/raw/master/csl-citation.json"} </w:instrText>
      </w:r>
      <w:r>
        <w:fldChar w:fldCharType="separate"/>
      </w:r>
      <w:r w:rsidRPr="00EF7360">
        <w:rPr>
          <w:szCs w:val="24"/>
        </w:rPr>
        <w:t>(Pya 2021)</w:t>
      </w:r>
      <w:r>
        <w:fldChar w:fldCharType="end"/>
      </w:r>
      <w:r>
        <w:t>. This ensures that home ownership rates increase with age, and estimated probabilities of transitioning into home ownership are positive.</w:t>
      </w:r>
    </w:p>
  </w:footnote>
  <w:footnote w:id="72">
    <w:p w14:paraId="0E9F8D6C" w14:textId="77777777" w:rsidR="00767353" w:rsidRDefault="00767353" w:rsidP="00767353">
      <w:pPr>
        <w:pStyle w:val="FootnoteText"/>
      </w:pPr>
      <w:r w:rsidRPr="00691E8B">
        <w:rPr>
          <w:rStyle w:val="FootnoteReference"/>
        </w:rPr>
        <w:footnoteRef/>
      </w:r>
      <w:r>
        <w:t xml:space="preserve"> </w:t>
      </w:r>
      <w:r w:rsidRPr="00BA1017">
        <w:t>A ‘</w:t>
      </w:r>
      <w:r w:rsidRPr="00AE71C7">
        <w:t xml:space="preserve">rate of inheritance depletion’ parameter is not directly included in the model. Rather, inheritance depletion depends on a number of parameters including immediate saving of inheritances, rates of return, drawdowns and saving from income (as people could indirectly consume an inheritance by earning less labour income). </w:t>
      </w:r>
      <w:r w:rsidRPr="00BA1017">
        <w:t>The impact of inheritances on the probability of owning a home was also removed to prevent overstating the impact of inheritances in this scenario.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26A7" w14:textId="2A919C22" w:rsidR="00F04EA7" w:rsidRPr="003144FE" w:rsidRDefault="00B2270C" w:rsidP="00EC58FF">
    <w:pPr>
      <w:pStyle w:val="Header-Keyline"/>
      <w:rPr>
        <w:rStyle w:val="Strong"/>
        <w:b w:val="0"/>
        <w:bCs w:val="0"/>
      </w:rPr>
    </w:pPr>
    <w:sdt>
      <w:sdtPr>
        <w:rPr>
          <w:rStyle w:val="Strong"/>
        </w:rPr>
        <w:alias w:val="Title"/>
        <w:tag w:val=""/>
        <w:id w:val="57710129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C0EA3">
          <w:rPr>
            <w:rStyle w:val="Strong"/>
          </w:rPr>
          <w:t>Wealth transfers and their economic effects</w:t>
        </w:r>
      </w:sdtContent>
    </w:sdt>
    <w:r w:rsidR="003144FE">
      <w:t xml:space="preserve"> Research </w:t>
    </w:r>
    <w:r w:rsidR="00C01023">
      <w:t>p</w:t>
    </w:r>
    <w:r w:rsidR="003144FE">
      <w:t>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477E" w14:textId="06E5B555" w:rsidR="006E0ED6" w:rsidRDefault="00B2270C" w:rsidP="001625EC">
    <w:pPr>
      <w:pStyle w:val="Header-Keyline"/>
    </w:pPr>
    <w:sdt>
      <w:sdtPr>
        <w:rPr>
          <w:rStyle w:val="Strong"/>
        </w:rPr>
        <w:alias w:val="Title"/>
        <w:tag w:val=""/>
        <w:id w:val="-97413964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C0EA3">
          <w:rPr>
            <w:rStyle w:val="Strong"/>
          </w:rPr>
          <w:t>Wealth transfers and their economic effects</w:t>
        </w:r>
      </w:sdtContent>
    </w:sdt>
    <w:r w:rsidR="006E0ED6">
      <w:t xml:space="preserve"> </w:t>
    </w:r>
    <w:r w:rsidR="00E01270">
      <w:t>Research paper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0357" w14:textId="7D5DA0BD" w:rsidR="006E0ED6" w:rsidRDefault="00B2270C" w:rsidP="001625EC">
    <w:pPr>
      <w:pStyle w:val="Header-KeylineRight"/>
    </w:pPr>
    <w:r>
      <w:fldChar w:fldCharType="begin"/>
    </w:r>
    <w:r>
      <w:instrText xml:space="preserve"> STYLEREF  "Heading 1-Section-full page"  \* MERGEFORMAT </w:instrText>
    </w:r>
    <w:r>
      <w:fldChar w:fldCharType="separate"/>
    </w:r>
    <w:r w:rsidR="00F3386D">
      <w:rPr>
        <w:noProof/>
      </w:rPr>
      <w:t>Executive summary</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836E" w14:textId="17014127" w:rsidR="006E0ED6" w:rsidRDefault="00B2270C" w:rsidP="001625EC">
    <w:pPr>
      <w:pStyle w:val="Header-Keyline"/>
    </w:pPr>
    <w:sdt>
      <w:sdtPr>
        <w:rPr>
          <w:rStyle w:val="Strong"/>
        </w:rPr>
        <w:alias w:val="Title"/>
        <w:tag w:val=""/>
        <w:id w:val="-963192473"/>
        <w:placeholder>
          <w:docPart w:val="55CB9AB32D034E9191BE288F7BC8B222"/>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C0EA3">
          <w:rPr>
            <w:rStyle w:val="Strong"/>
          </w:rPr>
          <w:t>Wealth transfers and their economic effects</w:t>
        </w:r>
      </w:sdtContent>
    </w:sdt>
    <w:r w:rsidR="006E0ED6">
      <w:t xml:space="preserve"> </w:t>
    </w:r>
    <w:r w:rsidR="005E5BC6">
      <w:t xml:space="preserve">Research </w:t>
    </w:r>
    <w:r w:rsidR="00E01270">
      <w:t>paper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5590" w14:textId="620BAC8C" w:rsidR="006E0ED6" w:rsidRDefault="00B2270C" w:rsidP="001625EC">
    <w:pPr>
      <w:pStyle w:val="Header-KeylineRight"/>
    </w:pPr>
    <w:r>
      <w:fldChar w:fldCharType="begin"/>
    </w:r>
    <w:r>
      <w:instrText xml:space="preserve"> STYLEREF  "Heading 1"  \* MERGEFORMAT </w:instrText>
    </w:r>
    <w:r>
      <w:fldChar w:fldCharType="separate"/>
    </w:r>
    <w:r w:rsidR="00F3386D">
      <w:rPr>
        <w:noProof/>
      </w:rPr>
      <w:t>How much wealth do people transfer?</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5A10" w14:textId="7CD736B7" w:rsidR="006E0ED6" w:rsidRDefault="00B2270C" w:rsidP="001625EC">
    <w:pPr>
      <w:pStyle w:val="Header-Keyline"/>
    </w:pPr>
    <w:sdt>
      <w:sdtPr>
        <w:rPr>
          <w:rStyle w:val="Strong"/>
        </w:rPr>
        <w:alias w:val="Title"/>
        <w:tag w:val=""/>
        <w:id w:val="1857767083"/>
        <w:placeholder>
          <w:docPart w:val="55CB9AB32D034E9191BE288F7BC8B222"/>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34798">
          <w:rPr>
            <w:rStyle w:val="Strong"/>
          </w:rPr>
          <w:t>Wealth transfers and their economic effects</w:t>
        </w:r>
      </w:sdtContent>
    </w:sdt>
    <w:r w:rsidR="006E0ED6">
      <w:t xml:space="preserve"> </w:t>
    </w:r>
    <w:r w:rsidR="005E5BC6">
      <w:t xml:space="preserve">Research </w:t>
    </w:r>
    <w:r w:rsidR="00E01270">
      <w:t>paper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CC12" w14:textId="7F257109" w:rsidR="006E0ED6" w:rsidRDefault="00B2270C" w:rsidP="001625EC">
    <w:pPr>
      <w:pStyle w:val="Header-KeylineRight"/>
    </w:pPr>
    <w:r>
      <w:fldChar w:fldCharType="begin"/>
    </w:r>
    <w:r>
      <w:instrText xml:space="preserve"> STYLEREF  "Heading 1"  \* MERGEFORMAT </w:instrText>
    </w:r>
    <w:r>
      <w:fldChar w:fldCharType="separate"/>
    </w:r>
    <w:r w:rsidR="00F3386D">
      <w:rPr>
        <w:noProof/>
      </w:rPr>
      <w:t>How might future wealth transfers affect wealth inequality?</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2071" w14:textId="672283A6" w:rsidR="006E0ED6" w:rsidRDefault="00B2270C" w:rsidP="001625EC">
    <w:pPr>
      <w:pStyle w:val="Header-Keyline"/>
    </w:pPr>
    <w:sdt>
      <w:sdtPr>
        <w:rPr>
          <w:rStyle w:val="Strong"/>
        </w:rPr>
        <w:alias w:val="Title"/>
        <w:tag w:val=""/>
        <w:id w:val="-132666426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C0EA3">
          <w:rPr>
            <w:rStyle w:val="Strong"/>
          </w:rPr>
          <w:t>Wealth transfers and their economic effects</w:t>
        </w:r>
      </w:sdtContent>
    </w:sdt>
    <w:r w:rsidR="006E0ED6">
      <w:t xml:space="preserve"> </w:t>
    </w:r>
    <w:r w:rsidR="00474385">
      <w:t>Research paper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AE31" w14:textId="6388D392" w:rsidR="006E0ED6" w:rsidRDefault="00B2270C" w:rsidP="001625EC">
    <w:pPr>
      <w:pStyle w:val="Header-Keyline"/>
    </w:pPr>
    <w:sdt>
      <w:sdtPr>
        <w:rPr>
          <w:rStyle w:val="Strong"/>
        </w:rPr>
        <w:alias w:val="Title"/>
        <w:tag w:val=""/>
        <w:id w:val="-79837231"/>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34798">
          <w:rPr>
            <w:rStyle w:val="Strong"/>
          </w:rPr>
          <w:t>Wealth transfers and their economic effects</w:t>
        </w:r>
      </w:sdtContent>
    </w:sdt>
    <w:r w:rsidR="006E0ED6">
      <w:t xml:space="preserve"> </w:t>
    </w:r>
    <w:r w:rsidR="00474385">
      <w:t>Research paper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EE33" w14:textId="00D6BCA6" w:rsidR="006E0ED6" w:rsidRPr="00C53AB5" w:rsidRDefault="00B2270C" w:rsidP="00C53AB5">
    <w:pPr>
      <w:pStyle w:val="Header-KeylineRight"/>
    </w:pPr>
    <w:r>
      <w:fldChar w:fldCharType="begin"/>
    </w:r>
    <w:r>
      <w:instrText xml:space="preserve"> STYLEREF  "Heading 1-Section-full page"  \* MERGEFORMAT </w:instrText>
    </w:r>
    <w:r>
      <w:fldChar w:fldCharType="separate"/>
    </w:r>
    <w:r w:rsidR="00F3386D">
      <w:rPr>
        <w:noProof/>
      </w:rPr>
      <w:t>Appendices</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BC11" w14:textId="14DEB9F1" w:rsidR="00767353" w:rsidRDefault="00B2270C" w:rsidP="00604051">
    <w:pPr>
      <w:pStyle w:val="Header-Keyline"/>
    </w:pPr>
    <w:sdt>
      <w:sdtPr>
        <w:rPr>
          <w:rStyle w:val="Strong"/>
        </w:rPr>
        <w:alias w:val="Title"/>
        <w:tag w:val=""/>
        <w:id w:val="-270391092"/>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C0EA3">
          <w:rPr>
            <w:rStyle w:val="Strong"/>
          </w:rPr>
          <w:t>Wealth transfers and their economic effects</w:t>
        </w:r>
      </w:sdtContent>
    </w:sdt>
    <w:r w:rsidR="00767353">
      <w:t xml:space="preserve"> </w:t>
    </w:r>
    <w:r w:rsidR="006D76A5">
      <w:t>Re</w:t>
    </w:r>
    <w:r w:rsidR="0048175C">
      <w:t>search</w:t>
    </w:r>
    <w:r w:rsidR="00767353">
      <w:t xml:space="preserve"> </w:t>
    </w:r>
    <w:r w:rsidR="0048175C">
      <w:t>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5E22" w14:textId="77777777" w:rsidR="00F3386D" w:rsidRDefault="00F3386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30B8" w14:textId="0447638E" w:rsidR="00767353" w:rsidRDefault="00B2270C" w:rsidP="00604051">
    <w:pPr>
      <w:pStyle w:val="Header-KeylineRight"/>
    </w:pPr>
    <w:r>
      <w:fldChar w:fldCharType="begin"/>
    </w:r>
    <w:r>
      <w:instrText xml:space="preserve"> STYLEREF  Heading-Appendix  \* MERGEFORMAT </w:instrText>
    </w:r>
    <w:r>
      <w:fldChar w:fldCharType="separate"/>
    </w:r>
    <w:r w:rsidR="00F3386D">
      <w:rPr>
        <w:noProof/>
      </w:rPr>
      <w:t>Australian wealth data and estimating inheritance outflows</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101F" w14:textId="632EB9BE" w:rsidR="00767353" w:rsidRDefault="00B2270C" w:rsidP="00604051">
    <w:pPr>
      <w:pStyle w:val="Header-Keyline"/>
    </w:pPr>
    <w:sdt>
      <w:sdtPr>
        <w:rPr>
          <w:rStyle w:val="Strong"/>
        </w:rPr>
        <w:alias w:val="Title"/>
        <w:tag w:val=""/>
        <w:id w:val="204533081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34798">
          <w:rPr>
            <w:rStyle w:val="Strong"/>
          </w:rPr>
          <w:t>Wealth transfers and their economic effects</w:t>
        </w:r>
      </w:sdtContent>
    </w:sdt>
    <w:r w:rsidR="00767353">
      <w:t xml:space="preserve"> </w:t>
    </w:r>
    <w:r w:rsidR="006D76A5">
      <w:t>Re</w:t>
    </w:r>
    <w:r w:rsidR="0048175C">
      <w:t>search</w:t>
    </w:r>
    <w:r w:rsidR="00767353">
      <w:t xml:space="preserve"> </w:t>
    </w:r>
    <w:r w:rsidR="0048175C">
      <w:t>paper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680C" w14:textId="14C3515C" w:rsidR="00767353" w:rsidRDefault="00B2270C" w:rsidP="00604051">
    <w:pPr>
      <w:pStyle w:val="Header-KeylineRight"/>
    </w:pPr>
    <w:r>
      <w:fldChar w:fldCharType="begin"/>
    </w:r>
    <w:r>
      <w:instrText xml:space="preserve"> STYLEREF  Heading-Appendix  \* MERGEFORMAT </w:instrText>
    </w:r>
    <w:r>
      <w:fldChar w:fldCharType="separate"/>
    </w:r>
    <w:r w:rsidR="00F3386D">
      <w:rPr>
        <w:noProof/>
      </w:rPr>
      <w:t>Modelling effects of future wealth transfers on inequality</w:t>
    </w:r>
    <w:r>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74D5" w14:textId="69B3FB8B" w:rsidR="002412A5" w:rsidRDefault="00B2270C" w:rsidP="00604051">
    <w:pPr>
      <w:pStyle w:val="Header-KeylineRight"/>
    </w:pPr>
    <w:r>
      <w:fldChar w:fldCharType="begin"/>
    </w:r>
    <w:r>
      <w:instrText xml:space="preserve"> STYLEREF  "Heading 1-no background"  \* MERGEFORMAT </w:instrText>
    </w:r>
    <w:r>
      <w:fldChar w:fldCharType="separate"/>
    </w:r>
    <w:r w:rsidR="00F3386D">
      <w:rPr>
        <w:noProof/>
      </w:rPr>
      <w:t>Public consultations</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FE99" w14:textId="5D018EEB" w:rsidR="006E0ED6" w:rsidRDefault="00B2270C" w:rsidP="001625EC">
    <w:pPr>
      <w:pStyle w:val="Header-KeylineRight"/>
    </w:pPr>
    <w:r>
      <w:fldChar w:fldCharType="begin"/>
    </w:r>
    <w:r>
      <w:instrText xml:space="preserve"> STYLEREF  "Heading 1-no background"  \* MERGEFORMAT </w:instrText>
    </w:r>
    <w:r>
      <w:fldChar w:fldCharType="separate"/>
    </w:r>
    <w:r w:rsidR="00F3386D">
      <w:rPr>
        <w:noProof/>
      </w:rPr>
      <w:t>References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05B0" w14:textId="77777777" w:rsidR="00F04EA7" w:rsidRPr="007215EF" w:rsidRDefault="00F04EA7" w:rsidP="007215EF">
    <w:r w:rsidRPr="007215EF">
      <w:rPr>
        <w:noProof/>
      </w:rPr>
      <w:drawing>
        <wp:anchor distT="0" distB="0" distL="114300" distR="114300" simplePos="0" relativeHeight="251658241" behindDoc="0" locked="1" layoutInCell="1" allowOverlap="1" wp14:anchorId="1E88CAC6" wp14:editId="61D3E4AF">
          <wp:simplePos x="0" y="0"/>
          <wp:positionH relativeFrom="margin">
            <wp:align>left</wp:align>
          </wp:positionH>
          <wp:positionV relativeFrom="page">
            <wp:align>top</wp:align>
          </wp:positionV>
          <wp:extent cx="2235600" cy="1058400"/>
          <wp:effectExtent l="0" t="0" r="0" b="8890"/>
          <wp:wrapNone/>
          <wp:docPr id="37"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01951"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CC15" w14:textId="6C2B6EF4" w:rsidR="00F04EA7" w:rsidRPr="003144FE" w:rsidRDefault="00B2270C" w:rsidP="00EC58FF">
    <w:pPr>
      <w:pStyle w:val="Header-Keyline"/>
      <w:rPr>
        <w:rStyle w:val="Strong"/>
        <w:b w:val="0"/>
        <w:bCs w:val="0"/>
      </w:rPr>
    </w:pPr>
    <w:sdt>
      <w:sdtPr>
        <w:rPr>
          <w:rStyle w:val="Strong"/>
        </w:rPr>
        <w:alias w:val="Title"/>
        <w:tag w:val=""/>
        <w:id w:val="173566771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34798">
          <w:rPr>
            <w:rStyle w:val="Strong"/>
          </w:rPr>
          <w:t>Wealth transfers and their economic effects</w:t>
        </w:r>
      </w:sdtContent>
    </w:sdt>
    <w:r w:rsidR="003144FE">
      <w:t xml:space="preserve"> Research </w:t>
    </w:r>
    <w:r w:rsidR="00C01023">
      <w:t>p</w:t>
    </w:r>
    <w:r w:rsidR="003144FE">
      <w:t>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B6BD" w14:textId="1F6E6601" w:rsidR="00B81E4E" w:rsidRDefault="00322478" w:rsidP="00B81E4E">
    <w:pPr>
      <w:pStyle w:val="Header-KeylineRight"/>
    </w:pPr>
    <w:r>
      <w:fldChar w:fldCharType="begin"/>
    </w:r>
    <w:r>
      <w:instrText xml:space="preserve"> STYLEREF  "Heading 1-no number"  \* MERGEFORMAT </w:instrText>
    </w:r>
    <w:r>
      <w:fldChar w:fldCharType="separate"/>
    </w:r>
    <w:r w:rsidR="00F3386D">
      <w:rPr>
        <w:b/>
        <w:bCs/>
        <w:noProof/>
        <w:lang w:val="en-US"/>
      </w:rPr>
      <w:t>Error! No text of specified style in document.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54C1" w14:textId="0FC3E8CE" w:rsidR="00B81E4E" w:rsidRDefault="00B2270C" w:rsidP="00B81E4E">
    <w:pPr>
      <w:pStyle w:val="Header-KeylineRight"/>
    </w:pPr>
    <w:r>
      <w:fldChar w:fldCharType="begin"/>
    </w:r>
    <w:r>
      <w:instrText xml:space="preserve"> STYLEREF  "Heading 1-no background"  \* MERGEFORMAT </w:instrText>
    </w:r>
    <w:r>
      <w:fldChar w:fldCharType="separate"/>
    </w:r>
    <w:r w:rsidR="00F3386D">
      <w:rPr>
        <w:noProof/>
      </w:rPr>
      <w:t>Contents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DB43" w14:textId="0C6907CC" w:rsidR="009F0824" w:rsidRDefault="00AE173D" w:rsidP="00B81E4E">
    <w:pPr>
      <w:pStyle w:val="Header-KeylineRight"/>
    </w:pPr>
    <w:r>
      <w:t>In brief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A31D" w14:textId="4880DB5E" w:rsidR="006E0ED6" w:rsidRDefault="00B2270C" w:rsidP="001625EC">
    <w:pPr>
      <w:pStyle w:val="Header-Keyline"/>
    </w:pPr>
    <w:sdt>
      <w:sdtPr>
        <w:rPr>
          <w:rStyle w:val="Strong"/>
        </w:rPr>
        <w:alias w:val="Title"/>
        <w:tag w:val=""/>
        <w:id w:val="-1206867531"/>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C0EA3">
          <w:rPr>
            <w:rStyle w:val="Strong"/>
          </w:rPr>
          <w:t>Wealth transfers and their economic effects</w:t>
        </w:r>
      </w:sdtContent>
    </w:sdt>
    <w:r w:rsidR="006E0ED6">
      <w:t xml:space="preserve"> </w:t>
    </w:r>
    <w:r w:rsidR="002113B9">
      <w:t>Research paper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DAE6" w14:textId="6A6D3B5C" w:rsidR="00B81E4E" w:rsidRDefault="00322478" w:rsidP="00B81E4E">
    <w:pPr>
      <w:pStyle w:val="Header-KeylineRight"/>
    </w:pPr>
    <w:r>
      <w:fldChar w:fldCharType="begin"/>
    </w:r>
    <w:r>
      <w:instrText xml:space="preserve"> STYLEREF  "Heading 1-no number"  \* MERGEFORMAT </w:instrText>
    </w:r>
    <w:r>
      <w:fldChar w:fldCharType="separate"/>
    </w:r>
    <w:r w:rsidR="00F3386D">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970F0E"/>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2C1EF0"/>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B516A3"/>
    <w:multiLevelType w:val="multilevel"/>
    <w:tmpl w:val="5B9CEB48"/>
    <w:numStyleLink w:val="ListHeadings"/>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2AD1EE0"/>
    <w:multiLevelType w:val="hybridMultilevel"/>
    <w:tmpl w:val="C616C87C"/>
    <w:lvl w:ilvl="0" w:tplc="FFFFFFFF">
      <w:start w:val="1"/>
      <w:numFmt w:val="lowerLetter"/>
      <w:lvlText w:val="%1."/>
      <w:lvlJc w:val="left"/>
      <w:pPr>
        <w:ind w:left="720" w:hanging="360"/>
      </w:pPr>
      <w:rPr>
        <w:rFonts w:hint="default"/>
        <w:sz w:val="16"/>
        <w:szCs w:val="1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FA34B9"/>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481659"/>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9CB2ECD"/>
    <w:multiLevelType w:val="multilevel"/>
    <w:tmpl w:val="C1F21416"/>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B152D8C"/>
    <w:multiLevelType w:val="hybridMultilevel"/>
    <w:tmpl w:val="C616C87C"/>
    <w:lvl w:ilvl="0" w:tplc="FFFFFFFF">
      <w:start w:val="1"/>
      <w:numFmt w:val="lowerLetter"/>
      <w:lvlText w:val="%1."/>
      <w:lvlJc w:val="left"/>
      <w:pPr>
        <w:ind w:left="720" w:hanging="360"/>
      </w:pPr>
      <w:rPr>
        <w:rFonts w:hint="default"/>
        <w:sz w:val="16"/>
        <w:szCs w:val="1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6E7BB6"/>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78C6897"/>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5164169"/>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56F1B3D"/>
    <w:multiLevelType w:val="hybridMultilevel"/>
    <w:tmpl w:val="41E2DB8C"/>
    <w:lvl w:ilvl="0" w:tplc="072A2878">
      <w:start w:val="1"/>
      <w:numFmt w:val="lowerLetter"/>
      <w:lvlText w:val="%1."/>
      <w:lvlJc w:val="left"/>
      <w:pPr>
        <w:ind w:left="720" w:hanging="360"/>
      </w:pPr>
      <w:rPr>
        <w:rFonts w:hint="default"/>
        <w:sz w:val="16"/>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9B1065"/>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3D575E"/>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EA32538"/>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ECA1522"/>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4535F45"/>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8D14482"/>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596A0C8C"/>
    <w:multiLevelType w:val="multilevel"/>
    <w:tmpl w:val="1FA8DC2A"/>
    <w:numStyleLink w:val="Numbering"/>
  </w:abstractNum>
  <w:abstractNum w:abstractNumId="3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8" w15:restartNumberingAfterBreak="0">
    <w:nsid w:val="6134636A"/>
    <w:multiLevelType w:val="multilevel"/>
    <w:tmpl w:val="1FA8DC2A"/>
    <w:numStyleLink w:val="Numbering"/>
  </w:abstractNum>
  <w:abstractNum w:abstractNumId="39" w15:restartNumberingAfterBreak="0">
    <w:nsid w:val="68972A64"/>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0C04D8"/>
    <w:multiLevelType w:val="hybridMultilevel"/>
    <w:tmpl w:val="C616C87C"/>
    <w:lvl w:ilvl="0" w:tplc="DBB43938">
      <w:start w:val="1"/>
      <w:numFmt w:val="lowerLetter"/>
      <w:lvlText w:val="%1."/>
      <w:lvlJc w:val="left"/>
      <w:pPr>
        <w:ind w:left="720" w:hanging="360"/>
      </w:pPr>
      <w:rPr>
        <w:rFonts w:hint="default"/>
        <w:sz w:val="16"/>
        <w:szCs w:val="1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61B4A1B"/>
    <w:multiLevelType w:val="multilevel"/>
    <w:tmpl w:val="4F48000A"/>
    <w:numStyleLink w:val="Alphalist"/>
  </w:abstractNum>
  <w:abstractNum w:abstractNumId="42" w15:restartNumberingAfterBreak="0">
    <w:nsid w:val="7FC870FD"/>
    <w:multiLevelType w:val="hybridMultilevel"/>
    <w:tmpl w:val="41E2DB8C"/>
    <w:lvl w:ilvl="0" w:tplc="FFFFFFFF">
      <w:start w:val="1"/>
      <w:numFmt w:val="lowerLetter"/>
      <w:lvlText w:val="%1."/>
      <w:lvlJc w:val="left"/>
      <w:pPr>
        <w:ind w:left="720" w:hanging="360"/>
      </w:pPr>
      <w:rPr>
        <w:rFonts w:hint="default"/>
        <w:sz w:val="16"/>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34"/>
  </w:num>
  <w:num w:numId="5">
    <w:abstractNumId w:val="20"/>
  </w:num>
  <w:num w:numId="6">
    <w:abstractNumId w:val="22"/>
  </w:num>
  <w:num w:numId="7">
    <w:abstractNumId w:val="25"/>
  </w:num>
  <w:num w:numId="8">
    <w:abstractNumId w:val="10"/>
  </w:num>
  <w:num w:numId="9">
    <w:abstractNumId w:val="4"/>
  </w:num>
  <w:num w:numId="10">
    <w:abstractNumId w:val="17"/>
  </w:num>
  <w:num w:numId="11">
    <w:abstractNumId w:val="36"/>
  </w:num>
  <w:num w:numId="12">
    <w:abstractNumId w:val="37"/>
  </w:num>
  <w:num w:numId="13">
    <w:abstractNumId w:val="31"/>
  </w:num>
  <w:num w:numId="14">
    <w:abstractNumId w:val="14"/>
  </w:num>
  <w:num w:numId="15">
    <w:abstractNumId w:val="21"/>
  </w:num>
  <w:num w:numId="16">
    <w:abstractNumId w:val="41"/>
  </w:num>
  <w:num w:numId="17">
    <w:abstractNumId w:val="0"/>
  </w:num>
  <w:num w:numId="18">
    <w:abstractNumId w:val="5"/>
  </w:num>
  <w:num w:numId="19">
    <w:abstractNumId w:val="2"/>
  </w:num>
  <w:num w:numId="20">
    <w:abstractNumId w:val="2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7"/>
  </w:num>
  <w:num w:numId="24">
    <w:abstractNumId w:val="26"/>
  </w:num>
  <w:num w:numId="25">
    <w:abstractNumId w:val="40"/>
  </w:num>
  <w:num w:numId="26">
    <w:abstractNumId w:val="8"/>
  </w:num>
  <w:num w:numId="27">
    <w:abstractNumId w:val="11"/>
  </w:num>
  <w:num w:numId="28">
    <w:abstractNumId w:val="32"/>
  </w:num>
  <w:num w:numId="29">
    <w:abstractNumId w:val="18"/>
  </w:num>
  <w:num w:numId="30">
    <w:abstractNumId w:val="39"/>
  </w:num>
  <w:num w:numId="31">
    <w:abstractNumId w:val="16"/>
  </w:num>
  <w:num w:numId="32">
    <w:abstractNumId w:val="19"/>
  </w:num>
  <w:num w:numId="33">
    <w:abstractNumId w:val="28"/>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9"/>
  </w:num>
  <w:num w:numId="44">
    <w:abstractNumId w:val="33"/>
  </w:num>
  <w:num w:numId="45">
    <w:abstractNumId w:val="15"/>
  </w:num>
  <w:num w:numId="46">
    <w:abstractNumId w:val="29"/>
  </w:num>
  <w:num w:numId="47">
    <w:abstractNumId w:val="12"/>
  </w:num>
  <w:num w:numId="48">
    <w:abstractNumId w:val="3"/>
  </w:num>
  <w:num w:numId="49">
    <w:abstractNumId w:val="42"/>
  </w:num>
  <w:num w:numId="50">
    <w:abstractNumId w:val="13"/>
  </w:num>
  <w:num w:numId="51">
    <w:abstractNumId w:val="30"/>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ProductivityCommissionTable1"/>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AF"/>
    <w:rsid w:val="0000006E"/>
    <w:rsid w:val="00000917"/>
    <w:rsid w:val="00001257"/>
    <w:rsid w:val="00001D33"/>
    <w:rsid w:val="00001DDF"/>
    <w:rsid w:val="00002CFC"/>
    <w:rsid w:val="00002F85"/>
    <w:rsid w:val="00002FFA"/>
    <w:rsid w:val="00003299"/>
    <w:rsid w:val="00004C4D"/>
    <w:rsid w:val="00004FEB"/>
    <w:rsid w:val="00005901"/>
    <w:rsid w:val="00005C79"/>
    <w:rsid w:val="00006E15"/>
    <w:rsid w:val="00012537"/>
    <w:rsid w:val="0001376C"/>
    <w:rsid w:val="00014932"/>
    <w:rsid w:val="00016FEC"/>
    <w:rsid w:val="00017306"/>
    <w:rsid w:val="0001744E"/>
    <w:rsid w:val="00017CC9"/>
    <w:rsid w:val="0002046C"/>
    <w:rsid w:val="000209BF"/>
    <w:rsid w:val="00021041"/>
    <w:rsid w:val="00022A10"/>
    <w:rsid w:val="00022B5E"/>
    <w:rsid w:val="00025003"/>
    <w:rsid w:val="000253AB"/>
    <w:rsid w:val="00026C04"/>
    <w:rsid w:val="00026D96"/>
    <w:rsid w:val="000270D9"/>
    <w:rsid w:val="000270F5"/>
    <w:rsid w:val="0002799C"/>
    <w:rsid w:val="000300AF"/>
    <w:rsid w:val="00030399"/>
    <w:rsid w:val="0003066E"/>
    <w:rsid w:val="00031195"/>
    <w:rsid w:val="000311ED"/>
    <w:rsid w:val="00031295"/>
    <w:rsid w:val="00031CA5"/>
    <w:rsid w:val="00031CF2"/>
    <w:rsid w:val="00031FF5"/>
    <w:rsid w:val="00032ECD"/>
    <w:rsid w:val="0003305B"/>
    <w:rsid w:val="000331E4"/>
    <w:rsid w:val="00033216"/>
    <w:rsid w:val="00033237"/>
    <w:rsid w:val="000335B7"/>
    <w:rsid w:val="00033619"/>
    <w:rsid w:val="00034154"/>
    <w:rsid w:val="0003418F"/>
    <w:rsid w:val="00034799"/>
    <w:rsid w:val="00034880"/>
    <w:rsid w:val="00034DEE"/>
    <w:rsid w:val="00034DF6"/>
    <w:rsid w:val="00035250"/>
    <w:rsid w:val="00035AF4"/>
    <w:rsid w:val="00035C86"/>
    <w:rsid w:val="000363EE"/>
    <w:rsid w:val="00037EF6"/>
    <w:rsid w:val="00044C65"/>
    <w:rsid w:val="0004522B"/>
    <w:rsid w:val="000456D7"/>
    <w:rsid w:val="00046E6D"/>
    <w:rsid w:val="00046E9C"/>
    <w:rsid w:val="000475F2"/>
    <w:rsid w:val="00047894"/>
    <w:rsid w:val="00050994"/>
    <w:rsid w:val="00050E79"/>
    <w:rsid w:val="0005151B"/>
    <w:rsid w:val="0005230D"/>
    <w:rsid w:val="00053BDE"/>
    <w:rsid w:val="00054C95"/>
    <w:rsid w:val="00055C88"/>
    <w:rsid w:val="000561CF"/>
    <w:rsid w:val="00056470"/>
    <w:rsid w:val="000568B6"/>
    <w:rsid w:val="00057183"/>
    <w:rsid w:val="0005774F"/>
    <w:rsid w:val="0006043D"/>
    <w:rsid w:val="00060A6C"/>
    <w:rsid w:val="00061B9E"/>
    <w:rsid w:val="000627A1"/>
    <w:rsid w:val="00062A44"/>
    <w:rsid w:val="00062C01"/>
    <w:rsid w:val="00063861"/>
    <w:rsid w:val="000646C9"/>
    <w:rsid w:val="00064FE8"/>
    <w:rsid w:val="00065D9D"/>
    <w:rsid w:val="00066AA4"/>
    <w:rsid w:val="00067938"/>
    <w:rsid w:val="00067F40"/>
    <w:rsid w:val="000724AE"/>
    <w:rsid w:val="000736EC"/>
    <w:rsid w:val="00075A99"/>
    <w:rsid w:val="000769D6"/>
    <w:rsid w:val="0007776A"/>
    <w:rsid w:val="00077A76"/>
    <w:rsid w:val="00077E95"/>
    <w:rsid w:val="000802D3"/>
    <w:rsid w:val="0008037D"/>
    <w:rsid w:val="00080384"/>
    <w:rsid w:val="00082296"/>
    <w:rsid w:val="00082F32"/>
    <w:rsid w:val="00082F7F"/>
    <w:rsid w:val="0008360A"/>
    <w:rsid w:val="00083E95"/>
    <w:rsid w:val="00085A82"/>
    <w:rsid w:val="00085FB9"/>
    <w:rsid w:val="00086DFA"/>
    <w:rsid w:val="00086F9A"/>
    <w:rsid w:val="0008776B"/>
    <w:rsid w:val="00090789"/>
    <w:rsid w:val="00091140"/>
    <w:rsid w:val="00091286"/>
    <w:rsid w:val="0009215A"/>
    <w:rsid w:val="00092161"/>
    <w:rsid w:val="000926F2"/>
    <w:rsid w:val="000928F0"/>
    <w:rsid w:val="00092ECF"/>
    <w:rsid w:val="00095406"/>
    <w:rsid w:val="00095C75"/>
    <w:rsid w:val="00097029"/>
    <w:rsid w:val="000974CA"/>
    <w:rsid w:val="000A0323"/>
    <w:rsid w:val="000A0F08"/>
    <w:rsid w:val="000A1234"/>
    <w:rsid w:val="000A12B4"/>
    <w:rsid w:val="000A154B"/>
    <w:rsid w:val="000A1EC3"/>
    <w:rsid w:val="000A21BF"/>
    <w:rsid w:val="000A2830"/>
    <w:rsid w:val="000A2D94"/>
    <w:rsid w:val="000A33B5"/>
    <w:rsid w:val="000A33C6"/>
    <w:rsid w:val="000A38AA"/>
    <w:rsid w:val="000A39F1"/>
    <w:rsid w:val="000A3F8C"/>
    <w:rsid w:val="000A4491"/>
    <w:rsid w:val="000A4F9E"/>
    <w:rsid w:val="000A5213"/>
    <w:rsid w:val="000A6386"/>
    <w:rsid w:val="000A65E7"/>
    <w:rsid w:val="000A7D7A"/>
    <w:rsid w:val="000B0B02"/>
    <w:rsid w:val="000B1C93"/>
    <w:rsid w:val="000B497F"/>
    <w:rsid w:val="000B4A72"/>
    <w:rsid w:val="000B4EC8"/>
    <w:rsid w:val="000B53E3"/>
    <w:rsid w:val="000B591A"/>
    <w:rsid w:val="000B72C8"/>
    <w:rsid w:val="000C0A5F"/>
    <w:rsid w:val="000C0C99"/>
    <w:rsid w:val="000C0D6E"/>
    <w:rsid w:val="000C1DAD"/>
    <w:rsid w:val="000C2D46"/>
    <w:rsid w:val="000C2F3C"/>
    <w:rsid w:val="000C3D5F"/>
    <w:rsid w:val="000C47BC"/>
    <w:rsid w:val="000C56A3"/>
    <w:rsid w:val="000C571F"/>
    <w:rsid w:val="000C6049"/>
    <w:rsid w:val="000C6B77"/>
    <w:rsid w:val="000C6F16"/>
    <w:rsid w:val="000C7377"/>
    <w:rsid w:val="000C7900"/>
    <w:rsid w:val="000D0107"/>
    <w:rsid w:val="000D027C"/>
    <w:rsid w:val="000D0EDF"/>
    <w:rsid w:val="000D12ED"/>
    <w:rsid w:val="000D4525"/>
    <w:rsid w:val="000D48D0"/>
    <w:rsid w:val="000D4A09"/>
    <w:rsid w:val="000D4EA2"/>
    <w:rsid w:val="000D5932"/>
    <w:rsid w:val="000D60BA"/>
    <w:rsid w:val="000D67FB"/>
    <w:rsid w:val="000D69F7"/>
    <w:rsid w:val="000D7049"/>
    <w:rsid w:val="000D7426"/>
    <w:rsid w:val="000E057F"/>
    <w:rsid w:val="000E09BC"/>
    <w:rsid w:val="000E1C4F"/>
    <w:rsid w:val="000E2029"/>
    <w:rsid w:val="000E3589"/>
    <w:rsid w:val="000E3AE0"/>
    <w:rsid w:val="000E43B0"/>
    <w:rsid w:val="000E521D"/>
    <w:rsid w:val="000E538B"/>
    <w:rsid w:val="000E5C66"/>
    <w:rsid w:val="000E7660"/>
    <w:rsid w:val="000E76C8"/>
    <w:rsid w:val="000F04F1"/>
    <w:rsid w:val="000F06AB"/>
    <w:rsid w:val="000F0947"/>
    <w:rsid w:val="000F0EFD"/>
    <w:rsid w:val="000F1138"/>
    <w:rsid w:val="000F11BE"/>
    <w:rsid w:val="000F1553"/>
    <w:rsid w:val="000F17CC"/>
    <w:rsid w:val="000F2870"/>
    <w:rsid w:val="000F3DDE"/>
    <w:rsid w:val="000F4488"/>
    <w:rsid w:val="000F4ACA"/>
    <w:rsid w:val="000F4C67"/>
    <w:rsid w:val="000F58A6"/>
    <w:rsid w:val="000F62DC"/>
    <w:rsid w:val="000F6607"/>
    <w:rsid w:val="000F681C"/>
    <w:rsid w:val="000F6B4D"/>
    <w:rsid w:val="000F6D4D"/>
    <w:rsid w:val="000F71E5"/>
    <w:rsid w:val="000F7784"/>
    <w:rsid w:val="000F7999"/>
    <w:rsid w:val="001002B0"/>
    <w:rsid w:val="00100BBE"/>
    <w:rsid w:val="00101404"/>
    <w:rsid w:val="0010400D"/>
    <w:rsid w:val="001042A4"/>
    <w:rsid w:val="00104AE8"/>
    <w:rsid w:val="00104B04"/>
    <w:rsid w:val="00104D77"/>
    <w:rsid w:val="001056C7"/>
    <w:rsid w:val="00106324"/>
    <w:rsid w:val="0010697C"/>
    <w:rsid w:val="001070C9"/>
    <w:rsid w:val="001076F6"/>
    <w:rsid w:val="001078E5"/>
    <w:rsid w:val="001118FC"/>
    <w:rsid w:val="0011217E"/>
    <w:rsid w:val="001128AA"/>
    <w:rsid w:val="00112E8F"/>
    <w:rsid w:val="00113EFB"/>
    <w:rsid w:val="0011423B"/>
    <w:rsid w:val="001144E2"/>
    <w:rsid w:val="00114C1F"/>
    <w:rsid w:val="0011533C"/>
    <w:rsid w:val="00115AD0"/>
    <w:rsid w:val="00115B16"/>
    <w:rsid w:val="0011668C"/>
    <w:rsid w:val="001171E2"/>
    <w:rsid w:val="00117995"/>
    <w:rsid w:val="00117F56"/>
    <w:rsid w:val="00120792"/>
    <w:rsid w:val="00122003"/>
    <w:rsid w:val="00122D90"/>
    <w:rsid w:val="001232F0"/>
    <w:rsid w:val="001234BF"/>
    <w:rsid w:val="00123A40"/>
    <w:rsid w:val="0012434F"/>
    <w:rsid w:val="001243F7"/>
    <w:rsid w:val="00125573"/>
    <w:rsid w:val="00125B36"/>
    <w:rsid w:val="00125D34"/>
    <w:rsid w:val="00126048"/>
    <w:rsid w:val="001261B2"/>
    <w:rsid w:val="001268BC"/>
    <w:rsid w:val="00127952"/>
    <w:rsid w:val="00127C88"/>
    <w:rsid w:val="00127D59"/>
    <w:rsid w:val="001308A4"/>
    <w:rsid w:val="001328D1"/>
    <w:rsid w:val="00132C71"/>
    <w:rsid w:val="00133091"/>
    <w:rsid w:val="00135254"/>
    <w:rsid w:val="00135C6F"/>
    <w:rsid w:val="001364D7"/>
    <w:rsid w:val="00137206"/>
    <w:rsid w:val="00137587"/>
    <w:rsid w:val="00137CF3"/>
    <w:rsid w:val="00137FAB"/>
    <w:rsid w:val="0014112E"/>
    <w:rsid w:val="00141D25"/>
    <w:rsid w:val="00141DE3"/>
    <w:rsid w:val="001426D4"/>
    <w:rsid w:val="001434C5"/>
    <w:rsid w:val="001434EC"/>
    <w:rsid w:val="00143975"/>
    <w:rsid w:val="00143C36"/>
    <w:rsid w:val="00143D8D"/>
    <w:rsid w:val="00144D78"/>
    <w:rsid w:val="001459CB"/>
    <w:rsid w:val="00145A25"/>
    <w:rsid w:val="00145B4E"/>
    <w:rsid w:val="0014725F"/>
    <w:rsid w:val="00147311"/>
    <w:rsid w:val="00147E2F"/>
    <w:rsid w:val="00150F7A"/>
    <w:rsid w:val="00151E99"/>
    <w:rsid w:val="0015201E"/>
    <w:rsid w:val="00152156"/>
    <w:rsid w:val="001521ED"/>
    <w:rsid w:val="001525ED"/>
    <w:rsid w:val="0015264F"/>
    <w:rsid w:val="0015336C"/>
    <w:rsid w:val="00153CD9"/>
    <w:rsid w:val="00154E0D"/>
    <w:rsid w:val="00155452"/>
    <w:rsid w:val="001559CC"/>
    <w:rsid w:val="00156545"/>
    <w:rsid w:val="001565AA"/>
    <w:rsid w:val="00157526"/>
    <w:rsid w:val="00157AF1"/>
    <w:rsid w:val="001600E9"/>
    <w:rsid w:val="001610E5"/>
    <w:rsid w:val="00161BC8"/>
    <w:rsid w:val="001625EC"/>
    <w:rsid w:val="001639D7"/>
    <w:rsid w:val="00163B57"/>
    <w:rsid w:val="00163EAD"/>
    <w:rsid w:val="001658C8"/>
    <w:rsid w:val="001663BD"/>
    <w:rsid w:val="00167220"/>
    <w:rsid w:val="001703F0"/>
    <w:rsid w:val="001714F3"/>
    <w:rsid w:val="00171CAD"/>
    <w:rsid w:val="00172078"/>
    <w:rsid w:val="0017208E"/>
    <w:rsid w:val="00173A64"/>
    <w:rsid w:val="00174B1B"/>
    <w:rsid w:val="00175A67"/>
    <w:rsid w:val="0018005A"/>
    <w:rsid w:val="00180315"/>
    <w:rsid w:val="001831D2"/>
    <w:rsid w:val="0018361B"/>
    <w:rsid w:val="00183FDC"/>
    <w:rsid w:val="001840DD"/>
    <w:rsid w:val="001841A8"/>
    <w:rsid w:val="0018500E"/>
    <w:rsid w:val="0018576C"/>
    <w:rsid w:val="00185AF3"/>
    <w:rsid w:val="00185C05"/>
    <w:rsid w:val="00186377"/>
    <w:rsid w:val="00186E2A"/>
    <w:rsid w:val="00187656"/>
    <w:rsid w:val="00187F05"/>
    <w:rsid w:val="00190325"/>
    <w:rsid w:val="00190887"/>
    <w:rsid w:val="00190ECE"/>
    <w:rsid w:val="001916C2"/>
    <w:rsid w:val="00191B3C"/>
    <w:rsid w:val="0019371D"/>
    <w:rsid w:val="00193901"/>
    <w:rsid w:val="001940C8"/>
    <w:rsid w:val="001944D9"/>
    <w:rsid w:val="00194942"/>
    <w:rsid w:val="0019498C"/>
    <w:rsid w:val="00194F63"/>
    <w:rsid w:val="0019548D"/>
    <w:rsid w:val="001957BF"/>
    <w:rsid w:val="001A0BC7"/>
    <w:rsid w:val="001A0D77"/>
    <w:rsid w:val="001A1665"/>
    <w:rsid w:val="001A18A4"/>
    <w:rsid w:val="001A196A"/>
    <w:rsid w:val="001A2565"/>
    <w:rsid w:val="001A6A48"/>
    <w:rsid w:val="001A6AAB"/>
    <w:rsid w:val="001A6D86"/>
    <w:rsid w:val="001A701E"/>
    <w:rsid w:val="001A7A81"/>
    <w:rsid w:val="001A7CE7"/>
    <w:rsid w:val="001B0099"/>
    <w:rsid w:val="001B0C2C"/>
    <w:rsid w:val="001B1762"/>
    <w:rsid w:val="001B17AC"/>
    <w:rsid w:val="001B1BF5"/>
    <w:rsid w:val="001B1FF1"/>
    <w:rsid w:val="001B20E9"/>
    <w:rsid w:val="001B3582"/>
    <w:rsid w:val="001B3686"/>
    <w:rsid w:val="001B4042"/>
    <w:rsid w:val="001B407D"/>
    <w:rsid w:val="001B419D"/>
    <w:rsid w:val="001B4683"/>
    <w:rsid w:val="001B588D"/>
    <w:rsid w:val="001B612B"/>
    <w:rsid w:val="001B64A7"/>
    <w:rsid w:val="001B6F22"/>
    <w:rsid w:val="001C0264"/>
    <w:rsid w:val="001C0407"/>
    <w:rsid w:val="001C068C"/>
    <w:rsid w:val="001C1677"/>
    <w:rsid w:val="001C256D"/>
    <w:rsid w:val="001C2D07"/>
    <w:rsid w:val="001C2DBD"/>
    <w:rsid w:val="001C37D1"/>
    <w:rsid w:val="001C3B68"/>
    <w:rsid w:val="001C408E"/>
    <w:rsid w:val="001C54FE"/>
    <w:rsid w:val="001C64D6"/>
    <w:rsid w:val="001C7639"/>
    <w:rsid w:val="001C7835"/>
    <w:rsid w:val="001D1722"/>
    <w:rsid w:val="001D1C1C"/>
    <w:rsid w:val="001D2372"/>
    <w:rsid w:val="001D33D5"/>
    <w:rsid w:val="001D3766"/>
    <w:rsid w:val="001D477C"/>
    <w:rsid w:val="001D491D"/>
    <w:rsid w:val="001D49C5"/>
    <w:rsid w:val="001D4ACA"/>
    <w:rsid w:val="001D5475"/>
    <w:rsid w:val="001D6871"/>
    <w:rsid w:val="001D7174"/>
    <w:rsid w:val="001D77CB"/>
    <w:rsid w:val="001E0041"/>
    <w:rsid w:val="001E00A7"/>
    <w:rsid w:val="001E0987"/>
    <w:rsid w:val="001E0CF2"/>
    <w:rsid w:val="001E1EAF"/>
    <w:rsid w:val="001E235A"/>
    <w:rsid w:val="001E2878"/>
    <w:rsid w:val="001E2B3B"/>
    <w:rsid w:val="001E3F12"/>
    <w:rsid w:val="001E470F"/>
    <w:rsid w:val="001E7E72"/>
    <w:rsid w:val="001F0406"/>
    <w:rsid w:val="001F13C1"/>
    <w:rsid w:val="001F1E9A"/>
    <w:rsid w:val="001F272A"/>
    <w:rsid w:val="001F3111"/>
    <w:rsid w:val="001F3376"/>
    <w:rsid w:val="001F34FE"/>
    <w:rsid w:val="001F378D"/>
    <w:rsid w:val="001F3B90"/>
    <w:rsid w:val="001F40F4"/>
    <w:rsid w:val="001F446D"/>
    <w:rsid w:val="001F522D"/>
    <w:rsid w:val="001F54F8"/>
    <w:rsid w:val="001F5574"/>
    <w:rsid w:val="001F608A"/>
    <w:rsid w:val="001F6B0A"/>
    <w:rsid w:val="001F7109"/>
    <w:rsid w:val="002004B7"/>
    <w:rsid w:val="00200678"/>
    <w:rsid w:val="00200C34"/>
    <w:rsid w:val="00201320"/>
    <w:rsid w:val="0020145A"/>
    <w:rsid w:val="002014F0"/>
    <w:rsid w:val="0020204A"/>
    <w:rsid w:val="0020261C"/>
    <w:rsid w:val="002027E5"/>
    <w:rsid w:val="002034D3"/>
    <w:rsid w:val="002035E3"/>
    <w:rsid w:val="00203A53"/>
    <w:rsid w:val="00203F8C"/>
    <w:rsid w:val="00204212"/>
    <w:rsid w:val="002048C6"/>
    <w:rsid w:val="002048CE"/>
    <w:rsid w:val="002048EB"/>
    <w:rsid w:val="002049D6"/>
    <w:rsid w:val="00205185"/>
    <w:rsid w:val="00206723"/>
    <w:rsid w:val="0020725C"/>
    <w:rsid w:val="00207A19"/>
    <w:rsid w:val="002100C5"/>
    <w:rsid w:val="0021047B"/>
    <w:rsid w:val="002112EC"/>
    <w:rsid w:val="002113B9"/>
    <w:rsid w:val="002113C4"/>
    <w:rsid w:val="00211B6E"/>
    <w:rsid w:val="00211DDB"/>
    <w:rsid w:val="0021258B"/>
    <w:rsid w:val="00212C7E"/>
    <w:rsid w:val="00213C64"/>
    <w:rsid w:val="00213FFE"/>
    <w:rsid w:val="00214310"/>
    <w:rsid w:val="002144C7"/>
    <w:rsid w:val="0021619C"/>
    <w:rsid w:val="002162AE"/>
    <w:rsid w:val="00216C8C"/>
    <w:rsid w:val="002215B2"/>
    <w:rsid w:val="002216CF"/>
    <w:rsid w:val="00221800"/>
    <w:rsid w:val="00221AB7"/>
    <w:rsid w:val="00221F7B"/>
    <w:rsid w:val="00222172"/>
    <w:rsid w:val="00225178"/>
    <w:rsid w:val="00225767"/>
    <w:rsid w:val="00225BAD"/>
    <w:rsid w:val="00226A2B"/>
    <w:rsid w:val="00226AD8"/>
    <w:rsid w:val="0022710B"/>
    <w:rsid w:val="00227559"/>
    <w:rsid w:val="00227712"/>
    <w:rsid w:val="00227A5B"/>
    <w:rsid w:val="00227BA2"/>
    <w:rsid w:val="0023003C"/>
    <w:rsid w:val="0023332F"/>
    <w:rsid w:val="002371A2"/>
    <w:rsid w:val="00237532"/>
    <w:rsid w:val="00237843"/>
    <w:rsid w:val="0024030C"/>
    <w:rsid w:val="0024117D"/>
    <w:rsid w:val="002412A5"/>
    <w:rsid w:val="00241848"/>
    <w:rsid w:val="00242222"/>
    <w:rsid w:val="00242433"/>
    <w:rsid w:val="00242611"/>
    <w:rsid w:val="00242801"/>
    <w:rsid w:val="00244B71"/>
    <w:rsid w:val="00244F32"/>
    <w:rsid w:val="002457DE"/>
    <w:rsid w:val="00246435"/>
    <w:rsid w:val="0024696F"/>
    <w:rsid w:val="00246BCF"/>
    <w:rsid w:val="00246E02"/>
    <w:rsid w:val="00246F56"/>
    <w:rsid w:val="0025078D"/>
    <w:rsid w:val="00251245"/>
    <w:rsid w:val="00251CA2"/>
    <w:rsid w:val="00251DC5"/>
    <w:rsid w:val="00251ECB"/>
    <w:rsid w:val="00252D2D"/>
    <w:rsid w:val="00252E4C"/>
    <w:rsid w:val="00252EAB"/>
    <w:rsid w:val="0025328D"/>
    <w:rsid w:val="00254149"/>
    <w:rsid w:val="00254BA1"/>
    <w:rsid w:val="00255F0F"/>
    <w:rsid w:val="00256C5C"/>
    <w:rsid w:val="002571F3"/>
    <w:rsid w:val="00257977"/>
    <w:rsid w:val="0026012D"/>
    <w:rsid w:val="002601BB"/>
    <w:rsid w:val="0026058B"/>
    <w:rsid w:val="002608E5"/>
    <w:rsid w:val="00261189"/>
    <w:rsid w:val="00261363"/>
    <w:rsid w:val="00261583"/>
    <w:rsid w:val="00261F89"/>
    <w:rsid w:val="00262B65"/>
    <w:rsid w:val="00263268"/>
    <w:rsid w:val="0026345C"/>
    <w:rsid w:val="002649E7"/>
    <w:rsid w:val="002653F4"/>
    <w:rsid w:val="0026566E"/>
    <w:rsid w:val="00265801"/>
    <w:rsid w:val="00265918"/>
    <w:rsid w:val="00267424"/>
    <w:rsid w:val="00270834"/>
    <w:rsid w:val="00270FBF"/>
    <w:rsid w:val="0027195F"/>
    <w:rsid w:val="00271F3B"/>
    <w:rsid w:val="00272F44"/>
    <w:rsid w:val="00273D81"/>
    <w:rsid w:val="00273E86"/>
    <w:rsid w:val="00275920"/>
    <w:rsid w:val="002761BA"/>
    <w:rsid w:val="002763F0"/>
    <w:rsid w:val="002802D1"/>
    <w:rsid w:val="00280DB8"/>
    <w:rsid w:val="00281276"/>
    <w:rsid w:val="002814E6"/>
    <w:rsid w:val="00281A54"/>
    <w:rsid w:val="00281BDD"/>
    <w:rsid w:val="00282AE5"/>
    <w:rsid w:val="00283EC4"/>
    <w:rsid w:val="00285339"/>
    <w:rsid w:val="00285B60"/>
    <w:rsid w:val="00286370"/>
    <w:rsid w:val="002869DF"/>
    <w:rsid w:val="00287114"/>
    <w:rsid w:val="0028793A"/>
    <w:rsid w:val="002920C6"/>
    <w:rsid w:val="0029271C"/>
    <w:rsid w:val="002936B4"/>
    <w:rsid w:val="00294A52"/>
    <w:rsid w:val="00294BFB"/>
    <w:rsid w:val="00295330"/>
    <w:rsid w:val="00295FD1"/>
    <w:rsid w:val="00296E6D"/>
    <w:rsid w:val="002A0996"/>
    <w:rsid w:val="002A1CFA"/>
    <w:rsid w:val="002A2749"/>
    <w:rsid w:val="002A3B18"/>
    <w:rsid w:val="002A556F"/>
    <w:rsid w:val="002A55B0"/>
    <w:rsid w:val="002A57CE"/>
    <w:rsid w:val="002A610D"/>
    <w:rsid w:val="002A6B46"/>
    <w:rsid w:val="002A7263"/>
    <w:rsid w:val="002B023B"/>
    <w:rsid w:val="002B0577"/>
    <w:rsid w:val="002B0A6C"/>
    <w:rsid w:val="002B0AE4"/>
    <w:rsid w:val="002B13A1"/>
    <w:rsid w:val="002B14B1"/>
    <w:rsid w:val="002B178D"/>
    <w:rsid w:val="002B26D6"/>
    <w:rsid w:val="002B2FA5"/>
    <w:rsid w:val="002B30DE"/>
    <w:rsid w:val="002B3159"/>
    <w:rsid w:val="002B37B4"/>
    <w:rsid w:val="002B39D4"/>
    <w:rsid w:val="002B3C2E"/>
    <w:rsid w:val="002B3E0D"/>
    <w:rsid w:val="002B3E30"/>
    <w:rsid w:val="002B45FE"/>
    <w:rsid w:val="002B4BE9"/>
    <w:rsid w:val="002B500A"/>
    <w:rsid w:val="002B55EF"/>
    <w:rsid w:val="002B56CD"/>
    <w:rsid w:val="002B5A45"/>
    <w:rsid w:val="002B5BF6"/>
    <w:rsid w:val="002B5C5B"/>
    <w:rsid w:val="002B665E"/>
    <w:rsid w:val="002B6E0D"/>
    <w:rsid w:val="002B7155"/>
    <w:rsid w:val="002B74A7"/>
    <w:rsid w:val="002B7570"/>
    <w:rsid w:val="002B7B69"/>
    <w:rsid w:val="002B7D5A"/>
    <w:rsid w:val="002C1334"/>
    <w:rsid w:val="002C16C1"/>
    <w:rsid w:val="002C18A4"/>
    <w:rsid w:val="002C34D7"/>
    <w:rsid w:val="002C45C4"/>
    <w:rsid w:val="002C4B9E"/>
    <w:rsid w:val="002C4F47"/>
    <w:rsid w:val="002C5D2D"/>
    <w:rsid w:val="002C6D01"/>
    <w:rsid w:val="002C7020"/>
    <w:rsid w:val="002C7160"/>
    <w:rsid w:val="002D0002"/>
    <w:rsid w:val="002D00AA"/>
    <w:rsid w:val="002D1450"/>
    <w:rsid w:val="002D2317"/>
    <w:rsid w:val="002D2ACA"/>
    <w:rsid w:val="002D36CB"/>
    <w:rsid w:val="002D41A3"/>
    <w:rsid w:val="002D5488"/>
    <w:rsid w:val="002D677D"/>
    <w:rsid w:val="002D67BF"/>
    <w:rsid w:val="002D6DA9"/>
    <w:rsid w:val="002D6FCA"/>
    <w:rsid w:val="002D7197"/>
    <w:rsid w:val="002D7563"/>
    <w:rsid w:val="002D7F99"/>
    <w:rsid w:val="002E0228"/>
    <w:rsid w:val="002E14B1"/>
    <w:rsid w:val="002E3F72"/>
    <w:rsid w:val="002E5103"/>
    <w:rsid w:val="002E5A6A"/>
    <w:rsid w:val="002E788A"/>
    <w:rsid w:val="002E7A0E"/>
    <w:rsid w:val="002F115B"/>
    <w:rsid w:val="002F1829"/>
    <w:rsid w:val="002F36DF"/>
    <w:rsid w:val="002F3D84"/>
    <w:rsid w:val="002F3F29"/>
    <w:rsid w:val="002F4BCE"/>
    <w:rsid w:val="002F6386"/>
    <w:rsid w:val="0030187F"/>
    <w:rsid w:val="003018A7"/>
    <w:rsid w:val="00302705"/>
    <w:rsid w:val="0030285A"/>
    <w:rsid w:val="00302A17"/>
    <w:rsid w:val="00303269"/>
    <w:rsid w:val="00303941"/>
    <w:rsid w:val="00303CA0"/>
    <w:rsid w:val="0030473A"/>
    <w:rsid w:val="003050C6"/>
    <w:rsid w:val="00305171"/>
    <w:rsid w:val="003053F8"/>
    <w:rsid w:val="00306047"/>
    <w:rsid w:val="003067B1"/>
    <w:rsid w:val="00307230"/>
    <w:rsid w:val="003077B3"/>
    <w:rsid w:val="00307DA8"/>
    <w:rsid w:val="003104ED"/>
    <w:rsid w:val="00310814"/>
    <w:rsid w:val="00310B80"/>
    <w:rsid w:val="00310C02"/>
    <w:rsid w:val="003123F4"/>
    <w:rsid w:val="003126B0"/>
    <w:rsid w:val="00313502"/>
    <w:rsid w:val="003136DF"/>
    <w:rsid w:val="003144FE"/>
    <w:rsid w:val="00314A7B"/>
    <w:rsid w:val="00315B16"/>
    <w:rsid w:val="00315CD9"/>
    <w:rsid w:val="00316105"/>
    <w:rsid w:val="00320829"/>
    <w:rsid w:val="00321207"/>
    <w:rsid w:val="003219B0"/>
    <w:rsid w:val="00322018"/>
    <w:rsid w:val="00322478"/>
    <w:rsid w:val="003230DA"/>
    <w:rsid w:val="003232A1"/>
    <w:rsid w:val="00323400"/>
    <w:rsid w:val="0032423B"/>
    <w:rsid w:val="0032531A"/>
    <w:rsid w:val="00325B8B"/>
    <w:rsid w:val="00326032"/>
    <w:rsid w:val="00326291"/>
    <w:rsid w:val="00326A36"/>
    <w:rsid w:val="00326D8C"/>
    <w:rsid w:val="00326F51"/>
    <w:rsid w:val="00331D23"/>
    <w:rsid w:val="00331EB5"/>
    <w:rsid w:val="00333B8D"/>
    <w:rsid w:val="00334073"/>
    <w:rsid w:val="00334188"/>
    <w:rsid w:val="00334598"/>
    <w:rsid w:val="00334ED9"/>
    <w:rsid w:val="00335A77"/>
    <w:rsid w:val="00335C09"/>
    <w:rsid w:val="00335C18"/>
    <w:rsid w:val="00335C62"/>
    <w:rsid w:val="00336B69"/>
    <w:rsid w:val="00336BBA"/>
    <w:rsid w:val="00336ECB"/>
    <w:rsid w:val="00337641"/>
    <w:rsid w:val="00341F5D"/>
    <w:rsid w:val="00345CB3"/>
    <w:rsid w:val="0034680A"/>
    <w:rsid w:val="00346B47"/>
    <w:rsid w:val="00346E3C"/>
    <w:rsid w:val="003475F7"/>
    <w:rsid w:val="00347B66"/>
    <w:rsid w:val="0035025A"/>
    <w:rsid w:val="00350850"/>
    <w:rsid w:val="00351006"/>
    <w:rsid w:val="00352933"/>
    <w:rsid w:val="0035314D"/>
    <w:rsid w:val="00354696"/>
    <w:rsid w:val="0035519A"/>
    <w:rsid w:val="0035521E"/>
    <w:rsid w:val="00355304"/>
    <w:rsid w:val="00356C4E"/>
    <w:rsid w:val="00357C46"/>
    <w:rsid w:val="00362003"/>
    <w:rsid w:val="00362586"/>
    <w:rsid w:val="003627A6"/>
    <w:rsid w:val="00363FF8"/>
    <w:rsid w:val="003640E1"/>
    <w:rsid w:val="003659DA"/>
    <w:rsid w:val="00365C20"/>
    <w:rsid w:val="00365C40"/>
    <w:rsid w:val="00366E81"/>
    <w:rsid w:val="003706AC"/>
    <w:rsid w:val="003710D9"/>
    <w:rsid w:val="00371AC6"/>
    <w:rsid w:val="00372527"/>
    <w:rsid w:val="0037268C"/>
    <w:rsid w:val="00372FC1"/>
    <w:rsid w:val="00373B21"/>
    <w:rsid w:val="00373E2F"/>
    <w:rsid w:val="00373EBD"/>
    <w:rsid w:val="00376491"/>
    <w:rsid w:val="00376865"/>
    <w:rsid w:val="00376920"/>
    <w:rsid w:val="0037703E"/>
    <w:rsid w:val="003770EC"/>
    <w:rsid w:val="0037721D"/>
    <w:rsid w:val="00377C6F"/>
    <w:rsid w:val="00377D9F"/>
    <w:rsid w:val="0038102A"/>
    <w:rsid w:val="003812A5"/>
    <w:rsid w:val="00382980"/>
    <w:rsid w:val="003833B4"/>
    <w:rsid w:val="00383B84"/>
    <w:rsid w:val="0038405D"/>
    <w:rsid w:val="003840F2"/>
    <w:rsid w:val="003848AE"/>
    <w:rsid w:val="0038557A"/>
    <w:rsid w:val="00385781"/>
    <w:rsid w:val="0038691A"/>
    <w:rsid w:val="003872B6"/>
    <w:rsid w:val="00387320"/>
    <w:rsid w:val="00387420"/>
    <w:rsid w:val="00387AC6"/>
    <w:rsid w:val="003918D2"/>
    <w:rsid w:val="00392377"/>
    <w:rsid w:val="00392420"/>
    <w:rsid w:val="00392831"/>
    <w:rsid w:val="00392866"/>
    <w:rsid w:val="00392DFF"/>
    <w:rsid w:val="003933BD"/>
    <w:rsid w:val="00393CA9"/>
    <w:rsid w:val="00393DEB"/>
    <w:rsid w:val="0039404C"/>
    <w:rsid w:val="003943D0"/>
    <w:rsid w:val="00395144"/>
    <w:rsid w:val="003959F0"/>
    <w:rsid w:val="00395A3E"/>
    <w:rsid w:val="00395A71"/>
    <w:rsid w:val="00395E55"/>
    <w:rsid w:val="00395EAB"/>
    <w:rsid w:val="003965BF"/>
    <w:rsid w:val="003A0A17"/>
    <w:rsid w:val="003A125F"/>
    <w:rsid w:val="003A22F3"/>
    <w:rsid w:val="003A278E"/>
    <w:rsid w:val="003A2F40"/>
    <w:rsid w:val="003A33A7"/>
    <w:rsid w:val="003A39E0"/>
    <w:rsid w:val="003A3E19"/>
    <w:rsid w:val="003A4751"/>
    <w:rsid w:val="003A4F6F"/>
    <w:rsid w:val="003A53EA"/>
    <w:rsid w:val="003A5A4D"/>
    <w:rsid w:val="003A5BC8"/>
    <w:rsid w:val="003A653E"/>
    <w:rsid w:val="003A6BAB"/>
    <w:rsid w:val="003A778E"/>
    <w:rsid w:val="003A79E4"/>
    <w:rsid w:val="003A7ADE"/>
    <w:rsid w:val="003A7F2A"/>
    <w:rsid w:val="003B0323"/>
    <w:rsid w:val="003B2B75"/>
    <w:rsid w:val="003B2D4E"/>
    <w:rsid w:val="003B3429"/>
    <w:rsid w:val="003B3C26"/>
    <w:rsid w:val="003B5AF7"/>
    <w:rsid w:val="003B6072"/>
    <w:rsid w:val="003B66A6"/>
    <w:rsid w:val="003B6E2C"/>
    <w:rsid w:val="003B7DB1"/>
    <w:rsid w:val="003C01D4"/>
    <w:rsid w:val="003C0DAF"/>
    <w:rsid w:val="003C1E87"/>
    <w:rsid w:val="003C29C1"/>
    <w:rsid w:val="003C2CC3"/>
    <w:rsid w:val="003C3159"/>
    <w:rsid w:val="003C34D6"/>
    <w:rsid w:val="003C5374"/>
    <w:rsid w:val="003C5FC6"/>
    <w:rsid w:val="003C6139"/>
    <w:rsid w:val="003C64AA"/>
    <w:rsid w:val="003C69BF"/>
    <w:rsid w:val="003C6D84"/>
    <w:rsid w:val="003C71B8"/>
    <w:rsid w:val="003D00D8"/>
    <w:rsid w:val="003D09EE"/>
    <w:rsid w:val="003D104E"/>
    <w:rsid w:val="003D2344"/>
    <w:rsid w:val="003D23A3"/>
    <w:rsid w:val="003D2D07"/>
    <w:rsid w:val="003D2E8E"/>
    <w:rsid w:val="003D41F7"/>
    <w:rsid w:val="003D4571"/>
    <w:rsid w:val="003D4A26"/>
    <w:rsid w:val="003D5856"/>
    <w:rsid w:val="003D6564"/>
    <w:rsid w:val="003D66FD"/>
    <w:rsid w:val="003D7189"/>
    <w:rsid w:val="003D74EC"/>
    <w:rsid w:val="003D7909"/>
    <w:rsid w:val="003E0201"/>
    <w:rsid w:val="003E0558"/>
    <w:rsid w:val="003E1EBB"/>
    <w:rsid w:val="003E2FD2"/>
    <w:rsid w:val="003E3508"/>
    <w:rsid w:val="003E3636"/>
    <w:rsid w:val="003E3C41"/>
    <w:rsid w:val="003E48C2"/>
    <w:rsid w:val="003E4B4D"/>
    <w:rsid w:val="003E745F"/>
    <w:rsid w:val="003E787C"/>
    <w:rsid w:val="003F0821"/>
    <w:rsid w:val="003F15A1"/>
    <w:rsid w:val="003F2631"/>
    <w:rsid w:val="003F38A5"/>
    <w:rsid w:val="003F40C2"/>
    <w:rsid w:val="003F4388"/>
    <w:rsid w:val="003F4DBA"/>
    <w:rsid w:val="003F4FBA"/>
    <w:rsid w:val="003F5F37"/>
    <w:rsid w:val="003F6DBA"/>
    <w:rsid w:val="003F6F1A"/>
    <w:rsid w:val="003F74CE"/>
    <w:rsid w:val="003F7BDB"/>
    <w:rsid w:val="0040060F"/>
    <w:rsid w:val="00401413"/>
    <w:rsid w:val="00401803"/>
    <w:rsid w:val="00401DA0"/>
    <w:rsid w:val="00402EDB"/>
    <w:rsid w:val="004031B7"/>
    <w:rsid w:val="00403267"/>
    <w:rsid w:val="00403898"/>
    <w:rsid w:val="00403C14"/>
    <w:rsid w:val="00403DE4"/>
    <w:rsid w:val="00404E4F"/>
    <w:rsid w:val="00405B75"/>
    <w:rsid w:val="00405ECE"/>
    <w:rsid w:val="004061CF"/>
    <w:rsid w:val="004064F7"/>
    <w:rsid w:val="00406D55"/>
    <w:rsid w:val="00407BF2"/>
    <w:rsid w:val="00407ED8"/>
    <w:rsid w:val="004102AE"/>
    <w:rsid w:val="0041165D"/>
    <w:rsid w:val="00411728"/>
    <w:rsid w:val="00412926"/>
    <w:rsid w:val="004144FD"/>
    <w:rsid w:val="00414846"/>
    <w:rsid w:val="00415E14"/>
    <w:rsid w:val="00416815"/>
    <w:rsid w:val="004169AB"/>
    <w:rsid w:val="00416E7A"/>
    <w:rsid w:val="0041718D"/>
    <w:rsid w:val="00417EF1"/>
    <w:rsid w:val="004202E1"/>
    <w:rsid w:val="00420F0E"/>
    <w:rsid w:val="0042290C"/>
    <w:rsid w:val="00422D6F"/>
    <w:rsid w:val="0042339A"/>
    <w:rsid w:val="00424736"/>
    <w:rsid w:val="0042508F"/>
    <w:rsid w:val="00425B89"/>
    <w:rsid w:val="00426285"/>
    <w:rsid w:val="004271E1"/>
    <w:rsid w:val="00427479"/>
    <w:rsid w:val="00430BC4"/>
    <w:rsid w:val="0043102F"/>
    <w:rsid w:val="004313BA"/>
    <w:rsid w:val="00432D2D"/>
    <w:rsid w:val="0043325E"/>
    <w:rsid w:val="0043326D"/>
    <w:rsid w:val="00433CF3"/>
    <w:rsid w:val="00433EB3"/>
    <w:rsid w:val="004345BD"/>
    <w:rsid w:val="004348DE"/>
    <w:rsid w:val="0043589E"/>
    <w:rsid w:val="00435F08"/>
    <w:rsid w:val="004362C9"/>
    <w:rsid w:val="00436444"/>
    <w:rsid w:val="00437636"/>
    <w:rsid w:val="004379C2"/>
    <w:rsid w:val="00437A07"/>
    <w:rsid w:val="0044009A"/>
    <w:rsid w:val="004400E8"/>
    <w:rsid w:val="00440D0D"/>
    <w:rsid w:val="00441A56"/>
    <w:rsid w:val="00441D8A"/>
    <w:rsid w:val="0044250C"/>
    <w:rsid w:val="00442AE0"/>
    <w:rsid w:val="00442B28"/>
    <w:rsid w:val="00442BAA"/>
    <w:rsid w:val="00442E6D"/>
    <w:rsid w:val="0044382E"/>
    <w:rsid w:val="00443967"/>
    <w:rsid w:val="004442F1"/>
    <w:rsid w:val="0044445D"/>
    <w:rsid w:val="00444475"/>
    <w:rsid w:val="0044556C"/>
    <w:rsid w:val="00445EC3"/>
    <w:rsid w:val="0044600D"/>
    <w:rsid w:val="00446014"/>
    <w:rsid w:val="00446439"/>
    <w:rsid w:val="00446EFA"/>
    <w:rsid w:val="004473C8"/>
    <w:rsid w:val="00447699"/>
    <w:rsid w:val="00447902"/>
    <w:rsid w:val="004502A9"/>
    <w:rsid w:val="00450703"/>
    <w:rsid w:val="00451292"/>
    <w:rsid w:val="004516E3"/>
    <w:rsid w:val="00452794"/>
    <w:rsid w:val="00452EEA"/>
    <w:rsid w:val="00453DB4"/>
    <w:rsid w:val="004544D6"/>
    <w:rsid w:val="0045462A"/>
    <w:rsid w:val="00454719"/>
    <w:rsid w:val="004548E1"/>
    <w:rsid w:val="00454C29"/>
    <w:rsid w:val="00455D70"/>
    <w:rsid w:val="004567D6"/>
    <w:rsid w:val="00456DC0"/>
    <w:rsid w:val="00456F3C"/>
    <w:rsid w:val="00457917"/>
    <w:rsid w:val="0045792A"/>
    <w:rsid w:val="00457F91"/>
    <w:rsid w:val="00460DA0"/>
    <w:rsid w:val="00461B33"/>
    <w:rsid w:val="00461CE9"/>
    <w:rsid w:val="0046217C"/>
    <w:rsid w:val="0046220C"/>
    <w:rsid w:val="00462407"/>
    <w:rsid w:val="00462A33"/>
    <w:rsid w:val="004635FD"/>
    <w:rsid w:val="00464C25"/>
    <w:rsid w:val="00465DC3"/>
    <w:rsid w:val="004661B7"/>
    <w:rsid w:val="004665BC"/>
    <w:rsid w:val="004666AE"/>
    <w:rsid w:val="00466768"/>
    <w:rsid w:val="00466D42"/>
    <w:rsid w:val="00470129"/>
    <w:rsid w:val="00470BBB"/>
    <w:rsid w:val="00470EE9"/>
    <w:rsid w:val="00470F83"/>
    <w:rsid w:val="00471B55"/>
    <w:rsid w:val="00473192"/>
    <w:rsid w:val="00473365"/>
    <w:rsid w:val="00473D64"/>
    <w:rsid w:val="004742DD"/>
    <w:rsid w:val="00474385"/>
    <w:rsid w:val="00474AB5"/>
    <w:rsid w:val="004750E6"/>
    <w:rsid w:val="0047601B"/>
    <w:rsid w:val="004761EF"/>
    <w:rsid w:val="00476862"/>
    <w:rsid w:val="0047772E"/>
    <w:rsid w:val="00480309"/>
    <w:rsid w:val="00481660"/>
    <w:rsid w:val="0048175C"/>
    <w:rsid w:val="00481BC3"/>
    <w:rsid w:val="00485990"/>
    <w:rsid w:val="00485C14"/>
    <w:rsid w:val="00486CC3"/>
    <w:rsid w:val="00486EA7"/>
    <w:rsid w:val="00490BC6"/>
    <w:rsid w:val="00492FE9"/>
    <w:rsid w:val="00493740"/>
    <w:rsid w:val="004947F2"/>
    <w:rsid w:val="004966DC"/>
    <w:rsid w:val="00496700"/>
    <w:rsid w:val="00496E38"/>
    <w:rsid w:val="004970ED"/>
    <w:rsid w:val="00497D10"/>
    <w:rsid w:val="004A115F"/>
    <w:rsid w:val="004A31D7"/>
    <w:rsid w:val="004A34C2"/>
    <w:rsid w:val="004A3B90"/>
    <w:rsid w:val="004A3BBF"/>
    <w:rsid w:val="004A3EF3"/>
    <w:rsid w:val="004A5586"/>
    <w:rsid w:val="004A5C6C"/>
    <w:rsid w:val="004A6429"/>
    <w:rsid w:val="004A6F6C"/>
    <w:rsid w:val="004A7208"/>
    <w:rsid w:val="004A7A7D"/>
    <w:rsid w:val="004B14E3"/>
    <w:rsid w:val="004B1531"/>
    <w:rsid w:val="004B47DD"/>
    <w:rsid w:val="004B609E"/>
    <w:rsid w:val="004B654F"/>
    <w:rsid w:val="004B6FBF"/>
    <w:rsid w:val="004B6FCE"/>
    <w:rsid w:val="004B74E9"/>
    <w:rsid w:val="004B76F6"/>
    <w:rsid w:val="004B787D"/>
    <w:rsid w:val="004C0583"/>
    <w:rsid w:val="004C1E8E"/>
    <w:rsid w:val="004C3010"/>
    <w:rsid w:val="004C34D2"/>
    <w:rsid w:val="004C4566"/>
    <w:rsid w:val="004C4823"/>
    <w:rsid w:val="004C4999"/>
    <w:rsid w:val="004C4D6D"/>
    <w:rsid w:val="004C517F"/>
    <w:rsid w:val="004C58DE"/>
    <w:rsid w:val="004C5A58"/>
    <w:rsid w:val="004C6D24"/>
    <w:rsid w:val="004D0169"/>
    <w:rsid w:val="004D027E"/>
    <w:rsid w:val="004D0313"/>
    <w:rsid w:val="004D2D2C"/>
    <w:rsid w:val="004D35EB"/>
    <w:rsid w:val="004D4343"/>
    <w:rsid w:val="004D450B"/>
    <w:rsid w:val="004D4FC3"/>
    <w:rsid w:val="004D5124"/>
    <w:rsid w:val="004D5533"/>
    <w:rsid w:val="004D6F84"/>
    <w:rsid w:val="004D7331"/>
    <w:rsid w:val="004D7815"/>
    <w:rsid w:val="004E0EE0"/>
    <w:rsid w:val="004E1233"/>
    <w:rsid w:val="004E1422"/>
    <w:rsid w:val="004E143B"/>
    <w:rsid w:val="004E28C6"/>
    <w:rsid w:val="004E2EBD"/>
    <w:rsid w:val="004E4056"/>
    <w:rsid w:val="004E4336"/>
    <w:rsid w:val="004E51B4"/>
    <w:rsid w:val="004E5950"/>
    <w:rsid w:val="004E648D"/>
    <w:rsid w:val="004E6DE1"/>
    <w:rsid w:val="004E7466"/>
    <w:rsid w:val="004F01B9"/>
    <w:rsid w:val="004F10E0"/>
    <w:rsid w:val="004F138F"/>
    <w:rsid w:val="004F1648"/>
    <w:rsid w:val="004F20CB"/>
    <w:rsid w:val="004F411D"/>
    <w:rsid w:val="004F420C"/>
    <w:rsid w:val="004F49C1"/>
    <w:rsid w:val="004F5824"/>
    <w:rsid w:val="004F5CCE"/>
    <w:rsid w:val="00500123"/>
    <w:rsid w:val="00501DF4"/>
    <w:rsid w:val="00502951"/>
    <w:rsid w:val="00502A46"/>
    <w:rsid w:val="00503EFA"/>
    <w:rsid w:val="005047B3"/>
    <w:rsid w:val="005047EA"/>
    <w:rsid w:val="00504D4E"/>
    <w:rsid w:val="00505069"/>
    <w:rsid w:val="0050566F"/>
    <w:rsid w:val="0050670B"/>
    <w:rsid w:val="0050744E"/>
    <w:rsid w:val="005074FC"/>
    <w:rsid w:val="00510283"/>
    <w:rsid w:val="0051171B"/>
    <w:rsid w:val="00511B29"/>
    <w:rsid w:val="00511BC3"/>
    <w:rsid w:val="00513E36"/>
    <w:rsid w:val="00513E5E"/>
    <w:rsid w:val="005141E8"/>
    <w:rsid w:val="00514D83"/>
    <w:rsid w:val="005156E6"/>
    <w:rsid w:val="005168BC"/>
    <w:rsid w:val="00516A89"/>
    <w:rsid w:val="00517489"/>
    <w:rsid w:val="00517615"/>
    <w:rsid w:val="00520F3A"/>
    <w:rsid w:val="00521618"/>
    <w:rsid w:val="0052194E"/>
    <w:rsid w:val="0052218C"/>
    <w:rsid w:val="00522B31"/>
    <w:rsid w:val="00522D31"/>
    <w:rsid w:val="00522D95"/>
    <w:rsid w:val="00522F1B"/>
    <w:rsid w:val="0052347E"/>
    <w:rsid w:val="00523A47"/>
    <w:rsid w:val="00523F36"/>
    <w:rsid w:val="00524A7A"/>
    <w:rsid w:val="00525285"/>
    <w:rsid w:val="00525ED5"/>
    <w:rsid w:val="0052634D"/>
    <w:rsid w:val="005279E9"/>
    <w:rsid w:val="00527A18"/>
    <w:rsid w:val="00530BDD"/>
    <w:rsid w:val="005314DA"/>
    <w:rsid w:val="00532739"/>
    <w:rsid w:val="00532A1F"/>
    <w:rsid w:val="00532B85"/>
    <w:rsid w:val="005336FF"/>
    <w:rsid w:val="00533AFF"/>
    <w:rsid w:val="00534CC5"/>
    <w:rsid w:val="00535895"/>
    <w:rsid w:val="0053596E"/>
    <w:rsid w:val="00536218"/>
    <w:rsid w:val="00536DBE"/>
    <w:rsid w:val="00540B70"/>
    <w:rsid w:val="00540C83"/>
    <w:rsid w:val="0054148C"/>
    <w:rsid w:val="00541749"/>
    <w:rsid w:val="005420CB"/>
    <w:rsid w:val="005430D4"/>
    <w:rsid w:val="00543A2A"/>
    <w:rsid w:val="00543BCB"/>
    <w:rsid w:val="00543C8A"/>
    <w:rsid w:val="005443F8"/>
    <w:rsid w:val="005452B1"/>
    <w:rsid w:val="005469B5"/>
    <w:rsid w:val="00546CDA"/>
    <w:rsid w:val="00546FBF"/>
    <w:rsid w:val="00547002"/>
    <w:rsid w:val="0054727A"/>
    <w:rsid w:val="00547849"/>
    <w:rsid w:val="005506AA"/>
    <w:rsid w:val="00550C99"/>
    <w:rsid w:val="00550F46"/>
    <w:rsid w:val="00551F5E"/>
    <w:rsid w:val="005522AF"/>
    <w:rsid w:val="005522B4"/>
    <w:rsid w:val="0055313C"/>
    <w:rsid w:val="00553413"/>
    <w:rsid w:val="005546E1"/>
    <w:rsid w:val="00554D93"/>
    <w:rsid w:val="00554FF9"/>
    <w:rsid w:val="00556EA1"/>
    <w:rsid w:val="0055719B"/>
    <w:rsid w:val="00561129"/>
    <w:rsid w:val="0056180C"/>
    <w:rsid w:val="00562410"/>
    <w:rsid w:val="00562F58"/>
    <w:rsid w:val="00564040"/>
    <w:rsid w:val="00564D11"/>
    <w:rsid w:val="00565275"/>
    <w:rsid w:val="00567171"/>
    <w:rsid w:val="00567487"/>
    <w:rsid w:val="00567F1D"/>
    <w:rsid w:val="00571371"/>
    <w:rsid w:val="00571B9C"/>
    <w:rsid w:val="00571C03"/>
    <w:rsid w:val="005721E2"/>
    <w:rsid w:val="00572785"/>
    <w:rsid w:val="005730EC"/>
    <w:rsid w:val="00573C39"/>
    <w:rsid w:val="005743A0"/>
    <w:rsid w:val="005754AB"/>
    <w:rsid w:val="005756BA"/>
    <w:rsid w:val="00575C8A"/>
    <w:rsid w:val="00576794"/>
    <w:rsid w:val="00576DEB"/>
    <w:rsid w:val="0057732D"/>
    <w:rsid w:val="005773EE"/>
    <w:rsid w:val="005801B2"/>
    <w:rsid w:val="005802FE"/>
    <w:rsid w:val="005805D7"/>
    <w:rsid w:val="005826F4"/>
    <w:rsid w:val="00582F45"/>
    <w:rsid w:val="0058369E"/>
    <w:rsid w:val="00583E9D"/>
    <w:rsid w:val="005849AC"/>
    <w:rsid w:val="00585395"/>
    <w:rsid w:val="00585A10"/>
    <w:rsid w:val="00585C0E"/>
    <w:rsid w:val="00586E1C"/>
    <w:rsid w:val="005875DD"/>
    <w:rsid w:val="005876FD"/>
    <w:rsid w:val="0059156A"/>
    <w:rsid w:val="0059199C"/>
    <w:rsid w:val="00593314"/>
    <w:rsid w:val="0059368E"/>
    <w:rsid w:val="0059379B"/>
    <w:rsid w:val="00593BF5"/>
    <w:rsid w:val="00594316"/>
    <w:rsid w:val="00594496"/>
    <w:rsid w:val="00594657"/>
    <w:rsid w:val="0059583E"/>
    <w:rsid w:val="0059627A"/>
    <w:rsid w:val="00596365"/>
    <w:rsid w:val="005964DE"/>
    <w:rsid w:val="005965BC"/>
    <w:rsid w:val="00596ACD"/>
    <w:rsid w:val="0059729C"/>
    <w:rsid w:val="00597A27"/>
    <w:rsid w:val="00597FA6"/>
    <w:rsid w:val="005A0537"/>
    <w:rsid w:val="005A0C7A"/>
    <w:rsid w:val="005A0DF1"/>
    <w:rsid w:val="005A2816"/>
    <w:rsid w:val="005A3C5B"/>
    <w:rsid w:val="005A53D6"/>
    <w:rsid w:val="005A5572"/>
    <w:rsid w:val="005A7E78"/>
    <w:rsid w:val="005A7EE9"/>
    <w:rsid w:val="005B01F0"/>
    <w:rsid w:val="005B03ED"/>
    <w:rsid w:val="005B1776"/>
    <w:rsid w:val="005B34F0"/>
    <w:rsid w:val="005B3DFC"/>
    <w:rsid w:val="005B512D"/>
    <w:rsid w:val="005B5B90"/>
    <w:rsid w:val="005B657D"/>
    <w:rsid w:val="005B7FE4"/>
    <w:rsid w:val="005C02CB"/>
    <w:rsid w:val="005C0A94"/>
    <w:rsid w:val="005C0BD0"/>
    <w:rsid w:val="005C1675"/>
    <w:rsid w:val="005C37E0"/>
    <w:rsid w:val="005C3F9A"/>
    <w:rsid w:val="005C54B9"/>
    <w:rsid w:val="005C6618"/>
    <w:rsid w:val="005C6F17"/>
    <w:rsid w:val="005C788F"/>
    <w:rsid w:val="005C7A78"/>
    <w:rsid w:val="005C7B7C"/>
    <w:rsid w:val="005C7FE4"/>
    <w:rsid w:val="005D0189"/>
    <w:rsid w:val="005D0754"/>
    <w:rsid w:val="005D0BA1"/>
    <w:rsid w:val="005D1EAB"/>
    <w:rsid w:val="005D280B"/>
    <w:rsid w:val="005D3664"/>
    <w:rsid w:val="005D368C"/>
    <w:rsid w:val="005D3BF1"/>
    <w:rsid w:val="005D5CD0"/>
    <w:rsid w:val="005D64A2"/>
    <w:rsid w:val="005D68D0"/>
    <w:rsid w:val="005D69D0"/>
    <w:rsid w:val="005E01D8"/>
    <w:rsid w:val="005E097C"/>
    <w:rsid w:val="005E0D49"/>
    <w:rsid w:val="005E100C"/>
    <w:rsid w:val="005E1140"/>
    <w:rsid w:val="005E1C7A"/>
    <w:rsid w:val="005E1C98"/>
    <w:rsid w:val="005E1D1B"/>
    <w:rsid w:val="005E2733"/>
    <w:rsid w:val="005E30C6"/>
    <w:rsid w:val="005E3A10"/>
    <w:rsid w:val="005E413E"/>
    <w:rsid w:val="005E4386"/>
    <w:rsid w:val="005E4470"/>
    <w:rsid w:val="005E4A11"/>
    <w:rsid w:val="005E573B"/>
    <w:rsid w:val="005E5794"/>
    <w:rsid w:val="005E5BC6"/>
    <w:rsid w:val="005E6456"/>
    <w:rsid w:val="005E6ACD"/>
    <w:rsid w:val="005E6AF0"/>
    <w:rsid w:val="005E6C3A"/>
    <w:rsid w:val="005E7358"/>
    <w:rsid w:val="005E794B"/>
    <w:rsid w:val="005E7E53"/>
    <w:rsid w:val="005E7F1F"/>
    <w:rsid w:val="005F0AFB"/>
    <w:rsid w:val="005F1879"/>
    <w:rsid w:val="005F206B"/>
    <w:rsid w:val="005F315C"/>
    <w:rsid w:val="005F3711"/>
    <w:rsid w:val="005F5BD0"/>
    <w:rsid w:val="005F62D5"/>
    <w:rsid w:val="005F6510"/>
    <w:rsid w:val="005F71F0"/>
    <w:rsid w:val="005F72CA"/>
    <w:rsid w:val="005F75D6"/>
    <w:rsid w:val="00600184"/>
    <w:rsid w:val="00601DB7"/>
    <w:rsid w:val="00602752"/>
    <w:rsid w:val="00602EAA"/>
    <w:rsid w:val="00603894"/>
    <w:rsid w:val="00603E61"/>
    <w:rsid w:val="00603FD5"/>
    <w:rsid w:val="00604051"/>
    <w:rsid w:val="006046A8"/>
    <w:rsid w:val="006048AB"/>
    <w:rsid w:val="00604F9D"/>
    <w:rsid w:val="00607727"/>
    <w:rsid w:val="00607AE2"/>
    <w:rsid w:val="00607F03"/>
    <w:rsid w:val="006102AB"/>
    <w:rsid w:val="00610627"/>
    <w:rsid w:val="006107B5"/>
    <w:rsid w:val="00610E8E"/>
    <w:rsid w:val="00610F6C"/>
    <w:rsid w:val="006118B9"/>
    <w:rsid w:val="00611B47"/>
    <w:rsid w:val="00611CC1"/>
    <w:rsid w:val="006124F6"/>
    <w:rsid w:val="00613F3A"/>
    <w:rsid w:val="00613F3B"/>
    <w:rsid w:val="0061455B"/>
    <w:rsid w:val="0061458F"/>
    <w:rsid w:val="00616353"/>
    <w:rsid w:val="00616DC8"/>
    <w:rsid w:val="006176D7"/>
    <w:rsid w:val="0061783C"/>
    <w:rsid w:val="00621086"/>
    <w:rsid w:val="00621422"/>
    <w:rsid w:val="00621B78"/>
    <w:rsid w:val="00621F88"/>
    <w:rsid w:val="00623021"/>
    <w:rsid w:val="00623590"/>
    <w:rsid w:val="006242D7"/>
    <w:rsid w:val="006244D5"/>
    <w:rsid w:val="00624B90"/>
    <w:rsid w:val="00625147"/>
    <w:rsid w:val="006257B0"/>
    <w:rsid w:val="00625847"/>
    <w:rsid w:val="0062597E"/>
    <w:rsid w:val="00625B9A"/>
    <w:rsid w:val="00625DA1"/>
    <w:rsid w:val="00626B5F"/>
    <w:rsid w:val="006270B8"/>
    <w:rsid w:val="00627667"/>
    <w:rsid w:val="00627AE1"/>
    <w:rsid w:val="00627E0E"/>
    <w:rsid w:val="00630F02"/>
    <w:rsid w:val="0063163B"/>
    <w:rsid w:val="00631698"/>
    <w:rsid w:val="00631E74"/>
    <w:rsid w:val="00632E76"/>
    <w:rsid w:val="006334A8"/>
    <w:rsid w:val="00633B71"/>
    <w:rsid w:val="006343C1"/>
    <w:rsid w:val="0063527B"/>
    <w:rsid w:val="0063541D"/>
    <w:rsid w:val="00635A14"/>
    <w:rsid w:val="00636412"/>
    <w:rsid w:val="0063665C"/>
    <w:rsid w:val="00636BBF"/>
    <w:rsid w:val="00640011"/>
    <w:rsid w:val="00641002"/>
    <w:rsid w:val="006415BB"/>
    <w:rsid w:val="0064167B"/>
    <w:rsid w:val="00641A9E"/>
    <w:rsid w:val="0064367E"/>
    <w:rsid w:val="0064391B"/>
    <w:rsid w:val="00643D19"/>
    <w:rsid w:val="00645227"/>
    <w:rsid w:val="006457E9"/>
    <w:rsid w:val="006461D3"/>
    <w:rsid w:val="006464F2"/>
    <w:rsid w:val="00647518"/>
    <w:rsid w:val="006475BD"/>
    <w:rsid w:val="0064775D"/>
    <w:rsid w:val="006527FF"/>
    <w:rsid w:val="0065325B"/>
    <w:rsid w:val="00654177"/>
    <w:rsid w:val="00655325"/>
    <w:rsid w:val="00655A41"/>
    <w:rsid w:val="006564C8"/>
    <w:rsid w:val="00656A8A"/>
    <w:rsid w:val="0065708D"/>
    <w:rsid w:val="0065795A"/>
    <w:rsid w:val="006617E2"/>
    <w:rsid w:val="00663694"/>
    <w:rsid w:val="00663ACD"/>
    <w:rsid w:val="006641C2"/>
    <w:rsid w:val="00664B0B"/>
    <w:rsid w:val="00664BD3"/>
    <w:rsid w:val="00665525"/>
    <w:rsid w:val="0066697E"/>
    <w:rsid w:val="00667D40"/>
    <w:rsid w:val="006710FA"/>
    <w:rsid w:val="0067167E"/>
    <w:rsid w:val="006728A5"/>
    <w:rsid w:val="00672FEE"/>
    <w:rsid w:val="00675B80"/>
    <w:rsid w:val="00677D7E"/>
    <w:rsid w:val="00681233"/>
    <w:rsid w:val="00681434"/>
    <w:rsid w:val="00681598"/>
    <w:rsid w:val="00684891"/>
    <w:rsid w:val="00685A9C"/>
    <w:rsid w:val="00685DBA"/>
    <w:rsid w:val="00686EA5"/>
    <w:rsid w:val="0068724F"/>
    <w:rsid w:val="00687347"/>
    <w:rsid w:val="0068774C"/>
    <w:rsid w:val="00690B4F"/>
    <w:rsid w:val="00692AFE"/>
    <w:rsid w:val="00692CA1"/>
    <w:rsid w:val="006931B2"/>
    <w:rsid w:val="006938FC"/>
    <w:rsid w:val="0069421A"/>
    <w:rsid w:val="0069562B"/>
    <w:rsid w:val="00696289"/>
    <w:rsid w:val="00697303"/>
    <w:rsid w:val="00697A50"/>
    <w:rsid w:val="00697AED"/>
    <w:rsid w:val="006A0467"/>
    <w:rsid w:val="006A08B2"/>
    <w:rsid w:val="006A1B04"/>
    <w:rsid w:val="006A1C94"/>
    <w:rsid w:val="006A1DEF"/>
    <w:rsid w:val="006A3371"/>
    <w:rsid w:val="006A3919"/>
    <w:rsid w:val="006A42FC"/>
    <w:rsid w:val="006A4594"/>
    <w:rsid w:val="006A4B3F"/>
    <w:rsid w:val="006A561F"/>
    <w:rsid w:val="006A69C1"/>
    <w:rsid w:val="006A6D2C"/>
    <w:rsid w:val="006B030E"/>
    <w:rsid w:val="006B0849"/>
    <w:rsid w:val="006B08A1"/>
    <w:rsid w:val="006B0AC2"/>
    <w:rsid w:val="006B0DAA"/>
    <w:rsid w:val="006B19EB"/>
    <w:rsid w:val="006B1A01"/>
    <w:rsid w:val="006B1AD7"/>
    <w:rsid w:val="006B1B97"/>
    <w:rsid w:val="006B2184"/>
    <w:rsid w:val="006B2845"/>
    <w:rsid w:val="006B2B90"/>
    <w:rsid w:val="006B32F2"/>
    <w:rsid w:val="006B3462"/>
    <w:rsid w:val="006B4D55"/>
    <w:rsid w:val="006B5626"/>
    <w:rsid w:val="006B5CEA"/>
    <w:rsid w:val="006B61EE"/>
    <w:rsid w:val="006C0130"/>
    <w:rsid w:val="006C0783"/>
    <w:rsid w:val="006C0DAE"/>
    <w:rsid w:val="006C10E0"/>
    <w:rsid w:val="006C12DB"/>
    <w:rsid w:val="006C34E5"/>
    <w:rsid w:val="006C3FE4"/>
    <w:rsid w:val="006C4AF4"/>
    <w:rsid w:val="006C4C82"/>
    <w:rsid w:val="006C506F"/>
    <w:rsid w:val="006C516F"/>
    <w:rsid w:val="006C55D1"/>
    <w:rsid w:val="006C6FF7"/>
    <w:rsid w:val="006C7B2C"/>
    <w:rsid w:val="006D0011"/>
    <w:rsid w:val="006D02CB"/>
    <w:rsid w:val="006D06BF"/>
    <w:rsid w:val="006D095B"/>
    <w:rsid w:val="006D0C15"/>
    <w:rsid w:val="006D117A"/>
    <w:rsid w:val="006D1405"/>
    <w:rsid w:val="006D1EA8"/>
    <w:rsid w:val="006D2DBB"/>
    <w:rsid w:val="006D3F2F"/>
    <w:rsid w:val="006D4A84"/>
    <w:rsid w:val="006D4F09"/>
    <w:rsid w:val="006D50F2"/>
    <w:rsid w:val="006D597F"/>
    <w:rsid w:val="006D5F1C"/>
    <w:rsid w:val="006D627C"/>
    <w:rsid w:val="006D76A5"/>
    <w:rsid w:val="006E0B92"/>
    <w:rsid w:val="006E0ED6"/>
    <w:rsid w:val="006E1222"/>
    <w:rsid w:val="006E124F"/>
    <w:rsid w:val="006E137B"/>
    <w:rsid w:val="006E2C5D"/>
    <w:rsid w:val="006E2D8D"/>
    <w:rsid w:val="006E3536"/>
    <w:rsid w:val="006E3B32"/>
    <w:rsid w:val="006E444B"/>
    <w:rsid w:val="006E4D82"/>
    <w:rsid w:val="006E5370"/>
    <w:rsid w:val="006E6665"/>
    <w:rsid w:val="006E6D5D"/>
    <w:rsid w:val="006F00E0"/>
    <w:rsid w:val="006F00FE"/>
    <w:rsid w:val="006F03CD"/>
    <w:rsid w:val="006F054C"/>
    <w:rsid w:val="006F0EDF"/>
    <w:rsid w:val="006F1683"/>
    <w:rsid w:val="006F2599"/>
    <w:rsid w:val="006F342B"/>
    <w:rsid w:val="006F41B9"/>
    <w:rsid w:val="006F421B"/>
    <w:rsid w:val="006F49B5"/>
    <w:rsid w:val="006F4F9E"/>
    <w:rsid w:val="007000F9"/>
    <w:rsid w:val="0070039D"/>
    <w:rsid w:val="0070098F"/>
    <w:rsid w:val="00700A69"/>
    <w:rsid w:val="00701100"/>
    <w:rsid w:val="00701A24"/>
    <w:rsid w:val="00702B33"/>
    <w:rsid w:val="00702D2F"/>
    <w:rsid w:val="00704179"/>
    <w:rsid w:val="00704439"/>
    <w:rsid w:val="00704FFF"/>
    <w:rsid w:val="007051FD"/>
    <w:rsid w:val="00705B21"/>
    <w:rsid w:val="007062F6"/>
    <w:rsid w:val="00706464"/>
    <w:rsid w:val="00706974"/>
    <w:rsid w:val="007072DF"/>
    <w:rsid w:val="007114C1"/>
    <w:rsid w:val="00711CF7"/>
    <w:rsid w:val="00712495"/>
    <w:rsid w:val="007138C8"/>
    <w:rsid w:val="00714488"/>
    <w:rsid w:val="007158C6"/>
    <w:rsid w:val="00715903"/>
    <w:rsid w:val="0071697C"/>
    <w:rsid w:val="00716B8D"/>
    <w:rsid w:val="00716CEF"/>
    <w:rsid w:val="00716EE3"/>
    <w:rsid w:val="00717720"/>
    <w:rsid w:val="00717E4D"/>
    <w:rsid w:val="00720189"/>
    <w:rsid w:val="007206AE"/>
    <w:rsid w:val="007209BD"/>
    <w:rsid w:val="007215EF"/>
    <w:rsid w:val="007222A3"/>
    <w:rsid w:val="007231A4"/>
    <w:rsid w:val="00723B2F"/>
    <w:rsid w:val="00724596"/>
    <w:rsid w:val="0072476A"/>
    <w:rsid w:val="00726E7E"/>
    <w:rsid w:val="00726E97"/>
    <w:rsid w:val="00727F4C"/>
    <w:rsid w:val="007301C9"/>
    <w:rsid w:val="007305D6"/>
    <w:rsid w:val="00730ADC"/>
    <w:rsid w:val="00730FDC"/>
    <w:rsid w:val="00731A74"/>
    <w:rsid w:val="00731F41"/>
    <w:rsid w:val="0073481A"/>
    <w:rsid w:val="00734D8B"/>
    <w:rsid w:val="00736832"/>
    <w:rsid w:val="00737308"/>
    <w:rsid w:val="007373F6"/>
    <w:rsid w:val="00737E82"/>
    <w:rsid w:val="00740217"/>
    <w:rsid w:val="00740F72"/>
    <w:rsid w:val="00741059"/>
    <w:rsid w:val="00741D9B"/>
    <w:rsid w:val="00742A52"/>
    <w:rsid w:val="00742F0D"/>
    <w:rsid w:val="00743548"/>
    <w:rsid w:val="00743F44"/>
    <w:rsid w:val="00743F60"/>
    <w:rsid w:val="007440A3"/>
    <w:rsid w:val="0074421F"/>
    <w:rsid w:val="007443BE"/>
    <w:rsid w:val="0074453A"/>
    <w:rsid w:val="00744A2D"/>
    <w:rsid w:val="007454EA"/>
    <w:rsid w:val="007459E3"/>
    <w:rsid w:val="00745FE8"/>
    <w:rsid w:val="007472BC"/>
    <w:rsid w:val="00751A9F"/>
    <w:rsid w:val="00752909"/>
    <w:rsid w:val="007539A6"/>
    <w:rsid w:val="00753D2E"/>
    <w:rsid w:val="007548D0"/>
    <w:rsid w:val="00754C93"/>
    <w:rsid w:val="00755822"/>
    <w:rsid w:val="00755D7A"/>
    <w:rsid w:val="00756DC3"/>
    <w:rsid w:val="00756E09"/>
    <w:rsid w:val="00757533"/>
    <w:rsid w:val="00757977"/>
    <w:rsid w:val="00760304"/>
    <w:rsid w:val="00760E1B"/>
    <w:rsid w:val="00762F69"/>
    <w:rsid w:val="00764728"/>
    <w:rsid w:val="00764D80"/>
    <w:rsid w:val="00764FE1"/>
    <w:rsid w:val="00765DFA"/>
    <w:rsid w:val="00766171"/>
    <w:rsid w:val="00766D2F"/>
    <w:rsid w:val="00767353"/>
    <w:rsid w:val="00767EAE"/>
    <w:rsid w:val="007702DA"/>
    <w:rsid w:val="00770DB0"/>
    <w:rsid w:val="00770FD0"/>
    <w:rsid w:val="007718C7"/>
    <w:rsid w:val="00771B35"/>
    <w:rsid w:val="00771FD2"/>
    <w:rsid w:val="0077247C"/>
    <w:rsid w:val="0077263F"/>
    <w:rsid w:val="00773507"/>
    <w:rsid w:val="00774B7C"/>
    <w:rsid w:val="00775165"/>
    <w:rsid w:val="00775B2F"/>
    <w:rsid w:val="007767A6"/>
    <w:rsid w:val="007774E6"/>
    <w:rsid w:val="00777C4B"/>
    <w:rsid w:val="00777D32"/>
    <w:rsid w:val="00780A6E"/>
    <w:rsid w:val="00780AEA"/>
    <w:rsid w:val="00781537"/>
    <w:rsid w:val="007838EA"/>
    <w:rsid w:val="007840DA"/>
    <w:rsid w:val="007845ED"/>
    <w:rsid w:val="007846A9"/>
    <w:rsid w:val="007850A5"/>
    <w:rsid w:val="0078533C"/>
    <w:rsid w:val="00785D96"/>
    <w:rsid w:val="00785E23"/>
    <w:rsid w:val="007870E8"/>
    <w:rsid w:val="00787AE5"/>
    <w:rsid w:val="007915DA"/>
    <w:rsid w:val="0079161C"/>
    <w:rsid w:val="00792049"/>
    <w:rsid w:val="007922DF"/>
    <w:rsid w:val="0079288C"/>
    <w:rsid w:val="007936E8"/>
    <w:rsid w:val="00794208"/>
    <w:rsid w:val="00794EA9"/>
    <w:rsid w:val="00795080"/>
    <w:rsid w:val="00796328"/>
    <w:rsid w:val="00796954"/>
    <w:rsid w:val="007973BA"/>
    <w:rsid w:val="007A0363"/>
    <w:rsid w:val="007A25EB"/>
    <w:rsid w:val="007A30F4"/>
    <w:rsid w:val="007A4C73"/>
    <w:rsid w:val="007A50E3"/>
    <w:rsid w:val="007A56F4"/>
    <w:rsid w:val="007A60F8"/>
    <w:rsid w:val="007A6173"/>
    <w:rsid w:val="007A6466"/>
    <w:rsid w:val="007A71E7"/>
    <w:rsid w:val="007B00CD"/>
    <w:rsid w:val="007B0CA9"/>
    <w:rsid w:val="007B263E"/>
    <w:rsid w:val="007B28E3"/>
    <w:rsid w:val="007B46FD"/>
    <w:rsid w:val="007B4C96"/>
    <w:rsid w:val="007B5110"/>
    <w:rsid w:val="007B6025"/>
    <w:rsid w:val="007B66CE"/>
    <w:rsid w:val="007B6C6B"/>
    <w:rsid w:val="007B6FD7"/>
    <w:rsid w:val="007B7083"/>
    <w:rsid w:val="007C02BC"/>
    <w:rsid w:val="007C081B"/>
    <w:rsid w:val="007C1E98"/>
    <w:rsid w:val="007C29B5"/>
    <w:rsid w:val="007C3029"/>
    <w:rsid w:val="007C3327"/>
    <w:rsid w:val="007C4BD6"/>
    <w:rsid w:val="007C5AA8"/>
    <w:rsid w:val="007C5D11"/>
    <w:rsid w:val="007C66D5"/>
    <w:rsid w:val="007C6E90"/>
    <w:rsid w:val="007C6F44"/>
    <w:rsid w:val="007C7461"/>
    <w:rsid w:val="007D0081"/>
    <w:rsid w:val="007D1569"/>
    <w:rsid w:val="007D25EB"/>
    <w:rsid w:val="007D2A15"/>
    <w:rsid w:val="007D3FB6"/>
    <w:rsid w:val="007D42AE"/>
    <w:rsid w:val="007D47BA"/>
    <w:rsid w:val="007D484A"/>
    <w:rsid w:val="007D4B97"/>
    <w:rsid w:val="007D52C1"/>
    <w:rsid w:val="007D5621"/>
    <w:rsid w:val="007D6049"/>
    <w:rsid w:val="007D6234"/>
    <w:rsid w:val="007D6737"/>
    <w:rsid w:val="007D7EE0"/>
    <w:rsid w:val="007E1A38"/>
    <w:rsid w:val="007E1E9A"/>
    <w:rsid w:val="007E24B5"/>
    <w:rsid w:val="007E26B7"/>
    <w:rsid w:val="007E2901"/>
    <w:rsid w:val="007E2B03"/>
    <w:rsid w:val="007E366A"/>
    <w:rsid w:val="007E3702"/>
    <w:rsid w:val="007E3D58"/>
    <w:rsid w:val="007E4309"/>
    <w:rsid w:val="007E4AAC"/>
    <w:rsid w:val="007E4DE9"/>
    <w:rsid w:val="007E675E"/>
    <w:rsid w:val="007E6A62"/>
    <w:rsid w:val="007E7945"/>
    <w:rsid w:val="007E7EDC"/>
    <w:rsid w:val="007F0021"/>
    <w:rsid w:val="007F03EC"/>
    <w:rsid w:val="007F20AA"/>
    <w:rsid w:val="007F355A"/>
    <w:rsid w:val="007F4597"/>
    <w:rsid w:val="007F489E"/>
    <w:rsid w:val="007F4ADD"/>
    <w:rsid w:val="007F5E51"/>
    <w:rsid w:val="007F6501"/>
    <w:rsid w:val="007F6E2A"/>
    <w:rsid w:val="007F71C4"/>
    <w:rsid w:val="007F7204"/>
    <w:rsid w:val="007F7310"/>
    <w:rsid w:val="007F763C"/>
    <w:rsid w:val="007F7729"/>
    <w:rsid w:val="007F7D3C"/>
    <w:rsid w:val="00800F86"/>
    <w:rsid w:val="008017BC"/>
    <w:rsid w:val="00802D4D"/>
    <w:rsid w:val="0080313E"/>
    <w:rsid w:val="0080322B"/>
    <w:rsid w:val="008035C3"/>
    <w:rsid w:val="008044AB"/>
    <w:rsid w:val="0080469A"/>
    <w:rsid w:val="00804E1B"/>
    <w:rsid w:val="00806544"/>
    <w:rsid w:val="00806C72"/>
    <w:rsid w:val="00806EC0"/>
    <w:rsid w:val="00806F63"/>
    <w:rsid w:val="0080729A"/>
    <w:rsid w:val="0080729B"/>
    <w:rsid w:val="008074FE"/>
    <w:rsid w:val="0080790D"/>
    <w:rsid w:val="00807D57"/>
    <w:rsid w:val="00807F06"/>
    <w:rsid w:val="008107DA"/>
    <w:rsid w:val="0081097B"/>
    <w:rsid w:val="00811196"/>
    <w:rsid w:val="008121F8"/>
    <w:rsid w:val="008124E8"/>
    <w:rsid w:val="008127D3"/>
    <w:rsid w:val="0081533C"/>
    <w:rsid w:val="0081544F"/>
    <w:rsid w:val="00815637"/>
    <w:rsid w:val="008161C9"/>
    <w:rsid w:val="00816542"/>
    <w:rsid w:val="00820100"/>
    <w:rsid w:val="00820661"/>
    <w:rsid w:val="00821CE3"/>
    <w:rsid w:val="00822EF4"/>
    <w:rsid w:val="00823200"/>
    <w:rsid w:val="008236AD"/>
    <w:rsid w:val="008236CC"/>
    <w:rsid w:val="00823CE8"/>
    <w:rsid w:val="0082437F"/>
    <w:rsid w:val="008252D1"/>
    <w:rsid w:val="00825334"/>
    <w:rsid w:val="008260FA"/>
    <w:rsid w:val="0082673E"/>
    <w:rsid w:val="00827027"/>
    <w:rsid w:val="008303C3"/>
    <w:rsid w:val="0083066B"/>
    <w:rsid w:val="00830F16"/>
    <w:rsid w:val="008318E3"/>
    <w:rsid w:val="00831D85"/>
    <w:rsid w:val="008325A6"/>
    <w:rsid w:val="00833401"/>
    <w:rsid w:val="0083371E"/>
    <w:rsid w:val="00833A26"/>
    <w:rsid w:val="00833A2E"/>
    <w:rsid w:val="00834EBB"/>
    <w:rsid w:val="008361E3"/>
    <w:rsid w:val="00836262"/>
    <w:rsid w:val="00836300"/>
    <w:rsid w:val="00836B8B"/>
    <w:rsid w:val="00837210"/>
    <w:rsid w:val="00837EA3"/>
    <w:rsid w:val="00841048"/>
    <w:rsid w:val="0084185E"/>
    <w:rsid w:val="00842240"/>
    <w:rsid w:val="0084238D"/>
    <w:rsid w:val="00842581"/>
    <w:rsid w:val="00842A9E"/>
    <w:rsid w:val="00842DA5"/>
    <w:rsid w:val="00843AD9"/>
    <w:rsid w:val="00844FFE"/>
    <w:rsid w:val="00846764"/>
    <w:rsid w:val="00847223"/>
    <w:rsid w:val="008472B8"/>
    <w:rsid w:val="008476A3"/>
    <w:rsid w:val="00847F6A"/>
    <w:rsid w:val="0085006F"/>
    <w:rsid w:val="00850C5F"/>
    <w:rsid w:val="008529A2"/>
    <w:rsid w:val="00852A7F"/>
    <w:rsid w:val="00852AE3"/>
    <w:rsid w:val="00852B0D"/>
    <w:rsid w:val="00853A61"/>
    <w:rsid w:val="0085439B"/>
    <w:rsid w:val="00854977"/>
    <w:rsid w:val="00854C46"/>
    <w:rsid w:val="0085513A"/>
    <w:rsid w:val="008552F5"/>
    <w:rsid w:val="008555CA"/>
    <w:rsid w:val="00857105"/>
    <w:rsid w:val="008575EA"/>
    <w:rsid w:val="00857A59"/>
    <w:rsid w:val="00860130"/>
    <w:rsid w:val="0086022C"/>
    <w:rsid w:val="0086094A"/>
    <w:rsid w:val="00860A88"/>
    <w:rsid w:val="008620D1"/>
    <w:rsid w:val="008628DF"/>
    <w:rsid w:val="00863758"/>
    <w:rsid w:val="00863A7C"/>
    <w:rsid w:val="008645B6"/>
    <w:rsid w:val="00864608"/>
    <w:rsid w:val="00864843"/>
    <w:rsid w:val="00865251"/>
    <w:rsid w:val="00866732"/>
    <w:rsid w:val="00866CD7"/>
    <w:rsid w:val="008701EB"/>
    <w:rsid w:val="00870F4F"/>
    <w:rsid w:val="008713C9"/>
    <w:rsid w:val="0087160D"/>
    <w:rsid w:val="00871A5D"/>
    <w:rsid w:val="00871A6C"/>
    <w:rsid w:val="00871D49"/>
    <w:rsid w:val="00872A6F"/>
    <w:rsid w:val="00872D15"/>
    <w:rsid w:val="008744F4"/>
    <w:rsid w:val="00874A22"/>
    <w:rsid w:val="008751A2"/>
    <w:rsid w:val="00875A55"/>
    <w:rsid w:val="00876000"/>
    <w:rsid w:val="00876313"/>
    <w:rsid w:val="00876316"/>
    <w:rsid w:val="00876E93"/>
    <w:rsid w:val="00877B9B"/>
    <w:rsid w:val="008800F6"/>
    <w:rsid w:val="0088012A"/>
    <w:rsid w:val="00880766"/>
    <w:rsid w:val="00880CE7"/>
    <w:rsid w:val="008813DF"/>
    <w:rsid w:val="00882954"/>
    <w:rsid w:val="008839C7"/>
    <w:rsid w:val="0088493B"/>
    <w:rsid w:val="00884CD8"/>
    <w:rsid w:val="00884FBA"/>
    <w:rsid w:val="00885A42"/>
    <w:rsid w:val="00886B6C"/>
    <w:rsid w:val="0089014B"/>
    <w:rsid w:val="00890201"/>
    <w:rsid w:val="00890BE1"/>
    <w:rsid w:val="00891AD1"/>
    <w:rsid w:val="0089222A"/>
    <w:rsid w:val="00894167"/>
    <w:rsid w:val="008944D9"/>
    <w:rsid w:val="008946EB"/>
    <w:rsid w:val="008956ED"/>
    <w:rsid w:val="00896432"/>
    <w:rsid w:val="00897793"/>
    <w:rsid w:val="00897B53"/>
    <w:rsid w:val="00897D2F"/>
    <w:rsid w:val="008A038A"/>
    <w:rsid w:val="008A1632"/>
    <w:rsid w:val="008A1A41"/>
    <w:rsid w:val="008A21D0"/>
    <w:rsid w:val="008A2AAF"/>
    <w:rsid w:val="008A2AFB"/>
    <w:rsid w:val="008A2B14"/>
    <w:rsid w:val="008A3DCE"/>
    <w:rsid w:val="008A3EF7"/>
    <w:rsid w:val="008A4A18"/>
    <w:rsid w:val="008A4D38"/>
    <w:rsid w:val="008A51DD"/>
    <w:rsid w:val="008A5A67"/>
    <w:rsid w:val="008A5FEA"/>
    <w:rsid w:val="008A6194"/>
    <w:rsid w:val="008A6F83"/>
    <w:rsid w:val="008A778E"/>
    <w:rsid w:val="008A7EAF"/>
    <w:rsid w:val="008B05C3"/>
    <w:rsid w:val="008B26B6"/>
    <w:rsid w:val="008B2CCD"/>
    <w:rsid w:val="008B4212"/>
    <w:rsid w:val="008B4965"/>
    <w:rsid w:val="008B4DB8"/>
    <w:rsid w:val="008B53AF"/>
    <w:rsid w:val="008B59FC"/>
    <w:rsid w:val="008B650D"/>
    <w:rsid w:val="008B654A"/>
    <w:rsid w:val="008B6B1A"/>
    <w:rsid w:val="008B7C55"/>
    <w:rsid w:val="008B7E08"/>
    <w:rsid w:val="008C0000"/>
    <w:rsid w:val="008C0EFF"/>
    <w:rsid w:val="008C0F30"/>
    <w:rsid w:val="008C11F5"/>
    <w:rsid w:val="008C1CCF"/>
    <w:rsid w:val="008C2881"/>
    <w:rsid w:val="008C375F"/>
    <w:rsid w:val="008C39E9"/>
    <w:rsid w:val="008C49C3"/>
    <w:rsid w:val="008C525C"/>
    <w:rsid w:val="008C5EBD"/>
    <w:rsid w:val="008C5EDE"/>
    <w:rsid w:val="008C6464"/>
    <w:rsid w:val="008C68CD"/>
    <w:rsid w:val="008C6A94"/>
    <w:rsid w:val="008C7F24"/>
    <w:rsid w:val="008D01A0"/>
    <w:rsid w:val="008D0C80"/>
    <w:rsid w:val="008D19FD"/>
    <w:rsid w:val="008D1ABD"/>
    <w:rsid w:val="008D3691"/>
    <w:rsid w:val="008D3A0D"/>
    <w:rsid w:val="008D43BF"/>
    <w:rsid w:val="008D4911"/>
    <w:rsid w:val="008D4E96"/>
    <w:rsid w:val="008D5056"/>
    <w:rsid w:val="008D5B1F"/>
    <w:rsid w:val="008D5BD5"/>
    <w:rsid w:val="008D5FEB"/>
    <w:rsid w:val="008D7635"/>
    <w:rsid w:val="008E0E65"/>
    <w:rsid w:val="008E117A"/>
    <w:rsid w:val="008E15BE"/>
    <w:rsid w:val="008E1C55"/>
    <w:rsid w:val="008E1CA5"/>
    <w:rsid w:val="008E1EE7"/>
    <w:rsid w:val="008E25D6"/>
    <w:rsid w:val="008E2979"/>
    <w:rsid w:val="008E2D07"/>
    <w:rsid w:val="008E3E1B"/>
    <w:rsid w:val="008E4A57"/>
    <w:rsid w:val="008E4B71"/>
    <w:rsid w:val="008E64D4"/>
    <w:rsid w:val="008E64DC"/>
    <w:rsid w:val="008E72C2"/>
    <w:rsid w:val="008E7BD4"/>
    <w:rsid w:val="008E7D98"/>
    <w:rsid w:val="008F0245"/>
    <w:rsid w:val="008F091F"/>
    <w:rsid w:val="008F101C"/>
    <w:rsid w:val="008F1E52"/>
    <w:rsid w:val="008F1F09"/>
    <w:rsid w:val="008F24D2"/>
    <w:rsid w:val="008F260E"/>
    <w:rsid w:val="008F2C69"/>
    <w:rsid w:val="008F3C71"/>
    <w:rsid w:val="008F4313"/>
    <w:rsid w:val="008F495C"/>
    <w:rsid w:val="008F5302"/>
    <w:rsid w:val="008F541C"/>
    <w:rsid w:val="008F567D"/>
    <w:rsid w:val="008F5C35"/>
    <w:rsid w:val="008F6F1A"/>
    <w:rsid w:val="008F7113"/>
    <w:rsid w:val="008F7897"/>
    <w:rsid w:val="008F7F2B"/>
    <w:rsid w:val="009000D3"/>
    <w:rsid w:val="00900B58"/>
    <w:rsid w:val="0090137A"/>
    <w:rsid w:val="00901527"/>
    <w:rsid w:val="00901C7D"/>
    <w:rsid w:val="00902878"/>
    <w:rsid w:val="00902A73"/>
    <w:rsid w:val="00903BA7"/>
    <w:rsid w:val="00903F20"/>
    <w:rsid w:val="0090443E"/>
    <w:rsid w:val="0090483F"/>
    <w:rsid w:val="00904EE5"/>
    <w:rsid w:val="0090728F"/>
    <w:rsid w:val="00907759"/>
    <w:rsid w:val="00907F12"/>
    <w:rsid w:val="00910064"/>
    <w:rsid w:val="0091074E"/>
    <w:rsid w:val="009109F7"/>
    <w:rsid w:val="00910C09"/>
    <w:rsid w:val="009110B1"/>
    <w:rsid w:val="00912367"/>
    <w:rsid w:val="009124E5"/>
    <w:rsid w:val="009124F0"/>
    <w:rsid w:val="0091349A"/>
    <w:rsid w:val="00913751"/>
    <w:rsid w:val="009142EE"/>
    <w:rsid w:val="00914399"/>
    <w:rsid w:val="009148FE"/>
    <w:rsid w:val="009158BF"/>
    <w:rsid w:val="00915B13"/>
    <w:rsid w:val="009160BF"/>
    <w:rsid w:val="009161D1"/>
    <w:rsid w:val="00916701"/>
    <w:rsid w:val="00916E4B"/>
    <w:rsid w:val="00917179"/>
    <w:rsid w:val="009171E3"/>
    <w:rsid w:val="009204B7"/>
    <w:rsid w:val="009208BD"/>
    <w:rsid w:val="009208BF"/>
    <w:rsid w:val="00920FA2"/>
    <w:rsid w:val="0092194F"/>
    <w:rsid w:val="009232EF"/>
    <w:rsid w:val="00923736"/>
    <w:rsid w:val="009238F7"/>
    <w:rsid w:val="00923CBB"/>
    <w:rsid w:val="00924548"/>
    <w:rsid w:val="0092464F"/>
    <w:rsid w:val="00925154"/>
    <w:rsid w:val="00925792"/>
    <w:rsid w:val="00925CE0"/>
    <w:rsid w:val="0092682A"/>
    <w:rsid w:val="00926875"/>
    <w:rsid w:val="009268D6"/>
    <w:rsid w:val="0092739B"/>
    <w:rsid w:val="0093036F"/>
    <w:rsid w:val="00930DED"/>
    <w:rsid w:val="009311E6"/>
    <w:rsid w:val="009320B7"/>
    <w:rsid w:val="00932769"/>
    <w:rsid w:val="0093281D"/>
    <w:rsid w:val="0093297C"/>
    <w:rsid w:val="00932A75"/>
    <w:rsid w:val="00932C3F"/>
    <w:rsid w:val="00932CF0"/>
    <w:rsid w:val="00932EA4"/>
    <w:rsid w:val="00933E08"/>
    <w:rsid w:val="00933E55"/>
    <w:rsid w:val="0093543A"/>
    <w:rsid w:val="00935732"/>
    <w:rsid w:val="00936068"/>
    <w:rsid w:val="00936459"/>
    <w:rsid w:val="0094297A"/>
    <w:rsid w:val="00942C44"/>
    <w:rsid w:val="0094379A"/>
    <w:rsid w:val="00943806"/>
    <w:rsid w:val="009447F5"/>
    <w:rsid w:val="00945E78"/>
    <w:rsid w:val="00946351"/>
    <w:rsid w:val="0094645E"/>
    <w:rsid w:val="00946EAB"/>
    <w:rsid w:val="00947D39"/>
    <w:rsid w:val="00947F03"/>
    <w:rsid w:val="009505E8"/>
    <w:rsid w:val="009517CC"/>
    <w:rsid w:val="00953BA4"/>
    <w:rsid w:val="00953C6A"/>
    <w:rsid w:val="00956391"/>
    <w:rsid w:val="00956812"/>
    <w:rsid w:val="00957712"/>
    <w:rsid w:val="009600BC"/>
    <w:rsid w:val="00961410"/>
    <w:rsid w:val="009615D4"/>
    <w:rsid w:val="00961663"/>
    <w:rsid w:val="00961DB5"/>
    <w:rsid w:val="00962905"/>
    <w:rsid w:val="0096315D"/>
    <w:rsid w:val="00964680"/>
    <w:rsid w:val="00965B97"/>
    <w:rsid w:val="00965F05"/>
    <w:rsid w:val="009663E7"/>
    <w:rsid w:val="00966BE3"/>
    <w:rsid w:val="00966EEA"/>
    <w:rsid w:val="00967C14"/>
    <w:rsid w:val="0097028D"/>
    <w:rsid w:val="00970457"/>
    <w:rsid w:val="009707AB"/>
    <w:rsid w:val="00970A20"/>
    <w:rsid w:val="00970F4C"/>
    <w:rsid w:val="009721F8"/>
    <w:rsid w:val="0097393E"/>
    <w:rsid w:val="00973E8D"/>
    <w:rsid w:val="00974677"/>
    <w:rsid w:val="00975076"/>
    <w:rsid w:val="00975514"/>
    <w:rsid w:val="00975737"/>
    <w:rsid w:val="00976023"/>
    <w:rsid w:val="00976255"/>
    <w:rsid w:val="00976528"/>
    <w:rsid w:val="009769BF"/>
    <w:rsid w:val="00976AE4"/>
    <w:rsid w:val="00976D6C"/>
    <w:rsid w:val="009774D5"/>
    <w:rsid w:val="00977D8F"/>
    <w:rsid w:val="00980461"/>
    <w:rsid w:val="00984837"/>
    <w:rsid w:val="0098503D"/>
    <w:rsid w:val="009864AF"/>
    <w:rsid w:val="00987F40"/>
    <w:rsid w:val="0099074C"/>
    <w:rsid w:val="009910BC"/>
    <w:rsid w:val="009915AB"/>
    <w:rsid w:val="00991C53"/>
    <w:rsid w:val="00992486"/>
    <w:rsid w:val="00992AB6"/>
    <w:rsid w:val="00992B07"/>
    <w:rsid w:val="009965EF"/>
    <w:rsid w:val="009969C3"/>
    <w:rsid w:val="00996BEC"/>
    <w:rsid w:val="00996F42"/>
    <w:rsid w:val="00997EC4"/>
    <w:rsid w:val="009A0C06"/>
    <w:rsid w:val="009A1D99"/>
    <w:rsid w:val="009A22E0"/>
    <w:rsid w:val="009A2886"/>
    <w:rsid w:val="009A2F17"/>
    <w:rsid w:val="009A3C2B"/>
    <w:rsid w:val="009A3D34"/>
    <w:rsid w:val="009A5237"/>
    <w:rsid w:val="009A568C"/>
    <w:rsid w:val="009A57D9"/>
    <w:rsid w:val="009A721D"/>
    <w:rsid w:val="009A75AC"/>
    <w:rsid w:val="009A7EAF"/>
    <w:rsid w:val="009B0E8B"/>
    <w:rsid w:val="009B1E6C"/>
    <w:rsid w:val="009B308B"/>
    <w:rsid w:val="009B4281"/>
    <w:rsid w:val="009B512C"/>
    <w:rsid w:val="009B53AE"/>
    <w:rsid w:val="009B5572"/>
    <w:rsid w:val="009B5633"/>
    <w:rsid w:val="009B5847"/>
    <w:rsid w:val="009B75C4"/>
    <w:rsid w:val="009B78C2"/>
    <w:rsid w:val="009C0166"/>
    <w:rsid w:val="009C0790"/>
    <w:rsid w:val="009C0F9A"/>
    <w:rsid w:val="009C204F"/>
    <w:rsid w:val="009C2209"/>
    <w:rsid w:val="009C2531"/>
    <w:rsid w:val="009C321F"/>
    <w:rsid w:val="009C3535"/>
    <w:rsid w:val="009C372C"/>
    <w:rsid w:val="009C43F5"/>
    <w:rsid w:val="009C5825"/>
    <w:rsid w:val="009C6075"/>
    <w:rsid w:val="009C67CE"/>
    <w:rsid w:val="009C6D46"/>
    <w:rsid w:val="009C737F"/>
    <w:rsid w:val="009C7762"/>
    <w:rsid w:val="009D099B"/>
    <w:rsid w:val="009D24F5"/>
    <w:rsid w:val="009D341D"/>
    <w:rsid w:val="009D3E8C"/>
    <w:rsid w:val="009D4734"/>
    <w:rsid w:val="009D57BA"/>
    <w:rsid w:val="009D6C34"/>
    <w:rsid w:val="009D6CBC"/>
    <w:rsid w:val="009D71C3"/>
    <w:rsid w:val="009E01A2"/>
    <w:rsid w:val="009E0CE5"/>
    <w:rsid w:val="009E0F9C"/>
    <w:rsid w:val="009E1FB1"/>
    <w:rsid w:val="009E2BF5"/>
    <w:rsid w:val="009E4981"/>
    <w:rsid w:val="009E4DC0"/>
    <w:rsid w:val="009E5800"/>
    <w:rsid w:val="009E6A14"/>
    <w:rsid w:val="009E7DCA"/>
    <w:rsid w:val="009F0301"/>
    <w:rsid w:val="009F0824"/>
    <w:rsid w:val="009F0AE0"/>
    <w:rsid w:val="009F0E97"/>
    <w:rsid w:val="009F2CE6"/>
    <w:rsid w:val="009F35B3"/>
    <w:rsid w:val="009F367A"/>
    <w:rsid w:val="009F3996"/>
    <w:rsid w:val="009F3E18"/>
    <w:rsid w:val="009F42F1"/>
    <w:rsid w:val="009F4A2E"/>
    <w:rsid w:val="009F4D32"/>
    <w:rsid w:val="009F56D4"/>
    <w:rsid w:val="009F6987"/>
    <w:rsid w:val="009F7199"/>
    <w:rsid w:val="009F7A87"/>
    <w:rsid w:val="00A00200"/>
    <w:rsid w:val="00A01089"/>
    <w:rsid w:val="00A01605"/>
    <w:rsid w:val="00A0303A"/>
    <w:rsid w:val="00A048F6"/>
    <w:rsid w:val="00A054CA"/>
    <w:rsid w:val="00A059C2"/>
    <w:rsid w:val="00A06912"/>
    <w:rsid w:val="00A06C28"/>
    <w:rsid w:val="00A06F37"/>
    <w:rsid w:val="00A07444"/>
    <w:rsid w:val="00A0757A"/>
    <w:rsid w:val="00A07C3C"/>
    <w:rsid w:val="00A121AA"/>
    <w:rsid w:val="00A12CC6"/>
    <w:rsid w:val="00A12D2B"/>
    <w:rsid w:val="00A133A6"/>
    <w:rsid w:val="00A13664"/>
    <w:rsid w:val="00A15FCC"/>
    <w:rsid w:val="00A16106"/>
    <w:rsid w:val="00A16E47"/>
    <w:rsid w:val="00A17178"/>
    <w:rsid w:val="00A203FD"/>
    <w:rsid w:val="00A204E5"/>
    <w:rsid w:val="00A20816"/>
    <w:rsid w:val="00A20BDB"/>
    <w:rsid w:val="00A2163A"/>
    <w:rsid w:val="00A2171D"/>
    <w:rsid w:val="00A21726"/>
    <w:rsid w:val="00A21CD3"/>
    <w:rsid w:val="00A222CE"/>
    <w:rsid w:val="00A2364B"/>
    <w:rsid w:val="00A23BC0"/>
    <w:rsid w:val="00A23DE6"/>
    <w:rsid w:val="00A25A1E"/>
    <w:rsid w:val="00A2687D"/>
    <w:rsid w:val="00A26F6F"/>
    <w:rsid w:val="00A27487"/>
    <w:rsid w:val="00A278A5"/>
    <w:rsid w:val="00A27F2E"/>
    <w:rsid w:val="00A30301"/>
    <w:rsid w:val="00A3088B"/>
    <w:rsid w:val="00A30EF1"/>
    <w:rsid w:val="00A319E1"/>
    <w:rsid w:val="00A3257F"/>
    <w:rsid w:val="00A329DB"/>
    <w:rsid w:val="00A32A47"/>
    <w:rsid w:val="00A33284"/>
    <w:rsid w:val="00A34750"/>
    <w:rsid w:val="00A35149"/>
    <w:rsid w:val="00A35314"/>
    <w:rsid w:val="00A40545"/>
    <w:rsid w:val="00A412AA"/>
    <w:rsid w:val="00A4168B"/>
    <w:rsid w:val="00A416AD"/>
    <w:rsid w:val="00A42C80"/>
    <w:rsid w:val="00A43C3D"/>
    <w:rsid w:val="00A445B2"/>
    <w:rsid w:val="00A46166"/>
    <w:rsid w:val="00A464DB"/>
    <w:rsid w:val="00A46BF3"/>
    <w:rsid w:val="00A471AE"/>
    <w:rsid w:val="00A47527"/>
    <w:rsid w:val="00A47E32"/>
    <w:rsid w:val="00A50CD9"/>
    <w:rsid w:val="00A51374"/>
    <w:rsid w:val="00A51E16"/>
    <w:rsid w:val="00A520ED"/>
    <w:rsid w:val="00A521E3"/>
    <w:rsid w:val="00A546D2"/>
    <w:rsid w:val="00A54CA0"/>
    <w:rsid w:val="00A5529A"/>
    <w:rsid w:val="00A569E8"/>
    <w:rsid w:val="00A56A77"/>
    <w:rsid w:val="00A5703F"/>
    <w:rsid w:val="00A6173D"/>
    <w:rsid w:val="00A61CE8"/>
    <w:rsid w:val="00A62492"/>
    <w:rsid w:val="00A627A5"/>
    <w:rsid w:val="00A62A8E"/>
    <w:rsid w:val="00A62E8F"/>
    <w:rsid w:val="00A62F0D"/>
    <w:rsid w:val="00A659AE"/>
    <w:rsid w:val="00A65DCB"/>
    <w:rsid w:val="00A65E04"/>
    <w:rsid w:val="00A667B4"/>
    <w:rsid w:val="00A667F9"/>
    <w:rsid w:val="00A66918"/>
    <w:rsid w:val="00A66A82"/>
    <w:rsid w:val="00A6768E"/>
    <w:rsid w:val="00A71E12"/>
    <w:rsid w:val="00A72542"/>
    <w:rsid w:val="00A740F8"/>
    <w:rsid w:val="00A74363"/>
    <w:rsid w:val="00A74A41"/>
    <w:rsid w:val="00A74AD1"/>
    <w:rsid w:val="00A75DCB"/>
    <w:rsid w:val="00A764BD"/>
    <w:rsid w:val="00A7724D"/>
    <w:rsid w:val="00A7733E"/>
    <w:rsid w:val="00A779DE"/>
    <w:rsid w:val="00A77E94"/>
    <w:rsid w:val="00A8068E"/>
    <w:rsid w:val="00A80AAE"/>
    <w:rsid w:val="00A80F7D"/>
    <w:rsid w:val="00A8183A"/>
    <w:rsid w:val="00A8204F"/>
    <w:rsid w:val="00A825CB"/>
    <w:rsid w:val="00A82FE6"/>
    <w:rsid w:val="00A83300"/>
    <w:rsid w:val="00A8354B"/>
    <w:rsid w:val="00A836A7"/>
    <w:rsid w:val="00A849F4"/>
    <w:rsid w:val="00A84ECA"/>
    <w:rsid w:val="00A85277"/>
    <w:rsid w:val="00A8625F"/>
    <w:rsid w:val="00A862F6"/>
    <w:rsid w:val="00A87874"/>
    <w:rsid w:val="00A87AB4"/>
    <w:rsid w:val="00A900D8"/>
    <w:rsid w:val="00A90151"/>
    <w:rsid w:val="00A90256"/>
    <w:rsid w:val="00A90525"/>
    <w:rsid w:val="00A91014"/>
    <w:rsid w:val="00A91D1A"/>
    <w:rsid w:val="00A923A1"/>
    <w:rsid w:val="00A9257D"/>
    <w:rsid w:val="00A9359B"/>
    <w:rsid w:val="00A9545C"/>
    <w:rsid w:val="00A95786"/>
    <w:rsid w:val="00A9609D"/>
    <w:rsid w:val="00A96B7F"/>
    <w:rsid w:val="00A970A6"/>
    <w:rsid w:val="00A97D38"/>
    <w:rsid w:val="00A97FEA"/>
    <w:rsid w:val="00AA0188"/>
    <w:rsid w:val="00AA0778"/>
    <w:rsid w:val="00AA163B"/>
    <w:rsid w:val="00AA1933"/>
    <w:rsid w:val="00AA1F02"/>
    <w:rsid w:val="00AA2C72"/>
    <w:rsid w:val="00AA3569"/>
    <w:rsid w:val="00AA3774"/>
    <w:rsid w:val="00AA3D0C"/>
    <w:rsid w:val="00AA435B"/>
    <w:rsid w:val="00AA53F7"/>
    <w:rsid w:val="00AA6CB5"/>
    <w:rsid w:val="00AA7512"/>
    <w:rsid w:val="00AA7A1F"/>
    <w:rsid w:val="00AA7B34"/>
    <w:rsid w:val="00AA7D2D"/>
    <w:rsid w:val="00AA7E61"/>
    <w:rsid w:val="00AB0193"/>
    <w:rsid w:val="00AB01E1"/>
    <w:rsid w:val="00AB10F4"/>
    <w:rsid w:val="00AB2F2A"/>
    <w:rsid w:val="00AB34AD"/>
    <w:rsid w:val="00AB44E9"/>
    <w:rsid w:val="00AB46E2"/>
    <w:rsid w:val="00AB4C69"/>
    <w:rsid w:val="00AB518B"/>
    <w:rsid w:val="00AB55F7"/>
    <w:rsid w:val="00AB5A29"/>
    <w:rsid w:val="00AB5D16"/>
    <w:rsid w:val="00AC0002"/>
    <w:rsid w:val="00AC0375"/>
    <w:rsid w:val="00AC2FF1"/>
    <w:rsid w:val="00AC4345"/>
    <w:rsid w:val="00AC4512"/>
    <w:rsid w:val="00AC4F7C"/>
    <w:rsid w:val="00AC5210"/>
    <w:rsid w:val="00AC52C7"/>
    <w:rsid w:val="00AC5772"/>
    <w:rsid w:val="00AC587D"/>
    <w:rsid w:val="00AC58E7"/>
    <w:rsid w:val="00AD0FEE"/>
    <w:rsid w:val="00AD1AA2"/>
    <w:rsid w:val="00AD2293"/>
    <w:rsid w:val="00AD3F73"/>
    <w:rsid w:val="00AD5DDC"/>
    <w:rsid w:val="00AD5FEA"/>
    <w:rsid w:val="00AD7D11"/>
    <w:rsid w:val="00AE173D"/>
    <w:rsid w:val="00AE1FB0"/>
    <w:rsid w:val="00AE2081"/>
    <w:rsid w:val="00AE2136"/>
    <w:rsid w:val="00AE34F1"/>
    <w:rsid w:val="00AE56B1"/>
    <w:rsid w:val="00AF1671"/>
    <w:rsid w:val="00AF20B2"/>
    <w:rsid w:val="00AF2126"/>
    <w:rsid w:val="00AF23BE"/>
    <w:rsid w:val="00AF2726"/>
    <w:rsid w:val="00AF3BD9"/>
    <w:rsid w:val="00AF3D72"/>
    <w:rsid w:val="00AF479F"/>
    <w:rsid w:val="00AF494D"/>
    <w:rsid w:val="00AF49BE"/>
    <w:rsid w:val="00AF7C76"/>
    <w:rsid w:val="00B01FD3"/>
    <w:rsid w:val="00B026DF"/>
    <w:rsid w:val="00B03766"/>
    <w:rsid w:val="00B037F9"/>
    <w:rsid w:val="00B03916"/>
    <w:rsid w:val="00B044BC"/>
    <w:rsid w:val="00B04D86"/>
    <w:rsid w:val="00B0543A"/>
    <w:rsid w:val="00B06A4D"/>
    <w:rsid w:val="00B0722A"/>
    <w:rsid w:val="00B07320"/>
    <w:rsid w:val="00B07435"/>
    <w:rsid w:val="00B07C3A"/>
    <w:rsid w:val="00B11F80"/>
    <w:rsid w:val="00B12861"/>
    <w:rsid w:val="00B12F17"/>
    <w:rsid w:val="00B131C5"/>
    <w:rsid w:val="00B14FF0"/>
    <w:rsid w:val="00B15128"/>
    <w:rsid w:val="00B15144"/>
    <w:rsid w:val="00B16671"/>
    <w:rsid w:val="00B1681D"/>
    <w:rsid w:val="00B1784C"/>
    <w:rsid w:val="00B17BE0"/>
    <w:rsid w:val="00B20C9F"/>
    <w:rsid w:val="00B21164"/>
    <w:rsid w:val="00B212AF"/>
    <w:rsid w:val="00B21A75"/>
    <w:rsid w:val="00B21B99"/>
    <w:rsid w:val="00B225C6"/>
    <w:rsid w:val="00B2270C"/>
    <w:rsid w:val="00B23603"/>
    <w:rsid w:val="00B24FC9"/>
    <w:rsid w:val="00B25308"/>
    <w:rsid w:val="00B254C1"/>
    <w:rsid w:val="00B25821"/>
    <w:rsid w:val="00B25EEF"/>
    <w:rsid w:val="00B26751"/>
    <w:rsid w:val="00B26BAE"/>
    <w:rsid w:val="00B26E4C"/>
    <w:rsid w:val="00B277EB"/>
    <w:rsid w:val="00B277EE"/>
    <w:rsid w:val="00B27BE3"/>
    <w:rsid w:val="00B27C45"/>
    <w:rsid w:val="00B302FA"/>
    <w:rsid w:val="00B3122A"/>
    <w:rsid w:val="00B31C7A"/>
    <w:rsid w:val="00B32BDD"/>
    <w:rsid w:val="00B32CC5"/>
    <w:rsid w:val="00B32D6C"/>
    <w:rsid w:val="00B33560"/>
    <w:rsid w:val="00B336AF"/>
    <w:rsid w:val="00B34048"/>
    <w:rsid w:val="00B342D2"/>
    <w:rsid w:val="00B34CE0"/>
    <w:rsid w:val="00B34E41"/>
    <w:rsid w:val="00B368A2"/>
    <w:rsid w:val="00B3749D"/>
    <w:rsid w:val="00B40114"/>
    <w:rsid w:val="00B40425"/>
    <w:rsid w:val="00B40794"/>
    <w:rsid w:val="00B41164"/>
    <w:rsid w:val="00B41726"/>
    <w:rsid w:val="00B440B8"/>
    <w:rsid w:val="00B4433E"/>
    <w:rsid w:val="00B443A9"/>
    <w:rsid w:val="00B443CC"/>
    <w:rsid w:val="00B44433"/>
    <w:rsid w:val="00B44610"/>
    <w:rsid w:val="00B44D74"/>
    <w:rsid w:val="00B45198"/>
    <w:rsid w:val="00B45CE6"/>
    <w:rsid w:val="00B47632"/>
    <w:rsid w:val="00B503F3"/>
    <w:rsid w:val="00B503FB"/>
    <w:rsid w:val="00B50697"/>
    <w:rsid w:val="00B51348"/>
    <w:rsid w:val="00B51DD6"/>
    <w:rsid w:val="00B51F47"/>
    <w:rsid w:val="00B52600"/>
    <w:rsid w:val="00B5372E"/>
    <w:rsid w:val="00B5386A"/>
    <w:rsid w:val="00B54378"/>
    <w:rsid w:val="00B547A7"/>
    <w:rsid w:val="00B561CC"/>
    <w:rsid w:val="00B56202"/>
    <w:rsid w:val="00B56FE4"/>
    <w:rsid w:val="00B574E9"/>
    <w:rsid w:val="00B60081"/>
    <w:rsid w:val="00B616D9"/>
    <w:rsid w:val="00B61F28"/>
    <w:rsid w:val="00B6221A"/>
    <w:rsid w:val="00B648BB"/>
    <w:rsid w:val="00B65B99"/>
    <w:rsid w:val="00B65DA7"/>
    <w:rsid w:val="00B65DAA"/>
    <w:rsid w:val="00B65F5B"/>
    <w:rsid w:val="00B66B2F"/>
    <w:rsid w:val="00B670F9"/>
    <w:rsid w:val="00B67A39"/>
    <w:rsid w:val="00B67A94"/>
    <w:rsid w:val="00B67EA4"/>
    <w:rsid w:val="00B70755"/>
    <w:rsid w:val="00B713F5"/>
    <w:rsid w:val="00B7191B"/>
    <w:rsid w:val="00B71AC4"/>
    <w:rsid w:val="00B71E21"/>
    <w:rsid w:val="00B720EC"/>
    <w:rsid w:val="00B73247"/>
    <w:rsid w:val="00B740EB"/>
    <w:rsid w:val="00B74292"/>
    <w:rsid w:val="00B74F7F"/>
    <w:rsid w:val="00B75B08"/>
    <w:rsid w:val="00B75CCE"/>
    <w:rsid w:val="00B760FE"/>
    <w:rsid w:val="00B772B6"/>
    <w:rsid w:val="00B7749E"/>
    <w:rsid w:val="00B777AF"/>
    <w:rsid w:val="00B77E50"/>
    <w:rsid w:val="00B81E4E"/>
    <w:rsid w:val="00B82194"/>
    <w:rsid w:val="00B823F5"/>
    <w:rsid w:val="00B835C4"/>
    <w:rsid w:val="00B83AD3"/>
    <w:rsid w:val="00B843E2"/>
    <w:rsid w:val="00B84869"/>
    <w:rsid w:val="00B84A3F"/>
    <w:rsid w:val="00B84FBE"/>
    <w:rsid w:val="00B86607"/>
    <w:rsid w:val="00B86B24"/>
    <w:rsid w:val="00B87859"/>
    <w:rsid w:val="00B90704"/>
    <w:rsid w:val="00B91D47"/>
    <w:rsid w:val="00B92241"/>
    <w:rsid w:val="00B93727"/>
    <w:rsid w:val="00B947BA"/>
    <w:rsid w:val="00B94DC0"/>
    <w:rsid w:val="00B94F51"/>
    <w:rsid w:val="00B950D6"/>
    <w:rsid w:val="00B953E2"/>
    <w:rsid w:val="00B95AA1"/>
    <w:rsid w:val="00B95F58"/>
    <w:rsid w:val="00B96F22"/>
    <w:rsid w:val="00B96F8E"/>
    <w:rsid w:val="00B97B6F"/>
    <w:rsid w:val="00BA16A4"/>
    <w:rsid w:val="00BA1FB6"/>
    <w:rsid w:val="00BA2F9B"/>
    <w:rsid w:val="00BA3379"/>
    <w:rsid w:val="00BA34CC"/>
    <w:rsid w:val="00BA3CB8"/>
    <w:rsid w:val="00BA4F56"/>
    <w:rsid w:val="00BA60B6"/>
    <w:rsid w:val="00BA7077"/>
    <w:rsid w:val="00BA7623"/>
    <w:rsid w:val="00BB0EA2"/>
    <w:rsid w:val="00BB1403"/>
    <w:rsid w:val="00BB2199"/>
    <w:rsid w:val="00BB328D"/>
    <w:rsid w:val="00BB3B90"/>
    <w:rsid w:val="00BB3F3A"/>
    <w:rsid w:val="00BB410D"/>
    <w:rsid w:val="00BB458E"/>
    <w:rsid w:val="00BB4D90"/>
    <w:rsid w:val="00BB5D54"/>
    <w:rsid w:val="00BB60EC"/>
    <w:rsid w:val="00BB630C"/>
    <w:rsid w:val="00BB662E"/>
    <w:rsid w:val="00BB6C27"/>
    <w:rsid w:val="00BB7BA0"/>
    <w:rsid w:val="00BC0A37"/>
    <w:rsid w:val="00BC0AE3"/>
    <w:rsid w:val="00BC0DCE"/>
    <w:rsid w:val="00BC1083"/>
    <w:rsid w:val="00BC1253"/>
    <w:rsid w:val="00BC284E"/>
    <w:rsid w:val="00BC30B3"/>
    <w:rsid w:val="00BC3676"/>
    <w:rsid w:val="00BC3967"/>
    <w:rsid w:val="00BC39D5"/>
    <w:rsid w:val="00BC6606"/>
    <w:rsid w:val="00BC6BA7"/>
    <w:rsid w:val="00BC71E1"/>
    <w:rsid w:val="00BC7D10"/>
    <w:rsid w:val="00BD0CAC"/>
    <w:rsid w:val="00BD1179"/>
    <w:rsid w:val="00BD1304"/>
    <w:rsid w:val="00BD1317"/>
    <w:rsid w:val="00BD1481"/>
    <w:rsid w:val="00BD190D"/>
    <w:rsid w:val="00BD2337"/>
    <w:rsid w:val="00BD2473"/>
    <w:rsid w:val="00BD2D94"/>
    <w:rsid w:val="00BD49A1"/>
    <w:rsid w:val="00BD49CC"/>
    <w:rsid w:val="00BD4CE6"/>
    <w:rsid w:val="00BD5080"/>
    <w:rsid w:val="00BD7DE1"/>
    <w:rsid w:val="00BE1019"/>
    <w:rsid w:val="00BE14EB"/>
    <w:rsid w:val="00BE25CA"/>
    <w:rsid w:val="00BE2BD5"/>
    <w:rsid w:val="00BE2DE0"/>
    <w:rsid w:val="00BE3280"/>
    <w:rsid w:val="00BE3693"/>
    <w:rsid w:val="00BE4280"/>
    <w:rsid w:val="00BE4D7E"/>
    <w:rsid w:val="00BE5DB2"/>
    <w:rsid w:val="00BE661A"/>
    <w:rsid w:val="00BE6831"/>
    <w:rsid w:val="00BE7C77"/>
    <w:rsid w:val="00BF11A0"/>
    <w:rsid w:val="00BF2D5B"/>
    <w:rsid w:val="00BF3928"/>
    <w:rsid w:val="00BF3C7E"/>
    <w:rsid w:val="00BF3CFE"/>
    <w:rsid w:val="00BF4A8E"/>
    <w:rsid w:val="00BF4AEC"/>
    <w:rsid w:val="00BF4EFB"/>
    <w:rsid w:val="00BF5358"/>
    <w:rsid w:val="00BF68C8"/>
    <w:rsid w:val="00BF6BD1"/>
    <w:rsid w:val="00BF7060"/>
    <w:rsid w:val="00BF741B"/>
    <w:rsid w:val="00C00A8A"/>
    <w:rsid w:val="00C01023"/>
    <w:rsid w:val="00C0153F"/>
    <w:rsid w:val="00C016A5"/>
    <w:rsid w:val="00C01E68"/>
    <w:rsid w:val="00C02135"/>
    <w:rsid w:val="00C03409"/>
    <w:rsid w:val="00C04BD9"/>
    <w:rsid w:val="00C04C44"/>
    <w:rsid w:val="00C05468"/>
    <w:rsid w:val="00C06317"/>
    <w:rsid w:val="00C06F92"/>
    <w:rsid w:val="00C0728B"/>
    <w:rsid w:val="00C0777E"/>
    <w:rsid w:val="00C07E9E"/>
    <w:rsid w:val="00C10544"/>
    <w:rsid w:val="00C11473"/>
    <w:rsid w:val="00C11610"/>
    <w:rsid w:val="00C11924"/>
    <w:rsid w:val="00C126C2"/>
    <w:rsid w:val="00C126CE"/>
    <w:rsid w:val="00C12AEE"/>
    <w:rsid w:val="00C14635"/>
    <w:rsid w:val="00C16B09"/>
    <w:rsid w:val="00C205E9"/>
    <w:rsid w:val="00C20AE8"/>
    <w:rsid w:val="00C21708"/>
    <w:rsid w:val="00C221A0"/>
    <w:rsid w:val="00C2273F"/>
    <w:rsid w:val="00C238D1"/>
    <w:rsid w:val="00C2470A"/>
    <w:rsid w:val="00C24888"/>
    <w:rsid w:val="00C250D9"/>
    <w:rsid w:val="00C2566C"/>
    <w:rsid w:val="00C25951"/>
    <w:rsid w:val="00C318F8"/>
    <w:rsid w:val="00C31D72"/>
    <w:rsid w:val="00C31E23"/>
    <w:rsid w:val="00C31E28"/>
    <w:rsid w:val="00C326F9"/>
    <w:rsid w:val="00C32FE6"/>
    <w:rsid w:val="00C3696C"/>
    <w:rsid w:val="00C36FFC"/>
    <w:rsid w:val="00C371CA"/>
    <w:rsid w:val="00C373CD"/>
    <w:rsid w:val="00C375D9"/>
    <w:rsid w:val="00C37670"/>
    <w:rsid w:val="00C37A29"/>
    <w:rsid w:val="00C37DAD"/>
    <w:rsid w:val="00C41EE5"/>
    <w:rsid w:val="00C42A38"/>
    <w:rsid w:val="00C433FB"/>
    <w:rsid w:val="00C43DCC"/>
    <w:rsid w:val="00C43E8D"/>
    <w:rsid w:val="00C440E4"/>
    <w:rsid w:val="00C446BD"/>
    <w:rsid w:val="00C44749"/>
    <w:rsid w:val="00C44809"/>
    <w:rsid w:val="00C4563D"/>
    <w:rsid w:val="00C45D34"/>
    <w:rsid w:val="00C47825"/>
    <w:rsid w:val="00C478E7"/>
    <w:rsid w:val="00C50FD0"/>
    <w:rsid w:val="00C51799"/>
    <w:rsid w:val="00C523CA"/>
    <w:rsid w:val="00C53A83"/>
    <w:rsid w:val="00C53AB5"/>
    <w:rsid w:val="00C5458A"/>
    <w:rsid w:val="00C546F3"/>
    <w:rsid w:val="00C558EC"/>
    <w:rsid w:val="00C5596A"/>
    <w:rsid w:val="00C55BC2"/>
    <w:rsid w:val="00C55FAE"/>
    <w:rsid w:val="00C56900"/>
    <w:rsid w:val="00C56FC4"/>
    <w:rsid w:val="00C5792A"/>
    <w:rsid w:val="00C60D77"/>
    <w:rsid w:val="00C61994"/>
    <w:rsid w:val="00C620B0"/>
    <w:rsid w:val="00C6227C"/>
    <w:rsid w:val="00C62EBF"/>
    <w:rsid w:val="00C64D3C"/>
    <w:rsid w:val="00C6547A"/>
    <w:rsid w:val="00C663BB"/>
    <w:rsid w:val="00C66AC8"/>
    <w:rsid w:val="00C66CA0"/>
    <w:rsid w:val="00C66D59"/>
    <w:rsid w:val="00C6788D"/>
    <w:rsid w:val="00C67F92"/>
    <w:rsid w:val="00C70D80"/>
    <w:rsid w:val="00C70EFC"/>
    <w:rsid w:val="00C70F96"/>
    <w:rsid w:val="00C712FB"/>
    <w:rsid w:val="00C7167D"/>
    <w:rsid w:val="00C73122"/>
    <w:rsid w:val="00C757B0"/>
    <w:rsid w:val="00C75951"/>
    <w:rsid w:val="00C75C56"/>
    <w:rsid w:val="00C76009"/>
    <w:rsid w:val="00C76812"/>
    <w:rsid w:val="00C76B1B"/>
    <w:rsid w:val="00C80D77"/>
    <w:rsid w:val="00C814D3"/>
    <w:rsid w:val="00C817A4"/>
    <w:rsid w:val="00C81A6A"/>
    <w:rsid w:val="00C82003"/>
    <w:rsid w:val="00C833E9"/>
    <w:rsid w:val="00C84BF0"/>
    <w:rsid w:val="00C853E2"/>
    <w:rsid w:val="00C85F10"/>
    <w:rsid w:val="00C86629"/>
    <w:rsid w:val="00C86A93"/>
    <w:rsid w:val="00C86DB9"/>
    <w:rsid w:val="00C86F45"/>
    <w:rsid w:val="00C879F2"/>
    <w:rsid w:val="00C904B0"/>
    <w:rsid w:val="00C927DE"/>
    <w:rsid w:val="00C928FC"/>
    <w:rsid w:val="00C932F3"/>
    <w:rsid w:val="00C93A5D"/>
    <w:rsid w:val="00C94093"/>
    <w:rsid w:val="00C94113"/>
    <w:rsid w:val="00C94F58"/>
    <w:rsid w:val="00C950A2"/>
    <w:rsid w:val="00C9531F"/>
    <w:rsid w:val="00C96238"/>
    <w:rsid w:val="00C9676C"/>
    <w:rsid w:val="00C96AA1"/>
    <w:rsid w:val="00CA0B3F"/>
    <w:rsid w:val="00CA0E27"/>
    <w:rsid w:val="00CA0E31"/>
    <w:rsid w:val="00CA1516"/>
    <w:rsid w:val="00CA1609"/>
    <w:rsid w:val="00CA267C"/>
    <w:rsid w:val="00CA3A33"/>
    <w:rsid w:val="00CA419C"/>
    <w:rsid w:val="00CA445A"/>
    <w:rsid w:val="00CA49F5"/>
    <w:rsid w:val="00CA50D8"/>
    <w:rsid w:val="00CA5628"/>
    <w:rsid w:val="00CA6D13"/>
    <w:rsid w:val="00CB13D7"/>
    <w:rsid w:val="00CB1573"/>
    <w:rsid w:val="00CB1DB5"/>
    <w:rsid w:val="00CB20C3"/>
    <w:rsid w:val="00CB2A55"/>
    <w:rsid w:val="00CB3BB8"/>
    <w:rsid w:val="00CB46F6"/>
    <w:rsid w:val="00CB4B51"/>
    <w:rsid w:val="00CB58F3"/>
    <w:rsid w:val="00CC049A"/>
    <w:rsid w:val="00CC0748"/>
    <w:rsid w:val="00CC0BCF"/>
    <w:rsid w:val="00CC13BD"/>
    <w:rsid w:val="00CC186F"/>
    <w:rsid w:val="00CC1F1A"/>
    <w:rsid w:val="00CC257C"/>
    <w:rsid w:val="00CC309A"/>
    <w:rsid w:val="00CC3DE4"/>
    <w:rsid w:val="00CC418C"/>
    <w:rsid w:val="00CC459B"/>
    <w:rsid w:val="00CC50AF"/>
    <w:rsid w:val="00CC521C"/>
    <w:rsid w:val="00CC5CAC"/>
    <w:rsid w:val="00CC5DB5"/>
    <w:rsid w:val="00CC5F5B"/>
    <w:rsid w:val="00CC5FAB"/>
    <w:rsid w:val="00CC6097"/>
    <w:rsid w:val="00CC683D"/>
    <w:rsid w:val="00CC75A4"/>
    <w:rsid w:val="00CC7682"/>
    <w:rsid w:val="00CD0ECA"/>
    <w:rsid w:val="00CD116E"/>
    <w:rsid w:val="00CD2218"/>
    <w:rsid w:val="00CD2443"/>
    <w:rsid w:val="00CD2831"/>
    <w:rsid w:val="00CD291A"/>
    <w:rsid w:val="00CD417B"/>
    <w:rsid w:val="00CD4342"/>
    <w:rsid w:val="00CD570A"/>
    <w:rsid w:val="00CD5F0D"/>
    <w:rsid w:val="00CD61EB"/>
    <w:rsid w:val="00CD687E"/>
    <w:rsid w:val="00CD6A3E"/>
    <w:rsid w:val="00CD70A8"/>
    <w:rsid w:val="00CD7F44"/>
    <w:rsid w:val="00CE0199"/>
    <w:rsid w:val="00CE0AA5"/>
    <w:rsid w:val="00CE0BB6"/>
    <w:rsid w:val="00CE1A9C"/>
    <w:rsid w:val="00CE1F71"/>
    <w:rsid w:val="00CE43AF"/>
    <w:rsid w:val="00CE4D3A"/>
    <w:rsid w:val="00CE4F16"/>
    <w:rsid w:val="00CE541D"/>
    <w:rsid w:val="00CE594F"/>
    <w:rsid w:val="00CE5A6F"/>
    <w:rsid w:val="00CE606C"/>
    <w:rsid w:val="00CE64FD"/>
    <w:rsid w:val="00CE7EC7"/>
    <w:rsid w:val="00CE7F67"/>
    <w:rsid w:val="00CF02F0"/>
    <w:rsid w:val="00CF1F8E"/>
    <w:rsid w:val="00CF3DB8"/>
    <w:rsid w:val="00CF4BC6"/>
    <w:rsid w:val="00CF5E9F"/>
    <w:rsid w:val="00CF5FCB"/>
    <w:rsid w:val="00CF6D8B"/>
    <w:rsid w:val="00CF7F06"/>
    <w:rsid w:val="00D01234"/>
    <w:rsid w:val="00D01615"/>
    <w:rsid w:val="00D017F2"/>
    <w:rsid w:val="00D01CD2"/>
    <w:rsid w:val="00D020C4"/>
    <w:rsid w:val="00D02137"/>
    <w:rsid w:val="00D02BC2"/>
    <w:rsid w:val="00D03301"/>
    <w:rsid w:val="00D0352E"/>
    <w:rsid w:val="00D039BD"/>
    <w:rsid w:val="00D0431D"/>
    <w:rsid w:val="00D043CF"/>
    <w:rsid w:val="00D0462E"/>
    <w:rsid w:val="00D04AA2"/>
    <w:rsid w:val="00D05395"/>
    <w:rsid w:val="00D053C5"/>
    <w:rsid w:val="00D05506"/>
    <w:rsid w:val="00D05791"/>
    <w:rsid w:val="00D0632C"/>
    <w:rsid w:val="00D06752"/>
    <w:rsid w:val="00D06A4C"/>
    <w:rsid w:val="00D06DB6"/>
    <w:rsid w:val="00D07232"/>
    <w:rsid w:val="00D106D9"/>
    <w:rsid w:val="00D10BCC"/>
    <w:rsid w:val="00D11155"/>
    <w:rsid w:val="00D121A5"/>
    <w:rsid w:val="00D1377C"/>
    <w:rsid w:val="00D13CDA"/>
    <w:rsid w:val="00D13EE0"/>
    <w:rsid w:val="00D14CE2"/>
    <w:rsid w:val="00D15B7C"/>
    <w:rsid w:val="00D1682A"/>
    <w:rsid w:val="00D16F74"/>
    <w:rsid w:val="00D174F3"/>
    <w:rsid w:val="00D1764D"/>
    <w:rsid w:val="00D177BD"/>
    <w:rsid w:val="00D2075C"/>
    <w:rsid w:val="00D20885"/>
    <w:rsid w:val="00D208A3"/>
    <w:rsid w:val="00D20EC5"/>
    <w:rsid w:val="00D214FD"/>
    <w:rsid w:val="00D21736"/>
    <w:rsid w:val="00D226A1"/>
    <w:rsid w:val="00D22A9C"/>
    <w:rsid w:val="00D24153"/>
    <w:rsid w:val="00D24D9B"/>
    <w:rsid w:val="00D25B54"/>
    <w:rsid w:val="00D26B11"/>
    <w:rsid w:val="00D303AF"/>
    <w:rsid w:val="00D30623"/>
    <w:rsid w:val="00D3072F"/>
    <w:rsid w:val="00D30791"/>
    <w:rsid w:val="00D30957"/>
    <w:rsid w:val="00D3122D"/>
    <w:rsid w:val="00D31534"/>
    <w:rsid w:val="00D31BB8"/>
    <w:rsid w:val="00D31E3E"/>
    <w:rsid w:val="00D326B4"/>
    <w:rsid w:val="00D32D6B"/>
    <w:rsid w:val="00D330CA"/>
    <w:rsid w:val="00D3316D"/>
    <w:rsid w:val="00D33563"/>
    <w:rsid w:val="00D338CE"/>
    <w:rsid w:val="00D33AD1"/>
    <w:rsid w:val="00D33EBB"/>
    <w:rsid w:val="00D3619F"/>
    <w:rsid w:val="00D36C5C"/>
    <w:rsid w:val="00D36EFD"/>
    <w:rsid w:val="00D371E0"/>
    <w:rsid w:val="00D3748A"/>
    <w:rsid w:val="00D37882"/>
    <w:rsid w:val="00D40C20"/>
    <w:rsid w:val="00D40CBE"/>
    <w:rsid w:val="00D41AF8"/>
    <w:rsid w:val="00D42020"/>
    <w:rsid w:val="00D4235E"/>
    <w:rsid w:val="00D43605"/>
    <w:rsid w:val="00D44283"/>
    <w:rsid w:val="00D44403"/>
    <w:rsid w:val="00D45069"/>
    <w:rsid w:val="00D45398"/>
    <w:rsid w:val="00D4570C"/>
    <w:rsid w:val="00D4573F"/>
    <w:rsid w:val="00D46383"/>
    <w:rsid w:val="00D4772F"/>
    <w:rsid w:val="00D50873"/>
    <w:rsid w:val="00D52173"/>
    <w:rsid w:val="00D55E48"/>
    <w:rsid w:val="00D56B96"/>
    <w:rsid w:val="00D57BA7"/>
    <w:rsid w:val="00D603BC"/>
    <w:rsid w:val="00D60460"/>
    <w:rsid w:val="00D60649"/>
    <w:rsid w:val="00D613DE"/>
    <w:rsid w:val="00D617AD"/>
    <w:rsid w:val="00D61E88"/>
    <w:rsid w:val="00D62A22"/>
    <w:rsid w:val="00D62AF2"/>
    <w:rsid w:val="00D62B29"/>
    <w:rsid w:val="00D64819"/>
    <w:rsid w:val="00D64988"/>
    <w:rsid w:val="00D64DDB"/>
    <w:rsid w:val="00D65B37"/>
    <w:rsid w:val="00D66025"/>
    <w:rsid w:val="00D662A3"/>
    <w:rsid w:val="00D663EC"/>
    <w:rsid w:val="00D66D52"/>
    <w:rsid w:val="00D67378"/>
    <w:rsid w:val="00D67F8D"/>
    <w:rsid w:val="00D70075"/>
    <w:rsid w:val="00D705DC"/>
    <w:rsid w:val="00D7172B"/>
    <w:rsid w:val="00D71DBC"/>
    <w:rsid w:val="00D7288A"/>
    <w:rsid w:val="00D72A03"/>
    <w:rsid w:val="00D7329A"/>
    <w:rsid w:val="00D73725"/>
    <w:rsid w:val="00D7467A"/>
    <w:rsid w:val="00D7493D"/>
    <w:rsid w:val="00D75018"/>
    <w:rsid w:val="00D76143"/>
    <w:rsid w:val="00D761E0"/>
    <w:rsid w:val="00D767BC"/>
    <w:rsid w:val="00D7697B"/>
    <w:rsid w:val="00D76B8C"/>
    <w:rsid w:val="00D772A2"/>
    <w:rsid w:val="00D7787F"/>
    <w:rsid w:val="00D77900"/>
    <w:rsid w:val="00D77C4D"/>
    <w:rsid w:val="00D77DD3"/>
    <w:rsid w:val="00D801C2"/>
    <w:rsid w:val="00D8083F"/>
    <w:rsid w:val="00D809FB"/>
    <w:rsid w:val="00D81539"/>
    <w:rsid w:val="00D826EF"/>
    <w:rsid w:val="00D826FB"/>
    <w:rsid w:val="00D82880"/>
    <w:rsid w:val="00D82AF0"/>
    <w:rsid w:val="00D83923"/>
    <w:rsid w:val="00D8392D"/>
    <w:rsid w:val="00D8477C"/>
    <w:rsid w:val="00D84DDC"/>
    <w:rsid w:val="00D857BB"/>
    <w:rsid w:val="00D87518"/>
    <w:rsid w:val="00D87B0B"/>
    <w:rsid w:val="00D910F3"/>
    <w:rsid w:val="00D911E5"/>
    <w:rsid w:val="00D912F8"/>
    <w:rsid w:val="00D91E94"/>
    <w:rsid w:val="00D92561"/>
    <w:rsid w:val="00D925D3"/>
    <w:rsid w:val="00D929B0"/>
    <w:rsid w:val="00D92F90"/>
    <w:rsid w:val="00D9419D"/>
    <w:rsid w:val="00D9428E"/>
    <w:rsid w:val="00D94515"/>
    <w:rsid w:val="00D94913"/>
    <w:rsid w:val="00D94C29"/>
    <w:rsid w:val="00D94E84"/>
    <w:rsid w:val="00D95058"/>
    <w:rsid w:val="00D950D7"/>
    <w:rsid w:val="00D9516A"/>
    <w:rsid w:val="00D95952"/>
    <w:rsid w:val="00D96E25"/>
    <w:rsid w:val="00D96F65"/>
    <w:rsid w:val="00D9725F"/>
    <w:rsid w:val="00DA03B8"/>
    <w:rsid w:val="00DA136C"/>
    <w:rsid w:val="00DA1D07"/>
    <w:rsid w:val="00DA1D0B"/>
    <w:rsid w:val="00DA3017"/>
    <w:rsid w:val="00DA3FC2"/>
    <w:rsid w:val="00DA440F"/>
    <w:rsid w:val="00DA448D"/>
    <w:rsid w:val="00DA4AB4"/>
    <w:rsid w:val="00DA506F"/>
    <w:rsid w:val="00DA532D"/>
    <w:rsid w:val="00DA5B67"/>
    <w:rsid w:val="00DA634D"/>
    <w:rsid w:val="00DA67C6"/>
    <w:rsid w:val="00DA77DF"/>
    <w:rsid w:val="00DB0040"/>
    <w:rsid w:val="00DB0200"/>
    <w:rsid w:val="00DB16A3"/>
    <w:rsid w:val="00DB3F87"/>
    <w:rsid w:val="00DB40E9"/>
    <w:rsid w:val="00DB5898"/>
    <w:rsid w:val="00DB608D"/>
    <w:rsid w:val="00DB7844"/>
    <w:rsid w:val="00DB7E8D"/>
    <w:rsid w:val="00DC0300"/>
    <w:rsid w:val="00DC0D5A"/>
    <w:rsid w:val="00DC0EA3"/>
    <w:rsid w:val="00DC1012"/>
    <w:rsid w:val="00DC1038"/>
    <w:rsid w:val="00DC10BD"/>
    <w:rsid w:val="00DC18D8"/>
    <w:rsid w:val="00DC1B37"/>
    <w:rsid w:val="00DC22A9"/>
    <w:rsid w:val="00DC3281"/>
    <w:rsid w:val="00DC32D6"/>
    <w:rsid w:val="00DC331B"/>
    <w:rsid w:val="00DC3529"/>
    <w:rsid w:val="00DC40E2"/>
    <w:rsid w:val="00DC4F2E"/>
    <w:rsid w:val="00DC5288"/>
    <w:rsid w:val="00DC5DFF"/>
    <w:rsid w:val="00DC6D5B"/>
    <w:rsid w:val="00DC74CB"/>
    <w:rsid w:val="00DC79EF"/>
    <w:rsid w:val="00DD070A"/>
    <w:rsid w:val="00DD127C"/>
    <w:rsid w:val="00DD134A"/>
    <w:rsid w:val="00DD27C9"/>
    <w:rsid w:val="00DD33A1"/>
    <w:rsid w:val="00DD37B8"/>
    <w:rsid w:val="00DD4CBA"/>
    <w:rsid w:val="00DD55A7"/>
    <w:rsid w:val="00DD56B5"/>
    <w:rsid w:val="00DD6343"/>
    <w:rsid w:val="00DD63AD"/>
    <w:rsid w:val="00DD6473"/>
    <w:rsid w:val="00DD7CF1"/>
    <w:rsid w:val="00DE019C"/>
    <w:rsid w:val="00DE0C0E"/>
    <w:rsid w:val="00DE0F4D"/>
    <w:rsid w:val="00DE1085"/>
    <w:rsid w:val="00DE2682"/>
    <w:rsid w:val="00DE39C9"/>
    <w:rsid w:val="00DE3C74"/>
    <w:rsid w:val="00DE44E0"/>
    <w:rsid w:val="00DE564B"/>
    <w:rsid w:val="00DE5CE0"/>
    <w:rsid w:val="00DE7E5D"/>
    <w:rsid w:val="00DF0245"/>
    <w:rsid w:val="00DF0A83"/>
    <w:rsid w:val="00DF29FB"/>
    <w:rsid w:val="00DF3192"/>
    <w:rsid w:val="00DF31A4"/>
    <w:rsid w:val="00DF39B6"/>
    <w:rsid w:val="00DF3EF3"/>
    <w:rsid w:val="00DF44E1"/>
    <w:rsid w:val="00DF46AB"/>
    <w:rsid w:val="00DF4E3E"/>
    <w:rsid w:val="00DF57B8"/>
    <w:rsid w:val="00DF5ECA"/>
    <w:rsid w:val="00DF5FBB"/>
    <w:rsid w:val="00DF60B9"/>
    <w:rsid w:val="00DF6210"/>
    <w:rsid w:val="00DF62C1"/>
    <w:rsid w:val="00DF6676"/>
    <w:rsid w:val="00DF6A17"/>
    <w:rsid w:val="00DF6E8B"/>
    <w:rsid w:val="00DF7BCA"/>
    <w:rsid w:val="00E00117"/>
    <w:rsid w:val="00E00DED"/>
    <w:rsid w:val="00E010CD"/>
    <w:rsid w:val="00E01270"/>
    <w:rsid w:val="00E01307"/>
    <w:rsid w:val="00E013D6"/>
    <w:rsid w:val="00E021C4"/>
    <w:rsid w:val="00E0453D"/>
    <w:rsid w:val="00E04C14"/>
    <w:rsid w:val="00E05FA6"/>
    <w:rsid w:val="00E0650C"/>
    <w:rsid w:val="00E06684"/>
    <w:rsid w:val="00E07928"/>
    <w:rsid w:val="00E10549"/>
    <w:rsid w:val="00E11E8A"/>
    <w:rsid w:val="00E12144"/>
    <w:rsid w:val="00E12235"/>
    <w:rsid w:val="00E129B1"/>
    <w:rsid w:val="00E12EE6"/>
    <w:rsid w:val="00E141E8"/>
    <w:rsid w:val="00E14F43"/>
    <w:rsid w:val="00E15A62"/>
    <w:rsid w:val="00E15DD2"/>
    <w:rsid w:val="00E1778B"/>
    <w:rsid w:val="00E20AAC"/>
    <w:rsid w:val="00E2149E"/>
    <w:rsid w:val="00E21A0E"/>
    <w:rsid w:val="00E224DC"/>
    <w:rsid w:val="00E22CC1"/>
    <w:rsid w:val="00E23A58"/>
    <w:rsid w:val="00E242E7"/>
    <w:rsid w:val="00E243E5"/>
    <w:rsid w:val="00E2495E"/>
    <w:rsid w:val="00E24D9C"/>
    <w:rsid w:val="00E251B7"/>
    <w:rsid w:val="00E25474"/>
    <w:rsid w:val="00E25884"/>
    <w:rsid w:val="00E275EB"/>
    <w:rsid w:val="00E275FF"/>
    <w:rsid w:val="00E2768B"/>
    <w:rsid w:val="00E27BAE"/>
    <w:rsid w:val="00E27DBD"/>
    <w:rsid w:val="00E302D3"/>
    <w:rsid w:val="00E311D0"/>
    <w:rsid w:val="00E31889"/>
    <w:rsid w:val="00E318F3"/>
    <w:rsid w:val="00E32821"/>
    <w:rsid w:val="00E329DD"/>
    <w:rsid w:val="00E32EE5"/>
    <w:rsid w:val="00E32F93"/>
    <w:rsid w:val="00E34A31"/>
    <w:rsid w:val="00E357E7"/>
    <w:rsid w:val="00E36241"/>
    <w:rsid w:val="00E379F7"/>
    <w:rsid w:val="00E415DA"/>
    <w:rsid w:val="00E418E5"/>
    <w:rsid w:val="00E45DEA"/>
    <w:rsid w:val="00E4605E"/>
    <w:rsid w:val="00E46BFF"/>
    <w:rsid w:val="00E476DA"/>
    <w:rsid w:val="00E47EBD"/>
    <w:rsid w:val="00E50409"/>
    <w:rsid w:val="00E50B58"/>
    <w:rsid w:val="00E51315"/>
    <w:rsid w:val="00E514C9"/>
    <w:rsid w:val="00E52420"/>
    <w:rsid w:val="00E524C0"/>
    <w:rsid w:val="00E531C7"/>
    <w:rsid w:val="00E53449"/>
    <w:rsid w:val="00E53C7C"/>
    <w:rsid w:val="00E53D53"/>
    <w:rsid w:val="00E545CE"/>
    <w:rsid w:val="00E54ACD"/>
    <w:rsid w:val="00E54B2B"/>
    <w:rsid w:val="00E54B57"/>
    <w:rsid w:val="00E554C7"/>
    <w:rsid w:val="00E55936"/>
    <w:rsid w:val="00E561AB"/>
    <w:rsid w:val="00E5657A"/>
    <w:rsid w:val="00E57C1C"/>
    <w:rsid w:val="00E606FC"/>
    <w:rsid w:val="00E60C1B"/>
    <w:rsid w:val="00E61169"/>
    <w:rsid w:val="00E61632"/>
    <w:rsid w:val="00E61DCD"/>
    <w:rsid w:val="00E62157"/>
    <w:rsid w:val="00E63A35"/>
    <w:rsid w:val="00E64075"/>
    <w:rsid w:val="00E64226"/>
    <w:rsid w:val="00E652BC"/>
    <w:rsid w:val="00E65822"/>
    <w:rsid w:val="00E671D5"/>
    <w:rsid w:val="00E67471"/>
    <w:rsid w:val="00E67901"/>
    <w:rsid w:val="00E67F0C"/>
    <w:rsid w:val="00E70C12"/>
    <w:rsid w:val="00E72EE0"/>
    <w:rsid w:val="00E72FDE"/>
    <w:rsid w:val="00E73B8A"/>
    <w:rsid w:val="00E73BC1"/>
    <w:rsid w:val="00E73EB9"/>
    <w:rsid w:val="00E741FB"/>
    <w:rsid w:val="00E745E9"/>
    <w:rsid w:val="00E74817"/>
    <w:rsid w:val="00E77483"/>
    <w:rsid w:val="00E806AE"/>
    <w:rsid w:val="00E80EB7"/>
    <w:rsid w:val="00E81BA3"/>
    <w:rsid w:val="00E81DE3"/>
    <w:rsid w:val="00E82AEE"/>
    <w:rsid w:val="00E83C04"/>
    <w:rsid w:val="00E84689"/>
    <w:rsid w:val="00E84FCC"/>
    <w:rsid w:val="00E850FE"/>
    <w:rsid w:val="00E85259"/>
    <w:rsid w:val="00E867A4"/>
    <w:rsid w:val="00E878D7"/>
    <w:rsid w:val="00E87B8C"/>
    <w:rsid w:val="00E87FA9"/>
    <w:rsid w:val="00E90623"/>
    <w:rsid w:val="00E90ADA"/>
    <w:rsid w:val="00E9133E"/>
    <w:rsid w:val="00E91A7E"/>
    <w:rsid w:val="00E91FED"/>
    <w:rsid w:val="00E9207A"/>
    <w:rsid w:val="00E925DB"/>
    <w:rsid w:val="00E92AFC"/>
    <w:rsid w:val="00E93FE1"/>
    <w:rsid w:val="00E9425C"/>
    <w:rsid w:val="00E971F4"/>
    <w:rsid w:val="00E97F98"/>
    <w:rsid w:val="00EA0106"/>
    <w:rsid w:val="00EA0C43"/>
    <w:rsid w:val="00EA1829"/>
    <w:rsid w:val="00EA1943"/>
    <w:rsid w:val="00EA23A7"/>
    <w:rsid w:val="00EA27A7"/>
    <w:rsid w:val="00EA391F"/>
    <w:rsid w:val="00EA394B"/>
    <w:rsid w:val="00EA415F"/>
    <w:rsid w:val="00EA4668"/>
    <w:rsid w:val="00EA5DF2"/>
    <w:rsid w:val="00EA6DAB"/>
    <w:rsid w:val="00EB095A"/>
    <w:rsid w:val="00EB0D79"/>
    <w:rsid w:val="00EB135D"/>
    <w:rsid w:val="00EB1E6C"/>
    <w:rsid w:val="00EB2380"/>
    <w:rsid w:val="00EB2815"/>
    <w:rsid w:val="00EB2B47"/>
    <w:rsid w:val="00EB3C4F"/>
    <w:rsid w:val="00EB3F9D"/>
    <w:rsid w:val="00EB4E48"/>
    <w:rsid w:val="00EB5799"/>
    <w:rsid w:val="00EB5DC6"/>
    <w:rsid w:val="00EB67C7"/>
    <w:rsid w:val="00EB7F22"/>
    <w:rsid w:val="00EC0496"/>
    <w:rsid w:val="00EC1FD3"/>
    <w:rsid w:val="00EC36CD"/>
    <w:rsid w:val="00EC4471"/>
    <w:rsid w:val="00EC452D"/>
    <w:rsid w:val="00EC492B"/>
    <w:rsid w:val="00EC517E"/>
    <w:rsid w:val="00EC58FF"/>
    <w:rsid w:val="00EC6362"/>
    <w:rsid w:val="00ED11E2"/>
    <w:rsid w:val="00ED1734"/>
    <w:rsid w:val="00ED1812"/>
    <w:rsid w:val="00ED1FE4"/>
    <w:rsid w:val="00ED2318"/>
    <w:rsid w:val="00ED24B4"/>
    <w:rsid w:val="00ED2BF1"/>
    <w:rsid w:val="00ED4983"/>
    <w:rsid w:val="00ED4EF7"/>
    <w:rsid w:val="00ED5D67"/>
    <w:rsid w:val="00ED6105"/>
    <w:rsid w:val="00ED616C"/>
    <w:rsid w:val="00ED6DB3"/>
    <w:rsid w:val="00ED7292"/>
    <w:rsid w:val="00ED7FBD"/>
    <w:rsid w:val="00EE06FA"/>
    <w:rsid w:val="00EE0BCA"/>
    <w:rsid w:val="00EE0C87"/>
    <w:rsid w:val="00EE1126"/>
    <w:rsid w:val="00EE1493"/>
    <w:rsid w:val="00EE163A"/>
    <w:rsid w:val="00EE1A30"/>
    <w:rsid w:val="00EE1C91"/>
    <w:rsid w:val="00EE1F18"/>
    <w:rsid w:val="00EE2AF4"/>
    <w:rsid w:val="00EE2BF6"/>
    <w:rsid w:val="00EE4900"/>
    <w:rsid w:val="00EE4C77"/>
    <w:rsid w:val="00EE52C5"/>
    <w:rsid w:val="00EE5636"/>
    <w:rsid w:val="00EE5650"/>
    <w:rsid w:val="00EE5E3C"/>
    <w:rsid w:val="00EE606E"/>
    <w:rsid w:val="00EE6B91"/>
    <w:rsid w:val="00EE6E10"/>
    <w:rsid w:val="00EE6F14"/>
    <w:rsid w:val="00EE7055"/>
    <w:rsid w:val="00EE733B"/>
    <w:rsid w:val="00EE7F60"/>
    <w:rsid w:val="00EF0111"/>
    <w:rsid w:val="00EF099A"/>
    <w:rsid w:val="00EF123D"/>
    <w:rsid w:val="00EF14BB"/>
    <w:rsid w:val="00EF22C1"/>
    <w:rsid w:val="00EF2E36"/>
    <w:rsid w:val="00EF3D87"/>
    <w:rsid w:val="00EF3F23"/>
    <w:rsid w:val="00EF429E"/>
    <w:rsid w:val="00EF5DB9"/>
    <w:rsid w:val="00EF62F5"/>
    <w:rsid w:val="00EF6D4F"/>
    <w:rsid w:val="00EF6EA8"/>
    <w:rsid w:val="00EF74E8"/>
    <w:rsid w:val="00F00ECF"/>
    <w:rsid w:val="00F03E98"/>
    <w:rsid w:val="00F03FB6"/>
    <w:rsid w:val="00F040F2"/>
    <w:rsid w:val="00F0492A"/>
    <w:rsid w:val="00F04EA7"/>
    <w:rsid w:val="00F04FED"/>
    <w:rsid w:val="00F0563C"/>
    <w:rsid w:val="00F05CEF"/>
    <w:rsid w:val="00F06A45"/>
    <w:rsid w:val="00F06E80"/>
    <w:rsid w:val="00F06EEB"/>
    <w:rsid w:val="00F07F4D"/>
    <w:rsid w:val="00F102F8"/>
    <w:rsid w:val="00F1167B"/>
    <w:rsid w:val="00F11FD9"/>
    <w:rsid w:val="00F1300F"/>
    <w:rsid w:val="00F1312F"/>
    <w:rsid w:val="00F1322E"/>
    <w:rsid w:val="00F138DD"/>
    <w:rsid w:val="00F14755"/>
    <w:rsid w:val="00F15C8C"/>
    <w:rsid w:val="00F16130"/>
    <w:rsid w:val="00F162D4"/>
    <w:rsid w:val="00F1688A"/>
    <w:rsid w:val="00F16A45"/>
    <w:rsid w:val="00F16FE0"/>
    <w:rsid w:val="00F1762E"/>
    <w:rsid w:val="00F17972"/>
    <w:rsid w:val="00F2058B"/>
    <w:rsid w:val="00F208E7"/>
    <w:rsid w:val="00F21518"/>
    <w:rsid w:val="00F21ECE"/>
    <w:rsid w:val="00F22EC1"/>
    <w:rsid w:val="00F23216"/>
    <w:rsid w:val="00F233E0"/>
    <w:rsid w:val="00F23568"/>
    <w:rsid w:val="00F239B3"/>
    <w:rsid w:val="00F239C0"/>
    <w:rsid w:val="00F23E2E"/>
    <w:rsid w:val="00F24E91"/>
    <w:rsid w:val="00F24F40"/>
    <w:rsid w:val="00F24FD7"/>
    <w:rsid w:val="00F25B8C"/>
    <w:rsid w:val="00F266D6"/>
    <w:rsid w:val="00F30211"/>
    <w:rsid w:val="00F3094F"/>
    <w:rsid w:val="00F312A7"/>
    <w:rsid w:val="00F3209B"/>
    <w:rsid w:val="00F3214C"/>
    <w:rsid w:val="00F33394"/>
    <w:rsid w:val="00F3386D"/>
    <w:rsid w:val="00F33B43"/>
    <w:rsid w:val="00F33CA7"/>
    <w:rsid w:val="00F33F8D"/>
    <w:rsid w:val="00F34798"/>
    <w:rsid w:val="00F34CA1"/>
    <w:rsid w:val="00F36892"/>
    <w:rsid w:val="00F37076"/>
    <w:rsid w:val="00F37412"/>
    <w:rsid w:val="00F37A10"/>
    <w:rsid w:val="00F37CB6"/>
    <w:rsid w:val="00F37F65"/>
    <w:rsid w:val="00F4010B"/>
    <w:rsid w:val="00F40BA1"/>
    <w:rsid w:val="00F411C6"/>
    <w:rsid w:val="00F4166A"/>
    <w:rsid w:val="00F4281D"/>
    <w:rsid w:val="00F43A60"/>
    <w:rsid w:val="00F4498B"/>
    <w:rsid w:val="00F45B9E"/>
    <w:rsid w:val="00F46041"/>
    <w:rsid w:val="00F463D3"/>
    <w:rsid w:val="00F46E42"/>
    <w:rsid w:val="00F4702C"/>
    <w:rsid w:val="00F475AB"/>
    <w:rsid w:val="00F505B8"/>
    <w:rsid w:val="00F51CCC"/>
    <w:rsid w:val="00F53759"/>
    <w:rsid w:val="00F53EFE"/>
    <w:rsid w:val="00F54FD6"/>
    <w:rsid w:val="00F5567B"/>
    <w:rsid w:val="00F55E47"/>
    <w:rsid w:val="00F561C4"/>
    <w:rsid w:val="00F56461"/>
    <w:rsid w:val="00F5730F"/>
    <w:rsid w:val="00F5758F"/>
    <w:rsid w:val="00F60BA2"/>
    <w:rsid w:val="00F615BA"/>
    <w:rsid w:val="00F620CE"/>
    <w:rsid w:val="00F624D6"/>
    <w:rsid w:val="00F62613"/>
    <w:rsid w:val="00F62F78"/>
    <w:rsid w:val="00F634F6"/>
    <w:rsid w:val="00F639F6"/>
    <w:rsid w:val="00F64554"/>
    <w:rsid w:val="00F64972"/>
    <w:rsid w:val="00F65E02"/>
    <w:rsid w:val="00F66275"/>
    <w:rsid w:val="00F66385"/>
    <w:rsid w:val="00F66F17"/>
    <w:rsid w:val="00F70316"/>
    <w:rsid w:val="00F70EAF"/>
    <w:rsid w:val="00F739BC"/>
    <w:rsid w:val="00F74A7F"/>
    <w:rsid w:val="00F74CD6"/>
    <w:rsid w:val="00F757AE"/>
    <w:rsid w:val="00F75DBA"/>
    <w:rsid w:val="00F7798D"/>
    <w:rsid w:val="00F77B4D"/>
    <w:rsid w:val="00F8176A"/>
    <w:rsid w:val="00F81D67"/>
    <w:rsid w:val="00F826CC"/>
    <w:rsid w:val="00F8308C"/>
    <w:rsid w:val="00F8481E"/>
    <w:rsid w:val="00F84D99"/>
    <w:rsid w:val="00F85EB7"/>
    <w:rsid w:val="00F86C9F"/>
    <w:rsid w:val="00F86DC7"/>
    <w:rsid w:val="00F87B07"/>
    <w:rsid w:val="00F87C4C"/>
    <w:rsid w:val="00F90323"/>
    <w:rsid w:val="00F9133D"/>
    <w:rsid w:val="00F9190C"/>
    <w:rsid w:val="00F933FE"/>
    <w:rsid w:val="00F94880"/>
    <w:rsid w:val="00F95E01"/>
    <w:rsid w:val="00F9671A"/>
    <w:rsid w:val="00F97019"/>
    <w:rsid w:val="00FA00BF"/>
    <w:rsid w:val="00FA03FC"/>
    <w:rsid w:val="00FA0EC8"/>
    <w:rsid w:val="00FA1A83"/>
    <w:rsid w:val="00FA2064"/>
    <w:rsid w:val="00FA2689"/>
    <w:rsid w:val="00FA2DB2"/>
    <w:rsid w:val="00FA33D2"/>
    <w:rsid w:val="00FA38DE"/>
    <w:rsid w:val="00FA3CD5"/>
    <w:rsid w:val="00FA5765"/>
    <w:rsid w:val="00FA658A"/>
    <w:rsid w:val="00FA6BDF"/>
    <w:rsid w:val="00FA7D9E"/>
    <w:rsid w:val="00FB016C"/>
    <w:rsid w:val="00FB0DE5"/>
    <w:rsid w:val="00FB2B68"/>
    <w:rsid w:val="00FB331E"/>
    <w:rsid w:val="00FB34F3"/>
    <w:rsid w:val="00FB35E5"/>
    <w:rsid w:val="00FB4097"/>
    <w:rsid w:val="00FB457D"/>
    <w:rsid w:val="00FB4742"/>
    <w:rsid w:val="00FB4E93"/>
    <w:rsid w:val="00FB5487"/>
    <w:rsid w:val="00FB6AA3"/>
    <w:rsid w:val="00FB6F7B"/>
    <w:rsid w:val="00FB79D6"/>
    <w:rsid w:val="00FB7D67"/>
    <w:rsid w:val="00FC06E4"/>
    <w:rsid w:val="00FC1148"/>
    <w:rsid w:val="00FC16F7"/>
    <w:rsid w:val="00FC2D8B"/>
    <w:rsid w:val="00FC31AB"/>
    <w:rsid w:val="00FC3C8C"/>
    <w:rsid w:val="00FC4563"/>
    <w:rsid w:val="00FC49EA"/>
    <w:rsid w:val="00FC4F25"/>
    <w:rsid w:val="00FC5CD7"/>
    <w:rsid w:val="00FC721D"/>
    <w:rsid w:val="00FC7F4E"/>
    <w:rsid w:val="00FD027B"/>
    <w:rsid w:val="00FD04BB"/>
    <w:rsid w:val="00FD082B"/>
    <w:rsid w:val="00FD160A"/>
    <w:rsid w:val="00FD1B95"/>
    <w:rsid w:val="00FD248A"/>
    <w:rsid w:val="00FD2754"/>
    <w:rsid w:val="00FD2889"/>
    <w:rsid w:val="00FD2B54"/>
    <w:rsid w:val="00FD3306"/>
    <w:rsid w:val="00FD3338"/>
    <w:rsid w:val="00FD36B1"/>
    <w:rsid w:val="00FD410C"/>
    <w:rsid w:val="00FD4222"/>
    <w:rsid w:val="00FD478E"/>
    <w:rsid w:val="00FD5528"/>
    <w:rsid w:val="00FD55F0"/>
    <w:rsid w:val="00FD7548"/>
    <w:rsid w:val="00FD7BB0"/>
    <w:rsid w:val="00FE0448"/>
    <w:rsid w:val="00FE04CA"/>
    <w:rsid w:val="00FE094A"/>
    <w:rsid w:val="00FE1630"/>
    <w:rsid w:val="00FE1D6B"/>
    <w:rsid w:val="00FE29A7"/>
    <w:rsid w:val="00FE2B29"/>
    <w:rsid w:val="00FE3299"/>
    <w:rsid w:val="00FE33FA"/>
    <w:rsid w:val="00FE3C53"/>
    <w:rsid w:val="00FE40E4"/>
    <w:rsid w:val="00FE55B1"/>
    <w:rsid w:val="00FE59FD"/>
    <w:rsid w:val="00FE67E6"/>
    <w:rsid w:val="00FE709F"/>
    <w:rsid w:val="00FE7F98"/>
    <w:rsid w:val="00FF00D7"/>
    <w:rsid w:val="00FF027B"/>
    <w:rsid w:val="00FF0BE4"/>
    <w:rsid w:val="00FF0F89"/>
    <w:rsid w:val="00FF268A"/>
    <w:rsid w:val="00FF2C7D"/>
    <w:rsid w:val="00FF2E7F"/>
    <w:rsid w:val="00FF3042"/>
    <w:rsid w:val="00FF306D"/>
    <w:rsid w:val="00FF377F"/>
    <w:rsid w:val="00FF55C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079BE"/>
  <w15:chartTrackingRefBased/>
  <w15:docId w15:val="{316F8E8C-BB14-4A0E-B9E6-D3E5F942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F2D5B"/>
    <w:pPr>
      <w:spacing w:before="120" w:after="120" w:line="280" w:lineRule="atLeast"/>
    </w:pPr>
    <w:rPr>
      <w:sz w:val="20"/>
      <w:szCs w:val="20"/>
    </w:rPr>
  </w:style>
  <w:style w:type="paragraph" w:styleId="Heading1">
    <w:name w:val="heading 1"/>
    <w:basedOn w:val="Normal"/>
    <w:next w:val="BodyText"/>
    <w:link w:val="Heading1Char"/>
    <w:uiPriority w:val="9"/>
    <w:qFormat/>
    <w:rsid w:val="00BF2D5B"/>
    <w:pPr>
      <w:numPr>
        <w:numId w:val="3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BF2D5B"/>
    <w:pPr>
      <w:keepNext/>
      <w:keepLines/>
      <w:numPr>
        <w:ilvl w:val="2"/>
        <w:numId w:val="3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BF2D5B"/>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BF2D5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BF2D5B"/>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BF2D5B"/>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BF2D5B"/>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BF2D5B"/>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BF2D5B"/>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D5B"/>
    <w:rPr>
      <w:color w:val="808080"/>
    </w:rPr>
  </w:style>
  <w:style w:type="paragraph" w:styleId="Date">
    <w:name w:val="Date"/>
    <w:basedOn w:val="Normal"/>
    <w:next w:val="Normal"/>
    <w:link w:val="DateChar"/>
    <w:uiPriority w:val="99"/>
    <w:unhideWhenUsed/>
    <w:rsid w:val="00BF2D5B"/>
    <w:pPr>
      <w:spacing w:after="360" w:line="293" w:lineRule="auto"/>
    </w:pPr>
  </w:style>
  <w:style w:type="character" w:customStyle="1" w:styleId="DateChar">
    <w:name w:val="Date Char"/>
    <w:basedOn w:val="DefaultParagraphFont"/>
    <w:link w:val="Date"/>
    <w:uiPriority w:val="99"/>
    <w:rsid w:val="00BF2D5B"/>
    <w:rPr>
      <w:sz w:val="20"/>
      <w:szCs w:val="20"/>
    </w:rPr>
  </w:style>
  <w:style w:type="paragraph" w:styleId="NoSpacing">
    <w:name w:val="No Spacing"/>
    <w:basedOn w:val="Normal"/>
    <w:link w:val="NoSpacingChar"/>
    <w:uiPriority w:val="10"/>
    <w:qFormat/>
    <w:rsid w:val="00BF2D5B"/>
    <w:pPr>
      <w:spacing w:before="0" w:after="0"/>
    </w:pPr>
  </w:style>
  <w:style w:type="paragraph" w:styleId="ListBullet">
    <w:name w:val="List Bullet"/>
    <w:basedOn w:val="Normal"/>
    <w:link w:val="ListBulletChar"/>
    <w:uiPriority w:val="1"/>
    <w:qFormat/>
    <w:rsid w:val="00BF2D5B"/>
    <w:pPr>
      <w:numPr>
        <w:numId w:val="2"/>
      </w:numPr>
      <w:contextualSpacing/>
    </w:pPr>
  </w:style>
  <w:style w:type="paragraph" w:styleId="ListBullet2">
    <w:name w:val="List Bullet 2"/>
    <w:basedOn w:val="Normal"/>
    <w:uiPriority w:val="1"/>
    <w:qFormat/>
    <w:rsid w:val="00BF2D5B"/>
    <w:pPr>
      <w:numPr>
        <w:ilvl w:val="1"/>
        <w:numId w:val="2"/>
      </w:numPr>
      <w:contextualSpacing/>
    </w:pPr>
  </w:style>
  <w:style w:type="paragraph" w:styleId="ListNumber">
    <w:name w:val="List Number"/>
    <w:basedOn w:val="Normal"/>
    <w:uiPriority w:val="2"/>
    <w:qFormat/>
    <w:rsid w:val="00BF2D5B"/>
    <w:pPr>
      <w:numPr>
        <w:numId w:val="34"/>
      </w:numPr>
      <w:spacing w:before="60"/>
      <w:ind w:left="340" w:hanging="340"/>
      <w:contextualSpacing/>
    </w:pPr>
  </w:style>
  <w:style w:type="numbering" w:customStyle="1" w:styleId="Bullets">
    <w:name w:val="Bullets"/>
    <w:uiPriority w:val="99"/>
    <w:rsid w:val="00BF2D5B"/>
    <w:pPr>
      <w:numPr>
        <w:numId w:val="12"/>
      </w:numPr>
    </w:pPr>
  </w:style>
  <w:style w:type="character" w:customStyle="1" w:styleId="Heading1Char">
    <w:name w:val="Heading 1 Char"/>
    <w:basedOn w:val="DefaultParagraphFont"/>
    <w:link w:val="Heading1"/>
    <w:uiPriority w:val="9"/>
    <w:rsid w:val="00BF2D5B"/>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BF2D5B"/>
    <w:pPr>
      <w:numPr>
        <w:ilvl w:val="1"/>
        <w:numId w:val="34"/>
      </w:numPr>
      <w:spacing w:before="60"/>
      <w:contextualSpacing/>
    </w:pPr>
  </w:style>
  <w:style w:type="character" w:customStyle="1" w:styleId="Heading2Char">
    <w:name w:val="Heading 2 Char"/>
    <w:basedOn w:val="DefaultParagraphFont"/>
    <w:link w:val="Heading2"/>
    <w:uiPriority w:val="9"/>
    <w:rsid w:val="00BF2D5B"/>
    <w:rPr>
      <w:rFonts w:asciiTheme="majorHAnsi" w:eastAsiaTheme="majorEastAsia" w:hAnsiTheme="majorHAnsi" w:cstheme="majorBidi"/>
      <w:sz w:val="30"/>
      <w:szCs w:val="60"/>
    </w:rPr>
  </w:style>
  <w:style w:type="paragraph" w:styleId="ListParagraph">
    <w:name w:val="List Paragraph"/>
    <w:basedOn w:val="Normal"/>
    <w:uiPriority w:val="34"/>
    <w:rsid w:val="00BF2D5B"/>
    <w:pPr>
      <w:spacing w:line="293" w:lineRule="auto"/>
      <w:ind w:left="284"/>
      <w:contextualSpacing/>
    </w:pPr>
  </w:style>
  <w:style w:type="paragraph" w:styleId="Header">
    <w:name w:val="header"/>
    <w:basedOn w:val="Normal"/>
    <w:link w:val="HeaderChar"/>
    <w:uiPriority w:val="99"/>
    <w:unhideWhenUsed/>
    <w:rsid w:val="00BF2D5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BF2D5B"/>
    <w:rPr>
      <w:sz w:val="16"/>
      <w:szCs w:val="20"/>
    </w:rPr>
  </w:style>
  <w:style w:type="paragraph" w:styleId="Footer">
    <w:name w:val="footer"/>
    <w:basedOn w:val="Normal"/>
    <w:link w:val="FooterChar"/>
    <w:uiPriority w:val="11"/>
    <w:rsid w:val="00BF2D5B"/>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BF2D5B"/>
    <w:rPr>
      <w:rFonts w:asciiTheme="majorHAnsi" w:hAnsiTheme="majorHAnsi"/>
      <w:sz w:val="17"/>
    </w:rPr>
  </w:style>
  <w:style w:type="numbering" w:customStyle="1" w:styleId="Numbering">
    <w:name w:val="Numbering"/>
    <w:uiPriority w:val="99"/>
    <w:rsid w:val="00BF2D5B"/>
    <w:pPr>
      <w:numPr>
        <w:numId w:val="1"/>
      </w:numPr>
    </w:pPr>
  </w:style>
  <w:style w:type="paragraph" w:styleId="ListBullet3">
    <w:name w:val="List Bullet 3"/>
    <w:basedOn w:val="Normal"/>
    <w:uiPriority w:val="1"/>
    <w:qFormat/>
    <w:rsid w:val="00BF2D5B"/>
    <w:pPr>
      <w:numPr>
        <w:ilvl w:val="2"/>
        <w:numId w:val="2"/>
      </w:numPr>
      <w:ind w:left="681"/>
      <w:contextualSpacing/>
    </w:pPr>
  </w:style>
  <w:style w:type="paragraph" w:styleId="ListContinue2">
    <w:name w:val="List Continue 2"/>
    <w:basedOn w:val="Normal"/>
    <w:uiPriority w:val="3"/>
    <w:unhideWhenUsed/>
    <w:qFormat/>
    <w:rsid w:val="00BF2D5B"/>
    <w:pPr>
      <w:spacing w:before="60"/>
      <w:ind w:left="454"/>
    </w:pPr>
  </w:style>
  <w:style w:type="paragraph" w:styleId="ListNumber3">
    <w:name w:val="List Number 3"/>
    <w:basedOn w:val="Normal"/>
    <w:uiPriority w:val="13"/>
    <w:qFormat/>
    <w:rsid w:val="00BF2D5B"/>
    <w:pPr>
      <w:numPr>
        <w:ilvl w:val="2"/>
        <w:numId w:val="34"/>
      </w:numPr>
      <w:spacing w:before="60"/>
      <w:contextualSpacing/>
    </w:pPr>
  </w:style>
  <w:style w:type="paragraph" w:styleId="ListNumber4">
    <w:name w:val="List Number 4"/>
    <w:basedOn w:val="Normal"/>
    <w:uiPriority w:val="13"/>
    <w:semiHidden/>
    <w:qFormat/>
    <w:rsid w:val="00BF2D5B"/>
    <w:pPr>
      <w:numPr>
        <w:ilvl w:val="3"/>
        <w:numId w:val="34"/>
      </w:numPr>
      <w:spacing w:after="200" w:line="293" w:lineRule="auto"/>
      <w:contextualSpacing/>
    </w:pPr>
  </w:style>
  <w:style w:type="paragraph" w:styleId="ListNumber5">
    <w:name w:val="List Number 5"/>
    <w:basedOn w:val="Normal"/>
    <w:uiPriority w:val="13"/>
    <w:semiHidden/>
    <w:rsid w:val="00BF2D5B"/>
    <w:pPr>
      <w:numPr>
        <w:ilvl w:val="4"/>
        <w:numId w:val="34"/>
      </w:numPr>
      <w:spacing w:after="200" w:line="293" w:lineRule="auto"/>
      <w:contextualSpacing/>
    </w:pPr>
  </w:style>
  <w:style w:type="paragraph" w:styleId="ListContinue">
    <w:name w:val="List Continue"/>
    <w:basedOn w:val="Normal"/>
    <w:uiPriority w:val="3"/>
    <w:unhideWhenUsed/>
    <w:qFormat/>
    <w:rsid w:val="00BF2D5B"/>
    <w:pPr>
      <w:spacing w:before="60"/>
      <w:ind w:left="227"/>
    </w:pPr>
  </w:style>
  <w:style w:type="paragraph" w:styleId="ListContinue3">
    <w:name w:val="List Continue 3"/>
    <w:basedOn w:val="Normal"/>
    <w:uiPriority w:val="3"/>
    <w:unhideWhenUsed/>
    <w:qFormat/>
    <w:rsid w:val="00BF2D5B"/>
    <w:pPr>
      <w:spacing w:before="60"/>
      <w:ind w:left="907"/>
    </w:pPr>
  </w:style>
  <w:style w:type="paragraph" w:styleId="ListContinue4">
    <w:name w:val="List Continue 4"/>
    <w:basedOn w:val="Normal"/>
    <w:uiPriority w:val="3"/>
    <w:unhideWhenUsed/>
    <w:qFormat/>
    <w:rsid w:val="00BF2D5B"/>
    <w:pPr>
      <w:spacing w:line="293" w:lineRule="auto"/>
      <w:ind w:left="907"/>
      <w:contextualSpacing/>
    </w:pPr>
  </w:style>
  <w:style w:type="character" w:customStyle="1" w:styleId="Heading3Char">
    <w:name w:val="Heading 3 Char"/>
    <w:basedOn w:val="DefaultParagraphFont"/>
    <w:link w:val="Heading3"/>
    <w:uiPriority w:val="9"/>
    <w:rsid w:val="00BF2D5B"/>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BF2D5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BF2D5B"/>
    <w:rPr>
      <w:rFonts w:eastAsiaTheme="majorEastAsia" w:cstheme="majorBidi"/>
      <w:b/>
      <w:color w:val="265A9A" w:themeColor="background2"/>
      <w:szCs w:val="29"/>
    </w:rPr>
  </w:style>
  <w:style w:type="numbering" w:customStyle="1" w:styleId="ListHeadings">
    <w:name w:val="List Headings"/>
    <w:uiPriority w:val="99"/>
    <w:rsid w:val="00BF2D5B"/>
    <w:pPr>
      <w:numPr>
        <w:numId w:val="18"/>
      </w:numPr>
    </w:pPr>
  </w:style>
  <w:style w:type="paragraph" w:styleId="Title">
    <w:name w:val="Title"/>
    <w:basedOn w:val="Heading1"/>
    <w:next w:val="Normal"/>
    <w:link w:val="TitleChar"/>
    <w:uiPriority w:val="39"/>
    <w:rsid w:val="00BF2D5B"/>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BF2D5B"/>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BF2D5B"/>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BF2D5B"/>
    <w:rPr>
      <w:b/>
    </w:rPr>
  </w:style>
  <w:style w:type="character" w:customStyle="1" w:styleId="Pull-outQuoteChar">
    <w:name w:val="Pull-out Quote Char"/>
    <w:basedOn w:val="DefaultParagraphFont"/>
    <w:link w:val="Pull-outQuote"/>
    <w:uiPriority w:val="99"/>
    <w:semiHidden/>
    <w:rsid w:val="00BF2D5B"/>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BF2D5B"/>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BF2D5B"/>
  </w:style>
  <w:style w:type="paragraph" w:customStyle="1" w:styleId="NumberedHeading2">
    <w:name w:val="Numbered Heading 2"/>
    <w:basedOn w:val="Heading2"/>
    <w:next w:val="Normal"/>
    <w:link w:val="NumberedHeading2Char"/>
    <w:uiPriority w:val="9"/>
    <w:semiHidden/>
    <w:rsid w:val="00BF2D5B"/>
  </w:style>
  <w:style w:type="character" w:customStyle="1" w:styleId="NumberedHeading1Char">
    <w:name w:val="Numbered Heading 1 Char"/>
    <w:basedOn w:val="Heading1Char"/>
    <w:link w:val="NumberedHeading1"/>
    <w:uiPriority w:val="9"/>
    <w:semiHidden/>
    <w:rsid w:val="00BF2D5B"/>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BF2D5B"/>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BF2D5B"/>
    <w:pPr>
      <w:ind w:left="1134"/>
      <w:contextualSpacing/>
    </w:pPr>
  </w:style>
  <w:style w:type="table" w:styleId="TableGrid">
    <w:name w:val="Table Grid"/>
    <w:basedOn w:val="TableNormal"/>
    <w:uiPriority w:val="39"/>
    <w:rsid w:val="00BF2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BF2D5B"/>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BF2D5B"/>
    <w:pPr>
      <w:numPr>
        <w:numId w:val="15"/>
      </w:numPr>
      <w:spacing w:before="60"/>
    </w:pPr>
  </w:style>
  <w:style w:type="paragraph" w:styleId="List2">
    <w:name w:val="List 2"/>
    <w:basedOn w:val="Normal"/>
    <w:uiPriority w:val="99"/>
    <w:semiHidden/>
    <w:qFormat/>
    <w:rsid w:val="00BF2D5B"/>
    <w:pPr>
      <w:numPr>
        <w:ilvl w:val="1"/>
        <w:numId w:val="15"/>
      </w:numPr>
      <w:spacing w:before="60"/>
    </w:pPr>
  </w:style>
  <w:style w:type="numbering" w:customStyle="1" w:styleId="LetteredList">
    <w:name w:val="Lettered List"/>
    <w:uiPriority w:val="99"/>
    <w:rsid w:val="00BF2D5B"/>
    <w:pPr>
      <w:numPr>
        <w:numId w:val="14"/>
      </w:numPr>
    </w:pPr>
  </w:style>
  <w:style w:type="paragraph" w:styleId="Subtitle">
    <w:name w:val="Subtitle"/>
    <w:basedOn w:val="Normal"/>
    <w:next w:val="Normal"/>
    <w:link w:val="SubtitleChar"/>
    <w:uiPriority w:val="39"/>
    <w:rsid w:val="00BF2D5B"/>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BF2D5B"/>
    <w:rPr>
      <w:rFonts w:eastAsiaTheme="minorEastAsia"/>
      <w:color w:val="FFFFFF" w:themeColor="background1"/>
      <w:sz w:val="52"/>
      <w:szCs w:val="20"/>
    </w:rPr>
  </w:style>
  <w:style w:type="character" w:styleId="Strong">
    <w:name w:val="Strong"/>
    <w:basedOn w:val="DefaultParagraphFont"/>
    <w:uiPriority w:val="22"/>
    <w:qFormat/>
    <w:rsid w:val="00BF2D5B"/>
    <w:rPr>
      <w:rFonts w:asciiTheme="minorHAnsi" w:hAnsiTheme="minorHAnsi"/>
      <w:b/>
      <w:bCs/>
    </w:rPr>
  </w:style>
  <w:style w:type="paragraph" w:customStyle="1" w:styleId="Header-Keyline">
    <w:name w:val="Header - Keyline"/>
    <w:basedOn w:val="Header"/>
    <w:link w:val="Header-KeylineChar"/>
    <w:uiPriority w:val="99"/>
    <w:rsid w:val="00BF2D5B"/>
    <w:pPr>
      <w:pBdr>
        <w:bottom w:val="single" w:sz="4" w:space="31" w:color="66BCDB" w:themeColor="text2"/>
      </w:pBdr>
      <w:spacing w:after="600"/>
    </w:pPr>
  </w:style>
  <w:style w:type="character" w:customStyle="1" w:styleId="Heading6Char">
    <w:name w:val="Heading 6 Char"/>
    <w:basedOn w:val="DefaultParagraphFont"/>
    <w:link w:val="Heading6"/>
    <w:uiPriority w:val="9"/>
    <w:rsid w:val="00BF2D5B"/>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BF2D5B"/>
    <w:rPr>
      <w:sz w:val="16"/>
      <w:szCs w:val="20"/>
    </w:rPr>
  </w:style>
  <w:style w:type="character" w:customStyle="1" w:styleId="Heading7Char">
    <w:name w:val="Heading 7 Char"/>
    <w:basedOn w:val="DefaultParagraphFont"/>
    <w:link w:val="Heading7"/>
    <w:uiPriority w:val="9"/>
    <w:semiHidden/>
    <w:rsid w:val="00BF2D5B"/>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BF2D5B"/>
    <w:rPr>
      <w:rFonts w:eastAsiaTheme="majorEastAsia" w:cstheme="majorBidi"/>
      <w:b/>
      <w:sz w:val="18"/>
      <w:szCs w:val="21"/>
    </w:rPr>
  </w:style>
  <w:style w:type="table" w:customStyle="1" w:styleId="ProductivityCommissionTable1">
    <w:name w:val="Productivity Commission Table 1"/>
    <w:basedOn w:val="TableNormal"/>
    <w:uiPriority w:val="99"/>
    <w:rsid w:val="00BF2D5B"/>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BF2D5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BF2D5B"/>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BF2D5B"/>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BF2D5B"/>
    <w:pPr>
      <w:spacing w:line="293" w:lineRule="auto"/>
    </w:pPr>
    <w:rPr>
      <w:sz w:val="18"/>
    </w:rPr>
  </w:style>
  <w:style w:type="paragraph" w:styleId="TOC1">
    <w:name w:val="toc 1"/>
    <w:basedOn w:val="Normal"/>
    <w:next w:val="BodyText"/>
    <w:link w:val="TOC1Char"/>
    <w:autoRedefine/>
    <w:uiPriority w:val="39"/>
    <w:unhideWhenUsed/>
    <w:rsid w:val="00BF2D5B"/>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BF2D5B"/>
    <w:rPr>
      <w:sz w:val="18"/>
      <w:szCs w:val="20"/>
    </w:rPr>
  </w:style>
  <w:style w:type="character" w:styleId="FootnoteReference">
    <w:name w:val="footnote reference"/>
    <w:basedOn w:val="DefaultParagraphFont"/>
    <w:uiPriority w:val="99"/>
    <w:semiHidden/>
    <w:unhideWhenUsed/>
    <w:rsid w:val="00BF2D5B"/>
    <w:rPr>
      <w:vertAlign w:val="superscript"/>
    </w:rPr>
  </w:style>
  <w:style w:type="character" w:styleId="Hyperlink">
    <w:name w:val="Hyperlink"/>
    <w:basedOn w:val="DefaultParagraphFont"/>
    <w:uiPriority w:val="99"/>
    <w:unhideWhenUsed/>
    <w:rsid w:val="00BF2D5B"/>
    <w:rPr>
      <w:color w:val="000000" w:themeColor="hyperlink"/>
      <w:u w:val="single"/>
    </w:rPr>
  </w:style>
  <w:style w:type="character" w:styleId="HTMLVariable">
    <w:name w:val="HTML Variable"/>
    <w:basedOn w:val="DefaultParagraphFont"/>
    <w:uiPriority w:val="99"/>
    <w:unhideWhenUsed/>
    <w:rsid w:val="00BF2D5B"/>
    <w:rPr>
      <w:i/>
      <w:iCs/>
    </w:rPr>
  </w:style>
  <w:style w:type="paragraph" w:styleId="TOC2">
    <w:name w:val="toc 2"/>
    <w:basedOn w:val="Normal"/>
    <w:next w:val="Normal"/>
    <w:autoRedefine/>
    <w:uiPriority w:val="39"/>
    <w:unhideWhenUsed/>
    <w:rsid w:val="00BF2D5B"/>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F2D5B"/>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BF2D5B"/>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BF2D5B"/>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BF2D5B"/>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BF2D5B"/>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BF2D5B"/>
    <w:rPr>
      <w:sz w:val="20"/>
      <w:szCs w:val="20"/>
    </w:rPr>
  </w:style>
  <w:style w:type="character" w:customStyle="1" w:styleId="Copyrightpage-Heading2Char">
    <w:name w:val="Copyright page-Heading 2 Char"/>
    <w:basedOn w:val="NoSpacingChar"/>
    <w:link w:val="Copyrightpage-Heading2"/>
    <w:uiPriority w:val="19"/>
    <w:rsid w:val="00BF2D5B"/>
    <w:rPr>
      <w:b/>
      <w:color w:val="FFFFFF" w:themeColor="background1"/>
      <w:sz w:val="16"/>
      <w:szCs w:val="16"/>
    </w:rPr>
  </w:style>
  <w:style w:type="paragraph" w:customStyle="1" w:styleId="Copyrightpage-Heading">
    <w:name w:val="Copyright page-Heading"/>
    <w:basedOn w:val="Subtitle2"/>
    <w:link w:val="Copyrightpage-HeadingChar"/>
    <w:uiPriority w:val="19"/>
    <w:rsid w:val="00BF2D5B"/>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BF2D5B"/>
    <w:rPr>
      <w:color w:val="FFFFFF" w:themeColor="background1"/>
      <w:sz w:val="16"/>
      <w:szCs w:val="20"/>
    </w:rPr>
  </w:style>
  <w:style w:type="paragraph" w:customStyle="1" w:styleId="Subtitle4">
    <w:name w:val="Subtitle 4"/>
    <w:basedOn w:val="Copyrightpage-Heading"/>
    <w:link w:val="Subtitle4Char"/>
    <w:uiPriority w:val="39"/>
    <w:rsid w:val="00BF2D5B"/>
    <w:pPr>
      <w:spacing w:after="40"/>
    </w:pPr>
    <w:rPr>
      <w:b/>
      <w:sz w:val="16"/>
    </w:rPr>
  </w:style>
  <w:style w:type="character" w:customStyle="1" w:styleId="Copyrightpage-HeadingChar">
    <w:name w:val="Copyright page-Heading Char"/>
    <w:basedOn w:val="Subtitle2Char"/>
    <w:link w:val="Copyrightpage-Heading"/>
    <w:uiPriority w:val="19"/>
    <w:rsid w:val="00BF2D5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BF2D5B"/>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BF2D5B"/>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BF2D5B"/>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BF2D5B"/>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BF2D5B"/>
    <w:pPr>
      <w:spacing w:line="360" w:lineRule="auto"/>
      <w:jc w:val="right"/>
    </w:pPr>
    <w:rPr>
      <w:sz w:val="16"/>
    </w:rPr>
  </w:style>
  <w:style w:type="paragraph" w:customStyle="1" w:styleId="Letterlogo">
    <w:name w:val="Letter logo"/>
    <w:basedOn w:val="LetterRight"/>
    <w:uiPriority w:val="99"/>
    <w:rsid w:val="00BF2D5B"/>
    <w:pPr>
      <w:spacing w:after="320"/>
    </w:pPr>
  </w:style>
  <w:style w:type="character" w:customStyle="1" w:styleId="LetterRightChar">
    <w:name w:val="Letter Right Char"/>
    <w:basedOn w:val="DefaultParagraphFont"/>
    <w:link w:val="LetterRight"/>
    <w:uiPriority w:val="99"/>
    <w:rsid w:val="00BF2D5B"/>
    <w:rPr>
      <w:sz w:val="16"/>
      <w:szCs w:val="20"/>
    </w:rPr>
  </w:style>
  <w:style w:type="character" w:styleId="UnresolvedMention">
    <w:name w:val="Unresolved Mention"/>
    <w:basedOn w:val="DefaultParagraphFont"/>
    <w:uiPriority w:val="99"/>
    <w:unhideWhenUsed/>
    <w:rsid w:val="00BF2D5B"/>
    <w:rPr>
      <w:color w:val="605E5C"/>
      <w:shd w:val="clear" w:color="auto" w:fill="E1DFDD"/>
    </w:rPr>
  </w:style>
  <w:style w:type="paragraph" w:customStyle="1" w:styleId="LetterRight-NoSpace">
    <w:name w:val="Letter Right-No Space"/>
    <w:basedOn w:val="LetterRight"/>
    <w:uiPriority w:val="99"/>
    <w:rsid w:val="00BF2D5B"/>
    <w:pPr>
      <w:spacing w:after="0"/>
    </w:pPr>
  </w:style>
  <w:style w:type="table" w:customStyle="1" w:styleId="Blank">
    <w:name w:val="Blank"/>
    <w:basedOn w:val="TableNormal"/>
    <w:uiPriority w:val="99"/>
    <w:rsid w:val="00BF2D5B"/>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rsid w:val="00BF2D5B"/>
    <w:pPr>
      <w:numPr>
        <w:numId w:val="17"/>
      </w:numPr>
      <w:ind w:left="1491" w:hanging="357"/>
      <w:contextualSpacing/>
    </w:pPr>
  </w:style>
  <w:style w:type="paragraph" w:customStyle="1" w:styleId="Coverdate">
    <w:name w:val="Cover date"/>
    <w:basedOn w:val="Normal"/>
    <w:uiPriority w:val="29"/>
    <w:rsid w:val="00BF2D5B"/>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BF2D5B"/>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BF2D5B"/>
    <w:rPr>
      <w:color w:val="FFFFFF" w:themeColor="background1"/>
    </w:rPr>
  </w:style>
  <w:style w:type="paragraph" w:customStyle="1" w:styleId="Copyrightpage-Keylinenotext">
    <w:name w:val="Copyright page-Keyline (no text)"/>
    <w:basedOn w:val="Copyrightpage-Heading2"/>
    <w:uiPriority w:val="19"/>
    <w:rsid w:val="00BF2D5B"/>
    <w:pPr>
      <w:pBdr>
        <w:top w:val="single" w:sz="4" w:space="8" w:color="66BCDB" w:themeColor="text2"/>
      </w:pBdr>
      <w:spacing w:after="0" w:line="168" w:lineRule="auto"/>
    </w:pPr>
    <w:rPr>
      <w:b w:val="0"/>
      <w:color w:val="265A9A" w:themeColor="background2"/>
    </w:rPr>
  </w:style>
  <w:style w:type="table" w:customStyle="1" w:styleId="ProductivityCommisionsTable4">
    <w:name w:val="Productivity Commisions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BF2D5B"/>
    <w:rPr>
      <w:b/>
    </w:rPr>
  </w:style>
  <w:style w:type="paragraph" w:customStyle="1" w:styleId="CoverImage">
    <w:name w:val="Cover Image"/>
    <w:basedOn w:val="Normal"/>
    <w:uiPriority w:val="29"/>
    <w:rsid w:val="00BF2D5B"/>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BF2D5B"/>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BF2D5B"/>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BF2D5B"/>
    <w:pPr>
      <w:spacing w:before="60"/>
      <w:ind w:left="113" w:right="1134"/>
    </w:pPr>
    <w:rPr>
      <w:color w:val="58585B"/>
    </w:rPr>
  </w:style>
  <w:style w:type="numbering" w:customStyle="1" w:styleId="TOCList">
    <w:name w:val="TOC List"/>
    <w:uiPriority w:val="99"/>
    <w:rsid w:val="00BF2D5B"/>
    <w:pPr>
      <w:numPr>
        <w:numId w:val="20"/>
      </w:numPr>
    </w:pPr>
  </w:style>
  <w:style w:type="paragraph" w:customStyle="1" w:styleId="Heading1-Section-fullpage">
    <w:name w:val="Heading 1-Section-full page"/>
    <w:basedOn w:val="Heading1-nobackground"/>
    <w:uiPriority w:val="9"/>
    <w:qFormat/>
    <w:rsid w:val="00BF2D5B"/>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BF2D5B"/>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BF2D5B"/>
    <w:pPr>
      <w:keepNext/>
      <w:spacing w:before="240"/>
    </w:pPr>
  </w:style>
  <w:style w:type="paragraph" w:customStyle="1" w:styleId="Source">
    <w:name w:val="Source"/>
    <w:basedOn w:val="Normal"/>
    <w:uiPriority w:val="9"/>
    <w:qFormat/>
    <w:rsid w:val="00BF2D5B"/>
    <w:pPr>
      <w:spacing w:before="80" w:after="240" w:line="216" w:lineRule="atLeast"/>
    </w:pPr>
    <w:rPr>
      <w:sz w:val="18"/>
    </w:rPr>
  </w:style>
  <w:style w:type="paragraph" w:customStyle="1" w:styleId="Note">
    <w:name w:val="Note"/>
    <w:basedOn w:val="Source"/>
    <w:uiPriority w:val="9"/>
    <w:qFormat/>
    <w:rsid w:val="00BF2D5B"/>
    <w:pPr>
      <w:spacing w:after="20"/>
    </w:pPr>
  </w:style>
  <w:style w:type="numbering" w:customStyle="1" w:styleId="Figure">
    <w:name w:val="Figure"/>
    <w:uiPriority w:val="99"/>
    <w:rsid w:val="00BF2D5B"/>
    <w:pPr>
      <w:numPr>
        <w:numId w:val="13"/>
      </w:numPr>
    </w:pPr>
  </w:style>
  <w:style w:type="table" w:customStyle="1" w:styleId="Style1">
    <w:name w:val="Style1"/>
    <w:basedOn w:val="Texttable-Paleblue"/>
    <w:uiPriority w:val="99"/>
    <w:rsid w:val="005B03ED"/>
    <w:tblPr>
      <w:tblCellMar>
        <w:top w:w="170" w:type="dxa"/>
        <w:left w:w="170" w:type="dxa"/>
        <w:bottom w:w="170" w:type="dxa"/>
        <w:right w:w="170" w:type="dxa"/>
      </w:tblCellMar>
    </w:tblPr>
    <w:tcPr>
      <w:shd w:val="clear" w:color="auto" w:fill="F4F5F6"/>
    </w:tcPr>
  </w:style>
  <w:style w:type="paragraph" w:customStyle="1" w:styleId="BoxHeading1">
    <w:name w:val="Box Heading 1"/>
    <w:basedOn w:val="FigureTableHeading"/>
    <w:next w:val="BodyText"/>
    <w:uiPriority w:val="4"/>
    <w:qFormat/>
    <w:rsid w:val="00BF2D5B"/>
    <w:pPr>
      <w:spacing w:after="0"/>
    </w:pPr>
  </w:style>
  <w:style w:type="numbering" w:customStyle="1" w:styleId="BoxList">
    <w:name w:val="Box List"/>
    <w:uiPriority w:val="99"/>
    <w:rsid w:val="00BF2D5B"/>
    <w:pPr>
      <w:numPr>
        <w:numId w:val="11"/>
      </w:numPr>
    </w:pPr>
  </w:style>
  <w:style w:type="paragraph" w:customStyle="1" w:styleId="BoxHeading2">
    <w:name w:val="Box Heading 2"/>
    <w:basedOn w:val="Normal"/>
    <w:next w:val="BodyText"/>
    <w:uiPriority w:val="4"/>
    <w:qFormat/>
    <w:rsid w:val="00BF2D5B"/>
    <w:rPr>
      <w:b/>
    </w:rPr>
  </w:style>
  <w:style w:type="table" w:customStyle="1" w:styleId="ProductivityCommissionTable2-Dark">
    <w:name w:val="Productivity Commission Table 2 - Dark"/>
    <w:basedOn w:val="ProductivityCommissionTable2"/>
    <w:uiPriority w:val="99"/>
    <w:rsid w:val="00BF2D5B"/>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BF2D5B"/>
    <w:rPr>
      <w:i/>
    </w:rPr>
  </w:style>
  <w:style w:type="paragraph" w:customStyle="1" w:styleId="TableHeading">
    <w:name w:val="Table Heading"/>
    <w:basedOn w:val="Normal"/>
    <w:uiPriority w:val="40"/>
    <w:rsid w:val="00BF2D5B"/>
    <w:pPr>
      <w:spacing w:before="60"/>
      <w:contextualSpacing/>
    </w:pPr>
    <w:rPr>
      <w:b/>
      <w:color w:val="265A9A" w:themeColor="background2"/>
    </w:rPr>
  </w:style>
  <w:style w:type="paragraph" w:customStyle="1" w:styleId="BodyText-Blue">
    <w:name w:val="Body Text-Blue"/>
    <w:basedOn w:val="BodyText"/>
    <w:link w:val="BodyText-BlueChar"/>
    <w:semiHidden/>
    <w:qFormat/>
    <w:rsid w:val="00BF2D5B"/>
    <w:rPr>
      <w:color w:val="265A9A" w:themeColor="background2"/>
    </w:rPr>
  </w:style>
  <w:style w:type="table" w:customStyle="1" w:styleId="Texttable-Keyline">
    <w:name w:val="Text table-Keyline"/>
    <w:basedOn w:val="Texttable-Paleblue"/>
    <w:uiPriority w:val="99"/>
    <w:rsid w:val="00BF2D5B"/>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BF2D5B"/>
    <w:pPr>
      <w:jc w:val="right"/>
    </w:pPr>
  </w:style>
  <w:style w:type="table" w:customStyle="1" w:styleId="CopyrightPage">
    <w:name w:val="Copyright Page"/>
    <w:basedOn w:val="OverviewPageBannerTableStyle"/>
    <w:uiPriority w:val="99"/>
    <w:rsid w:val="00BF2D5B"/>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BF2D5B"/>
    <w:pPr>
      <w:spacing w:line="312" w:lineRule="atLeast"/>
    </w:pPr>
    <w:rPr>
      <w:color w:val="2C9BC2"/>
    </w:rPr>
  </w:style>
  <w:style w:type="paragraph" w:styleId="BodyText">
    <w:name w:val="Body Text"/>
    <w:basedOn w:val="Normal"/>
    <w:link w:val="BodyTextChar"/>
    <w:qFormat/>
    <w:rsid w:val="00BF2D5B"/>
  </w:style>
  <w:style w:type="character" w:customStyle="1" w:styleId="BodyTextChar">
    <w:name w:val="Body Text Char"/>
    <w:basedOn w:val="DefaultParagraphFont"/>
    <w:link w:val="BodyText"/>
    <w:rsid w:val="00BF2D5B"/>
    <w:rPr>
      <w:sz w:val="20"/>
      <w:szCs w:val="20"/>
    </w:rPr>
  </w:style>
  <w:style w:type="paragraph" w:styleId="List4">
    <w:name w:val="List 4"/>
    <w:basedOn w:val="Normal"/>
    <w:uiPriority w:val="99"/>
    <w:semiHidden/>
    <w:rsid w:val="00BF2D5B"/>
    <w:pPr>
      <w:numPr>
        <w:ilvl w:val="3"/>
        <w:numId w:val="15"/>
      </w:numPr>
      <w:contextualSpacing/>
    </w:pPr>
  </w:style>
  <w:style w:type="paragraph" w:styleId="List3">
    <w:name w:val="List 3"/>
    <w:basedOn w:val="Normal"/>
    <w:uiPriority w:val="99"/>
    <w:semiHidden/>
    <w:rsid w:val="00BF2D5B"/>
    <w:pPr>
      <w:numPr>
        <w:ilvl w:val="2"/>
        <w:numId w:val="15"/>
      </w:numPr>
      <w:contextualSpacing/>
    </w:pPr>
  </w:style>
  <w:style w:type="paragraph" w:customStyle="1" w:styleId="Heading1-nonumber">
    <w:name w:val="Heading 1-no number"/>
    <w:basedOn w:val="Heading1"/>
    <w:next w:val="BodyText"/>
    <w:uiPriority w:val="9"/>
    <w:qFormat/>
    <w:rsid w:val="00BF2D5B"/>
    <w:pPr>
      <w:numPr>
        <w:numId w:val="0"/>
      </w:numPr>
      <w:ind w:left="567"/>
    </w:pPr>
  </w:style>
  <w:style w:type="paragraph" w:customStyle="1" w:styleId="ListAlpha1">
    <w:name w:val="List Alpha 1"/>
    <w:basedOn w:val="Normal"/>
    <w:uiPriority w:val="3"/>
    <w:qFormat/>
    <w:rsid w:val="00BF2D5B"/>
    <w:pPr>
      <w:numPr>
        <w:numId w:val="16"/>
      </w:numPr>
      <w:spacing w:before="60"/>
      <w:contextualSpacing/>
    </w:pPr>
  </w:style>
  <w:style w:type="paragraph" w:customStyle="1" w:styleId="ListAlpha2">
    <w:name w:val="List Alpha 2"/>
    <w:basedOn w:val="ListAlpha1"/>
    <w:uiPriority w:val="3"/>
    <w:qFormat/>
    <w:rsid w:val="00BF2D5B"/>
    <w:pPr>
      <w:numPr>
        <w:ilvl w:val="1"/>
      </w:numPr>
    </w:pPr>
  </w:style>
  <w:style w:type="paragraph" w:customStyle="1" w:styleId="ListAlpha3">
    <w:name w:val="List Alpha 3"/>
    <w:basedOn w:val="ListAlpha2"/>
    <w:uiPriority w:val="3"/>
    <w:qFormat/>
    <w:rsid w:val="00BF2D5B"/>
    <w:pPr>
      <w:numPr>
        <w:ilvl w:val="2"/>
      </w:numPr>
      <w:ind w:left="681"/>
    </w:pPr>
  </w:style>
  <w:style w:type="paragraph" w:customStyle="1" w:styleId="ListAlpha4">
    <w:name w:val="List Alpha 4"/>
    <w:basedOn w:val="ListAlpha3"/>
    <w:uiPriority w:val="3"/>
    <w:qFormat/>
    <w:rsid w:val="00BF2D5B"/>
    <w:pPr>
      <w:numPr>
        <w:ilvl w:val="3"/>
      </w:numPr>
    </w:pPr>
  </w:style>
  <w:style w:type="numbering" w:customStyle="1" w:styleId="Alphalist">
    <w:name w:val="Alpha list"/>
    <w:uiPriority w:val="99"/>
    <w:rsid w:val="00BF2D5B"/>
    <w:pPr>
      <w:numPr>
        <w:numId w:val="8"/>
      </w:numPr>
    </w:pPr>
  </w:style>
  <w:style w:type="paragraph" w:customStyle="1" w:styleId="KeyPoints-Bold">
    <w:name w:val="Key Points-Bold"/>
    <w:basedOn w:val="Normal"/>
    <w:uiPriority w:val="10"/>
    <w:qFormat/>
    <w:rsid w:val="00BF2D5B"/>
    <w:pPr>
      <w:spacing w:before="40" w:after="60" w:line="274" w:lineRule="atLeast"/>
    </w:pPr>
    <w:rPr>
      <w:b/>
      <w:sz w:val="18"/>
    </w:rPr>
  </w:style>
  <w:style w:type="paragraph" w:customStyle="1" w:styleId="Copyrightpage-BodyBold">
    <w:name w:val="Copyright page-Body Bold"/>
    <w:basedOn w:val="Copyrightpage-BodyText"/>
    <w:uiPriority w:val="19"/>
    <w:rsid w:val="00BF2D5B"/>
    <w:rPr>
      <w:b/>
    </w:rPr>
  </w:style>
  <w:style w:type="paragraph" w:customStyle="1" w:styleId="KeyPoints-Bullet">
    <w:name w:val="Key Points-Bullet"/>
    <w:basedOn w:val="ListBullet"/>
    <w:uiPriority w:val="10"/>
    <w:qFormat/>
    <w:rsid w:val="00BF2D5B"/>
    <w:pPr>
      <w:spacing w:after="60" w:line="274" w:lineRule="atLeast"/>
    </w:pPr>
    <w:rPr>
      <w:sz w:val="18"/>
    </w:rPr>
  </w:style>
  <w:style w:type="paragraph" w:customStyle="1" w:styleId="BodyText-Grey">
    <w:name w:val="Body Text-Grey"/>
    <w:basedOn w:val="BodyText"/>
    <w:link w:val="BodyText-GreyChar"/>
    <w:semiHidden/>
    <w:qFormat/>
    <w:rsid w:val="00BF2D5B"/>
    <w:rPr>
      <w:color w:val="58585B"/>
    </w:rPr>
  </w:style>
  <w:style w:type="character" w:customStyle="1" w:styleId="BodyText-GreyChar">
    <w:name w:val="Body Text-Grey Char"/>
    <w:basedOn w:val="BodyTextChar"/>
    <w:link w:val="BodyText-Grey"/>
    <w:semiHidden/>
    <w:rsid w:val="00BF2D5B"/>
    <w:rPr>
      <w:color w:val="58585B"/>
      <w:sz w:val="20"/>
      <w:szCs w:val="20"/>
    </w:rPr>
  </w:style>
  <w:style w:type="table" w:customStyle="1" w:styleId="Style2">
    <w:name w:val="Style2"/>
    <w:basedOn w:val="TableNormal"/>
    <w:uiPriority w:val="99"/>
    <w:rsid w:val="00326A36"/>
    <w:pPr>
      <w:spacing w:after="0" w:line="240" w:lineRule="auto"/>
    </w:pPr>
    <w:tblPr/>
    <w:tblStylePr w:type="firstRow">
      <w:rPr>
        <w:color w:val="265A9A" w:themeColor="background2"/>
      </w:rPr>
    </w:tblStylePr>
  </w:style>
  <w:style w:type="paragraph" w:styleId="BalloonText">
    <w:name w:val="Balloon Text"/>
    <w:basedOn w:val="Normal"/>
    <w:link w:val="BalloonTextChar"/>
    <w:uiPriority w:val="99"/>
    <w:semiHidden/>
    <w:unhideWhenUsed/>
    <w:rsid w:val="00BF2D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D5B"/>
    <w:rPr>
      <w:rFonts w:ascii="Segoe UI" w:hAnsi="Segoe UI" w:cs="Segoe UI"/>
      <w:sz w:val="18"/>
      <w:szCs w:val="18"/>
    </w:rPr>
  </w:style>
  <w:style w:type="character" w:styleId="CommentReference">
    <w:name w:val="annotation reference"/>
    <w:basedOn w:val="DefaultParagraphFont"/>
    <w:uiPriority w:val="99"/>
    <w:semiHidden/>
    <w:unhideWhenUsed/>
    <w:rsid w:val="00BF2D5B"/>
    <w:rPr>
      <w:sz w:val="16"/>
      <w:szCs w:val="16"/>
    </w:rPr>
  </w:style>
  <w:style w:type="paragraph" w:styleId="CommentText">
    <w:name w:val="annotation text"/>
    <w:basedOn w:val="Normal"/>
    <w:link w:val="CommentTextChar"/>
    <w:uiPriority w:val="99"/>
    <w:unhideWhenUsed/>
    <w:rsid w:val="00BF2D5B"/>
    <w:pPr>
      <w:spacing w:line="240" w:lineRule="auto"/>
    </w:pPr>
  </w:style>
  <w:style w:type="character" w:customStyle="1" w:styleId="CommentTextChar">
    <w:name w:val="Comment Text Char"/>
    <w:basedOn w:val="DefaultParagraphFont"/>
    <w:link w:val="CommentText"/>
    <w:uiPriority w:val="99"/>
    <w:rsid w:val="00BF2D5B"/>
    <w:rPr>
      <w:sz w:val="20"/>
      <w:szCs w:val="20"/>
    </w:rPr>
  </w:style>
  <w:style w:type="paragraph" w:styleId="CommentSubject">
    <w:name w:val="annotation subject"/>
    <w:basedOn w:val="CommentText"/>
    <w:next w:val="CommentText"/>
    <w:link w:val="CommentSubjectChar"/>
    <w:uiPriority w:val="99"/>
    <w:semiHidden/>
    <w:unhideWhenUsed/>
    <w:rsid w:val="00BF2D5B"/>
    <w:rPr>
      <w:b/>
      <w:bCs/>
    </w:rPr>
  </w:style>
  <w:style w:type="character" w:customStyle="1" w:styleId="CommentSubjectChar">
    <w:name w:val="Comment Subject Char"/>
    <w:basedOn w:val="CommentTextChar"/>
    <w:link w:val="CommentSubject"/>
    <w:uiPriority w:val="99"/>
    <w:semiHidden/>
    <w:rsid w:val="00BF2D5B"/>
    <w:rPr>
      <w:b/>
      <w:bCs/>
      <w:sz w:val="20"/>
      <w:szCs w:val="20"/>
    </w:rPr>
  </w:style>
  <w:style w:type="character" w:customStyle="1" w:styleId="ColourBlue">
    <w:name w:val="Colour Blue"/>
    <w:basedOn w:val="DefaultParagraphFont"/>
    <w:uiPriority w:val="22"/>
    <w:qFormat/>
    <w:rsid w:val="00BF2D5B"/>
    <w:rPr>
      <w:color w:val="66BCDB" w:themeColor="text2"/>
    </w:rPr>
  </w:style>
  <w:style w:type="character" w:customStyle="1" w:styleId="ColourDarkBlue">
    <w:name w:val="Colour Dark Blue"/>
    <w:basedOn w:val="ColourBlue"/>
    <w:uiPriority w:val="22"/>
    <w:qFormat/>
    <w:rsid w:val="00BF2D5B"/>
    <w:rPr>
      <w:color w:val="265A9A" w:themeColor="background2"/>
    </w:rPr>
  </w:style>
  <w:style w:type="paragraph" w:customStyle="1" w:styleId="BodyText-Beforebullet">
    <w:name w:val="Body Text-Before bullet"/>
    <w:basedOn w:val="BodyText"/>
    <w:link w:val="BodyText-BeforebulletChar"/>
    <w:unhideWhenUsed/>
    <w:rsid w:val="00BF2D5B"/>
    <w:pPr>
      <w:spacing w:after="20"/>
    </w:pPr>
  </w:style>
  <w:style w:type="paragraph" w:customStyle="1" w:styleId="PullQuote">
    <w:name w:val="Pull Quote"/>
    <w:basedOn w:val="BodyText"/>
    <w:next w:val="BodyText"/>
    <w:uiPriority w:val="10"/>
    <w:qFormat/>
    <w:rsid w:val="00BF2D5B"/>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rsid w:val="00BF2D5B"/>
    <w:rPr>
      <w:sz w:val="20"/>
      <w:szCs w:val="20"/>
    </w:rPr>
  </w:style>
  <w:style w:type="paragraph" w:customStyle="1" w:styleId="TableBodyHeading">
    <w:name w:val="Table Body Heading"/>
    <w:basedOn w:val="NoSpacing"/>
    <w:uiPriority w:val="4"/>
    <w:qFormat/>
    <w:rsid w:val="00BF2D5B"/>
    <w:pPr>
      <w:spacing w:after="20"/>
      <w:ind w:left="57"/>
    </w:pPr>
    <w:rPr>
      <w:b/>
      <w:color w:val="265A9A" w:themeColor="background2"/>
      <w:sz w:val="18"/>
    </w:rPr>
  </w:style>
  <w:style w:type="paragraph" w:customStyle="1" w:styleId="TableBody">
    <w:name w:val="Table Body"/>
    <w:basedOn w:val="NoSpacing"/>
    <w:uiPriority w:val="4"/>
    <w:qFormat/>
    <w:rsid w:val="00BF2D5B"/>
    <w:pPr>
      <w:spacing w:after="20"/>
      <w:ind w:left="57"/>
    </w:pPr>
    <w:rPr>
      <w:sz w:val="18"/>
    </w:rPr>
  </w:style>
  <w:style w:type="paragraph" w:styleId="Revision">
    <w:name w:val="Revision"/>
    <w:hidden/>
    <w:uiPriority w:val="99"/>
    <w:semiHidden/>
    <w:rsid w:val="00BF2D5B"/>
    <w:pPr>
      <w:spacing w:after="0" w:line="240" w:lineRule="auto"/>
    </w:pPr>
    <w:rPr>
      <w:sz w:val="20"/>
      <w:szCs w:val="20"/>
    </w:rPr>
  </w:style>
  <w:style w:type="paragraph" w:customStyle="1" w:styleId="KeyPointsicon">
    <w:name w:val="Key Points icon"/>
    <w:basedOn w:val="Normal"/>
    <w:uiPriority w:val="10"/>
    <w:qFormat/>
    <w:rsid w:val="00BF2D5B"/>
    <w:pPr>
      <w:spacing w:before="60"/>
      <w:jc w:val="right"/>
    </w:pPr>
  </w:style>
  <w:style w:type="paragraph" w:customStyle="1" w:styleId="FigureTableSubheading">
    <w:name w:val="Figure/Table Subheading"/>
    <w:basedOn w:val="FigureTableHeading"/>
    <w:uiPriority w:val="4"/>
    <w:qFormat/>
    <w:rsid w:val="00BF2D5B"/>
    <w:pPr>
      <w:spacing w:before="40"/>
    </w:pPr>
    <w:rPr>
      <w:color w:val="58585B"/>
    </w:rPr>
  </w:style>
  <w:style w:type="table" w:customStyle="1" w:styleId="TextTable-Grey">
    <w:name w:val="Text Table-Grey"/>
    <w:basedOn w:val="Texttable-Paleblue"/>
    <w:uiPriority w:val="99"/>
    <w:rsid w:val="00BF2D5B"/>
    <w:rPr>
      <w:color w:val="265A9A" w:themeColor="background2"/>
    </w:rPr>
    <w:tblPr/>
    <w:tcPr>
      <w:shd w:val="clear" w:color="auto" w:fill="F2F2F2"/>
    </w:tcPr>
  </w:style>
  <w:style w:type="character" w:customStyle="1" w:styleId="BodyText-BlueChar">
    <w:name w:val="Body Text-Blue Char"/>
    <w:basedOn w:val="BodyTextChar"/>
    <w:link w:val="BodyText-Blue"/>
    <w:semiHidden/>
    <w:rsid w:val="00BF2D5B"/>
    <w:rPr>
      <w:color w:val="265A9A" w:themeColor="background2"/>
      <w:sz w:val="20"/>
      <w:szCs w:val="20"/>
    </w:rPr>
  </w:style>
  <w:style w:type="paragraph" w:customStyle="1" w:styleId="Heading3-nonumber">
    <w:name w:val="Heading 3-no number"/>
    <w:basedOn w:val="Heading3"/>
    <w:uiPriority w:val="9"/>
    <w:semiHidden/>
    <w:qFormat/>
    <w:rsid w:val="00BF2D5B"/>
  </w:style>
  <w:style w:type="paragraph" w:customStyle="1" w:styleId="Heading1-Sectionbluebackground">
    <w:name w:val="Heading 1-Section blue background"/>
    <w:basedOn w:val="Heading1"/>
    <w:qFormat/>
    <w:rsid w:val="00760E1B"/>
    <w:pPr>
      <w:pageBreakBefore/>
      <w:numPr>
        <w:numId w:val="0"/>
      </w:numPr>
      <w:spacing w:before="600"/>
      <w:ind w:left="567"/>
    </w:pPr>
  </w:style>
  <w:style w:type="character" w:customStyle="1" w:styleId="QuoteChar">
    <w:name w:val="Quote Char"/>
    <w:basedOn w:val="DefaultParagraphFont"/>
    <w:link w:val="Quote"/>
    <w:uiPriority w:val="1"/>
    <w:rsid w:val="00BF2D5B"/>
    <w:rPr>
      <w:color w:val="58585B"/>
      <w:sz w:val="20"/>
      <w:szCs w:val="20"/>
    </w:rPr>
  </w:style>
  <w:style w:type="paragraph" w:customStyle="1" w:styleId="TableHeading-numbered">
    <w:name w:val="Table Heading-numbered"/>
    <w:basedOn w:val="TableHeading"/>
    <w:semiHidden/>
    <w:qFormat/>
    <w:rsid w:val="00BF2D5B"/>
    <w:pPr>
      <w:numPr>
        <w:numId w:val="19"/>
      </w:numPr>
    </w:pPr>
  </w:style>
  <w:style w:type="numbering" w:customStyle="1" w:styleId="TableList">
    <w:name w:val="TableList"/>
    <w:uiPriority w:val="99"/>
    <w:rsid w:val="00BF2D5B"/>
    <w:pPr>
      <w:numPr>
        <w:numId w:val="19"/>
      </w:numPr>
    </w:pPr>
  </w:style>
  <w:style w:type="paragraph" w:customStyle="1" w:styleId="Footer-right">
    <w:name w:val="Footer-right"/>
    <w:basedOn w:val="Footer"/>
    <w:uiPriority w:val="11"/>
    <w:rsid w:val="00BF2D5B"/>
    <w:pPr>
      <w:jc w:val="right"/>
    </w:pPr>
    <w:rPr>
      <w:szCs w:val="24"/>
    </w:rPr>
  </w:style>
  <w:style w:type="paragraph" w:customStyle="1" w:styleId="Heading2-nonumber">
    <w:name w:val="Heading 2-no number"/>
    <w:basedOn w:val="Heading2"/>
    <w:uiPriority w:val="9"/>
    <w:qFormat/>
    <w:rsid w:val="00BF2D5B"/>
    <w:pPr>
      <w:numPr>
        <w:ilvl w:val="0"/>
        <w:numId w:val="0"/>
      </w:numPr>
    </w:pPr>
  </w:style>
  <w:style w:type="paragraph" w:styleId="TableofFigures">
    <w:name w:val="table of figures"/>
    <w:basedOn w:val="Normal"/>
    <w:next w:val="Normal"/>
    <w:uiPriority w:val="99"/>
    <w:semiHidden/>
    <w:unhideWhenUsed/>
    <w:rsid w:val="00C446BD"/>
    <w:pPr>
      <w:spacing w:after="0"/>
    </w:pPr>
  </w:style>
  <w:style w:type="character" w:customStyle="1" w:styleId="apple-converted-space">
    <w:name w:val="apple-converted-space"/>
    <w:basedOn w:val="DefaultParagraphFont"/>
    <w:rsid w:val="004A7A7D"/>
  </w:style>
  <w:style w:type="character" w:customStyle="1" w:styleId="ListBulletChar">
    <w:name w:val="List Bullet Char"/>
    <w:basedOn w:val="DefaultParagraphFont"/>
    <w:link w:val="ListBullet"/>
    <w:uiPriority w:val="1"/>
    <w:rsid w:val="00BF2D5B"/>
    <w:rPr>
      <w:sz w:val="20"/>
      <w:szCs w:val="20"/>
    </w:rPr>
  </w:style>
  <w:style w:type="table" w:customStyle="1" w:styleId="ProductivityCommissionTable4">
    <w:name w:val="Productivity Commission Table 4"/>
    <w:basedOn w:val="ProductivityCommissionTable3"/>
    <w:uiPriority w:val="99"/>
    <w:rsid w:val="00BF2D5B"/>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Boxtable">
    <w:name w:val="Box table"/>
    <w:basedOn w:val="Texttable-Paleblue"/>
    <w:uiPriority w:val="99"/>
    <w:rsid w:val="00BF2D5B"/>
    <w:tblPr>
      <w:tblCellMar>
        <w:top w:w="170" w:type="dxa"/>
        <w:left w:w="170" w:type="dxa"/>
        <w:bottom w:w="170" w:type="dxa"/>
        <w:right w:w="170" w:type="dxa"/>
      </w:tblCellMar>
    </w:tblPr>
    <w:tcPr>
      <w:shd w:val="clear" w:color="auto" w:fill="F4F5F6"/>
    </w:tcPr>
  </w:style>
  <w:style w:type="paragraph" w:customStyle="1" w:styleId="Heading1-nobackground">
    <w:name w:val="Heading 1-no background"/>
    <w:basedOn w:val="Heading1"/>
    <w:uiPriority w:val="9"/>
    <w:qFormat/>
    <w:rsid w:val="00BF2D5B"/>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Appendix">
    <w:name w:val="Heading-Appendix"/>
    <w:basedOn w:val="Heading1-nonumber"/>
    <w:next w:val="BodyText"/>
    <w:uiPriority w:val="9"/>
    <w:qFormat/>
    <w:rsid w:val="00BF2D5B"/>
    <w:pPr>
      <w:numPr>
        <w:numId w:val="35"/>
      </w:numPr>
    </w:pPr>
  </w:style>
  <w:style w:type="numbering" w:customStyle="1" w:styleId="AppendixHeading">
    <w:name w:val="AppendixHeading"/>
    <w:uiPriority w:val="99"/>
    <w:rsid w:val="00BF2D5B"/>
    <w:pPr>
      <w:numPr>
        <w:numId w:val="10"/>
      </w:numPr>
    </w:pPr>
  </w:style>
  <w:style w:type="paragraph" w:customStyle="1" w:styleId="DraftingNote">
    <w:name w:val="Drafting Note"/>
    <w:basedOn w:val="BodyText"/>
    <w:link w:val="DraftingNoteChar"/>
    <w:qFormat/>
    <w:rsid w:val="00BF2D5B"/>
    <w:pPr>
      <w:contextualSpacing/>
    </w:pPr>
    <w:rPr>
      <w:color w:val="A22D2B"/>
      <w:sz w:val="24"/>
      <w:u w:val="dotted"/>
    </w:rPr>
  </w:style>
  <w:style w:type="character" w:customStyle="1" w:styleId="DraftingNoteChar">
    <w:name w:val="Drafting Note Char"/>
    <w:basedOn w:val="BodyTextChar"/>
    <w:link w:val="DraftingNote"/>
    <w:rsid w:val="00BF2D5B"/>
    <w:rPr>
      <w:color w:val="A22D2B"/>
      <w:sz w:val="24"/>
      <w:szCs w:val="20"/>
      <w:u w:val="dotted"/>
    </w:rPr>
  </w:style>
  <w:style w:type="character" w:styleId="Emphasis">
    <w:name w:val="Emphasis"/>
    <w:basedOn w:val="DefaultParagraphFont"/>
    <w:uiPriority w:val="22"/>
    <w:qFormat/>
    <w:rsid w:val="00BF2D5B"/>
    <w:rPr>
      <w:i/>
      <w:iCs/>
    </w:rPr>
  </w:style>
  <w:style w:type="paragraph" w:customStyle="1" w:styleId="Reference">
    <w:name w:val="Reference"/>
    <w:basedOn w:val="BodyText"/>
    <w:qFormat/>
    <w:rsid w:val="00BF2D5B"/>
    <w:pPr>
      <w:spacing w:before="0" w:after="60" w:line="200" w:lineRule="exact"/>
    </w:pPr>
    <w:rPr>
      <w:sz w:val="16"/>
    </w:rPr>
  </w:style>
  <w:style w:type="numbering" w:customStyle="1" w:styleId="AppendixHeadingList">
    <w:name w:val="Appendix Heading List"/>
    <w:uiPriority w:val="99"/>
    <w:rsid w:val="00BF2D5B"/>
    <w:pPr>
      <w:numPr>
        <w:numId w:val="9"/>
      </w:numPr>
    </w:pPr>
  </w:style>
  <w:style w:type="paragraph" w:customStyle="1" w:styleId="Heading2-Appendix">
    <w:name w:val="Heading 2-Appendix"/>
    <w:basedOn w:val="Heading2-nonumber"/>
    <w:next w:val="Normal"/>
    <w:uiPriority w:val="10"/>
    <w:qFormat/>
    <w:rsid w:val="00BF2D5B"/>
    <w:pPr>
      <w:numPr>
        <w:ilvl w:val="1"/>
        <w:numId w:val="35"/>
      </w:numPr>
    </w:pPr>
  </w:style>
  <w:style w:type="paragraph" w:customStyle="1" w:styleId="Keypoints-heading">
    <w:name w:val="Key points-heading"/>
    <w:basedOn w:val="Heading3"/>
    <w:uiPriority w:val="10"/>
    <w:qFormat/>
    <w:rsid w:val="00BF2D5B"/>
    <w:rPr>
      <w:color w:val="auto"/>
    </w:rPr>
  </w:style>
  <w:style w:type="paragraph" w:customStyle="1" w:styleId="QuoteBullet">
    <w:name w:val="Quote Bullet"/>
    <w:basedOn w:val="ListBullet"/>
    <w:link w:val="QuoteBulletChar"/>
    <w:uiPriority w:val="1"/>
    <w:qFormat/>
    <w:rsid w:val="00BF2D5B"/>
    <w:pPr>
      <w:spacing w:before="60"/>
      <w:ind w:left="340" w:right="1134"/>
    </w:pPr>
    <w:rPr>
      <w:color w:val="58585B"/>
    </w:rPr>
  </w:style>
  <w:style w:type="character" w:customStyle="1" w:styleId="QuoteBulletChar">
    <w:name w:val="Quote Bullet Char"/>
    <w:basedOn w:val="ListBulletChar"/>
    <w:link w:val="QuoteBullet"/>
    <w:uiPriority w:val="1"/>
    <w:rsid w:val="00BF2D5B"/>
    <w:rPr>
      <w:color w:val="58585B"/>
      <w:sz w:val="20"/>
      <w:szCs w:val="20"/>
    </w:rPr>
  </w:style>
  <w:style w:type="paragraph" w:customStyle="1" w:styleId="Space">
    <w:name w:val="Space"/>
    <w:basedOn w:val="BodyText"/>
    <w:uiPriority w:val="1"/>
    <w:rsid w:val="00BF2D5B"/>
    <w:pPr>
      <w:spacing w:before="0" w:after="0"/>
    </w:pPr>
  </w:style>
  <w:style w:type="paragraph" w:customStyle="1" w:styleId="BoxListBullet2">
    <w:name w:val="Box List Bullet 2"/>
    <w:basedOn w:val="Normal"/>
    <w:rsid w:val="006E0ED6"/>
    <w:pPr>
      <w:keepNext/>
      <w:numPr>
        <w:numId w:val="3"/>
      </w:numPr>
      <w:spacing w:before="100" w:after="0" w:line="260" w:lineRule="atLeast"/>
      <w:ind w:left="568" w:hanging="284"/>
      <w:jc w:val="both"/>
    </w:pPr>
    <w:rPr>
      <w:rFonts w:ascii="Arial" w:eastAsia="Times New Roman" w:hAnsi="Arial" w:cs="Times New Roman"/>
      <w:lang w:eastAsia="en-AU"/>
    </w:rPr>
  </w:style>
  <w:style w:type="paragraph" w:customStyle="1" w:styleId="Figurespace">
    <w:name w:val="Figure space"/>
    <w:basedOn w:val="Normal"/>
    <w:rsid w:val="006E0ED6"/>
    <w:pPr>
      <w:keepNext/>
      <w:spacing w:before="0" w:after="0" w:line="120" w:lineRule="exact"/>
      <w:jc w:val="both"/>
    </w:pPr>
    <w:rPr>
      <w:rFonts w:ascii="Arial" w:eastAsia="Times New Roman" w:hAnsi="Arial" w:cs="Times New Roman"/>
      <w:lang w:eastAsia="en-AU"/>
    </w:rPr>
  </w:style>
  <w:style w:type="paragraph" w:customStyle="1" w:styleId="BoxSpaceBelow">
    <w:name w:val="Box Space Below"/>
    <w:basedOn w:val="Normal"/>
    <w:rsid w:val="006E0ED6"/>
    <w:pPr>
      <w:spacing w:before="60" w:after="60" w:line="80" w:lineRule="exact"/>
      <w:jc w:val="both"/>
    </w:pPr>
    <w:rPr>
      <w:rFonts w:ascii="Arial" w:eastAsia="Times New Roman" w:hAnsi="Arial" w:cs="Times New Roman"/>
      <w:sz w:val="14"/>
      <w:lang w:eastAsia="en-AU"/>
    </w:rPr>
  </w:style>
  <w:style w:type="paragraph" w:customStyle="1" w:styleId="BoxSpaceAbove">
    <w:name w:val="Box Space Above"/>
    <w:basedOn w:val="BodyText"/>
    <w:rsid w:val="006E0ED6"/>
    <w:pPr>
      <w:keepNext/>
      <w:spacing w:before="360" w:after="0" w:line="80" w:lineRule="exact"/>
    </w:pPr>
    <w:rPr>
      <w:rFonts w:ascii="Times New Roman" w:eastAsia="Times New Roman" w:hAnsi="Times New Roman" w:cs="Times New Roman"/>
      <w:sz w:val="24"/>
      <w:lang w:eastAsia="en-AU"/>
    </w:rPr>
  </w:style>
  <w:style w:type="paragraph" w:customStyle="1" w:styleId="BoxListBullet3">
    <w:name w:val="Box List Bullet 3"/>
    <w:basedOn w:val="ListBullet3"/>
    <w:rsid w:val="006E0ED6"/>
    <w:pPr>
      <w:numPr>
        <w:numId w:val="4"/>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Spc">
    <w:name w:val="Spc"/>
    <w:basedOn w:val="BodyText"/>
    <w:rsid w:val="006E0ED6"/>
  </w:style>
  <w:style w:type="paragraph" w:customStyle="1" w:styleId="Boxspace">
    <w:name w:val="Box space"/>
    <w:basedOn w:val="BodyText"/>
    <w:uiPriority w:val="1"/>
    <w:qFormat/>
    <w:rsid w:val="006E0ED6"/>
    <w:pPr>
      <w:spacing w:before="0" w:after="0"/>
    </w:pPr>
  </w:style>
  <w:style w:type="paragraph" w:customStyle="1" w:styleId="BoxQuoteBullet">
    <w:name w:val="Box Quote Bullet"/>
    <w:basedOn w:val="Normal"/>
    <w:next w:val="Normal"/>
    <w:rsid w:val="006E0ED6"/>
    <w:pPr>
      <w:keepNext/>
      <w:numPr>
        <w:numId w:val="5"/>
      </w:numPr>
      <w:spacing w:before="60" w:after="0" w:line="240" w:lineRule="exact"/>
      <w:ind w:left="568" w:hanging="284"/>
      <w:jc w:val="both"/>
    </w:pPr>
    <w:rPr>
      <w:rFonts w:ascii="Arial" w:eastAsia="Times New Roman" w:hAnsi="Arial" w:cs="Times New Roman"/>
      <w:sz w:val="18"/>
      <w:lang w:eastAsia="en-AU"/>
    </w:rPr>
  </w:style>
  <w:style w:type="paragraph" w:styleId="Bibliography">
    <w:name w:val="Bibliography"/>
    <w:basedOn w:val="Normal"/>
    <w:next w:val="Normal"/>
    <w:uiPriority w:val="37"/>
    <w:unhideWhenUsed/>
    <w:rsid w:val="006E0ED6"/>
    <w:pPr>
      <w:spacing w:before="0" w:after="240" w:line="240" w:lineRule="auto"/>
      <w:ind w:left="720" w:hanging="720"/>
    </w:pPr>
    <w:rPr>
      <w:rFonts w:ascii="Times New Roman" w:eastAsia="Times New Roman" w:hAnsi="Times New Roman" w:cs="Times New Roman"/>
      <w:sz w:val="24"/>
      <w:szCs w:val="24"/>
      <w:lang w:eastAsia="en-AU"/>
    </w:rPr>
  </w:style>
  <w:style w:type="character" w:customStyle="1" w:styleId="NoteLabel">
    <w:name w:val="Note Label"/>
    <w:basedOn w:val="DefaultParagraphFont"/>
    <w:rsid w:val="006E0ED6"/>
    <w:rPr>
      <w:rFonts w:ascii="Arial" w:hAnsi="Arial"/>
      <w:b/>
      <w:position w:val="6"/>
      <w:sz w:val="18"/>
    </w:rPr>
  </w:style>
  <w:style w:type="paragraph" w:customStyle="1" w:styleId="TableBodyText">
    <w:name w:val="Table Body Text"/>
    <w:basedOn w:val="BodyText"/>
    <w:rsid w:val="006E0ED6"/>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6E0ED6"/>
    <w:pPr>
      <w:spacing w:before="80" w:after="80"/>
    </w:pPr>
    <w:rPr>
      <w:i/>
    </w:rPr>
  </w:style>
  <w:style w:type="paragraph" w:customStyle="1" w:styleId="TableUnitsRow">
    <w:name w:val="Table Units Row"/>
    <w:basedOn w:val="TableBodyText"/>
    <w:rsid w:val="006E0ED6"/>
    <w:pPr>
      <w:spacing w:before="40"/>
    </w:pPr>
  </w:style>
  <w:style w:type="paragraph" w:customStyle="1" w:styleId="Box">
    <w:name w:val="Box"/>
    <w:basedOn w:val="BodyText"/>
    <w:qFormat/>
    <w:rsid w:val="006E0ED6"/>
    <w:pPr>
      <w:keepNext/>
      <w:spacing w:after="0" w:line="260" w:lineRule="atLeast"/>
      <w:jc w:val="both"/>
    </w:pPr>
    <w:rPr>
      <w:rFonts w:ascii="Arial" w:eastAsia="Times New Roman" w:hAnsi="Arial" w:cs="Times New Roman"/>
      <w:lang w:eastAsia="en-AU"/>
    </w:rPr>
  </w:style>
  <w:style w:type="paragraph" w:customStyle="1" w:styleId="BoxListBullet">
    <w:name w:val="Box List Bullet"/>
    <w:basedOn w:val="BodyText"/>
    <w:rsid w:val="006E0ED6"/>
    <w:pPr>
      <w:keepNext/>
      <w:numPr>
        <w:numId w:val="6"/>
      </w:numPr>
      <w:spacing w:before="100" w:after="0" w:line="260" w:lineRule="atLeast"/>
      <w:jc w:val="both"/>
    </w:pPr>
    <w:rPr>
      <w:rFonts w:ascii="Arial" w:eastAsia="Times New Roman" w:hAnsi="Arial" w:cs="Times New Roman"/>
      <w:lang w:eastAsia="en-AU"/>
    </w:rPr>
  </w:style>
  <w:style w:type="character" w:customStyle="1" w:styleId="TOC1Char">
    <w:name w:val="TOC 1 Char"/>
    <w:basedOn w:val="DefaultParagraphFont"/>
    <w:link w:val="TOC1"/>
    <w:uiPriority w:val="39"/>
    <w:rsid w:val="006B5626"/>
    <w:rPr>
      <w:rFonts w:asciiTheme="majorHAnsi" w:hAnsiTheme="majorHAnsi"/>
      <w:color w:val="265A9A" w:themeColor="background2"/>
      <w:sz w:val="20"/>
      <w:szCs w:val="20"/>
    </w:rPr>
  </w:style>
  <w:style w:type="paragraph" w:customStyle="1" w:styleId="TableBullet">
    <w:name w:val="Table Bullet"/>
    <w:basedOn w:val="ListBullet"/>
    <w:rsid w:val="006E0ED6"/>
    <w:pPr>
      <w:spacing w:before="0" w:after="0" w:line="200" w:lineRule="atLeast"/>
      <w:ind w:left="284"/>
    </w:pPr>
    <w:rPr>
      <w:sz w:val="18"/>
      <w:szCs w:val="18"/>
    </w:rPr>
  </w:style>
  <w:style w:type="paragraph" w:customStyle="1" w:styleId="Figuretable">
    <w:name w:val="Figure table"/>
    <w:basedOn w:val="BodyText"/>
    <w:rsid w:val="008F091F"/>
    <w:pPr>
      <w:keepNext/>
    </w:pPr>
  </w:style>
  <w:style w:type="character" w:styleId="Mention">
    <w:name w:val="Mention"/>
    <w:basedOn w:val="DefaultParagraphFont"/>
    <w:uiPriority w:val="99"/>
    <w:unhideWhenUsed/>
    <w:rsid w:val="002B3159"/>
    <w:rPr>
      <w:color w:val="2B579A"/>
      <w:shd w:val="clear" w:color="auto" w:fill="E1DFDD"/>
    </w:rPr>
  </w:style>
  <w:style w:type="character" w:styleId="EndnoteReference">
    <w:name w:val="endnote reference"/>
    <w:basedOn w:val="DefaultParagraphFont"/>
    <w:semiHidden/>
    <w:unhideWhenUsed/>
    <w:rsid w:val="00767353"/>
    <w:rPr>
      <w:vertAlign w:val="superscript"/>
    </w:rPr>
  </w:style>
  <w:style w:type="character" w:customStyle="1" w:styleId="normaltextrun">
    <w:name w:val="normaltextrun"/>
    <w:basedOn w:val="DefaultParagraphFont"/>
    <w:rsid w:val="00767353"/>
  </w:style>
  <w:style w:type="paragraph" w:customStyle="1" w:styleId="FigureTitle">
    <w:name w:val="Figure Title"/>
    <w:basedOn w:val="Caption"/>
    <w:next w:val="Subtitle"/>
    <w:rsid w:val="00767353"/>
    <w:pPr>
      <w:keepNext/>
      <w:keepLines/>
      <w:spacing w:before="120" w:after="80" w:line="280" w:lineRule="exact"/>
      <w:ind w:left="1474" w:hanging="1474"/>
    </w:pPr>
    <w:rPr>
      <w:rFonts w:ascii="Arial" w:hAnsi="Arial"/>
      <w:b/>
      <w:iCs w:val="0"/>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emf"/><Relationship Id="rId21" Type="http://schemas.openxmlformats.org/officeDocument/2006/relationships/footer" Target="footer4.xml"/><Relationship Id="rId42" Type="http://schemas.openxmlformats.org/officeDocument/2006/relationships/footer" Target="footer11.xml"/><Relationship Id="rId63" Type="http://schemas.openxmlformats.org/officeDocument/2006/relationships/image" Target="media/image35.emf"/><Relationship Id="rId84" Type="http://schemas.openxmlformats.org/officeDocument/2006/relationships/image" Target="media/image52.emf"/><Relationship Id="rId138" Type="http://schemas.openxmlformats.org/officeDocument/2006/relationships/image" Target="media/image93.emf"/><Relationship Id="rId159" Type="http://schemas.openxmlformats.org/officeDocument/2006/relationships/image" Target="media/image110.emf"/><Relationship Id="rId170" Type="http://schemas.openxmlformats.org/officeDocument/2006/relationships/image" Target="media/image121.emf"/><Relationship Id="rId107" Type="http://schemas.openxmlformats.org/officeDocument/2006/relationships/image" Target="media/image71.emf"/><Relationship Id="rId11" Type="http://schemas.openxmlformats.org/officeDocument/2006/relationships/header" Target="header1.xml"/><Relationship Id="rId32" Type="http://schemas.openxmlformats.org/officeDocument/2006/relationships/image" Target="media/image8.emf"/><Relationship Id="rId53" Type="http://schemas.openxmlformats.org/officeDocument/2006/relationships/image" Target="media/image25.emf"/><Relationship Id="rId74" Type="http://schemas.openxmlformats.org/officeDocument/2006/relationships/image" Target="media/image42.emf"/><Relationship Id="rId128" Type="http://schemas.openxmlformats.org/officeDocument/2006/relationships/image" Target="media/image83.emf"/><Relationship Id="rId149" Type="http://schemas.openxmlformats.org/officeDocument/2006/relationships/image" Target="media/image104.emf"/><Relationship Id="rId5" Type="http://schemas.openxmlformats.org/officeDocument/2006/relationships/numbering" Target="numbering.xml"/><Relationship Id="rId95" Type="http://schemas.openxmlformats.org/officeDocument/2006/relationships/image" Target="media/image59.emf"/><Relationship Id="rId160" Type="http://schemas.openxmlformats.org/officeDocument/2006/relationships/image" Target="media/image111.emf"/><Relationship Id="rId181" Type="http://schemas.openxmlformats.org/officeDocument/2006/relationships/image" Target="media/image132.emf"/><Relationship Id="rId22" Type="http://schemas.openxmlformats.org/officeDocument/2006/relationships/footer" Target="footer5.xml"/><Relationship Id="rId43" Type="http://schemas.openxmlformats.org/officeDocument/2006/relationships/image" Target="media/image15.png"/><Relationship Id="rId64" Type="http://schemas.openxmlformats.org/officeDocument/2006/relationships/image" Target="media/image36.emf"/><Relationship Id="rId118" Type="http://schemas.openxmlformats.org/officeDocument/2006/relationships/image" Target="media/image77.emf"/><Relationship Id="rId139" Type="http://schemas.openxmlformats.org/officeDocument/2006/relationships/image" Target="media/image94.emf"/><Relationship Id="rId85" Type="http://schemas.openxmlformats.org/officeDocument/2006/relationships/image" Target="media/image53.emf"/><Relationship Id="rId150" Type="http://schemas.openxmlformats.org/officeDocument/2006/relationships/image" Target="media/image105.emf"/><Relationship Id="rId171" Type="http://schemas.openxmlformats.org/officeDocument/2006/relationships/image" Target="media/image122.emf"/><Relationship Id="rId12" Type="http://schemas.openxmlformats.org/officeDocument/2006/relationships/header" Target="header2.xml"/><Relationship Id="rId33" Type="http://schemas.openxmlformats.org/officeDocument/2006/relationships/image" Target="media/image9.emf"/><Relationship Id="rId108" Type="http://schemas.openxmlformats.org/officeDocument/2006/relationships/image" Target="media/image72.emf"/><Relationship Id="rId129" Type="http://schemas.openxmlformats.org/officeDocument/2006/relationships/image" Target="media/image84.png"/><Relationship Id="rId54" Type="http://schemas.openxmlformats.org/officeDocument/2006/relationships/image" Target="media/image26.emf"/><Relationship Id="rId75" Type="http://schemas.openxmlformats.org/officeDocument/2006/relationships/image" Target="media/image43.emf"/><Relationship Id="rId96" Type="http://schemas.openxmlformats.org/officeDocument/2006/relationships/image" Target="media/image60.emf"/><Relationship Id="rId140" Type="http://schemas.openxmlformats.org/officeDocument/2006/relationships/image" Target="media/image95.emf"/><Relationship Id="rId161" Type="http://schemas.openxmlformats.org/officeDocument/2006/relationships/image" Target="media/image112.emf"/><Relationship Id="rId182" Type="http://schemas.openxmlformats.org/officeDocument/2006/relationships/image" Target="media/image133.emf"/><Relationship Id="rId6" Type="http://schemas.openxmlformats.org/officeDocument/2006/relationships/styles" Target="styles.xml"/><Relationship Id="rId23" Type="http://schemas.openxmlformats.org/officeDocument/2006/relationships/header" Target="header6.xml"/><Relationship Id="rId119" Type="http://schemas.openxmlformats.org/officeDocument/2006/relationships/image" Target="media/image78.emf"/><Relationship Id="rId44" Type="http://schemas.openxmlformats.org/officeDocument/2006/relationships/image" Target="media/image16.svg"/><Relationship Id="rId65" Type="http://schemas.openxmlformats.org/officeDocument/2006/relationships/image" Target="media/image37.emf"/><Relationship Id="rId86" Type="http://schemas.openxmlformats.org/officeDocument/2006/relationships/image" Target="media/image54.emf"/><Relationship Id="rId130" Type="http://schemas.openxmlformats.org/officeDocument/2006/relationships/image" Target="media/image85.svg"/><Relationship Id="rId151" Type="http://schemas.openxmlformats.org/officeDocument/2006/relationships/image" Target="media/image106.emf"/><Relationship Id="rId172" Type="http://schemas.openxmlformats.org/officeDocument/2006/relationships/image" Target="media/image123.emf"/><Relationship Id="rId13" Type="http://schemas.openxmlformats.org/officeDocument/2006/relationships/footer" Target="footer1.xml"/><Relationship Id="rId18" Type="http://schemas.openxmlformats.org/officeDocument/2006/relationships/image" Target="media/image6.svg"/><Relationship Id="rId39" Type="http://schemas.openxmlformats.org/officeDocument/2006/relationships/header" Target="header10.xml"/><Relationship Id="rId109" Type="http://schemas.openxmlformats.org/officeDocument/2006/relationships/image" Target="media/image73.emf"/><Relationship Id="rId34" Type="http://schemas.openxmlformats.org/officeDocument/2006/relationships/image" Target="media/image10.emf"/><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4.emf"/><Relationship Id="rId97" Type="http://schemas.openxmlformats.org/officeDocument/2006/relationships/image" Target="media/image61.emf"/><Relationship Id="rId104" Type="http://schemas.openxmlformats.org/officeDocument/2006/relationships/image" Target="media/image68.png"/><Relationship Id="rId120" Type="http://schemas.openxmlformats.org/officeDocument/2006/relationships/image" Target="media/image79.emf"/><Relationship Id="rId125" Type="http://schemas.openxmlformats.org/officeDocument/2006/relationships/header" Target="header20.xml"/><Relationship Id="rId141" Type="http://schemas.openxmlformats.org/officeDocument/2006/relationships/image" Target="media/image96.emf"/><Relationship Id="rId146" Type="http://schemas.openxmlformats.org/officeDocument/2006/relationships/image" Target="media/image101.emf"/><Relationship Id="rId167" Type="http://schemas.openxmlformats.org/officeDocument/2006/relationships/image" Target="media/image118.emf"/><Relationship Id="rId188"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39.emf"/><Relationship Id="rId92" Type="http://schemas.openxmlformats.org/officeDocument/2006/relationships/image" Target="media/image56.emf"/><Relationship Id="rId162" Type="http://schemas.openxmlformats.org/officeDocument/2006/relationships/image" Target="media/image113.emf"/><Relationship Id="rId183" Type="http://schemas.openxmlformats.org/officeDocument/2006/relationships/image" Target="media/image134.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6.xml"/><Relationship Id="rId40" Type="http://schemas.openxmlformats.org/officeDocument/2006/relationships/header" Target="header11.xml"/><Relationship Id="rId45" Type="http://schemas.openxmlformats.org/officeDocument/2006/relationships/image" Target="media/image17.emf"/><Relationship Id="rId66" Type="http://schemas.openxmlformats.org/officeDocument/2006/relationships/image" Target="media/image38.emf"/><Relationship Id="rId87" Type="http://schemas.openxmlformats.org/officeDocument/2006/relationships/image" Target="media/image55.emf"/><Relationship Id="rId110" Type="http://schemas.openxmlformats.org/officeDocument/2006/relationships/image" Target="media/image74.emf"/><Relationship Id="rId115" Type="http://schemas.openxmlformats.org/officeDocument/2006/relationships/footer" Target="footer17.xml"/><Relationship Id="rId131" Type="http://schemas.openxmlformats.org/officeDocument/2006/relationships/image" Target="media/image86.emf"/><Relationship Id="rId136" Type="http://schemas.openxmlformats.org/officeDocument/2006/relationships/image" Target="media/image91.emf"/><Relationship Id="rId157" Type="http://schemas.openxmlformats.org/officeDocument/2006/relationships/footer" Target="footer20.xml"/><Relationship Id="rId178" Type="http://schemas.openxmlformats.org/officeDocument/2006/relationships/image" Target="media/image129.emf"/><Relationship Id="rId61" Type="http://schemas.openxmlformats.org/officeDocument/2006/relationships/image" Target="media/image33.emf"/><Relationship Id="rId82" Type="http://schemas.openxmlformats.org/officeDocument/2006/relationships/image" Target="media/image50.emf"/><Relationship Id="rId152" Type="http://schemas.openxmlformats.org/officeDocument/2006/relationships/image" Target="media/image107.emf"/><Relationship Id="rId173" Type="http://schemas.openxmlformats.org/officeDocument/2006/relationships/image" Target="media/image124.emf"/><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image" Target="media/image11.emf"/><Relationship Id="rId56" Type="http://schemas.openxmlformats.org/officeDocument/2006/relationships/image" Target="media/image28.emf"/><Relationship Id="rId77" Type="http://schemas.openxmlformats.org/officeDocument/2006/relationships/image" Target="media/image45.emf"/><Relationship Id="rId100" Type="http://schemas.openxmlformats.org/officeDocument/2006/relationships/image" Target="media/image64.emf"/><Relationship Id="rId105" Type="http://schemas.openxmlformats.org/officeDocument/2006/relationships/image" Target="media/image69.svg"/><Relationship Id="rId126" Type="http://schemas.openxmlformats.org/officeDocument/2006/relationships/footer" Target="footer18.xml"/><Relationship Id="rId147" Type="http://schemas.openxmlformats.org/officeDocument/2006/relationships/image" Target="media/image102.emf"/><Relationship Id="rId168" Type="http://schemas.openxmlformats.org/officeDocument/2006/relationships/image" Target="media/image119.emf"/><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40.emf"/><Relationship Id="rId93" Type="http://schemas.openxmlformats.org/officeDocument/2006/relationships/image" Target="media/image57.emf"/><Relationship Id="rId98" Type="http://schemas.openxmlformats.org/officeDocument/2006/relationships/image" Target="media/image62.emf"/><Relationship Id="rId121" Type="http://schemas.openxmlformats.org/officeDocument/2006/relationships/image" Target="media/image80.emf"/><Relationship Id="rId142" Type="http://schemas.openxmlformats.org/officeDocument/2006/relationships/image" Target="media/image97.emf"/><Relationship Id="rId163" Type="http://schemas.openxmlformats.org/officeDocument/2006/relationships/image" Target="media/image114.emf"/><Relationship Id="rId184" Type="http://schemas.openxmlformats.org/officeDocument/2006/relationships/image" Target="media/image135.emf"/><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18.emf"/><Relationship Id="rId67" Type="http://schemas.openxmlformats.org/officeDocument/2006/relationships/header" Target="header12.xml"/><Relationship Id="rId116" Type="http://schemas.openxmlformats.org/officeDocument/2006/relationships/image" Target="media/image75.emf"/><Relationship Id="rId137" Type="http://schemas.openxmlformats.org/officeDocument/2006/relationships/image" Target="media/image92.emf"/><Relationship Id="rId158" Type="http://schemas.openxmlformats.org/officeDocument/2006/relationships/footer" Target="footer21.xml"/><Relationship Id="rId20" Type="http://schemas.openxmlformats.org/officeDocument/2006/relationships/header" Target="header5.xml"/><Relationship Id="rId41" Type="http://schemas.openxmlformats.org/officeDocument/2006/relationships/footer" Target="footer10.xml"/><Relationship Id="rId62" Type="http://schemas.openxmlformats.org/officeDocument/2006/relationships/image" Target="media/image34.emf"/><Relationship Id="rId83" Type="http://schemas.openxmlformats.org/officeDocument/2006/relationships/image" Target="media/image51.emf"/><Relationship Id="rId88" Type="http://schemas.openxmlformats.org/officeDocument/2006/relationships/header" Target="header14.xml"/><Relationship Id="rId111" Type="http://schemas.openxmlformats.org/officeDocument/2006/relationships/header" Target="header16.xml"/><Relationship Id="rId132" Type="http://schemas.openxmlformats.org/officeDocument/2006/relationships/image" Target="media/image87.emf"/><Relationship Id="rId153" Type="http://schemas.openxmlformats.org/officeDocument/2006/relationships/image" Target="media/image108.emf"/><Relationship Id="rId174" Type="http://schemas.openxmlformats.org/officeDocument/2006/relationships/image" Target="media/image125.emf"/><Relationship Id="rId179" Type="http://schemas.openxmlformats.org/officeDocument/2006/relationships/image" Target="media/image130.emf"/><Relationship Id="rId15" Type="http://schemas.openxmlformats.org/officeDocument/2006/relationships/header" Target="header3.xml"/><Relationship Id="rId36" Type="http://schemas.openxmlformats.org/officeDocument/2006/relationships/image" Target="media/image12.emf"/><Relationship Id="rId57" Type="http://schemas.openxmlformats.org/officeDocument/2006/relationships/image" Target="media/image29.emf"/><Relationship Id="rId106" Type="http://schemas.openxmlformats.org/officeDocument/2006/relationships/image" Target="media/image70.emf"/><Relationship Id="rId12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image" Target="media/image7.emf"/><Relationship Id="rId52" Type="http://schemas.openxmlformats.org/officeDocument/2006/relationships/image" Target="media/image24.emf"/><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58.emf"/><Relationship Id="rId99" Type="http://schemas.openxmlformats.org/officeDocument/2006/relationships/image" Target="media/image63.emf"/><Relationship Id="rId101" Type="http://schemas.openxmlformats.org/officeDocument/2006/relationships/image" Target="media/image65.png"/><Relationship Id="rId122" Type="http://schemas.openxmlformats.org/officeDocument/2006/relationships/image" Target="media/image81.emf"/><Relationship Id="rId143" Type="http://schemas.openxmlformats.org/officeDocument/2006/relationships/image" Target="media/image98.emf"/><Relationship Id="rId148" Type="http://schemas.openxmlformats.org/officeDocument/2006/relationships/image" Target="media/image103.emf"/><Relationship Id="rId164" Type="http://schemas.openxmlformats.org/officeDocument/2006/relationships/image" Target="media/image115.emf"/><Relationship Id="rId169" Type="http://schemas.openxmlformats.org/officeDocument/2006/relationships/image" Target="media/image120.emf"/><Relationship Id="rId185"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1.emf"/><Relationship Id="rId26" Type="http://schemas.openxmlformats.org/officeDocument/2006/relationships/header" Target="header7.xml"/><Relationship Id="rId47" Type="http://schemas.openxmlformats.org/officeDocument/2006/relationships/image" Target="media/image19.emf"/><Relationship Id="rId68" Type="http://schemas.openxmlformats.org/officeDocument/2006/relationships/header" Target="header13.xml"/><Relationship Id="rId89" Type="http://schemas.openxmlformats.org/officeDocument/2006/relationships/header" Target="header15.xml"/><Relationship Id="rId112" Type="http://schemas.openxmlformats.org/officeDocument/2006/relationships/header" Target="header17.xml"/><Relationship Id="rId133" Type="http://schemas.openxmlformats.org/officeDocument/2006/relationships/image" Target="media/image88.emf"/><Relationship Id="rId154" Type="http://schemas.openxmlformats.org/officeDocument/2006/relationships/image" Target="media/image109.emf"/><Relationship Id="rId175" Type="http://schemas.openxmlformats.org/officeDocument/2006/relationships/image" Target="media/image126.emf"/><Relationship Id="rId16" Type="http://schemas.openxmlformats.org/officeDocument/2006/relationships/footer" Target="footer3.xml"/><Relationship Id="rId37" Type="http://schemas.openxmlformats.org/officeDocument/2006/relationships/image" Target="media/image13.emf"/><Relationship Id="rId58" Type="http://schemas.openxmlformats.org/officeDocument/2006/relationships/image" Target="media/image30.emf"/><Relationship Id="rId79" Type="http://schemas.openxmlformats.org/officeDocument/2006/relationships/image" Target="media/image47.emf"/><Relationship Id="rId102" Type="http://schemas.openxmlformats.org/officeDocument/2006/relationships/image" Target="media/image66.svg"/><Relationship Id="rId123" Type="http://schemas.openxmlformats.org/officeDocument/2006/relationships/image" Target="media/image82.emf"/><Relationship Id="rId144" Type="http://schemas.openxmlformats.org/officeDocument/2006/relationships/image" Target="media/image99.emf"/><Relationship Id="rId90" Type="http://schemas.openxmlformats.org/officeDocument/2006/relationships/footer" Target="footer14.xml"/><Relationship Id="rId165" Type="http://schemas.openxmlformats.org/officeDocument/2006/relationships/image" Target="media/image116.emf"/><Relationship Id="rId186" Type="http://schemas.openxmlformats.org/officeDocument/2006/relationships/header" Target="header24.xml"/><Relationship Id="rId27" Type="http://schemas.openxmlformats.org/officeDocument/2006/relationships/footer" Target="footer8.xml"/><Relationship Id="rId48" Type="http://schemas.openxmlformats.org/officeDocument/2006/relationships/image" Target="media/image20.emf"/><Relationship Id="rId69" Type="http://schemas.openxmlformats.org/officeDocument/2006/relationships/footer" Target="footer12.xml"/><Relationship Id="rId113" Type="http://schemas.openxmlformats.org/officeDocument/2006/relationships/header" Target="header18.xml"/><Relationship Id="rId134" Type="http://schemas.openxmlformats.org/officeDocument/2006/relationships/image" Target="media/image89.emf"/><Relationship Id="rId80" Type="http://schemas.openxmlformats.org/officeDocument/2006/relationships/image" Target="media/image48.emf"/><Relationship Id="rId155" Type="http://schemas.openxmlformats.org/officeDocument/2006/relationships/header" Target="header21.xml"/><Relationship Id="rId176" Type="http://schemas.openxmlformats.org/officeDocument/2006/relationships/image" Target="media/image127.emf"/><Relationship Id="rId17" Type="http://schemas.openxmlformats.org/officeDocument/2006/relationships/image" Target="media/image5.png"/><Relationship Id="rId38" Type="http://schemas.openxmlformats.org/officeDocument/2006/relationships/image" Target="media/image14.emf"/><Relationship Id="rId59" Type="http://schemas.openxmlformats.org/officeDocument/2006/relationships/image" Target="media/image31.emf"/><Relationship Id="rId103" Type="http://schemas.openxmlformats.org/officeDocument/2006/relationships/image" Target="media/image67.emf"/><Relationship Id="rId124" Type="http://schemas.openxmlformats.org/officeDocument/2006/relationships/header" Target="header19.xml"/><Relationship Id="rId70" Type="http://schemas.openxmlformats.org/officeDocument/2006/relationships/footer" Target="footer13.xml"/><Relationship Id="rId91" Type="http://schemas.openxmlformats.org/officeDocument/2006/relationships/footer" Target="footer15.xml"/><Relationship Id="rId145" Type="http://schemas.openxmlformats.org/officeDocument/2006/relationships/image" Target="media/image100.emf"/><Relationship Id="rId166" Type="http://schemas.openxmlformats.org/officeDocument/2006/relationships/image" Target="media/image117.emf"/><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footer" Target="footer9.xml"/><Relationship Id="rId49" Type="http://schemas.openxmlformats.org/officeDocument/2006/relationships/image" Target="media/image21.emf"/><Relationship Id="rId114" Type="http://schemas.openxmlformats.org/officeDocument/2006/relationships/footer" Target="footer16.xml"/><Relationship Id="rId60" Type="http://schemas.openxmlformats.org/officeDocument/2006/relationships/image" Target="media/image32.emf"/><Relationship Id="rId81" Type="http://schemas.openxmlformats.org/officeDocument/2006/relationships/image" Target="media/image49.emf"/><Relationship Id="rId135" Type="http://schemas.openxmlformats.org/officeDocument/2006/relationships/image" Target="media/image90.emf"/><Relationship Id="rId156" Type="http://schemas.openxmlformats.org/officeDocument/2006/relationships/header" Target="header22.xml"/><Relationship Id="rId177" Type="http://schemas.openxmlformats.org/officeDocument/2006/relationships/image" Target="media/image128.emf"/></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ent\AppData\Local\Microsoft\Windows\INetCache\Content.Outlook\MCC0UD16\Productivity%20Commission-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2448AECC74E9080768D145238CA32"/>
        <w:category>
          <w:name w:val="General"/>
          <w:gallery w:val="placeholder"/>
        </w:category>
        <w:types>
          <w:type w:val="bbPlcHdr"/>
        </w:types>
        <w:behaviors>
          <w:behavior w:val="content"/>
        </w:behaviors>
        <w:guid w:val="{7A91FC84-0202-48A4-96F7-6B9CDF89AB53}"/>
      </w:docPartPr>
      <w:docPartBody>
        <w:p w:rsidR="00C82B5C" w:rsidRDefault="00550B68" w:rsidP="00550B68">
          <w:pPr>
            <w:pStyle w:val="A3A2448AECC74E9080768D145238CA322"/>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55CB9AB32D034E9191BE288F7BC8B222"/>
        <w:category>
          <w:name w:val="General"/>
          <w:gallery w:val="placeholder"/>
        </w:category>
        <w:types>
          <w:type w:val="bbPlcHdr"/>
        </w:types>
        <w:behaviors>
          <w:behavior w:val="content"/>
        </w:behaviors>
        <w:guid w:val="{EA36710A-EE4B-4BBB-B4A4-8A2394B869B0}"/>
      </w:docPartPr>
      <w:docPartBody>
        <w:p w:rsidR="00C03BF0" w:rsidRDefault="005F600E" w:rsidP="005F600E">
          <w:pPr>
            <w:pStyle w:val="55CB9AB32D034E9191BE288F7BC8B222"/>
          </w:pPr>
          <w:r w:rsidRPr="00295330">
            <w:rPr>
              <w:rStyle w:val="PlaceholderText"/>
              <w:color w:val="FFFFFF" w:themeColor="background1"/>
              <w:highlight w:val="darkGray"/>
            </w:rPr>
            <w:t>[Click to add title, this will automatically link to the internal pages header]</w:t>
          </w:r>
        </w:p>
      </w:docPartBody>
    </w:docPart>
    <w:docPart>
      <w:docPartPr>
        <w:name w:val="E7A83012D5534638A4BC625093A2D6B0"/>
        <w:category>
          <w:name w:val="General"/>
          <w:gallery w:val="placeholder"/>
        </w:category>
        <w:types>
          <w:type w:val="bbPlcHdr"/>
        </w:types>
        <w:behaviors>
          <w:behavior w:val="content"/>
        </w:behaviors>
        <w:guid w:val="{FB6DAC12-EF73-40CB-BD77-CEBEA5C79BB2}"/>
      </w:docPartPr>
      <w:docPartBody>
        <w:p w:rsidR="003B09B3" w:rsidRDefault="00550B68">
          <w:pPr>
            <w:pStyle w:val="E7A83012D5534638A4BC625093A2D6B0"/>
          </w:pPr>
          <w:r w:rsidRPr="00295330">
            <w:rPr>
              <w:rStyle w:val="PlaceholderText"/>
              <w:color w:val="FFFFFF" w:themeColor="background1"/>
              <w:highlight w:val="darkGray"/>
            </w:rPr>
            <w:t>[Click to add title, this will automatically link to the internal pages header]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B5C"/>
    <w:rsid w:val="000B42D9"/>
    <w:rsid w:val="000C3511"/>
    <w:rsid w:val="00277808"/>
    <w:rsid w:val="00287D33"/>
    <w:rsid w:val="00291B13"/>
    <w:rsid w:val="002B251E"/>
    <w:rsid w:val="002C62FD"/>
    <w:rsid w:val="003A5BC6"/>
    <w:rsid w:val="003B09B3"/>
    <w:rsid w:val="003D2340"/>
    <w:rsid w:val="003D4D9D"/>
    <w:rsid w:val="00452824"/>
    <w:rsid w:val="004D42FC"/>
    <w:rsid w:val="004F5DDE"/>
    <w:rsid w:val="00550B68"/>
    <w:rsid w:val="005E1A83"/>
    <w:rsid w:val="005E3BBE"/>
    <w:rsid w:val="005F600E"/>
    <w:rsid w:val="00603B67"/>
    <w:rsid w:val="00623768"/>
    <w:rsid w:val="00625515"/>
    <w:rsid w:val="00672EF6"/>
    <w:rsid w:val="0067475A"/>
    <w:rsid w:val="00677194"/>
    <w:rsid w:val="00721B31"/>
    <w:rsid w:val="00765E1D"/>
    <w:rsid w:val="007C529B"/>
    <w:rsid w:val="008858AC"/>
    <w:rsid w:val="008F5EF5"/>
    <w:rsid w:val="00927852"/>
    <w:rsid w:val="00984365"/>
    <w:rsid w:val="009C127E"/>
    <w:rsid w:val="009E114E"/>
    <w:rsid w:val="00A37DBF"/>
    <w:rsid w:val="00A77ED3"/>
    <w:rsid w:val="00AC23D5"/>
    <w:rsid w:val="00B26C15"/>
    <w:rsid w:val="00C03BF0"/>
    <w:rsid w:val="00C82B5C"/>
    <w:rsid w:val="00CD123E"/>
    <w:rsid w:val="00CE0B9B"/>
    <w:rsid w:val="00DB1222"/>
    <w:rsid w:val="00E635B9"/>
    <w:rsid w:val="00E642E7"/>
    <w:rsid w:val="00EA262D"/>
    <w:rsid w:val="00EB4F27"/>
    <w:rsid w:val="00ED1588"/>
    <w:rsid w:val="00EF0DA0"/>
    <w:rsid w:val="00F26498"/>
    <w:rsid w:val="00F759F0"/>
    <w:rsid w:val="00FB28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600E"/>
    <w:rPr>
      <w:color w:val="808080"/>
    </w:rPr>
  </w:style>
  <w:style w:type="character" w:styleId="Strong">
    <w:name w:val="Strong"/>
    <w:basedOn w:val="DefaultParagraphFont"/>
    <w:uiPriority w:val="22"/>
    <w:qFormat/>
    <w:rsid w:val="00550B68"/>
    <w:rPr>
      <w:rFonts w:asciiTheme="minorHAnsi" w:hAnsiTheme="minorHAnsi"/>
      <w:b/>
      <w:bCs/>
    </w:rPr>
  </w:style>
  <w:style w:type="paragraph" w:customStyle="1" w:styleId="A3A2448AECC74E9080768D145238CA322">
    <w:name w:val="A3A2448AECC74E9080768D145238CA322"/>
    <w:rsid w:val="00550B68"/>
    <w:pPr>
      <w:numPr>
        <w:ilvl w:val="1"/>
      </w:numPr>
      <w:spacing w:before="240" w:after="240" w:line="240" w:lineRule="auto"/>
    </w:pPr>
    <w:rPr>
      <w:color w:val="FFFFFF" w:themeColor="background1"/>
      <w:sz w:val="52"/>
      <w:szCs w:val="20"/>
      <w:lang w:eastAsia="en-US"/>
    </w:rPr>
  </w:style>
  <w:style w:type="paragraph" w:customStyle="1" w:styleId="55CB9AB32D034E9191BE288F7BC8B222">
    <w:name w:val="55CB9AB32D034E9191BE288F7BC8B222"/>
    <w:rsid w:val="005F600E"/>
  </w:style>
  <w:style w:type="paragraph" w:customStyle="1" w:styleId="E7A83012D5534638A4BC625093A2D6B0">
    <w:name w:val="E7A83012D5534638A4BC625093A2D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8e425f-67c7-4f4a-ad7d-1fb1331c16cb">
      <Value>2</Value>
    </TaxCatchAll>
    <i0f84bba906045b4af568ee102a52dcb xmlns="b68e425f-67c7-4f4a-ad7d-1fb1331c16cb">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c91ae86f-6f80-4441-a561-439e28dec06f</TermId>
        </TermInfo>
      </Terms>
    </i0f84bba906045b4af568ee102a52dc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107DA88BB504418B69D9967188D101" ma:contentTypeVersion="9" ma:contentTypeDescription="Create a new document." ma:contentTypeScope="" ma:versionID="ce7b88380ed8744d79c921bfcb92b025">
  <xsd:schema xmlns:xsd="http://www.w3.org/2001/XMLSchema" xmlns:xs="http://www.w3.org/2001/XMLSchema" xmlns:p="http://schemas.microsoft.com/office/2006/metadata/properties" xmlns:ns2="b68e425f-67c7-4f4a-ad7d-1fb1331c16cb" xmlns:ns3="8cec8e0c-dc74-4b71-a9e0-b2b00a23b601" targetNamespace="http://schemas.microsoft.com/office/2006/metadata/properties" ma:root="true" ma:fieldsID="3973b680d115555fd0fd61253761de06" ns2:_="" ns3:_="">
    <xsd:import namespace="b68e425f-67c7-4f4a-ad7d-1fb1331c16cb"/>
    <xsd:import namespace="8cec8e0c-dc74-4b71-a9e0-b2b00a23b601"/>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e425f-67c7-4f4a-ad7d-1fb1331c16cb"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2;#Operational Activities|c91ae86f-6f80-4441-a561-439e28dec06f" ma:fieldId="{20f84bba-9060-45b4-af56-8ee102a52dcb}" ma:sspId="9e7832e3-0c1d-4697-8be2-0d137dca2da6" ma:termSetId="3c672b5e-1100-4960-a8a3-535520ee1155" ma:anchorId="df75995f-02a1-4b82-9d0c-b997654155eb" ma:open="false" ma:isKeyword="false">
      <xsd:complexType>
        <xsd:sequence>
          <xsd:element ref="pc:Terms" minOccurs="0" maxOccurs="1"/>
        </xsd:sequence>
      </xsd:complexType>
    </xsd:element>
    <xsd:element name="TaxCatchAll" ma:index="10" nillable="true" ma:displayName="Taxonomy Catch All Column" ma:hidden="true" ma:list="{09caa1fa-22f0-4ba7-9f93-421c4bfedf9b}" ma:internalName="TaxCatchAll" ma:showField="CatchAllData" ma:web="b68e425f-67c7-4f4a-ad7d-1fb1331c16cb">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8e0c-dc74-4b71-a9e0-b2b00a23b6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8BC77D1E-F706-4033-91F2-0D0C9C441E08}">
  <ds:schemaRefs>
    <ds:schemaRef ds:uri="http://schemas.microsoft.com/sharepoint/v3/contenttype/forms"/>
  </ds:schemaRefs>
</ds:datastoreItem>
</file>

<file path=customXml/itemProps3.xml><?xml version="1.0" encoding="utf-8"?>
<ds:datastoreItem xmlns:ds="http://schemas.openxmlformats.org/officeDocument/2006/customXml" ds:itemID="{2733DD2F-2496-439F-A2AF-2201B165BC5D}">
  <ds:schemaRefs>
    <ds:schemaRef ds:uri="http://schemas.microsoft.com/office/2006/metadata/properties"/>
    <ds:schemaRef ds:uri="http://schemas.microsoft.com/office/infopath/2007/PartnerControls"/>
    <ds:schemaRef ds:uri="b68e425f-67c7-4f4a-ad7d-1fb1331c16cb"/>
  </ds:schemaRefs>
</ds:datastoreItem>
</file>

<file path=customXml/itemProps4.xml><?xml version="1.0" encoding="utf-8"?>
<ds:datastoreItem xmlns:ds="http://schemas.openxmlformats.org/officeDocument/2006/customXml" ds:itemID="{01DED49D-A36F-4391-BB01-BD0B00291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e425f-67c7-4f4a-ad7d-1fb1331c16cb"/>
    <ds:schemaRef ds:uri="8cec8e0c-dc74-4b71-a9e0-b2b00a23b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Productivity Commission-Report template.dotx</Template>
  <TotalTime>170</TotalTime>
  <Pages>182</Pages>
  <Words>102990</Words>
  <Characters>587045</Characters>
  <Application>Microsoft Office Word</Application>
  <DocSecurity>0</DocSecurity>
  <Lines>4892</Lines>
  <Paragraphs>1377</Paragraphs>
  <ScaleCrop>false</ScaleCrop>
  <HeadingPairs>
    <vt:vector size="2" baseType="variant">
      <vt:variant>
        <vt:lpstr>Title</vt:lpstr>
      </vt:variant>
      <vt:variant>
        <vt:i4>1</vt:i4>
      </vt:variant>
    </vt:vector>
  </HeadingPairs>
  <TitlesOfParts>
    <vt:vector size="1" baseType="lpstr">
      <vt:lpstr>Wealth transfers and their economic effects</vt:lpstr>
    </vt:vector>
  </TitlesOfParts>
  <Company>Productivity Commission</Company>
  <LinksUpToDate>false</LinksUpToDate>
  <CharactersWithSpaces>688658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Wealth transfers and their economic effects</dc:title>
  <dc:subject>Research paper</dc:subject>
  <dc:creator>Productivity Commission</dc:creator>
  <cp:keywords/>
  <dc:description/>
  <cp:lastModifiedBy>Dobson, Bianca</cp:lastModifiedBy>
  <cp:revision>14</cp:revision>
  <cp:lastPrinted>2021-12-02T03:57:00Z</cp:lastPrinted>
  <dcterms:created xsi:type="dcterms:W3CDTF">2021-11-22T23:27:00Z</dcterms:created>
  <dcterms:modified xsi:type="dcterms:W3CDTF">2021-12-02T03:57:00Z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0x010100A5107DA88BB504418B69D9967188D101</vt:lpwstr>
  </property>
  <property fmtid="{D5CDD505-2E9C-101B-9397-08002B2CF9AE}" pid="3" name="RevIMBCS">
    <vt:lpwstr>2;#Operational Activities|c91ae86f-6f80-4441-a561-439e28dec06f</vt:lpwstr>
  </property>
  <property fmtid="{D5CDD505-2E9C-101B-9397-08002B2CF9AE}" pid="4" name="ZOTERO_PREF_2">
    <vt:lpwstr>layCitationUpdates" value="true"/&gt;&lt;/prefs&gt;&lt;/data&gt;</vt:lpwstr>
  </property>
  <property fmtid="{D5CDD505-2E9C-101B-9397-08002B2CF9AE}" pid="5" name="ZOTERO_PREF_1">
    <vt:lpwstr>&lt;data data-version="3" zotero-version="5.0.96"&gt;&lt;session id="xSQYBcMl"/&gt;&lt;style id="http://www.zotero.org/styles/Productivity-Commission" hasBibliography="1" bibliographyStyleHasBeenSet="1"/&gt;&lt;prefs&gt;&lt;pref name="fieldType" value="Field"/&gt;&lt;pref name="dontAskDe</vt:lpwstr>
  </property>
</Properties>
</file>