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B2A5A" w14:textId="688E42AC" w:rsidR="00197226" w:rsidRPr="003C6F44" w:rsidRDefault="00197226" w:rsidP="00197226">
      <w:pPr>
        <w:pStyle w:val="Coverdate"/>
        <w:framePr w:wrap="around"/>
      </w:pPr>
      <w:r>
        <w:t>October 2024</w:t>
      </w:r>
    </w:p>
    <w:p w14:paraId="4D249D8E" w14:textId="77777777" w:rsidR="00197226" w:rsidRPr="003C6F44" w:rsidRDefault="00197226" w:rsidP="00197226">
      <w:pPr>
        <w:ind w:left="-1134"/>
      </w:pPr>
      <w:r w:rsidRPr="003C6F44">
        <w:rPr>
          <w:noProof/>
        </w:rPr>
        <w:drawing>
          <wp:inline distT="0" distB="0" distL="0" distR="0" wp14:anchorId="11234AB9" wp14:editId="4A470777">
            <wp:extent cx="7561631" cy="2381866"/>
            <wp:effectExtent l="0" t="0" r="127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8408" b="8408"/>
                    <a:stretch>
                      <a:fillRect/>
                    </a:stretch>
                  </pic:blipFill>
                  <pic:spPr bwMode="auto">
                    <a:xfrm>
                      <a:off x="0" y="0"/>
                      <a:ext cx="7561631" cy="2381866"/>
                    </a:xfrm>
                    <a:prstGeom prst="rect">
                      <a:avLst/>
                    </a:prstGeom>
                    <a:ln>
                      <a:noFill/>
                    </a:ln>
                    <a:extLst>
                      <a:ext uri="{53640926-AAD7-44D8-BBD7-CCE9431645EC}">
                        <a14:shadowObscured xmlns:a14="http://schemas.microsoft.com/office/drawing/2010/main"/>
                      </a:ext>
                    </a:extLst>
                  </pic:spPr>
                </pic:pic>
              </a:graphicData>
            </a:graphic>
          </wp:inline>
        </w:drawing>
      </w:r>
    </w:p>
    <w:p w14:paraId="10BD28C8" w14:textId="5ECC9D61" w:rsidR="00197226" w:rsidRDefault="00197226" w:rsidP="00197226">
      <w:pPr>
        <w:pStyle w:val="Title"/>
        <w:ind w:right="140"/>
      </w:pPr>
      <w:r>
        <w:t xml:space="preserve">Revitalising National Competition Policy: </w:t>
      </w:r>
      <w:r w:rsidR="008434EC">
        <w:t>A</w:t>
      </w:r>
      <w:r>
        <w:t xml:space="preserve">dministering competitive </w:t>
      </w:r>
      <w:r>
        <w:br/>
        <w:t>neutrality complaints</w:t>
      </w:r>
    </w:p>
    <w:p w14:paraId="43D22C1D" w14:textId="7FF09A60" w:rsidR="00197226" w:rsidRPr="003C6F44" w:rsidRDefault="00197226" w:rsidP="00197226">
      <w:pPr>
        <w:pStyle w:val="Subtitle"/>
        <w:numPr>
          <w:ilvl w:val="0"/>
          <w:numId w:val="0"/>
        </w:numPr>
      </w:pPr>
      <w:r>
        <w:t>Productivity Commission submission</w:t>
      </w:r>
    </w:p>
    <w:p w14:paraId="70F33BDC" w14:textId="6C4F415C" w:rsidR="00197226" w:rsidRPr="001B4E02" w:rsidRDefault="00197226" w:rsidP="00163DDA">
      <w:pPr>
        <w:pStyle w:val="Subtitle"/>
        <w:numPr>
          <w:ilvl w:val="0"/>
          <w:numId w:val="0"/>
        </w:numPr>
        <w:spacing w:before="5160" w:after="1800"/>
        <w:rPr>
          <w:sz w:val="28"/>
          <w:szCs w:val="28"/>
        </w:rPr>
      </w:pPr>
      <w:r>
        <w:rPr>
          <w:sz w:val="28"/>
          <w:szCs w:val="28"/>
        </w:rPr>
        <w:t>Submission t</w:t>
      </w:r>
      <w:r w:rsidRPr="00787E9E">
        <w:rPr>
          <w:sz w:val="28"/>
          <w:szCs w:val="28"/>
        </w:rPr>
        <w:t xml:space="preserve">o </w:t>
      </w:r>
      <w:r w:rsidR="00163DDA">
        <w:rPr>
          <w:sz w:val="28"/>
          <w:szCs w:val="28"/>
        </w:rPr>
        <w:t>T</w:t>
      </w:r>
      <w:r w:rsidRPr="00787E9E">
        <w:rPr>
          <w:sz w:val="28"/>
          <w:szCs w:val="28"/>
        </w:rPr>
        <w:t xml:space="preserve">he </w:t>
      </w:r>
      <w:r>
        <w:rPr>
          <w:sz w:val="28"/>
          <w:szCs w:val="28"/>
        </w:rPr>
        <w:t xml:space="preserve">Treasury’s </w:t>
      </w:r>
      <w:r w:rsidRPr="0077442C">
        <w:rPr>
          <w:sz w:val="28"/>
          <w:szCs w:val="28"/>
        </w:rPr>
        <w:t xml:space="preserve">consultation process on </w:t>
      </w:r>
      <w:r w:rsidR="004B31E5">
        <w:rPr>
          <w:sz w:val="28"/>
          <w:szCs w:val="28"/>
        </w:rPr>
        <w:br/>
      </w:r>
      <w:r w:rsidRPr="0077442C">
        <w:rPr>
          <w:sz w:val="28"/>
          <w:szCs w:val="28"/>
        </w:rPr>
        <w:t>Revitalising National Competition Policy</w:t>
      </w:r>
    </w:p>
    <w:p w14:paraId="3E4C5345" w14:textId="77777777" w:rsidR="00197226" w:rsidRPr="003C6F44" w:rsidRDefault="00197226" w:rsidP="00197226">
      <w:pPr>
        <w:pStyle w:val="Title"/>
        <w:ind w:right="140"/>
        <w:sectPr w:rsidR="00197226" w:rsidRPr="003C6F44" w:rsidSect="00197226">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2735D086" w14:textId="77777777">
        <w:trPr>
          <w:trHeight w:hRule="exact" w:val="12643"/>
        </w:trPr>
        <w:tc>
          <w:tcPr>
            <w:tcW w:w="9638" w:type="dxa"/>
            <w:tcMar>
              <w:top w:w="113" w:type="dxa"/>
            </w:tcMar>
          </w:tcPr>
          <w:p w14:paraId="58F57DC9" w14:textId="77777777" w:rsidR="00525F6E" w:rsidRPr="000F4488" w:rsidRDefault="00525F6E">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CE75F03" w14:textId="77777777" w:rsidR="00525F6E" w:rsidRPr="00F37CB6" w:rsidRDefault="00525F6E">
            <w:pPr>
              <w:pStyle w:val="Copyrightpage-Keylinenotext"/>
              <w:ind w:right="-284"/>
            </w:pPr>
          </w:p>
          <w:p w14:paraId="3334CB82" w14:textId="77777777" w:rsidR="00525F6E" w:rsidRPr="00D96F65" w:rsidRDefault="00525F6E">
            <w:pPr>
              <w:pStyle w:val="Copyrightpage-Heading"/>
              <w:ind w:right="-284"/>
            </w:pPr>
            <w:r w:rsidRPr="00D96F65">
              <w:t>The Productivity Commission</w:t>
            </w:r>
          </w:p>
          <w:p w14:paraId="0B7016C4" w14:textId="33AEBBA6" w:rsidR="00525F6E" w:rsidRPr="0013722E" w:rsidRDefault="00525F6E">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r w:rsidR="00FD6FED" w:rsidRPr="0013722E">
              <w:rPr>
                <w:spacing w:val="-4"/>
              </w:rPr>
              <w:t>long-term</w:t>
            </w:r>
            <w:r w:rsidRPr="0013722E">
              <w:rPr>
                <w:spacing w:val="-4"/>
              </w:rPr>
              <w:t xml:space="preserve"> interest of the Australian community.</w:t>
            </w:r>
          </w:p>
          <w:p w14:paraId="66261D31" w14:textId="77777777" w:rsidR="00525F6E" w:rsidRPr="000F4488" w:rsidRDefault="00525F6E">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5F3ABF49" w14:textId="77777777" w:rsidR="00525F6E" w:rsidRPr="000F4488" w:rsidRDefault="00525F6E">
            <w:pPr>
              <w:pStyle w:val="Copyrightpage-BodyBold"/>
            </w:pPr>
            <w:r w:rsidRPr="000561CF">
              <w:t>Further information on the Productivity Commission can be obtained from the Commission’s website (www.pc.gov.au).</w:t>
            </w:r>
          </w:p>
          <w:p w14:paraId="6BC92F3B" w14:textId="77777777" w:rsidR="00525F6E" w:rsidRPr="000F4488" w:rsidRDefault="00525F6E">
            <w:pPr>
              <w:pStyle w:val="Copyrightpage-Keylinenotext"/>
              <w:ind w:right="-284"/>
              <w:rPr>
                <w:b/>
                <w:bCs/>
              </w:rPr>
            </w:pPr>
          </w:p>
          <w:p w14:paraId="3E2F2FDF" w14:textId="63046F07" w:rsidR="007C737D" w:rsidRPr="007C737D" w:rsidRDefault="007C737D" w:rsidP="007C737D">
            <w:pPr>
              <w:pStyle w:val="Copyrightpage-BodyBold"/>
              <w:ind w:right="-284"/>
              <w:rPr>
                <w:bCs/>
                <w:lang w:val="en-GB"/>
              </w:rPr>
            </w:pPr>
            <w:r w:rsidRPr="007C737D">
              <w:rPr>
                <w:bCs/>
              </w:rPr>
              <w:t>© Commonwealth of Australia 2024</w:t>
            </w:r>
          </w:p>
          <w:p w14:paraId="334C5D79" w14:textId="1D5BBA3D" w:rsidR="007C737D" w:rsidRPr="007C737D" w:rsidRDefault="007C737D" w:rsidP="007C737D">
            <w:pPr>
              <w:pStyle w:val="Copyrightpage-BodyBold"/>
              <w:ind w:right="-284"/>
              <w:rPr>
                <w:bCs/>
                <w:lang w:val="en-GB"/>
              </w:rPr>
            </w:pPr>
            <w:r w:rsidRPr="007C737D">
              <w:rPr>
                <w:bCs/>
              </w:rPr>
              <w:t>​</w:t>
            </w:r>
            <w:r w:rsidRPr="007C737D">
              <w:rPr>
                <w:bCs/>
                <w:noProof/>
                <w:lang w:val="en-GB"/>
              </w:rPr>
              <w:drawing>
                <wp:inline distT="0" distB="0" distL="0" distR="0" wp14:anchorId="6E4745D2" wp14:editId="4C5F5A2C">
                  <wp:extent cx="571500" cy="201930"/>
                  <wp:effectExtent l="0" t="0" r="0" b="7620"/>
                  <wp:docPr id="1390929891" name="Picture 3"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201930"/>
                          </a:xfrm>
                          <a:prstGeom prst="rect">
                            <a:avLst/>
                          </a:prstGeom>
                          <a:noFill/>
                          <a:ln>
                            <a:noFill/>
                          </a:ln>
                        </pic:spPr>
                      </pic:pic>
                    </a:graphicData>
                  </a:graphic>
                </wp:inline>
              </w:drawing>
            </w:r>
          </w:p>
          <w:p w14:paraId="13AAAE2C" w14:textId="2C033AC6" w:rsidR="007C737D" w:rsidRPr="007C737D" w:rsidRDefault="007C737D" w:rsidP="007C737D">
            <w:pPr>
              <w:pStyle w:val="Copyrightpage-BodyBold"/>
              <w:ind w:right="-284"/>
              <w:rPr>
                <w:bCs/>
                <w:lang w:val="en-GB"/>
              </w:rPr>
            </w:pPr>
            <w:r w:rsidRPr="007C737D">
              <w:rPr>
                <w:bCs/>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r w:rsidRPr="007C737D">
              <w:rPr>
                <w:bCs/>
                <w:lang w:val="en-GB"/>
              </w:rPr>
              <w:t> </w:t>
            </w:r>
          </w:p>
          <w:p w14:paraId="15E87ED7" w14:textId="7D708C5C" w:rsidR="007C737D" w:rsidRPr="007C737D" w:rsidRDefault="007C737D" w:rsidP="007C737D">
            <w:pPr>
              <w:pStyle w:val="Copyrightpage-BodyBold"/>
              <w:ind w:right="-284"/>
              <w:rPr>
                <w:bCs/>
                <w:lang w:val="en-GB"/>
              </w:rPr>
            </w:pPr>
            <w:r w:rsidRPr="007C737D">
              <w:rPr>
                <w:bCs/>
              </w:rPr>
              <w:t>The terms under which the Coat of Arms can be used are detailed at: www.pmc.gov.au/government/commonwealth-coat-arms.</w:t>
            </w:r>
            <w:r w:rsidRPr="007C737D">
              <w:rPr>
                <w:bCs/>
                <w:lang w:val="en-GB"/>
              </w:rPr>
              <w:t> </w:t>
            </w:r>
          </w:p>
          <w:p w14:paraId="1356C212" w14:textId="7B7ACAC6" w:rsidR="007C737D" w:rsidRPr="004E55D7" w:rsidRDefault="007C737D" w:rsidP="007C737D">
            <w:pPr>
              <w:pStyle w:val="Copyrightpage-BodyBold"/>
              <w:ind w:right="-284"/>
              <w:rPr>
                <w:bCs/>
                <w:spacing w:val="-4"/>
                <w:lang w:val="en-GB"/>
              </w:rPr>
            </w:pPr>
            <w:r w:rsidRPr="004E55D7">
              <w:rPr>
                <w:bCs/>
                <w:spacing w:val="-4"/>
              </w:rPr>
              <w:t>Wherever a third party holds copyright in this material the copyright remains with that party. Their permission may be required to use the material, please contact them directly.</w:t>
            </w:r>
          </w:p>
          <w:p w14:paraId="025FD65A" w14:textId="7181F8F1" w:rsidR="007C737D" w:rsidRPr="00BF6E5E" w:rsidRDefault="007C737D" w:rsidP="00BF6E5E">
            <w:pPr>
              <w:pStyle w:val="Copyrightpage-BodyBold"/>
            </w:pPr>
            <w:r w:rsidRPr="007C737D">
              <w:rPr>
                <w:bCs/>
              </w:rPr>
              <w:t>An appropriate reference for this submission is:</w:t>
            </w:r>
            <w:r w:rsidRPr="007C737D">
              <w:rPr>
                <w:bCs/>
                <w:lang w:val="en-GB"/>
              </w:rPr>
              <w:t> </w:t>
            </w:r>
            <w:r w:rsidRPr="007C737D">
              <w:rPr>
                <w:bCs/>
                <w:lang w:val="en-GB"/>
              </w:rPr>
              <w:br/>
            </w:r>
            <w:r w:rsidR="00BF6E5E" w:rsidRPr="003C6F44">
              <w:t>Productivity Commission 202</w:t>
            </w:r>
            <w:r w:rsidR="00BF6E5E">
              <w:t>4</w:t>
            </w:r>
            <w:r w:rsidR="00BF6E5E" w:rsidRPr="003C6F44">
              <w:t xml:space="preserve">, </w:t>
            </w:r>
            <w:r w:rsidR="00BF6E5E" w:rsidRPr="00F8777F">
              <w:rPr>
                <w:i/>
                <w:iCs/>
              </w:rPr>
              <w:t xml:space="preserve">Revitalising National Competition Policy: </w:t>
            </w:r>
            <w:r w:rsidR="008434EC">
              <w:rPr>
                <w:i/>
                <w:iCs/>
              </w:rPr>
              <w:t>A</w:t>
            </w:r>
            <w:r w:rsidR="00BF6E5E" w:rsidRPr="00F8777F">
              <w:rPr>
                <w:i/>
                <w:iCs/>
              </w:rPr>
              <w:t>dministering competitive neutrality complaints</w:t>
            </w:r>
            <w:r w:rsidR="00BF6E5E" w:rsidRPr="002D1B40">
              <w:rPr>
                <w:i/>
                <w:iCs/>
              </w:rPr>
              <w:t xml:space="preserve">, </w:t>
            </w:r>
            <w:r w:rsidR="00163DDA">
              <w:t>S</w:t>
            </w:r>
            <w:r w:rsidR="00BF6E5E" w:rsidRPr="002D1B40">
              <w:t xml:space="preserve">ubmission </w:t>
            </w:r>
            <w:r w:rsidR="00BF6E5E" w:rsidRPr="00153A0C">
              <w:t>to The Treasury’s consultation process on Revitalising National Competition Policy</w:t>
            </w:r>
            <w:r w:rsidR="00BF6E5E" w:rsidRPr="002D1B40">
              <w:t>, </w:t>
            </w:r>
            <w:r w:rsidR="00BF6E5E" w:rsidRPr="003C6F44">
              <w:t>Canberra</w:t>
            </w:r>
          </w:p>
          <w:p w14:paraId="01C2BF69" w14:textId="51B0D2D3" w:rsidR="00525F6E" w:rsidRPr="00FD6FED" w:rsidRDefault="007C737D">
            <w:pPr>
              <w:pStyle w:val="Copyrightpage-BodyBold"/>
              <w:ind w:right="-284"/>
              <w:rPr>
                <w:bCs/>
                <w:lang w:val="en-GB"/>
              </w:rPr>
            </w:pPr>
            <w:r w:rsidRPr="007C737D">
              <w:rPr>
                <w:bCs/>
              </w:rPr>
              <w:t xml:space="preserve">Publication enquiries: </w:t>
            </w:r>
            <w:r w:rsidRPr="007C737D">
              <w:rPr>
                <w:bCs/>
                <w:lang w:val="en-GB"/>
              </w:rPr>
              <w:t> </w:t>
            </w:r>
            <w:r w:rsidRPr="007C737D">
              <w:rPr>
                <w:bCs/>
                <w:lang w:val="en-GB"/>
              </w:rPr>
              <w:br/>
            </w:r>
            <w:r w:rsidRPr="007C737D">
              <w:rPr>
                <w:bCs/>
              </w:rPr>
              <w:t>Phone 03 9653 2244 | Email publications@pc.gov.au</w:t>
            </w:r>
            <w:r w:rsidRPr="007C737D">
              <w:rPr>
                <w:bCs/>
                <w:lang w:val="en-GB"/>
              </w:rPr>
              <w:t> </w:t>
            </w:r>
          </w:p>
        </w:tc>
      </w:tr>
    </w:tbl>
    <w:p w14:paraId="72B805C8" w14:textId="2D226257" w:rsidR="00525F6E" w:rsidRDefault="00525F6E" w:rsidP="00D562BA">
      <w:pPr>
        <w:spacing w:before="0" w:after="160" w:line="259" w:lineRule="auto"/>
      </w:pPr>
      <w:r>
        <w:rPr>
          <w:rStyle w:val="White"/>
          <w:b/>
        </w:rPr>
        <w:t xml:space="preserve"> </w:t>
      </w:r>
    </w:p>
    <w:p w14:paraId="18C2C5AA" w14:textId="77777777" w:rsidR="00525F6E" w:rsidRDefault="00525F6E" w:rsidP="00525F6E">
      <w:pPr>
        <w:sectPr w:rsidR="00525F6E" w:rsidSect="00600738">
          <w:headerReference w:type="even" r:id="rId22"/>
          <w:headerReference w:type="default" r:id="rId23"/>
          <w:footerReference w:type="even" r:id="rId24"/>
          <w:footerReference w:type="default" r:id="rId25"/>
          <w:headerReference w:type="first" r:id="rId26"/>
          <w:pgSz w:w="11906" w:h="16838" w:code="9"/>
          <w:pgMar w:top="1134" w:right="1134" w:bottom="1134" w:left="1134" w:header="794" w:footer="510" w:gutter="0"/>
          <w:pgNumType w:start="2"/>
          <w:cols w:space="708"/>
          <w:docGrid w:linePitch="360"/>
        </w:sectPr>
      </w:pPr>
    </w:p>
    <w:p w14:paraId="5293D237" w14:textId="5F896D60" w:rsidR="00A86051" w:rsidRPr="00044594" w:rsidRDefault="00525F6E" w:rsidP="008078F1">
      <w:pPr>
        <w:pStyle w:val="Heading2-nonumber"/>
        <w:spacing w:after="480"/>
        <w:rPr>
          <w:color w:val="265A9A" w:themeColor="background2"/>
        </w:rPr>
      </w:pPr>
      <w:bookmarkStart w:id="0" w:name="_Toc178954688"/>
      <w:r w:rsidRPr="00044594">
        <w:rPr>
          <w:color w:val="265A9A" w:themeColor="background2"/>
        </w:rPr>
        <w:lastRenderedPageBreak/>
        <w:t>Contents</w:t>
      </w:r>
      <w:bookmarkEnd w:id="0"/>
    </w:p>
    <w:p w14:paraId="08D4017F" w14:textId="01673370" w:rsidR="00C620DB" w:rsidRPr="00634A7F" w:rsidRDefault="00C620DB" w:rsidP="00C620DB">
      <w:pPr>
        <w:pStyle w:val="TOC1"/>
        <w:ind w:left="0" w:firstLine="0"/>
        <w:rPr>
          <w:rFonts w:eastAsiaTheme="minorEastAsia" w:cs="Arial"/>
          <w:b/>
          <w:bCs/>
          <w:noProof/>
          <w:kern w:val="2"/>
          <w:sz w:val="24"/>
          <w:szCs w:val="24"/>
          <w:lang w:eastAsia="en-AU"/>
          <w14:ligatures w14:val="standardContextual"/>
        </w:rPr>
      </w:pPr>
      <w:r w:rsidRPr="00634A7F">
        <w:rPr>
          <w:rFonts w:cs="Arial"/>
          <w:b/>
          <w:bCs/>
          <w:noProof/>
        </w:rPr>
        <w:t>Introduction</w:t>
      </w:r>
      <w:r w:rsidRPr="00634A7F">
        <w:rPr>
          <w:rFonts w:cs="Arial"/>
          <w:b/>
          <w:bCs/>
          <w:noProof/>
          <w:webHidden/>
        </w:rPr>
        <w:tab/>
      </w:r>
      <w:r w:rsidR="00F33458">
        <w:rPr>
          <w:rFonts w:cs="Arial"/>
          <w:b/>
          <w:bCs/>
          <w:noProof/>
          <w:webHidden/>
        </w:rPr>
        <w:t>4</w:t>
      </w:r>
    </w:p>
    <w:p w14:paraId="484A1A69" w14:textId="4E5BF2EC" w:rsidR="00C620DB" w:rsidRPr="00634A7F" w:rsidRDefault="00C620DB" w:rsidP="00C620DB">
      <w:pPr>
        <w:pStyle w:val="TOC1"/>
        <w:ind w:left="0" w:firstLine="0"/>
        <w:rPr>
          <w:rFonts w:eastAsiaTheme="minorEastAsia" w:cs="Arial"/>
          <w:b/>
          <w:bCs/>
          <w:noProof/>
          <w:kern w:val="2"/>
          <w:sz w:val="24"/>
          <w:szCs w:val="24"/>
          <w:lang w:eastAsia="en-AU"/>
          <w14:ligatures w14:val="standardContextual"/>
        </w:rPr>
      </w:pPr>
      <w:r w:rsidRPr="00634A7F">
        <w:rPr>
          <w:rFonts w:cs="Arial"/>
          <w:b/>
          <w:bCs/>
          <w:noProof/>
        </w:rPr>
        <w:t>Competitive neutrality policy and the role of the PC</w:t>
      </w:r>
      <w:r w:rsidRPr="00634A7F">
        <w:rPr>
          <w:rFonts w:cs="Arial"/>
          <w:b/>
          <w:bCs/>
          <w:noProof/>
          <w:webHidden/>
        </w:rPr>
        <w:tab/>
      </w:r>
      <w:r w:rsidR="00F33458">
        <w:rPr>
          <w:rFonts w:cs="Arial"/>
          <w:b/>
          <w:bCs/>
          <w:noProof/>
          <w:webHidden/>
        </w:rPr>
        <w:t>4</w:t>
      </w:r>
    </w:p>
    <w:p w14:paraId="5DE40D9A" w14:textId="7281E845" w:rsidR="00C620DB" w:rsidRPr="00634A7F" w:rsidRDefault="00C620DB" w:rsidP="00C620DB">
      <w:pPr>
        <w:pStyle w:val="TOC1"/>
        <w:ind w:left="0" w:firstLine="0"/>
        <w:rPr>
          <w:rFonts w:eastAsiaTheme="minorEastAsia" w:cs="Arial"/>
          <w:b/>
          <w:bCs/>
          <w:noProof/>
          <w:kern w:val="2"/>
          <w:sz w:val="24"/>
          <w:szCs w:val="24"/>
          <w:lang w:eastAsia="en-AU"/>
          <w14:ligatures w14:val="standardContextual"/>
        </w:rPr>
      </w:pPr>
      <w:r w:rsidRPr="00634A7F">
        <w:rPr>
          <w:rFonts w:cs="Arial"/>
          <w:b/>
          <w:bCs/>
          <w:noProof/>
        </w:rPr>
        <w:t>Improving the administration of competitive neutrality complaint investigations</w:t>
      </w:r>
      <w:r w:rsidRPr="00634A7F">
        <w:rPr>
          <w:rFonts w:cs="Arial"/>
          <w:b/>
          <w:bCs/>
          <w:noProof/>
          <w:webHidden/>
        </w:rPr>
        <w:tab/>
      </w:r>
      <w:r w:rsidR="00F33458">
        <w:rPr>
          <w:rFonts w:cs="Arial"/>
          <w:b/>
          <w:bCs/>
          <w:noProof/>
          <w:webHidden/>
        </w:rPr>
        <w:t>5</w:t>
      </w:r>
    </w:p>
    <w:p w14:paraId="10EAB686" w14:textId="570072DB" w:rsidR="00C620DB" w:rsidRPr="00634A7F" w:rsidRDefault="00C620DB" w:rsidP="00C620DB">
      <w:pPr>
        <w:pStyle w:val="TOC1"/>
        <w:ind w:left="0" w:firstLine="0"/>
        <w:rPr>
          <w:rFonts w:eastAsiaTheme="minorEastAsia" w:cs="Arial"/>
          <w:b/>
          <w:bCs/>
          <w:noProof/>
          <w:kern w:val="2"/>
          <w:sz w:val="24"/>
          <w:szCs w:val="24"/>
          <w:lang w:eastAsia="en-AU"/>
          <w14:ligatures w14:val="standardContextual"/>
        </w:rPr>
      </w:pPr>
      <w:r w:rsidRPr="00634A7F">
        <w:rPr>
          <w:rFonts w:cs="Arial"/>
          <w:b/>
          <w:bCs/>
          <w:noProof/>
        </w:rPr>
        <w:t>Areas for updating Competitive Neutrality policy and guidelines</w:t>
      </w:r>
      <w:r w:rsidRPr="00634A7F">
        <w:rPr>
          <w:rFonts w:cs="Arial"/>
          <w:b/>
          <w:bCs/>
          <w:noProof/>
          <w:webHidden/>
        </w:rPr>
        <w:tab/>
      </w:r>
      <w:r w:rsidR="00F33458">
        <w:rPr>
          <w:rFonts w:cs="Arial"/>
          <w:b/>
          <w:bCs/>
          <w:noProof/>
          <w:webHidden/>
        </w:rPr>
        <w:t>8</w:t>
      </w:r>
    </w:p>
    <w:p w14:paraId="1768E389" w14:textId="04CF246E" w:rsidR="00C620DB" w:rsidRPr="00634A7F" w:rsidRDefault="00C620DB" w:rsidP="00C620DB">
      <w:pPr>
        <w:pStyle w:val="TOC1"/>
        <w:ind w:left="0" w:firstLine="0"/>
        <w:rPr>
          <w:rFonts w:eastAsiaTheme="minorEastAsia" w:cs="Arial"/>
          <w:b/>
          <w:bCs/>
          <w:noProof/>
          <w:kern w:val="2"/>
          <w:sz w:val="24"/>
          <w:szCs w:val="24"/>
          <w:lang w:eastAsia="en-AU"/>
          <w14:ligatures w14:val="standardContextual"/>
        </w:rPr>
      </w:pPr>
      <w:r w:rsidRPr="00634A7F">
        <w:rPr>
          <w:rFonts w:cs="Arial"/>
          <w:b/>
          <w:bCs/>
          <w:noProof/>
        </w:rPr>
        <w:t>References</w:t>
      </w:r>
      <w:r w:rsidRPr="00634A7F">
        <w:rPr>
          <w:rFonts w:cs="Arial"/>
          <w:b/>
          <w:bCs/>
          <w:noProof/>
          <w:webHidden/>
        </w:rPr>
        <w:tab/>
      </w:r>
      <w:r w:rsidR="00F33458">
        <w:rPr>
          <w:rFonts w:cs="Arial"/>
          <w:b/>
          <w:bCs/>
          <w:noProof/>
          <w:webHidden/>
        </w:rPr>
        <w:t>10</w:t>
      </w:r>
    </w:p>
    <w:p w14:paraId="3A9ED283" w14:textId="77777777" w:rsidR="00D562BA" w:rsidRDefault="00D562BA" w:rsidP="00C620DB">
      <w:pPr>
        <w:pStyle w:val="TOC1"/>
        <w:ind w:left="0" w:firstLine="0"/>
        <w:rPr>
          <w:sz w:val="18"/>
        </w:rPr>
      </w:pPr>
    </w:p>
    <w:p w14:paraId="2036E4C4" w14:textId="542A9A1D" w:rsidR="000071D5" w:rsidRPr="000071D5" w:rsidRDefault="000071D5" w:rsidP="000071D5">
      <w:pPr>
        <w:pStyle w:val="BodyText"/>
        <w:sectPr w:rsidR="000071D5" w:rsidRPr="000071D5" w:rsidSect="00525F6E">
          <w:headerReference w:type="even" r:id="rId27"/>
          <w:headerReference w:type="default" r:id="rId28"/>
          <w:headerReference w:type="first" r:id="rId29"/>
          <w:type w:val="oddPage"/>
          <w:pgSz w:w="11906" w:h="16838" w:code="9"/>
          <w:pgMar w:top="1134" w:right="1134" w:bottom="1134" w:left="1134" w:header="794" w:footer="510" w:gutter="0"/>
          <w:cols w:space="708"/>
          <w:docGrid w:linePitch="360"/>
        </w:sectPr>
      </w:pPr>
    </w:p>
    <w:p w14:paraId="016C7455" w14:textId="3EA45031" w:rsidR="00C620DB" w:rsidRDefault="00C620DB" w:rsidP="0065139C">
      <w:pPr>
        <w:pStyle w:val="Heading2-nonumber"/>
        <w:spacing w:before="120"/>
      </w:pPr>
      <w:bookmarkStart w:id="1" w:name="_Toc178954689"/>
      <w:r>
        <w:lastRenderedPageBreak/>
        <w:t>Introduction</w:t>
      </w:r>
      <w:bookmarkEnd w:id="1"/>
    </w:p>
    <w:p w14:paraId="786E6F22" w14:textId="4F08259C" w:rsidR="0020171B" w:rsidRDefault="00F50723" w:rsidP="00A657DA">
      <w:pPr>
        <w:pStyle w:val="BodyText"/>
      </w:pPr>
      <w:r>
        <w:t>The Treasury’s consultation paper,</w:t>
      </w:r>
      <w:r w:rsidR="00AC6075">
        <w:t xml:space="preserve"> </w:t>
      </w:r>
      <w:r w:rsidR="00AC6075">
        <w:rPr>
          <w:i/>
          <w:iCs/>
        </w:rPr>
        <w:t>Revitalising National Competition Policy</w:t>
      </w:r>
      <w:r w:rsidR="00AC6075">
        <w:t xml:space="preserve"> </w:t>
      </w:r>
      <w:r w:rsidR="00D12F94">
        <w:t>‘</w:t>
      </w:r>
      <w:r w:rsidR="002976F7">
        <w:t>seeks feedback on</w:t>
      </w:r>
      <w:r w:rsidR="007B28CB">
        <w:t xml:space="preserve"> the</w:t>
      </w:r>
      <w:r w:rsidR="002976F7">
        <w:t xml:space="preserve"> </w:t>
      </w:r>
      <w:r w:rsidR="00D12F94">
        <w:t xml:space="preserve">three potential elements identified for revitalising </w:t>
      </w:r>
      <w:r w:rsidR="007B28CB">
        <w:t>[</w:t>
      </w:r>
      <w:r w:rsidR="00D12F94">
        <w:t>National Competition Policy</w:t>
      </w:r>
      <w:r w:rsidR="007B28CB">
        <w:t>] for the modern economy</w:t>
      </w:r>
      <w:r w:rsidR="00D12F94">
        <w:t xml:space="preserve">’ </w:t>
      </w:r>
      <w:r w:rsidR="001F41FA" w:rsidRPr="001F41FA">
        <w:rPr>
          <w:rFonts w:ascii="Arial" w:hAnsi="Arial" w:cs="Arial"/>
        </w:rPr>
        <w:t>(The Treasury 2024, p. 6)</w:t>
      </w:r>
      <w:r w:rsidR="00D12F94" w:rsidDel="00A67CAA">
        <w:t xml:space="preserve">. </w:t>
      </w:r>
      <w:r w:rsidR="00A67CAA">
        <w:t>T</w:t>
      </w:r>
      <w:r w:rsidR="009D2D4C">
        <w:t xml:space="preserve">he paper seeks views </w:t>
      </w:r>
      <w:r w:rsidR="006D3AD8">
        <w:t>on, among other things, whether changes could be made to improve the operation of the competitive neutrality principle</w:t>
      </w:r>
      <w:r w:rsidR="004C398E">
        <w:t>s</w:t>
      </w:r>
      <w:r>
        <w:t xml:space="preserve"> </w:t>
      </w:r>
      <w:r w:rsidR="001F41FA" w:rsidRPr="001F41FA">
        <w:rPr>
          <w:rFonts w:ascii="Arial" w:hAnsi="Arial" w:cs="Arial"/>
        </w:rPr>
        <w:t>(The Treasury 2024, p. 15)</w:t>
      </w:r>
      <w:r w:rsidR="0020171B">
        <w:t>.</w:t>
      </w:r>
    </w:p>
    <w:p w14:paraId="036C50B6" w14:textId="0E196ADB" w:rsidR="00500F9C" w:rsidRPr="00633D73" w:rsidRDefault="00842A0C" w:rsidP="00500F9C">
      <w:pPr>
        <w:pStyle w:val="BodyText"/>
      </w:pPr>
      <w:r>
        <w:t>Since its establishment</w:t>
      </w:r>
      <w:r w:rsidR="00F4451F">
        <w:t xml:space="preserve"> in 1998</w:t>
      </w:r>
      <w:r>
        <w:t>,</w:t>
      </w:r>
      <w:r w:rsidR="00DA6421">
        <w:t xml:space="preserve"> the Productivity Commission </w:t>
      </w:r>
      <w:r w:rsidR="2FB07AC6">
        <w:t xml:space="preserve">(PC) </w:t>
      </w:r>
      <w:r w:rsidR="00DA6421">
        <w:t>has</w:t>
      </w:r>
      <w:r w:rsidR="00075CEE" w:rsidDel="00532D03">
        <w:t xml:space="preserve"> </w:t>
      </w:r>
      <w:r w:rsidR="00075CEE">
        <w:t xml:space="preserve">investigated complaints about </w:t>
      </w:r>
      <w:r w:rsidR="7DA02269">
        <w:t xml:space="preserve">Australian Government businesses’ </w:t>
      </w:r>
      <w:r w:rsidR="00075CEE">
        <w:t xml:space="preserve">compliance with competitive neutrality policy. </w:t>
      </w:r>
      <w:r w:rsidR="00012F2E">
        <w:t xml:space="preserve">This submission draws on the </w:t>
      </w:r>
      <w:r w:rsidR="007833BC">
        <w:t xml:space="preserve">PC’s </w:t>
      </w:r>
      <w:r w:rsidR="00012F2E">
        <w:t>experience</w:t>
      </w:r>
      <w:r w:rsidR="007833BC">
        <w:t xml:space="preserve"> </w:t>
      </w:r>
      <w:r w:rsidR="00012F2E">
        <w:t xml:space="preserve">to suggest ways </w:t>
      </w:r>
      <w:r w:rsidR="008A3443">
        <w:t xml:space="preserve">of </w:t>
      </w:r>
      <w:r w:rsidR="005C45B5">
        <w:t xml:space="preserve">improving the policy principles, </w:t>
      </w:r>
      <w:r w:rsidR="00C255C4">
        <w:t xml:space="preserve">clarifying </w:t>
      </w:r>
      <w:r w:rsidR="6DDBCAC4">
        <w:t xml:space="preserve">the </w:t>
      </w:r>
      <w:r w:rsidR="00C255C4">
        <w:t xml:space="preserve">operation </w:t>
      </w:r>
      <w:r w:rsidR="002530CD">
        <w:t>of the policy by</w:t>
      </w:r>
      <w:r w:rsidR="00C255C4">
        <w:t xml:space="preserve"> jurisdictions, and </w:t>
      </w:r>
      <w:r w:rsidR="008A3443">
        <w:t xml:space="preserve">enhancing </w:t>
      </w:r>
      <w:r w:rsidR="00012F2E">
        <w:t xml:space="preserve">the administration of the complaints </w:t>
      </w:r>
      <w:r w:rsidR="00C255C4">
        <w:t>mechanism.</w:t>
      </w:r>
      <w:r w:rsidR="00500F9C">
        <w:t xml:space="preserve"> The PC would be happy to discuss the matters raised in this submission further as the Competition Review progresses. </w:t>
      </w:r>
    </w:p>
    <w:p w14:paraId="2A3CAE35" w14:textId="40A3D4F3" w:rsidR="00F4451F" w:rsidRDefault="00526686" w:rsidP="001C319C">
      <w:pPr>
        <w:pStyle w:val="Heading2-nonumber"/>
      </w:pPr>
      <w:bookmarkStart w:id="2" w:name="_Toc178954690"/>
      <w:r>
        <w:t xml:space="preserve">Competitive neutrality policy and the role of the </w:t>
      </w:r>
      <w:r w:rsidR="00C620DB">
        <w:t>PC</w:t>
      </w:r>
      <w:bookmarkEnd w:id="2"/>
    </w:p>
    <w:p w14:paraId="0629FEFF" w14:textId="07BABFE8" w:rsidR="00A657DA" w:rsidRDefault="00A657DA" w:rsidP="00A657DA">
      <w:pPr>
        <w:pStyle w:val="BodyText"/>
      </w:pPr>
      <w:r>
        <w:t xml:space="preserve">Competitive neutrality policy seeks to ensure that </w:t>
      </w:r>
      <w:r w:rsidR="006B1838">
        <w:t xml:space="preserve">significant </w:t>
      </w:r>
      <w:r>
        <w:t>government businesses</w:t>
      </w:r>
      <w:r w:rsidR="006B1838">
        <w:rPr>
          <w:rStyle w:val="FootnoteReference"/>
        </w:rPr>
        <w:footnoteReference w:id="2"/>
      </w:r>
      <w:r>
        <w:t xml:space="preserve"> do not have advantages (or disadvantages) relative to their competitors, simply by virtue of their public ownership. </w:t>
      </w:r>
      <w:r w:rsidR="00E34F1B">
        <w:t xml:space="preserve">This is designed to </w:t>
      </w:r>
      <w:r w:rsidR="00586C74">
        <w:t xml:space="preserve">remove resource allocation distortions arising out of </w:t>
      </w:r>
      <w:r w:rsidR="00A91BF0">
        <w:t>the government</w:t>
      </w:r>
      <w:r w:rsidR="00586C74">
        <w:t xml:space="preserve"> ownership of businesses </w:t>
      </w:r>
      <w:r w:rsidR="00A91BF0">
        <w:t>to</w:t>
      </w:r>
      <w:r w:rsidR="00586C74">
        <w:t xml:space="preserve"> improve competition</w:t>
      </w:r>
      <w:r w:rsidR="006E6F45">
        <w:t xml:space="preserve"> and</w:t>
      </w:r>
      <w:r w:rsidR="00EF6A0C">
        <w:t xml:space="preserve"> efficient market outcomes </w:t>
      </w:r>
      <w:r w:rsidR="00AE206B" w:rsidRPr="00AE206B">
        <w:rPr>
          <w:rFonts w:ascii="Arial" w:hAnsi="Arial" w:cs="Arial"/>
        </w:rPr>
        <w:t>(Australian Government 1996, p. 4)</w:t>
      </w:r>
      <w:r w:rsidR="00586C74">
        <w:t>.</w:t>
      </w:r>
      <w:r w:rsidR="006E6F45">
        <w:t xml:space="preserve"> </w:t>
      </w:r>
      <w:r w:rsidR="00BF2657">
        <w:t xml:space="preserve">The Australian Government’s Competitive Neutrality Policy Statement </w:t>
      </w:r>
      <w:r w:rsidR="007707AC">
        <w:t xml:space="preserve">provided for </w:t>
      </w:r>
      <w:r w:rsidR="005963C9">
        <w:t xml:space="preserve">the PC to set up and operate the </w:t>
      </w:r>
      <w:r w:rsidR="007707AC">
        <w:t>complaint</w:t>
      </w:r>
      <w:r w:rsidR="005963C9">
        <w:t>s</w:t>
      </w:r>
      <w:r w:rsidR="007707AC">
        <w:t xml:space="preserve"> mechanism</w:t>
      </w:r>
      <w:r w:rsidR="00F2224F">
        <w:t xml:space="preserve"> </w:t>
      </w:r>
      <w:r w:rsidR="00AE206B" w:rsidRPr="00AE206B">
        <w:rPr>
          <w:rFonts w:ascii="Arial" w:hAnsi="Arial" w:cs="Arial"/>
        </w:rPr>
        <w:t>(Australian Government 1996, p. 6)</w:t>
      </w:r>
      <w:r w:rsidR="0028715D">
        <w:t>.</w:t>
      </w:r>
    </w:p>
    <w:p w14:paraId="287C12E5" w14:textId="0CCFB963" w:rsidR="00897746" w:rsidRPr="00517243" w:rsidRDefault="00E40920" w:rsidP="00897746">
      <w:pPr>
        <w:pStyle w:val="BodyText"/>
      </w:pPr>
      <w:r>
        <w:t xml:space="preserve">Under the </w:t>
      </w:r>
      <w:r w:rsidR="00897746" w:rsidRPr="51E50B13">
        <w:rPr>
          <w:i/>
          <w:iCs/>
        </w:rPr>
        <w:t xml:space="preserve">Productivity Commission Act 1998 </w:t>
      </w:r>
      <w:r w:rsidR="00897746">
        <w:t>(</w:t>
      </w:r>
      <w:proofErr w:type="spellStart"/>
      <w:r w:rsidR="00897746">
        <w:t>Cth</w:t>
      </w:r>
      <w:proofErr w:type="spellEnd"/>
      <w:r w:rsidR="00897746">
        <w:t>) (PC Act)</w:t>
      </w:r>
      <w:r>
        <w:t>,</w:t>
      </w:r>
      <w:r w:rsidR="00897746">
        <w:t xml:space="preserve"> the PC </w:t>
      </w:r>
      <w:r w:rsidR="00897746" w:rsidRPr="00491675">
        <w:t>receiv</w:t>
      </w:r>
      <w:r>
        <w:t>es</w:t>
      </w:r>
      <w:r w:rsidR="00897746" w:rsidRPr="00491675">
        <w:t xml:space="preserve"> and investigat</w:t>
      </w:r>
      <w:r>
        <w:t>es</w:t>
      </w:r>
      <w:r w:rsidR="00897746" w:rsidRPr="00491675">
        <w:t xml:space="preserve"> complaints about </w:t>
      </w:r>
      <w:r w:rsidR="00897746">
        <w:t>the</w:t>
      </w:r>
      <w:r w:rsidR="00897746" w:rsidRPr="00491675">
        <w:t xml:space="preserve"> competitive neutrality arrangements </w:t>
      </w:r>
      <w:r w:rsidR="00897746">
        <w:t>of Australian Government</w:t>
      </w:r>
      <w:r w:rsidR="00897746" w:rsidRPr="00491675">
        <w:t xml:space="preserve"> businesses and report</w:t>
      </w:r>
      <w:r w:rsidR="00BF4759">
        <w:t>s</w:t>
      </w:r>
      <w:r w:rsidR="00897746" w:rsidRPr="00491675">
        <w:t xml:space="preserve"> to the </w:t>
      </w:r>
      <w:r w:rsidR="000F52D5">
        <w:t>Treasurer</w:t>
      </w:r>
      <w:r w:rsidR="00897746" w:rsidRPr="00491675">
        <w:t xml:space="preserve"> on its investigations</w:t>
      </w:r>
      <w:r w:rsidR="00F2224F">
        <w:t>.</w:t>
      </w:r>
      <w:r w:rsidR="00897746">
        <w:rPr>
          <w:rStyle w:val="FootnoteReference"/>
        </w:rPr>
        <w:footnoteReference w:id="3"/>
      </w:r>
      <w:r w:rsidR="00F2224F">
        <w:t xml:space="preserve"> </w:t>
      </w:r>
      <w:r w:rsidR="00897746">
        <w:t xml:space="preserve">The PC </w:t>
      </w:r>
      <w:r w:rsidR="009738DA">
        <w:t>can</w:t>
      </w:r>
      <w:r w:rsidR="00897746" w:rsidDel="009738DA">
        <w:t xml:space="preserve"> also </w:t>
      </w:r>
      <w:r w:rsidR="00897746">
        <w:t xml:space="preserve">conduct an inquiry in relation to a competitive neutrality complaint under Part 3 of the PC Act if the Treasurer refers such an inquiry to the </w:t>
      </w:r>
      <w:r w:rsidR="00457413">
        <w:t>PC</w:t>
      </w:r>
      <w:r w:rsidR="00F2224F">
        <w:t>.</w:t>
      </w:r>
      <w:r w:rsidR="00897746">
        <w:rPr>
          <w:rStyle w:val="FootnoteReference"/>
        </w:rPr>
        <w:footnoteReference w:id="4"/>
      </w:r>
      <w:r w:rsidR="00897746">
        <w:t xml:space="preserve"> </w:t>
      </w:r>
    </w:p>
    <w:p w14:paraId="36227B84" w14:textId="01B3D57B" w:rsidR="00A657DA" w:rsidRDefault="00A657DA" w:rsidP="00A657DA">
      <w:pPr>
        <w:pStyle w:val="BodyText"/>
      </w:pPr>
      <w:r>
        <w:t xml:space="preserve">The </w:t>
      </w:r>
      <w:r w:rsidR="00F2224F">
        <w:t xml:space="preserve">PC performs its competitive neutrality functions through the </w:t>
      </w:r>
      <w:r>
        <w:t>Australian Government Competitive Neutrality Complaints Office (AGCNCO)</w:t>
      </w:r>
      <w:r w:rsidR="00F2224F">
        <w:t>, which</w:t>
      </w:r>
      <w:r>
        <w:t xml:space="preserve"> operates as a separate unit within the </w:t>
      </w:r>
      <w:r w:rsidR="00F2224F">
        <w:t>PC</w:t>
      </w:r>
      <w:r w:rsidR="004D0E74">
        <w:t>.</w:t>
      </w:r>
      <w:r w:rsidR="00897746">
        <w:t xml:space="preserve"> </w:t>
      </w:r>
      <w:r w:rsidR="00F2224F">
        <w:t xml:space="preserve">Traditionally, a </w:t>
      </w:r>
      <w:proofErr w:type="gramStart"/>
      <w:r w:rsidR="00F2224F">
        <w:t>Commissioner</w:t>
      </w:r>
      <w:proofErr w:type="gramEnd"/>
      <w:r w:rsidR="00F2224F">
        <w:t xml:space="preserve"> and a small number of staff</w:t>
      </w:r>
      <w:r w:rsidR="00897746">
        <w:t xml:space="preserve"> </w:t>
      </w:r>
      <w:r w:rsidR="00F2224F">
        <w:t>form the AGCNCO as a</w:t>
      </w:r>
      <w:r w:rsidR="00A927A0">
        <w:t xml:space="preserve"> </w:t>
      </w:r>
      <w:r w:rsidR="004D0E74">
        <w:t>part of their role</w:t>
      </w:r>
      <w:r w:rsidR="00F2224F">
        <w:t>s</w:t>
      </w:r>
      <w:r w:rsidR="004D0E74">
        <w:t xml:space="preserve"> in the PC</w:t>
      </w:r>
      <w:r>
        <w:t xml:space="preserve">. </w:t>
      </w:r>
    </w:p>
    <w:p w14:paraId="13B6DD90" w14:textId="3C26CC69" w:rsidR="000E6D9C" w:rsidRPr="003C4831" w:rsidRDefault="00464E7B" w:rsidP="000E6D9C">
      <w:pPr>
        <w:pStyle w:val="BodyText"/>
        <w:rPr>
          <w:lang w:val="en-GB"/>
        </w:rPr>
      </w:pPr>
      <w:r>
        <w:rPr>
          <w:lang w:val="en-GB"/>
        </w:rPr>
        <w:t>Between 1998 and 202</w:t>
      </w:r>
      <w:r w:rsidR="00577626">
        <w:rPr>
          <w:lang w:val="en-GB"/>
        </w:rPr>
        <w:t>4, t</w:t>
      </w:r>
      <w:r w:rsidR="000E6D9C" w:rsidRPr="003C4831">
        <w:rPr>
          <w:lang w:val="en-GB"/>
        </w:rPr>
        <w:t xml:space="preserve">he AGCNCO has </w:t>
      </w:r>
      <w:r w:rsidR="000E6D9C">
        <w:rPr>
          <w:lang w:val="en-GB"/>
        </w:rPr>
        <w:t>provided 18 reports to government on previous investigations, on</w:t>
      </w:r>
      <w:r w:rsidR="000E6D9C" w:rsidRPr="003C4831">
        <w:rPr>
          <w:lang w:val="en-GB"/>
        </w:rPr>
        <w:t xml:space="preserve"> matters including Australian Hearing, the Sydney and Camden airports, Defence Housing Australia, NBN Co</w:t>
      </w:r>
      <w:r w:rsidR="000E6D9C">
        <w:rPr>
          <w:lang w:val="en-GB"/>
        </w:rPr>
        <w:t xml:space="preserve"> and Australia Post</w:t>
      </w:r>
      <w:r w:rsidR="000E6D9C" w:rsidRPr="003C4831">
        <w:rPr>
          <w:lang w:val="en-GB"/>
        </w:rPr>
        <w:t>.</w:t>
      </w:r>
      <w:r w:rsidR="000E6D9C">
        <w:rPr>
          <w:lang w:val="en-GB"/>
        </w:rPr>
        <w:t xml:space="preserve"> The office has also released </w:t>
      </w:r>
      <w:r w:rsidR="00B459B3">
        <w:rPr>
          <w:lang w:val="en-GB"/>
        </w:rPr>
        <w:t xml:space="preserve">several </w:t>
      </w:r>
      <w:r w:rsidR="000E6D9C">
        <w:rPr>
          <w:lang w:val="en-GB"/>
        </w:rPr>
        <w:t>research reports on competitive neutrality policy.</w:t>
      </w:r>
    </w:p>
    <w:p w14:paraId="0DA835AA" w14:textId="30A399E3" w:rsidR="00A657DA" w:rsidRDefault="00A657DA" w:rsidP="00A657DA">
      <w:pPr>
        <w:pStyle w:val="BodyText"/>
      </w:pPr>
      <w:r>
        <w:t xml:space="preserve">The AGCNCO also provides </w:t>
      </w:r>
      <w:r w:rsidR="00E05685">
        <w:t>guidance on the applicability</w:t>
      </w:r>
      <w:r>
        <w:t xml:space="preserve"> of competitive neutrality to government agencies implementing their obligations</w:t>
      </w:r>
      <w:r w:rsidR="001A34B1">
        <w:t xml:space="preserve">, as well as </w:t>
      </w:r>
      <w:r w:rsidR="002262A7">
        <w:t>advice</w:t>
      </w:r>
      <w:r w:rsidR="001A34B1">
        <w:t xml:space="preserve"> </w:t>
      </w:r>
      <w:r w:rsidR="00D541AB">
        <w:t xml:space="preserve">on the operation of the policy </w:t>
      </w:r>
      <w:r w:rsidR="001A34B1">
        <w:t>to</w:t>
      </w:r>
      <w:r w:rsidR="002262A7">
        <w:t xml:space="preserve"> </w:t>
      </w:r>
      <w:r w:rsidR="00CF1656">
        <w:t>s</w:t>
      </w:r>
      <w:r w:rsidR="002262A7">
        <w:t xml:space="preserve">tate and </w:t>
      </w:r>
      <w:r w:rsidR="00CF1656">
        <w:t>t</w:t>
      </w:r>
      <w:r w:rsidR="002262A7">
        <w:t>erritory government agencies,</w:t>
      </w:r>
      <w:r w:rsidR="001A34B1">
        <w:t xml:space="preserve"> </w:t>
      </w:r>
      <w:r>
        <w:t>individuals and private organisations.</w:t>
      </w:r>
    </w:p>
    <w:p w14:paraId="0B93BCFA" w14:textId="13D089A4" w:rsidR="00D562BA" w:rsidRDefault="00AB294E" w:rsidP="001C319C">
      <w:pPr>
        <w:pStyle w:val="Heading2-nonumber"/>
      </w:pPr>
      <w:bookmarkStart w:id="3" w:name="_Toc178954691"/>
      <w:r>
        <w:lastRenderedPageBreak/>
        <w:t>Improving the administration</w:t>
      </w:r>
      <w:r w:rsidR="00C33D83">
        <w:t xml:space="preserve"> </w:t>
      </w:r>
      <w:r w:rsidR="0087313D">
        <w:t xml:space="preserve">of </w:t>
      </w:r>
      <w:r>
        <w:t>competitive neutrality</w:t>
      </w:r>
      <w:r w:rsidR="00C33D83">
        <w:t xml:space="preserve"> complaint </w:t>
      </w:r>
      <w:r>
        <w:t>investigations</w:t>
      </w:r>
      <w:bookmarkEnd w:id="3"/>
    </w:p>
    <w:p w14:paraId="03BEBD88" w14:textId="4CA52FDE" w:rsidR="00794BE3" w:rsidRDefault="00794BE3" w:rsidP="00794BE3">
      <w:pPr>
        <w:pStyle w:val="Heading3"/>
      </w:pPr>
      <w:r>
        <w:t xml:space="preserve">Transparent implementation of the findings of the AGCNCO (and competitive neutrality policy more broadly) </w:t>
      </w:r>
    </w:p>
    <w:p w14:paraId="66CB9DD7" w14:textId="4358EF74" w:rsidR="001F27AD" w:rsidRDefault="00794BE3">
      <w:pPr>
        <w:pStyle w:val="BodyText"/>
      </w:pPr>
      <w:r>
        <w:t xml:space="preserve">The role of the AGCNCO concludes at the point advice to government is provided on the matters raised in a complaint (unless an inquiry into the complaint is subsequently referred under Part 3 of the PC Act). </w:t>
      </w:r>
      <w:r w:rsidR="008C4537">
        <w:t xml:space="preserve">The </w:t>
      </w:r>
      <w:r w:rsidR="00AE44F4">
        <w:t>PC</w:t>
      </w:r>
      <w:r w:rsidR="00F44BAE">
        <w:t xml:space="preserve"> </w:t>
      </w:r>
      <w:r w:rsidR="00EB27DA">
        <w:t xml:space="preserve">publishes </w:t>
      </w:r>
      <w:r w:rsidR="00003569">
        <w:t xml:space="preserve">investigation </w:t>
      </w:r>
      <w:r w:rsidR="00EB27DA">
        <w:t xml:space="preserve">reports </w:t>
      </w:r>
      <w:r w:rsidR="00804082">
        <w:t xml:space="preserve">to provide public transparency on the outcomes of </w:t>
      </w:r>
      <w:r w:rsidR="002B7BA1">
        <w:t xml:space="preserve">a complaint. </w:t>
      </w:r>
      <w:r w:rsidR="008432D3">
        <w:t xml:space="preserve">The PC Act does </w:t>
      </w:r>
      <w:r w:rsidR="00DF320E">
        <w:t xml:space="preserve">not </w:t>
      </w:r>
      <w:r w:rsidR="00C91E0D">
        <w:t>explicitly enable or require</w:t>
      </w:r>
      <w:r w:rsidR="00E359F5">
        <w:t xml:space="preserve"> </w:t>
      </w:r>
      <w:r w:rsidR="00F4219D">
        <w:t>the PC to publish the</w:t>
      </w:r>
      <w:r w:rsidR="00A2178D">
        <w:t>se reports</w:t>
      </w:r>
      <w:r w:rsidR="00392463">
        <w:t xml:space="preserve">, with the current arrangements requiring </w:t>
      </w:r>
      <w:r w:rsidR="004A6958">
        <w:t xml:space="preserve">an understanding between the PC and government that </w:t>
      </w:r>
      <w:r w:rsidR="00F44BAE">
        <w:t>publishing these reports is appropriate</w:t>
      </w:r>
      <w:r w:rsidR="0036250E">
        <w:t xml:space="preserve">. </w:t>
      </w:r>
      <w:r w:rsidR="00B77D4E">
        <w:t xml:space="preserve">A stronger </w:t>
      </w:r>
      <w:r w:rsidR="00AE44F4">
        <w:t xml:space="preserve">guarantee of transparency could be provided by </w:t>
      </w:r>
      <w:r w:rsidR="00F44BAE">
        <w:t xml:space="preserve">legislatively </w:t>
      </w:r>
      <w:r w:rsidR="00AE44F4">
        <w:t xml:space="preserve">requiring the </w:t>
      </w:r>
      <w:r w:rsidR="00F44BAE">
        <w:t>PC to publish the reports of the AGCNCO at the conclusion of a complaint investigation.</w:t>
      </w:r>
    </w:p>
    <w:p w14:paraId="4779B14B" w14:textId="21220E3B" w:rsidR="00794BE3" w:rsidRPr="00BA6D1B" w:rsidRDefault="00794BE3">
      <w:pPr>
        <w:pStyle w:val="BodyText"/>
        <w:rPr>
          <w:spacing w:val="2"/>
        </w:rPr>
      </w:pPr>
      <w:r w:rsidRPr="00BA6D1B">
        <w:rPr>
          <w:spacing w:val="2"/>
        </w:rPr>
        <w:t>There is</w:t>
      </w:r>
      <w:r w:rsidR="001F27AD" w:rsidRPr="00BA6D1B">
        <w:rPr>
          <w:spacing w:val="2"/>
        </w:rPr>
        <w:t xml:space="preserve"> also</w:t>
      </w:r>
      <w:r w:rsidRPr="00BA6D1B">
        <w:rPr>
          <w:spacing w:val="2"/>
        </w:rPr>
        <w:t xml:space="preserve"> no role for the AGCNCO to review implementation of its findings, </w:t>
      </w:r>
      <w:r w:rsidR="615EC131" w:rsidRPr="00BA6D1B">
        <w:rPr>
          <w:spacing w:val="2"/>
        </w:rPr>
        <w:t xml:space="preserve">no transparency over whether a government business </w:t>
      </w:r>
      <w:r w:rsidR="6BB105B0" w:rsidRPr="00BA6D1B">
        <w:rPr>
          <w:spacing w:val="2"/>
        </w:rPr>
        <w:t xml:space="preserve">responds to </w:t>
      </w:r>
      <w:r w:rsidR="615EC131" w:rsidRPr="00BA6D1B">
        <w:rPr>
          <w:spacing w:val="2"/>
        </w:rPr>
        <w:t>A</w:t>
      </w:r>
      <w:r w:rsidR="4035040B" w:rsidRPr="00BA6D1B">
        <w:rPr>
          <w:spacing w:val="2"/>
        </w:rPr>
        <w:t xml:space="preserve">GCNCO </w:t>
      </w:r>
      <w:r w:rsidR="2693495C" w:rsidRPr="00BA6D1B">
        <w:rPr>
          <w:spacing w:val="2"/>
        </w:rPr>
        <w:t>findings,</w:t>
      </w:r>
      <w:r w:rsidR="4035040B" w:rsidRPr="00BA6D1B">
        <w:rPr>
          <w:spacing w:val="2"/>
        </w:rPr>
        <w:t xml:space="preserve"> </w:t>
      </w:r>
      <w:r w:rsidRPr="00BA6D1B">
        <w:rPr>
          <w:spacing w:val="2"/>
        </w:rPr>
        <w:t>and there is no penalty for a government business that does not implement an investigation’s findings. Indeed, the policy statement explicitly states that under the policy:</w:t>
      </w:r>
    </w:p>
    <w:p w14:paraId="22936E81" w14:textId="14216E91" w:rsidR="00794BE3" w:rsidRPr="00D1351D" w:rsidRDefault="00794BE3" w:rsidP="00794BE3">
      <w:pPr>
        <w:pStyle w:val="Quote"/>
      </w:pPr>
      <w:r w:rsidRPr="00D1351D">
        <w:t xml:space="preserve">Commonwealth business organisations will not be subject to penalties for non-compliance with the competitive neutrality principles. </w:t>
      </w:r>
      <w:r w:rsidR="00F1699C" w:rsidRPr="00F1699C">
        <w:rPr>
          <w:rFonts w:ascii="Arial" w:hAnsi="Arial" w:cs="Arial"/>
        </w:rPr>
        <w:t>(Australian Government 1996, p. 22)</w:t>
      </w:r>
      <w:r w:rsidRPr="00D1351D">
        <w:t xml:space="preserve"> </w:t>
      </w:r>
    </w:p>
    <w:p w14:paraId="0D02FFB1" w14:textId="56D088A4" w:rsidR="00794BE3" w:rsidRPr="00D1351D" w:rsidRDefault="278EAD7D" w:rsidP="00794BE3">
      <w:pPr>
        <w:pStyle w:val="BodyText"/>
      </w:pPr>
      <w:r>
        <w:t>C</w:t>
      </w:r>
      <w:r w:rsidR="00794BE3">
        <w:t>oncern</w:t>
      </w:r>
      <w:r w:rsidR="01EE3C63">
        <w:t>s</w:t>
      </w:r>
      <w:r w:rsidR="00441D9D">
        <w:t xml:space="preserve"> ha</w:t>
      </w:r>
      <w:r w:rsidR="384DF0C9">
        <w:t>ve</w:t>
      </w:r>
      <w:r w:rsidR="00441D9D">
        <w:t xml:space="preserve"> been raised</w:t>
      </w:r>
      <w:r w:rsidR="00794BE3">
        <w:t xml:space="preserve"> about the lack of penalties for failing to implement adverse findings from competitive neutrality investigations, for example:</w:t>
      </w:r>
    </w:p>
    <w:p w14:paraId="4717DEF3" w14:textId="666053D6" w:rsidR="00794BE3" w:rsidRPr="00D1351D" w:rsidRDefault="00794BE3" w:rsidP="00794BE3">
      <w:pPr>
        <w:pStyle w:val="Quote"/>
      </w:pPr>
      <w:r w:rsidRPr="00D1351D">
        <w:t xml:space="preserve">Experience in application of the policy highlights a variety of problems, in particular the lack of penalty for failure of a government-related entity to respond to a finding that its conduct is not competitively neutral. </w:t>
      </w:r>
      <w:r w:rsidR="00804E86" w:rsidRPr="00804E86">
        <w:rPr>
          <w:rFonts w:ascii="Arial" w:hAnsi="Arial" w:cs="Arial"/>
        </w:rPr>
        <w:t>(Healey and Smith 2018, p. 232)</w:t>
      </w:r>
    </w:p>
    <w:p w14:paraId="79D0EC36" w14:textId="674BFC83" w:rsidR="00794BE3" w:rsidRPr="00D1351D" w:rsidRDefault="00794BE3" w:rsidP="00794BE3">
      <w:pPr>
        <w:pStyle w:val="BodyText"/>
      </w:pPr>
      <w:r>
        <w:t>Similarly, t</w:t>
      </w:r>
      <w:r w:rsidRPr="00D1351D">
        <w:t>he Harper review observed th</w:t>
      </w:r>
      <w:r>
        <w:t>at</w:t>
      </w:r>
      <w:r w:rsidRPr="00D1351D">
        <w:t>:</w:t>
      </w:r>
    </w:p>
    <w:p w14:paraId="5F02CEF3" w14:textId="5CAF7C8F" w:rsidR="00794BE3" w:rsidRPr="00D1351D" w:rsidRDefault="00794BE3" w:rsidP="00794BE3">
      <w:pPr>
        <w:pStyle w:val="Quote"/>
      </w:pPr>
      <w:r w:rsidRPr="00D1351D">
        <w:t xml:space="preserve">The absence of any requirement to respond to documented breaches of competitive neutrality policy is clearly undermining its efficacy. </w:t>
      </w:r>
      <w:r w:rsidR="00974793" w:rsidRPr="00974793">
        <w:rPr>
          <w:rFonts w:ascii="Arial" w:hAnsi="Arial" w:cs="Arial"/>
        </w:rPr>
        <w:t>(Harper et al. 2015, p. 267)</w:t>
      </w:r>
      <w:r w:rsidRPr="00D1351D">
        <w:t xml:space="preserve"> </w:t>
      </w:r>
    </w:p>
    <w:p w14:paraId="09CA1985" w14:textId="69B5EC7D" w:rsidR="00794BE3" w:rsidRDefault="00794BE3" w:rsidP="00794BE3">
      <w:pPr>
        <w:pStyle w:val="BodyText"/>
      </w:pPr>
      <w:r>
        <w:t xml:space="preserve">The PC has highlighted the need for improved reporting. In its submission to the Harper Review, the PC </w:t>
      </w:r>
      <w:r w:rsidRPr="004027A9">
        <w:t>recommended</w:t>
      </w:r>
      <w:r>
        <w:t>:</w:t>
      </w:r>
      <w:r w:rsidRPr="004027A9">
        <w:t xml:space="preserve"> </w:t>
      </w:r>
    </w:p>
    <w:p w14:paraId="2941C39B" w14:textId="3E35EBCA" w:rsidR="00794BE3" w:rsidRDefault="00794BE3" w:rsidP="00794BE3">
      <w:pPr>
        <w:pStyle w:val="Quote"/>
      </w:pPr>
      <w:r>
        <w:t xml:space="preserve">… </w:t>
      </w:r>
      <w:r w:rsidRPr="004027A9">
        <w:t>that competitive neutrality policy requires self-reporting in annual reports by government businesses of the steps taken to comply with the policy…</w:t>
      </w:r>
      <w:r w:rsidR="00632019">
        <w:t xml:space="preserve"> </w:t>
      </w:r>
      <w:r w:rsidRPr="004027A9">
        <w:t>[as that would]</w:t>
      </w:r>
      <w:r w:rsidR="00632019">
        <w:t xml:space="preserve"> </w:t>
      </w:r>
      <w:r w:rsidRPr="004027A9">
        <w:t>… aid in the assessment of compliance and also provide some transparency to private sector competitors that the business is operating in line with government policy</w:t>
      </w:r>
      <w:r>
        <w:t xml:space="preserve"> </w:t>
      </w:r>
      <w:r w:rsidR="00600276" w:rsidRPr="00600276">
        <w:rPr>
          <w:rFonts w:ascii="Arial" w:hAnsi="Arial" w:cs="Arial"/>
        </w:rPr>
        <w:t>(PC 2014, p. 34)</w:t>
      </w:r>
      <w:r w:rsidRPr="004027A9">
        <w:t>.</w:t>
      </w:r>
      <w:r>
        <w:t xml:space="preserve"> </w:t>
      </w:r>
    </w:p>
    <w:p w14:paraId="5AF9E54D" w14:textId="311018F9" w:rsidR="00794BE3" w:rsidRDefault="00C77C99" w:rsidP="00794BE3">
      <w:pPr>
        <w:pStyle w:val="BodyText"/>
      </w:pPr>
      <w:r>
        <w:t>Government</w:t>
      </w:r>
      <w:r w:rsidR="00794BE3">
        <w:t xml:space="preserve"> businesses </w:t>
      </w:r>
      <w:r>
        <w:t xml:space="preserve">are </w:t>
      </w:r>
      <w:r w:rsidR="006C615C" w:rsidRPr="006C615C">
        <w:t xml:space="preserve">required </w:t>
      </w:r>
      <w:r w:rsidR="00794BE3">
        <w:t xml:space="preserve">to </w:t>
      </w:r>
      <w:r w:rsidR="006C615C" w:rsidRPr="006C615C">
        <w:t xml:space="preserve">note that </w:t>
      </w:r>
      <w:r>
        <w:t>they are</w:t>
      </w:r>
      <w:r w:rsidR="006C615C" w:rsidRPr="006C615C">
        <w:t xml:space="preserve"> subject to the policy in annual report</w:t>
      </w:r>
      <w:r>
        <w:t>s</w:t>
      </w:r>
      <w:r w:rsidR="006C615C" w:rsidRPr="006C615C">
        <w:t xml:space="preserve"> to Parliament</w:t>
      </w:r>
      <w:r w:rsidR="00574E5F">
        <w:t xml:space="preserve"> </w:t>
      </w:r>
      <w:r w:rsidR="00600276" w:rsidRPr="00600276">
        <w:rPr>
          <w:rFonts w:ascii="Arial" w:hAnsi="Arial" w:cs="Arial"/>
        </w:rPr>
        <w:t>(Australian Government 1996, p. 22)</w:t>
      </w:r>
      <w:r w:rsidR="006C615C">
        <w:t xml:space="preserve">. </w:t>
      </w:r>
      <w:r>
        <w:t>These requirements may not extend to</w:t>
      </w:r>
      <w:r w:rsidR="00794BE3">
        <w:t xml:space="preserve"> how they have considered and implemented competitive neutrality in their activities, and how they have implemented the findings of complaints investigations</w:t>
      </w:r>
      <w:r>
        <w:t xml:space="preserve">. In the absence of stronger </w:t>
      </w:r>
      <w:r w:rsidR="00F36BA3">
        <w:t>requirements</w:t>
      </w:r>
      <w:r w:rsidR="00794BE3">
        <w:t>, the implementation of competitive neutrality policy relies primarily on good will.</w:t>
      </w:r>
    </w:p>
    <w:p w14:paraId="3FDEAC90" w14:textId="1D13C698" w:rsidR="00794BE3" w:rsidRDefault="00DF578E" w:rsidP="00794BE3">
      <w:pPr>
        <w:pStyle w:val="BodyText"/>
      </w:pPr>
      <w:r>
        <w:t>G</w:t>
      </w:r>
      <w:r w:rsidR="00794BE3">
        <w:t xml:space="preserve">ood will </w:t>
      </w:r>
      <w:r>
        <w:t>alone</w:t>
      </w:r>
      <w:r w:rsidR="00871357">
        <w:t xml:space="preserve"> may not promote a transparent and timely response.</w:t>
      </w:r>
      <w:r w:rsidR="00794BE3">
        <w:t xml:space="preserve"> For example, the AGCNCO is not aware of any response to its report concerning NBN Co (2022), which was released on 29 November 2022. This report identified, among other things, </w:t>
      </w:r>
      <w:r w:rsidR="001F0383">
        <w:t xml:space="preserve">a </w:t>
      </w:r>
      <w:r w:rsidR="00794BE3">
        <w:t xml:space="preserve">$300 million competitive advantages </w:t>
      </w:r>
      <w:r w:rsidR="00A94888">
        <w:t xml:space="preserve">for NBN Co </w:t>
      </w:r>
      <w:r w:rsidR="00442915">
        <w:t xml:space="preserve">in relation to </w:t>
      </w:r>
      <w:r w:rsidR="00794BE3">
        <w:lastRenderedPageBreak/>
        <w:t>debt neutrality</w:t>
      </w:r>
      <w:r w:rsidR="00B42FBD">
        <w:t xml:space="preserve"> (AGCNCO 2022, p. 1)</w:t>
      </w:r>
      <w:r w:rsidR="00093CD9">
        <w:t>. This advantage</w:t>
      </w:r>
      <w:r w:rsidR="00794BE3" w:rsidDel="00093CD9">
        <w:t xml:space="preserve"> </w:t>
      </w:r>
      <w:r w:rsidR="00CD6A1E">
        <w:t xml:space="preserve">reduces </w:t>
      </w:r>
      <w:r w:rsidR="00794BE3">
        <w:t>competition among builders and operators of fibre telecommunications networks</w:t>
      </w:r>
      <w:r w:rsidR="00583E23">
        <w:t xml:space="preserve"> and potentially raises costs to consumers</w:t>
      </w:r>
      <w:r w:rsidR="00794BE3">
        <w:t xml:space="preserve">. </w:t>
      </w:r>
    </w:p>
    <w:p w14:paraId="5C8EF83D" w14:textId="2E863C53" w:rsidR="00794BE3" w:rsidRDefault="00794BE3" w:rsidP="00794BE3">
      <w:pPr>
        <w:pStyle w:val="BodyText"/>
      </w:pPr>
      <w:r>
        <w:t>Other</w:t>
      </w:r>
      <w:r w:rsidR="00587A70">
        <w:t>, more transparent</w:t>
      </w:r>
      <w:r w:rsidR="0056245D">
        <w:t>,</w:t>
      </w:r>
      <w:r>
        <w:t xml:space="preserve"> options</w:t>
      </w:r>
      <w:r w:rsidR="00587A70">
        <w:t xml:space="preserve"> for implementing </w:t>
      </w:r>
      <w:r w:rsidR="007131F3">
        <w:t>competitive neutrality</w:t>
      </w:r>
      <w:r>
        <w:t xml:space="preserve"> exist. For example, the New South Wales Government is required to provide written responses to </w:t>
      </w:r>
      <w:r w:rsidR="009527BD">
        <w:t>the</w:t>
      </w:r>
      <w:r>
        <w:t xml:space="preserve"> I</w:t>
      </w:r>
      <w:r w:rsidR="009527BD">
        <w:t xml:space="preserve">ndependent </w:t>
      </w:r>
      <w:r>
        <w:t>P</w:t>
      </w:r>
      <w:r w:rsidR="009527BD">
        <w:t>ricing and Regulat</w:t>
      </w:r>
      <w:r w:rsidR="00A7463E">
        <w:t>ory</w:t>
      </w:r>
      <w:r w:rsidR="009527BD">
        <w:t xml:space="preserve"> Tribunal</w:t>
      </w:r>
      <w:r>
        <w:t>’s</w:t>
      </w:r>
      <w:r w:rsidR="009527BD">
        <w:t xml:space="preserve"> (IPART)</w:t>
      </w:r>
      <w:r>
        <w:t xml:space="preserve"> competitive neutrality investigation reports</w:t>
      </w:r>
      <w:r>
        <w:rPr>
          <w:rStyle w:val="FootnoteReference"/>
        </w:rPr>
        <w:footnoteReference w:id="5"/>
      </w:r>
      <w:r>
        <w:t>. This response must be provided within eight weeks of IPART’s report</w:t>
      </w:r>
      <w:r>
        <w:rPr>
          <w:rStyle w:val="FootnoteReference"/>
        </w:rPr>
        <w:footnoteReference w:id="6"/>
      </w:r>
      <w:r>
        <w:t xml:space="preserve">. The response must advise whether </w:t>
      </w:r>
      <w:r w:rsidR="00A7463E">
        <w:t xml:space="preserve">IPART’s </w:t>
      </w:r>
      <w:r>
        <w:t xml:space="preserve">recommendations are being adopted and, if not, the reasons why </w:t>
      </w:r>
      <w:r w:rsidR="00A7463E">
        <w:t>they</w:t>
      </w:r>
      <w:r>
        <w:t xml:space="preserve"> are not being adopted</w:t>
      </w:r>
      <w:r>
        <w:rPr>
          <w:rStyle w:val="FootnoteReference"/>
        </w:rPr>
        <w:footnoteReference w:id="7"/>
      </w:r>
      <w:r>
        <w:t>. IPART is required to publish the response.</w:t>
      </w:r>
      <w:r>
        <w:rPr>
          <w:rStyle w:val="FootnoteReference"/>
        </w:rPr>
        <w:footnoteReference w:id="8"/>
      </w:r>
    </w:p>
    <w:p w14:paraId="5DAE608A" w14:textId="630C933C" w:rsidR="00DD101C" w:rsidRDefault="00DD101C" w:rsidP="00FA7C88">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DD101C" w14:paraId="64F5E54D" w14:textId="77777777" w:rsidTr="006600FC">
        <w:tc>
          <w:tcPr>
            <w:tcW w:w="9638" w:type="dxa"/>
            <w:shd w:val="clear" w:color="auto" w:fill="E7F6FD"/>
            <w:tcMar>
              <w:top w:w="0" w:type="dxa"/>
            </w:tcMar>
          </w:tcPr>
          <w:p w14:paraId="78EC0ED7" w14:textId="0CACEF85" w:rsidR="006600FC" w:rsidRDefault="006600FC" w:rsidP="00EC1946">
            <w:pPr>
              <w:pStyle w:val="BodyText"/>
              <w:spacing w:before="240"/>
            </w:pPr>
            <w:r>
              <w:t>The review should consider:</w:t>
            </w:r>
          </w:p>
          <w:p w14:paraId="13023B5B" w14:textId="77777777" w:rsidR="006600FC" w:rsidRDefault="006600FC" w:rsidP="006600FC">
            <w:pPr>
              <w:pStyle w:val="ListBullet"/>
            </w:pPr>
            <w:r>
              <w:t>increased reporting by government businesses on how they have complied with competitive neutrality policy and responded to the findings of the AGCNCO</w:t>
            </w:r>
          </w:p>
          <w:p w14:paraId="57ABBF3D" w14:textId="77777777" w:rsidR="006600FC" w:rsidRDefault="006600FC" w:rsidP="006600FC">
            <w:pPr>
              <w:pStyle w:val="ListBullet"/>
            </w:pPr>
            <w:r>
              <w:t>an increased role for the monitoring of compliance with competitive neutrality requirements after a complaint investigation</w:t>
            </w:r>
          </w:p>
          <w:p w14:paraId="32B5010C" w14:textId="714A1A55" w:rsidR="00DD101C" w:rsidRPr="00767EAE" w:rsidRDefault="006600FC" w:rsidP="006600FC">
            <w:pPr>
              <w:pStyle w:val="ListBullet"/>
            </w:pPr>
            <w:r>
              <w:t>a requirement on the PC to publish AGCNCO reports and on government (through the government business, responsible portfolio department or responsible Minister) to respond to these reports.</w:t>
            </w:r>
          </w:p>
        </w:tc>
      </w:tr>
      <w:tr w:rsidR="00DD101C" w14:paraId="3DA7AC8B" w14:textId="77777777" w:rsidTr="006600FC">
        <w:tc>
          <w:tcPr>
            <w:tcW w:w="9638" w:type="dxa"/>
            <w:shd w:val="clear" w:color="auto" w:fill="auto"/>
            <w:tcMar>
              <w:top w:w="0" w:type="dxa"/>
              <w:bottom w:w="0" w:type="dxa"/>
            </w:tcMar>
          </w:tcPr>
          <w:p w14:paraId="486AA0CD" w14:textId="783857DC" w:rsidR="00DD101C" w:rsidRPr="007E0EA8" w:rsidRDefault="00DD101C" w:rsidP="00C2508D">
            <w:pPr>
              <w:pStyle w:val="NoSpacing"/>
              <w:spacing w:line="200" w:lineRule="exact"/>
            </w:pPr>
          </w:p>
        </w:tc>
      </w:tr>
    </w:tbl>
    <w:p w14:paraId="47F69AFB" w14:textId="58C6ABA6" w:rsidR="00633D73" w:rsidRDefault="00AB294E" w:rsidP="00633D73">
      <w:pPr>
        <w:pStyle w:val="Heading3"/>
      </w:pPr>
      <w:r>
        <w:t>I</w:t>
      </w:r>
      <w:r w:rsidR="00633D73">
        <w:t>nformation gathering powers</w:t>
      </w:r>
    </w:p>
    <w:p w14:paraId="6EB125A1" w14:textId="0543D1EF" w:rsidR="00BB39A0" w:rsidRDefault="00BB39A0" w:rsidP="00BB39A0">
      <w:pPr>
        <w:pStyle w:val="BodyText"/>
      </w:pPr>
      <w:r w:rsidRPr="00BB39A0">
        <w:t xml:space="preserve">The </w:t>
      </w:r>
      <w:r w:rsidR="006C7142">
        <w:t>investigation of recent complaints</w:t>
      </w:r>
      <w:r w:rsidRPr="00BB39A0">
        <w:t xml:space="preserve"> has brought into focus a weakness </w:t>
      </w:r>
      <w:proofErr w:type="gramStart"/>
      <w:r w:rsidRPr="00BB39A0">
        <w:t>in</w:t>
      </w:r>
      <w:proofErr w:type="gramEnd"/>
      <w:r w:rsidRPr="00BB39A0">
        <w:t xml:space="preserve"> the </w:t>
      </w:r>
      <w:r w:rsidR="00F30EE3">
        <w:t>competitive neutrality</w:t>
      </w:r>
      <w:r w:rsidRPr="00BB39A0">
        <w:t xml:space="preserve"> complaint mechanism </w:t>
      </w:r>
      <w:r w:rsidR="00E135F4">
        <w:t>–</w:t>
      </w:r>
      <w:r w:rsidRPr="00BB39A0">
        <w:t xml:space="preserve"> how to ensure </w:t>
      </w:r>
      <w:r w:rsidR="006000CB">
        <w:t>g</w:t>
      </w:r>
      <w:r w:rsidRPr="00BB39A0">
        <w:t xml:space="preserve">overnment entities provide information essential to the successful </w:t>
      </w:r>
      <w:r w:rsidR="006C7142">
        <w:t>resolution</w:t>
      </w:r>
      <w:r w:rsidRPr="00BB39A0">
        <w:t xml:space="preserve"> of a </w:t>
      </w:r>
      <w:r w:rsidR="006000CB">
        <w:t>competitive neutrality</w:t>
      </w:r>
      <w:r w:rsidRPr="00BB39A0">
        <w:t xml:space="preserve"> complaint investigation.</w:t>
      </w:r>
    </w:p>
    <w:p w14:paraId="42EAD548" w14:textId="4A58B8E5" w:rsidR="006C7142" w:rsidRPr="00BB39A0" w:rsidRDefault="00F24FEF" w:rsidP="00BB39A0">
      <w:pPr>
        <w:pStyle w:val="BodyText"/>
      </w:pPr>
      <w:r>
        <w:t xml:space="preserve">The AGCNCO does not have the power to compel </w:t>
      </w:r>
      <w:r w:rsidR="004A2660">
        <w:t xml:space="preserve">information provision </w:t>
      </w:r>
      <w:r w:rsidR="00962CE1">
        <w:t>from parties that may have information relevant to its investigations, u</w:t>
      </w:r>
      <w:r w:rsidR="008622C7">
        <w:t>nlike the</w:t>
      </w:r>
      <w:r w:rsidR="00962CE1">
        <w:t xml:space="preserve"> powers available to the</w:t>
      </w:r>
      <w:r w:rsidR="008622C7">
        <w:t xml:space="preserve"> PC </w:t>
      </w:r>
      <w:r w:rsidR="00962CE1">
        <w:t>when</w:t>
      </w:r>
      <w:r w:rsidR="008622C7">
        <w:t xml:space="preserve"> conducting an inquiry</w:t>
      </w:r>
      <w:r w:rsidR="00962CE1">
        <w:t>.</w:t>
      </w:r>
    </w:p>
    <w:p w14:paraId="5369EA0A" w14:textId="3180F175" w:rsidR="007D7476" w:rsidRDefault="00DA2574" w:rsidP="00BB39A0">
      <w:pPr>
        <w:pStyle w:val="BodyText"/>
      </w:pPr>
      <w:r>
        <w:t xml:space="preserve">The PC Act </w:t>
      </w:r>
      <w:r w:rsidR="007D7476">
        <w:t xml:space="preserve">does, however, </w:t>
      </w:r>
      <w:r>
        <w:t>prohibit</w:t>
      </w:r>
      <w:r w:rsidR="000F6B29" w:rsidDel="007D7476">
        <w:t xml:space="preserve"> </w:t>
      </w:r>
      <w:r w:rsidR="008678F1">
        <w:t>hindering and disrupting the PC in the performance of its functions</w:t>
      </w:r>
      <w:r w:rsidR="00C71FFF">
        <w:t>,</w:t>
      </w:r>
      <w:r w:rsidR="00AA6B1F">
        <w:t xml:space="preserve"> with section 46 imposing a criminal penalty for such conduct. </w:t>
      </w:r>
    </w:p>
    <w:p w14:paraId="26F10254" w14:textId="3FC1364E" w:rsidR="00BB39A0" w:rsidRPr="00BB39A0" w:rsidRDefault="00AA6B1F" w:rsidP="00BB39A0">
      <w:pPr>
        <w:pStyle w:val="BodyText"/>
      </w:pPr>
      <w:r>
        <w:t>This</w:t>
      </w:r>
      <w:r w:rsidR="00C71FFF">
        <w:t xml:space="preserve"> may </w:t>
      </w:r>
      <w:r>
        <w:t xml:space="preserve">appear to </w:t>
      </w:r>
      <w:r w:rsidR="00C71FFF">
        <w:t>be of some use</w:t>
      </w:r>
      <w:r w:rsidR="008678F1">
        <w:t xml:space="preserve"> </w:t>
      </w:r>
      <w:r w:rsidR="00C71FFF">
        <w:t xml:space="preserve">to </w:t>
      </w:r>
      <w:r w:rsidR="00BB39A0" w:rsidRPr="00BB39A0">
        <w:t>the AGCNCO to help it compel Australian Government bodies to provide a submission to our complaint investigations.</w:t>
      </w:r>
      <w:r w:rsidR="007D7476">
        <w:t xml:space="preserve"> </w:t>
      </w:r>
      <w:r w:rsidR="00BB39A0" w:rsidRPr="00BB39A0">
        <w:t xml:space="preserve">In practice, however, that </w:t>
      </w:r>
      <w:r w:rsidR="00AB3783">
        <w:t>provision</w:t>
      </w:r>
      <w:r w:rsidR="00BB39A0" w:rsidRPr="00BB39A0">
        <w:t xml:space="preserve"> is one the AGCNCO is unlikely to invoke</w:t>
      </w:r>
      <w:r w:rsidR="00E61A5B">
        <w:t xml:space="preserve"> for</w:t>
      </w:r>
      <w:r w:rsidR="00BB39A0" w:rsidRPr="00BB39A0">
        <w:t xml:space="preserve"> several reasons:</w:t>
      </w:r>
    </w:p>
    <w:p w14:paraId="51A8CE41" w14:textId="77777777" w:rsidR="00111520" w:rsidRDefault="00EE0379" w:rsidP="00AB3783">
      <w:pPr>
        <w:pStyle w:val="ListBullet"/>
      </w:pPr>
      <w:r>
        <w:t xml:space="preserve">hindering and obstructing is likely to be a high legal bar – mere delay or deprioritising responding to the AGCNCO’s investigation may not be enough to </w:t>
      </w:r>
      <w:r w:rsidR="00111520">
        <w:t>meet this threshold</w:t>
      </w:r>
    </w:p>
    <w:p w14:paraId="06F322A4" w14:textId="56C997C3" w:rsidR="00BB39A0" w:rsidRPr="004B075B" w:rsidRDefault="00111520" w:rsidP="00AB3783">
      <w:pPr>
        <w:pStyle w:val="ListBullet"/>
        <w:rPr>
          <w:spacing w:val="2"/>
        </w:rPr>
      </w:pPr>
      <w:r w:rsidRPr="004B075B">
        <w:rPr>
          <w:spacing w:val="2"/>
        </w:rPr>
        <w:t xml:space="preserve">the penalties are severe for </w:t>
      </w:r>
      <w:r w:rsidR="009A1168" w:rsidRPr="004B075B">
        <w:rPr>
          <w:spacing w:val="2"/>
        </w:rPr>
        <w:t xml:space="preserve">a government business manager or APS officer who does not provide </w:t>
      </w:r>
      <w:r w:rsidR="00EE033E" w:rsidRPr="004B075B">
        <w:rPr>
          <w:spacing w:val="2"/>
        </w:rPr>
        <w:t>information</w:t>
      </w:r>
      <w:r w:rsidR="009A1168" w:rsidRPr="004B075B">
        <w:rPr>
          <w:spacing w:val="2"/>
        </w:rPr>
        <w:t xml:space="preserve"> in a timely manner</w:t>
      </w:r>
      <w:r w:rsidR="004F7D8B" w:rsidRPr="004B075B">
        <w:rPr>
          <w:spacing w:val="2"/>
        </w:rPr>
        <w:t xml:space="preserve"> – and </w:t>
      </w:r>
      <w:r w:rsidR="00BB39A0" w:rsidRPr="004B075B">
        <w:rPr>
          <w:spacing w:val="2"/>
        </w:rPr>
        <w:t>there is a lack of gradation in the available enforcement tools</w:t>
      </w:r>
      <w:r w:rsidR="004F7D8B" w:rsidRPr="004B075B">
        <w:rPr>
          <w:spacing w:val="2"/>
        </w:rPr>
        <w:t xml:space="preserve"> in the PC Act</w:t>
      </w:r>
      <w:r w:rsidR="00BB39A0" w:rsidRPr="004B075B">
        <w:rPr>
          <w:spacing w:val="2"/>
        </w:rPr>
        <w:t xml:space="preserve"> </w:t>
      </w:r>
    </w:p>
    <w:p w14:paraId="3884A40D" w14:textId="2516D1FF" w:rsidR="00BB39A0" w:rsidRPr="00BB39A0" w:rsidRDefault="00111520" w:rsidP="004F7D8B">
      <w:pPr>
        <w:pStyle w:val="ListBullet"/>
      </w:pPr>
      <w:r>
        <w:t>taking criminal action may</w:t>
      </w:r>
      <w:r w:rsidR="00BB39A0" w:rsidRPr="00BB39A0">
        <w:t xml:space="preserve"> </w:t>
      </w:r>
      <w:r>
        <w:t>‘</w:t>
      </w:r>
      <w:r w:rsidR="00BB39A0" w:rsidRPr="00BB39A0">
        <w:t>tain</w:t>
      </w:r>
      <w:r>
        <w:t>t</w:t>
      </w:r>
      <w:r w:rsidR="00BB39A0" w:rsidRPr="00BB39A0">
        <w:t xml:space="preserve"> the well</w:t>
      </w:r>
      <w:r>
        <w:t>’</w:t>
      </w:r>
      <w:r w:rsidR="00BB39A0" w:rsidRPr="00BB39A0">
        <w:t xml:space="preserve"> of good</w:t>
      </w:r>
      <w:r w:rsidR="00EE033E">
        <w:t xml:space="preserve"> </w:t>
      </w:r>
      <w:r w:rsidR="00BB39A0" w:rsidRPr="00BB39A0">
        <w:t xml:space="preserve">will among Government agencies that the AGCNCO (and the </w:t>
      </w:r>
      <w:r w:rsidR="00E514C9">
        <w:t>PC</w:t>
      </w:r>
      <w:r w:rsidR="00BB39A0" w:rsidRPr="00BB39A0">
        <w:t>) rely on to supply the information and analysis necessary to successfully prosecute our investigations and inquiries</w:t>
      </w:r>
    </w:p>
    <w:p w14:paraId="53966295" w14:textId="7782FA1A" w:rsidR="00BB39A0" w:rsidRPr="00BB39A0" w:rsidRDefault="00111520" w:rsidP="004F7D8B">
      <w:pPr>
        <w:pStyle w:val="ListBullet"/>
      </w:pPr>
      <w:r>
        <w:lastRenderedPageBreak/>
        <w:t>taking criminal action</w:t>
      </w:r>
      <w:r w:rsidR="00BB39A0" w:rsidRPr="00BB39A0">
        <w:t xml:space="preserve"> </w:t>
      </w:r>
      <w:r w:rsidR="004F7D8B">
        <w:t xml:space="preserve">also </w:t>
      </w:r>
      <w:r w:rsidR="00BB39A0" w:rsidRPr="00BB39A0">
        <w:t xml:space="preserve">introduces the risk of potentially lengthy delays as legal proceedings move through the courts and may be subject to appeals. </w:t>
      </w:r>
    </w:p>
    <w:p w14:paraId="4B50E27E" w14:textId="6696E49A" w:rsidR="00BB39A0" w:rsidRDefault="00BB39A0" w:rsidP="00BB39A0">
      <w:pPr>
        <w:pStyle w:val="BodyText"/>
      </w:pPr>
      <w:r w:rsidRPr="00BB39A0">
        <w:t>The AGCNCO’s experience with how impractical information</w:t>
      </w:r>
      <w:r w:rsidR="15BF86DB">
        <w:t xml:space="preserve"> </w:t>
      </w:r>
      <w:r w:rsidRPr="00BB39A0">
        <w:t xml:space="preserve">gathering powers can constrain an investigation shows changes are needed in how it encourages parties to provide it with information and analytical insights. </w:t>
      </w:r>
      <w:r w:rsidR="00571F9A">
        <w:t>The AGCNCO notes that o</w:t>
      </w:r>
      <w:r w:rsidR="00571F9A" w:rsidRPr="00BB39A0">
        <w:t xml:space="preserve">ther investigative bodies have recognised this threat to the successful conduct </w:t>
      </w:r>
      <w:r w:rsidR="00571F9A">
        <w:t>of</w:t>
      </w:r>
      <w:r w:rsidR="00571F9A" w:rsidRPr="00BB39A0">
        <w:t xml:space="preserve"> their investigations. </w:t>
      </w:r>
      <w:r w:rsidR="00571F9A">
        <w:t>For example, in New South Wales, IPART has powers to require information from the complainant and the relevant government business during a competitive neutrality investigation</w:t>
      </w:r>
      <w:r w:rsidR="00571F9A">
        <w:rPr>
          <w:rStyle w:val="FootnoteReference"/>
        </w:rPr>
        <w:footnoteReference w:id="9"/>
      </w:r>
      <w:r w:rsidR="00571F9A" w:rsidRPr="00BB39A0">
        <w:t>.</w:t>
      </w:r>
    </w:p>
    <w:p w14:paraId="3783213D" w14:textId="77777777" w:rsidR="002E37C8" w:rsidRDefault="002E37C8" w:rsidP="002E37C8">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B53EB3" w14:paraId="7F627D5B" w14:textId="77777777" w:rsidTr="006726A3">
        <w:tc>
          <w:tcPr>
            <w:tcW w:w="9638" w:type="dxa"/>
            <w:shd w:val="clear" w:color="auto" w:fill="E7F6FD"/>
            <w:tcMar>
              <w:top w:w="0" w:type="dxa"/>
            </w:tcMar>
          </w:tcPr>
          <w:p w14:paraId="56686E76" w14:textId="55D50D6F" w:rsidR="00B53EB3" w:rsidRPr="00767EAE" w:rsidRDefault="00B53EB3" w:rsidP="00EC1946">
            <w:pPr>
              <w:pStyle w:val="BodyText"/>
              <w:spacing w:before="240"/>
            </w:pPr>
            <w:r w:rsidRPr="00B53EB3">
              <w:t>The review should consider appropriate statutory powers for the competitive neutrality complaints office to gather information pertinent to a complaint investigation.</w:t>
            </w:r>
          </w:p>
        </w:tc>
      </w:tr>
      <w:tr w:rsidR="00B53EB3" w14:paraId="62CD37F4" w14:textId="77777777" w:rsidTr="006726A3">
        <w:tc>
          <w:tcPr>
            <w:tcW w:w="9638" w:type="dxa"/>
            <w:shd w:val="clear" w:color="auto" w:fill="auto"/>
            <w:tcMar>
              <w:top w:w="0" w:type="dxa"/>
              <w:bottom w:w="0" w:type="dxa"/>
            </w:tcMar>
          </w:tcPr>
          <w:p w14:paraId="006FF9C2" w14:textId="77777777" w:rsidR="00B53EB3" w:rsidRPr="007E0EA8" w:rsidRDefault="00B53EB3" w:rsidP="006726A3">
            <w:pPr>
              <w:pStyle w:val="NoSpacing"/>
              <w:spacing w:line="200" w:lineRule="exact"/>
            </w:pPr>
          </w:p>
        </w:tc>
      </w:tr>
    </w:tbl>
    <w:p w14:paraId="314DA0BA" w14:textId="15D57595" w:rsidR="00DD52DF" w:rsidRDefault="00DD52DF" w:rsidP="00B525DC">
      <w:pPr>
        <w:pStyle w:val="Heading3"/>
      </w:pPr>
      <w:r>
        <w:t>Multiple government</w:t>
      </w:r>
      <w:r w:rsidR="00FD1584">
        <w:t>s as</w:t>
      </w:r>
      <w:r>
        <w:t xml:space="preserve"> owners of a business subject to CN</w:t>
      </w:r>
    </w:p>
    <w:p w14:paraId="0DD482CB" w14:textId="6BE51B56" w:rsidR="00A0247C" w:rsidRDefault="00D2568B" w:rsidP="00D2568B">
      <w:pPr>
        <w:pStyle w:val="BodyText"/>
      </w:pPr>
      <w:r w:rsidRPr="00D2568B">
        <w:t xml:space="preserve">Each jurisdiction in Australia has its own </w:t>
      </w:r>
      <w:r w:rsidR="00DE1CBA">
        <w:t>competitive neutrality</w:t>
      </w:r>
      <w:r w:rsidRPr="00D2568B">
        <w:t xml:space="preserve"> policy and complaint</w:t>
      </w:r>
      <w:r w:rsidR="007639BC">
        <w:t>s</w:t>
      </w:r>
      <w:r w:rsidRPr="00D2568B">
        <w:t xml:space="preserve"> mechanism. This has the potential to create problems where a </w:t>
      </w:r>
      <w:r w:rsidR="00DE1CBA">
        <w:t>competitive neutrality</w:t>
      </w:r>
      <w:r w:rsidRPr="00D2568B">
        <w:t xml:space="preserve"> complaint is brought against a government business </w:t>
      </w:r>
      <w:r w:rsidR="009F32A2">
        <w:t>where</w:t>
      </w:r>
      <w:r w:rsidRPr="00D2568B">
        <w:t xml:space="preserve"> more than one government </w:t>
      </w:r>
      <w:r w:rsidR="00CA6981">
        <w:t>is</w:t>
      </w:r>
      <w:r w:rsidR="009F32A2">
        <w:t xml:space="preserve"> an </w:t>
      </w:r>
      <w:r w:rsidRPr="00D2568B">
        <w:t>owner</w:t>
      </w:r>
      <w:r w:rsidR="009F32A2">
        <w:t xml:space="preserve"> </w:t>
      </w:r>
      <w:r w:rsidR="006D27F8">
        <w:t>of the business</w:t>
      </w:r>
      <w:r w:rsidRPr="00D2568B">
        <w:t>.</w:t>
      </w:r>
      <w:r w:rsidR="00BC5231">
        <w:t xml:space="preserve"> </w:t>
      </w:r>
    </w:p>
    <w:p w14:paraId="5C870FB5" w14:textId="224A0CA9" w:rsidR="00D2568B" w:rsidRPr="00D2568B" w:rsidRDefault="00D2568B" w:rsidP="00D2568B">
      <w:pPr>
        <w:pStyle w:val="BodyText"/>
      </w:pPr>
      <w:r w:rsidRPr="00D2568B">
        <w:t>If, hypothetically, a complaint was brought against a jointly</w:t>
      </w:r>
      <w:r w:rsidRPr="00D2568B">
        <w:rPr>
          <w:rFonts w:ascii="Cambria Math" w:hAnsi="Cambria Math" w:cs="Cambria Math"/>
        </w:rPr>
        <w:t>‑</w:t>
      </w:r>
      <w:r w:rsidRPr="00D2568B">
        <w:t xml:space="preserve">owned business, which </w:t>
      </w:r>
      <w:r w:rsidR="00DE1CBA">
        <w:t>competitive neutrality</w:t>
      </w:r>
      <w:r w:rsidRPr="00D2568B">
        <w:t xml:space="preserve"> policy requirements would that complaint be assessed against? And which complaint mechanism would be used to assess that complaint? Taking things to the extreme, could it be possible that one government complaint office accepted the complaint while another would reject it, and that one complaint office might deliver recommendations that another government or affected party disputed. How might this play out in </w:t>
      </w:r>
      <w:r w:rsidR="00396714">
        <w:t>implementing the findings of each investigation</w:t>
      </w:r>
      <w:r w:rsidRPr="00D2568B">
        <w:t>?</w:t>
      </w:r>
    </w:p>
    <w:p w14:paraId="44726D44" w14:textId="388CA9DE" w:rsidR="00D2568B" w:rsidRDefault="00A0247C" w:rsidP="00D2568B">
      <w:pPr>
        <w:pStyle w:val="BodyText"/>
      </w:pPr>
      <w:r>
        <w:t>E</w:t>
      </w:r>
      <w:r w:rsidR="00D2568B" w:rsidRPr="00D2568B">
        <w:t xml:space="preserve">xamples </w:t>
      </w:r>
      <w:r>
        <w:t>of</w:t>
      </w:r>
      <w:r w:rsidR="00380423">
        <w:t xml:space="preserve"> jointly-owned businesses include</w:t>
      </w:r>
      <w:r w:rsidR="00D2568B" w:rsidRPr="00D2568B">
        <w:t xml:space="preserve"> the Australian Road Research Board (ARRB) and National Rail </w:t>
      </w:r>
      <w:r w:rsidR="00BD384E">
        <w:t>–</w:t>
      </w:r>
      <w:r w:rsidR="00D2568B" w:rsidRPr="00D2568B">
        <w:t xml:space="preserve"> both of which have been the subject of a </w:t>
      </w:r>
      <w:r w:rsidR="00047DEA">
        <w:t>competitive neutrality</w:t>
      </w:r>
      <w:r w:rsidR="00D2568B" w:rsidRPr="00D2568B">
        <w:t xml:space="preserve"> complaint investigation. At the time of that investigation, the ARRB was a public company whose 10 Members were representatives from each of the </w:t>
      </w:r>
      <w:r w:rsidR="0031107D">
        <w:t>Australian</w:t>
      </w:r>
      <w:r w:rsidR="00D2568B" w:rsidRPr="00D2568B">
        <w:t>, State and Territory Governments and the Australian Local Government Association, while National Rail was owned by the Australian, New South Wales and Victorian governments.</w:t>
      </w:r>
      <w:r w:rsidR="00300EFE">
        <w:t xml:space="preserve"> The administration of these complaints required considerable </w:t>
      </w:r>
      <w:r w:rsidR="0090771D">
        <w:t xml:space="preserve">efforts to resolve </w:t>
      </w:r>
      <w:r w:rsidR="0037517B">
        <w:t>how the complaint should be dealt with</w:t>
      </w:r>
      <w:r w:rsidR="00DE1DBF">
        <w:t xml:space="preserve">, which could be avoided </w:t>
      </w:r>
      <w:r w:rsidR="005A2CEB">
        <w:t xml:space="preserve">if </w:t>
      </w:r>
      <w:r w:rsidR="005D519F">
        <w:t xml:space="preserve">protocols are developed </w:t>
      </w:r>
      <w:r w:rsidR="00F30501">
        <w:t xml:space="preserve">to </w:t>
      </w:r>
      <w:r w:rsidR="00ED317B">
        <w:t xml:space="preserve">identify how a lead </w:t>
      </w:r>
      <w:r w:rsidR="00440041">
        <w:t xml:space="preserve">complaints office </w:t>
      </w:r>
      <w:r w:rsidR="00ED317B">
        <w:t xml:space="preserve">will be </w:t>
      </w:r>
      <w:r w:rsidR="00440041">
        <w:t>decided</w:t>
      </w:r>
      <w:r w:rsidR="00E54A61">
        <w:t xml:space="preserve"> – enabling complaints offices to spend more time engaging on the substance of a complaint.</w:t>
      </w:r>
    </w:p>
    <w:p w14:paraId="46466286" w14:textId="77777777" w:rsidR="00AC4DF5" w:rsidRDefault="00AC4DF5" w:rsidP="00AC4DF5">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AC4DF5" w14:paraId="19BAB6FE" w14:textId="77777777" w:rsidTr="006726A3">
        <w:tc>
          <w:tcPr>
            <w:tcW w:w="9638" w:type="dxa"/>
            <w:shd w:val="clear" w:color="auto" w:fill="E7F6FD"/>
            <w:tcMar>
              <w:top w:w="0" w:type="dxa"/>
            </w:tcMar>
          </w:tcPr>
          <w:p w14:paraId="153E7FD4" w14:textId="443961DF" w:rsidR="00AC4DF5" w:rsidRPr="000C664E" w:rsidRDefault="00AC4DF5" w:rsidP="00EC1946">
            <w:pPr>
              <w:pStyle w:val="BodyText"/>
              <w:spacing w:before="240"/>
              <w:rPr>
                <w:spacing w:val="2"/>
              </w:rPr>
            </w:pPr>
            <w:r w:rsidRPr="000C664E">
              <w:rPr>
                <w:spacing w:val="2"/>
              </w:rPr>
              <w:t xml:space="preserve">The review should consider what protocols are needed to </w:t>
            </w:r>
            <w:r w:rsidRPr="00EC1946">
              <w:t>determine</w:t>
            </w:r>
            <w:r w:rsidRPr="000C664E">
              <w:rPr>
                <w:spacing w:val="2"/>
              </w:rPr>
              <w:t xml:space="preserve"> which policy and complaint process would be invoked in the case of a complaint concerning a government business with multiple government owners.</w:t>
            </w:r>
          </w:p>
        </w:tc>
      </w:tr>
      <w:tr w:rsidR="00AC4DF5" w14:paraId="5E1876AD" w14:textId="77777777" w:rsidTr="006726A3">
        <w:tc>
          <w:tcPr>
            <w:tcW w:w="9638" w:type="dxa"/>
            <w:shd w:val="clear" w:color="auto" w:fill="auto"/>
            <w:tcMar>
              <w:top w:w="0" w:type="dxa"/>
              <w:bottom w:w="0" w:type="dxa"/>
            </w:tcMar>
          </w:tcPr>
          <w:p w14:paraId="2B0AF2FC" w14:textId="77777777" w:rsidR="00AC4DF5" w:rsidRPr="007E0EA8" w:rsidRDefault="00AC4DF5" w:rsidP="006726A3">
            <w:pPr>
              <w:pStyle w:val="NoSpacing"/>
              <w:spacing w:line="200" w:lineRule="exact"/>
            </w:pPr>
          </w:p>
        </w:tc>
      </w:tr>
    </w:tbl>
    <w:p w14:paraId="1113FCEC" w14:textId="77777777" w:rsidR="00BB751A" w:rsidRPr="00216385" w:rsidRDefault="00BB751A" w:rsidP="00216385">
      <w:pPr>
        <w:pStyle w:val="BodyText"/>
      </w:pPr>
      <w:r w:rsidRPr="00216385">
        <w:br w:type="page"/>
      </w:r>
    </w:p>
    <w:p w14:paraId="5E01C1F8" w14:textId="26D33E91" w:rsidR="00E60B8A" w:rsidRDefault="00E60B8A" w:rsidP="00B525DC">
      <w:pPr>
        <w:pStyle w:val="Heading3"/>
      </w:pPr>
      <w:r>
        <w:lastRenderedPageBreak/>
        <w:t xml:space="preserve">Addressing competitive advantages under </w:t>
      </w:r>
      <w:r w:rsidR="00D76CC9">
        <w:t>s</w:t>
      </w:r>
      <w:r>
        <w:t>tate legislation</w:t>
      </w:r>
    </w:p>
    <w:p w14:paraId="7297EC77" w14:textId="049CD5E1" w:rsidR="00604E10" w:rsidRDefault="00560371" w:rsidP="00560371">
      <w:pPr>
        <w:pStyle w:val="BodyText"/>
      </w:pPr>
      <w:r>
        <w:t>The current competitive neutrality complain</w:t>
      </w:r>
      <w:r w:rsidR="00310129">
        <w:t>t</w:t>
      </w:r>
      <w:r>
        <w:t xml:space="preserve"> against Australia Post by members of the </w:t>
      </w:r>
      <w:r w:rsidR="008E4C16">
        <w:t xml:space="preserve">Conference of Asia Pacific Express Carriers (Australia) Limited </w:t>
      </w:r>
      <w:r w:rsidR="008C0FA5">
        <w:t xml:space="preserve">(CAPEC) </w:t>
      </w:r>
      <w:r w:rsidR="008E4C16">
        <w:t xml:space="preserve">has demonstrated how a government business </w:t>
      </w:r>
      <w:r w:rsidR="009D2B1D">
        <w:t>might</w:t>
      </w:r>
      <w:r w:rsidR="008E4C16">
        <w:t xml:space="preserve"> enjoy competitive advantages </w:t>
      </w:r>
      <w:r w:rsidR="008C0FA5">
        <w:t xml:space="preserve">under </w:t>
      </w:r>
      <w:r w:rsidR="008523F6">
        <w:t xml:space="preserve">the </w:t>
      </w:r>
      <w:r w:rsidR="008C0FA5">
        <w:t xml:space="preserve">legislation and policies of other governments, </w:t>
      </w:r>
      <w:r w:rsidR="0041518A">
        <w:t>because</w:t>
      </w:r>
      <w:r w:rsidR="008E4C16">
        <w:t xml:space="preserve"> of its government ownership</w:t>
      </w:r>
      <w:r w:rsidR="008C0FA5">
        <w:t xml:space="preserve">. For example, CAPEC claims that Australia Post has competitive advantages under state road </w:t>
      </w:r>
      <w:r w:rsidR="00025E30">
        <w:t xml:space="preserve">rules </w:t>
      </w:r>
      <w:r w:rsidR="00086587" w:rsidRPr="00086587">
        <w:rPr>
          <w:rFonts w:ascii="Arial" w:hAnsi="Arial" w:cs="Arial"/>
        </w:rPr>
        <w:t>(CAPEC 2022, p. 21)</w:t>
      </w:r>
      <w:r w:rsidR="008C0FA5">
        <w:t>.</w:t>
      </w:r>
      <w:r w:rsidR="008E4C16">
        <w:t xml:space="preserve"> </w:t>
      </w:r>
    </w:p>
    <w:p w14:paraId="59CBD505" w14:textId="4C1BF3A7" w:rsidR="00B525DC" w:rsidRDefault="00B525DC" w:rsidP="00560371">
      <w:pPr>
        <w:pStyle w:val="BodyText"/>
      </w:pPr>
      <w:r>
        <w:t xml:space="preserve">The Australian Government’s </w:t>
      </w:r>
      <w:r w:rsidR="00D3306E">
        <w:t>competitive neutrality</w:t>
      </w:r>
      <w:r>
        <w:t xml:space="preserve"> policy statement </w:t>
      </w:r>
      <w:r w:rsidR="00D3306E">
        <w:t>is</w:t>
      </w:r>
      <w:r>
        <w:t xml:space="preserve"> silent on how to tackle </w:t>
      </w:r>
      <w:r w:rsidR="00024CA7">
        <w:t>a</w:t>
      </w:r>
      <w:r>
        <w:t xml:space="preserve"> cross</w:t>
      </w:r>
      <w:r w:rsidR="001B398B">
        <w:noBreakHyphen/>
      </w:r>
      <w:r>
        <w:t>jurisdictional source of regulatory advantage. A</w:t>
      </w:r>
      <w:r w:rsidR="00604E10">
        <w:t xml:space="preserve"> national</w:t>
      </w:r>
      <w:r>
        <w:t xml:space="preserve"> approach to this issue </w:t>
      </w:r>
      <w:r w:rsidR="001C62C0">
        <w:t>would</w:t>
      </w:r>
      <w:r>
        <w:t xml:space="preserve"> </w:t>
      </w:r>
      <w:r w:rsidR="00F31E38">
        <w:t xml:space="preserve">ensure </w:t>
      </w:r>
      <w:r>
        <w:t xml:space="preserve">breaches of </w:t>
      </w:r>
      <w:r w:rsidR="00B75337">
        <w:t>competitive neutrality</w:t>
      </w:r>
      <w:r>
        <w:t xml:space="preserve"> (and resource misallocation) </w:t>
      </w:r>
      <w:r w:rsidR="00F31E38">
        <w:t xml:space="preserve">are </w:t>
      </w:r>
      <w:r>
        <w:t>addressed.</w:t>
      </w:r>
      <w:r w:rsidR="00B123AB">
        <w:t xml:space="preserve"> This could include establishing formal procedures for a competitive neutrality complaint agency in one jurisdiction to notify the complaint agency </w:t>
      </w:r>
      <w:r w:rsidR="00B123AB" w:rsidRPr="00E83474">
        <w:t xml:space="preserve">of </w:t>
      </w:r>
      <w:r w:rsidR="00B123AB">
        <w:t xml:space="preserve">another jurisdiction whose legislation is providing the competitive advantage and to establish </w:t>
      </w:r>
      <w:r w:rsidR="00B123AB" w:rsidRPr="00E83474">
        <w:t>any protocols to deal with this situation</w:t>
      </w:r>
      <w:r w:rsidR="00B123AB">
        <w:t>.</w:t>
      </w:r>
    </w:p>
    <w:p w14:paraId="63C6727F" w14:textId="77777777" w:rsidR="00AC4DF5" w:rsidRDefault="00AC4DF5" w:rsidP="00AC4DF5">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AC4DF5" w14:paraId="19F552AC" w14:textId="77777777" w:rsidTr="006726A3">
        <w:tc>
          <w:tcPr>
            <w:tcW w:w="9638" w:type="dxa"/>
            <w:shd w:val="clear" w:color="auto" w:fill="E7F6FD"/>
            <w:tcMar>
              <w:top w:w="0" w:type="dxa"/>
            </w:tcMar>
          </w:tcPr>
          <w:p w14:paraId="4F23580A" w14:textId="76AE1FEC" w:rsidR="00AC4DF5" w:rsidRPr="00767EAE" w:rsidRDefault="00AC4DF5" w:rsidP="00EC1946">
            <w:pPr>
              <w:pStyle w:val="BodyText"/>
              <w:spacing w:before="240"/>
            </w:pPr>
            <w:r w:rsidRPr="00AC4DF5">
              <w:t>The review should consider a national approach to CN and any necessary procedures and protocols to support that. Such procedures and protocols could be within a broader agreement by governments to commit to reviewing and amending legislation that provides regulatory advantages to government businesses in other jurisdictions.</w:t>
            </w:r>
          </w:p>
        </w:tc>
      </w:tr>
      <w:tr w:rsidR="00AC4DF5" w14:paraId="5F457820" w14:textId="77777777" w:rsidTr="006726A3">
        <w:tc>
          <w:tcPr>
            <w:tcW w:w="9638" w:type="dxa"/>
            <w:shd w:val="clear" w:color="auto" w:fill="auto"/>
            <w:tcMar>
              <w:top w:w="0" w:type="dxa"/>
              <w:bottom w:w="0" w:type="dxa"/>
            </w:tcMar>
          </w:tcPr>
          <w:p w14:paraId="73715E8F" w14:textId="77777777" w:rsidR="00AC4DF5" w:rsidRPr="007E0EA8" w:rsidRDefault="00AC4DF5" w:rsidP="006726A3">
            <w:pPr>
              <w:pStyle w:val="NoSpacing"/>
              <w:spacing w:line="200" w:lineRule="exact"/>
            </w:pPr>
          </w:p>
        </w:tc>
      </w:tr>
    </w:tbl>
    <w:p w14:paraId="783D840E" w14:textId="2FBFFE28" w:rsidR="002044D9" w:rsidRDefault="002044D9" w:rsidP="001C319C">
      <w:pPr>
        <w:pStyle w:val="Heading2-nonumber"/>
      </w:pPr>
      <w:bookmarkStart w:id="4" w:name="_Toc178954692"/>
      <w:r>
        <w:t>Areas for updating C</w:t>
      </w:r>
      <w:r w:rsidR="00F36C97">
        <w:t xml:space="preserve">ompetitive </w:t>
      </w:r>
      <w:r>
        <w:t>N</w:t>
      </w:r>
      <w:r w:rsidR="00F36C97">
        <w:t>eutrality</w:t>
      </w:r>
      <w:r>
        <w:t xml:space="preserve"> policy</w:t>
      </w:r>
      <w:r w:rsidR="00F36C97">
        <w:t xml:space="preserve"> and guidelines</w:t>
      </w:r>
      <w:bookmarkEnd w:id="4"/>
      <w:r w:rsidR="00F36C97">
        <w:t xml:space="preserve"> </w:t>
      </w:r>
    </w:p>
    <w:p w14:paraId="04CD304E" w14:textId="23E11EB2" w:rsidR="00DD019F" w:rsidRDefault="0020171B" w:rsidP="00847462">
      <w:pPr>
        <w:pStyle w:val="Heading3"/>
      </w:pPr>
      <w:r>
        <w:t>Clarifications to the operation of competitive neutrality policy</w:t>
      </w:r>
    </w:p>
    <w:p w14:paraId="24F54E80" w14:textId="3D4CCAD2" w:rsidR="0047373D" w:rsidRDefault="00B02C12" w:rsidP="0047373D">
      <w:pPr>
        <w:pStyle w:val="BodyText"/>
      </w:pPr>
      <w:r>
        <w:t>Several</w:t>
      </w:r>
      <w:r w:rsidR="00773A42">
        <w:t xml:space="preserve"> elements of the competitive neutrality policy have proven difficult for managers of government businesses to apply in practice.</w:t>
      </w:r>
      <w:r w:rsidR="001656BA">
        <w:t xml:space="preserve"> While the AGCNCO provides advice on the operation of the policy to support </w:t>
      </w:r>
      <w:r w:rsidR="00FA0DCF">
        <w:t xml:space="preserve">the goals of competitive neutrality policy, greater clarity would assist the effective implementation of </w:t>
      </w:r>
      <w:r w:rsidR="002772C7">
        <w:t>the</w:t>
      </w:r>
      <w:r w:rsidR="00FA0DCF">
        <w:t xml:space="preserve"> policy</w:t>
      </w:r>
      <w:r w:rsidR="002772C7">
        <w:t>. This clarity could be provided in the National Competition Principles or in jurisdictional policy statements</w:t>
      </w:r>
      <w:r w:rsidR="009328FB">
        <w:t xml:space="preserve">. Some areas that would benefit from greater clarity are: </w:t>
      </w:r>
    </w:p>
    <w:p w14:paraId="3937E52D" w14:textId="046CA582" w:rsidR="00547387" w:rsidRDefault="00810057" w:rsidP="00547387">
      <w:pPr>
        <w:pStyle w:val="ListBullet"/>
      </w:pPr>
      <w:r>
        <w:t xml:space="preserve">What </w:t>
      </w:r>
      <w:r w:rsidR="001609F9">
        <w:t>constitutes ‘government’ in significant government business activities</w:t>
      </w:r>
      <w:r w:rsidR="00B720F1">
        <w:t xml:space="preserve">? </w:t>
      </w:r>
    </w:p>
    <w:p w14:paraId="4A135BBE" w14:textId="65B3D384" w:rsidR="001609F9" w:rsidRDefault="00377968" w:rsidP="00C1537E">
      <w:pPr>
        <w:pStyle w:val="ListBullet2"/>
      </w:pPr>
      <w:r>
        <w:t>How</w:t>
      </w:r>
      <w:r w:rsidR="00740E1E">
        <w:t xml:space="preserve"> should bodies that are partly government owned, and </w:t>
      </w:r>
      <w:proofErr w:type="gramStart"/>
      <w:r w:rsidR="00EC5719">
        <w:t>publicly-funded</w:t>
      </w:r>
      <w:proofErr w:type="gramEnd"/>
      <w:r w:rsidR="00EC5719">
        <w:t xml:space="preserve"> </w:t>
      </w:r>
      <w:r w:rsidR="00740E1E">
        <w:t>universities</w:t>
      </w:r>
      <w:r w:rsidR="00590902">
        <w:t>,</w:t>
      </w:r>
      <w:r w:rsidR="00740E1E">
        <w:t xml:space="preserve"> be treated under the policy?</w:t>
      </w:r>
    </w:p>
    <w:p w14:paraId="619DF43F" w14:textId="460540D3" w:rsidR="00547387" w:rsidRDefault="00810057" w:rsidP="00547387">
      <w:pPr>
        <w:pStyle w:val="ListBullet"/>
      </w:pPr>
      <w:r>
        <w:t xml:space="preserve">What </w:t>
      </w:r>
      <w:r w:rsidR="001609F9">
        <w:t>constitutes a ‘</w:t>
      </w:r>
      <w:proofErr w:type="gramStart"/>
      <w:r w:rsidR="001609F9">
        <w:t>business’</w:t>
      </w:r>
      <w:proofErr w:type="gramEnd"/>
      <w:r w:rsidR="001609F9">
        <w:t xml:space="preserve"> for the purpose of </w:t>
      </w:r>
      <w:r w:rsidR="001F4266">
        <w:t>competitive neutrality</w:t>
      </w:r>
      <w:r w:rsidR="00740E1E">
        <w:t xml:space="preserve">? </w:t>
      </w:r>
    </w:p>
    <w:p w14:paraId="63B369E1" w14:textId="1E2F3D05" w:rsidR="001609F9" w:rsidRDefault="00740E1E" w:rsidP="00C1537E">
      <w:pPr>
        <w:pStyle w:val="ListBullet2"/>
      </w:pPr>
      <w:r>
        <w:t xml:space="preserve">The </w:t>
      </w:r>
      <w:r w:rsidR="00E06290">
        <w:t xml:space="preserve">Australian Government </w:t>
      </w:r>
      <w:r w:rsidR="00BD6172">
        <w:t>policy statement requires the managers of a</w:t>
      </w:r>
      <w:r w:rsidR="003E0C24">
        <w:t xml:space="preserve">n activity to have a degree of </w:t>
      </w:r>
      <w:r w:rsidR="003E0C24" w:rsidRPr="00C1537E">
        <w:t>independence</w:t>
      </w:r>
      <w:r w:rsidR="003E0C24">
        <w:t xml:space="preserve"> in relation to the production of the good or service and the price at which it is provided</w:t>
      </w:r>
      <w:r w:rsidR="00E06290">
        <w:t xml:space="preserve"> </w:t>
      </w:r>
      <w:r w:rsidR="00086587" w:rsidRPr="00086587">
        <w:rPr>
          <w:rFonts w:ascii="Arial" w:hAnsi="Arial" w:cs="Arial"/>
        </w:rPr>
        <w:t>(Australian Government 1996, p. 7)</w:t>
      </w:r>
      <w:r w:rsidR="003E0C24">
        <w:t xml:space="preserve">. </w:t>
      </w:r>
      <w:r w:rsidR="001F4266">
        <w:t>It is unclear in practice, what ‘degree’ of independence is sufficient to require a business to comply with competitive neutrality policy.</w:t>
      </w:r>
    </w:p>
    <w:p w14:paraId="4C076FB4" w14:textId="77777777" w:rsidR="00BB751A" w:rsidRDefault="00BB751A">
      <w:pPr>
        <w:spacing w:before="0" w:after="160" w:line="259" w:lineRule="auto"/>
      </w:pPr>
      <w:r>
        <w:br w:type="page"/>
      </w:r>
    </w:p>
    <w:p w14:paraId="6CECE607" w14:textId="46DA9EB5" w:rsidR="009760AF" w:rsidRDefault="00810057" w:rsidP="004D3752">
      <w:pPr>
        <w:pStyle w:val="ListBullet"/>
      </w:pPr>
      <w:r>
        <w:lastRenderedPageBreak/>
        <w:t>T</w:t>
      </w:r>
      <w:r w:rsidRPr="00310191">
        <w:t xml:space="preserve">he </w:t>
      </w:r>
      <w:r w:rsidR="00310191" w:rsidRPr="00310191">
        <w:t xml:space="preserve">absence of specific references to potentially material competitive disadvantages and how they might </w:t>
      </w:r>
      <w:r w:rsidR="00310191">
        <w:t>be</w:t>
      </w:r>
      <w:r w:rsidR="06B38B50">
        <w:t>st</w:t>
      </w:r>
      <w:r w:rsidR="25462590">
        <w:t xml:space="preserve"> </w:t>
      </w:r>
      <w:r w:rsidR="00310191" w:rsidRPr="00310191">
        <w:t>be addressed</w:t>
      </w:r>
      <w:r w:rsidR="00310191">
        <w:t xml:space="preserve"> (</w:t>
      </w:r>
      <w:r w:rsidR="00807217">
        <w:t>for example,</w:t>
      </w:r>
      <w:r w:rsidR="00310191">
        <w:t xml:space="preserve"> </w:t>
      </w:r>
      <w:r w:rsidR="004E459E">
        <w:t>community service obligations</w:t>
      </w:r>
      <w:r w:rsidR="00310191">
        <w:t>)</w:t>
      </w:r>
      <w:r w:rsidR="00807217">
        <w:t>.</w:t>
      </w:r>
    </w:p>
    <w:p w14:paraId="762CE747" w14:textId="6BD193D9" w:rsidR="00221597" w:rsidRPr="00C1537E" w:rsidRDefault="00B175DE" w:rsidP="00C1537E">
      <w:pPr>
        <w:pStyle w:val="ListBullet2"/>
      </w:pPr>
      <w:r>
        <w:t>Competitive neutrality</w:t>
      </w:r>
      <w:r w:rsidR="004D3752">
        <w:t xml:space="preserve"> policy and guidelines are explicit in pointing to the goal of no net competitive advantages for government businesses simply by virtue of government ownership. However, while those documents explicitly refer to major areas of potential advantages, those documents </w:t>
      </w:r>
      <w:r w:rsidR="000A1885">
        <w:t>do not</w:t>
      </w:r>
      <w:r w:rsidR="00603D1B">
        <w:t xml:space="preserve"> specify</w:t>
      </w:r>
      <w:r w:rsidR="004D3752">
        <w:t xml:space="preserve"> </w:t>
      </w:r>
      <w:r w:rsidR="004D3752" w:rsidRPr="00C1537E">
        <w:t>what material disadvantages might face government businesses.</w:t>
      </w:r>
    </w:p>
    <w:p w14:paraId="53A90D62" w14:textId="1BD5EC24" w:rsidR="004D3752" w:rsidRDefault="007A174D" w:rsidP="00C1537E">
      <w:pPr>
        <w:pStyle w:val="ListBullet2"/>
      </w:pPr>
      <w:r w:rsidRPr="00C1537E">
        <w:t xml:space="preserve">The policy could be clarified to enable netting off </w:t>
      </w:r>
      <w:r w:rsidR="00221597" w:rsidRPr="00C1537E">
        <w:t>advantages and disadvantages (</w:t>
      </w:r>
      <w:r w:rsidR="00552778" w:rsidRPr="00C1537E">
        <w:t>subject to</w:t>
      </w:r>
      <w:r w:rsidR="00221597" w:rsidRPr="00C1537E">
        <w:t xml:space="preserve"> moral hazard concerns</w:t>
      </w:r>
      <w:r w:rsidR="00221597">
        <w:t xml:space="preserve"> set out below) or for the government to directly fund any competitive disadvantages (such as community service obligations).</w:t>
      </w:r>
    </w:p>
    <w:p w14:paraId="221F4C1C" w14:textId="6615737D" w:rsidR="009760AF" w:rsidRDefault="00810057" w:rsidP="00BB4D88">
      <w:pPr>
        <w:pStyle w:val="ListBullet"/>
      </w:pPr>
      <w:r>
        <w:t>P</w:t>
      </w:r>
      <w:r w:rsidRPr="003650D3">
        <w:t xml:space="preserve">otential </w:t>
      </w:r>
      <w:r w:rsidR="009760AF" w:rsidRPr="003650D3">
        <w:t>moral hazard arising from offsets to determine net competitive advantage</w:t>
      </w:r>
      <w:r w:rsidR="00CC455A">
        <w:t>.</w:t>
      </w:r>
    </w:p>
    <w:p w14:paraId="7227D0E9" w14:textId="462ACBE4" w:rsidR="002270D3" w:rsidRPr="00C1537E" w:rsidRDefault="002270D3" w:rsidP="00C1537E">
      <w:pPr>
        <w:pStyle w:val="ListBullet2"/>
      </w:pPr>
      <w:r>
        <w:t>Competitive neutrality policy foc</w:t>
      </w:r>
      <w:r w:rsidR="00BF7E77">
        <w:t>uses on net</w:t>
      </w:r>
      <w:r>
        <w:t xml:space="preserve"> competitive advantages. Implicitly, this provides the </w:t>
      </w:r>
      <w:r w:rsidRPr="00C1537E">
        <w:t xml:space="preserve">potential for a government business to offset the value of any competitive advantages of government ownership with the </w:t>
      </w:r>
      <w:r w:rsidR="001766B3" w:rsidRPr="00C1537E">
        <w:t xml:space="preserve">cost </w:t>
      </w:r>
      <w:r w:rsidRPr="00C1537E">
        <w:t xml:space="preserve">of any competitive disadvantages of government ownership. </w:t>
      </w:r>
    </w:p>
    <w:p w14:paraId="7C86603E" w14:textId="57A615DE" w:rsidR="002270D3" w:rsidRDefault="002270D3" w:rsidP="00C1537E">
      <w:pPr>
        <w:pStyle w:val="ListBullet2"/>
        <w:rPr>
          <w:spacing w:val="-2"/>
        </w:rPr>
      </w:pPr>
      <w:r w:rsidRPr="00C1537E">
        <w:t xml:space="preserve">However, this approach runs the risk of introducing a disincentive for government businesses to </w:t>
      </w:r>
      <w:r w:rsidR="00FA67E0" w:rsidRPr="00C1537E">
        <w:t xml:space="preserve">pursue efficiencies that would </w:t>
      </w:r>
      <w:r w:rsidRPr="00C1537E">
        <w:t>reduce the cost of those competitive disadvantages of government</w:t>
      </w:r>
      <w:r w:rsidR="00FA67E0" w:rsidRPr="00C1537E">
        <w:t xml:space="preserve">. </w:t>
      </w:r>
      <w:r w:rsidR="28025EC9" w:rsidRPr="00C1537E">
        <w:t>If a government</w:t>
      </w:r>
      <w:r w:rsidR="28025EC9" w:rsidRPr="00AC4DF5">
        <w:rPr>
          <w:spacing w:val="-2"/>
        </w:rPr>
        <w:t xml:space="preserve"> business has a </w:t>
      </w:r>
      <w:r w:rsidR="28025EC9" w:rsidRPr="00AC4DF5">
        <w:rPr>
          <w:i/>
          <w:iCs/>
          <w:spacing w:val="-2"/>
        </w:rPr>
        <w:t>net</w:t>
      </w:r>
      <w:r w:rsidR="28025EC9" w:rsidRPr="00AC4DF5">
        <w:rPr>
          <w:spacing w:val="-2"/>
        </w:rPr>
        <w:t xml:space="preserve"> competitive advantage, then any investment or action that reduces the </w:t>
      </w:r>
      <w:r w:rsidR="00875460" w:rsidRPr="00AC4DF5">
        <w:rPr>
          <w:spacing w:val="-2"/>
        </w:rPr>
        <w:t>cost of the competitive disadvantages would simply result in a higher net competitive advantage, and a higher competitive neutrality payment</w:t>
      </w:r>
      <w:r w:rsidR="00F36897" w:rsidRPr="00AC4DF5">
        <w:rPr>
          <w:spacing w:val="-2"/>
        </w:rPr>
        <w:t>, with no benefit flowing to the government business.</w:t>
      </w:r>
      <w:r w:rsidRPr="00AC4DF5">
        <w:rPr>
          <w:spacing w:val="-2"/>
        </w:rPr>
        <w:t xml:space="preserve"> This concern suggests that, in some cases, a different approach to achieving no net competitive advantage might be warranted</w:t>
      </w:r>
      <w:r w:rsidR="00FA67E0" w:rsidRPr="00AC4DF5">
        <w:rPr>
          <w:spacing w:val="-2"/>
        </w:rPr>
        <w:t xml:space="preserve"> (</w:t>
      </w:r>
      <w:r w:rsidR="00606D1E" w:rsidRPr="00AC4DF5">
        <w:rPr>
          <w:spacing w:val="-2"/>
        </w:rPr>
        <w:t>for example,</w:t>
      </w:r>
      <w:r w:rsidR="00FA67E0" w:rsidRPr="00AC4DF5">
        <w:rPr>
          <w:spacing w:val="-2"/>
        </w:rPr>
        <w:t xml:space="preserve"> directly addressing advantages and disadvantages separately)</w:t>
      </w:r>
      <w:r w:rsidRPr="00AC4DF5">
        <w:rPr>
          <w:spacing w:val="-2"/>
        </w:rPr>
        <w:t>.</w:t>
      </w:r>
    </w:p>
    <w:p w14:paraId="4FE81205" w14:textId="77777777" w:rsidR="002E2ED4" w:rsidRPr="00AC4DF5" w:rsidRDefault="002E2ED4" w:rsidP="002E2ED4">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AC4DF5" w14:paraId="5A106798" w14:textId="77777777" w:rsidTr="006726A3">
        <w:tc>
          <w:tcPr>
            <w:tcW w:w="9638" w:type="dxa"/>
            <w:shd w:val="clear" w:color="auto" w:fill="E7F6FD"/>
            <w:tcMar>
              <w:top w:w="0" w:type="dxa"/>
            </w:tcMar>
          </w:tcPr>
          <w:p w14:paraId="20AC46CB" w14:textId="77777777" w:rsidR="00AC4DF5" w:rsidRDefault="00AC4DF5" w:rsidP="00EC1946">
            <w:pPr>
              <w:pStyle w:val="BodyText"/>
              <w:spacing w:before="240"/>
            </w:pPr>
            <w:r>
              <w:t>The review should consider clarifying a number of definitional aspects of the operation of competitive neutrality policy, to improve the effectiveness of the policy and the outcomes it achieves, including:</w:t>
            </w:r>
          </w:p>
          <w:p w14:paraId="0C249F35" w14:textId="59B8FF51" w:rsidR="00AC4DF5" w:rsidRDefault="00AC4DF5" w:rsidP="00AC4DF5">
            <w:pPr>
              <w:pStyle w:val="ListBullet"/>
            </w:pPr>
            <w:r>
              <w:t>scope of entities covered under ‘government’</w:t>
            </w:r>
          </w:p>
          <w:p w14:paraId="73FC7656" w14:textId="6F870A85" w:rsidR="00AC4DF5" w:rsidRDefault="00AC4DF5" w:rsidP="00AC4DF5">
            <w:pPr>
              <w:pStyle w:val="ListBullet"/>
            </w:pPr>
            <w:r>
              <w:t>what constitutes business activity</w:t>
            </w:r>
          </w:p>
          <w:p w14:paraId="3754C963" w14:textId="116CC04F" w:rsidR="00AC4DF5" w:rsidRDefault="00AC4DF5" w:rsidP="00AC4DF5">
            <w:pPr>
              <w:pStyle w:val="ListBullet"/>
            </w:pPr>
            <w:r>
              <w:t>consideration of material disadvantages</w:t>
            </w:r>
          </w:p>
          <w:p w14:paraId="522B16A4" w14:textId="4E57A0A2" w:rsidR="00AC4DF5" w:rsidRPr="00767EAE" w:rsidRDefault="00AC4DF5" w:rsidP="00AC4DF5">
            <w:pPr>
              <w:pStyle w:val="ListBullet"/>
            </w:pPr>
            <w:r>
              <w:t>treatment of potential moral hazards.</w:t>
            </w:r>
          </w:p>
        </w:tc>
      </w:tr>
      <w:tr w:rsidR="00AC4DF5" w14:paraId="6FD4CA76" w14:textId="77777777" w:rsidTr="006726A3">
        <w:tc>
          <w:tcPr>
            <w:tcW w:w="9638" w:type="dxa"/>
            <w:shd w:val="clear" w:color="auto" w:fill="auto"/>
            <w:tcMar>
              <w:top w:w="0" w:type="dxa"/>
              <w:bottom w:w="0" w:type="dxa"/>
            </w:tcMar>
          </w:tcPr>
          <w:p w14:paraId="42632024" w14:textId="77777777" w:rsidR="00AC4DF5" w:rsidRPr="007E0EA8" w:rsidRDefault="00AC4DF5" w:rsidP="006726A3">
            <w:pPr>
              <w:pStyle w:val="NoSpacing"/>
              <w:spacing w:line="200" w:lineRule="exact"/>
            </w:pPr>
          </w:p>
        </w:tc>
      </w:tr>
    </w:tbl>
    <w:p w14:paraId="2E2C1529" w14:textId="0EB00FD6" w:rsidR="00CA5901" w:rsidRDefault="00CA5901" w:rsidP="00CA5901">
      <w:pPr>
        <w:pStyle w:val="Heading3"/>
      </w:pPr>
      <w:r>
        <w:t>Updates to competitive neutrality policy</w:t>
      </w:r>
    </w:p>
    <w:p w14:paraId="3CCB11B2" w14:textId="719966E5" w:rsidR="006A2310" w:rsidRDefault="00CA5901" w:rsidP="00CA5901">
      <w:pPr>
        <w:pStyle w:val="BodyText"/>
      </w:pPr>
      <w:r>
        <w:t>There are areas where competitive neutrality policy has become outdated</w:t>
      </w:r>
      <w:r w:rsidR="00CD1B03">
        <w:t xml:space="preserve"> in the 30 years since the National Competition Policy was agreed. These are areas where practices have moved on in ways not foreseen at the time, </w:t>
      </w:r>
      <w:r w:rsidR="00EF6206">
        <w:t xml:space="preserve">where the policy </w:t>
      </w:r>
      <w:r w:rsidR="00450B65">
        <w:t>has been shown to not operate effectively, or where rigidities in the polic</w:t>
      </w:r>
      <w:r w:rsidR="71EBDBD3">
        <w:t>y’s</w:t>
      </w:r>
      <w:r w:rsidR="00450B65">
        <w:t xml:space="preserve"> formulation have become less relevant over time. </w:t>
      </w:r>
      <w:r w:rsidR="006E204E">
        <w:t>Consideration should be give</w:t>
      </w:r>
      <w:r w:rsidR="009E7097">
        <w:t>n</w:t>
      </w:r>
      <w:r w:rsidR="006E204E">
        <w:t xml:space="preserve"> to:</w:t>
      </w:r>
    </w:p>
    <w:p w14:paraId="20C612ED" w14:textId="674D5C10" w:rsidR="000D7AEB" w:rsidRDefault="0004449B" w:rsidP="00F25C31">
      <w:pPr>
        <w:pStyle w:val="ListBullet"/>
      </w:pPr>
      <w:r>
        <w:t>R</w:t>
      </w:r>
      <w:r w:rsidR="00D24229">
        <w:t>emov</w:t>
      </w:r>
      <w:r w:rsidR="006E204E">
        <w:t>ing</w:t>
      </w:r>
      <w:r w:rsidR="00D24229">
        <w:t xml:space="preserve"> the requirement to make</w:t>
      </w:r>
      <w:r w:rsidR="003650D3" w:rsidRPr="003650D3">
        <w:t xml:space="preserve"> dividend payment</w:t>
      </w:r>
      <w:r w:rsidR="00D24229">
        <w:t>s</w:t>
      </w:r>
      <w:r>
        <w:t>.</w:t>
      </w:r>
    </w:p>
    <w:p w14:paraId="0E7F3C37" w14:textId="2857A49E" w:rsidR="003650D3" w:rsidRPr="00FD2099" w:rsidRDefault="008E1BF7" w:rsidP="00C1537E">
      <w:pPr>
        <w:pStyle w:val="ListBullet2"/>
        <w:rPr>
          <w:spacing w:val="-4"/>
        </w:rPr>
      </w:pPr>
      <w:r w:rsidRPr="00FD2099">
        <w:rPr>
          <w:spacing w:val="-4"/>
        </w:rPr>
        <w:t xml:space="preserve">The </w:t>
      </w:r>
      <w:r w:rsidR="002F2310" w:rsidRPr="00FD2099">
        <w:rPr>
          <w:spacing w:val="-4"/>
        </w:rPr>
        <w:t>Australian Government</w:t>
      </w:r>
      <w:r w:rsidRPr="00FD2099">
        <w:rPr>
          <w:spacing w:val="-4"/>
        </w:rPr>
        <w:t xml:space="preserve"> policy statement requires significant government businesses to ‘pay commercial dividends </w:t>
      </w:r>
      <w:r w:rsidR="001B68D6" w:rsidRPr="00FD2099">
        <w:rPr>
          <w:spacing w:val="-4"/>
        </w:rPr>
        <w:t>…</w:t>
      </w:r>
      <w:r w:rsidR="310142C4" w:rsidRPr="00FD2099">
        <w:rPr>
          <w:spacing w:val="-4"/>
        </w:rPr>
        <w:t xml:space="preserve"> </w:t>
      </w:r>
      <w:r w:rsidRPr="00FD2099">
        <w:rPr>
          <w:spacing w:val="-4"/>
        </w:rPr>
        <w:t xml:space="preserve">to the Budget’ </w:t>
      </w:r>
      <w:r w:rsidR="00086587" w:rsidRPr="00FD2099">
        <w:rPr>
          <w:rFonts w:cs="Arial"/>
          <w:spacing w:val="-4"/>
        </w:rPr>
        <w:t>(Australian Government 1996, p. 17)</w:t>
      </w:r>
      <w:r w:rsidR="00D24229" w:rsidRPr="00FD2099">
        <w:rPr>
          <w:spacing w:val="-4"/>
        </w:rPr>
        <w:t>. This requirement is not needed, as a government business that is otherwise complying with competitive neutrality (no competitive advantages from government ownership and earning a commercial rate of return)</w:t>
      </w:r>
      <w:r w:rsidR="003B6574" w:rsidRPr="00FD2099">
        <w:rPr>
          <w:spacing w:val="-4"/>
        </w:rPr>
        <w:t xml:space="preserve"> would also be required to earn a commercial rate of return on any retained profits</w:t>
      </w:r>
      <w:r w:rsidR="006639F6" w:rsidRPr="00FD2099">
        <w:rPr>
          <w:spacing w:val="-4"/>
        </w:rPr>
        <w:t xml:space="preserve"> – so </w:t>
      </w:r>
      <w:r w:rsidR="001D57F5" w:rsidRPr="00FD2099">
        <w:rPr>
          <w:spacing w:val="-4"/>
        </w:rPr>
        <w:t>these</w:t>
      </w:r>
      <w:r w:rsidR="006639F6" w:rsidRPr="00FD2099">
        <w:rPr>
          <w:spacing w:val="-4"/>
        </w:rPr>
        <w:t xml:space="preserve"> do not represent access to cheap capital.</w:t>
      </w:r>
    </w:p>
    <w:p w14:paraId="17B9D7A7" w14:textId="4460352A" w:rsidR="000D7AEB" w:rsidRDefault="0004449B" w:rsidP="00AE568E">
      <w:pPr>
        <w:pStyle w:val="ListBullet"/>
        <w:keepNext/>
        <w:spacing w:after="60"/>
      </w:pPr>
      <w:r>
        <w:lastRenderedPageBreak/>
        <w:t>T</w:t>
      </w:r>
      <w:r w:rsidR="003650D3" w:rsidRPr="003650D3">
        <w:t xml:space="preserve">he need for a broader umbrella to counter </w:t>
      </w:r>
      <w:r w:rsidR="00F628CA">
        <w:t xml:space="preserve">all forms of </w:t>
      </w:r>
      <w:r w:rsidR="003650D3" w:rsidRPr="003650D3">
        <w:t>lower cost financing</w:t>
      </w:r>
      <w:r w:rsidR="00F628CA">
        <w:t xml:space="preserve">, along with </w:t>
      </w:r>
      <w:r w:rsidR="003650D3" w:rsidRPr="003650D3">
        <w:t>caveats to the application of debt neutrality adjustment payments</w:t>
      </w:r>
      <w:r>
        <w:t>.</w:t>
      </w:r>
    </w:p>
    <w:p w14:paraId="733F583B" w14:textId="31777887" w:rsidR="000D7AEB" w:rsidRPr="00C1537E" w:rsidRDefault="00385193" w:rsidP="00AE568E">
      <w:pPr>
        <w:pStyle w:val="ListBullet2"/>
        <w:spacing w:before="60"/>
      </w:pPr>
      <w:r>
        <w:t xml:space="preserve">Debt neutrality aims to address a government business’s </w:t>
      </w:r>
      <w:r w:rsidR="7AA13CAF">
        <w:t xml:space="preserve">cost of </w:t>
      </w:r>
      <w:r>
        <w:t>access to financ</w:t>
      </w:r>
      <w:r w:rsidR="432EA9BC">
        <w:t>e</w:t>
      </w:r>
      <w:r>
        <w:t xml:space="preserve"> where th</w:t>
      </w:r>
      <w:r w:rsidR="28EB2235">
        <w:t xml:space="preserve">is cost is </w:t>
      </w:r>
      <w:r>
        <w:t xml:space="preserve">lower than </w:t>
      </w:r>
      <w:r w:rsidRPr="00C1537E">
        <w:t>their competitors</w:t>
      </w:r>
      <w:r w:rsidR="3B2730FE" w:rsidRPr="00C1537E">
        <w:t xml:space="preserve"> because of its government ownership</w:t>
      </w:r>
      <w:r w:rsidRPr="00C1537E">
        <w:t>. The policy is silent on moder</w:t>
      </w:r>
      <w:r w:rsidR="00BB3E50" w:rsidRPr="00C1537E">
        <w:t xml:space="preserve">n forms of financing, such as structured financing, leases, and special purpose vehicles, which may also be priced </w:t>
      </w:r>
      <w:r w:rsidR="000D7AEB" w:rsidRPr="00C1537E">
        <w:t xml:space="preserve">favourably </w:t>
      </w:r>
      <w:r w:rsidR="00BB3E50" w:rsidRPr="00C1537E">
        <w:t xml:space="preserve">based on </w:t>
      </w:r>
      <w:r w:rsidR="000D7AEB" w:rsidRPr="00C1537E">
        <w:t>an implicit government guarantee.</w:t>
      </w:r>
    </w:p>
    <w:p w14:paraId="0A84323A" w14:textId="65BB8B59" w:rsidR="003650D3" w:rsidRPr="003650D3" w:rsidRDefault="007669BB" w:rsidP="00C1537E">
      <w:pPr>
        <w:pStyle w:val="ListBullet2"/>
      </w:pPr>
      <w:r w:rsidRPr="00C1537E">
        <w:t xml:space="preserve">Debt neutrality considerations may also fail to </w:t>
      </w:r>
      <w:r w:rsidR="00AA128F" w:rsidRPr="00C1537E">
        <w:t>consider</w:t>
      </w:r>
      <w:r w:rsidRPr="00C1537E">
        <w:t xml:space="preserve"> the </w:t>
      </w:r>
      <w:r w:rsidR="005007FA" w:rsidRPr="00C1537E">
        <w:t>degree of autonomy a government business may</w:t>
      </w:r>
      <w:r w:rsidR="005007FA">
        <w:t xml:space="preserve"> have in determining their capital management policies and practices.</w:t>
      </w:r>
      <w:r w:rsidR="00F628CA">
        <w:t xml:space="preserve"> </w:t>
      </w:r>
      <w:r w:rsidR="00FE6966">
        <w:t>Debt neutrality payments may require adjust</w:t>
      </w:r>
      <w:r w:rsidR="62F15EF6">
        <w:t>ment</w:t>
      </w:r>
      <w:r w:rsidR="00FE6966">
        <w:t xml:space="preserve"> where a government business has limited </w:t>
      </w:r>
      <w:r w:rsidR="00331FD9">
        <w:t>autonomy in debt decisions.</w:t>
      </w:r>
    </w:p>
    <w:p w14:paraId="43D70193" w14:textId="02B118FA" w:rsidR="001E06A8" w:rsidRDefault="0004449B" w:rsidP="00AE568E">
      <w:pPr>
        <w:pStyle w:val="ListBullet"/>
        <w:keepNext/>
        <w:spacing w:after="60"/>
      </w:pPr>
      <w:r>
        <w:t>T</w:t>
      </w:r>
      <w:r w:rsidR="003650D3" w:rsidRPr="003650D3">
        <w:t xml:space="preserve">he need to reformulate the commerciality test in </w:t>
      </w:r>
      <w:r w:rsidR="00331FD9">
        <w:t>competitive neutrality</w:t>
      </w:r>
      <w:r w:rsidR="003650D3" w:rsidRPr="003650D3">
        <w:t xml:space="preserve"> policy</w:t>
      </w:r>
      <w:r>
        <w:t>.</w:t>
      </w:r>
    </w:p>
    <w:p w14:paraId="5CB6D7D1" w14:textId="2A642E36" w:rsidR="00F25C31" w:rsidRDefault="00C2111A" w:rsidP="00AE568E">
      <w:pPr>
        <w:pStyle w:val="ListBullet2"/>
        <w:keepNext/>
        <w:spacing w:before="60"/>
      </w:pPr>
      <w:r>
        <w:t xml:space="preserve">This was discussed in the AGCNCO’s </w:t>
      </w:r>
      <w:r w:rsidR="00F25C31">
        <w:t>NBN Co report. Finding 6.2 stated:</w:t>
      </w:r>
    </w:p>
    <w:p w14:paraId="13B85C3D" w14:textId="68B3B206" w:rsidR="00DD019F" w:rsidRPr="00774ED0" w:rsidRDefault="00F25C31" w:rsidP="0004449B">
      <w:pPr>
        <w:pStyle w:val="Quote"/>
        <w:ind w:left="227"/>
        <w:rPr>
          <w:spacing w:val="-2"/>
        </w:rPr>
      </w:pPr>
      <w:r w:rsidRPr="00774ED0">
        <w:rPr>
          <w:spacing w:val="-2"/>
        </w:rPr>
        <w:t>There is merit in re-specifying the commerciality test in competitive neutrality policy. The existing requirement in competitive neutrality policy that a government business should earn a commercial rate of return over a reasonable period does not take account of the fact that government policy constraints and unanticipated shocks to costs or demand may make it impossible for even a fully commercially oriented business to ever make an ex post commercial rate of return on its assets.</w:t>
      </w:r>
      <w:r w:rsidR="00086587">
        <w:rPr>
          <w:spacing w:val="-2"/>
        </w:rPr>
        <w:t xml:space="preserve"> </w:t>
      </w:r>
      <w:r w:rsidR="00EA5865" w:rsidRPr="00EA5865">
        <w:rPr>
          <w:rFonts w:ascii="Arial" w:hAnsi="Arial" w:cs="Arial"/>
        </w:rPr>
        <w:t>(AGCNCO 2022, p. 93)</w:t>
      </w:r>
      <w:r w:rsidR="00C31E19">
        <w:rPr>
          <w:spacing w:val="-2"/>
        </w:rPr>
        <w:t xml:space="preserve"> </w:t>
      </w:r>
    </w:p>
    <w:p w14:paraId="70511F91" w14:textId="2A92C9AA" w:rsidR="009E7097" w:rsidRDefault="0004449B" w:rsidP="00AE568E">
      <w:pPr>
        <w:pStyle w:val="ListBullet"/>
        <w:keepNext/>
        <w:spacing w:after="60"/>
      </w:pPr>
      <w:r>
        <w:t>T</w:t>
      </w:r>
      <w:r w:rsidR="009E7097">
        <w:t xml:space="preserve">he contemporary relevance of </w:t>
      </w:r>
      <w:r w:rsidR="009E7097" w:rsidRPr="00BB4D88">
        <w:t>financial</w:t>
      </w:r>
      <w:r w:rsidR="009E7097">
        <w:t xml:space="preserve"> thresholds in the </w:t>
      </w:r>
      <w:r w:rsidR="009E7097" w:rsidRPr="00386B34">
        <w:rPr>
          <w:i/>
        </w:rPr>
        <w:t>Competitive Neutrality Guidelines for Managers</w:t>
      </w:r>
      <w:r w:rsidR="009E7097">
        <w:t xml:space="preserve"> </w:t>
      </w:r>
      <w:r w:rsidR="00AC422F" w:rsidRPr="00AC422F">
        <w:rPr>
          <w:rFonts w:ascii="Arial" w:hAnsi="Arial" w:cs="Arial"/>
        </w:rPr>
        <w:t xml:space="preserve">(Treasury and </w:t>
      </w:r>
      <w:proofErr w:type="spellStart"/>
      <w:r w:rsidR="00AC422F" w:rsidRPr="00AE568E">
        <w:t>DoFA</w:t>
      </w:r>
      <w:proofErr w:type="spellEnd"/>
      <w:r w:rsidR="00AC422F" w:rsidRPr="00AC422F">
        <w:rPr>
          <w:rFonts w:ascii="Arial" w:hAnsi="Arial" w:cs="Arial"/>
        </w:rPr>
        <w:t> 2004)</w:t>
      </w:r>
      <w:r>
        <w:t>.</w:t>
      </w:r>
    </w:p>
    <w:p w14:paraId="7334EA78" w14:textId="77777777" w:rsidR="009E7097" w:rsidRDefault="009E7097" w:rsidP="00AE568E">
      <w:pPr>
        <w:pStyle w:val="ListBullet2"/>
        <w:keepNext/>
        <w:spacing w:before="60"/>
      </w:pPr>
      <w:r>
        <w:t xml:space="preserve">These guidelines contain some dollar thresholds which are not indexed. These thresholds have reduced </w:t>
      </w:r>
      <w:r w:rsidRPr="000C664E">
        <w:t>over</w:t>
      </w:r>
      <w:r>
        <w:t xml:space="preserve"> the last 20 years in real terms and may now be capturing a greater range of activity than was originally intended. The guidelines supporting the policy should be updated.</w:t>
      </w:r>
    </w:p>
    <w:p w14:paraId="17418A7A" w14:textId="77777777" w:rsidR="000C664E" w:rsidRDefault="000C664E" w:rsidP="000C664E">
      <w:pPr>
        <w:pStyle w:val="NoSpacing"/>
      </w:pPr>
    </w:p>
    <w:tbl>
      <w:tblPr>
        <w:tblStyle w:val="Texttable-Paleblue"/>
        <w:tblW w:w="5000" w:type="pct"/>
        <w:tblCellMar>
          <w:top w:w="170" w:type="dxa"/>
          <w:left w:w="170" w:type="dxa"/>
          <w:bottom w:w="170" w:type="dxa"/>
          <w:right w:w="170" w:type="dxa"/>
        </w:tblCellMar>
        <w:tblLook w:val="04A0" w:firstRow="1" w:lastRow="0" w:firstColumn="1" w:lastColumn="0" w:noHBand="0" w:noVBand="1"/>
      </w:tblPr>
      <w:tblGrid>
        <w:gridCol w:w="9638"/>
      </w:tblGrid>
      <w:tr w:rsidR="000C664E" w14:paraId="0964B27C" w14:textId="77777777" w:rsidTr="006726A3">
        <w:tc>
          <w:tcPr>
            <w:tcW w:w="9638" w:type="dxa"/>
            <w:shd w:val="clear" w:color="auto" w:fill="E7F6FD"/>
            <w:tcMar>
              <w:top w:w="0" w:type="dxa"/>
            </w:tcMar>
          </w:tcPr>
          <w:p w14:paraId="0C5DE69C" w14:textId="31794C90" w:rsidR="000C664E" w:rsidRPr="00767EAE" w:rsidRDefault="00374D03" w:rsidP="00EC1946">
            <w:pPr>
              <w:pStyle w:val="BodyText"/>
              <w:spacing w:before="240"/>
            </w:pPr>
            <w:r w:rsidRPr="00374D03">
              <w:t>The review should consider updating aspects of competitive neutrality policy and guidance that have become dated or redundant, to improve the effectiveness of the policy and the outcomes it achieves.</w:t>
            </w:r>
          </w:p>
        </w:tc>
      </w:tr>
      <w:tr w:rsidR="000C664E" w14:paraId="21DE16E0" w14:textId="77777777" w:rsidTr="006726A3">
        <w:tc>
          <w:tcPr>
            <w:tcW w:w="9638" w:type="dxa"/>
            <w:shd w:val="clear" w:color="auto" w:fill="auto"/>
            <w:tcMar>
              <w:top w:w="0" w:type="dxa"/>
              <w:bottom w:w="0" w:type="dxa"/>
            </w:tcMar>
          </w:tcPr>
          <w:p w14:paraId="77200148" w14:textId="77777777" w:rsidR="000C664E" w:rsidRPr="007E0EA8" w:rsidRDefault="000C664E" w:rsidP="006726A3">
            <w:pPr>
              <w:pStyle w:val="NoSpacing"/>
              <w:spacing w:line="200" w:lineRule="exact"/>
            </w:pPr>
          </w:p>
        </w:tc>
      </w:tr>
    </w:tbl>
    <w:p w14:paraId="565141CE" w14:textId="24FC1F3E" w:rsidR="003650D3" w:rsidRPr="00EC59CF" w:rsidRDefault="00F95989" w:rsidP="00EC59CF">
      <w:pPr>
        <w:pStyle w:val="BodyText"/>
        <w:rPr>
          <w:spacing w:val="-2"/>
          <w:lang w:val="en-GB"/>
        </w:rPr>
      </w:pPr>
      <w:r w:rsidRPr="00EC59CF">
        <w:rPr>
          <w:spacing w:val="-2"/>
        </w:rPr>
        <w:t>Overall, the</w:t>
      </w:r>
      <w:r w:rsidR="005948D1" w:rsidRPr="00EC59CF">
        <w:rPr>
          <w:spacing w:val="-2"/>
        </w:rPr>
        <w:t xml:space="preserve"> </w:t>
      </w:r>
      <w:r w:rsidR="00B5548F" w:rsidRPr="00EC59CF">
        <w:rPr>
          <w:spacing w:val="-2"/>
        </w:rPr>
        <w:t>PC</w:t>
      </w:r>
      <w:r w:rsidRPr="00EC59CF">
        <w:rPr>
          <w:spacing w:val="-2"/>
        </w:rPr>
        <w:t xml:space="preserve"> considers that </w:t>
      </w:r>
      <w:r w:rsidR="00800294" w:rsidRPr="00EC59CF">
        <w:rPr>
          <w:spacing w:val="-2"/>
        </w:rPr>
        <w:t>competitive neutrality</w:t>
      </w:r>
      <w:r w:rsidRPr="00EC59CF">
        <w:rPr>
          <w:spacing w:val="-2"/>
        </w:rPr>
        <w:t xml:space="preserve"> policy has served Australians well</w:t>
      </w:r>
      <w:r w:rsidR="00FA5EF8" w:rsidRPr="00EC59CF">
        <w:rPr>
          <w:spacing w:val="-2"/>
        </w:rPr>
        <w:t xml:space="preserve">, with the 1996 Competitive Neutrality Policy Statement </w:t>
      </w:r>
      <w:r w:rsidR="00C62030" w:rsidRPr="00EC59CF">
        <w:rPr>
          <w:spacing w:val="-2"/>
        </w:rPr>
        <w:t>continuing to be</w:t>
      </w:r>
      <w:r w:rsidR="00FA5EF8" w:rsidRPr="00EC59CF">
        <w:rPr>
          <w:spacing w:val="-2"/>
        </w:rPr>
        <w:t xml:space="preserve"> fit for purpose</w:t>
      </w:r>
      <w:r w:rsidRPr="00EC59CF">
        <w:rPr>
          <w:spacing w:val="-2"/>
        </w:rPr>
        <w:t>.</w:t>
      </w:r>
      <w:r w:rsidRPr="00EC59CF">
        <w:rPr>
          <w:spacing w:val="-2"/>
          <w:lang w:val="en-GB"/>
        </w:rPr>
        <w:t xml:space="preserve"> </w:t>
      </w:r>
      <w:r w:rsidR="00FA5EF8" w:rsidRPr="00EC59CF">
        <w:rPr>
          <w:spacing w:val="-2"/>
          <w:lang w:val="en-GB"/>
        </w:rPr>
        <w:t>Our</w:t>
      </w:r>
      <w:r w:rsidRPr="00EC59CF">
        <w:rPr>
          <w:spacing w:val="-2"/>
          <w:lang w:val="en-GB"/>
        </w:rPr>
        <w:t xml:space="preserve"> experience</w:t>
      </w:r>
      <w:r w:rsidR="00B5548F" w:rsidRPr="00EC59CF">
        <w:rPr>
          <w:spacing w:val="-2"/>
          <w:lang w:val="en-GB"/>
        </w:rPr>
        <w:t>,</w:t>
      </w:r>
      <w:r w:rsidRPr="00EC59CF">
        <w:rPr>
          <w:spacing w:val="-2"/>
          <w:lang w:val="en-GB"/>
        </w:rPr>
        <w:t xml:space="preserve"> </w:t>
      </w:r>
      <w:r w:rsidR="00B5548F" w:rsidRPr="00EC59CF">
        <w:rPr>
          <w:spacing w:val="-2"/>
          <w:lang w:val="en-GB"/>
        </w:rPr>
        <w:t>through the AGCNCO,</w:t>
      </w:r>
      <w:r w:rsidR="00C62030" w:rsidRPr="00EC59CF">
        <w:rPr>
          <w:spacing w:val="-2"/>
          <w:lang w:val="en-GB"/>
        </w:rPr>
        <w:t xml:space="preserve"> </w:t>
      </w:r>
      <w:r w:rsidRPr="00EC59CF">
        <w:rPr>
          <w:spacing w:val="-2"/>
          <w:lang w:val="en-GB"/>
        </w:rPr>
        <w:t xml:space="preserve">has shown some areas </w:t>
      </w:r>
      <w:r w:rsidR="00B5548F" w:rsidRPr="00EC59CF">
        <w:rPr>
          <w:spacing w:val="-2"/>
          <w:lang w:val="en-GB"/>
        </w:rPr>
        <w:t>where</w:t>
      </w:r>
      <w:r w:rsidRPr="00EC59CF">
        <w:rPr>
          <w:spacing w:val="-2"/>
          <w:lang w:val="en-GB"/>
        </w:rPr>
        <w:t xml:space="preserve"> improvement</w:t>
      </w:r>
      <w:r w:rsidR="00B5548F" w:rsidRPr="00EC59CF">
        <w:rPr>
          <w:spacing w:val="-2"/>
          <w:lang w:val="en-GB"/>
        </w:rPr>
        <w:t>s can be made</w:t>
      </w:r>
      <w:r w:rsidRPr="00EC59CF">
        <w:rPr>
          <w:spacing w:val="-2"/>
          <w:lang w:val="en-GB"/>
        </w:rPr>
        <w:t>. The PC hopes that th</w:t>
      </w:r>
      <w:r w:rsidR="00B5548F" w:rsidRPr="00EC59CF">
        <w:rPr>
          <w:spacing w:val="-2"/>
          <w:lang w:val="en-GB"/>
        </w:rPr>
        <w:t>is</w:t>
      </w:r>
      <w:r w:rsidRPr="00EC59CF">
        <w:rPr>
          <w:spacing w:val="-2"/>
          <w:lang w:val="en-GB"/>
        </w:rPr>
        <w:t xml:space="preserve"> review can be instrumental in improving the effectiveness </w:t>
      </w:r>
      <w:r w:rsidR="00386B34" w:rsidRPr="00EC59CF">
        <w:rPr>
          <w:spacing w:val="-2"/>
          <w:lang w:val="en-GB"/>
        </w:rPr>
        <w:t xml:space="preserve">of the policy, including the operation of </w:t>
      </w:r>
      <w:r w:rsidR="00B12B54" w:rsidRPr="00EC59CF">
        <w:rPr>
          <w:spacing w:val="-2"/>
          <w:lang w:val="en-GB"/>
        </w:rPr>
        <w:t>the</w:t>
      </w:r>
      <w:r w:rsidR="00386B34" w:rsidRPr="00EC59CF">
        <w:rPr>
          <w:spacing w:val="-2"/>
          <w:lang w:val="en-GB"/>
        </w:rPr>
        <w:t xml:space="preserve"> complaints mechanism.</w:t>
      </w:r>
      <w:r w:rsidRPr="00EC59CF">
        <w:rPr>
          <w:spacing w:val="-2"/>
          <w:lang w:val="en-GB"/>
        </w:rPr>
        <w:t xml:space="preserve"> </w:t>
      </w:r>
    </w:p>
    <w:p w14:paraId="5EACF712" w14:textId="77777777" w:rsidR="004E55D7" w:rsidRDefault="00374D03" w:rsidP="00807217">
      <w:pPr>
        <w:pStyle w:val="Heading2-nonumber"/>
        <w:sectPr w:rsidR="004E55D7" w:rsidSect="00D562BA">
          <w:headerReference w:type="even" r:id="rId30"/>
          <w:headerReference w:type="default" r:id="rId31"/>
          <w:headerReference w:type="first" r:id="rId32"/>
          <w:pgSz w:w="11906" w:h="16838" w:code="9"/>
          <w:pgMar w:top="1134" w:right="1134" w:bottom="1134" w:left="1134" w:header="794" w:footer="510" w:gutter="0"/>
          <w:cols w:space="708"/>
          <w:docGrid w:linePitch="360"/>
        </w:sectPr>
      </w:pPr>
      <w:bookmarkStart w:id="5" w:name="_Toc178954693"/>
      <w:r w:rsidRPr="00807217">
        <w:t>References</w:t>
      </w:r>
      <w:bookmarkEnd w:id="5"/>
    </w:p>
    <w:p w14:paraId="30539662" w14:textId="037A2E2A" w:rsidR="00AC422F" w:rsidRPr="00D312AC" w:rsidRDefault="00AC422F" w:rsidP="004E55D7">
      <w:pPr>
        <w:pStyle w:val="Reference"/>
        <w:rPr>
          <w:spacing w:val="-4"/>
        </w:rPr>
      </w:pPr>
      <w:r w:rsidRPr="00D312AC">
        <w:rPr>
          <w:spacing w:val="-4"/>
        </w:rPr>
        <w:t xml:space="preserve">AGCNCO (Australian Government Competitive Neutrality Complaints Office) 2022, </w:t>
      </w:r>
      <w:r w:rsidRPr="00D312AC">
        <w:rPr>
          <w:i/>
          <w:iCs/>
          <w:spacing w:val="-4"/>
        </w:rPr>
        <w:t>NBN Co</w:t>
      </w:r>
      <w:r w:rsidRPr="00D312AC">
        <w:rPr>
          <w:spacing w:val="-4"/>
        </w:rPr>
        <w:t xml:space="preserve">, Investigation no. 18, </w:t>
      </w:r>
      <w:r w:rsidR="00117A04">
        <w:rPr>
          <w:spacing w:val="-4"/>
        </w:rPr>
        <w:t>Productivity Commission</w:t>
      </w:r>
      <w:r w:rsidR="00804071">
        <w:rPr>
          <w:spacing w:val="-4"/>
        </w:rPr>
        <w:t>, Canberra</w:t>
      </w:r>
      <w:r w:rsidRPr="00D312AC">
        <w:rPr>
          <w:spacing w:val="-4"/>
        </w:rPr>
        <w:t>.</w:t>
      </w:r>
    </w:p>
    <w:p w14:paraId="11BCEABF" w14:textId="77777777" w:rsidR="00AC422F" w:rsidRPr="00AC422F" w:rsidRDefault="00AC422F" w:rsidP="004E55D7">
      <w:pPr>
        <w:pStyle w:val="Reference"/>
      </w:pPr>
      <w:r w:rsidRPr="00AC422F">
        <w:t xml:space="preserve">Australian Government 1996, </w:t>
      </w:r>
      <w:r w:rsidRPr="00AC422F">
        <w:rPr>
          <w:i/>
          <w:iCs/>
        </w:rPr>
        <w:t>Commonwealth Competitive Neutrality Policy Statement</w:t>
      </w:r>
      <w:r w:rsidRPr="00AC422F">
        <w:t>, June.</w:t>
      </w:r>
    </w:p>
    <w:p w14:paraId="17865D42" w14:textId="77777777" w:rsidR="00AC422F" w:rsidRPr="00AC422F" w:rsidRDefault="00AC422F" w:rsidP="004E55D7">
      <w:pPr>
        <w:pStyle w:val="Reference"/>
      </w:pPr>
      <w:r w:rsidRPr="00AC422F">
        <w:t xml:space="preserve">CAPEC (Conference of Asia Pacific Express Carriers) 2022, </w:t>
      </w:r>
      <w:r w:rsidRPr="00AC422F">
        <w:rPr>
          <w:i/>
          <w:iCs/>
        </w:rPr>
        <w:t>Supporting submission to competitive neutrality complaint</w:t>
      </w:r>
      <w:r w:rsidRPr="00AC422F">
        <w:t>.</w:t>
      </w:r>
    </w:p>
    <w:p w14:paraId="18B4657A" w14:textId="6E1E2CD6" w:rsidR="00AC422F" w:rsidRPr="00AC422F" w:rsidRDefault="00AC422F" w:rsidP="004E55D7">
      <w:pPr>
        <w:pStyle w:val="Reference"/>
      </w:pPr>
      <w:r w:rsidRPr="00AC422F">
        <w:t xml:space="preserve">Harper, PI, Anderson, P, McCluskey, S and O’Bryan QC, M 2015, </w:t>
      </w:r>
      <w:r w:rsidRPr="00AC422F">
        <w:rPr>
          <w:i/>
          <w:iCs/>
        </w:rPr>
        <w:t>Competition Policy Review Final Report</w:t>
      </w:r>
      <w:r w:rsidRPr="00AC422F">
        <w:t>, March.</w:t>
      </w:r>
    </w:p>
    <w:p w14:paraId="5BA5AB25" w14:textId="20FCDB40" w:rsidR="00AC422F" w:rsidRPr="00AC422F" w:rsidRDefault="00AC422F" w:rsidP="004E55D7">
      <w:pPr>
        <w:pStyle w:val="Reference"/>
      </w:pPr>
      <w:r w:rsidRPr="00AC422F">
        <w:t xml:space="preserve">Healey, D and Smith, RL 2018, ‘Competitive Neutrality in Australia: Opportunity for Policy Development’, </w:t>
      </w:r>
      <w:r w:rsidRPr="00AC422F">
        <w:rPr>
          <w:i/>
          <w:iCs/>
        </w:rPr>
        <w:t>Competition and Consumer Law Journal</w:t>
      </w:r>
      <w:r w:rsidRPr="00AC422F">
        <w:t>, vol. 25, pp. 223–248.</w:t>
      </w:r>
    </w:p>
    <w:p w14:paraId="7DA3A29F" w14:textId="2D9EE451" w:rsidR="00AC422F" w:rsidRPr="00AC422F" w:rsidRDefault="00AC422F" w:rsidP="004E55D7">
      <w:pPr>
        <w:pStyle w:val="Reference"/>
      </w:pPr>
      <w:r w:rsidRPr="00AC422F">
        <w:t xml:space="preserve">PC (Productivity Commission) 2014, </w:t>
      </w:r>
      <w:r w:rsidRPr="00AC422F">
        <w:rPr>
          <w:i/>
          <w:iCs/>
        </w:rPr>
        <w:t>Submission to the Competition Policy Review</w:t>
      </w:r>
      <w:r w:rsidR="001E2BC3" w:rsidRPr="001E2BC3">
        <w:t>, Canberra</w:t>
      </w:r>
      <w:r w:rsidRPr="001E2BC3">
        <w:t>.</w:t>
      </w:r>
    </w:p>
    <w:p w14:paraId="09A2BB74" w14:textId="040284DF" w:rsidR="00AC422F" w:rsidRPr="00AC422F" w:rsidRDefault="00AC422F" w:rsidP="004E55D7">
      <w:pPr>
        <w:pStyle w:val="Reference"/>
      </w:pPr>
      <w:r w:rsidRPr="00AC422F">
        <w:t xml:space="preserve">The Treasury 2024, </w:t>
      </w:r>
      <w:r w:rsidRPr="00AC422F">
        <w:rPr>
          <w:i/>
          <w:iCs/>
        </w:rPr>
        <w:t xml:space="preserve">Revitalising National Competition Policy </w:t>
      </w:r>
      <w:r w:rsidR="00AE568E">
        <w:rPr>
          <w:i/>
          <w:iCs/>
        </w:rPr>
        <w:t>–</w:t>
      </w:r>
      <w:r w:rsidRPr="00AC422F">
        <w:rPr>
          <w:i/>
          <w:iCs/>
        </w:rPr>
        <w:t xml:space="preserve"> Consultation Paper</w:t>
      </w:r>
      <w:r w:rsidRPr="00AC422F">
        <w:t>, August.</w:t>
      </w:r>
    </w:p>
    <w:p w14:paraId="2539C6F2" w14:textId="28FD08A8" w:rsidR="00374D03" w:rsidRPr="00076A6C" w:rsidRDefault="00AC422F" w:rsidP="004E55D7">
      <w:pPr>
        <w:pStyle w:val="Reference"/>
      </w:pPr>
      <w:r w:rsidRPr="00AC422F">
        <w:t xml:space="preserve">Treasury and </w:t>
      </w:r>
      <w:proofErr w:type="spellStart"/>
      <w:r w:rsidRPr="00AC422F">
        <w:t>DoFA</w:t>
      </w:r>
      <w:proofErr w:type="spellEnd"/>
      <w:r w:rsidRPr="00AC422F">
        <w:t xml:space="preserve"> (Australia Government Department of the Treasury and Australia Government Department of Finance and Administration) 2004, </w:t>
      </w:r>
      <w:r w:rsidRPr="00AC422F">
        <w:rPr>
          <w:i/>
          <w:iCs/>
        </w:rPr>
        <w:t>Australian Government Competitive Neutrality Guidelines for Managers</w:t>
      </w:r>
      <w:r w:rsidRPr="00AC422F">
        <w:t>, Financial Management Guidance no. 9, Canberra.</w:t>
      </w:r>
    </w:p>
    <w:sectPr w:rsidR="00374D03" w:rsidRPr="00076A6C" w:rsidSect="004E55D7">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1595D" w14:textId="77777777" w:rsidR="00FA03EA" w:rsidRDefault="00FA03EA" w:rsidP="008017BC">
      <w:r>
        <w:separator/>
      </w:r>
    </w:p>
    <w:p w14:paraId="20AE0F57" w14:textId="77777777" w:rsidR="00FA03EA" w:rsidRDefault="00FA03EA"/>
  </w:endnote>
  <w:endnote w:type="continuationSeparator" w:id="0">
    <w:p w14:paraId="246A56CE" w14:textId="77777777" w:rsidR="00FA03EA" w:rsidRDefault="00FA03EA" w:rsidP="008017BC">
      <w:r>
        <w:continuationSeparator/>
      </w:r>
    </w:p>
    <w:p w14:paraId="1E90EB5D" w14:textId="77777777" w:rsidR="00FA03EA" w:rsidRDefault="00FA03EA"/>
  </w:endnote>
  <w:endnote w:type="continuationNotice" w:id="1">
    <w:p w14:paraId="3C4E7E37" w14:textId="77777777" w:rsidR="00FA03EA" w:rsidRDefault="00FA03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02DD" w14:textId="77777777" w:rsidR="00197226" w:rsidRPr="00187F05" w:rsidRDefault="00197226"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93B1A" w14:textId="77777777" w:rsidR="003B51AC" w:rsidRDefault="00197226" w:rsidP="002E3F19">
    <w:pPr>
      <w:pStyle w:val="Footer-right"/>
    </w:pPr>
    <w:r>
      <w:fldChar w:fldCharType="begin"/>
    </w:r>
    <w:r>
      <w:instrText xml:space="preserve"> PAGE   \* MERGEFORMAT </w:instrText>
    </w:r>
    <w:r>
      <w:fldChar w:fldCharType="separate"/>
    </w:r>
    <w:r>
      <w:rPr>
        <w:noProof/>
      </w:rPr>
      <w:t>1</w:t>
    </w:r>
    <w:r>
      <w:rPr>
        <w:noProof/>
      </w:rPr>
      <w:fldChar w:fldCharType="end"/>
    </w:r>
  </w:p>
  <w:p w14:paraId="4BC7A4D8" w14:textId="573D08BF" w:rsidR="00197226" w:rsidRDefault="00197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86D3" w14:textId="77777777" w:rsidR="00197226" w:rsidRDefault="00197226">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2" behindDoc="0" locked="1" layoutInCell="1" allowOverlap="1" wp14:anchorId="54C16113" wp14:editId="19B5FA62">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BB96" id="Rectangle 11" o:spid="_x0000_s1026" alt="&quot;&quot;" style="position:absolute;margin-left:0;margin-top:0;width:595.3pt;height:566.9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493FD" w14:textId="32F06EA7" w:rsidR="00D15113" w:rsidRDefault="00952ACF" w:rsidP="00952ACF">
    <w:pPr>
      <w:pStyle w:val="Footer"/>
    </w:pPr>
    <w:r>
      <w:fldChar w:fldCharType="begin"/>
    </w:r>
    <w:r>
      <w:instrText xml:space="preserve"> PAGE   \* MERGEFORMAT </w:instrText>
    </w:r>
    <w:r>
      <w:fldChar w:fldCharType="separate"/>
    </w:r>
    <w:r>
      <w:t>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DDFC3" w14:textId="55D90DAC" w:rsidR="00D15113" w:rsidRDefault="001D3B0E" w:rsidP="002E3F19">
    <w:pPr>
      <w:pStyle w:val="Footer-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7C765" w14:textId="77777777" w:rsidR="00FA03EA" w:rsidRPr="00C238D1" w:rsidRDefault="00FA03EA" w:rsidP="00273E86">
      <w:pPr>
        <w:spacing w:after="0" w:line="240" w:lineRule="auto"/>
        <w:rPr>
          <w:rStyle w:val="ColourDarkBlue"/>
        </w:rPr>
      </w:pPr>
      <w:r w:rsidRPr="00C238D1">
        <w:rPr>
          <w:rStyle w:val="ColourDarkBlue"/>
        </w:rPr>
        <w:continuationSeparator/>
      </w:r>
    </w:p>
  </w:footnote>
  <w:footnote w:type="continuationSeparator" w:id="0">
    <w:p w14:paraId="0A533507" w14:textId="77777777" w:rsidR="00FA03EA" w:rsidRPr="001D7D9B" w:rsidRDefault="00FA03EA" w:rsidP="001D7D9B">
      <w:pPr>
        <w:spacing w:after="0" w:line="240" w:lineRule="auto"/>
        <w:rPr>
          <w:color w:val="265A9A" w:themeColor="background2"/>
        </w:rPr>
      </w:pPr>
      <w:r w:rsidRPr="00C238D1">
        <w:rPr>
          <w:rStyle w:val="ColourDarkBlue"/>
        </w:rPr>
        <w:continuationSeparator/>
      </w:r>
    </w:p>
  </w:footnote>
  <w:footnote w:type="continuationNotice" w:id="1">
    <w:p w14:paraId="10B3CF74" w14:textId="77777777" w:rsidR="00FA03EA" w:rsidRDefault="00FA03EA"/>
  </w:footnote>
  <w:footnote w:id="2">
    <w:p w14:paraId="35E2B510" w14:textId="521C6D61" w:rsidR="006B1838" w:rsidRPr="006B1838" w:rsidRDefault="006B1838">
      <w:pPr>
        <w:pStyle w:val="FootnoteText"/>
        <w:rPr>
          <w:lang w:val="en-US"/>
        </w:rPr>
      </w:pPr>
      <w:r>
        <w:rPr>
          <w:rStyle w:val="FootnoteReference"/>
        </w:rPr>
        <w:footnoteRef/>
      </w:r>
      <w:r>
        <w:t xml:space="preserve"> </w:t>
      </w:r>
      <w:r>
        <w:rPr>
          <w:lang w:val="en-US"/>
        </w:rPr>
        <w:t xml:space="preserve">Hereafter, simply ‘government </w:t>
      </w:r>
      <w:proofErr w:type="gramStart"/>
      <w:r>
        <w:rPr>
          <w:lang w:val="en-US"/>
        </w:rPr>
        <w:t>businesses’</w:t>
      </w:r>
      <w:proofErr w:type="gramEnd"/>
      <w:r>
        <w:rPr>
          <w:lang w:val="en-US"/>
        </w:rPr>
        <w:t>.</w:t>
      </w:r>
    </w:p>
  </w:footnote>
  <w:footnote w:id="3">
    <w:p w14:paraId="3AED9F9A" w14:textId="77777777" w:rsidR="00897746" w:rsidRPr="00491675" w:rsidRDefault="00897746" w:rsidP="00897746">
      <w:pPr>
        <w:pStyle w:val="FootnoteText"/>
        <w:rPr>
          <w:lang w:val="en-GB"/>
        </w:rPr>
      </w:pPr>
      <w:r>
        <w:rPr>
          <w:rStyle w:val="FootnoteReference"/>
        </w:rPr>
        <w:footnoteRef/>
      </w:r>
      <w:r>
        <w:t xml:space="preserve"> Paragraph 6(1)(c) of the PC Act.</w:t>
      </w:r>
    </w:p>
  </w:footnote>
  <w:footnote w:id="4">
    <w:p w14:paraId="4910AA91" w14:textId="2581C207" w:rsidR="00897746" w:rsidRPr="00517243" w:rsidRDefault="00897746" w:rsidP="00897746">
      <w:pPr>
        <w:pStyle w:val="FootnoteText"/>
        <w:rPr>
          <w:lang w:val="en-GB"/>
        </w:rPr>
      </w:pPr>
      <w:r>
        <w:rPr>
          <w:rStyle w:val="FootnoteReference"/>
        </w:rPr>
        <w:footnoteRef/>
      </w:r>
      <w:r>
        <w:t xml:space="preserve"> </w:t>
      </w:r>
      <w:r>
        <w:rPr>
          <w:lang w:val="en-GB"/>
        </w:rPr>
        <w:t>This is not explicitly mentioned</w:t>
      </w:r>
      <w:r>
        <w:rPr>
          <w:lang w:val="en-GB"/>
        </w:rPr>
        <w:t xml:space="preserve"> in Part 3 of the PC </w:t>
      </w:r>
      <w:r w:rsidR="001474C6">
        <w:rPr>
          <w:lang w:val="en-GB"/>
        </w:rPr>
        <w:t>Act but</w:t>
      </w:r>
      <w:r>
        <w:rPr>
          <w:lang w:val="en-GB"/>
        </w:rPr>
        <w:t xml:space="preserve"> is referred to as a part of the PC’s powers to request information when conducting an inquiry (see subparagraph 48(1)(a)(ii) of the PC Act).</w:t>
      </w:r>
    </w:p>
  </w:footnote>
  <w:footnote w:id="5">
    <w:p w14:paraId="2883CB49" w14:textId="61425C7F" w:rsidR="00794BE3" w:rsidRPr="001F143B" w:rsidRDefault="00794BE3" w:rsidP="00794BE3">
      <w:pPr>
        <w:pStyle w:val="FootnoteText"/>
        <w:rPr>
          <w:lang w:val="en-US"/>
        </w:rPr>
      </w:pPr>
      <w:r>
        <w:rPr>
          <w:rStyle w:val="FootnoteReference"/>
        </w:rPr>
        <w:footnoteRef/>
      </w:r>
      <w:r>
        <w:t xml:space="preserve"> </w:t>
      </w:r>
      <w:r>
        <w:rPr>
          <w:lang w:val="en-US"/>
        </w:rPr>
        <w:t xml:space="preserve">Section 24GE of the </w:t>
      </w:r>
      <w:r>
        <w:rPr>
          <w:i/>
          <w:iCs/>
          <w:lang w:val="en-US"/>
        </w:rPr>
        <w:t xml:space="preserve">Independent Pricing and Regulatory Tribunal Act 1992 </w:t>
      </w:r>
      <w:r>
        <w:rPr>
          <w:lang w:val="en-US"/>
        </w:rPr>
        <w:t>(NSW)</w:t>
      </w:r>
      <w:r w:rsidR="00FF428D">
        <w:rPr>
          <w:lang w:val="en-US"/>
        </w:rPr>
        <w:t>.</w:t>
      </w:r>
    </w:p>
  </w:footnote>
  <w:footnote w:id="6">
    <w:p w14:paraId="631A6D2F" w14:textId="49E36308" w:rsidR="00794BE3" w:rsidRPr="001F143B" w:rsidRDefault="00794BE3" w:rsidP="00794BE3">
      <w:pPr>
        <w:pStyle w:val="FootnoteText"/>
        <w:rPr>
          <w:lang w:val="en-US"/>
        </w:rPr>
      </w:pPr>
      <w:r>
        <w:rPr>
          <w:rStyle w:val="FootnoteReference"/>
        </w:rPr>
        <w:footnoteRef/>
      </w:r>
      <w:r>
        <w:t xml:space="preserve"> </w:t>
      </w:r>
      <w:r>
        <w:rPr>
          <w:lang w:val="en-US"/>
        </w:rPr>
        <w:t>Paragraph 24</w:t>
      </w:r>
      <w:proofErr w:type="gramStart"/>
      <w:r>
        <w:rPr>
          <w:lang w:val="en-US"/>
        </w:rPr>
        <w:t>GE(</w:t>
      </w:r>
      <w:proofErr w:type="gramEnd"/>
      <w:r>
        <w:rPr>
          <w:lang w:val="en-US"/>
        </w:rPr>
        <w:t xml:space="preserve">1) of the </w:t>
      </w:r>
      <w:r>
        <w:rPr>
          <w:i/>
          <w:iCs/>
          <w:lang w:val="en-US"/>
        </w:rPr>
        <w:t xml:space="preserve">Independent Pricing and Regulatory Tribunal Act 1992 </w:t>
      </w:r>
      <w:r>
        <w:rPr>
          <w:lang w:val="en-US"/>
        </w:rPr>
        <w:t>(NSW)</w:t>
      </w:r>
      <w:r w:rsidR="00FF428D">
        <w:rPr>
          <w:lang w:val="en-US"/>
        </w:rPr>
        <w:t>.</w:t>
      </w:r>
    </w:p>
  </w:footnote>
  <w:footnote w:id="7">
    <w:p w14:paraId="07DB90B9" w14:textId="335AFD27" w:rsidR="00794BE3" w:rsidRPr="004567F4" w:rsidRDefault="00794BE3" w:rsidP="00794BE3">
      <w:pPr>
        <w:pStyle w:val="FootnoteText"/>
        <w:rPr>
          <w:lang w:val="en-US"/>
        </w:rPr>
      </w:pPr>
      <w:r>
        <w:rPr>
          <w:rStyle w:val="FootnoteReference"/>
        </w:rPr>
        <w:footnoteRef/>
      </w:r>
      <w:r>
        <w:t xml:space="preserve"> </w:t>
      </w:r>
      <w:r>
        <w:rPr>
          <w:lang w:val="en-US"/>
        </w:rPr>
        <w:t xml:space="preserve">Paragraph 24GE(2) of the </w:t>
      </w:r>
      <w:r>
        <w:rPr>
          <w:i/>
          <w:iCs/>
          <w:lang w:val="en-US"/>
        </w:rPr>
        <w:t xml:space="preserve">Independent Pricing and Regulatory Tribunal Act 1992 </w:t>
      </w:r>
      <w:r>
        <w:rPr>
          <w:lang w:val="en-US"/>
        </w:rPr>
        <w:t>(NSW)</w:t>
      </w:r>
      <w:r w:rsidR="00FF428D">
        <w:rPr>
          <w:lang w:val="en-US"/>
        </w:rPr>
        <w:t>.</w:t>
      </w:r>
    </w:p>
  </w:footnote>
  <w:footnote w:id="8">
    <w:p w14:paraId="0D4BCB39" w14:textId="44AE9370" w:rsidR="00794BE3" w:rsidRPr="004567F4" w:rsidRDefault="00794BE3" w:rsidP="00794BE3">
      <w:pPr>
        <w:pStyle w:val="FootnoteText"/>
        <w:rPr>
          <w:lang w:val="en-US"/>
        </w:rPr>
      </w:pPr>
      <w:r>
        <w:rPr>
          <w:rStyle w:val="FootnoteReference"/>
        </w:rPr>
        <w:footnoteRef/>
      </w:r>
      <w:r>
        <w:t xml:space="preserve"> </w:t>
      </w:r>
      <w:r>
        <w:rPr>
          <w:lang w:val="en-US"/>
        </w:rPr>
        <w:t xml:space="preserve">Paragraph 24GE(4) of the </w:t>
      </w:r>
      <w:r>
        <w:rPr>
          <w:i/>
          <w:iCs/>
          <w:lang w:val="en-US"/>
        </w:rPr>
        <w:t xml:space="preserve">Independent Pricing and Regulatory Tribunal Act 1992 </w:t>
      </w:r>
      <w:r>
        <w:rPr>
          <w:lang w:val="en-US"/>
        </w:rPr>
        <w:t>(NSW)</w:t>
      </w:r>
      <w:r w:rsidR="00FF428D">
        <w:rPr>
          <w:lang w:val="en-US"/>
        </w:rPr>
        <w:t>.</w:t>
      </w:r>
    </w:p>
  </w:footnote>
  <w:footnote w:id="9">
    <w:p w14:paraId="5C37AF83" w14:textId="77777777" w:rsidR="00571F9A" w:rsidRPr="00457E71" w:rsidRDefault="00571F9A" w:rsidP="00571F9A">
      <w:pPr>
        <w:pStyle w:val="FootnoteText"/>
        <w:rPr>
          <w:lang w:val="en-US"/>
        </w:rPr>
      </w:pPr>
      <w:r>
        <w:rPr>
          <w:rStyle w:val="FootnoteReference"/>
        </w:rPr>
        <w:footnoteRef/>
      </w:r>
      <w:r>
        <w:t xml:space="preserve"> </w:t>
      </w:r>
      <w:r>
        <w:rPr>
          <w:lang w:val="en-US"/>
        </w:rPr>
        <w:t xml:space="preserve">Sections 24GH and 24GI of the </w:t>
      </w:r>
      <w:r>
        <w:rPr>
          <w:i/>
          <w:iCs/>
          <w:lang w:val="en-US"/>
        </w:rPr>
        <w:t xml:space="preserve">Independent Pricing and Regulatory Tribunal Act 1992 </w:t>
      </w:r>
      <w:r>
        <w:rPr>
          <w:lang w:val="en-US"/>
        </w:rPr>
        <w:t>(NSW).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A0D46" w14:textId="70595F8E" w:rsidR="00197226" w:rsidRDefault="00197226">
    <w:pPr>
      <w:pStyle w:val="Header-Keyline"/>
    </w:pPr>
    <w:r>
      <w:t>Productivity Commission submission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C283D" w14:textId="6C5E8675" w:rsidR="00D910BC" w:rsidRDefault="00AC4F48" w:rsidP="00D910BC">
    <w:pPr>
      <w:pStyle w:val="Header-Keyline"/>
    </w:pPr>
    <w:r>
      <w:rPr>
        <w:lang w:val="en-GB"/>
      </w:rPr>
      <w:t xml:space="preserve">Productivity Commission </w:t>
    </w:r>
    <w:r w:rsidR="006821E7">
      <w:t>submission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74613" w14:textId="29250241" w:rsidR="007C737D" w:rsidRDefault="0063621D" w:rsidP="0063621D">
    <w:pPr>
      <w:pStyle w:val="Header-KeylineRight"/>
    </w:pPr>
    <w:r>
      <w:rPr>
        <w:noProof/>
      </w:rPr>
      <w:t>A</w:t>
    </w:r>
    <w:r w:rsidR="00026C36">
      <w:rPr>
        <w:noProof/>
      </w:rPr>
      <w:t>dministering competitive neutrality complaints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0781" w14:textId="47ED7600" w:rsidR="007C737D" w:rsidRDefault="007C7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95A28" w14:textId="56A75D76" w:rsidR="00197226" w:rsidRDefault="00197226">
    <w:pPr>
      <w:pStyle w:val="Header-KeylineRight"/>
    </w:pPr>
    <w:r>
      <w:fldChar w:fldCharType="begin"/>
    </w:r>
    <w:r>
      <w:instrText xml:space="preserve"> STYLEREF  "Heading 1"  \* MERGEFORMAT </w:instrText>
    </w:r>
    <w:r>
      <w:fldChar w:fldCharType="separate"/>
    </w:r>
    <w:r w:rsidR="009124C3">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4E26E" w14:textId="7A61D546" w:rsidR="00197226" w:rsidRPr="007215EF" w:rsidRDefault="00197226" w:rsidP="007215EF">
    <w:r w:rsidRPr="007215EF">
      <w:rPr>
        <w:noProof/>
      </w:rPr>
      <w:drawing>
        <wp:anchor distT="0" distB="0" distL="114300" distR="114300" simplePos="0" relativeHeight="251658243" behindDoc="0" locked="1" layoutInCell="1" allowOverlap="1" wp14:anchorId="4F3C6E47" wp14:editId="5C5F72BB">
          <wp:simplePos x="0" y="0"/>
          <wp:positionH relativeFrom="margin">
            <wp:align>left</wp:align>
          </wp:positionH>
          <wp:positionV relativeFrom="page">
            <wp:align>top</wp:align>
          </wp:positionV>
          <wp:extent cx="2235600" cy="1058400"/>
          <wp:effectExtent l="0" t="0" r="0" b="8890"/>
          <wp:wrapNone/>
          <wp:docPr id="1902691290" name="Picture 1902691290"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F7E43" w14:textId="77777777" w:rsidR="00197226" w:rsidRPr="005965BC" w:rsidRDefault="00197226"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4F489" w14:textId="77777777" w:rsidR="002715DF" w:rsidRDefault="002715DF" w:rsidP="002715DF">
    <w:pPr>
      <w:pStyle w:val="Header-Keyline"/>
    </w:pPr>
    <w:r>
      <w:rPr>
        <w:lang w:val="en-GB"/>
      </w:rPr>
      <w:t xml:space="preserve">Productivity Commission </w:t>
    </w:r>
    <w:r>
      <w:t>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77FC8" w14:textId="3BB33F1B" w:rsidR="00596550" w:rsidRPr="007215EF" w:rsidRDefault="00596550">
    <w:pPr>
      <w:pStyle w:val="Header"/>
    </w:pPr>
    <w:r w:rsidRPr="007215EF">
      <w:rPr>
        <w:noProof/>
      </w:rPr>
      <w:drawing>
        <wp:anchor distT="0" distB="0" distL="114300" distR="114300" simplePos="0" relativeHeight="251658240"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A9922" w14:textId="4EBC33D5" w:rsidR="00596550" w:rsidRPr="00596550" w:rsidRDefault="00596550" w:rsidP="00596550">
    <w:pPr>
      <w:pStyle w:val="Header"/>
    </w:pPr>
    <w:r w:rsidRPr="007215EF">
      <w:rPr>
        <w:noProof/>
      </w:rPr>
      <w:drawing>
        <wp:anchor distT="0" distB="0" distL="114300" distR="114300" simplePos="0" relativeHeight="251658241" behindDoc="0" locked="1" layoutInCell="1" allowOverlap="1" wp14:anchorId="7E8B516C" wp14:editId="49DA6D63">
          <wp:simplePos x="0" y="0"/>
          <wp:positionH relativeFrom="margin">
            <wp:align>left</wp:align>
          </wp:positionH>
          <wp:positionV relativeFrom="page">
            <wp:align>top</wp:align>
          </wp:positionV>
          <wp:extent cx="2235600" cy="1058400"/>
          <wp:effectExtent l="0" t="0" r="0" b="8890"/>
          <wp:wrapNone/>
          <wp:docPr id="12" name="Logo">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F2A94" w14:textId="0579E92E" w:rsidR="00525F6E" w:rsidRDefault="009124C3" w:rsidP="00596550">
    <w:pPr>
      <w:pStyle w:val="Header-KeylineRight"/>
    </w:pPr>
    <w:sdt>
      <w:sdtPr>
        <w:rPr>
          <w:rStyle w:val="Strong"/>
        </w:rPr>
        <w:alias w:val="Title"/>
        <w:tag w:val=""/>
        <w:id w:val="948275566"/>
        <w:placeholder>
          <w:docPart w:val="156CEC52E47345438DA4BA1CDEBB2068"/>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310EC4">
          <w:rPr>
            <w:rStyle w:val="Strong"/>
          </w:rPr>
          <w:t>Revitalising National Competition Policy: Administering competitive neutrality complaints</w:t>
        </w:r>
      </w:sdtContent>
    </w:sdt>
    <w:r w:rsidR="00525F6E">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44A8" w14:textId="5D8FC1B4" w:rsidR="00525F6E" w:rsidRDefault="008D030D" w:rsidP="00525F6E">
    <w:pPr>
      <w:pStyle w:val="Header-KeylineRight"/>
    </w:pPr>
    <w:r w:rsidRPr="0063621D">
      <w:rPr>
        <w:rStyle w:val="Strong"/>
        <w:b w:val="0"/>
        <w:bCs w:val="0"/>
      </w:rPr>
      <w:t>Administering competitive neutrality complaints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4DDB9" w14:textId="7BAA4AC6" w:rsidR="007C737D" w:rsidRDefault="007C7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styleLink w:val="Figur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EE08CE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A4B5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B516A3"/>
    <w:multiLevelType w:val="multilevel"/>
    <w:tmpl w:val="EE6A07A2"/>
    <w:numStyleLink w:val="ListHeadings"/>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6A0C8C"/>
    <w:multiLevelType w:val="multilevel"/>
    <w:tmpl w:val="1FA8DC2A"/>
    <w:numStyleLink w:val="Numbering"/>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134636A"/>
    <w:multiLevelType w:val="multilevel"/>
    <w:tmpl w:val="1FA8DC2A"/>
    <w:numStyleLink w:val="Numbering"/>
  </w:abstractNum>
  <w:abstractNum w:abstractNumId="25" w15:restartNumberingAfterBreak="0">
    <w:nsid w:val="761B4A1B"/>
    <w:multiLevelType w:val="multilevel"/>
    <w:tmpl w:val="4F48000A"/>
    <w:numStyleLink w:val="Alphalist"/>
  </w:abstractNum>
  <w:num w:numId="1" w16cid:durableId="1592660357">
    <w:abstractNumId w:val="3"/>
  </w:num>
  <w:num w:numId="2" w16cid:durableId="683023029">
    <w:abstractNumId w:val="10"/>
  </w:num>
  <w:num w:numId="3" w16cid:durableId="1255748676">
    <w:abstractNumId w:val="5"/>
  </w:num>
  <w:num w:numId="4" w16cid:durableId="1422870538">
    <w:abstractNumId w:val="14"/>
  </w:num>
  <w:num w:numId="5" w16cid:durableId="1898085622">
    <w:abstractNumId w:val="22"/>
  </w:num>
  <w:num w:numId="6" w16cid:durableId="1250458209">
    <w:abstractNumId w:val="23"/>
  </w:num>
  <w:num w:numId="7" w16cid:durableId="459343770">
    <w:abstractNumId w:val="18"/>
  </w:num>
  <w:num w:numId="8" w16cid:durableId="2143113984">
    <w:abstractNumId w:val="16"/>
  </w:num>
  <w:num w:numId="9" w16cid:durableId="119568815">
    <w:abstractNumId w:val="11"/>
  </w:num>
  <w:num w:numId="10" w16cid:durableId="1485010043">
    <w:abstractNumId w:val="15"/>
  </w:num>
  <w:num w:numId="11" w16cid:durableId="1515848348">
    <w:abstractNumId w:val="25"/>
  </w:num>
  <w:num w:numId="12" w16cid:durableId="1899130491">
    <w:abstractNumId w:val="0"/>
  </w:num>
  <w:num w:numId="13" w16cid:durableId="156504756">
    <w:abstractNumId w:val="6"/>
  </w:num>
  <w:num w:numId="14" w16cid:durableId="1506357757">
    <w:abstractNumId w:val="13"/>
  </w:num>
  <w:num w:numId="15" w16cid:durableId="2134976483">
    <w:abstractNumId w:val="8"/>
  </w:num>
  <w:num w:numId="16" w16cid:durableId="176114809">
    <w:abstractNumId w:val="7"/>
  </w:num>
  <w:num w:numId="17" w16cid:durableId="2047412796">
    <w:abstractNumId w:val="4"/>
  </w:num>
  <w:num w:numId="18" w16cid:durableId="1641688220">
    <w:abstractNumId w:val="17"/>
  </w:num>
  <w:num w:numId="19" w16cid:durableId="1336033944">
    <w:abstractNumId w:val="2"/>
  </w:num>
  <w:num w:numId="20" w16cid:durableId="275212043">
    <w:abstractNumId w:val="7"/>
  </w:num>
  <w:num w:numId="21" w16cid:durableId="2043554633">
    <w:abstractNumId w:val="1"/>
  </w:num>
  <w:num w:numId="22" w16cid:durableId="10100622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08685618">
    <w:abstractNumId w:val="0"/>
    <w:lvlOverride w:ilvl="0">
      <w:startOverride w:val="1"/>
    </w:lvlOverride>
  </w:num>
  <w:num w:numId="24" w16cid:durableId="171838181">
    <w:abstractNumId w:val="24"/>
  </w:num>
  <w:num w:numId="25" w16cid:durableId="526791211">
    <w:abstractNumId w:val="9"/>
  </w:num>
  <w:num w:numId="26" w16cid:durableId="1746872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88960068">
    <w:abstractNumId w:val="19"/>
  </w:num>
  <w:num w:numId="28" w16cid:durableId="621107457">
    <w:abstractNumId w:val="12"/>
  </w:num>
  <w:num w:numId="29" w16cid:durableId="7168596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2556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7283062">
    <w:abstractNumId w:val="20"/>
  </w:num>
  <w:num w:numId="32" w16cid:durableId="8765288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5070600">
    <w:abstractNumId w:val="7"/>
  </w:num>
  <w:num w:numId="34" w16cid:durableId="1915116537">
    <w:abstractNumId w:val="7"/>
  </w:num>
  <w:num w:numId="35" w16cid:durableId="2103065582">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50"/>
    <w:rsid w:val="00000075"/>
    <w:rsid w:val="00000F3C"/>
    <w:rsid w:val="00002B9D"/>
    <w:rsid w:val="00002CA2"/>
    <w:rsid w:val="00003569"/>
    <w:rsid w:val="00004489"/>
    <w:rsid w:val="00005C79"/>
    <w:rsid w:val="000071D5"/>
    <w:rsid w:val="000071E1"/>
    <w:rsid w:val="00007257"/>
    <w:rsid w:val="00012F2E"/>
    <w:rsid w:val="00013A04"/>
    <w:rsid w:val="00014D79"/>
    <w:rsid w:val="00020363"/>
    <w:rsid w:val="0002161B"/>
    <w:rsid w:val="00021C11"/>
    <w:rsid w:val="00021CD9"/>
    <w:rsid w:val="00021E6F"/>
    <w:rsid w:val="00024CA7"/>
    <w:rsid w:val="00025E30"/>
    <w:rsid w:val="00026C04"/>
    <w:rsid w:val="00026C36"/>
    <w:rsid w:val="000300AF"/>
    <w:rsid w:val="0003089F"/>
    <w:rsid w:val="000331E4"/>
    <w:rsid w:val="0003338D"/>
    <w:rsid w:val="00033619"/>
    <w:rsid w:val="000339FD"/>
    <w:rsid w:val="00036FAB"/>
    <w:rsid w:val="000420C7"/>
    <w:rsid w:val="00043314"/>
    <w:rsid w:val="00043F97"/>
    <w:rsid w:val="0004449B"/>
    <w:rsid w:val="00044594"/>
    <w:rsid w:val="00045FE7"/>
    <w:rsid w:val="00047894"/>
    <w:rsid w:val="00047DEA"/>
    <w:rsid w:val="00050294"/>
    <w:rsid w:val="0005151B"/>
    <w:rsid w:val="00052AB5"/>
    <w:rsid w:val="00052C53"/>
    <w:rsid w:val="00053428"/>
    <w:rsid w:val="00054086"/>
    <w:rsid w:val="00054C95"/>
    <w:rsid w:val="000561CF"/>
    <w:rsid w:val="0005774F"/>
    <w:rsid w:val="00057C2F"/>
    <w:rsid w:val="0006023D"/>
    <w:rsid w:val="00062A44"/>
    <w:rsid w:val="00065402"/>
    <w:rsid w:val="000663B6"/>
    <w:rsid w:val="000676AC"/>
    <w:rsid w:val="000724AE"/>
    <w:rsid w:val="000727FF"/>
    <w:rsid w:val="00075CEE"/>
    <w:rsid w:val="00076534"/>
    <w:rsid w:val="00076A6C"/>
    <w:rsid w:val="00076DD7"/>
    <w:rsid w:val="0007734E"/>
    <w:rsid w:val="00077512"/>
    <w:rsid w:val="0007776A"/>
    <w:rsid w:val="00077A76"/>
    <w:rsid w:val="00077D5C"/>
    <w:rsid w:val="00077FD0"/>
    <w:rsid w:val="0008037D"/>
    <w:rsid w:val="0008267A"/>
    <w:rsid w:val="00084660"/>
    <w:rsid w:val="00085FB9"/>
    <w:rsid w:val="00086587"/>
    <w:rsid w:val="00091286"/>
    <w:rsid w:val="0009131A"/>
    <w:rsid w:val="00093151"/>
    <w:rsid w:val="00093712"/>
    <w:rsid w:val="00093CD9"/>
    <w:rsid w:val="000954F6"/>
    <w:rsid w:val="00095F06"/>
    <w:rsid w:val="00096E72"/>
    <w:rsid w:val="00097951"/>
    <w:rsid w:val="000A0F08"/>
    <w:rsid w:val="000A1885"/>
    <w:rsid w:val="000A38AA"/>
    <w:rsid w:val="000A4AB4"/>
    <w:rsid w:val="000A57F3"/>
    <w:rsid w:val="000B3097"/>
    <w:rsid w:val="000B3FDC"/>
    <w:rsid w:val="000B497F"/>
    <w:rsid w:val="000B4A72"/>
    <w:rsid w:val="000B5073"/>
    <w:rsid w:val="000B5105"/>
    <w:rsid w:val="000B566D"/>
    <w:rsid w:val="000B6F3F"/>
    <w:rsid w:val="000C139B"/>
    <w:rsid w:val="000C31D2"/>
    <w:rsid w:val="000C664E"/>
    <w:rsid w:val="000C6B77"/>
    <w:rsid w:val="000D3966"/>
    <w:rsid w:val="000D5561"/>
    <w:rsid w:val="000D5A6E"/>
    <w:rsid w:val="000D6957"/>
    <w:rsid w:val="000D6B23"/>
    <w:rsid w:val="000D7AEB"/>
    <w:rsid w:val="000E0352"/>
    <w:rsid w:val="000E1484"/>
    <w:rsid w:val="000E1844"/>
    <w:rsid w:val="000E1CC9"/>
    <w:rsid w:val="000E36EF"/>
    <w:rsid w:val="000E43B0"/>
    <w:rsid w:val="000E4C4E"/>
    <w:rsid w:val="000E5319"/>
    <w:rsid w:val="000E6D9C"/>
    <w:rsid w:val="000E771E"/>
    <w:rsid w:val="000F0B64"/>
    <w:rsid w:val="000F1048"/>
    <w:rsid w:val="000F4488"/>
    <w:rsid w:val="000F52D5"/>
    <w:rsid w:val="000F609C"/>
    <w:rsid w:val="000F6B29"/>
    <w:rsid w:val="000F6C70"/>
    <w:rsid w:val="001006E8"/>
    <w:rsid w:val="00100FAB"/>
    <w:rsid w:val="00101A07"/>
    <w:rsid w:val="00103AC6"/>
    <w:rsid w:val="00105A75"/>
    <w:rsid w:val="0010681B"/>
    <w:rsid w:val="00110021"/>
    <w:rsid w:val="00111520"/>
    <w:rsid w:val="0011217E"/>
    <w:rsid w:val="00112E8F"/>
    <w:rsid w:val="00113FC0"/>
    <w:rsid w:val="001141EB"/>
    <w:rsid w:val="0011625C"/>
    <w:rsid w:val="00117A04"/>
    <w:rsid w:val="001206ED"/>
    <w:rsid w:val="00120792"/>
    <w:rsid w:val="001209A7"/>
    <w:rsid w:val="001263C4"/>
    <w:rsid w:val="001268BC"/>
    <w:rsid w:val="00127AD7"/>
    <w:rsid w:val="00130991"/>
    <w:rsid w:val="00132094"/>
    <w:rsid w:val="00134947"/>
    <w:rsid w:val="00135182"/>
    <w:rsid w:val="0013661E"/>
    <w:rsid w:val="001371EA"/>
    <w:rsid w:val="0013722E"/>
    <w:rsid w:val="00137C15"/>
    <w:rsid w:val="00137D63"/>
    <w:rsid w:val="00137FAB"/>
    <w:rsid w:val="00142781"/>
    <w:rsid w:val="001467CD"/>
    <w:rsid w:val="001474C6"/>
    <w:rsid w:val="00150863"/>
    <w:rsid w:val="00151805"/>
    <w:rsid w:val="00153C60"/>
    <w:rsid w:val="00154119"/>
    <w:rsid w:val="00154E0D"/>
    <w:rsid w:val="00156273"/>
    <w:rsid w:val="001571C9"/>
    <w:rsid w:val="001600E9"/>
    <w:rsid w:val="00160948"/>
    <w:rsid w:val="001609F9"/>
    <w:rsid w:val="00160FEC"/>
    <w:rsid w:val="00161017"/>
    <w:rsid w:val="001610E5"/>
    <w:rsid w:val="00161BC8"/>
    <w:rsid w:val="00162941"/>
    <w:rsid w:val="001629A4"/>
    <w:rsid w:val="00162C2E"/>
    <w:rsid w:val="0016330D"/>
    <w:rsid w:val="00163350"/>
    <w:rsid w:val="001635ED"/>
    <w:rsid w:val="00163DDA"/>
    <w:rsid w:val="001656BA"/>
    <w:rsid w:val="001666B2"/>
    <w:rsid w:val="00166E51"/>
    <w:rsid w:val="0017029C"/>
    <w:rsid w:val="001714F3"/>
    <w:rsid w:val="00171609"/>
    <w:rsid w:val="0017238D"/>
    <w:rsid w:val="00173797"/>
    <w:rsid w:val="001756C1"/>
    <w:rsid w:val="001766B3"/>
    <w:rsid w:val="0018067C"/>
    <w:rsid w:val="001815FE"/>
    <w:rsid w:val="00183081"/>
    <w:rsid w:val="0018497A"/>
    <w:rsid w:val="00184EDE"/>
    <w:rsid w:val="00186217"/>
    <w:rsid w:val="0018765E"/>
    <w:rsid w:val="00187F05"/>
    <w:rsid w:val="00190861"/>
    <w:rsid w:val="001957BF"/>
    <w:rsid w:val="00197226"/>
    <w:rsid w:val="001A0D77"/>
    <w:rsid w:val="001A0FBD"/>
    <w:rsid w:val="001A196A"/>
    <w:rsid w:val="001A1D95"/>
    <w:rsid w:val="001A1EDA"/>
    <w:rsid w:val="001A2565"/>
    <w:rsid w:val="001A34B1"/>
    <w:rsid w:val="001A36D0"/>
    <w:rsid w:val="001A4795"/>
    <w:rsid w:val="001A48B2"/>
    <w:rsid w:val="001A5532"/>
    <w:rsid w:val="001A63E1"/>
    <w:rsid w:val="001A7CE7"/>
    <w:rsid w:val="001B1762"/>
    <w:rsid w:val="001B17AC"/>
    <w:rsid w:val="001B398B"/>
    <w:rsid w:val="001B53F5"/>
    <w:rsid w:val="001B588D"/>
    <w:rsid w:val="001B68D6"/>
    <w:rsid w:val="001B6E6C"/>
    <w:rsid w:val="001B783A"/>
    <w:rsid w:val="001C2898"/>
    <w:rsid w:val="001C2BF6"/>
    <w:rsid w:val="001C319C"/>
    <w:rsid w:val="001C3867"/>
    <w:rsid w:val="001C62C0"/>
    <w:rsid w:val="001C7835"/>
    <w:rsid w:val="001D042D"/>
    <w:rsid w:val="001D2E0E"/>
    <w:rsid w:val="001D3B0E"/>
    <w:rsid w:val="001D4050"/>
    <w:rsid w:val="001D5490"/>
    <w:rsid w:val="001D55D8"/>
    <w:rsid w:val="001D57F5"/>
    <w:rsid w:val="001D774C"/>
    <w:rsid w:val="001D7D9B"/>
    <w:rsid w:val="001D7E93"/>
    <w:rsid w:val="001E06A8"/>
    <w:rsid w:val="001E17A0"/>
    <w:rsid w:val="001E2BC3"/>
    <w:rsid w:val="001E3163"/>
    <w:rsid w:val="001E4111"/>
    <w:rsid w:val="001E4A4E"/>
    <w:rsid w:val="001F0383"/>
    <w:rsid w:val="001F0EE5"/>
    <w:rsid w:val="001F13C1"/>
    <w:rsid w:val="001F143B"/>
    <w:rsid w:val="001F1E9A"/>
    <w:rsid w:val="001F27AD"/>
    <w:rsid w:val="001F3A9D"/>
    <w:rsid w:val="001F3FE3"/>
    <w:rsid w:val="001F41FA"/>
    <w:rsid w:val="001F4266"/>
    <w:rsid w:val="001F446D"/>
    <w:rsid w:val="001F5838"/>
    <w:rsid w:val="001F6699"/>
    <w:rsid w:val="001F6B0A"/>
    <w:rsid w:val="001F75CD"/>
    <w:rsid w:val="00201320"/>
    <w:rsid w:val="0020171B"/>
    <w:rsid w:val="0020204A"/>
    <w:rsid w:val="00203A84"/>
    <w:rsid w:val="002044D9"/>
    <w:rsid w:val="002054E1"/>
    <w:rsid w:val="00207C7E"/>
    <w:rsid w:val="00207E84"/>
    <w:rsid w:val="00210304"/>
    <w:rsid w:val="002112EC"/>
    <w:rsid w:val="0021255D"/>
    <w:rsid w:val="00215A19"/>
    <w:rsid w:val="00216385"/>
    <w:rsid w:val="00217053"/>
    <w:rsid w:val="00220476"/>
    <w:rsid w:val="002213EC"/>
    <w:rsid w:val="00221597"/>
    <w:rsid w:val="00221800"/>
    <w:rsid w:val="00221AB7"/>
    <w:rsid w:val="0022358E"/>
    <w:rsid w:val="00223C65"/>
    <w:rsid w:val="0022602D"/>
    <w:rsid w:val="002262A7"/>
    <w:rsid w:val="002270D3"/>
    <w:rsid w:val="00227712"/>
    <w:rsid w:val="00230B6F"/>
    <w:rsid w:val="00231824"/>
    <w:rsid w:val="00231C19"/>
    <w:rsid w:val="002323CF"/>
    <w:rsid w:val="00233D0D"/>
    <w:rsid w:val="00235641"/>
    <w:rsid w:val="0023701B"/>
    <w:rsid w:val="00237531"/>
    <w:rsid w:val="0023755C"/>
    <w:rsid w:val="00244FD1"/>
    <w:rsid w:val="002457DE"/>
    <w:rsid w:val="00245F12"/>
    <w:rsid w:val="00246435"/>
    <w:rsid w:val="0024678B"/>
    <w:rsid w:val="00246BCF"/>
    <w:rsid w:val="00250690"/>
    <w:rsid w:val="00251245"/>
    <w:rsid w:val="00251482"/>
    <w:rsid w:val="00251802"/>
    <w:rsid w:val="00251CA2"/>
    <w:rsid w:val="002530CD"/>
    <w:rsid w:val="00253C20"/>
    <w:rsid w:val="00254342"/>
    <w:rsid w:val="002551CD"/>
    <w:rsid w:val="002601BB"/>
    <w:rsid w:val="002608EB"/>
    <w:rsid w:val="00263BC3"/>
    <w:rsid w:val="002649E4"/>
    <w:rsid w:val="00265918"/>
    <w:rsid w:val="002662B1"/>
    <w:rsid w:val="00266873"/>
    <w:rsid w:val="00270834"/>
    <w:rsid w:val="002708ED"/>
    <w:rsid w:val="00270B1F"/>
    <w:rsid w:val="002715DF"/>
    <w:rsid w:val="00273E86"/>
    <w:rsid w:val="00276022"/>
    <w:rsid w:val="002769FF"/>
    <w:rsid w:val="002772C7"/>
    <w:rsid w:val="00277AE8"/>
    <w:rsid w:val="002802BC"/>
    <w:rsid w:val="00280B4C"/>
    <w:rsid w:val="002814E6"/>
    <w:rsid w:val="00281A54"/>
    <w:rsid w:val="00282AE5"/>
    <w:rsid w:val="0028512A"/>
    <w:rsid w:val="00285C0D"/>
    <w:rsid w:val="00287114"/>
    <w:rsid w:val="0028715D"/>
    <w:rsid w:val="002928E8"/>
    <w:rsid w:val="002936B4"/>
    <w:rsid w:val="00295175"/>
    <w:rsid w:val="002951E6"/>
    <w:rsid w:val="00295330"/>
    <w:rsid w:val="002976F7"/>
    <w:rsid w:val="002A19D7"/>
    <w:rsid w:val="002A2418"/>
    <w:rsid w:val="002B0577"/>
    <w:rsid w:val="002B1711"/>
    <w:rsid w:val="002B2080"/>
    <w:rsid w:val="002B3A5D"/>
    <w:rsid w:val="002B7B46"/>
    <w:rsid w:val="002B7BA1"/>
    <w:rsid w:val="002C1681"/>
    <w:rsid w:val="002C1B5F"/>
    <w:rsid w:val="002C797E"/>
    <w:rsid w:val="002D4C01"/>
    <w:rsid w:val="002D50CB"/>
    <w:rsid w:val="002D60C3"/>
    <w:rsid w:val="002E0A45"/>
    <w:rsid w:val="002E2ED4"/>
    <w:rsid w:val="002E37C8"/>
    <w:rsid w:val="002E3F19"/>
    <w:rsid w:val="002E51D2"/>
    <w:rsid w:val="002E52E2"/>
    <w:rsid w:val="002E68AC"/>
    <w:rsid w:val="002E7A0E"/>
    <w:rsid w:val="002E7EFA"/>
    <w:rsid w:val="002F036D"/>
    <w:rsid w:val="002F2310"/>
    <w:rsid w:val="002F60F1"/>
    <w:rsid w:val="002F6386"/>
    <w:rsid w:val="002F7E06"/>
    <w:rsid w:val="00300EFE"/>
    <w:rsid w:val="00300FEA"/>
    <w:rsid w:val="00303704"/>
    <w:rsid w:val="0030467B"/>
    <w:rsid w:val="00305171"/>
    <w:rsid w:val="00305F54"/>
    <w:rsid w:val="003068A3"/>
    <w:rsid w:val="00307021"/>
    <w:rsid w:val="003074DB"/>
    <w:rsid w:val="00307F7E"/>
    <w:rsid w:val="00310129"/>
    <w:rsid w:val="00310191"/>
    <w:rsid w:val="00310998"/>
    <w:rsid w:val="00310A86"/>
    <w:rsid w:val="00310E03"/>
    <w:rsid w:val="00310EC4"/>
    <w:rsid w:val="00310F7F"/>
    <w:rsid w:val="0031107D"/>
    <w:rsid w:val="00311224"/>
    <w:rsid w:val="003123E4"/>
    <w:rsid w:val="00313C58"/>
    <w:rsid w:val="00314D38"/>
    <w:rsid w:val="003152CD"/>
    <w:rsid w:val="00315FEA"/>
    <w:rsid w:val="00323400"/>
    <w:rsid w:val="00324C58"/>
    <w:rsid w:val="00326A36"/>
    <w:rsid w:val="00327043"/>
    <w:rsid w:val="00331FD9"/>
    <w:rsid w:val="00336ECB"/>
    <w:rsid w:val="00341228"/>
    <w:rsid w:val="003422F0"/>
    <w:rsid w:val="0034680A"/>
    <w:rsid w:val="00351677"/>
    <w:rsid w:val="00352C25"/>
    <w:rsid w:val="00354624"/>
    <w:rsid w:val="00354696"/>
    <w:rsid w:val="0035519A"/>
    <w:rsid w:val="0035664A"/>
    <w:rsid w:val="00357D41"/>
    <w:rsid w:val="0036059A"/>
    <w:rsid w:val="00360666"/>
    <w:rsid w:val="0036250E"/>
    <w:rsid w:val="00363F7E"/>
    <w:rsid w:val="00363FF8"/>
    <w:rsid w:val="003640E1"/>
    <w:rsid w:val="003650D3"/>
    <w:rsid w:val="003667C2"/>
    <w:rsid w:val="00372269"/>
    <w:rsid w:val="00372B4E"/>
    <w:rsid w:val="00374BC4"/>
    <w:rsid w:val="00374D03"/>
    <w:rsid w:val="0037517B"/>
    <w:rsid w:val="00376491"/>
    <w:rsid w:val="00376AD4"/>
    <w:rsid w:val="0037721D"/>
    <w:rsid w:val="00377968"/>
    <w:rsid w:val="00380423"/>
    <w:rsid w:val="0038102A"/>
    <w:rsid w:val="00381398"/>
    <w:rsid w:val="00382EEE"/>
    <w:rsid w:val="003833B4"/>
    <w:rsid w:val="00383578"/>
    <w:rsid w:val="00385193"/>
    <w:rsid w:val="00386423"/>
    <w:rsid w:val="00386645"/>
    <w:rsid w:val="00386B34"/>
    <w:rsid w:val="003874DD"/>
    <w:rsid w:val="003903A4"/>
    <w:rsid w:val="00390FAD"/>
    <w:rsid w:val="00390FFB"/>
    <w:rsid w:val="00391BD7"/>
    <w:rsid w:val="00392463"/>
    <w:rsid w:val="003929F1"/>
    <w:rsid w:val="00393019"/>
    <w:rsid w:val="00393F2D"/>
    <w:rsid w:val="0039423C"/>
    <w:rsid w:val="00396714"/>
    <w:rsid w:val="003A2120"/>
    <w:rsid w:val="003A27F1"/>
    <w:rsid w:val="003A65E2"/>
    <w:rsid w:val="003A743E"/>
    <w:rsid w:val="003A7ADE"/>
    <w:rsid w:val="003B1483"/>
    <w:rsid w:val="003B2A34"/>
    <w:rsid w:val="003B46AD"/>
    <w:rsid w:val="003B51AC"/>
    <w:rsid w:val="003B5772"/>
    <w:rsid w:val="003B6574"/>
    <w:rsid w:val="003B6E2C"/>
    <w:rsid w:val="003B7DB1"/>
    <w:rsid w:val="003C01D4"/>
    <w:rsid w:val="003C1870"/>
    <w:rsid w:val="003C2CC3"/>
    <w:rsid w:val="003C455D"/>
    <w:rsid w:val="003C4831"/>
    <w:rsid w:val="003C55AF"/>
    <w:rsid w:val="003C62D1"/>
    <w:rsid w:val="003C69BF"/>
    <w:rsid w:val="003D09EE"/>
    <w:rsid w:val="003D129D"/>
    <w:rsid w:val="003D23A3"/>
    <w:rsid w:val="003D27AF"/>
    <w:rsid w:val="003D35A0"/>
    <w:rsid w:val="003D439C"/>
    <w:rsid w:val="003D47A1"/>
    <w:rsid w:val="003D5856"/>
    <w:rsid w:val="003D6916"/>
    <w:rsid w:val="003E0AEE"/>
    <w:rsid w:val="003E0C24"/>
    <w:rsid w:val="003E338E"/>
    <w:rsid w:val="003E34EC"/>
    <w:rsid w:val="003E6055"/>
    <w:rsid w:val="003F07C2"/>
    <w:rsid w:val="003F2CB3"/>
    <w:rsid w:val="003F4238"/>
    <w:rsid w:val="003F4E8D"/>
    <w:rsid w:val="003F4FB1"/>
    <w:rsid w:val="003F6368"/>
    <w:rsid w:val="003F64C9"/>
    <w:rsid w:val="003F6F1A"/>
    <w:rsid w:val="003F6F7C"/>
    <w:rsid w:val="0040060F"/>
    <w:rsid w:val="00400662"/>
    <w:rsid w:val="004012B6"/>
    <w:rsid w:val="004023AF"/>
    <w:rsid w:val="00402FB9"/>
    <w:rsid w:val="0040471B"/>
    <w:rsid w:val="00404E4F"/>
    <w:rsid w:val="004064F7"/>
    <w:rsid w:val="00406E63"/>
    <w:rsid w:val="0041058B"/>
    <w:rsid w:val="00414044"/>
    <w:rsid w:val="0041518A"/>
    <w:rsid w:val="0041701A"/>
    <w:rsid w:val="00420277"/>
    <w:rsid w:val="00420F0E"/>
    <w:rsid w:val="00421F60"/>
    <w:rsid w:val="00422198"/>
    <w:rsid w:val="00422BB0"/>
    <w:rsid w:val="0042339A"/>
    <w:rsid w:val="00423803"/>
    <w:rsid w:val="00423B15"/>
    <w:rsid w:val="00424942"/>
    <w:rsid w:val="00424CB8"/>
    <w:rsid w:val="0042508F"/>
    <w:rsid w:val="0042567A"/>
    <w:rsid w:val="00426F07"/>
    <w:rsid w:val="0043326D"/>
    <w:rsid w:val="004346DB"/>
    <w:rsid w:val="0043600D"/>
    <w:rsid w:val="004379C2"/>
    <w:rsid w:val="00440041"/>
    <w:rsid w:val="004400E8"/>
    <w:rsid w:val="00441D9D"/>
    <w:rsid w:val="00442915"/>
    <w:rsid w:val="00442C06"/>
    <w:rsid w:val="00442C71"/>
    <w:rsid w:val="00442E7F"/>
    <w:rsid w:val="00443DC3"/>
    <w:rsid w:val="00444E51"/>
    <w:rsid w:val="004471AA"/>
    <w:rsid w:val="00447840"/>
    <w:rsid w:val="00450B65"/>
    <w:rsid w:val="00450C80"/>
    <w:rsid w:val="00451AFE"/>
    <w:rsid w:val="004544D6"/>
    <w:rsid w:val="004567F4"/>
    <w:rsid w:val="00457413"/>
    <w:rsid w:val="00457E71"/>
    <w:rsid w:val="00461CE9"/>
    <w:rsid w:val="00462407"/>
    <w:rsid w:val="00462C61"/>
    <w:rsid w:val="004631DD"/>
    <w:rsid w:val="004635FD"/>
    <w:rsid w:val="00463B3F"/>
    <w:rsid w:val="00463C27"/>
    <w:rsid w:val="00464E7B"/>
    <w:rsid w:val="00470129"/>
    <w:rsid w:val="00470543"/>
    <w:rsid w:val="0047266C"/>
    <w:rsid w:val="004728A0"/>
    <w:rsid w:val="0047373D"/>
    <w:rsid w:val="004742DD"/>
    <w:rsid w:val="00475231"/>
    <w:rsid w:val="004804B1"/>
    <w:rsid w:val="004834F5"/>
    <w:rsid w:val="00483503"/>
    <w:rsid w:val="0048414B"/>
    <w:rsid w:val="00484E96"/>
    <w:rsid w:val="00487740"/>
    <w:rsid w:val="004903D0"/>
    <w:rsid w:val="00491675"/>
    <w:rsid w:val="00493414"/>
    <w:rsid w:val="004937DD"/>
    <w:rsid w:val="00494422"/>
    <w:rsid w:val="00494C28"/>
    <w:rsid w:val="00495081"/>
    <w:rsid w:val="00496700"/>
    <w:rsid w:val="00497D13"/>
    <w:rsid w:val="004A1EFE"/>
    <w:rsid w:val="004A2660"/>
    <w:rsid w:val="004A28D1"/>
    <w:rsid w:val="004A2F32"/>
    <w:rsid w:val="004A2FB8"/>
    <w:rsid w:val="004A32AB"/>
    <w:rsid w:val="004A3B19"/>
    <w:rsid w:val="004A5586"/>
    <w:rsid w:val="004A6958"/>
    <w:rsid w:val="004A7993"/>
    <w:rsid w:val="004B075B"/>
    <w:rsid w:val="004B1531"/>
    <w:rsid w:val="004B31E5"/>
    <w:rsid w:val="004B5167"/>
    <w:rsid w:val="004B609E"/>
    <w:rsid w:val="004C12BC"/>
    <w:rsid w:val="004C135A"/>
    <w:rsid w:val="004C34D2"/>
    <w:rsid w:val="004C398E"/>
    <w:rsid w:val="004C4823"/>
    <w:rsid w:val="004D0605"/>
    <w:rsid w:val="004D0E74"/>
    <w:rsid w:val="004D18A1"/>
    <w:rsid w:val="004D3752"/>
    <w:rsid w:val="004D3FF5"/>
    <w:rsid w:val="004D6108"/>
    <w:rsid w:val="004E1233"/>
    <w:rsid w:val="004E1BB4"/>
    <w:rsid w:val="004E2157"/>
    <w:rsid w:val="004E25F3"/>
    <w:rsid w:val="004E28C6"/>
    <w:rsid w:val="004E399B"/>
    <w:rsid w:val="004E459E"/>
    <w:rsid w:val="004E4B53"/>
    <w:rsid w:val="004E55D7"/>
    <w:rsid w:val="004E60CB"/>
    <w:rsid w:val="004E6DE1"/>
    <w:rsid w:val="004F10E0"/>
    <w:rsid w:val="004F138F"/>
    <w:rsid w:val="004F1753"/>
    <w:rsid w:val="004F2029"/>
    <w:rsid w:val="004F2D0A"/>
    <w:rsid w:val="004F420C"/>
    <w:rsid w:val="004F640C"/>
    <w:rsid w:val="004F6BEB"/>
    <w:rsid w:val="004F6DF4"/>
    <w:rsid w:val="004F7D8B"/>
    <w:rsid w:val="00500123"/>
    <w:rsid w:val="005007FA"/>
    <w:rsid w:val="00500F9C"/>
    <w:rsid w:val="00502D97"/>
    <w:rsid w:val="00505F74"/>
    <w:rsid w:val="0050670B"/>
    <w:rsid w:val="00506778"/>
    <w:rsid w:val="00507E50"/>
    <w:rsid w:val="0051122D"/>
    <w:rsid w:val="00511B29"/>
    <w:rsid w:val="00511FD7"/>
    <w:rsid w:val="005124ED"/>
    <w:rsid w:val="00514127"/>
    <w:rsid w:val="005141E8"/>
    <w:rsid w:val="00516985"/>
    <w:rsid w:val="00516A89"/>
    <w:rsid w:val="00517243"/>
    <w:rsid w:val="00517257"/>
    <w:rsid w:val="00520F80"/>
    <w:rsid w:val="00521179"/>
    <w:rsid w:val="00521A04"/>
    <w:rsid w:val="00521D64"/>
    <w:rsid w:val="00525F6E"/>
    <w:rsid w:val="0052640D"/>
    <w:rsid w:val="00526686"/>
    <w:rsid w:val="00526CA8"/>
    <w:rsid w:val="00527A18"/>
    <w:rsid w:val="005317D9"/>
    <w:rsid w:val="005328F1"/>
    <w:rsid w:val="00532A97"/>
    <w:rsid w:val="00532D03"/>
    <w:rsid w:val="00533A59"/>
    <w:rsid w:val="0053521F"/>
    <w:rsid w:val="00535B96"/>
    <w:rsid w:val="00540B70"/>
    <w:rsid w:val="00542CBB"/>
    <w:rsid w:val="00543D0F"/>
    <w:rsid w:val="00546775"/>
    <w:rsid w:val="00547387"/>
    <w:rsid w:val="00550C99"/>
    <w:rsid w:val="005512D7"/>
    <w:rsid w:val="00551965"/>
    <w:rsid w:val="00552778"/>
    <w:rsid w:val="00553413"/>
    <w:rsid w:val="00555AB2"/>
    <w:rsid w:val="005568E9"/>
    <w:rsid w:val="005600A6"/>
    <w:rsid w:val="00560371"/>
    <w:rsid w:val="00561129"/>
    <w:rsid w:val="0056240B"/>
    <w:rsid w:val="00562410"/>
    <w:rsid w:val="0056245D"/>
    <w:rsid w:val="00563206"/>
    <w:rsid w:val="0056347D"/>
    <w:rsid w:val="00565143"/>
    <w:rsid w:val="00565D4E"/>
    <w:rsid w:val="00571371"/>
    <w:rsid w:val="00571C54"/>
    <w:rsid w:val="00571F9A"/>
    <w:rsid w:val="00572309"/>
    <w:rsid w:val="00572BE5"/>
    <w:rsid w:val="00573288"/>
    <w:rsid w:val="005732D1"/>
    <w:rsid w:val="0057417D"/>
    <w:rsid w:val="00574E5F"/>
    <w:rsid w:val="005754AB"/>
    <w:rsid w:val="00577626"/>
    <w:rsid w:val="0057780C"/>
    <w:rsid w:val="00581158"/>
    <w:rsid w:val="00581C3C"/>
    <w:rsid w:val="005826F4"/>
    <w:rsid w:val="0058369E"/>
    <w:rsid w:val="00583E23"/>
    <w:rsid w:val="00584357"/>
    <w:rsid w:val="00585395"/>
    <w:rsid w:val="0058579B"/>
    <w:rsid w:val="00586C74"/>
    <w:rsid w:val="0058788D"/>
    <w:rsid w:val="00587A70"/>
    <w:rsid w:val="00590902"/>
    <w:rsid w:val="00590D09"/>
    <w:rsid w:val="0059156A"/>
    <w:rsid w:val="00593263"/>
    <w:rsid w:val="00593314"/>
    <w:rsid w:val="0059368E"/>
    <w:rsid w:val="00593BF5"/>
    <w:rsid w:val="00594496"/>
    <w:rsid w:val="005948D1"/>
    <w:rsid w:val="005956D3"/>
    <w:rsid w:val="00596365"/>
    <w:rsid w:val="005963C9"/>
    <w:rsid w:val="0059650A"/>
    <w:rsid w:val="00596550"/>
    <w:rsid w:val="005965BC"/>
    <w:rsid w:val="005976ED"/>
    <w:rsid w:val="0059782F"/>
    <w:rsid w:val="005A0192"/>
    <w:rsid w:val="005A2AAE"/>
    <w:rsid w:val="005A2CEB"/>
    <w:rsid w:val="005A35F6"/>
    <w:rsid w:val="005A4957"/>
    <w:rsid w:val="005A7E78"/>
    <w:rsid w:val="005B03ED"/>
    <w:rsid w:val="005B0575"/>
    <w:rsid w:val="005B1776"/>
    <w:rsid w:val="005B1BA3"/>
    <w:rsid w:val="005B2D9F"/>
    <w:rsid w:val="005B32FB"/>
    <w:rsid w:val="005B348F"/>
    <w:rsid w:val="005B538E"/>
    <w:rsid w:val="005B7D51"/>
    <w:rsid w:val="005B7FE4"/>
    <w:rsid w:val="005C05E0"/>
    <w:rsid w:val="005C37E0"/>
    <w:rsid w:val="005C45B5"/>
    <w:rsid w:val="005C54B9"/>
    <w:rsid w:val="005C5A1C"/>
    <w:rsid w:val="005C6618"/>
    <w:rsid w:val="005C68C7"/>
    <w:rsid w:val="005C7325"/>
    <w:rsid w:val="005D0189"/>
    <w:rsid w:val="005D0B8F"/>
    <w:rsid w:val="005D0C58"/>
    <w:rsid w:val="005D2E5B"/>
    <w:rsid w:val="005D3D03"/>
    <w:rsid w:val="005D519F"/>
    <w:rsid w:val="005D5621"/>
    <w:rsid w:val="005E13DF"/>
    <w:rsid w:val="005E4470"/>
    <w:rsid w:val="005E4F26"/>
    <w:rsid w:val="005E5541"/>
    <w:rsid w:val="005E5794"/>
    <w:rsid w:val="005E61F6"/>
    <w:rsid w:val="005F491F"/>
    <w:rsid w:val="005F4A63"/>
    <w:rsid w:val="005F66CF"/>
    <w:rsid w:val="005F7682"/>
    <w:rsid w:val="006000CB"/>
    <w:rsid w:val="00600276"/>
    <w:rsid w:val="00600738"/>
    <w:rsid w:val="00600B6F"/>
    <w:rsid w:val="00601E9D"/>
    <w:rsid w:val="00603D1B"/>
    <w:rsid w:val="00603FD5"/>
    <w:rsid w:val="00604E10"/>
    <w:rsid w:val="00606D1E"/>
    <w:rsid w:val="00607F03"/>
    <w:rsid w:val="00610627"/>
    <w:rsid w:val="00610F6C"/>
    <w:rsid w:val="00611A42"/>
    <w:rsid w:val="0061402D"/>
    <w:rsid w:val="006148FC"/>
    <w:rsid w:val="00616DC8"/>
    <w:rsid w:val="00617875"/>
    <w:rsid w:val="00620548"/>
    <w:rsid w:val="006212B5"/>
    <w:rsid w:val="0062286E"/>
    <w:rsid w:val="00624B90"/>
    <w:rsid w:val="00625395"/>
    <w:rsid w:val="0062557A"/>
    <w:rsid w:val="0063027A"/>
    <w:rsid w:val="00630443"/>
    <w:rsid w:val="00630F02"/>
    <w:rsid w:val="00631850"/>
    <w:rsid w:val="00632019"/>
    <w:rsid w:val="00632FCE"/>
    <w:rsid w:val="00633D73"/>
    <w:rsid w:val="00634A7F"/>
    <w:rsid w:val="006357C8"/>
    <w:rsid w:val="0063621D"/>
    <w:rsid w:val="006364C1"/>
    <w:rsid w:val="006405E3"/>
    <w:rsid w:val="0064095D"/>
    <w:rsid w:val="00642D99"/>
    <w:rsid w:val="006432FA"/>
    <w:rsid w:val="006475BD"/>
    <w:rsid w:val="0065139C"/>
    <w:rsid w:val="00651BF3"/>
    <w:rsid w:val="00651FF1"/>
    <w:rsid w:val="0065229F"/>
    <w:rsid w:val="006527FF"/>
    <w:rsid w:val="00653872"/>
    <w:rsid w:val="00656A8A"/>
    <w:rsid w:val="00657107"/>
    <w:rsid w:val="006600FB"/>
    <w:rsid w:val="006600FC"/>
    <w:rsid w:val="006608DA"/>
    <w:rsid w:val="00661860"/>
    <w:rsid w:val="00661CE4"/>
    <w:rsid w:val="00662209"/>
    <w:rsid w:val="006639F6"/>
    <w:rsid w:val="00664E5F"/>
    <w:rsid w:val="00671A5A"/>
    <w:rsid w:val="00673B64"/>
    <w:rsid w:val="00673FDF"/>
    <w:rsid w:val="00680797"/>
    <w:rsid w:val="00681434"/>
    <w:rsid w:val="006821E7"/>
    <w:rsid w:val="00682CF8"/>
    <w:rsid w:val="00682E1D"/>
    <w:rsid w:val="006833D0"/>
    <w:rsid w:val="0068496F"/>
    <w:rsid w:val="00685277"/>
    <w:rsid w:val="0068724F"/>
    <w:rsid w:val="00691C03"/>
    <w:rsid w:val="00695AAC"/>
    <w:rsid w:val="00695E12"/>
    <w:rsid w:val="00697501"/>
    <w:rsid w:val="006A03DB"/>
    <w:rsid w:val="006A15BD"/>
    <w:rsid w:val="006A1DEF"/>
    <w:rsid w:val="006A2310"/>
    <w:rsid w:val="006A2A44"/>
    <w:rsid w:val="006A2AC2"/>
    <w:rsid w:val="006A368C"/>
    <w:rsid w:val="006A40BD"/>
    <w:rsid w:val="006A5066"/>
    <w:rsid w:val="006A6218"/>
    <w:rsid w:val="006A65E4"/>
    <w:rsid w:val="006A7069"/>
    <w:rsid w:val="006A724B"/>
    <w:rsid w:val="006B1838"/>
    <w:rsid w:val="006B5724"/>
    <w:rsid w:val="006B60FA"/>
    <w:rsid w:val="006B72B3"/>
    <w:rsid w:val="006C0BC9"/>
    <w:rsid w:val="006C235F"/>
    <w:rsid w:val="006C36D5"/>
    <w:rsid w:val="006C3F21"/>
    <w:rsid w:val="006C4AF4"/>
    <w:rsid w:val="006C4C82"/>
    <w:rsid w:val="006C615C"/>
    <w:rsid w:val="006C6D19"/>
    <w:rsid w:val="006C7142"/>
    <w:rsid w:val="006C7B59"/>
    <w:rsid w:val="006D060D"/>
    <w:rsid w:val="006D095B"/>
    <w:rsid w:val="006D27F8"/>
    <w:rsid w:val="006D3AD8"/>
    <w:rsid w:val="006D3C13"/>
    <w:rsid w:val="006D3D99"/>
    <w:rsid w:val="006D3F2F"/>
    <w:rsid w:val="006D41A2"/>
    <w:rsid w:val="006D4F09"/>
    <w:rsid w:val="006D5F4F"/>
    <w:rsid w:val="006D6AAD"/>
    <w:rsid w:val="006D775F"/>
    <w:rsid w:val="006E0C75"/>
    <w:rsid w:val="006E204E"/>
    <w:rsid w:val="006E2F22"/>
    <w:rsid w:val="006E3536"/>
    <w:rsid w:val="006E3AE9"/>
    <w:rsid w:val="006E4698"/>
    <w:rsid w:val="006E55A5"/>
    <w:rsid w:val="006E66DA"/>
    <w:rsid w:val="006E6F45"/>
    <w:rsid w:val="006E7014"/>
    <w:rsid w:val="006E79CD"/>
    <w:rsid w:val="006E7BE3"/>
    <w:rsid w:val="006F0C08"/>
    <w:rsid w:val="006F1193"/>
    <w:rsid w:val="006F272B"/>
    <w:rsid w:val="006F2F94"/>
    <w:rsid w:val="006F4AD0"/>
    <w:rsid w:val="006F63AA"/>
    <w:rsid w:val="006F782B"/>
    <w:rsid w:val="00700DBB"/>
    <w:rsid w:val="00701100"/>
    <w:rsid w:val="00701DE1"/>
    <w:rsid w:val="007031DA"/>
    <w:rsid w:val="00710BD9"/>
    <w:rsid w:val="007131F3"/>
    <w:rsid w:val="00714488"/>
    <w:rsid w:val="007158C6"/>
    <w:rsid w:val="0071639E"/>
    <w:rsid w:val="00720507"/>
    <w:rsid w:val="00721046"/>
    <w:rsid w:val="007215EF"/>
    <w:rsid w:val="00726DC4"/>
    <w:rsid w:val="00727209"/>
    <w:rsid w:val="007277C3"/>
    <w:rsid w:val="007301C9"/>
    <w:rsid w:val="00730294"/>
    <w:rsid w:val="00730CD5"/>
    <w:rsid w:val="00731E50"/>
    <w:rsid w:val="00731EF7"/>
    <w:rsid w:val="0073377B"/>
    <w:rsid w:val="007362B3"/>
    <w:rsid w:val="00736F16"/>
    <w:rsid w:val="007373F6"/>
    <w:rsid w:val="0073776A"/>
    <w:rsid w:val="0074065B"/>
    <w:rsid w:val="00740E1E"/>
    <w:rsid w:val="00741B4B"/>
    <w:rsid w:val="00742426"/>
    <w:rsid w:val="0074268A"/>
    <w:rsid w:val="0074286F"/>
    <w:rsid w:val="00742F0D"/>
    <w:rsid w:val="00743548"/>
    <w:rsid w:val="00744120"/>
    <w:rsid w:val="00746AF7"/>
    <w:rsid w:val="00750A04"/>
    <w:rsid w:val="00753600"/>
    <w:rsid w:val="0075386F"/>
    <w:rsid w:val="00754F72"/>
    <w:rsid w:val="007555EF"/>
    <w:rsid w:val="00755BEF"/>
    <w:rsid w:val="00755EC6"/>
    <w:rsid w:val="00760304"/>
    <w:rsid w:val="00760E1B"/>
    <w:rsid w:val="007617B2"/>
    <w:rsid w:val="00762C46"/>
    <w:rsid w:val="00762F69"/>
    <w:rsid w:val="007639BC"/>
    <w:rsid w:val="00764FE1"/>
    <w:rsid w:val="00765840"/>
    <w:rsid w:val="0076612E"/>
    <w:rsid w:val="007669BB"/>
    <w:rsid w:val="007669DE"/>
    <w:rsid w:val="00766B9E"/>
    <w:rsid w:val="00766C80"/>
    <w:rsid w:val="00767EAE"/>
    <w:rsid w:val="007707AC"/>
    <w:rsid w:val="00770DB0"/>
    <w:rsid w:val="00773905"/>
    <w:rsid w:val="00773A42"/>
    <w:rsid w:val="00773FDC"/>
    <w:rsid w:val="00774ED0"/>
    <w:rsid w:val="00775165"/>
    <w:rsid w:val="007770B6"/>
    <w:rsid w:val="00782D80"/>
    <w:rsid w:val="007833BC"/>
    <w:rsid w:val="0078533C"/>
    <w:rsid w:val="00785FC2"/>
    <w:rsid w:val="0078676A"/>
    <w:rsid w:val="00787640"/>
    <w:rsid w:val="00791230"/>
    <w:rsid w:val="00792E6B"/>
    <w:rsid w:val="00793B1E"/>
    <w:rsid w:val="00794BE3"/>
    <w:rsid w:val="00797B55"/>
    <w:rsid w:val="007A0363"/>
    <w:rsid w:val="007A1134"/>
    <w:rsid w:val="007A174D"/>
    <w:rsid w:val="007A28CB"/>
    <w:rsid w:val="007A2BE0"/>
    <w:rsid w:val="007A53D5"/>
    <w:rsid w:val="007A5E5A"/>
    <w:rsid w:val="007A6C31"/>
    <w:rsid w:val="007B0F21"/>
    <w:rsid w:val="007B221F"/>
    <w:rsid w:val="007B28CB"/>
    <w:rsid w:val="007B38C0"/>
    <w:rsid w:val="007B737D"/>
    <w:rsid w:val="007C1CDA"/>
    <w:rsid w:val="007C3475"/>
    <w:rsid w:val="007C3A81"/>
    <w:rsid w:val="007C737D"/>
    <w:rsid w:val="007D1569"/>
    <w:rsid w:val="007D24A7"/>
    <w:rsid w:val="007D25EB"/>
    <w:rsid w:val="007D27C0"/>
    <w:rsid w:val="007D52CE"/>
    <w:rsid w:val="007D6174"/>
    <w:rsid w:val="007D7476"/>
    <w:rsid w:val="007E0148"/>
    <w:rsid w:val="007E141C"/>
    <w:rsid w:val="007E1A38"/>
    <w:rsid w:val="007E4BAF"/>
    <w:rsid w:val="007E6D24"/>
    <w:rsid w:val="007E7AB6"/>
    <w:rsid w:val="007F09D7"/>
    <w:rsid w:val="007F1A6B"/>
    <w:rsid w:val="007F21CE"/>
    <w:rsid w:val="007F5FDB"/>
    <w:rsid w:val="007F65C9"/>
    <w:rsid w:val="007F7437"/>
    <w:rsid w:val="0080014D"/>
    <w:rsid w:val="00800294"/>
    <w:rsid w:val="00800B8C"/>
    <w:rsid w:val="008015D3"/>
    <w:rsid w:val="008017BC"/>
    <w:rsid w:val="00802B65"/>
    <w:rsid w:val="0080322B"/>
    <w:rsid w:val="008035C3"/>
    <w:rsid w:val="00803F26"/>
    <w:rsid w:val="00804071"/>
    <w:rsid w:val="00804082"/>
    <w:rsid w:val="00804946"/>
    <w:rsid w:val="00804B8B"/>
    <w:rsid w:val="00804E86"/>
    <w:rsid w:val="008051B9"/>
    <w:rsid w:val="00805A2A"/>
    <w:rsid w:val="00806F63"/>
    <w:rsid w:val="00807217"/>
    <w:rsid w:val="008078F1"/>
    <w:rsid w:val="00807F06"/>
    <w:rsid w:val="00810057"/>
    <w:rsid w:val="00810EC5"/>
    <w:rsid w:val="0081117A"/>
    <w:rsid w:val="00811196"/>
    <w:rsid w:val="0081153F"/>
    <w:rsid w:val="008130E6"/>
    <w:rsid w:val="00813880"/>
    <w:rsid w:val="0081533C"/>
    <w:rsid w:val="008158AD"/>
    <w:rsid w:val="00815E26"/>
    <w:rsid w:val="008161D7"/>
    <w:rsid w:val="00820661"/>
    <w:rsid w:val="00820776"/>
    <w:rsid w:val="00820DDB"/>
    <w:rsid w:val="00823310"/>
    <w:rsid w:val="008237B3"/>
    <w:rsid w:val="0082437F"/>
    <w:rsid w:val="00830A8F"/>
    <w:rsid w:val="00832001"/>
    <w:rsid w:val="008329FD"/>
    <w:rsid w:val="00836262"/>
    <w:rsid w:val="00836E3A"/>
    <w:rsid w:val="00837210"/>
    <w:rsid w:val="0084025A"/>
    <w:rsid w:val="0084238D"/>
    <w:rsid w:val="00842A0C"/>
    <w:rsid w:val="00842C2B"/>
    <w:rsid w:val="00842EE3"/>
    <w:rsid w:val="008432D3"/>
    <w:rsid w:val="008434EC"/>
    <w:rsid w:val="00843969"/>
    <w:rsid w:val="00843B6F"/>
    <w:rsid w:val="008448FB"/>
    <w:rsid w:val="008456FE"/>
    <w:rsid w:val="008460E5"/>
    <w:rsid w:val="008472B8"/>
    <w:rsid w:val="00847462"/>
    <w:rsid w:val="008523F6"/>
    <w:rsid w:val="008529A2"/>
    <w:rsid w:val="0085439B"/>
    <w:rsid w:val="008557DA"/>
    <w:rsid w:val="008579B4"/>
    <w:rsid w:val="008621B1"/>
    <w:rsid w:val="008622C7"/>
    <w:rsid w:val="00862707"/>
    <w:rsid w:val="008678F1"/>
    <w:rsid w:val="00867E12"/>
    <w:rsid w:val="00870890"/>
    <w:rsid w:val="00871357"/>
    <w:rsid w:val="00871A6C"/>
    <w:rsid w:val="00872018"/>
    <w:rsid w:val="00872A6F"/>
    <w:rsid w:val="00872C7A"/>
    <w:rsid w:val="0087313D"/>
    <w:rsid w:val="00874028"/>
    <w:rsid w:val="008747D4"/>
    <w:rsid w:val="00875460"/>
    <w:rsid w:val="00875CCB"/>
    <w:rsid w:val="00877E6C"/>
    <w:rsid w:val="008833F3"/>
    <w:rsid w:val="00885200"/>
    <w:rsid w:val="0088612E"/>
    <w:rsid w:val="008879CD"/>
    <w:rsid w:val="00890A47"/>
    <w:rsid w:val="00896019"/>
    <w:rsid w:val="00896CB4"/>
    <w:rsid w:val="00897746"/>
    <w:rsid w:val="00897793"/>
    <w:rsid w:val="008A1632"/>
    <w:rsid w:val="008A168D"/>
    <w:rsid w:val="008A2E35"/>
    <w:rsid w:val="008A3443"/>
    <w:rsid w:val="008A6446"/>
    <w:rsid w:val="008A68D3"/>
    <w:rsid w:val="008A6F83"/>
    <w:rsid w:val="008B05C3"/>
    <w:rsid w:val="008B1FB9"/>
    <w:rsid w:val="008B34A4"/>
    <w:rsid w:val="008B4965"/>
    <w:rsid w:val="008B6702"/>
    <w:rsid w:val="008B78B1"/>
    <w:rsid w:val="008C05EF"/>
    <w:rsid w:val="008C0FA5"/>
    <w:rsid w:val="008C1CCF"/>
    <w:rsid w:val="008C33E9"/>
    <w:rsid w:val="008C3ABA"/>
    <w:rsid w:val="008C4537"/>
    <w:rsid w:val="008D030D"/>
    <w:rsid w:val="008D0F24"/>
    <w:rsid w:val="008D19FD"/>
    <w:rsid w:val="008D1ABD"/>
    <w:rsid w:val="008D230E"/>
    <w:rsid w:val="008D2788"/>
    <w:rsid w:val="008D3A0D"/>
    <w:rsid w:val="008D3FF4"/>
    <w:rsid w:val="008D566D"/>
    <w:rsid w:val="008D6634"/>
    <w:rsid w:val="008D6E89"/>
    <w:rsid w:val="008D6F1F"/>
    <w:rsid w:val="008D7411"/>
    <w:rsid w:val="008D7813"/>
    <w:rsid w:val="008D7B97"/>
    <w:rsid w:val="008E07D7"/>
    <w:rsid w:val="008E1BF7"/>
    <w:rsid w:val="008E25D6"/>
    <w:rsid w:val="008E4C16"/>
    <w:rsid w:val="008E7BD4"/>
    <w:rsid w:val="008F0A95"/>
    <w:rsid w:val="008F1979"/>
    <w:rsid w:val="008F46F6"/>
    <w:rsid w:val="008F48C2"/>
    <w:rsid w:val="008F494C"/>
    <w:rsid w:val="008F567D"/>
    <w:rsid w:val="008F57D1"/>
    <w:rsid w:val="008F6831"/>
    <w:rsid w:val="008F6884"/>
    <w:rsid w:val="008F6F1A"/>
    <w:rsid w:val="008F7897"/>
    <w:rsid w:val="00900DA9"/>
    <w:rsid w:val="0090137A"/>
    <w:rsid w:val="0090246A"/>
    <w:rsid w:val="00903370"/>
    <w:rsid w:val="00904181"/>
    <w:rsid w:val="00905579"/>
    <w:rsid w:val="00906C62"/>
    <w:rsid w:val="0090771D"/>
    <w:rsid w:val="00910318"/>
    <w:rsid w:val="009124C3"/>
    <w:rsid w:val="0091349A"/>
    <w:rsid w:val="00914399"/>
    <w:rsid w:val="0091530C"/>
    <w:rsid w:val="009158BF"/>
    <w:rsid w:val="00915AB8"/>
    <w:rsid w:val="0092060E"/>
    <w:rsid w:val="009221F8"/>
    <w:rsid w:val="009240A8"/>
    <w:rsid w:val="00924673"/>
    <w:rsid w:val="009255CB"/>
    <w:rsid w:val="0092612E"/>
    <w:rsid w:val="0092745B"/>
    <w:rsid w:val="00930253"/>
    <w:rsid w:val="009313E8"/>
    <w:rsid w:val="0093199A"/>
    <w:rsid w:val="009328FB"/>
    <w:rsid w:val="00933C3E"/>
    <w:rsid w:val="00933E08"/>
    <w:rsid w:val="009342FC"/>
    <w:rsid w:val="00935EB3"/>
    <w:rsid w:val="00936068"/>
    <w:rsid w:val="009370DC"/>
    <w:rsid w:val="009377B8"/>
    <w:rsid w:val="00942789"/>
    <w:rsid w:val="00942AC6"/>
    <w:rsid w:val="00943806"/>
    <w:rsid w:val="00946351"/>
    <w:rsid w:val="00950B88"/>
    <w:rsid w:val="00951333"/>
    <w:rsid w:val="009517CC"/>
    <w:rsid w:val="009527BD"/>
    <w:rsid w:val="00952ACF"/>
    <w:rsid w:val="00952BE7"/>
    <w:rsid w:val="00955148"/>
    <w:rsid w:val="009615D4"/>
    <w:rsid w:val="00962905"/>
    <w:rsid w:val="00962CE1"/>
    <w:rsid w:val="00963C6B"/>
    <w:rsid w:val="00967086"/>
    <w:rsid w:val="00967A87"/>
    <w:rsid w:val="00970A20"/>
    <w:rsid w:val="0097163D"/>
    <w:rsid w:val="009721F8"/>
    <w:rsid w:val="009738DA"/>
    <w:rsid w:val="00974677"/>
    <w:rsid w:val="00974793"/>
    <w:rsid w:val="00975312"/>
    <w:rsid w:val="00976023"/>
    <w:rsid w:val="009760AF"/>
    <w:rsid w:val="009773F6"/>
    <w:rsid w:val="00980461"/>
    <w:rsid w:val="0098048A"/>
    <w:rsid w:val="00981E89"/>
    <w:rsid w:val="00982A8F"/>
    <w:rsid w:val="009834CD"/>
    <w:rsid w:val="0098543B"/>
    <w:rsid w:val="009864AF"/>
    <w:rsid w:val="00986B3E"/>
    <w:rsid w:val="00987AF7"/>
    <w:rsid w:val="009901F4"/>
    <w:rsid w:val="00990B20"/>
    <w:rsid w:val="00991D8A"/>
    <w:rsid w:val="00991DAA"/>
    <w:rsid w:val="0099256C"/>
    <w:rsid w:val="00995250"/>
    <w:rsid w:val="009954EA"/>
    <w:rsid w:val="00995DEA"/>
    <w:rsid w:val="009967AF"/>
    <w:rsid w:val="009969C3"/>
    <w:rsid w:val="00997385"/>
    <w:rsid w:val="009A1168"/>
    <w:rsid w:val="009A23E8"/>
    <w:rsid w:val="009A2F17"/>
    <w:rsid w:val="009A3719"/>
    <w:rsid w:val="009A3C2B"/>
    <w:rsid w:val="009A4FAD"/>
    <w:rsid w:val="009A56E9"/>
    <w:rsid w:val="009B199B"/>
    <w:rsid w:val="009B6ECF"/>
    <w:rsid w:val="009B6FC4"/>
    <w:rsid w:val="009C1FF5"/>
    <w:rsid w:val="009C2476"/>
    <w:rsid w:val="009C5846"/>
    <w:rsid w:val="009C59B7"/>
    <w:rsid w:val="009C5CDF"/>
    <w:rsid w:val="009C6075"/>
    <w:rsid w:val="009D08DE"/>
    <w:rsid w:val="009D24F5"/>
    <w:rsid w:val="009D2B1D"/>
    <w:rsid w:val="009D2C31"/>
    <w:rsid w:val="009D2D4C"/>
    <w:rsid w:val="009D2E28"/>
    <w:rsid w:val="009D439D"/>
    <w:rsid w:val="009D4C0A"/>
    <w:rsid w:val="009D638E"/>
    <w:rsid w:val="009D69AE"/>
    <w:rsid w:val="009E06B1"/>
    <w:rsid w:val="009E19A3"/>
    <w:rsid w:val="009E2BF5"/>
    <w:rsid w:val="009E4DC0"/>
    <w:rsid w:val="009E7097"/>
    <w:rsid w:val="009F1D71"/>
    <w:rsid w:val="009F32A2"/>
    <w:rsid w:val="009F5B97"/>
    <w:rsid w:val="00A0247C"/>
    <w:rsid w:val="00A03EE0"/>
    <w:rsid w:val="00A0412D"/>
    <w:rsid w:val="00A0458F"/>
    <w:rsid w:val="00A05AB4"/>
    <w:rsid w:val="00A06BC2"/>
    <w:rsid w:val="00A0757A"/>
    <w:rsid w:val="00A07DC3"/>
    <w:rsid w:val="00A10335"/>
    <w:rsid w:val="00A111A5"/>
    <w:rsid w:val="00A128B7"/>
    <w:rsid w:val="00A13664"/>
    <w:rsid w:val="00A149C0"/>
    <w:rsid w:val="00A15AF4"/>
    <w:rsid w:val="00A20B5B"/>
    <w:rsid w:val="00A2178D"/>
    <w:rsid w:val="00A23AF7"/>
    <w:rsid w:val="00A25CCD"/>
    <w:rsid w:val="00A268DE"/>
    <w:rsid w:val="00A30928"/>
    <w:rsid w:val="00A40014"/>
    <w:rsid w:val="00A409EE"/>
    <w:rsid w:val="00A416AD"/>
    <w:rsid w:val="00A4305F"/>
    <w:rsid w:val="00A471AE"/>
    <w:rsid w:val="00A504A7"/>
    <w:rsid w:val="00A50CD9"/>
    <w:rsid w:val="00A51374"/>
    <w:rsid w:val="00A52FB7"/>
    <w:rsid w:val="00A53070"/>
    <w:rsid w:val="00A54D95"/>
    <w:rsid w:val="00A5529A"/>
    <w:rsid w:val="00A56160"/>
    <w:rsid w:val="00A56FDB"/>
    <w:rsid w:val="00A5703F"/>
    <w:rsid w:val="00A573A7"/>
    <w:rsid w:val="00A64255"/>
    <w:rsid w:val="00A657DA"/>
    <w:rsid w:val="00A65DCB"/>
    <w:rsid w:val="00A67CAA"/>
    <w:rsid w:val="00A70307"/>
    <w:rsid w:val="00A71927"/>
    <w:rsid w:val="00A72619"/>
    <w:rsid w:val="00A727F3"/>
    <w:rsid w:val="00A740C7"/>
    <w:rsid w:val="00A7463E"/>
    <w:rsid w:val="00A74CF8"/>
    <w:rsid w:val="00A75DCB"/>
    <w:rsid w:val="00A75E5E"/>
    <w:rsid w:val="00A75EAF"/>
    <w:rsid w:val="00A75EC4"/>
    <w:rsid w:val="00A7677D"/>
    <w:rsid w:val="00A76C40"/>
    <w:rsid w:val="00A76E0E"/>
    <w:rsid w:val="00A77101"/>
    <w:rsid w:val="00A8183A"/>
    <w:rsid w:val="00A84337"/>
    <w:rsid w:val="00A84F8B"/>
    <w:rsid w:val="00A85834"/>
    <w:rsid w:val="00A86051"/>
    <w:rsid w:val="00A8625F"/>
    <w:rsid w:val="00A8772C"/>
    <w:rsid w:val="00A87AB4"/>
    <w:rsid w:val="00A87D24"/>
    <w:rsid w:val="00A90151"/>
    <w:rsid w:val="00A90256"/>
    <w:rsid w:val="00A91BF0"/>
    <w:rsid w:val="00A927A0"/>
    <w:rsid w:val="00A9359B"/>
    <w:rsid w:val="00A94888"/>
    <w:rsid w:val="00A948CE"/>
    <w:rsid w:val="00A94E62"/>
    <w:rsid w:val="00A9545C"/>
    <w:rsid w:val="00A970A6"/>
    <w:rsid w:val="00AA128F"/>
    <w:rsid w:val="00AA163B"/>
    <w:rsid w:val="00AA3569"/>
    <w:rsid w:val="00AA4254"/>
    <w:rsid w:val="00AA4D85"/>
    <w:rsid w:val="00AA6B1F"/>
    <w:rsid w:val="00AA7C59"/>
    <w:rsid w:val="00AB077D"/>
    <w:rsid w:val="00AB0D2A"/>
    <w:rsid w:val="00AB10F4"/>
    <w:rsid w:val="00AB129A"/>
    <w:rsid w:val="00AB1578"/>
    <w:rsid w:val="00AB294E"/>
    <w:rsid w:val="00AB2D17"/>
    <w:rsid w:val="00AB34AD"/>
    <w:rsid w:val="00AB3783"/>
    <w:rsid w:val="00AB3F6C"/>
    <w:rsid w:val="00AB43B2"/>
    <w:rsid w:val="00AB46E2"/>
    <w:rsid w:val="00AB5AB8"/>
    <w:rsid w:val="00AC0121"/>
    <w:rsid w:val="00AC22B9"/>
    <w:rsid w:val="00AC3162"/>
    <w:rsid w:val="00AC422F"/>
    <w:rsid w:val="00AC456D"/>
    <w:rsid w:val="00AC4DF5"/>
    <w:rsid w:val="00AC4F48"/>
    <w:rsid w:val="00AC4F7C"/>
    <w:rsid w:val="00AC587D"/>
    <w:rsid w:val="00AC5991"/>
    <w:rsid w:val="00AC6075"/>
    <w:rsid w:val="00AC6642"/>
    <w:rsid w:val="00AC67A8"/>
    <w:rsid w:val="00AC7F0A"/>
    <w:rsid w:val="00AD1AA2"/>
    <w:rsid w:val="00AD7A30"/>
    <w:rsid w:val="00AE1378"/>
    <w:rsid w:val="00AE16BA"/>
    <w:rsid w:val="00AE1996"/>
    <w:rsid w:val="00AE206B"/>
    <w:rsid w:val="00AE2F1D"/>
    <w:rsid w:val="00AE44F4"/>
    <w:rsid w:val="00AE5526"/>
    <w:rsid w:val="00AE568E"/>
    <w:rsid w:val="00AE56F0"/>
    <w:rsid w:val="00AE667E"/>
    <w:rsid w:val="00AE72FA"/>
    <w:rsid w:val="00AE78F5"/>
    <w:rsid w:val="00AE7B54"/>
    <w:rsid w:val="00AE7FC8"/>
    <w:rsid w:val="00AF18FF"/>
    <w:rsid w:val="00AF28A2"/>
    <w:rsid w:val="00AF2964"/>
    <w:rsid w:val="00AF3BD9"/>
    <w:rsid w:val="00AF479F"/>
    <w:rsid w:val="00AF57CF"/>
    <w:rsid w:val="00AF6428"/>
    <w:rsid w:val="00AF6F37"/>
    <w:rsid w:val="00B00A0B"/>
    <w:rsid w:val="00B02C12"/>
    <w:rsid w:val="00B044BC"/>
    <w:rsid w:val="00B11F80"/>
    <w:rsid w:val="00B123AB"/>
    <w:rsid w:val="00B12B54"/>
    <w:rsid w:val="00B12BBE"/>
    <w:rsid w:val="00B159B6"/>
    <w:rsid w:val="00B175DE"/>
    <w:rsid w:val="00B17F67"/>
    <w:rsid w:val="00B216FF"/>
    <w:rsid w:val="00B21CEF"/>
    <w:rsid w:val="00B23258"/>
    <w:rsid w:val="00B23603"/>
    <w:rsid w:val="00B23FC3"/>
    <w:rsid w:val="00B25554"/>
    <w:rsid w:val="00B26761"/>
    <w:rsid w:val="00B26D96"/>
    <w:rsid w:val="00B302FA"/>
    <w:rsid w:val="00B32D6C"/>
    <w:rsid w:val="00B33581"/>
    <w:rsid w:val="00B33B1F"/>
    <w:rsid w:val="00B34048"/>
    <w:rsid w:val="00B35324"/>
    <w:rsid w:val="00B353C3"/>
    <w:rsid w:val="00B35779"/>
    <w:rsid w:val="00B361E2"/>
    <w:rsid w:val="00B362D0"/>
    <w:rsid w:val="00B3749D"/>
    <w:rsid w:val="00B40AC3"/>
    <w:rsid w:val="00B42ABA"/>
    <w:rsid w:val="00B42FBD"/>
    <w:rsid w:val="00B443CC"/>
    <w:rsid w:val="00B44ABB"/>
    <w:rsid w:val="00B459B3"/>
    <w:rsid w:val="00B47870"/>
    <w:rsid w:val="00B525DC"/>
    <w:rsid w:val="00B53EB3"/>
    <w:rsid w:val="00B54605"/>
    <w:rsid w:val="00B5548F"/>
    <w:rsid w:val="00B6074B"/>
    <w:rsid w:val="00B60951"/>
    <w:rsid w:val="00B647F7"/>
    <w:rsid w:val="00B65DAA"/>
    <w:rsid w:val="00B66B2F"/>
    <w:rsid w:val="00B70797"/>
    <w:rsid w:val="00B71AB8"/>
    <w:rsid w:val="00B720EC"/>
    <w:rsid w:val="00B720F1"/>
    <w:rsid w:val="00B7316A"/>
    <w:rsid w:val="00B745C4"/>
    <w:rsid w:val="00B74853"/>
    <w:rsid w:val="00B74F7F"/>
    <w:rsid w:val="00B75337"/>
    <w:rsid w:val="00B754C3"/>
    <w:rsid w:val="00B75B08"/>
    <w:rsid w:val="00B763EC"/>
    <w:rsid w:val="00B7663C"/>
    <w:rsid w:val="00B76BAE"/>
    <w:rsid w:val="00B77D4E"/>
    <w:rsid w:val="00B81237"/>
    <w:rsid w:val="00B81587"/>
    <w:rsid w:val="00B83759"/>
    <w:rsid w:val="00B84869"/>
    <w:rsid w:val="00B849D9"/>
    <w:rsid w:val="00B86499"/>
    <w:rsid w:val="00B86607"/>
    <w:rsid w:val="00B868D0"/>
    <w:rsid w:val="00B87859"/>
    <w:rsid w:val="00B904D3"/>
    <w:rsid w:val="00B91D47"/>
    <w:rsid w:val="00B93CA6"/>
    <w:rsid w:val="00B94DEA"/>
    <w:rsid w:val="00B953E2"/>
    <w:rsid w:val="00B96055"/>
    <w:rsid w:val="00BA0FFE"/>
    <w:rsid w:val="00BA3CB8"/>
    <w:rsid w:val="00BA4BE9"/>
    <w:rsid w:val="00BA5143"/>
    <w:rsid w:val="00BA5264"/>
    <w:rsid w:val="00BA6D1B"/>
    <w:rsid w:val="00BA7623"/>
    <w:rsid w:val="00BA7D34"/>
    <w:rsid w:val="00BB2839"/>
    <w:rsid w:val="00BB39A0"/>
    <w:rsid w:val="00BB3E50"/>
    <w:rsid w:val="00BB4D88"/>
    <w:rsid w:val="00BB5EDB"/>
    <w:rsid w:val="00BB697D"/>
    <w:rsid w:val="00BB751A"/>
    <w:rsid w:val="00BB7599"/>
    <w:rsid w:val="00BB75A0"/>
    <w:rsid w:val="00BC01C7"/>
    <w:rsid w:val="00BC0DCE"/>
    <w:rsid w:val="00BC127C"/>
    <w:rsid w:val="00BC5231"/>
    <w:rsid w:val="00BC6606"/>
    <w:rsid w:val="00BC76FF"/>
    <w:rsid w:val="00BC7C1B"/>
    <w:rsid w:val="00BD0256"/>
    <w:rsid w:val="00BD10A5"/>
    <w:rsid w:val="00BD190D"/>
    <w:rsid w:val="00BD19A2"/>
    <w:rsid w:val="00BD24BF"/>
    <w:rsid w:val="00BD384E"/>
    <w:rsid w:val="00BD6172"/>
    <w:rsid w:val="00BD7F0C"/>
    <w:rsid w:val="00BE21B2"/>
    <w:rsid w:val="00BE536E"/>
    <w:rsid w:val="00BF0D96"/>
    <w:rsid w:val="00BF0EF2"/>
    <w:rsid w:val="00BF11A0"/>
    <w:rsid w:val="00BF2657"/>
    <w:rsid w:val="00BF3944"/>
    <w:rsid w:val="00BF4759"/>
    <w:rsid w:val="00BF68C8"/>
    <w:rsid w:val="00BF6E15"/>
    <w:rsid w:val="00BF6E5E"/>
    <w:rsid w:val="00BF7E77"/>
    <w:rsid w:val="00C00943"/>
    <w:rsid w:val="00C00C29"/>
    <w:rsid w:val="00C016A3"/>
    <w:rsid w:val="00C01E68"/>
    <w:rsid w:val="00C02EE8"/>
    <w:rsid w:val="00C059C1"/>
    <w:rsid w:val="00C11924"/>
    <w:rsid w:val="00C11F51"/>
    <w:rsid w:val="00C12605"/>
    <w:rsid w:val="00C14016"/>
    <w:rsid w:val="00C14538"/>
    <w:rsid w:val="00C14E77"/>
    <w:rsid w:val="00C1536A"/>
    <w:rsid w:val="00C1537E"/>
    <w:rsid w:val="00C17B40"/>
    <w:rsid w:val="00C2111A"/>
    <w:rsid w:val="00C21427"/>
    <w:rsid w:val="00C221A0"/>
    <w:rsid w:val="00C238D1"/>
    <w:rsid w:val="00C2464C"/>
    <w:rsid w:val="00C246C4"/>
    <w:rsid w:val="00C25567"/>
    <w:rsid w:val="00C255C4"/>
    <w:rsid w:val="00C25754"/>
    <w:rsid w:val="00C25BD3"/>
    <w:rsid w:val="00C25C46"/>
    <w:rsid w:val="00C31E19"/>
    <w:rsid w:val="00C31E23"/>
    <w:rsid w:val="00C325E7"/>
    <w:rsid w:val="00C326F9"/>
    <w:rsid w:val="00C329FA"/>
    <w:rsid w:val="00C33382"/>
    <w:rsid w:val="00C33608"/>
    <w:rsid w:val="00C3384A"/>
    <w:rsid w:val="00C33D83"/>
    <w:rsid w:val="00C343CA"/>
    <w:rsid w:val="00C3670A"/>
    <w:rsid w:val="00C36FFC"/>
    <w:rsid w:val="00C37A29"/>
    <w:rsid w:val="00C427CB"/>
    <w:rsid w:val="00C44A3B"/>
    <w:rsid w:val="00C466F6"/>
    <w:rsid w:val="00C46B2C"/>
    <w:rsid w:val="00C5064D"/>
    <w:rsid w:val="00C50708"/>
    <w:rsid w:val="00C5380B"/>
    <w:rsid w:val="00C56592"/>
    <w:rsid w:val="00C56951"/>
    <w:rsid w:val="00C61567"/>
    <w:rsid w:val="00C62030"/>
    <w:rsid w:val="00C620DB"/>
    <w:rsid w:val="00C620FF"/>
    <w:rsid w:val="00C62698"/>
    <w:rsid w:val="00C658BA"/>
    <w:rsid w:val="00C6710F"/>
    <w:rsid w:val="00C673FA"/>
    <w:rsid w:val="00C6749B"/>
    <w:rsid w:val="00C70D35"/>
    <w:rsid w:val="00C70D80"/>
    <w:rsid w:val="00C70EFC"/>
    <w:rsid w:val="00C71688"/>
    <w:rsid w:val="00C71FFF"/>
    <w:rsid w:val="00C73DBA"/>
    <w:rsid w:val="00C74CC3"/>
    <w:rsid w:val="00C75C56"/>
    <w:rsid w:val="00C77C99"/>
    <w:rsid w:val="00C77CF8"/>
    <w:rsid w:val="00C80EEC"/>
    <w:rsid w:val="00C8169C"/>
    <w:rsid w:val="00C82A39"/>
    <w:rsid w:val="00C82EF5"/>
    <w:rsid w:val="00C87A64"/>
    <w:rsid w:val="00C90F86"/>
    <w:rsid w:val="00C91E0D"/>
    <w:rsid w:val="00C932F3"/>
    <w:rsid w:val="00C9519E"/>
    <w:rsid w:val="00C96468"/>
    <w:rsid w:val="00CA0B3F"/>
    <w:rsid w:val="00CA52B3"/>
    <w:rsid w:val="00CA5901"/>
    <w:rsid w:val="00CA594F"/>
    <w:rsid w:val="00CA5AC1"/>
    <w:rsid w:val="00CA5CF1"/>
    <w:rsid w:val="00CA6981"/>
    <w:rsid w:val="00CA71C4"/>
    <w:rsid w:val="00CB0CD3"/>
    <w:rsid w:val="00CB223E"/>
    <w:rsid w:val="00CB3223"/>
    <w:rsid w:val="00CB325C"/>
    <w:rsid w:val="00CB5E35"/>
    <w:rsid w:val="00CB79C4"/>
    <w:rsid w:val="00CC04D2"/>
    <w:rsid w:val="00CC382A"/>
    <w:rsid w:val="00CC3DE4"/>
    <w:rsid w:val="00CC455A"/>
    <w:rsid w:val="00CC459B"/>
    <w:rsid w:val="00CC5F5B"/>
    <w:rsid w:val="00CC634E"/>
    <w:rsid w:val="00CC7A32"/>
    <w:rsid w:val="00CC7E05"/>
    <w:rsid w:val="00CD0B77"/>
    <w:rsid w:val="00CD0ECA"/>
    <w:rsid w:val="00CD1B03"/>
    <w:rsid w:val="00CD4F8F"/>
    <w:rsid w:val="00CD4FBC"/>
    <w:rsid w:val="00CD61EB"/>
    <w:rsid w:val="00CD6A1E"/>
    <w:rsid w:val="00CD7F44"/>
    <w:rsid w:val="00CE3C27"/>
    <w:rsid w:val="00CE43AF"/>
    <w:rsid w:val="00CE4D3A"/>
    <w:rsid w:val="00CE64FD"/>
    <w:rsid w:val="00CE6FC9"/>
    <w:rsid w:val="00CE7236"/>
    <w:rsid w:val="00CF02F0"/>
    <w:rsid w:val="00CF1656"/>
    <w:rsid w:val="00CF1B98"/>
    <w:rsid w:val="00CF2358"/>
    <w:rsid w:val="00CF4BC6"/>
    <w:rsid w:val="00CF557C"/>
    <w:rsid w:val="00CF6544"/>
    <w:rsid w:val="00CF7C37"/>
    <w:rsid w:val="00CF7F06"/>
    <w:rsid w:val="00D01615"/>
    <w:rsid w:val="00D02433"/>
    <w:rsid w:val="00D0352E"/>
    <w:rsid w:val="00D07999"/>
    <w:rsid w:val="00D10F14"/>
    <w:rsid w:val="00D11215"/>
    <w:rsid w:val="00D12F94"/>
    <w:rsid w:val="00D1351D"/>
    <w:rsid w:val="00D15113"/>
    <w:rsid w:val="00D15B7C"/>
    <w:rsid w:val="00D15B7D"/>
    <w:rsid w:val="00D15E9F"/>
    <w:rsid w:val="00D16F74"/>
    <w:rsid w:val="00D20C48"/>
    <w:rsid w:val="00D20EFA"/>
    <w:rsid w:val="00D23F39"/>
    <w:rsid w:val="00D24229"/>
    <w:rsid w:val="00D246EF"/>
    <w:rsid w:val="00D2568B"/>
    <w:rsid w:val="00D2701C"/>
    <w:rsid w:val="00D30791"/>
    <w:rsid w:val="00D312AC"/>
    <w:rsid w:val="00D31E3E"/>
    <w:rsid w:val="00D329FE"/>
    <w:rsid w:val="00D3306E"/>
    <w:rsid w:val="00D330CA"/>
    <w:rsid w:val="00D3316D"/>
    <w:rsid w:val="00D33DF7"/>
    <w:rsid w:val="00D364D3"/>
    <w:rsid w:val="00D37882"/>
    <w:rsid w:val="00D44A96"/>
    <w:rsid w:val="00D46FD9"/>
    <w:rsid w:val="00D504CC"/>
    <w:rsid w:val="00D505A6"/>
    <w:rsid w:val="00D50638"/>
    <w:rsid w:val="00D506DC"/>
    <w:rsid w:val="00D51808"/>
    <w:rsid w:val="00D51C31"/>
    <w:rsid w:val="00D52FD5"/>
    <w:rsid w:val="00D537A3"/>
    <w:rsid w:val="00D541AB"/>
    <w:rsid w:val="00D5498E"/>
    <w:rsid w:val="00D562BA"/>
    <w:rsid w:val="00D576E2"/>
    <w:rsid w:val="00D60649"/>
    <w:rsid w:val="00D60947"/>
    <w:rsid w:val="00D61E88"/>
    <w:rsid w:val="00D62D27"/>
    <w:rsid w:val="00D654E3"/>
    <w:rsid w:val="00D67068"/>
    <w:rsid w:val="00D674EF"/>
    <w:rsid w:val="00D70599"/>
    <w:rsid w:val="00D7263E"/>
    <w:rsid w:val="00D72D7F"/>
    <w:rsid w:val="00D7449B"/>
    <w:rsid w:val="00D75CD9"/>
    <w:rsid w:val="00D76CC9"/>
    <w:rsid w:val="00D77453"/>
    <w:rsid w:val="00D7795D"/>
    <w:rsid w:val="00D82097"/>
    <w:rsid w:val="00D83923"/>
    <w:rsid w:val="00D84758"/>
    <w:rsid w:val="00D90E8D"/>
    <w:rsid w:val="00D910BC"/>
    <w:rsid w:val="00D92BA9"/>
    <w:rsid w:val="00D939A5"/>
    <w:rsid w:val="00D9419D"/>
    <w:rsid w:val="00D96F65"/>
    <w:rsid w:val="00D9787E"/>
    <w:rsid w:val="00D97ABC"/>
    <w:rsid w:val="00DA136C"/>
    <w:rsid w:val="00DA176B"/>
    <w:rsid w:val="00DA2574"/>
    <w:rsid w:val="00DA3017"/>
    <w:rsid w:val="00DA370E"/>
    <w:rsid w:val="00DA5484"/>
    <w:rsid w:val="00DA6415"/>
    <w:rsid w:val="00DA6421"/>
    <w:rsid w:val="00DA7696"/>
    <w:rsid w:val="00DB3D7D"/>
    <w:rsid w:val="00DB56DF"/>
    <w:rsid w:val="00DB75EE"/>
    <w:rsid w:val="00DB7E8D"/>
    <w:rsid w:val="00DC1012"/>
    <w:rsid w:val="00DC18D8"/>
    <w:rsid w:val="00DC1B37"/>
    <w:rsid w:val="00DC2BBE"/>
    <w:rsid w:val="00DC5DFF"/>
    <w:rsid w:val="00DC6052"/>
    <w:rsid w:val="00DC6D29"/>
    <w:rsid w:val="00DC715E"/>
    <w:rsid w:val="00DC74CB"/>
    <w:rsid w:val="00DD019F"/>
    <w:rsid w:val="00DD101C"/>
    <w:rsid w:val="00DD134A"/>
    <w:rsid w:val="00DD1A59"/>
    <w:rsid w:val="00DD1F48"/>
    <w:rsid w:val="00DD2445"/>
    <w:rsid w:val="00DD2F7A"/>
    <w:rsid w:val="00DD5137"/>
    <w:rsid w:val="00DD52DF"/>
    <w:rsid w:val="00DD5FA4"/>
    <w:rsid w:val="00DD6473"/>
    <w:rsid w:val="00DD7798"/>
    <w:rsid w:val="00DE1CBA"/>
    <w:rsid w:val="00DE1DBF"/>
    <w:rsid w:val="00DE1FE3"/>
    <w:rsid w:val="00DE45C6"/>
    <w:rsid w:val="00DE5F43"/>
    <w:rsid w:val="00DE7A54"/>
    <w:rsid w:val="00DF022F"/>
    <w:rsid w:val="00DF0E20"/>
    <w:rsid w:val="00DF15E2"/>
    <w:rsid w:val="00DF320E"/>
    <w:rsid w:val="00DF4E3E"/>
    <w:rsid w:val="00DF578E"/>
    <w:rsid w:val="00DF57D9"/>
    <w:rsid w:val="00DF60B9"/>
    <w:rsid w:val="00DF63B7"/>
    <w:rsid w:val="00E010CD"/>
    <w:rsid w:val="00E0453D"/>
    <w:rsid w:val="00E05685"/>
    <w:rsid w:val="00E05FA6"/>
    <w:rsid w:val="00E06182"/>
    <w:rsid w:val="00E06290"/>
    <w:rsid w:val="00E066AF"/>
    <w:rsid w:val="00E07DE7"/>
    <w:rsid w:val="00E113AF"/>
    <w:rsid w:val="00E135F4"/>
    <w:rsid w:val="00E135F7"/>
    <w:rsid w:val="00E15A2F"/>
    <w:rsid w:val="00E16704"/>
    <w:rsid w:val="00E17932"/>
    <w:rsid w:val="00E20635"/>
    <w:rsid w:val="00E25018"/>
    <w:rsid w:val="00E2516C"/>
    <w:rsid w:val="00E25474"/>
    <w:rsid w:val="00E26569"/>
    <w:rsid w:val="00E27164"/>
    <w:rsid w:val="00E27A9F"/>
    <w:rsid w:val="00E31817"/>
    <w:rsid w:val="00E32D82"/>
    <w:rsid w:val="00E32EE5"/>
    <w:rsid w:val="00E32F93"/>
    <w:rsid w:val="00E33312"/>
    <w:rsid w:val="00E3464F"/>
    <w:rsid w:val="00E34F1B"/>
    <w:rsid w:val="00E359F5"/>
    <w:rsid w:val="00E3740F"/>
    <w:rsid w:val="00E379F7"/>
    <w:rsid w:val="00E40920"/>
    <w:rsid w:val="00E414C0"/>
    <w:rsid w:val="00E419EF"/>
    <w:rsid w:val="00E43338"/>
    <w:rsid w:val="00E442E7"/>
    <w:rsid w:val="00E44669"/>
    <w:rsid w:val="00E44708"/>
    <w:rsid w:val="00E460B3"/>
    <w:rsid w:val="00E47107"/>
    <w:rsid w:val="00E4724D"/>
    <w:rsid w:val="00E50604"/>
    <w:rsid w:val="00E514C9"/>
    <w:rsid w:val="00E51B7F"/>
    <w:rsid w:val="00E54A61"/>
    <w:rsid w:val="00E54ACD"/>
    <w:rsid w:val="00E54B2B"/>
    <w:rsid w:val="00E575AB"/>
    <w:rsid w:val="00E6055A"/>
    <w:rsid w:val="00E60B8A"/>
    <w:rsid w:val="00E61632"/>
    <w:rsid w:val="00E61A5B"/>
    <w:rsid w:val="00E6319E"/>
    <w:rsid w:val="00E6478A"/>
    <w:rsid w:val="00E64C11"/>
    <w:rsid w:val="00E65208"/>
    <w:rsid w:val="00E65981"/>
    <w:rsid w:val="00E672F0"/>
    <w:rsid w:val="00E674E2"/>
    <w:rsid w:val="00E70C57"/>
    <w:rsid w:val="00E70DD7"/>
    <w:rsid w:val="00E7184C"/>
    <w:rsid w:val="00E72843"/>
    <w:rsid w:val="00E72EE0"/>
    <w:rsid w:val="00E73AC2"/>
    <w:rsid w:val="00E73DF9"/>
    <w:rsid w:val="00E741FB"/>
    <w:rsid w:val="00E74A9B"/>
    <w:rsid w:val="00E75263"/>
    <w:rsid w:val="00E758BA"/>
    <w:rsid w:val="00E75DDB"/>
    <w:rsid w:val="00E76B01"/>
    <w:rsid w:val="00E774C4"/>
    <w:rsid w:val="00E81EA7"/>
    <w:rsid w:val="00E84EE5"/>
    <w:rsid w:val="00E85771"/>
    <w:rsid w:val="00E85ED4"/>
    <w:rsid w:val="00E86E51"/>
    <w:rsid w:val="00E875A3"/>
    <w:rsid w:val="00E876D7"/>
    <w:rsid w:val="00E91A7E"/>
    <w:rsid w:val="00E91FED"/>
    <w:rsid w:val="00E941D9"/>
    <w:rsid w:val="00E971B0"/>
    <w:rsid w:val="00E97A97"/>
    <w:rsid w:val="00EA1943"/>
    <w:rsid w:val="00EA24FC"/>
    <w:rsid w:val="00EA5865"/>
    <w:rsid w:val="00EA75A2"/>
    <w:rsid w:val="00EB1A00"/>
    <w:rsid w:val="00EB27DA"/>
    <w:rsid w:val="00EB3E41"/>
    <w:rsid w:val="00EB3F9D"/>
    <w:rsid w:val="00EB4842"/>
    <w:rsid w:val="00EB4D03"/>
    <w:rsid w:val="00EB5755"/>
    <w:rsid w:val="00EB5DC6"/>
    <w:rsid w:val="00EB5EE3"/>
    <w:rsid w:val="00EB6C4F"/>
    <w:rsid w:val="00EC0F2B"/>
    <w:rsid w:val="00EC1946"/>
    <w:rsid w:val="00EC36E9"/>
    <w:rsid w:val="00EC5719"/>
    <w:rsid w:val="00EC58E9"/>
    <w:rsid w:val="00EC59CF"/>
    <w:rsid w:val="00ED317B"/>
    <w:rsid w:val="00ED432C"/>
    <w:rsid w:val="00ED4983"/>
    <w:rsid w:val="00ED57F5"/>
    <w:rsid w:val="00EE033E"/>
    <w:rsid w:val="00EE0379"/>
    <w:rsid w:val="00EE17F5"/>
    <w:rsid w:val="00EE2181"/>
    <w:rsid w:val="00EE4A36"/>
    <w:rsid w:val="00EE6F14"/>
    <w:rsid w:val="00EE7A4A"/>
    <w:rsid w:val="00EF0BA1"/>
    <w:rsid w:val="00EF1F82"/>
    <w:rsid w:val="00EF3209"/>
    <w:rsid w:val="00EF347C"/>
    <w:rsid w:val="00EF3F23"/>
    <w:rsid w:val="00EF6206"/>
    <w:rsid w:val="00EF64D7"/>
    <w:rsid w:val="00EF6A0C"/>
    <w:rsid w:val="00EF6F64"/>
    <w:rsid w:val="00EF7FD2"/>
    <w:rsid w:val="00F00071"/>
    <w:rsid w:val="00F008E5"/>
    <w:rsid w:val="00F03911"/>
    <w:rsid w:val="00F04EA7"/>
    <w:rsid w:val="00F07562"/>
    <w:rsid w:val="00F0771E"/>
    <w:rsid w:val="00F104A7"/>
    <w:rsid w:val="00F114BC"/>
    <w:rsid w:val="00F12012"/>
    <w:rsid w:val="00F13E6C"/>
    <w:rsid w:val="00F162D4"/>
    <w:rsid w:val="00F1699C"/>
    <w:rsid w:val="00F173FA"/>
    <w:rsid w:val="00F2058B"/>
    <w:rsid w:val="00F2224F"/>
    <w:rsid w:val="00F24FEF"/>
    <w:rsid w:val="00F25AE6"/>
    <w:rsid w:val="00F25C31"/>
    <w:rsid w:val="00F25D03"/>
    <w:rsid w:val="00F30501"/>
    <w:rsid w:val="00F30EE3"/>
    <w:rsid w:val="00F31E38"/>
    <w:rsid w:val="00F3209B"/>
    <w:rsid w:val="00F3214C"/>
    <w:rsid w:val="00F32199"/>
    <w:rsid w:val="00F331EC"/>
    <w:rsid w:val="00F33458"/>
    <w:rsid w:val="00F33F8D"/>
    <w:rsid w:val="00F36897"/>
    <w:rsid w:val="00F36BA3"/>
    <w:rsid w:val="00F36C97"/>
    <w:rsid w:val="00F36E53"/>
    <w:rsid w:val="00F37223"/>
    <w:rsid w:val="00F37CB6"/>
    <w:rsid w:val="00F37F65"/>
    <w:rsid w:val="00F4010B"/>
    <w:rsid w:val="00F404E9"/>
    <w:rsid w:val="00F412F8"/>
    <w:rsid w:val="00F415B8"/>
    <w:rsid w:val="00F4219D"/>
    <w:rsid w:val="00F425FC"/>
    <w:rsid w:val="00F4451F"/>
    <w:rsid w:val="00F44BAE"/>
    <w:rsid w:val="00F44FA6"/>
    <w:rsid w:val="00F46E42"/>
    <w:rsid w:val="00F4702C"/>
    <w:rsid w:val="00F47613"/>
    <w:rsid w:val="00F5054B"/>
    <w:rsid w:val="00F505B8"/>
    <w:rsid w:val="00F50723"/>
    <w:rsid w:val="00F530D2"/>
    <w:rsid w:val="00F53EFE"/>
    <w:rsid w:val="00F567D0"/>
    <w:rsid w:val="00F60BA2"/>
    <w:rsid w:val="00F614F2"/>
    <w:rsid w:val="00F628CA"/>
    <w:rsid w:val="00F634F6"/>
    <w:rsid w:val="00F66DED"/>
    <w:rsid w:val="00F72E6B"/>
    <w:rsid w:val="00F73424"/>
    <w:rsid w:val="00F73BF5"/>
    <w:rsid w:val="00F74E0B"/>
    <w:rsid w:val="00F77B4D"/>
    <w:rsid w:val="00F82C00"/>
    <w:rsid w:val="00F85A9F"/>
    <w:rsid w:val="00F85D8F"/>
    <w:rsid w:val="00F8659F"/>
    <w:rsid w:val="00F87B07"/>
    <w:rsid w:val="00F91E13"/>
    <w:rsid w:val="00F926EF"/>
    <w:rsid w:val="00F92EA7"/>
    <w:rsid w:val="00F9346A"/>
    <w:rsid w:val="00F94880"/>
    <w:rsid w:val="00F954E3"/>
    <w:rsid w:val="00F95989"/>
    <w:rsid w:val="00FA03EA"/>
    <w:rsid w:val="00FA0703"/>
    <w:rsid w:val="00FA0DCF"/>
    <w:rsid w:val="00FA2D69"/>
    <w:rsid w:val="00FA33D2"/>
    <w:rsid w:val="00FA47A4"/>
    <w:rsid w:val="00FA5233"/>
    <w:rsid w:val="00FA5EF8"/>
    <w:rsid w:val="00FA67E0"/>
    <w:rsid w:val="00FA6C7A"/>
    <w:rsid w:val="00FA6E99"/>
    <w:rsid w:val="00FB016C"/>
    <w:rsid w:val="00FB0565"/>
    <w:rsid w:val="00FB28AA"/>
    <w:rsid w:val="00FB2EC0"/>
    <w:rsid w:val="00FB455C"/>
    <w:rsid w:val="00FB4E93"/>
    <w:rsid w:val="00FB5548"/>
    <w:rsid w:val="00FB5708"/>
    <w:rsid w:val="00FC2BDD"/>
    <w:rsid w:val="00FC2D8B"/>
    <w:rsid w:val="00FC438F"/>
    <w:rsid w:val="00FC60C3"/>
    <w:rsid w:val="00FC766A"/>
    <w:rsid w:val="00FC7A60"/>
    <w:rsid w:val="00FD10FD"/>
    <w:rsid w:val="00FD133D"/>
    <w:rsid w:val="00FD1584"/>
    <w:rsid w:val="00FD2099"/>
    <w:rsid w:val="00FD3306"/>
    <w:rsid w:val="00FD36B1"/>
    <w:rsid w:val="00FD457F"/>
    <w:rsid w:val="00FD5B41"/>
    <w:rsid w:val="00FD6FED"/>
    <w:rsid w:val="00FE070A"/>
    <w:rsid w:val="00FE17CB"/>
    <w:rsid w:val="00FE43CD"/>
    <w:rsid w:val="00FE4B9E"/>
    <w:rsid w:val="00FE59FD"/>
    <w:rsid w:val="00FE67CC"/>
    <w:rsid w:val="00FE6966"/>
    <w:rsid w:val="00FE7F98"/>
    <w:rsid w:val="00FF03A4"/>
    <w:rsid w:val="00FF2E7F"/>
    <w:rsid w:val="00FF306D"/>
    <w:rsid w:val="00FF428D"/>
    <w:rsid w:val="00FF4FFF"/>
    <w:rsid w:val="00FF5EF3"/>
    <w:rsid w:val="01EE3C63"/>
    <w:rsid w:val="05408373"/>
    <w:rsid w:val="06B38B50"/>
    <w:rsid w:val="08BD0C5E"/>
    <w:rsid w:val="0CBB20E6"/>
    <w:rsid w:val="0D93CD80"/>
    <w:rsid w:val="14B8F984"/>
    <w:rsid w:val="14E33651"/>
    <w:rsid w:val="15ACAB23"/>
    <w:rsid w:val="15BF86DB"/>
    <w:rsid w:val="182115CC"/>
    <w:rsid w:val="207F9352"/>
    <w:rsid w:val="2149AA28"/>
    <w:rsid w:val="224E392F"/>
    <w:rsid w:val="235A8EE5"/>
    <w:rsid w:val="2379D695"/>
    <w:rsid w:val="23D5429E"/>
    <w:rsid w:val="25462590"/>
    <w:rsid w:val="2693495C"/>
    <w:rsid w:val="26C548EB"/>
    <w:rsid w:val="2784CCF2"/>
    <w:rsid w:val="278EAD7D"/>
    <w:rsid w:val="28025EC9"/>
    <w:rsid w:val="28286EDA"/>
    <w:rsid w:val="28EB2235"/>
    <w:rsid w:val="2B08E41F"/>
    <w:rsid w:val="2FB07AC6"/>
    <w:rsid w:val="310142C4"/>
    <w:rsid w:val="31EC78DF"/>
    <w:rsid w:val="368CB170"/>
    <w:rsid w:val="384DF0C9"/>
    <w:rsid w:val="38BCBDED"/>
    <w:rsid w:val="3B2730FE"/>
    <w:rsid w:val="3EE0DFD1"/>
    <w:rsid w:val="3FD9FDE3"/>
    <w:rsid w:val="4035040B"/>
    <w:rsid w:val="432EA9BC"/>
    <w:rsid w:val="457428C5"/>
    <w:rsid w:val="497490DC"/>
    <w:rsid w:val="4CE7DEB3"/>
    <w:rsid w:val="4E3D3530"/>
    <w:rsid w:val="519C52A5"/>
    <w:rsid w:val="51E50B13"/>
    <w:rsid w:val="522E4EC0"/>
    <w:rsid w:val="563642DE"/>
    <w:rsid w:val="612FD9C7"/>
    <w:rsid w:val="615EC131"/>
    <w:rsid w:val="62F15EF6"/>
    <w:rsid w:val="6491DD90"/>
    <w:rsid w:val="64CB610E"/>
    <w:rsid w:val="65F0969C"/>
    <w:rsid w:val="68BBDFEC"/>
    <w:rsid w:val="6BB105B0"/>
    <w:rsid w:val="6D96B7A2"/>
    <w:rsid w:val="6DDBCAC4"/>
    <w:rsid w:val="6EB55E94"/>
    <w:rsid w:val="70D65C7B"/>
    <w:rsid w:val="710F75C6"/>
    <w:rsid w:val="71EBDBD3"/>
    <w:rsid w:val="721C9AB5"/>
    <w:rsid w:val="7AA13CAF"/>
    <w:rsid w:val="7ABFE377"/>
    <w:rsid w:val="7B6A7088"/>
    <w:rsid w:val="7DA02269"/>
    <w:rsid w:val="7DBA6A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FA197"/>
  <w15:chartTrackingRefBased/>
  <w15:docId w15:val="{B6939712-912D-45AD-9BF6-DBA2336D4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55EC6"/>
    <w:pPr>
      <w:spacing w:before="120" w:after="120" w:line="280" w:lineRule="atLeast"/>
    </w:pPr>
    <w:rPr>
      <w:sz w:val="20"/>
      <w:szCs w:val="20"/>
    </w:rPr>
  </w:style>
  <w:style w:type="paragraph" w:styleId="Heading1">
    <w:name w:val="heading 1"/>
    <w:basedOn w:val="Normal"/>
    <w:next w:val="BodyText"/>
    <w:link w:val="Heading1Char"/>
    <w:uiPriority w:val="9"/>
    <w:qFormat/>
    <w:rsid w:val="00755EC6"/>
    <w:pPr>
      <w:numPr>
        <w:numId w:val="32"/>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55EC6"/>
    <w:pPr>
      <w:keepNext/>
      <w:keepLines/>
      <w:numPr>
        <w:ilvl w:val="2"/>
        <w:numId w:val="3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55E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55E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55E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55E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55E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55E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55E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755E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5EC6"/>
  </w:style>
  <w:style w:type="character" w:styleId="PlaceholderText">
    <w:name w:val="Placeholder Text"/>
    <w:basedOn w:val="DefaultParagraphFont"/>
    <w:uiPriority w:val="99"/>
    <w:semiHidden/>
    <w:rsid w:val="00755EC6"/>
    <w:rPr>
      <w:color w:val="808080"/>
    </w:rPr>
  </w:style>
  <w:style w:type="paragraph" w:styleId="Date">
    <w:name w:val="Date"/>
    <w:basedOn w:val="Normal"/>
    <w:next w:val="Normal"/>
    <w:link w:val="DateChar"/>
    <w:uiPriority w:val="99"/>
    <w:unhideWhenUsed/>
    <w:rsid w:val="00755EC6"/>
    <w:pPr>
      <w:spacing w:after="360" w:line="293" w:lineRule="auto"/>
    </w:pPr>
  </w:style>
  <w:style w:type="character" w:customStyle="1" w:styleId="DateChar">
    <w:name w:val="Date Char"/>
    <w:basedOn w:val="DefaultParagraphFont"/>
    <w:link w:val="Date"/>
    <w:uiPriority w:val="99"/>
    <w:rsid w:val="00755EC6"/>
    <w:rPr>
      <w:sz w:val="20"/>
      <w:szCs w:val="20"/>
    </w:rPr>
  </w:style>
  <w:style w:type="paragraph" w:styleId="NoSpacing">
    <w:name w:val="No Spacing"/>
    <w:basedOn w:val="Normal"/>
    <w:link w:val="NoSpacingChar"/>
    <w:uiPriority w:val="10"/>
    <w:qFormat/>
    <w:rsid w:val="00755EC6"/>
    <w:pPr>
      <w:spacing w:before="0" w:after="0"/>
    </w:pPr>
  </w:style>
  <w:style w:type="paragraph" w:styleId="ListBullet">
    <w:name w:val="List Bullet"/>
    <w:basedOn w:val="Normal"/>
    <w:link w:val="ListBulletChar"/>
    <w:uiPriority w:val="1"/>
    <w:qFormat/>
    <w:rsid w:val="00755EC6"/>
    <w:pPr>
      <w:numPr>
        <w:numId w:val="16"/>
      </w:numPr>
      <w:contextualSpacing/>
    </w:pPr>
  </w:style>
  <w:style w:type="paragraph" w:styleId="ListBullet2">
    <w:name w:val="List Bullet 2"/>
    <w:basedOn w:val="Normal"/>
    <w:uiPriority w:val="1"/>
    <w:qFormat/>
    <w:rsid w:val="00755EC6"/>
    <w:pPr>
      <w:numPr>
        <w:ilvl w:val="1"/>
        <w:numId w:val="16"/>
      </w:numPr>
      <w:contextualSpacing/>
    </w:pPr>
  </w:style>
  <w:style w:type="paragraph" w:styleId="ListNumber">
    <w:name w:val="List Number"/>
    <w:basedOn w:val="Normal"/>
    <w:uiPriority w:val="2"/>
    <w:qFormat/>
    <w:rsid w:val="00755EC6"/>
    <w:pPr>
      <w:numPr>
        <w:numId w:val="26"/>
      </w:numPr>
      <w:spacing w:before="60"/>
      <w:ind w:left="340" w:hanging="340"/>
      <w:contextualSpacing/>
    </w:pPr>
  </w:style>
  <w:style w:type="numbering" w:customStyle="1" w:styleId="Bullets">
    <w:name w:val="Bullets"/>
    <w:uiPriority w:val="99"/>
    <w:rsid w:val="00755EC6"/>
    <w:pPr>
      <w:numPr>
        <w:numId w:val="6"/>
      </w:numPr>
    </w:pPr>
  </w:style>
  <w:style w:type="character" w:customStyle="1" w:styleId="Heading1Char">
    <w:name w:val="Heading 1 Char"/>
    <w:basedOn w:val="DefaultParagraphFont"/>
    <w:link w:val="Heading1"/>
    <w:uiPriority w:val="9"/>
    <w:rsid w:val="00755E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55EC6"/>
    <w:pPr>
      <w:numPr>
        <w:ilvl w:val="1"/>
        <w:numId w:val="26"/>
      </w:numPr>
      <w:spacing w:before="60"/>
      <w:contextualSpacing/>
    </w:pPr>
  </w:style>
  <w:style w:type="character" w:customStyle="1" w:styleId="Heading2Char">
    <w:name w:val="Heading 2 Char"/>
    <w:basedOn w:val="DefaultParagraphFont"/>
    <w:link w:val="Heading2"/>
    <w:uiPriority w:val="9"/>
    <w:rsid w:val="00755EC6"/>
    <w:rPr>
      <w:rFonts w:asciiTheme="majorHAnsi" w:eastAsiaTheme="majorEastAsia" w:hAnsiTheme="majorHAnsi" w:cstheme="majorBidi"/>
      <w:sz w:val="30"/>
      <w:szCs w:val="60"/>
    </w:rPr>
  </w:style>
  <w:style w:type="paragraph" w:styleId="ListParagraph">
    <w:name w:val="List Paragraph"/>
    <w:basedOn w:val="Normal"/>
    <w:uiPriority w:val="34"/>
    <w:rsid w:val="00755EC6"/>
    <w:pPr>
      <w:spacing w:line="293" w:lineRule="auto"/>
      <w:ind w:left="284"/>
      <w:contextualSpacing/>
    </w:pPr>
  </w:style>
  <w:style w:type="paragraph" w:styleId="Header">
    <w:name w:val="header"/>
    <w:basedOn w:val="Normal"/>
    <w:link w:val="HeaderChar"/>
    <w:uiPriority w:val="99"/>
    <w:unhideWhenUsed/>
    <w:rsid w:val="00755E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55EC6"/>
    <w:rPr>
      <w:sz w:val="16"/>
      <w:szCs w:val="20"/>
    </w:rPr>
  </w:style>
  <w:style w:type="paragraph" w:styleId="Footer">
    <w:name w:val="footer"/>
    <w:basedOn w:val="Normal"/>
    <w:link w:val="FooterChar"/>
    <w:uiPriority w:val="11"/>
    <w:rsid w:val="00755E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55EC6"/>
    <w:rPr>
      <w:rFonts w:asciiTheme="majorHAnsi" w:hAnsiTheme="majorHAnsi"/>
      <w:sz w:val="17"/>
    </w:rPr>
  </w:style>
  <w:style w:type="numbering" w:customStyle="1" w:styleId="Numbering">
    <w:name w:val="Numbering"/>
    <w:uiPriority w:val="99"/>
    <w:rsid w:val="00755EC6"/>
    <w:pPr>
      <w:numPr>
        <w:numId w:val="15"/>
      </w:numPr>
    </w:pPr>
  </w:style>
  <w:style w:type="paragraph" w:styleId="ListBullet3">
    <w:name w:val="List Bullet 3"/>
    <w:basedOn w:val="Normal"/>
    <w:uiPriority w:val="1"/>
    <w:qFormat/>
    <w:rsid w:val="00755EC6"/>
    <w:pPr>
      <w:numPr>
        <w:ilvl w:val="2"/>
        <w:numId w:val="16"/>
      </w:numPr>
      <w:ind w:left="681"/>
      <w:contextualSpacing/>
    </w:pPr>
  </w:style>
  <w:style w:type="paragraph" w:styleId="ListContinue2">
    <w:name w:val="List Continue 2"/>
    <w:basedOn w:val="Normal"/>
    <w:uiPriority w:val="3"/>
    <w:unhideWhenUsed/>
    <w:qFormat/>
    <w:rsid w:val="00755EC6"/>
    <w:pPr>
      <w:spacing w:before="60"/>
      <w:ind w:left="454"/>
    </w:pPr>
  </w:style>
  <w:style w:type="paragraph" w:styleId="ListNumber3">
    <w:name w:val="List Number 3"/>
    <w:basedOn w:val="Normal"/>
    <w:uiPriority w:val="13"/>
    <w:semiHidden/>
    <w:qFormat/>
    <w:rsid w:val="00755EC6"/>
    <w:pPr>
      <w:numPr>
        <w:ilvl w:val="2"/>
        <w:numId w:val="26"/>
      </w:numPr>
      <w:spacing w:before="60"/>
      <w:contextualSpacing/>
    </w:pPr>
  </w:style>
  <w:style w:type="paragraph" w:styleId="ListNumber4">
    <w:name w:val="List Number 4"/>
    <w:basedOn w:val="Normal"/>
    <w:uiPriority w:val="13"/>
    <w:semiHidden/>
    <w:qFormat/>
    <w:rsid w:val="00755EC6"/>
    <w:pPr>
      <w:numPr>
        <w:ilvl w:val="3"/>
        <w:numId w:val="26"/>
      </w:numPr>
      <w:spacing w:after="200" w:line="293" w:lineRule="auto"/>
      <w:contextualSpacing/>
    </w:pPr>
  </w:style>
  <w:style w:type="paragraph" w:styleId="ListNumber5">
    <w:name w:val="List Number 5"/>
    <w:basedOn w:val="Normal"/>
    <w:uiPriority w:val="13"/>
    <w:semiHidden/>
    <w:rsid w:val="00755EC6"/>
    <w:pPr>
      <w:numPr>
        <w:ilvl w:val="4"/>
        <w:numId w:val="26"/>
      </w:numPr>
      <w:spacing w:after="200" w:line="293" w:lineRule="auto"/>
      <w:contextualSpacing/>
    </w:pPr>
  </w:style>
  <w:style w:type="paragraph" w:styleId="ListContinue">
    <w:name w:val="List Continue"/>
    <w:basedOn w:val="Normal"/>
    <w:uiPriority w:val="3"/>
    <w:unhideWhenUsed/>
    <w:qFormat/>
    <w:rsid w:val="00755EC6"/>
    <w:pPr>
      <w:spacing w:before="60"/>
      <w:ind w:left="227"/>
    </w:pPr>
  </w:style>
  <w:style w:type="paragraph" w:styleId="ListContinue3">
    <w:name w:val="List Continue 3"/>
    <w:basedOn w:val="Normal"/>
    <w:uiPriority w:val="3"/>
    <w:unhideWhenUsed/>
    <w:qFormat/>
    <w:rsid w:val="00755EC6"/>
    <w:pPr>
      <w:spacing w:before="60"/>
      <w:ind w:left="907"/>
    </w:pPr>
  </w:style>
  <w:style w:type="paragraph" w:styleId="ListContinue4">
    <w:name w:val="List Continue 4"/>
    <w:basedOn w:val="Normal"/>
    <w:uiPriority w:val="3"/>
    <w:unhideWhenUsed/>
    <w:qFormat/>
    <w:rsid w:val="00755EC6"/>
    <w:pPr>
      <w:spacing w:line="293" w:lineRule="auto"/>
      <w:ind w:left="907"/>
      <w:contextualSpacing/>
    </w:pPr>
  </w:style>
  <w:style w:type="character" w:customStyle="1" w:styleId="Heading3Char">
    <w:name w:val="Heading 3 Char"/>
    <w:basedOn w:val="DefaultParagraphFont"/>
    <w:link w:val="Heading3"/>
    <w:uiPriority w:val="9"/>
    <w:rsid w:val="00755E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55E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55EC6"/>
    <w:rPr>
      <w:rFonts w:eastAsiaTheme="majorEastAsia" w:cstheme="majorBidi"/>
      <w:b/>
      <w:color w:val="265A9A" w:themeColor="background2"/>
      <w:szCs w:val="29"/>
    </w:rPr>
  </w:style>
  <w:style w:type="numbering" w:customStyle="1" w:styleId="ListHeadings">
    <w:name w:val="List Headings"/>
    <w:uiPriority w:val="99"/>
    <w:rsid w:val="00755EC6"/>
    <w:pPr>
      <w:numPr>
        <w:numId w:val="13"/>
      </w:numPr>
    </w:pPr>
  </w:style>
  <w:style w:type="paragraph" w:styleId="Title">
    <w:name w:val="Title"/>
    <w:basedOn w:val="Heading1"/>
    <w:next w:val="Normal"/>
    <w:link w:val="TitleChar"/>
    <w:uiPriority w:val="39"/>
    <w:rsid w:val="00755E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55E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55E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55EC6"/>
    <w:rPr>
      <w:b/>
    </w:rPr>
  </w:style>
  <w:style w:type="character" w:customStyle="1" w:styleId="Pull-outQuoteChar">
    <w:name w:val="Pull-out Quote Char"/>
    <w:basedOn w:val="DefaultParagraphFont"/>
    <w:link w:val="Pull-outQuote"/>
    <w:uiPriority w:val="99"/>
    <w:semiHidden/>
    <w:rsid w:val="00755E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55E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55EC6"/>
  </w:style>
  <w:style w:type="paragraph" w:customStyle="1" w:styleId="NumberedHeading2">
    <w:name w:val="Numbered Heading 2"/>
    <w:basedOn w:val="Heading2"/>
    <w:next w:val="Normal"/>
    <w:link w:val="NumberedHeading2Char"/>
    <w:uiPriority w:val="9"/>
    <w:semiHidden/>
    <w:rsid w:val="00755EC6"/>
  </w:style>
  <w:style w:type="character" w:customStyle="1" w:styleId="NumberedHeading1Char">
    <w:name w:val="Numbered Heading 1 Char"/>
    <w:basedOn w:val="Heading1Char"/>
    <w:link w:val="NumberedHeading1"/>
    <w:uiPriority w:val="9"/>
    <w:semiHidden/>
    <w:rsid w:val="00755E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55E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55EC6"/>
    <w:pPr>
      <w:ind w:left="1134"/>
      <w:contextualSpacing/>
    </w:pPr>
  </w:style>
  <w:style w:type="table" w:styleId="TableGrid">
    <w:name w:val="Table Grid"/>
    <w:basedOn w:val="TableNormal"/>
    <w:uiPriority w:val="39"/>
    <w:rsid w:val="00755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55E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55EC6"/>
    <w:pPr>
      <w:numPr>
        <w:numId w:val="10"/>
      </w:numPr>
      <w:spacing w:before="60"/>
    </w:pPr>
  </w:style>
  <w:style w:type="paragraph" w:styleId="List2">
    <w:name w:val="List 2"/>
    <w:basedOn w:val="Normal"/>
    <w:uiPriority w:val="99"/>
    <w:semiHidden/>
    <w:qFormat/>
    <w:rsid w:val="00755EC6"/>
    <w:pPr>
      <w:numPr>
        <w:ilvl w:val="1"/>
        <w:numId w:val="10"/>
      </w:numPr>
      <w:spacing w:before="60"/>
    </w:pPr>
  </w:style>
  <w:style w:type="numbering" w:customStyle="1" w:styleId="LetteredList">
    <w:name w:val="Lettered List"/>
    <w:uiPriority w:val="99"/>
    <w:rsid w:val="00755EC6"/>
    <w:pPr>
      <w:numPr>
        <w:numId w:val="9"/>
      </w:numPr>
    </w:pPr>
  </w:style>
  <w:style w:type="paragraph" w:styleId="Subtitle">
    <w:name w:val="Subtitle"/>
    <w:basedOn w:val="Normal"/>
    <w:next w:val="Normal"/>
    <w:link w:val="SubtitleChar"/>
    <w:uiPriority w:val="39"/>
    <w:rsid w:val="00755E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55EC6"/>
    <w:rPr>
      <w:rFonts w:eastAsiaTheme="minorEastAsia"/>
      <w:color w:val="FFFFFF" w:themeColor="background1"/>
      <w:sz w:val="52"/>
      <w:szCs w:val="20"/>
    </w:rPr>
  </w:style>
  <w:style w:type="character" w:styleId="Strong">
    <w:name w:val="Strong"/>
    <w:basedOn w:val="DefaultParagraphFont"/>
    <w:uiPriority w:val="22"/>
    <w:qFormat/>
    <w:rsid w:val="00755EC6"/>
    <w:rPr>
      <w:rFonts w:asciiTheme="minorHAnsi" w:hAnsiTheme="minorHAnsi"/>
      <w:b/>
      <w:bCs/>
    </w:rPr>
  </w:style>
  <w:style w:type="paragraph" w:customStyle="1" w:styleId="Header-Keyline">
    <w:name w:val="Header - Keyline"/>
    <w:basedOn w:val="Header"/>
    <w:link w:val="Header-KeylineChar"/>
    <w:uiPriority w:val="99"/>
    <w:rsid w:val="00755EC6"/>
    <w:pPr>
      <w:pBdr>
        <w:bottom w:val="single" w:sz="4" w:space="31" w:color="66BCDB" w:themeColor="text2"/>
      </w:pBdr>
      <w:spacing w:after="600"/>
    </w:pPr>
  </w:style>
  <w:style w:type="character" w:customStyle="1" w:styleId="Heading6Char">
    <w:name w:val="Heading 6 Char"/>
    <w:basedOn w:val="DefaultParagraphFont"/>
    <w:link w:val="Heading6"/>
    <w:uiPriority w:val="9"/>
    <w:rsid w:val="00755E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55EC6"/>
    <w:rPr>
      <w:sz w:val="16"/>
      <w:szCs w:val="20"/>
    </w:rPr>
  </w:style>
  <w:style w:type="character" w:customStyle="1" w:styleId="Heading7Char">
    <w:name w:val="Heading 7 Char"/>
    <w:basedOn w:val="DefaultParagraphFont"/>
    <w:link w:val="Heading7"/>
    <w:uiPriority w:val="9"/>
    <w:semiHidden/>
    <w:rsid w:val="00755E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55EC6"/>
    <w:rPr>
      <w:rFonts w:eastAsiaTheme="majorEastAsia" w:cstheme="majorBidi"/>
      <w:b/>
      <w:sz w:val="18"/>
      <w:szCs w:val="21"/>
    </w:rPr>
  </w:style>
  <w:style w:type="table" w:customStyle="1" w:styleId="ProductivityCommissionTable1">
    <w:name w:val="Productivity Commission Table 1"/>
    <w:basedOn w:val="TableNormal"/>
    <w:uiPriority w:val="99"/>
    <w:rsid w:val="00755E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55E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55E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55E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55EC6"/>
    <w:pPr>
      <w:spacing w:before="60" w:after="60" w:line="293" w:lineRule="auto"/>
      <w:contextualSpacing/>
    </w:pPr>
    <w:rPr>
      <w:sz w:val="18"/>
    </w:rPr>
  </w:style>
  <w:style w:type="paragraph" w:styleId="TOC1">
    <w:name w:val="toc 1"/>
    <w:basedOn w:val="Normal"/>
    <w:next w:val="BodyText"/>
    <w:autoRedefine/>
    <w:uiPriority w:val="39"/>
    <w:unhideWhenUsed/>
    <w:rsid w:val="00755EC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55EC6"/>
    <w:rPr>
      <w:sz w:val="18"/>
      <w:szCs w:val="20"/>
    </w:rPr>
  </w:style>
  <w:style w:type="character" w:styleId="FootnoteReference">
    <w:name w:val="footnote reference"/>
    <w:basedOn w:val="DefaultParagraphFont"/>
    <w:uiPriority w:val="99"/>
    <w:unhideWhenUsed/>
    <w:rsid w:val="00755EC6"/>
    <w:rPr>
      <w:vertAlign w:val="superscript"/>
    </w:rPr>
  </w:style>
  <w:style w:type="character" w:styleId="Hyperlink">
    <w:name w:val="Hyperlink"/>
    <w:basedOn w:val="DefaultParagraphFont"/>
    <w:uiPriority w:val="99"/>
    <w:unhideWhenUsed/>
    <w:rsid w:val="00755EC6"/>
    <w:rPr>
      <w:color w:val="000000" w:themeColor="hyperlink"/>
      <w:u w:val="single"/>
    </w:rPr>
  </w:style>
  <w:style w:type="character" w:styleId="HTMLVariable">
    <w:name w:val="HTML Variable"/>
    <w:basedOn w:val="DefaultParagraphFont"/>
    <w:uiPriority w:val="99"/>
    <w:unhideWhenUsed/>
    <w:rsid w:val="00755EC6"/>
    <w:rPr>
      <w:i/>
      <w:iCs/>
    </w:rPr>
  </w:style>
  <w:style w:type="paragraph" w:styleId="TOC2">
    <w:name w:val="toc 2"/>
    <w:basedOn w:val="Normal"/>
    <w:next w:val="Normal"/>
    <w:autoRedefine/>
    <w:uiPriority w:val="39"/>
    <w:unhideWhenUsed/>
    <w:rsid w:val="00755E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55E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55E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55E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55E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55E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55EC6"/>
    <w:rPr>
      <w:sz w:val="20"/>
      <w:szCs w:val="20"/>
    </w:rPr>
  </w:style>
  <w:style w:type="character" w:customStyle="1" w:styleId="Copyrightpage-Heading2Char">
    <w:name w:val="Copyright page-Heading 2 Char"/>
    <w:basedOn w:val="NoSpacingChar"/>
    <w:link w:val="Copyrightpage-Heading2"/>
    <w:uiPriority w:val="19"/>
    <w:rsid w:val="00755EC6"/>
    <w:rPr>
      <w:b/>
      <w:color w:val="FFFFFF" w:themeColor="background1"/>
      <w:sz w:val="16"/>
      <w:szCs w:val="16"/>
    </w:rPr>
  </w:style>
  <w:style w:type="paragraph" w:customStyle="1" w:styleId="Copyrightpage-Heading">
    <w:name w:val="Copyright page-Heading"/>
    <w:basedOn w:val="Subtitle2"/>
    <w:link w:val="Copyrightpage-HeadingChar"/>
    <w:uiPriority w:val="19"/>
    <w:rsid w:val="00755E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55EC6"/>
    <w:rPr>
      <w:color w:val="FFFFFF" w:themeColor="background1"/>
      <w:sz w:val="16"/>
      <w:szCs w:val="20"/>
    </w:rPr>
  </w:style>
  <w:style w:type="paragraph" w:customStyle="1" w:styleId="Subtitle4">
    <w:name w:val="Subtitle 4"/>
    <w:basedOn w:val="Copyrightpage-Heading"/>
    <w:link w:val="Subtitle4Char"/>
    <w:uiPriority w:val="39"/>
    <w:rsid w:val="00755EC6"/>
    <w:pPr>
      <w:spacing w:after="40"/>
    </w:pPr>
    <w:rPr>
      <w:b/>
      <w:sz w:val="16"/>
    </w:rPr>
  </w:style>
  <w:style w:type="character" w:customStyle="1" w:styleId="Copyrightpage-HeadingChar">
    <w:name w:val="Copyright page-Heading Char"/>
    <w:basedOn w:val="Subtitle2Char"/>
    <w:link w:val="Copyrightpage-Heading"/>
    <w:uiPriority w:val="19"/>
    <w:rsid w:val="00755E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55E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55E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55E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55E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55EC6"/>
    <w:pPr>
      <w:spacing w:line="360" w:lineRule="auto"/>
      <w:jc w:val="right"/>
    </w:pPr>
    <w:rPr>
      <w:sz w:val="16"/>
    </w:rPr>
  </w:style>
  <w:style w:type="paragraph" w:customStyle="1" w:styleId="Letterlogo">
    <w:name w:val="Letter logo"/>
    <w:basedOn w:val="LetterRight"/>
    <w:uiPriority w:val="99"/>
    <w:rsid w:val="00755EC6"/>
    <w:pPr>
      <w:spacing w:after="320"/>
    </w:pPr>
  </w:style>
  <w:style w:type="character" w:customStyle="1" w:styleId="LetterRightChar">
    <w:name w:val="Letter Right Char"/>
    <w:basedOn w:val="DefaultParagraphFont"/>
    <w:link w:val="LetterRight"/>
    <w:uiPriority w:val="99"/>
    <w:rsid w:val="00755EC6"/>
    <w:rPr>
      <w:sz w:val="16"/>
      <w:szCs w:val="20"/>
    </w:rPr>
  </w:style>
  <w:style w:type="character" w:styleId="UnresolvedMention">
    <w:name w:val="Unresolved Mention"/>
    <w:basedOn w:val="DefaultParagraphFont"/>
    <w:uiPriority w:val="99"/>
    <w:semiHidden/>
    <w:unhideWhenUsed/>
    <w:rsid w:val="00755EC6"/>
    <w:rPr>
      <w:color w:val="605E5C"/>
      <w:shd w:val="clear" w:color="auto" w:fill="E1DFDD"/>
    </w:rPr>
  </w:style>
  <w:style w:type="paragraph" w:customStyle="1" w:styleId="LetterRight-NoSpace">
    <w:name w:val="Letter Right-No Space"/>
    <w:basedOn w:val="LetterRight"/>
    <w:uiPriority w:val="99"/>
    <w:rsid w:val="00755EC6"/>
    <w:pPr>
      <w:spacing w:after="0"/>
    </w:pPr>
  </w:style>
  <w:style w:type="table" w:customStyle="1" w:styleId="Blank">
    <w:name w:val="Blank"/>
    <w:basedOn w:val="TableNormal"/>
    <w:uiPriority w:val="99"/>
    <w:rsid w:val="00755E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55EC6"/>
    <w:pPr>
      <w:numPr>
        <w:numId w:val="12"/>
      </w:numPr>
      <w:ind w:left="1491" w:hanging="357"/>
      <w:contextualSpacing/>
    </w:pPr>
  </w:style>
  <w:style w:type="paragraph" w:customStyle="1" w:styleId="Coverdate">
    <w:name w:val="Cover date"/>
    <w:basedOn w:val="Normal"/>
    <w:uiPriority w:val="29"/>
    <w:rsid w:val="00755E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55E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55EC6"/>
    <w:rPr>
      <w:color w:val="FFFFFF" w:themeColor="background1"/>
    </w:rPr>
  </w:style>
  <w:style w:type="paragraph" w:customStyle="1" w:styleId="Copyrightpage-Keylinenotext">
    <w:name w:val="Copyright page-Keyline (no text)"/>
    <w:basedOn w:val="Copyrightpage-Heading2"/>
    <w:uiPriority w:val="19"/>
    <w:rsid w:val="00755E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55E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55EC6"/>
    <w:rPr>
      <w:b/>
    </w:rPr>
  </w:style>
  <w:style w:type="paragraph" w:customStyle="1" w:styleId="CoverImage">
    <w:name w:val="Cover Image"/>
    <w:basedOn w:val="Normal"/>
    <w:uiPriority w:val="29"/>
    <w:rsid w:val="00755E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55E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55E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55EC6"/>
    <w:pPr>
      <w:spacing w:before="60"/>
      <w:ind w:left="113" w:right="851"/>
    </w:pPr>
    <w:rPr>
      <w:color w:val="58585B"/>
    </w:rPr>
  </w:style>
  <w:style w:type="numbering" w:customStyle="1" w:styleId="TOCList">
    <w:name w:val="TOC List"/>
    <w:uiPriority w:val="99"/>
    <w:rsid w:val="00755EC6"/>
    <w:pPr>
      <w:numPr>
        <w:numId w:val="18"/>
      </w:numPr>
    </w:pPr>
  </w:style>
  <w:style w:type="paragraph" w:customStyle="1" w:styleId="Heading1-Section-fullpage">
    <w:name w:val="Heading 1-Section-full page"/>
    <w:basedOn w:val="Heading1-nobackground"/>
    <w:uiPriority w:val="9"/>
    <w:qFormat/>
    <w:rsid w:val="00755E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55E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55EC6"/>
    <w:pPr>
      <w:keepNext/>
      <w:spacing w:before="240"/>
    </w:pPr>
  </w:style>
  <w:style w:type="paragraph" w:customStyle="1" w:styleId="Source">
    <w:name w:val="Source"/>
    <w:basedOn w:val="Normal"/>
    <w:uiPriority w:val="9"/>
    <w:qFormat/>
    <w:rsid w:val="00755EC6"/>
    <w:pPr>
      <w:spacing w:before="80" w:after="240" w:line="216" w:lineRule="atLeast"/>
    </w:pPr>
    <w:rPr>
      <w:sz w:val="18"/>
    </w:rPr>
  </w:style>
  <w:style w:type="paragraph" w:customStyle="1" w:styleId="Note">
    <w:name w:val="Note"/>
    <w:basedOn w:val="Source"/>
    <w:uiPriority w:val="9"/>
    <w:qFormat/>
    <w:rsid w:val="00755EC6"/>
    <w:pPr>
      <w:spacing w:after="20"/>
    </w:pPr>
  </w:style>
  <w:style w:type="numbering" w:customStyle="1" w:styleId="Figure">
    <w:name w:val="Figure"/>
    <w:uiPriority w:val="99"/>
    <w:rsid w:val="00755EC6"/>
    <w:pPr>
      <w:numPr>
        <w:numId w:val="23"/>
      </w:numPr>
    </w:pPr>
  </w:style>
  <w:style w:type="table" w:customStyle="1" w:styleId="Boxtable">
    <w:name w:val="Box table"/>
    <w:basedOn w:val="Texttable-Paleblue"/>
    <w:uiPriority w:val="99"/>
    <w:rsid w:val="00755E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55EC6"/>
    <w:pPr>
      <w:numPr>
        <w:numId w:val="5"/>
      </w:numPr>
    </w:pPr>
  </w:style>
  <w:style w:type="paragraph" w:customStyle="1" w:styleId="BoxHeading2">
    <w:name w:val="Box Heading 2"/>
    <w:basedOn w:val="Normal"/>
    <w:next w:val="BodyText"/>
    <w:uiPriority w:val="4"/>
    <w:qFormat/>
    <w:rsid w:val="00755EC6"/>
    <w:rPr>
      <w:b/>
    </w:rPr>
  </w:style>
  <w:style w:type="table" w:customStyle="1" w:styleId="ProductivityCommissionTable2-Dark">
    <w:name w:val="Productivity Commission Table 2 - Dark"/>
    <w:basedOn w:val="ProductivityCommissionTable2"/>
    <w:uiPriority w:val="99"/>
    <w:rsid w:val="00755E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55EC6"/>
    <w:rPr>
      <w:i/>
    </w:rPr>
  </w:style>
  <w:style w:type="paragraph" w:customStyle="1" w:styleId="TableHeading">
    <w:name w:val="Table Heading"/>
    <w:basedOn w:val="NoSpacing"/>
    <w:uiPriority w:val="4"/>
    <w:qFormat/>
    <w:rsid w:val="00755EC6"/>
    <w:pPr>
      <w:spacing w:after="20"/>
      <w:ind w:left="57"/>
    </w:pPr>
    <w:rPr>
      <w:b/>
      <w:color w:val="265A9A" w:themeColor="background2"/>
      <w:sz w:val="18"/>
    </w:rPr>
  </w:style>
  <w:style w:type="paragraph" w:customStyle="1" w:styleId="BodyText-Blue">
    <w:name w:val="Body Text-Blue"/>
    <w:basedOn w:val="BodyText"/>
    <w:link w:val="BodyText-BlueChar"/>
    <w:semiHidden/>
    <w:qFormat/>
    <w:rsid w:val="00755EC6"/>
    <w:rPr>
      <w:color w:val="265A9A" w:themeColor="background2"/>
    </w:rPr>
  </w:style>
  <w:style w:type="table" w:customStyle="1" w:styleId="Texttable-Keyline">
    <w:name w:val="Text table-Keyline"/>
    <w:basedOn w:val="Texttable-Paleblue"/>
    <w:uiPriority w:val="99"/>
    <w:rsid w:val="00755E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55EC6"/>
    <w:pPr>
      <w:jc w:val="right"/>
    </w:pPr>
  </w:style>
  <w:style w:type="table" w:customStyle="1" w:styleId="CopyrightPage">
    <w:name w:val="Copyright Page"/>
    <w:basedOn w:val="OverviewPageBannerTableStyle"/>
    <w:uiPriority w:val="99"/>
    <w:rsid w:val="00755EC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55EC6"/>
    <w:pPr>
      <w:spacing w:line="312" w:lineRule="atLeast"/>
    </w:pPr>
    <w:rPr>
      <w:color w:val="2C9BC2"/>
    </w:rPr>
  </w:style>
  <w:style w:type="paragraph" w:styleId="BodyText">
    <w:name w:val="Body Text"/>
    <w:basedOn w:val="Normal"/>
    <w:link w:val="BodyTextChar"/>
    <w:qFormat/>
    <w:rsid w:val="00755EC6"/>
  </w:style>
  <w:style w:type="character" w:customStyle="1" w:styleId="BodyTextChar">
    <w:name w:val="Body Text Char"/>
    <w:basedOn w:val="DefaultParagraphFont"/>
    <w:link w:val="BodyText"/>
    <w:rsid w:val="00755EC6"/>
    <w:rPr>
      <w:sz w:val="20"/>
      <w:szCs w:val="20"/>
    </w:rPr>
  </w:style>
  <w:style w:type="paragraph" w:styleId="List4">
    <w:name w:val="List 4"/>
    <w:basedOn w:val="Normal"/>
    <w:uiPriority w:val="99"/>
    <w:semiHidden/>
    <w:rsid w:val="00755EC6"/>
    <w:pPr>
      <w:numPr>
        <w:ilvl w:val="3"/>
        <w:numId w:val="10"/>
      </w:numPr>
      <w:contextualSpacing/>
    </w:pPr>
  </w:style>
  <w:style w:type="paragraph" w:styleId="List3">
    <w:name w:val="List 3"/>
    <w:basedOn w:val="Normal"/>
    <w:uiPriority w:val="99"/>
    <w:semiHidden/>
    <w:rsid w:val="00755EC6"/>
    <w:pPr>
      <w:numPr>
        <w:ilvl w:val="2"/>
        <w:numId w:val="10"/>
      </w:numPr>
      <w:contextualSpacing/>
    </w:pPr>
  </w:style>
  <w:style w:type="paragraph" w:customStyle="1" w:styleId="Heading1-nonumber">
    <w:name w:val="Heading 1-no number"/>
    <w:basedOn w:val="Heading1"/>
    <w:next w:val="BodyText"/>
    <w:uiPriority w:val="9"/>
    <w:qFormat/>
    <w:rsid w:val="00755EC6"/>
    <w:pPr>
      <w:numPr>
        <w:numId w:val="0"/>
      </w:numPr>
      <w:ind w:left="567"/>
    </w:pPr>
  </w:style>
  <w:style w:type="paragraph" w:customStyle="1" w:styleId="ListAlpha1">
    <w:name w:val="List Alpha 1"/>
    <w:basedOn w:val="Normal"/>
    <w:uiPriority w:val="3"/>
    <w:qFormat/>
    <w:rsid w:val="00755EC6"/>
    <w:pPr>
      <w:numPr>
        <w:numId w:val="11"/>
      </w:numPr>
      <w:spacing w:before="60"/>
      <w:contextualSpacing/>
    </w:pPr>
  </w:style>
  <w:style w:type="paragraph" w:customStyle="1" w:styleId="ListAlpha2">
    <w:name w:val="List Alpha 2"/>
    <w:basedOn w:val="ListAlpha1"/>
    <w:uiPriority w:val="3"/>
    <w:qFormat/>
    <w:rsid w:val="00755EC6"/>
    <w:pPr>
      <w:numPr>
        <w:ilvl w:val="1"/>
      </w:numPr>
    </w:pPr>
  </w:style>
  <w:style w:type="paragraph" w:customStyle="1" w:styleId="ListAlpha3">
    <w:name w:val="List Alpha 3"/>
    <w:basedOn w:val="ListAlpha2"/>
    <w:uiPriority w:val="3"/>
    <w:qFormat/>
    <w:rsid w:val="00755EC6"/>
    <w:pPr>
      <w:numPr>
        <w:ilvl w:val="2"/>
      </w:numPr>
      <w:ind w:left="681"/>
    </w:pPr>
  </w:style>
  <w:style w:type="paragraph" w:customStyle="1" w:styleId="ListAlpha4">
    <w:name w:val="List Alpha 4"/>
    <w:basedOn w:val="ListAlpha3"/>
    <w:uiPriority w:val="3"/>
    <w:qFormat/>
    <w:rsid w:val="00755EC6"/>
    <w:pPr>
      <w:numPr>
        <w:ilvl w:val="3"/>
      </w:numPr>
    </w:pPr>
  </w:style>
  <w:style w:type="numbering" w:customStyle="1" w:styleId="Alphalist">
    <w:name w:val="Alpha list"/>
    <w:uiPriority w:val="99"/>
    <w:rsid w:val="00755EC6"/>
    <w:pPr>
      <w:numPr>
        <w:numId w:val="2"/>
      </w:numPr>
    </w:pPr>
  </w:style>
  <w:style w:type="paragraph" w:customStyle="1" w:styleId="KeyPoints-Bold">
    <w:name w:val="Key Points-Bold"/>
    <w:basedOn w:val="Normal"/>
    <w:uiPriority w:val="10"/>
    <w:qFormat/>
    <w:rsid w:val="00755EC6"/>
    <w:pPr>
      <w:spacing w:before="40" w:after="60" w:line="274" w:lineRule="atLeast"/>
    </w:pPr>
    <w:rPr>
      <w:b/>
      <w:sz w:val="18"/>
    </w:rPr>
  </w:style>
  <w:style w:type="paragraph" w:customStyle="1" w:styleId="Copyrightpage-BodyBold">
    <w:name w:val="Copyright page-Body Bold"/>
    <w:basedOn w:val="Copyrightpage-BodyText"/>
    <w:uiPriority w:val="19"/>
    <w:rsid w:val="00755EC6"/>
    <w:rPr>
      <w:b/>
    </w:rPr>
  </w:style>
  <w:style w:type="paragraph" w:customStyle="1" w:styleId="KeyPoints-Bullet">
    <w:name w:val="Key Points-Bullet"/>
    <w:basedOn w:val="ListBullet"/>
    <w:uiPriority w:val="10"/>
    <w:qFormat/>
    <w:rsid w:val="00755EC6"/>
    <w:pPr>
      <w:spacing w:after="60" w:line="274" w:lineRule="atLeast"/>
    </w:pPr>
    <w:rPr>
      <w:sz w:val="18"/>
    </w:rPr>
  </w:style>
  <w:style w:type="paragraph" w:customStyle="1" w:styleId="BodyText-Grey">
    <w:name w:val="Body Text-Grey"/>
    <w:basedOn w:val="BodyText"/>
    <w:link w:val="BodyText-GreyChar"/>
    <w:semiHidden/>
    <w:qFormat/>
    <w:rsid w:val="00755EC6"/>
    <w:rPr>
      <w:color w:val="58585B"/>
    </w:rPr>
  </w:style>
  <w:style w:type="character" w:customStyle="1" w:styleId="BodyText-GreyChar">
    <w:name w:val="Body Text-Grey Char"/>
    <w:basedOn w:val="BodyTextChar"/>
    <w:link w:val="BodyText-Grey"/>
    <w:semiHidden/>
    <w:rsid w:val="00755EC6"/>
    <w:rPr>
      <w:color w:val="58585B"/>
      <w:sz w:val="20"/>
      <w:szCs w:val="20"/>
    </w:rPr>
  </w:style>
  <w:style w:type="paragraph" w:styleId="BalloonText">
    <w:name w:val="Balloon Text"/>
    <w:basedOn w:val="Normal"/>
    <w:link w:val="BalloonTextChar"/>
    <w:uiPriority w:val="99"/>
    <w:semiHidden/>
    <w:unhideWhenUsed/>
    <w:rsid w:val="00755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EC6"/>
    <w:rPr>
      <w:rFonts w:ascii="Segoe UI" w:hAnsi="Segoe UI" w:cs="Segoe UI"/>
      <w:sz w:val="18"/>
      <w:szCs w:val="18"/>
    </w:rPr>
  </w:style>
  <w:style w:type="character" w:styleId="CommentReference">
    <w:name w:val="annotation reference"/>
    <w:basedOn w:val="DefaultParagraphFont"/>
    <w:uiPriority w:val="99"/>
    <w:semiHidden/>
    <w:unhideWhenUsed/>
    <w:rsid w:val="00755EC6"/>
    <w:rPr>
      <w:sz w:val="16"/>
      <w:szCs w:val="16"/>
    </w:rPr>
  </w:style>
  <w:style w:type="paragraph" w:styleId="CommentText">
    <w:name w:val="annotation text"/>
    <w:basedOn w:val="Normal"/>
    <w:link w:val="CommentTextChar"/>
    <w:uiPriority w:val="99"/>
    <w:unhideWhenUsed/>
    <w:rsid w:val="00755EC6"/>
    <w:pPr>
      <w:spacing w:line="240" w:lineRule="auto"/>
    </w:pPr>
  </w:style>
  <w:style w:type="character" w:customStyle="1" w:styleId="CommentTextChar">
    <w:name w:val="Comment Text Char"/>
    <w:basedOn w:val="DefaultParagraphFont"/>
    <w:link w:val="CommentText"/>
    <w:uiPriority w:val="99"/>
    <w:rsid w:val="00755EC6"/>
    <w:rPr>
      <w:sz w:val="20"/>
      <w:szCs w:val="20"/>
    </w:rPr>
  </w:style>
  <w:style w:type="paragraph" w:styleId="CommentSubject">
    <w:name w:val="annotation subject"/>
    <w:basedOn w:val="CommentText"/>
    <w:next w:val="CommentText"/>
    <w:link w:val="CommentSubjectChar"/>
    <w:uiPriority w:val="99"/>
    <w:semiHidden/>
    <w:unhideWhenUsed/>
    <w:rsid w:val="00755EC6"/>
    <w:rPr>
      <w:b/>
      <w:bCs/>
    </w:rPr>
  </w:style>
  <w:style w:type="character" w:customStyle="1" w:styleId="CommentSubjectChar">
    <w:name w:val="Comment Subject Char"/>
    <w:basedOn w:val="CommentTextChar"/>
    <w:link w:val="CommentSubject"/>
    <w:uiPriority w:val="99"/>
    <w:semiHidden/>
    <w:rsid w:val="00755EC6"/>
    <w:rPr>
      <w:b/>
      <w:bCs/>
      <w:sz w:val="20"/>
      <w:szCs w:val="20"/>
    </w:rPr>
  </w:style>
  <w:style w:type="character" w:customStyle="1" w:styleId="ColourBlue">
    <w:name w:val="Colour Blue"/>
    <w:basedOn w:val="DefaultParagraphFont"/>
    <w:uiPriority w:val="22"/>
    <w:qFormat/>
    <w:rsid w:val="00755EC6"/>
    <w:rPr>
      <w:color w:val="66BCDB" w:themeColor="text2"/>
    </w:rPr>
  </w:style>
  <w:style w:type="character" w:customStyle="1" w:styleId="ColourDarkBlue">
    <w:name w:val="Colour Dark Blue"/>
    <w:basedOn w:val="ColourBlue"/>
    <w:uiPriority w:val="22"/>
    <w:qFormat/>
    <w:rsid w:val="00755EC6"/>
    <w:rPr>
      <w:color w:val="265A9A" w:themeColor="background2"/>
    </w:rPr>
  </w:style>
  <w:style w:type="paragraph" w:customStyle="1" w:styleId="BodyText-Beforebullet">
    <w:name w:val="Body Text-Before bullet"/>
    <w:basedOn w:val="BodyText"/>
    <w:link w:val="BodyText-BeforebulletChar"/>
    <w:semiHidden/>
    <w:unhideWhenUsed/>
    <w:rsid w:val="00755EC6"/>
    <w:pPr>
      <w:spacing w:after="20"/>
    </w:pPr>
  </w:style>
  <w:style w:type="paragraph" w:customStyle="1" w:styleId="PullQuote">
    <w:name w:val="Pull Quote"/>
    <w:basedOn w:val="BodyText"/>
    <w:next w:val="BodyText"/>
    <w:uiPriority w:val="10"/>
    <w:qFormat/>
    <w:rsid w:val="00755E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55E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55EC6"/>
    <w:pPr>
      <w:spacing w:after="20"/>
      <w:ind w:left="57"/>
    </w:pPr>
    <w:rPr>
      <w:sz w:val="18"/>
    </w:rPr>
  </w:style>
  <w:style w:type="paragraph" w:styleId="Revision">
    <w:name w:val="Revision"/>
    <w:hidden/>
    <w:uiPriority w:val="99"/>
    <w:semiHidden/>
    <w:rsid w:val="00755EC6"/>
    <w:pPr>
      <w:spacing w:after="0" w:line="240" w:lineRule="auto"/>
    </w:pPr>
    <w:rPr>
      <w:sz w:val="20"/>
      <w:szCs w:val="20"/>
    </w:rPr>
  </w:style>
  <w:style w:type="paragraph" w:customStyle="1" w:styleId="KeyPointsicon">
    <w:name w:val="Key Points icon"/>
    <w:basedOn w:val="Normal"/>
    <w:uiPriority w:val="10"/>
    <w:qFormat/>
    <w:rsid w:val="00755EC6"/>
    <w:pPr>
      <w:spacing w:before="60"/>
      <w:jc w:val="right"/>
    </w:pPr>
  </w:style>
  <w:style w:type="paragraph" w:customStyle="1" w:styleId="FigureTableSubheading">
    <w:name w:val="Figure/Table Subheading"/>
    <w:basedOn w:val="FigureTableHeading"/>
    <w:uiPriority w:val="4"/>
    <w:qFormat/>
    <w:rsid w:val="00755EC6"/>
    <w:pPr>
      <w:spacing w:before="40"/>
    </w:pPr>
    <w:rPr>
      <w:color w:val="58585B"/>
    </w:rPr>
  </w:style>
  <w:style w:type="table" w:customStyle="1" w:styleId="TextTable-Grey">
    <w:name w:val="Text Table-Grey"/>
    <w:basedOn w:val="Texttable-Paleblue"/>
    <w:uiPriority w:val="99"/>
    <w:rsid w:val="00755E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55EC6"/>
    <w:rPr>
      <w:color w:val="265A9A" w:themeColor="background2"/>
      <w:sz w:val="20"/>
      <w:szCs w:val="20"/>
    </w:rPr>
  </w:style>
  <w:style w:type="paragraph" w:customStyle="1" w:styleId="Heading3-nonumber">
    <w:name w:val="Heading 3-no number"/>
    <w:basedOn w:val="Heading3"/>
    <w:uiPriority w:val="9"/>
    <w:semiHidden/>
    <w:qFormat/>
    <w:rsid w:val="00755EC6"/>
  </w:style>
  <w:style w:type="paragraph" w:customStyle="1" w:styleId="Heading1-nobackground">
    <w:name w:val="Heading 1-no background"/>
    <w:basedOn w:val="Heading1"/>
    <w:next w:val="BodyText"/>
    <w:uiPriority w:val="9"/>
    <w:qFormat/>
    <w:rsid w:val="00755E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55EC6"/>
    <w:rPr>
      <w:color w:val="58585B"/>
      <w:sz w:val="20"/>
      <w:szCs w:val="20"/>
    </w:rPr>
  </w:style>
  <w:style w:type="paragraph" w:customStyle="1" w:styleId="TableHeading-numbered">
    <w:name w:val="Table Heading-numbered"/>
    <w:basedOn w:val="Normal"/>
    <w:semiHidden/>
    <w:qFormat/>
    <w:rsid w:val="00755EC6"/>
    <w:pPr>
      <w:numPr>
        <w:numId w:val="17"/>
      </w:numPr>
      <w:spacing w:before="60"/>
      <w:contextualSpacing/>
    </w:pPr>
    <w:rPr>
      <w:b/>
      <w:color w:val="265A9A" w:themeColor="background2"/>
    </w:rPr>
  </w:style>
  <w:style w:type="numbering" w:customStyle="1" w:styleId="TableList">
    <w:name w:val="TableList"/>
    <w:uiPriority w:val="99"/>
    <w:rsid w:val="00755EC6"/>
    <w:pPr>
      <w:numPr>
        <w:numId w:val="17"/>
      </w:numPr>
    </w:pPr>
  </w:style>
  <w:style w:type="paragraph" w:customStyle="1" w:styleId="Footer-right">
    <w:name w:val="Footer-right"/>
    <w:basedOn w:val="Footer"/>
    <w:uiPriority w:val="11"/>
    <w:rsid w:val="00755EC6"/>
    <w:pPr>
      <w:jc w:val="right"/>
    </w:pPr>
    <w:rPr>
      <w:szCs w:val="24"/>
    </w:rPr>
  </w:style>
  <w:style w:type="paragraph" w:customStyle="1" w:styleId="Heading2-nonumber">
    <w:name w:val="Heading 2-no number"/>
    <w:basedOn w:val="Heading2"/>
    <w:uiPriority w:val="9"/>
    <w:qFormat/>
    <w:rsid w:val="00755EC6"/>
    <w:pPr>
      <w:numPr>
        <w:ilvl w:val="0"/>
        <w:numId w:val="0"/>
      </w:numPr>
    </w:pPr>
  </w:style>
  <w:style w:type="paragraph" w:customStyle="1" w:styleId="Heading-Appendix">
    <w:name w:val="Heading-Appendix"/>
    <w:basedOn w:val="Heading1-nonumber"/>
    <w:next w:val="BodyText"/>
    <w:uiPriority w:val="9"/>
    <w:qFormat/>
    <w:rsid w:val="00755EC6"/>
    <w:pPr>
      <w:numPr>
        <w:numId w:val="8"/>
      </w:numPr>
    </w:pPr>
  </w:style>
  <w:style w:type="numbering" w:customStyle="1" w:styleId="AppendixHeading">
    <w:name w:val="AppendixHeading"/>
    <w:uiPriority w:val="99"/>
    <w:rsid w:val="00755EC6"/>
    <w:pPr>
      <w:numPr>
        <w:numId w:val="4"/>
      </w:numPr>
    </w:pPr>
  </w:style>
  <w:style w:type="paragraph" w:customStyle="1" w:styleId="DraftingNote">
    <w:name w:val="Drafting Note"/>
    <w:basedOn w:val="BodyText"/>
    <w:link w:val="DraftingNoteChar"/>
    <w:qFormat/>
    <w:rsid w:val="00755EC6"/>
    <w:pPr>
      <w:contextualSpacing/>
    </w:pPr>
    <w:rPr>
      <w:color w:val="A22D2B"/>
      <w:sz w:val="24"/>
      <w:u w:val="dotted"/>
    </w:rPr>
  </w:style>
  <w:style w:type="character" w:customStyle="1" w:styleId="DraftingNoteChar">
    <w:name w:val="Drafting Note Char"/>
    <w:basedOn w:val="BodyTextChar"/>
    <w:link w:val="DraftingNote"/>
    <w:rsid w:val="00755EC6"/>
    <w:rPr>
      <w:color w:val="A22D2B"/>
      <w:sz w:val="24"/>
      <w:szCs w:val="20"/>
      <w:u w:val="dotted"/>
    </w:rPr>
  </w:style>
  <w:style w:type="paragraph" w:customStyle="1" w:styleId="BoxHeading1">
    <w:name w:val="Box Heading 1"/>
    <w:basedOn w:val="FigureTableHeading"/>
    <w:next w:val="BodyText"/>
    <w:uiPriority w:val="4"/>
    <w:qFormat/>
    <w:rsid w:val="00755EC6"/>
    <w:pPr>
      <w:spacing w:after="0"/>
    </w:pPr>
  </w:style>
  <w:style w:type="character" w:styleId="Emphasis">
    <w:name w:val="Emphasis"/>
    <w:basedOn w:val="DefaultParagraphFont"/>
    <w:uiPriority w:val="22"/>
    <w:qFormat/>
    <w:rsid w:val="00755EC6"/>
    <w:rPr>
      <w:i/>
      <w:iCs/>
    </w:rPr>
  </w:style>
  <w:style w:type="paragraph" w:customStyle="1" w:styleId="Reference">
    <w:name w:val="Reference"/>
    <w:basedOn w:val="BodyText"/>
    <w:qFormat/>
    <w:rsid w:val="00755EC6"/>
    <w:pPr>
      <w:spacing w:before="0" w:after="60" w:line="200" w:lineRule="exact"/>
    </w:pPr>
    <w:rPr>
      <w:sz w:val="16"/>
    </w:rPr>
  </w:style>
  <w:style w:type="paragraph" w:customStyle="1" w:styleId="Keypoints-heading">
    <w:name w:val="Key points-heading"/>
    <w:basedOn w:val="Heading3"/>
    <w:uiPriority w:val="10"/>
    <w:qFormat/>
    <w:rsid w:val="00755EC6"/>
    <w:rPr>
      <w:color w:val="auto"/>
    </w:rPr>
  </w:style>
  <w:style w:type="paragraph" w:customStyle="1" w:styleId="Heading2-Appendix">
    <w:name w:val="Heading 2-Appendix"/>
    <w:basedOn w:val="Heading2-nonumber"/>
    <w:next w:val="Normal"/>
    <w:uiPriority w:val="10"/>
    <w:qFormat/>
    <w:rsid w:val="00755EC6"/>
    <w:pPr>
      <w:numPr>
        <w:ilvl w:val="1"/>
        <w:numId w:val="8"/>
      </w:numPr>
    </w:pPr>
  </w:style>
  <w:style w:type="numbering" w:customStyle="1" w:styleId="AppendixHeadingList">
    <w:name w:val="Appendix Heading List"/>
    <w:uiPriority w:val="99"/>
    <w:rsid w:val="00755EC6"/>
    <w:pPr>
      <w:numPr>
        <w:numId w:val="29"/>
      </w:numPr>
    </w:pPr>
  </w:style>
  <w:style w:type="paragraph" w:customStyle="1" w:styleId="Space">
    <w:name w:val="Space"/>
    <w:basedOn w:val="BodyText"/>
    <w:uiPriority w:val="1"/>
    <w:rsid w:val="00755EC6"/>
    <w:pPr>
      <w:spacing w:before="0" w:after="0"/>
    </w:pPr>
  </w:style>
  <w:style w:type="paragraph" w:customStyle="1" w:styleId="QuoteBullet">
    <w:name w:val="Quote Bullet"/>
    <w:basedOn w:val="ListBullet"/>
    <w:link w:val="QuoteBulletChar"/>
    <w:uiPriority w:val="1"/>
    <w:qFormat/>
    <w:rsid w:val="00755EC6"/>
    <w:pPr>
      <w:spacing w:before="60"/>
      <w:ind w:left="340" w:right="851"/>
    </w:pPr>
    <w:rPr>
      <w:color w:val="58585B"/>
    </w:rPr>
  </w:style>
  <w:style w:type="character" w:customStyle="1" w:styleId="ListBulletChar">
    <w:name w:val="List Bullet Char"/>
    <w:basedOn w:val="DefaultParagraphFont"/>
    <w:link w:val="ListBullet"/>
    <w:uiPriority w:val="1"/>
    <w:rsid w:val="00755EC6"/>
    <w:rPr>
      <w:sz w:val="20"/>
      <w:szCs w:val="20"/>
    </w:rPr>
  </w:style>
  <w:style w:type="character" w:customStyle="1" w:styleId="QuoteBulletChar">
    <w:name w:val="Quote Bullet Char"/>
    <w:basedOn w:val="ListBulletChar"/>
    <w:link w:val="QuoteBullet"/>
    <w:uiPriority w:val="1"/>
    <w:rsid w:val="00755EC6"/>
    <w:rPr>
      <w:color w:val="58585B"/>
      <w:sz w:val="20"/>
      <w:szCs w:val="20"/>
    </w:rPr>
  </w:style>
  <w:style w:type="paragraph" w:customStyle="1" w:styleId="Figurecharttitle">
    <w:name w:val="Figure chart title"/>
    <w:basedOn w:val="BodyText"/>
    <w:uiPriority w:val="10"/>
    <w:qFormat/>
    <w:rsid w:val="00755EC6"/>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
      </w:numPr>
      <w:spacing w:after="140" w:line="240" w:lineRule="auto"/>
      <w:jc w:val="both"/>
    </w:pPr>
    <w:rPr>
      <w:rFonts w:ascii="Arial" w:eastAsia="Times New Roman" w:hAnsi="Arial" w:cs="Times New Roman"/>
      <w:sz w:val="24"/>
      <w:szCs w:val="20"/>
    </w:rPr>
  </w:style>
  <w:style w:type="character" w:styleId="FollowedHyperlink">
    <w:name w:val="FollowedHyperlink"/>
    <w:basedOn w:val="DefaultParagraphFont"/>
    <w:uiPriority w:val="99"/>
    <w:semiHidden/>
    <w:unhideWhenUsed/>
    <w:rsid w:val="006C235F"/>
    <w:rPr>
      <w:color w:val="BFBFBF" w:themeColor="followedHyperlink"/>
      <w:u w:val="single"/>
    </w:rPr>
  </w:style>
  <w:style w:type="paragraph" w:customStyle="1" w:styleId="PullQuoteNoSpacing">
    <w:name w:val="Pull Quote No Spacing"/>
    <w:basedOn w:val="NoSpacing"/>
    <w:link w:val="PullQuoteNoSpacingChar"/>
    <w:uiPriority w:val="10"/>
    <w:qFormat/>
    <w:rsid w:val="00755EC6"/>
    <w:pPr>
      <w:spacing w:line="160" w:lineRule="exact"/>
    </w:pPr>
  </w:style>
  <w:style w:type="character" w:customStyle="1" w:styleId="PullQuoteNoSpacingChar">
    <w:name w:val="Pull Quote No Spacing Char"/>
    <w:basedOn w:val="NoSpacingChar"/>
    <w:link w:val="PullQuoteNoSpacing"/>
    <w:uiPriority w:val="10"/>
    <w:rsid w:val="00755EC6"/>
    <w:rPr>
      <w:sz w:val="20"/>
      <w:szCs w:val="20"/>
    </w:rPr>
  </w:style>
  <w:style w:type="paragraph" w:customStyle="1" w:styleId="PullQuote-Indigenous">
    <w:name w:val="Pull Quote-Indigenous"/>
    <w:basedOn w:val="PullQuote"/>
    <w:uiPriority w:val="10"/>
    <w:qFormat/>
    <w:rsid w:val="00755E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55EC6"/>
    <w:pPr>
      <w:spacing w:before="0" w:after="20"/>
      <w:ind w:left="170" w:hanging="113"/>
    </w:pPr>
    <w:rPr>
      <w:sz w:val="18"/>
    </w:rPr>
  </w:style>
  <w:style w:type="paragraph" w:styleId="Bibliography">
    <w:name w:val="Bibliography"/>
    <w:basedOn w:val="Normal"/>
    <w:next w:val="Normal"/>
    <w:uiPriority w:val="37"/>
    <w:unhideWhenUsed/>
    <w:rsid w:val="002E0A45"/>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373969">
      <w:bodyDiv w:val="1"/>
      <w:marLeft w:val="0"/>
      <w:marRight w:val="0"/>
      <w:marTop w:val="0"/>
      <w:marBottom w:val="0"/>
      <w:divBdr>
        <w:top w:val="none" w:sz="0" w:space="0" w:color="auto"/>
        <w:left w:val="none" w:sz="0" w:space="0" w:color="auto"/>
        <w:bottom w:val="none" w:sz="0" w:space="0" w:color="auto"/>
        <w:right w:val="none" w:sz="0" w:space="0" w:color="auto"/>
      </w:divBdr>
    </w:div>
    <w:div w:id="972364906">
      <w:bodyDiv w:val="1"/>
      <w:marLeft w:val="0"/>
      <w:marRight w:val="0"/>
      <w:marTop w:val="0"/>
      <w:marBottom w:val="0"/>
      <w:divBdr>
        <w:top w:val="none" w:sz="0" w:space="0" w:color="auto"/>
        <w:left w:val="none" w:sz="0" w:space="0" w:color="auto"/>
        <w:bottom w:val="none" w:sz="0" w:space="0" w:color="auto"/>
        <w:right w:val="none" w:sz="0" w:space="0" w:color="auto"/>
      </w:divBdr>
    </w:div>
    <w:div w:id="986320195">
      <w:bodyDiv w:val="1"/>
      <w:marLeft w:val="0"/>
      <w:marRight w:val="0"/>
      <w:marTop w:val="0"/>
      <w:marBottom w:val="0"/>
      <w:divBdr>
        <w:top w:val="none" w:sz="0" w:space="0" w:color="auto"/>
        <w:left w:val="none" w:sz="0" w:space="0" w:color="auto"/>
        <w:bottom w:val="none" w:sz="0" w:space="0" w:color="auto"/>
        <w:right w:val="none" w:sz="0" w:space="0" w:color="auto"/>
      </w:divBdr>
      <w:divsChild>
        <w:div w:id="279799150">
          <w:marLeft w:val="0"/>
          <w:marRight w:val="0"/>
          <w:marTop w:val="0"/>
          <w:marBottom w:val="0"/>
          <w:divBdr>
            <w:top w:val="none" w:sz="0" w:space="0" w:color="auto"/>
            <w:left w:val="none" w:sz="0" w:space="0" w:color="auto"/>
            <w:bottom w:val="none" w:sz="0" w:space="0" w:color="auto"/>
            <w:right w:val="none" w:sz="0" w:space="0" w:color="auto"/>
          </w:divBdr>
        </w:div>
        <w:div w:id="404647675">
          <w:marLeft w:val="0"/>
          <w:marRight w:val="0"/>
          <w:marTop w:val="0"/>
          <w:marBottom w:val="0"/>
          <w:divBdr>
            <w:top w:val="none" w:sz="0" w:space="0" w:color="auto"/>
            <w:left w:val="none" w:sz="0" w:space="0" w:color="auto"/>
            <w:bottom w:val="none" w:sz="0" w:space="0" w:color="auto"/>
            <w:right w:val="none" w:sz="0" w:space="0" w:color="auto"/>
          </w:divBdr>
        </w:div>
        <w:div w:id="686180690">
          <w:marLeft w:val="0"/>
          <w:marRight w:val="0"/>
          <w:marTop w:val="0"/>
          <w:marBottom w:val="0"/>
          <w:divBdr>
            <w:top w:val="none" w:sz="0" w:space="0" w:color="auto"/>
            <w:left w:val="none" w:sz="0" w:space="0" w:color="auto"/>
            <w:bottom w:val="none" w:sz="0" w:space="0" w:color="auto"/>
            <w:right w:val="none" w:sz="0" w:space="0" w:color="auto"/>
          </w:divBdr>
        </w:div>
        <w:div w:id="1241671801">
          <w:marLeft w:val="0"/>
          <w:marRight w:val="0"/>
          <w:marTop w:val="0"/>
          <w:marBottom w:val="0"/>
          <w:divBdr>
            <w:top w:val="none" w:sz="0" w:space="0" w:color="auto"/>
            <w:left w:val="none" w:sz="0" w:space="0" w:color="auto"/>
            <w:bottom w:val="none" w:sz="0" w:space="0" w:color="auto"/>
            <w:right w:val="none" w:sz="0" w:space="0" w:color="auto"/>
          </w:divBdr>
        </w:div>
        <w:div w:id="1250313779">
          <w:marLeft w:val="0"/>
          <w:marRight w:val="0"/>
          <w:marTop w:val="0"/>
          <w:marBottom w:val="0"/>
          <w:divBdr>
            <w:top w:val="none" w:sz="0" w:space="0" w:color="auto"/>
            <w:left w:val="none" w:sz="0" w:space="0" w:color="auto"/>
            <w:bottom w:val="none" w:sz="0" w:space="0" w:color="auto"/>
            <w:right w:val="none" w:sz="0" w:space="0" w:color="auto"/>
          </w:divBdr>
        </w:div>
        <w:div w:id="1847398515">
          <w:marLeft w:val="0"/>
          <w:marRight w:val="0"/>
          <w:marTop w:val="0"/>
          <w:marBottom w:val="0"/>
          <w:divBdr>
            <w:top w:val="none" w:sz="0" w:space="0" w:color="auto"/>
            <w:left w:val="none" w:sz="0" w:space="0" w:color="auto"/>
            <w:bottom w:val="none" w:sz="0" w:space="0" w:color="auto"/>
            <w:right w:val="none" w:sz="0" w:space="0" w:color="auto"/>
          </w:divBdr>
        </w:div>
        <w:div w:id="1925989257">
          <w:marLeft w:val="0"/>
          <w:marRight w:val="0"/>
          <w:marTop w:val="0"/>
          <w:marBottom w:val="0"/>
          <w:divBdr>
            <w:top w:val="none" w:sz="0" w:space="0" w:color="auto"/>
            <w:left w:val="none" w:sz="0" w:space="0" w:color="auto"/>
            <w:bottom w:val="none" w:sz="0" w:space="0" w:color="auto"/>
            <w:right w:val="none" w:sz="0" w:space="0" w:color="auto"/>
          </w:divBdr>
        </w:div>
        <w:div w:id="2146123407">
          <w:marLeft w:val="0"/>
          <w:marRight w:val="0"/>
          <w:marTop w:val="0"/>
          <w:marBottom w:val="0"/>
          <w:divBdr>
            <w:top w:val="none" w:sz="0" w:space="0" w:color="auto"/>
            <w:left w:val="none" w:sz="0" w:space="0" w:color="auto"/>
            <w:bottom w:val="none" w:sz="0" w:space="0" w:color="auto"/>
            <w:right w:val="none" w:sz="0" w:space="0" w:color="auto"/>
          </w:divBdr>
        </w:div>
      </w:divsChild>
    </w:div>
    <w:div w:id="1080101346">
      <w:bodyDiv w:val="1"/>
      <w:marLeft w:val="0"/>
      <w:marRight w:val="0"/>
      <w:marTop w:val="0"/>
      <w:marBottom w:val="0"/>
      <w:divBdr>
        <w:top w:val="none" w:sz="0" w:space="0" w:color="auto"/>
        <w:left w:val="none" w:sz="0" w:space="0" w:color="auto"/>
        <w:bottom w:val="none" w:sz="0" w:space="0" w:color="auto"/>
        <w:right w:val="none" w:sz="0" w:space="0" w:color="auto"/>
      </w:divBdr>
    </w:div>
    <w:div w:id="1458061336">
      <w:bodyDiv w:val="1"/>
      <w:marLeft w:val="0"/>
      <w:marRight w:val="0"/>
      <w:marTop w:val="0"/>
      <w:marBottom w:val="0"/>
      <w:divBdr>
        <w:top w:val="none" w:sz="0" w:space="0" w:color="auto"/>
        <w:left w:val="none" w:sz="0" w:space="0" w:color="auto"/>
        <w:bottom w:val="none" w:sz="0" w:space="0" w:color="auto"/>
        <w:right w:val="none" w:sz="0" w:space="0" w:color="auto"/>
      </w:divBdr>
      <w:divsChild>
        <w:div w:id="190729726">
          <w:marLeft w:val="0"/>
          <w:marRight w:val="0"/>
          <w:marTop w:val="0"/>
          <w:marBottom w:val="0"/>
          <w:divBdr>
            <w:top w:val="none" w:sz="0" w:space="0" w:color="auto"/>
            <w:left w:val="none" w:sz="0" w:space="0" w:color="auto"/>
            <w:bottom w:val="none" w:sz="0" w:space="0" w:color="auto"/>
            <w:right w:val="none" w:sz="0" w:space="0" w:color="auto"/>
          </w:divBdr>
        </w:div>
        <w:div w:id="761802831">
          <w:marLeft w:val="0"/>
          <w:marRight w:val="0"/>
          <w:marTop w:val="0"/>
          <w:marBottom w:val="0"/>
          <w:divBdr>
            <w:top w:val="none" w:sz="0" w:space="0" w:color="auto"/>
            <w:left w:val="none" w:sz="0" w:space="0" w:color="auto"/>
            <w:bottom w:val="none" w:sz="0" w:space="0" w:color="auto"/>
            <w:right w:val="none" w:sz="0" w:space="0" w:color="auto"/>
          </w:divBdr>
        </w:div>
        <w:div w:id="777724896">
          <w:marLeft w:val="0"/>
          <w:marRight w:val="0"/>
          <w:marTop w:val="0"/>
          <w:marBottom w:val="0"/>
          <w:divBdr>
            <w:top w:val="none" w:sz="0" w:space="0" w:color="auto"/>
            <w:left w:val="none" w:sz="0" w:space="0" w:color="auto"/>
            <w:bottom w:val="none" w:sz="0" w:space="0" w:color="auto"/>
            <w:right w:val="none" w:sz="0" w:space="0" w:color="auto"/>
          </w:divBdr>
        </w:div>
        <w:div w:id="862480723">
          <w:marLeft w:val="0"/>
          <w:marRight w:val="0"/>
          <w:marTop w:val="0"/>
          <w:marBottom w:val="0"/>
          <w:divBdr>
            <w:top w:val="none" w:sz="0" w:space="0" w:color="auto"/>
            <w:left w:val="none" w:sz="0" w:space="0" w:color="auto"/>
            <w:bottom w:val="none" w:sz="0" w:space="0" w:color="auto"/>
            <w:right w:val="none" w:sz="0" w:space="0" w:color="auto"/>
          </w:divBdr>
        </w:div>
        <w:div w:id="1282417149">
          <w:marLeft w:val="0"/>
          <w:marRight w:val="0"/>
          <w:marTop w:val="0"/>
          <w:marBottom w:val="0"/>
          <w:divBdr>
            <w:top w:val="none" w:sz="0" w:space="0" w:color="auto"/>
            <w:left w:val="none" w:sz="0" w:space="0" w:color="auto"/>
            <w:bottom w:val="none" w:sz="0" w:space="0" w:color="auto"/>
            <w:right w:val="none" w:sz="0" w:space="0" w:color="auto"/>
          </w:divBdr>
        </w:div>
        <w:div w:id="1657028916">
          <w:marLeft w:val="0"/>
          <w:marRight w:val="0"/>
          <w:marTop w:val="0"/>
          <w:marBottom w:val="0"/>
          <w:divBdr>
            <w:top w:val="none" w:sz="0" w:space="0" w:color="auto"/>
            <w:left w:val="none" w:sz="0" w:space="0" w:color="auto"/>
            <w:bottom w:val="none" w:sz="0" w:space="0" w:color="auto"/>
            <w:right w:val="none" w:sz="0" w:space="0" w:color="auto"/>
          </w:divBdr>
        </w:div>
        <w:div w:id="1924482872">
          <w:marLeft w:val="0"/>
          <w:marRight w:val="0"/>
          <w:marTop w:val="0"/>
          <w:marBottom w:val="0"/>
          <w:divBdr>
            <w:top w:val="none" w:sz="0" w:space="0" w:color="auto"/>
            <w:left w:val="none" w:sz="0" w:space="0" w:color="auto"/>
            <w:bottom w:val="none" w:sz="0" w:space="0" w:color="auto"/>
            <w:right w:val="none" w:sz="0" w:space="0" w:color="auto"/>
          </w:divBdr>
        </w:div>
        <w:div w:id="2138062844">
          <w:marLeft w:val="0"/>
          <w:marRight w:val="0"/>
          <w:marTop w:val="0"/>
          <w:marBottom w:val="0"/>
          <w:divBdr>
            <w:top w:val="none" w:sz="0" w:space="0" w:color="auto"/>
            <w:left w:val="none" w:sz="0" w:space="0" w:color="auto"/>
            <w:bottom w:val="none" w:sz="0" w:space="0" w:color="auto"/>
            <w:right w:val="none" w:sz="0" w:space="0" w:color="auto"/>
          </w:divBdr>
        </w:div>
      </w:divsChild>
    </w:div>
    <w:div w:id="1742558161">
      <w:bodyDiv w:val="1"/>
      <w:marLeft w:val="0"/>
      <w:marRight w:val="0"/>
      <w:marTop w:val="0"/>
      <w:marBottom w:val="0"/>
      <w:divBdr>
        <w:top w:val="none" w:sz="0" w:space="0" w:color="auto"/>
        <w:left w:val="none" w:sz="0" w:space="0" w:color="auto"/>
        <w:bottom w:val="none" w:sz="0" w:space="0" w:color="auto"/>
        <w:right w:val="none" w:sz="0" w:space="0" w:color="auto"/>
      </w:divBdr>
    </w:div>
    <w:div w:id="1927106696">
      <w:bodyDiv w:val="1"/>
      <w:marLeft w:val="0"/>
      <w:marRight w:val="0"/>
      <w:marTop w:val="0"/>
      <w:marBottom w:val="0"/>
      <w:divBdr>
        <w:top w:val="none" w:sz="0" w:space="0" w:color="auto"/>
        <w:left w:val="none" w:sz="0" w:space="0" w:color="auto"/>
        <w:bottom w:val="none" w:sz="0" w:space="0" w:color="auto"/>
        <w:right w:val="none" w:sz="0" w:space="0" w:color="auto"/>
      </w:divBdr>
    </w:div>
    <w:div w:id="204440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6CEC52E47345438DA4BA1CDEBB2068"/>
        <w:category>
          <w:name w:val="General"/>
          <w:gallery w:val="placeholder"/>
        </w:category>
        <w:types>
          <w:type w:val="bbPlcHdr"/>
        </w:types>
        <w:behaviors>
          <w:behavior w:val="content"/>
        </w:behaviors>
        <w:guid w:val="{CBA2D521-B569-4D58-BB23-D43ADAB6198F}"/>
      </w:docPartPr>
      <w:docPartBody>
        <w:p w:rsidR="00CA79D6" w:rsidRDefault="00285C0D" w:rsidP="00285C0D">
          <w:pPr>
            <w:pStyle w:val="156CEC52E47345438DA4BA1CDEBB20681"/>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0D"/>
    <w:rsid w:val="000A5D34"/>
    <w:rsid w:val="00285C0D"/>
    <w:rsid w:val="002B2080"/>
    <w:rsid w:val="003C3DA9"/>
    <w:rsid w:val="004A4934"/>
    <w:rsid w:val="004F6D49"/>
    <w:rsid w:val="0058788D"/>
    <w:rsid w:val="005D5621"/>
    <w:rsid w:val="00872C7A"/>
    <w:rsid w:val="009013F0"/>
    <w:rsid w:val="009773F6"/>
    <w:rsid w:val="00997385"/>
    <w:rsid w:val="00A26336"/>
    <w:rsid w:val="00C620FF"/>
    <w:rsid w:val="00CA79D6"/>
    <w:rsid w:val="00D75B79"/>
    <w:rsid w:val="00DC2BBE"/>
    <w:rsid w:val="00DD2445"/>
    <w:rsid w:val="00F321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0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3C3DA9"/>
    <w:rPr>
      <w:rFonts w:asciiTheme="minorHAnsi" w:hAnsiTheme="minorHAnsi"/>
      <w:b/>
      <w:bCs/>
    </w:rPr>
  </w:style>
  <w:style w:type="paragraph" w:styleId="Title">
    <w:name w:val="Title"/>
    <w:basedOn w:val="Heading1"/>
    <w:next w:val="Normal"/>
    <w:link w:val="TitleChar"/>
    <w:uiPriority w:val="39"/>
    <w:rsid w:val="00285C0D"/>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285C0D"/>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sid w:val="00285C0D"/>
    <w:rPr>
      <w:rFonts w:asciiTheme="majorHAnsi" w:eastAsiaTheme="majorEastAsia" w:hAnsiTheme="majorHAnsi" w:cstheme="majorBidi"/>
      <w:color w:val="0F4761" w:themeColor="accent1" w:themeShade="BF"/>
      <w:sz w:val="32"/>
      <w:szCs w:val="32"/>
    </w:rPr>
  </w:style>
  <w:style w:type="paragraph" w:customStyle="1" w:styleId="156CEC52E47345438DA4BA1CDEBB20681">
    <w:name w:val="156CEC52E47345438DA4BA1CDEBB20681"/>
    <w:rsid w:val="00285C0D"/>
    <w:pPr>
      <w:pBdr>
        <w:bottom w:val="single" w:sz="4" w:space="31" w:color="0E2841" w:themeColor="text2"/>
      </w:pBdr>
      <w:tabs>
        <w:tab w:val="center" w:pos="4513"/>
        <w:tab w:val="right" w:pos="9026"/>
      </w:tabs>
      <w:spacing w:before="120" w:after="600" w:line="240" w:lineRule="auto"/>
      <w:jc w:val="right"/>
    </w:pPr>
    <w:rPr>
      <w:rFonts w:eastAsiaTheme="minorHAnsi"/>
      <w:sz w:val="16"/>
      <w:szCs w:val="20"/>
      <w:lang w:eastAsia="en-US"/>
    </w:rPr>
  </w:style>
  <w:style w:type="paragraph" w:customStyle="1" w:styleId="16BC1322956F40E5B1ABB253C2106068">
    <w:name w:val="16BC1322956F40E5B1ABB253C210606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d50e51d7986c5f9d8604f19b7eb3528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0b7302ddbe5f6953870bbf55c69aa8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MPWT-2140667901-68403</_dlc_DocId>
    <_dlc_DocIdUrl xmlns="20393cdf-440a-4521-8f19-00ba43423d00">
      <Url>https://pcgov.sharepoint.com/sites/sceteam/_layouts/15/DocIdRedir.aspx?ID=MPWT-2140667901-68403</Url>
      <Description>MPWT-2140667901-68403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3E145-8697-40CA-94C6-6EFF65C3BB90}">
  <ds:schemaRefs>
    <ds:schemaRef ds:uri="http://schemas.microsoft.com/sharepoint/v3/contenttype/form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8AA711C9-BC22-448F-96A2-C6DF322FB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CF2ED6DA-739D-4144-AEE3-1B72C899D8C3}">
  <ds:schemaRefs>
    <ds:schemaRef ds:uri="3d385984-9344-419b-a80b-49c06a2bdab8"/>
    <ds:schemaRef ds:uri="http://schemas.microsoft.com/office/2006/metadata/properties"/>
    <ds:schemaRef ds:uri="20393cdf-440a-4521-8f19-00ba43423d00"/>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www.w3.org/XML/1998/namespace"/>
    <ds:schemaRef ds:uri="http://purl.org/dc/terms/"/>
    <ds:schemaRef ds:uri="http://purl.org/dc/elements/1.1/"/>
  </ds:schemaRefs>
</ds:datastoreItem>
</file>

<file path=customXml/itemProps6.xml><?xml version="1.0" encoding="utf-8"?>
<ds:datastoreItem xmlns:ds="http://schemas.openxmlformats.org/officeDocument/2006/customXml" ds:itemID="{3754F4D4-02F0-45C1-96F8-D6178C3BF1AE}">
  <ds:schemaRefs>
    <ds:schemaRef ds:uri="http://schemas.microsoft.com/sharepoint/event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9</TotalTime>
  <Pages>10</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Revitalising National Competition Policy: Administering competitive neutrality complaints</vt:lpstr>
    </vt:vector>
  </TitlesOfParts>
  <Company>Productivity Commission</Company>
  <LinksUpToDate>false</LinksUpToDate>
  <CharactersWithSpaces>23594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Revitalising National Competition Policy: Administering competitive neutrality complaints</dc:title>
  <dc:subject>Productivity Commission submission</dc:subject>
  <dc:creator>Productivity Commission</dc:creator>
  <cp:keywords/>
  <dc:description/>
  <cp:lastModifiedBy>Chris Alston</cp:lastModifiedBy>
  <cp:revision>9</cp:revision>
  <cp:lastPrinted>2024-10-11T00:24:00Z</cp:lastPrinted>
  <dcterms:created xsi:type="dcterms:W3CDTF">2024-10-10T10:21:00Z</dcterms:created>
  <dcterms:modified xsi:type="dcterms:W3CDTF">2024-10-11T00:24:00Z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637968911185861194</vt:lpwstr>
  </property>
  <property fmtid="{D5CDD505-2E9C-101B-9397-08002B2CF9AE}" pid="5" name="TemplafyFromBlank">
    <vt:bool>false</vt:bool>
  </property>
  <property fmtid="{D5CDD505-2E9C-101B-9397-08002B2CF9AE}" pid="6" name="ClassificationContentMarkingHeaderShapeIds">
    <vt:lpwstr>7eaba45c,17f2e71,c1c3ebf,27575d6b,5c40608c,db65c5e,4bbcd7f3,58dcf15a,3ea8daa2,a6e3827,68b5c08b</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MediaServiceImageTags">
    <vt:lpwstr/>
  </property>
  <property fmtid="{D5CDD505-2E9C-101B-9397-08002B2CF9AE}" pid="11" name="RevIMBCS">
    <vt:lpwstr>1;#Unclassified|3955eeb1-2d18-4582-aeb2-00144ec3aaf5</vt:lpwstr>
  </property>
  <property fmtid="{D5CDD505-2E9C-101B-9397-08002B2CF9AE}" pid="12" name="ZOTERO_PREF_1">
    <vt:lpwstr>&lt;data data-version="3" zotero-version="7.0.3"&gt;&lt;session id="SQzdSElR"/&gt;&lt;style id="http://www.zotero.org/styles/Productivity-Commission" hasBibliography="1" bibliographyStyleHasBeenSet="1"/&gt;&lt;prefs&gt;&lt;pref name="fieldType" value="Field"/&gt;&lt;pref name="automaticJ</vt:lpwstr>
  </property>
  <property fmtid="{D5CDD505-2E9C-101B-9397-08002B2CF9AE}" pid="13" name="ZOTERO_PREF_2">
    <vt:lpwstr>ournalAbbreviations" value="true"/&gt;&lt;/prefs&gt;&lt;/data&gt;</vt:lpwstr>
  </property>
  <property fmtid="{D5CDD505-2E9C-101B-9397-08002B2CF9AE}" pid="14" name="_dlc_DocIdItemGuid">
    <vt:lpwstr>d72dc248-23f2-4b4d-b083-0c6ece6068ae</vt:lpwstr>
  </property>
  <property fmtid="{D5CDD505-2E9C-101B-9397-08002B2CF9AE}" pid="15" name="MSIP_Label_c1f2b1ce-4212-46db-a901-dd8453f57141_Enabled">
    <vt:lpwstr>true</vt:lpwstr>
  </property>
  <property fmtid="{D5CDD505-2E9C-101B-9397-08002B2CF9AE}" pid="16" name="MSIP_Label_c1f2b1ce-4212-46db-a901-dd8453f57141_SetDate">
    <vt:lpwstr>2024-10-11T00:24:31Z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e2224ef8-3d2a-476a-a171-23bac466fc2a</vt:lpwstr>
  </property>
  <property fmtid="{D5CDD505-2E9C-101B-9397-08002B2CF9AE}" pid="21" name="MSIP_Label_c1f2b1ce-4212-46db-a901-dd8453f57141_ContentBits">
    <vt:lpwstr>0</vt:lpwstr>
  </property>
</Properties>
</file>