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03B2" w:rsidRPr="00F603B2" w:rsidRDefault="00A855FA" w:rsidP="001B6594">
      <w:pPr>
        <w:pStyle w:val="Heading1"/>
      </w:pPr>
      <w:r w:rsidRPr="00A855FA">
        <w:t xml:space="preserve">Summary of </w:t>
      </w:r>
      <w:r w:rsidR="00312691">
        <w:t>r</w:t>
      </w:r>
      <w:r w:rsidR="00F050C0">
        <w:t xml:space="preserve">oundtable </w:t>
      </w:r>
      <w:r w:rsidRPr="00A855FA">
        <w:t>discussions</w:t>
      </w:r>
    </w:p>
    <w:p w:rsidR="00042F22" w:rsidRPr="00042F22" w:rsidRDefault="00C32F70" w:rsidP="00042F22">
      <w:pPr>
        <w:pStyle w:val="BodyText"/>
        <w:jc w:val="center"/>
        <w:rPr>
          <w:i/>
        </w:rPr>
      </w:pPr>
      <w:bookmarkStart w:id="0" w:name="begin"/>
      <w:bookmarkEnd w:id="0"/>
      <w:r>
        <w:rPr>
          <w:i/>
        </w:rPr>
        <w:t>‘</w:t>
      </w:r>
      <w:r w:rsidR="00042F22" w:rsidRPr="00042F22">
        <w:rPr>
          <w:i/>
        </w:rPr>
        <w:t xml:space="preserve">We will be equally harshly judged </w:t>
      </w:r>
      <w:r w:rsidR="00042F22">
        <w:rPr>
          <w:i/>
        </w:rPr>
        <w:t>i</w:t>
      </w:r>
      <w:r w:rsidR="00042F22" w:rsidRPr="00042F22">
        <w:rPr>
          <w:i/>
        </w:rPr>
        <w:t>n the future if we don’t act to drive change</w:t>
      </w:r>
      <w:r w:rsidR="0078489A">
        <w:rPr>
          <w:i/>
        </w:rPr>
        <w:t>.</w:t>
      </w:r>
      <w:r>
        <w:rPr>
          <w:i/>
        </w:rPr>
        <w:t>’</w:t>
      </w:r>
    </w:p>
    <w:p w:rsidR="00536745" w:rsidRDefault="001B23A1" w:rsidP="00975899">
      <w:pPr>
        <w:pStyle w:val="BodyText"/>
      </w:pPr>
      <w:r>
        <w:t>O</w:t>
      </w:r>
      <w:r w:rsidRPr="001B23A1">
        <w:t>n 22</w:t>
      </w:r>
      <w:r w:rsidR="004535FE">
        <w:t>–</w:t>
      </w:r>
      <w:r w:rsidRPr="001B23A1">
        <w:t>23 October</w:t>
      </w:r>
      <w:r w:rsidR="00F940CF">
        <w:t xml:space="preserve"> 2012</w:t>
      </w:r>
      <w:r w:rsidRPr="001B23A1">
        <w:t xml:space="preserve">, </w:t>
      </w:r>
      <w:r>
        <w:t>t</w:t>
      </w:r>
      <w:r w:rsidRPr="001B23A1">
        <w:t xml:space="preserve">he </w:t>
      </w:r>
      <w:r w:rsidR="004D6E1B">
        <w:t xml:space="preserve">Productivity Commission held a </w:t>
      </w:r>
      <w:r w:rsidRPr="001B23A1">
        <w:t>policy roundtable</w:t>
      </w:r>
      <w:r>
        <w:t xml:space="preserve"> </w:t>
      </w:r>
      <w:r w:rsidRPr="001B23A1">
        <w:t>on the role of evaluation in improving outcomes for Australia’s Indigenous peoples.</w:t>
      </w:r>
      <w:r w:rsidR="00474A84">
        <w:t xml:space="preserve"> </w:t>
      </w:r>
      <w:r w:rsidR="004943F3">
        <w:t>It brought</w:t>
      </w:r>
      <w:r w:rsidR="00955353">
        <w:t xml:space="preserve"> together </w:t>
      </w:r>
      <w:r w:rsidR="00137328">
        <w:t>key</w:t>
      </w:r>
      <w:r w:rsidR="008C4079">
        <w:t xml:space="preserve"> thinkers</w:t>
      </w:r>
      <w:r w:rsidR="00955353">
        <w:t xml:space="preserve"> in Indigenous policy</w:t>
      </w:r>
      <w:r w:rsidR="00137328">
        <w:t xml:space="preserve"> </w:t>
      </w:r>
      <w:r w:rsidR="00536745">
        <w:t xml:space="preserve">to discuss </w:t>
      </w:r>
      <w:r w:rsidR="00FD43B6" w:rsidRPr="00FD43B6">
        <w:t xml:space="preserve">the particular challenges in Indigenous policy evaluation and the actions needed to ensure that evidence gained from evaluations </w:t>
      </w:r>
      <w:r w:rsidR="00214004">
        <w:t xml:space="preserve">is </w:t>
      </w:r>
      <w:r w:rsidR="00EC4388">
        <w:t xml:space="preserve">used </w:t>
      </w:r>
      <w:r w:rsidR="00FD43B6" w:rsidRPr="00FD43B6">
        <w:t>in policy-making and program implementation.</w:t>
      </w:r>
      <w:r w:rsidR="00FD43B6">
        <w:t xml:space="preserve"> </w:t>
      </w:r>
    </w:p>
    <w:p w:rsidR="00362A86" w:rsidRDefault="00362A86" w:rsidP="00975899">
      <w:pPr>
        <w:pStyle w:val="BodyText"/>
      </w:pPr>
      <w:r>
        <w:t>At five sessions of the roundtable, the formal presentation of papers wa</w:t>
      </w:r>
      <w:r w:rsidR="00672BC1">
        <w:t xml:space="preserve">s followed by wide-ranging </w:t>
      </w:r>
      <w:r>
        <w:t>discussion. This summary of the discussions is structured to address the themes of:</w:t>
      </w:r>
    </w:p>
    <w:p w:rsidR="00362A86" w:rsidRDefault="00362A86" w:rsidP="00362A86">
      <w:pPr>
        <w:pStyle w:val="ListBullet"/>
      </w:pPr>
      <w:r>
        <w:t>the mechanics of Indigenous evaluation</w:t>
      </w:r>
    </w:p>
    <w:p w:rsidR="00362A86" w:rsidRDefault="00362A86" w:rsidP="00362A86">
      <w:pPr>
        <w:pStyle w:val="ListBullet"/>
      </w:pPr>
      <w:r>
        <w:t>institutionalising better evaluation practices and use of evidence</w:t>
      </w:r>
    </w:p>
    <w:p w:rsidR="00362A86" w:rsidRDefault="00FF433F" w:rsidP="00362A86">
      <w:pPr>
        <w:pStyle w:val="ListBullet"/>
      </w:pPr>
      <w:r>
        <w:t>international experiences</w:t>
      </w:r>
    </w:p>
    <w:p w:rsidR="00362A86" w:rsidRDefault="00362A86" w:rsidP="00362A86">
      <w:pPr>
        <w:pStyle w:val="ListBullet"/>
      </w:pPr>
      <w:r>
        <w:t>evaluation and broader Indigenous policy</w:t>
      </w:r>
    </w:p>
    <w:p w:rsidR="00362A86" w:rsidRPr="00961D8A" w:rsidRDefault="00362A86" w:rsidP="00362A86">
      <w:pPr>
        <w:pStyle w:val="ListBullet"/>
      </w:pPr>
      <w:r>
        <w:t>where to from here?</w:t>
      </w:r>
    </w:p>
    <w:p w:rsidR="0087474E" w:rsidRPr="00396EA7" w:rsidRDefault="00A855FA" w:rsidP="004B591A">
      <w:pPr>
        <w:pStyle w:val="BodyText"/>
      </w:pPr>
      <w:r>
        <w:t>While th</w:t>
      </w:r>
      <w:r w:rsidR="00362A86">
        <w:t>e</w:t>
      </w:r>
      <w:r>
        <w:t xml:space="preserve"> summary refers </w:t>
      </w:r>
      <w:r w:rsidR="00362A86">
        <w:t>to the p</w:t>
      </w:r>
      <w:r w:rsidR="00FE2C95">
        <w:t>resentations</w:t>
      </w:r>
      <w:r w:rsidR="00362A86">
        <w:t xml:space="preserve"> </w:t>
      </w:r>
      <w:r w:rsidR="00F940CF">
        <w:t xml:space="preserve">relevant </w:t>
      </w:r>
      <w:r w:rsidR="00362A86">
        <w:t>to each theme</w:t>
      </w:r>
      <w:r w:rsidR="00F940CF">
        <w:t>, it does not identify the source</w:t>
      </w:r>
      <w:r w:rsidR="004535FE">
        <w:t>s</w:t>
      </w:r>
      <w:r w:rsidR="00F940CF">
        <w:t xml:space="preserve"> of comments </w:t>
      </w:r>
      <w:r w:rsidR="004535FE">
        <w:t xml:space="preserve">made </w:t>
      </w:r>
      <w:r w:rsidR="00F940CF">
        <w:t>during discussions</w:t>
      </w:r>
      <w:r w:rsidR="004943F3">
        <w:t>,</w:t>
      </w:r>
      <w:r w:rsidR="007163D5">
        <w:t xml:space="preserve"> as the roundtable was conducted under </w:t>
      </w:r>
      <w:r w:rsidR="00961D8A">
        <w:t xml:space="preserve">the </w:t>
      </w:r>
      <w:r w:rsidR="007163D5">
        <w:t xml:space="preserve">Chatham House rule. </w:t>
      </w:r>
    </w:p>
    <w:p w:rsidR="008365A8" w:rsidRDefault="00A855FA" w:rsidP="00741C7F">
      <w:pPr>
        <w:pStyle w:val="Heading3"/>
      </w:pPr>
      <w:r>
        <w:t>The m</w:t>
      </w:r>
      <w:r w:rsidR="008365A8">
        <w:t xml:space="preserve">echanics of </w:t>
      </w:r>
      <w:r>
        <w:t>Indigenous evaluation</w:t>
      </w:r>
    </w:p>
    <w:p w:rsidR="00DA77DD" w:rsidRPr="00DA77DD" w:rsidRDefault="00C32F70" w:rsidP="00DA77DD">
      <w:pPr>
        <w:pStyle w:val="BodyText"/>
        <w:jc w:val="center"/>
        <w:rPr>
          <w:i/>
        </w:rPr>
      </w:pPr>
      <w:r>
        <w:rPr>
          <w:i/>
        </w:rPr>
        <w:t>‘</w:t>
      </w:r>
      <w:r w:rsidR="00DA77DD">
        <w:rPr>
          <w:i/>
        </w:rPr>
        <w:t>Incomplete, non-systematic reporting of results undermines reliability</w:t>
      </w:r>
      <w:r w:rsidR="0078489A">
        <w:rPr>
          <w:i/>
        </w:rPr>
        <w:t>.</w:t>
      </w:r>
      <w:r>
        <w:rPr>
          <w:i/>
        </w:rPr>
        <w:t>’</w:t>
      </w:r>
    </w:p>
    <w:p w:rsidR="00D56E16" w:rsidRDefault="00D56E16" w:rsidP="00741C7F">
      <w:pPr>
        <w:pStyle w:val="Heading4"/>
      </w:pPr>
      <w:r w:rsidRPr="0006057A">
        <w:t>Relevant chapters</w:t>
      </w:r>
    </w:p>
    <w:p w:rsidR="00531C25" w:rsidRPr="0038322A" w:rsidRDefault="00531C25" w:rsidP="00531C25">
      <w:pPr>
        <w:pStyle w:val="ListBullet"/>
      </w:pPr>
      <w:r w:rsidRPr="00527622">
        <w:rPr>
          <w:b/>
        </w:rPr>
        <w:t xml:space="preserve">Les </w:t>
      </w:r>
      <w:proofErr w:type="spellStart"/>
      <w:r w:rsidRPr="00527622">
        <w:rPr>
          <w:b/>
        </w:rPr>
        <w:t>Malezer</w:t>
      </w:r>
      <w:proofErr w:type="spellEnd"/>
      <w:r w:rsidRPr="00527622">
        <w:t xml:space="preserve"> (</w:t>
      </w:r>
      <w:r w:rsidR="00572195" w:rsidRPr="00423D6A">
        <w:t>Chapter</w:t>
      </w:r>
      <w:r w:rsidRPr="00423D6A">
        <w:t xml:space="preserve"> 4</w:t>
      </w:r>
      <w:r>
        <w:t>)</w:t>
      </w:r>
      <w:r w:rsidRPr="00527622">
        <w:t xml:space="preserve"> argued that</w:t>
      </w:r>
      <w:r>
        <w:t xml:space="preserve"> conventional evaluation methodologies used by government fail to </w:t>
      </w:r>
      <w:r w:rsidR="00423D6A">
        <w:t>include</w:t>
      </w:r>
      <w:r>
        <w:t xml:space="preserve"> Indigenous people’s expectations, perspectives and </w:t>
      </w:r>
      <w:r w:rsidRPr="00932441">
        <w:t>participation</w:t>
      </w:r>
      <w:r>
        <w:t xml:space="preserve"> in the delivery of services. Any evaluation of Indigenous social policy should recognise the right of Aboriginal and Torres Strait Islander peoples to self-determination and empowerment </w:t>
      </w:r>
      <w:r w:rsidR="00423D6A">
        <w:t xml:space="preserve">(including </w:t>
      </w:r>
      <w:r>
        <w:t xml:space="preserve">the </w:t>
      </w:r>
      <w:r>
        <w:lastRenderedPageBreak/>
        <w:t xml:space="preserve">provision of </w:t>
      </w:r>
      <w:r w:rsidR="00423D6A">
        <w:t>necessary</w:t>
      </w:r>
      <w:r>
        <w:t xml:space="preserve"> technical and financial resources</w:t>
      </w:r>
      <w:r w:rsidR="00423D6A">
        <w:t xml:space="preserve"> to </w:t>
      </w:r>
      <w:r>
        <w:t>assist their development</w:t>
      </w:r>
      <w:r w:rsidR="00423D6A">
        <w:t>)</w:t>
      </w:r>
      <w:r>
        <w:t>.</w:t>
      </w:r>
    </w:p>
    <w:p w:rsidR="00531C25" w:rsidRDefault="00531C25" w:rsidP="00531C25">
      <w:pPr>
        <w:pStyle w:val="ListBullet"/>
      </w:pPr>
      <w:r w:rsidRPr="00CC6857">
        <w:rPr>
          <w:b/>
        </w:rPr>
        <w:t>Deborah Cobb-Clark</w:t>
      </w:r>
      <w:r>
        <w:t xml:space="preserve"> (</w:t>
      </w:r>
      <w:r w:rsidR="00EC4388" w:rsidRPr="00423D6A">
        <w:t xml:space="preserve">Chapter </w:t>
      </w:r>
      <w:r w:rsidRPr="00423D6A">
        <w:t>5</w:t>
      </w:r>
      <w:r>
        <w:t xml:space="preserve">) addressed the particular challenges associated with impact evaluation of Indigenous policy, including data limitations, lack of appetite for randomised control trials, difficulty establishing causation among multiple programs, and limitations imposed by time, budget and ‘political’ constraints. </w:t>
      </w:r>
    </w:p>
    <w:p w:rsidR="00531C25" w:rsidRDefault="00531C25" w:rsidP="00531C25">
      <w:pPr>
        <w:pStyle w:val="ListBullet"/>
      </w:pPr>
      <w:r>
        <w:rPr>
          <w:b/>
        </w:rPr>
        <w:t xml:space="preserve">Matthew James </w:t>
      </w:r>
      <w:r w:rsidRPr="000D4C18">
        <w:t>(</w:t>
      </w:r>
      <w:r w:rsidR="00EC4388" w:rsidRPr="00423D6A">
        <w:t xml:space="preserve">Chapter </w:t>
      </w:r>
      <w:r w:rsidR="001B6594">
        <w:t>7</w:t>
      </w:r>
      <w:r w:rsidRPr="000D4C18">
        <w:t xml:space="preserve">) </w:t>
      </w:r>
      <w:r>
        <w:t>provided some practical lessons for those undertaking Indigenous evaluations. He drew on work of the Department of Families, Housing, Community Services and Indigenous Affairs, including the evaluation of the Northern Territory Emergency Response (</w:t>
      </w:r>
      <w:proofErr w:type="spellStart"/>
      <w:r>
        <w:t>NTER</w:t>
      </w:r>
      <w:proofErr w:type="spellEnd"/>
      <w:r>
        <w:t xml:space="preserve">) and the evaluation of Cape York Welfare Reform. </w:t>
      </w:r>
    </w:p>
    <w:p w:rsidR="001B48C3" w:rsidRDefault="001B48C3" w:rsidP="001B48C3">
      <w:pPr>
        <w:pStyle w:val="ListBullet"/>
      </w:pPr>
      <w:r w:rsidRPr="00D56E16">
        <w:rPr>
          <w:b/>
        </w:rPr>
        <w:t>John Taylor</w:t>
      </w:r>
      <w:r>
        <w:t xml:space="preserve"> </w:t>
      </w:r>
      <w:r w:rsidRPr="00D56E16">
        <w:t>(</w:t>
      </w:r>
      <w:r w:rsidR="00DA404D" w:rsidRPr="00423D6A">
        <w:t xml:space="preserve">Chapter </w:t>
      </w:r>
      <w:r w:rsidR="001B6594">
        <w:t>8</w:t>
      </w:r>
      <w:r w:rsidRPr="00D56E16">
        <w:t xml:space="preserve">) </w:t>
      </w:r>
      <w:r>
        <w:t>noted that</w:t>
      </w:r>
      <w:r w:rsidR="008220BC">
        <w:t xml:space="preserve"> </w:t>
      </w:r>
      <w:r w:rsidRPr="00112263">
        <w:t xml:space="preserve">the range and volume of data </w:t>
      </w:r>
      <w:r>
        <w:t>comparing Indigenous and non-Indigenous Australians have</w:t>
      </w:r>
      <w:r w:rsidRPr="00112263">
        <w:t xml:space="preserve"> grown substantially</w:t>
      </w:r>
      <w:r>
        <w:t xml:space="preserve"> and can </w:t>
      </w:r>
      <w:r w:rsidRPr="00112263">
        <w:t xml:space="preserve">inform the </w:t>
      </w:r>
      <w:r>
        <w:t>high</w:t>
      </w:r>
      <w:r w:rsidR="0006057A">
        <w:t>-</w:t>
      </w:r>
      <w:r>
        <w:t xml:space="preserve">level </w:t>
      </w:r>
      <w:r w:rsidRPr="00112263">
        <w:t xml:space="preserve">evaluation of </w:t>
      </w:r>
      <w:r>
        <w:t xml:space="preserve">the Closing the Gap agenda. However, he </w:t>
      </w:r>
      <w:r w:rsidR="008220BC">
        <w:t>argued</w:t>
      </w:r>
      <w:r>
        <w:t xml:space="preserve"> that </w:t>
      </w:r>
      <w:r w:rsidR="00E3651F">
        <w:t xml:space="preserve">the </w:t>
      </w:r>
      <w:r w:rsidRPr="00112263">
        <w:t xml:space="preserve">available statistics </w:t>
      </w:r>
      <w:r>
        <w:t xml:space="preserve">do not meet </w:t>
      </w:r>
      <w:r w:rsidRPr="00112263">
        <w:t>the needs of Indigenous</w:t>
      </w:r>
      <w:r>
        <w:t xml:space="preserve"> people, who are increasingly seeking community-level information to inform local decision-making. He also argued that </w:t>
      </w:r>
      <w:r w:rsidRPr="00D920DB">
        <w:t xml:space="preserve">Indigenous groups need support </w:t>
      </w:r>
      <w:r w:rsidR="008220BC">
        <w:t xml:space="preserve">to build capacity to compile and </w:t>
      </w:r>
      <w:r w:rsidRPr="00D920DB">
        <w:t>use customised data to meet the</w:t>
      </w:r>
      <w:r>
        <w:t>ir</w:t>
      </w:r>
      <w:r w:rsidRPr="00D920DB">
        <w:t xml:space="preserve"> needs.</w:t>
      </w:r>
    </w:p>
    <w:p w:rsidR="00531C25" w:rsidRDefault="00531C25" w:rsidP="00531C25">
      <w:pPr>
        <w:pStyle w:val="ListBullet"/>
      </w:pPr>
      <w:r>
        <w:rPr>
          <w:b/>
        </w:rPr>
        <w:t xml:space="preserve">David </w:t>
      </w:r>
      <w:proofErr w:type="spellStart"/>
      <w:r>
        <w:rPr>
          <w:b/>
        </w:rPr>
        <w:t>Kalisch</w:t>
      </w:r>
      <w:proofErr w:type="spellEnd"/>
      <w:r>
        <w:rPr>
          <w:b/>
        </w:rPr>
        <w:t xml:space="preserve"> </w:t>
      </w:r>
      <w:r w:rsidRPr="0038322A">
        <w:t>(</w:t>
      </w:r>
      <w:r w:rsidR="00DA404D" w:rsidRPr="00423D6A">
        <w:t xml:space="preserve">Chapter </w:t>
      </w:r>
      <w:r w:rsidR="00CC73DE">
        <w:t>9</w:t>
      </w:r>
      <w:r w:rsidRPr="0038322A">
        <w:t xml:space="preserve">) </w:t>
      </w:r>
      <w:r>
        <w:t xml:space="preserve">noted that, </w:t>
      </w:r>
      <w:r w:rsidRPr="0038322A">
        <w:t xml:space="preserve">where there are gaps in </w:t>
      </w:r>
      <w:r>
        <w:t>available information,</w:t>
      </w:r>
      <w:r w:rsidRPr="0038322A">
        <w:t xml:space="preserve"> the </w:t>
      </w:r>
      <w:r>
        <w:t xml:space="preserve">Closing the Gap </w:t>
      </w:r>
      <w:r w:rsidRPr="0038322A">
        <w:t xml:space="preserve">Clearinghouse </w:t>
      </w:r>
      <w:r>
        <w:t xml:space="preserve">is considering using ‘realist </w:t>
      </w:r>
      <w:bookmarkStart w:id="1" w:name="_GoBack"/>
      <w:bookmarkEnd w:id="1"/>
      <w:r>
        <w:t xml:space="preserve">synthesis’, which involves assessing types of </w:t>
      </w:r>
      <w:r w:rsidRPr="0038322A">
        <w:t>evidence</w:t>
      </w:r>
      <w:r>
        <w:t xml:space="preserve"> that may otherwise be discarded as they do not meet medical research standards, including </w:t>
      </w:r>
      <w:r w:rsidRPr="0038322A">
        <w:t xml:space="preserve">observational studies, case studies, field visits, </w:t>
      </w:r>
      <w:r>
        <w:t xml:space="preserve">expert advice, </w:t>
      </w:r>
      <w:r w:rsidRPr="0038322A">
        <w:t xml:space="preserve">lay knowledge and reports on interventions. </w:t>
      </w:r>
    </w:p>
    <w:p w:rsidR="00C40CA7" w:rsidRDefault="00C40CA7" w:rsidP="00C40CA7">
      <w:pPr>
        <w:pStyle w:val="ListBullet"/>
      </w:pPr>
      <w:r w:rsidRPr="00C40CA7">
        <w:rPr>
          <w:b/>
        </w:rPr>
        <w:t>Michael Dillon</w:t>
      </w:r>
      <w:r w:rsidRPr="00C40CA7">
        <w:t xml:space="preserve"> (</w:t>
      </w:r>
      <w:r w:rsidR="006B1289" w:rsidRPr="00423D6A">
        <w:t xml:space="preserve">Chapter </w:t>
      </w:r>
      <w:r w:rsidR="00CC73DE">
        <w:t>12</w:t>
      </w:r>
      <w:r w:rsidRPr="00C40CA7">
        <w:t>) (paper presented by Matthew James) highlighted the importance of developing the evidence base</w:t>
      </w:r>
      <w:r w:rsidR="00FF2208">
        <w:t xml:space="preserve"> </w:t>
      </w:r>
      <w:r w:rsidR="00E3651F">
        <w:t xml:space="preserve">through the </w:t>
      </w:r>
      <w:r w:rsidRPr="00C40CA7">
        <w:t>us</w:t>
      </w:r>
      <w:r w:rsidR="00E3651F">
        <w:t>e of</w:t>
      </w:r>
      <w:r w:rsidRPr="00C40CA7">
        <w:t xml:space="preserve"> administrative data sets, robust survey t</w:t>
      </w:r>
      <w:r w:rsidR="008220BC">
        <w:t>ools and community consultation</w:t>
      </w:r>
      <w:r w:rsidRPr="00C40CA7">
        <w:t>. He noted that</w:t>
      </w:r>
      <w:r w:rsidR="00101449">
        <w:t>, as</w:t>
      </w:r>
      <w:r w:rsidRPr="00C40CA7">
        <w:t xml:space="preserve"> it can take a long time to build evidence, the program logic should be clear during policy development and open to change as monitoring and evaluation </w:t>
      </w:r>
      <w:r w:rsidR="00E3651F">
        <w:t>inform</w:t>
      </w:r>
      <w:r w:rsidR="00E3651F" w:rsidRPr="00C40CA7">
        <w:t xml:space="preserve"> </w:t>
      </w:r>
      <w:r w:rsidRPr="00C40CA7">
        <w:t xml:space="preserve">continual learning. </w:t>
      </w:r>
    </w:p>
    <w:p w:rsidR="00D56E16" w:rsidRDefault="00D56E16" w:rsidP="00741C7F">
      <w:pPr>
        <w:pStyle w:val="Heading4"/>
      </w:pPr>
      <w:r>
        <w:t>Discussion</w:t>
      </w:r>
    </w:p>
    <w:p w:rsidR="004C1CF0" w:rsidRDefault="004C1CF0" w:rsidP="004C1CF0">
      <w:pPr>
        <w:pStyle w:val="BodyText"/>
      </w:pPr>
      <w:r>
        <w:t xml:space="preserve">Participants noted that the term </w:t>
      </w:r>
      <w:r w:rsidR="0006057A">
        <w:t>‘</w:t>
      </w:r>
      <w:r>
        <w:t>evaluation</w:t>
      </w:r>
      <w:r w:rsidR="0006057A">
        <w:t>’</w:t>
      </w:r>
      <w:r>
        <w:t xml:space="preserve"> can have different meanings in different contexts, ranging from mechanisms designed to provide accountability (for example, for spending government mon</w:t>
      </w:r>
      <w:r w:rsidR="003D27CE">
        <w:t>ey</w:t>
      </w:r>
      <w:r>
        <w:t>), t</w:t>
      </w:r>
      <w:r w:rsidR="00672BC1">
        <w:t>hrough</w:t>
      </w:r>
      <w:r>
        <w:t xml:space="preserve"> </w:t>
      </w:r>
      <w:r w:rsidR="00CB724A">
        <w:t>measures</w:t>
      </w:r>
      <w:r w:rsidR="003D27CE">
        <w:t xml:space="preserve"> encompassing </w:t>
      </w:r>
      <w:r>
        <w:t>process evaluation and</w:t>
      </w:r>
      <w:r w:rsidR="00FF2208">
        <w:t>/or</w:t>
      </w:r>
      <w:r>
        <w:t xml:space="preserve"> impact evaluation of either single programs or groups of programs, to broad reviews of system architecture. However, participants generally </w:t>
      </w:r>
      <w:r>
        <w:lastRenderedPageBreak/>
        <w:t xml:space="preserve">agreed that evaluation </w:t>
      </w:r>
      <w:r w:rsidR="00672BC1">
        <w:t>i</w:t>
      </w:r>
      <w:r>
        <w:t xml:space="preserve">s more than just </w:t>
      </w:r>
      <w:r w:rsidR="00CB724A">
        <w:t xml:space="preserve">providing </w:t>
      </w:r>
      <w:r>
        <w:t>accountability in the narrowest financial sense</w:t>
      </w:r>
      <w:r w:rsidR="00FF2208">
        <w:t xml:space="preserve"> or checking boxes to ensure </w:t>
      </w:r>
      <w:r w:rsidR="00672BC1">
        <w:t xml:space="preserve">that </w:t>
      </w:r>
      <w:r w:rsidR="00FF2208">
        <w:t>pr</w:t>
      </w:r>
      <w:r w:rsidR="003D27CE">
        <w:t>e</w:t>
      </w:r>
      <w:r w:rsidR="00FF2208">
        <w:t xml:space="preserve">scribed processes </w:t>
      </w:r>
      <w:r w:rsidR="00672BC1">
        <w:t xml:space="preserve">have been </w:t>
      </w:r>
      <w:r w:rsidR="00FF2208">
        <w:t xml:space="preserve">followed, and that </w:t>
      </w:r>
      <w:r w:rsidR="005C5138">
        <w:t xml:space="preserve">it </w:t>
      </w:r>
      <w:r w:rsidR="00FF2208">
        <w:t xml:space="preserve">should have a role </w:t>
      </w:r>
      <w:r w:rsidR="003D27CE">
        <w:t xml:space="preserve">in </w:t>
      </w:r>
      <w:r w:rsidR="00FF2208">
        <w:t>holding governments to account for outcomes.</w:t>
      </w:r>
    </w:p>
    <w:p w:rsidR="004C1CF0" w:rsidRDefault="004C1CF0" w:rsidP="004C1CF0">
      <w:pPr>
        <w:pStyle w:val="BodyText"/>
      </w:pPr>
      <w:r>
        <w:t xml:space="preserve">Some participants argued that evaluation </w:t>
      </w:r>
      <w:r w:rsidR="00FF2208">
        <w:t>should</w:t>
      </w:r>
      <w:r>
        <w:t xml:space="preserve"> identify whether programs make a difference — what works</w:t>
      </w:r>
      <w:r w:rsidR="00CB724A">
        <w:t>,</w:t>
      </w:r>
      <w:r>
        <w:t xml:space="preserve"> and why — and </w:t>
      </w:r>
      <w:r w:rsidR="00CB724A">
        <w:t xml:space="preserve">contended </w:t>
      </w:r>
      <w:r w:rsidR="003D27CE">
        <w:t>that</w:t>
      </w:r>
      <w:r w:rsidR="00672BC1">
        <w:t>,</w:t>
      </w:r>
      <w:r w:rsidR="003D27CE">
        <w:t xml:space="preserve"> </w:t>
      </w:r>
      <w:r>
        <w:t xml:space="preserve">if </w:t>
      </w:r>
      <w:r w:rsidR="00CB724A">
        <w:t xml:space="preserve">outcomes </w:t>
      </w:r>
      <w:r>
        <w:t xml:space="preserve">cannot be conclusively </w:t>
      </w:r>
      <w:r w:rsidR="00FF2208">
        <w:t>demonstrated</w:t>
      </w:r>
      <w:r>
        <w:t xml:space="preserve">, the </w:t>
      </w:r>
      <w:r w:rsidR="00CB724A">
        <w:t>value of continuing a</w:t>
      </w:r>
      <w:r>
        <w:t xml:space="preserve"> program must be questioned. Other participants argued that problems </w:t>
      </w:r>
      <w:r w:rsidR="00CB724A">
        <w:t xml:space="preserve">in </w:t>
      </w:r>
      <w:r>
        <w:t xml:space="preserve">the underlying system architecture </w:t>
      </w:r>
      <w:r w:rsidR="00CB724A">
        <w:t xml:space="preserve">that </w:t>
      </w:r>
      <w:r>
        <w:t xml:space="preserve">make it difficult to </w:t>
      </w:r>
      <w:r w:rsidR="00FF2208">
        <w:t>isolate</w:t>
      </w:r>
      <w:r>
        <w:t xml:space="preserve"> </w:t>
      </w:r>
      <w:r w:rsidR="00F940CF">
        <w:t>a program’s outcomes</w:t>
      </w:r>
      <w:r>
        <w:t xml:space="preserve"> </w:t>
      </w:r>
      <w:r w:rsidR="00F940CF">
        <w:t>do not mean that a program</w:t>
      </w:r>
      <w:r>
        <w:t xml:space="preserve"> is not worthwhile. </w:t>
      </w:r>
    </w:p>
    <w:p w:rsidR="00B42D76" w:rsidRDefault="00D56E16" w:rsidP="00D56E16">
      <w:pPr>
        <w:pStyle w:val="BodyText"/>
      </w:pPr>
      <w:r>
        <w:t xml:space="preserve">There was general agreement that a lot of data </w:t>
      </w:r>
      <w:r w:rsidR="001B48C3">
        <w:t xml:space="preserve">are </w:t>
      </w:r>
      <w:r>
        <w:t xml:space="preserve">being produced </w:t>
      </w:r>
      <w:r w:rsidR="00C40CA7">
        <w:t>about</w:t>
      </w:r>
      <w:r>
        <w:t xml:space="preserve"> Indigenous Australians. However, </w:t>
      </w:r>
      <w:r w:rsidR="00B42D76">
        <w:t>t</w:t>
      </w:r>
      <w:r w:rsidR="00B42D76" w:rsidRPr="00B42D76">
        <w:t xml:space="preserve">here is a tension between the political imperative to </w:t>
      </w:r>
      <w:r w:rsidR="00B42D76">
        <w:t xml:space="preserve">develop and report data to measure achievement of the COAG targets </w:t>
      </w:r>
      <w:r w:rsidR="00F940CF">
        <w:t>(</w:t>
      </w:r>
      <w:r w:rsidR="00CB724A">
        <w:t xml:space="preserve">which </w:t>
      </w:r>
      <w:r w:rsidR="00F940CF">
        <w:t xml:space="preserve">focus on a limited range of social indicators) </w:t>
      </w:r>
      <w:r w:rsidR="00B42D76" w:rsidRPr="00B42D76">
        <w:t xml:space="preserve">and </w:t>
      </w:r>
      <w:r w:rsidR="00CB724A">
        <w:t>the broader need</w:t>
      </w:r>
      <w:r w:rsidR="00B42D76" w:rsidRPr="00B42D76">
        <w:t xml:space="preserve"> to </w:t>
      </w:r>
      <w:r w:rsidR="00B42D76">
        <w:t xml:space="preserve">inform policy and program evaluations. </w:t>
      </w:r>
    </w:p>
    <w:p w:rsidR="00E50927" w:rsidRDefault="00B42D76" w:rsidP="00D56E16">
      <w:pPr>
        <w:pStyle w:val="BodyText"/>
      </w:pPr>
      <w:r>
        <w:t>S</w:t>
      </w:r>
      <w:r w:rsidR="00C40CA7">
        <w:t>everal participants noted the difficulty of accessing data at the program or community level. M</w:t>
      </w:r>
      <w:r w:rsidR="00D56E16">
        <w:t>uch of the</w:t>
      </w:r>
      <w:r w:rsidR="00C40CA7">
        <w:t xml:space="preserve"> available</w:t>
      </w:r>
      <w:r w:rsidR="00D56E16">
        <w:t xml:space="preserve"> data </w:t>
      </w:r>
      <w:r w:rsidR="00CB724A">
        <w:t xml:space="preserve">is </w:t>
      </w:r>
      <w:r w:rsidR="00D56E16">
        <w:t xml:space="preserve">at a high level of aggregation, </w:t>
      </w:r>
      <w:r w:rsidR="00CB724A">
        <w:t xml:space="preserve">which makes it </w:t>
      </w:r>
      <w:r w:rsidR="00D56E16">
        <w:t>less useful for program evaluation</w:t>
      </w:r>
      <w:r w:rsidR="00EC4388">
        <w:t>s</w:t>
      </w:r>
      <w:r w:rsidR="00D56E16">
        <w:t xml:space="preserve">, </w:t>
      </w:r>
      <w:r w:rsidR="006B1289">
        <w:t xml:space="preserve">and of little use </w:t>
      </w:r>
      <w:r w:rsidR="00D56E16">
        <w:t>to Indigenous people themselve</w:t>
      </w:r>
      <w:r w:rsidR="006B1289">
        <w:t>s</w:t>
      </w:r>
      <w:r w:rsidR="00D56E16">
        <w:t>.</w:t>
      </w:r>
      <w:r w:rsidR="00EE6D29">
        <w:t xml:space="preserve"> </w:t>
      </w:r>
      <w:r w:rsidR="00FF2208">
        <w:t>Moreover, many administrative collections still lack appropriate geo</w:t>
      </w:r>
      <w:r w:rsidR="00101449">
        <w:noBreakHyphen/>
      </w:r>
      <w:r w:rsidR="00FF2208">
        <w:t xml:space="preserve">coding to produce meaningful local level data. </w:t>
      </w:r>
      <w:r w:rsidR="00D56E16">
        <w:t>It was</w:t>
      </w:r>
      <w:r w:rsidR="00E50927">
        <w:t xml:space="preserve"> acknowledged that </w:t>
      </w:r>
      <w:r w:rsidR="00672BC1">
        <w:t>the</w:t>
      </w:r>
      <w:r w:rsidR="00E50927">
        <w:t xml:space="preserve"> </w:t>
      </w:r>
      <w:r w:rsidR="005C5138">
        <w:t>Australian Bureau of Statistic</w:t>
      </w:r>
      <w:r w:rsidR="00672BC1">
        <w:t>s</w:t>
      </w:r>
      <w:r w:rsidR="00572195">
        <w:t>’</w:t>
      </w:r>
      <w:r w:rsidR="00672BC1">
        <w:t xml:space="preserve"> new</w:t>
      </w:r>
      <w:r w:rsidR="005C5138">
        <w:t xml:space="preserve"> </w:t>
      </w:r>
      <w:r w:rsidR="00E50927">
        <w:t xml:space="preserve">‘mesh block’ methodology might </w:t>
      </w:r>
      <w:r w:rsidR="00D56E16">
        <w:t xml:space="preserve">allow greater disaggregation of </w:t>
      </w:r>
      <w:r w:rsidR="00E50927">
        <w:t>some statistics (</w:t>
      </w:r>
      <w:r w:rsidR="00D56E16">
        <w:t xml:space="preserve">such as </w:t>
      </w:r>
      <w:r w:rsidR="00CB724A">
        <w:t xml:space="preserve">statistics </w:t>
      </w:r>
      <w:r w:rsidR="003D27CE">
        <w:t xml:space="preserve">from </w:t>
      </w:r>
      <w:r w:rsidR="00D56E16">
        <w:t xml:space="preserve">the </w:t>
      </w:r>
      <w:r w:rsidR="00E50927">
        <w:t xml:space="preserve">Census of Population and Housing). </w:t>
      </w:r>
    </w:p>
    <w:p w:rsidR="00CB148D" w:rsidRDefault="00CB148D" w:rsidP="00CB148D">
      <w:pPr>
        <w:pStyle w:val="BodyText"/>
      </w:pPr>
      <w:r>
        <w:t xml:space="preserve">Other participants argued that it </w:t>
      </w:r>
      <w:r w:rsidR="006C6F4E">
        <w:t>is</w:t>
      </w:r>
      <w:r>
        <w:t xml:space="preserve"> possible to do meaningful evaluations, but </w:t>
      </w:r>
      <w:r w:rsidR="003D27CE">
        <w:t xml:space="preserve">that </w:t>
      </w:r>
      <w:r>
        <w:t>i</w:t>
      </w:r>
      <w:r w:rsidRPr="003337D5">
        <w:t xml:space="preserve">t takes time to build relationships and trust </w:t>
      </w:r>
      <w:r w:rsidR="006C6F4E">
        <w:t xml:space="preserve">in order </w:t>
      </w:r>
      <w:r w:rsidRPr="003337D5">
        <w:t xml:space="preserve">to access </w:t>
      </w:r>
      <w:r>
        <w:t xml:space="preserve">relevant quantitative and qualitative information. </w:t>
      </w:r>
    </w:p>
    <w:p w:rsidR="00CB148D" w:rsidRDefault="00CB148D" w:rsidP="00CB148D">
      <w:pPr>
        <w:pStyle w:val="BodyText"/>
      </w:pPr>
      <w:r>
        <w:t xml:space="preserve">Some participants argued that there is an over-emphasis on quantitative data in evaluations, particularly given the </w:t>
      </w:r>
      <w:r w:rsidR="006C6F4E">
        <w:t xml:space="preserve">problems with availability of </w:t>
      </w:r>
      <w:r>
        <w:t xml:space="preserve">data at the community or program level. Other participants argued that </w:t>
      </w:r>
      <w:r w:rsidR="003D4FE6">
        <w:t xml:space="preserve">the way in which </w:t>
      </w:r>
      <w:r>
        <w:t xml:space="preserve">qualitative information is used </w:t>
      </w:r>
      <w:r w:rsidR="003D4FE6">
        <w:t xml:space="preserve">is </w:t>
      </w:r>
      <w:r w:rsidR="006C6F4E">
        <w:t xml:space="preserve">often </w:t>
      </w:r>
      <w:r>
        <w:t xml:space="preserve">methodologically unsound, noting that ‘data is not the plural of anecdotes’. However, it was agreed that well-designed evaluations can generate useful qualitative </w:t>
      </w:r>
      <w:r w:rsidR="00101449">
        <w:t>information</w:t>
      </w:r>
      <w:r>
        <w:t xml:space="preserve"> — for example, </w:t>
      </w:r>
      <w:r w:rsidR="00101449">
        <w:t>surveys that code open-ended</w:t>
      </w:r>
      <w:r>
        <w:t xml:space="preserve"> responses to a framework</w:t>
      </w:r>
      <w:r w:rsidR="00101449">
        <w:t xml:space="preserve"> can transform qualitative information into quantitative data</w:t>
      </w:r>
      <w:r>
        <w:t xml:space="preserve">. </w:t>
      </w:r>
    </w:p>
    <w:p w:rsidR="00CB148D" w:rsidRDefault="00CB148D" w:rsidP="00CB148D">
      <w:pPr>
        <w:pStyle w:val="BodyText"/>
      </w:pPr>
      <w:r>
        <w:t>Many participants emphasised the importance of incorporating Indigenous perspectives into evaluation frameworks, with Indigenous people assessing the usefulness of the evaluation for their own communities.</w:t>
      </w:r>
      <w:r w:rsidRPr="00CB148D">
        <w:t xml:space="preserve"> </w:t>
      </w:r>
      <w:r>
        <w:t xml:space="preserve">Some participants </w:t>
      </w:r>
      <w:r>
        <w:lastRenderedPageBreak/>
        <w:t>advocated a community development or capacity</w:t>
      </w:r>
      <w:r w:rsidR="005C5138">
        <w:t>-</w:t>
      </w:r>
      <w:r>
        <w:t>building model, where Indigenous people are directly involved in research and evaluation processes.</w:t>
      </w:r>
    </w:p>
    <w:p w:rsidR="006C6F4E" w:rsidRDefault="00773A41" w:rsidP="001B48C3">
      <w:pPr>
        <w:pStyle w:val="BodyText"/>
      </w:pPr>
      <w:r>
        <w:t>Participants</w:t>
      </w:r>
      <w:r w:rsidR="00D71AAA">
        <w:t xml:space="preserve"> acknowledged that evaluating the impact of </w:t>
      </w:r>
      <w:r w:rsidR="00964FE7">
        <w:t>specific Indigenous</w:t>
      </w:r>
      <w:r w:rsidR="00D71AAA">
        <w:t xml:space="preserve"> policies </w:t>
      </w:r>
      <w:r w:rsidR="00964FE7">
        <w:t xml:space="preserve">and programs </w:t>
      </w:r>
      <w:r w:rsidR="003D4FE6">
        <w:t xml:space="preserve">can </w:t>
      </w:r>
      <w:r w:rsidR="00D71AAA">
        <w:t xml:space="preserve">be </w:t>
      </w:r>
      <w:r w:rsidR="00FF2208">
        <w:t>challenging</w:t>
      </w:r>
      <w:r w:rsidR="00CC1A50">
        <w:t>,</w:t>
      </w:r>
      <w:r w:rsidR="001B48C3">
        <w:t xml:space="preserve"> because it is difficult to </w:t>
      </w:r>
      <w:r w:rsidR="00CD1F05">
        <w:t>isolat</w:t>
      </w:r>
      <w:r w:rsidR="001B48C3">
        <w:t>e</w:t>
      </w:r>
      <w:r w:rsidR="00CD1F05">
        <w:t xml:space="preserve"> the impact of a </w:t>
      </w:r>
      <w:r w:rsidR="00D71AAA">
        <w:t xml:space="preserve">particular </w:t>
      </w:r>
      <w:r w:rsidR="00CD1F05">
        <w:t xml:space="preserve">policy change </w:t>
      </w:r>
      <w:r w:rsidR="003D4FE6">
        <w:t>from</w:t>
      </w:r>
      <w:r w:rsidR="006C6F4E">
        <w:t xml:space="preserve"> the effects of</w:t>
      </w:r>
      <w:r w:rsidR="00D71AAA">
        <w:t xml:space="preserve"> multiple</w:t>
      </w:r>
      <w:r w:rsidR="001B48C3">
        <w:t>,</w:t>
      </w:r>
      <w:r w:rsidR="00D71AAA">
        <w:t xml:space="preserve"> </w:t>
      </w:r>
      <w:r w:rsidR="00B34627">
        <w:t xml:space="preserve">sometimes </w:t>
      </w:r>
      <w:r w:rsidR="00211ED2">
        <w:t>competing</w:t>
      </w:r>
      <w:r w:rsidR="001B48C3">
        <w:t>,</w:t>
      </w:r>
      <w:r w:rsidR="00B34627">
        <w:t xml:space="preserve"> social</w:t>
      </w:r>
      <w:r w:rsidR="00211ED2">
        <w:t xml:space="preserve"> </w:t>
      </w:r>
      <w:r w:rsidR="00D71AAA">
        <w:t>programs</w:t>
      </w:r>
      <w:r w:rsidR="001B48C3">
        <w:t>. I</w:t>
      </w:r>
      <w:r w:rsidR="00CD1F05">
        <w:t xml:space="preserve">n remote Indigenous </w:t>
      </w:r>
      <w:r w:rsidR="008652BE">
        <w:t>communities</w:t>
      </w:r>
      <w:r w:rsidR="00CD1F05">
        <w:t>,</w:t>
      </w:r>
      <w:r w:rsidR="006E7B93">
        <w:t xml:space="preserve"> tens of</w:t>
      </w:r>
      <w:r w:rsidR="00672BC1">
        <w:t xml:space="preserve"> </w:t>
      </w:r>
      <w:r w:rsidR="00CD1F05">
        <w:t xml:space="preserve">programs </w:t>
      </w:r>
      <w:r w:rsidR="00D71AAA">
        <w:t>may be</w:t>
      </w:r>
      <w:r w:rsidR="00CD1F05">
        <w:t xml:space="preserve"> operating</w:t>
      </w:r>
      <w:r w:rsidR="006C6F4E">
        <w:t>,</w:t>
      </w:r>
      <w:r w:rsidR="00CD1F05">
        <w:t xml:space="preserve"> across three levels of government and </w:t>
      </w:r>
      <w:r w:rsidR="006E7B93">
        <w:t>across</w:t>
      </w:r>
      <w:r w:rsidR="006611E1">
        <w:t xml:space="preserve"> </w:t>
      </w:r>
      <w:r w:rsidR="00CD1F05">
        <w:t>multiple sectors</w:t>
      </w:r>
      <w:r w:rsidR="000863FA">
        <w:t xml:space="preserve"> such health, </w:t>
      </w:r>
      <w:r w:rsidR="006611E1">
        <w:t>education and employment</w:t>
      </w:r>
      <w:r w:rsidR="00CD1F05">
        <w:t>.</w:t>
      </w:r>
      <w:r w:rsidR="008365A8">
        <w:t xml:space="preserve"> </w:t>
      </w:r>
    </w:p>
    <w:p w:rsidR="00C75B0B" w:rsidRDefault="001B48C3" w:rsidP="001B48C3">
      <w:pPr>
        <w:pStyle w:val="BodyText"/>
      </w:pPr>
      <w:r>
        <w:t>S</w:t>
      </w:r>
      <w:r w:rsidR="008365A8">
        <w:t>ome</w:t>
      </w:r>
      <w:r w:rsidR="00B01806">
        <w:t xml:space="preserve"> participants argued that</w:t>
      </w:r>
      <w:r w:rsidR="00B33E6B">
        <w:t>, as</w:t>
      </w:r>
      <w:r w:rsidR="00B01806">
        <w:t xml:space="preserve"> </w:t>
      </w:r>
      <w:r w:rsidR="008652BE">
        <w:t xml:space="preserve">it is </w:t>
      </w:r>
      <w:r w:rsidR="00B33E6B">
        <w:t>only possible</w:t>
      </w:r>
      <w:r w:rsidR="00481CFA">
        <w:t xml:space="preserve"> </w:t>
      </w:r>
      <w:r w:rsidR="008365A8">
        <w:t xml:space="preserve">to </w:t>
      </w:r>
      <w:r w:rsidR="00B33E6B">
        <w:t>measure community level outcomes, it is only possible to assess the suite of programs operating in a particular community as a whole</w:t>
      </w:r>
      <w:r w:rsidR="00C40CA7">
        <w:t xml:space="preserve">. </w:t>
      </w:r>
      <w:r w:rsidRPr="001B48C3">
        <w:t>Other</w:t>
      </w:r>
      <w:r w:rsidRPr="001B48C3">
        <w:rPr>
          <w:b/>
        </w:rPr>
        <w:t xml:space="preserve"> </w:t>
      </w:r>
      <w:r w:rsidR="00491499">
        <w:t>participants</w:t>
      </w:r>
      <w:r w:rsidR="00C75B0B">
        <w:t xml:space="preserve"> argued for </w:t>
      </w:r>
      <w:r w:rsidR="00615900">
        <w:t>iterative evaluations</w:t>
      </w:r>
      <w:r w:rsidR="006611E1">
        <w:t xml:space="preserve"> (</w:t>
      </w:r>
      <w:r w:rsidR="00F940CF">
        <w:t xml:space="preserve">both </w:t>
      </w:r>
      <w:r w:rsidR="006611E1">
        <w:t>summative and formative)</w:t>
      </w:r>
      <w:r w:rsidR="00C75B0B">
        <w:t xml:space="preserve"> </w:t>
      </w:r>
      <w:r w:rsidR="00615900">
        <w:t xml:space="preserve">during the life cycle of </w:t>
      </w:r>
      <w:r w:rsidR="00B33E6B">
        <w:t>a specific</w:t>
      </w:r>
      <w:r w:rsidR="00615900">
        <w:t xml:space="preserve"> program or policy, with opportunities </w:t>
      </w:r>
      <w:r w:rsidR="006611E1">
        <w:t>to amend or change aspects of the program or policy being investigated</w:t>
      </w:r>
      <w:r>
        <w:t>.</w:t>
      </w:r>
      <w:r w:rsidR="00F940CF">
        <w:t xml:space="preserve"> (Summative or </w:t>
      </w:r>
      <w:r w:rsidR="00672BC1">
        <w:t>‘</w:t>
      </w:r>
      <w:r w:rsidR="00F940CF">
        <w:t>impact</w:t>
      </w:r>
      <w:r w:rsidR="00672BC1">
        <w:t>’</w:t>
      </w:r>
      <w:r w:rsidR="00F940CF">
        <w:t xml:space="preserve"> evaluations are usually undertaken after completion or during the later stages of a program, while formative</w:t>
      </w:r>
      <w:r w:rsidR="00FF2208">
        <w:t xml:space="preserve"> or </w:t>
      </w:r>
      <w:r w:rsidR="00672BC1">
        <w:t>‘</w:t>
      </w:r>
      <w:r w:rsidR="00FF2208">
        <w:t>process</w:t>
      </w:r>
      <w:r w:rsidR="00672BC1">
        <w:t>’</w:t>
      </w:r>
      <w:r w:rsidR="00FF2208">
        <w:t xml:space="preserve"> </w:t>
      </w:r>
      <w:r w:rsidR="00F940CF">
        <w:t>evaluations are usually conducted during the implementation stage.)</w:t>
      </w:r>
      <w:r w:rsidR="00FF2208">
        <w:t xml:space="preserve"> Several participants argued that, although t</w:t>
      </w:r>
      <w:r w:rsidR="00FF2208" w:rsidRPr="00FF2208">
        <w:t>echnical challenges c</w:t>
      </w:r>
      <w:r w:rsidR="00C03DCA">
        <w:t>an</w:t>
      </w:r>
      <w:r w:rsidR="00FF2208" w:rsidRPr="00FF2208">
        <w:t xml:space="preserve"> generally be overcome with sufficient planning and resources, program evaluation alone </w:t>
      </w:r>
      <w:r w:rsidR="00C03DCA" w:rsidRPr="00FF2208">
        <w:t>c</w:t>
      </w:r>
      <w:r w:rsidR="00C03DCA">
        <w:t>an</w:t>
      </w:r>
      <w:r w:rsidR="00FF2208" w:rsidRPr="00FF2208">
        <w:t>not resolve broader system issues</w:t>
      </w:r>
      <w:r w:rsidR="00FF2208">
        <w:t xml:space="preserve"> (see </w:t>
      </w:r>
      <w:r w:rsidR="003D4FE6">
        <w:t xml:space="preserve">the </w:t>
      </w:r>
      <w:r w:rsidR="00FF2208">
        <w:t>section below on ‘</w:t>
      </w:r>
      <w:r w:rsidR="00FF2208" w:rsidRPr="00FF2208">
        <w:t>Evaluation and broader Indigenous policy</w:t>
      </w:r>
      <w:r w:rsidR="00FF2208">
        <w:t>’)</w:t>
      </w:r>
      <w:r w:rsidR="00FF2208" w:rsidRPr="00FF2208">
        <w:t>.</w:t>
      </w:r>
    </w:p>
    <w:p w:rsidR="00CE241D" w:rsidRDefault="00CE241D" w:rsidP="001B48C3">
      <w:pPr>
        <w:pStyle w:val="BodyText"/>
      </w:pPr>
      <w:r w:rsidRPr="00CE241D">
        <w:t xml:space="preserve">Some participants noted that, although much Indigenous policy focuses on people living in remote areas, there are also genuine issues for Indigenous people living in urban areas, which may require a different approach to evaluation. Similarly, evaluation often focuses on Indigenous-specific programs, ignoring the </w:t>
      </w:r>
      <w:r w:rsidR="00536A50">
        <w:t xml:space="preserve">significance of </w:t>
      </w:r>
      <w:r w:rsidRPr="00CE241D">
        <w:t>mainstream services provided to Indigenous Australians.</w:t>
      </w:r>
    </w:p>
    <w:p w:rsidR="008365A8" w:rsidRDefault="008365A8" w:rsidP="00CB148D">
      <w:pPr>
        <w:pStyle w:val="Heading3"/>
      </w:pPr>
      <w:r>
        <w:t>Institutionalising better evaluation practices</w:t>
      </w:r>
      <w:r w:rsidR="003337D5">
        <w:t xml:space="preserve"> and use of evidence</w:t>
      </w:r>
    </w:p>
    <w:p w:rsidR="00782661" w:rsidRPr="00782661" w:rsidRDefault="00C32F70" w:rsidP="00CB148D">
      <w:pPr>
        <w:pStyle w:val="BodyText"/>
        <w:keepNext/>
        <w:jc w:val="center"/>
        <w:rPr>
          <w:i/>
        </w:rPr>
      </w:pPr>
      <w:r>
        <w:rPr>
          <w:i/>
        </w:rPr>
        <w:t>‘</w:t>
      </w:r>
      <w:r w:rsidR="00A954EE">
        <w:rPr>
          <w:i/>
        </w:rPr>
        <w:t>A</w:t>
      </w:r>
      <w:r w:rsidR="00782661" w:rsidRPr="00782661">
        <w:rPr>
          <w:i/>
        </w:rPr>
        <w:t xml:space="preserve"> </w:t>
      </w:r>
      <w:r w:rsidR="00F940CF">
        <w:rPr>
          <w:i/>
        </w:rPr>
        <w:t>litany</w:t>
      </w:r>
      <w:r w:rsidR="00782661" w:rsidRPr="00782661">
        <w:rPr>
          <w:i/>
        </w:rPr>
        <w:t xml:space="preserve"> of poor policies being recycled</w:t>
      </w:r>
      <w:r w:rsidR="00A954EE">
        <w:rPr>
          <w:i/>
        </w:rPr>
        <w:t>.</w:t>
      </w:r>
      <w:r>
        <w:rPr>
          <w:i/>
        </w:rPr>
        <w:t>’</w:t>
      </w:r>
    </w:p>
    <w:p w:rsidR="0007706A" w:rsidRDefault="00CC6857" w:rsidP="00741C7F">
      <w:pPr>
        <w:pStyle w:val="Heading4"/>
      </w:pPr>
      <w:r>
        <w:t>Relevant chapters</w:t>
      </w:r>
    </w:p>
    <w:p w:rsidR="00CC6857" w:rsidRDefault="00CC6857" w:rsidP="00CC6857">
      <w:pPr>
        <w:pStyle w:val="ListBullet"/>
      </w:pPr>
      <w:r w:rsidRPr="004C75D0">
        <w:rPr>
          <w:b/>
        </w:rPr>
        <w:t>Deborah Cobb-Clark</w:t>
      </w:r>
      <w:r>
        <w:t xml:space="preserve"> (</w:t>
      </w:r>
      <w:r w:rsidR="00572195" w:rsidRPr="00423D6A">
        <w:t>Chapter</w:t>
      </w:r>
      <w:r w:rsidRPr="00423D6A">
        <w:t xml:space="preserve"> </w:t>
      </w:r>
      <w:r w:rsidR="00536A50" w:rsidRPr="00423D6A">
        <w:t>5</w:t>
      </w:r>
      <w:r>
        <w:t>)</w:t>
      </w:r>
      <w:r w:rsidRPr="004C75D0">
        <w:rPr>
          <w:color w:val="FF0000"/>
        </w:rPr>
        <w:t xml:space="preserve"> </w:t>
      </w:r>
      <w:r w:rsidRPr="00C40CA7">
        <w:t xml:space="preserve">noted the need to </w:t>
      </w:r>
      <w:r w:rsidR="0021258A">
        <w:t xml:space="preserve">include </w:t>
      </w:r>
      <w:r w:rsidRPr="00C40CA7">
        <w:t xml:space="preserve">evaluation plans </w:t>
      </w:r>
      <w:r w:rsidR="0021258A">
        <w:t xml:space="preserve">and funding for </w:t>
      </w:r>
      <w:r w:rsidR="00247495">
        <w:t>evaluation</w:t>
      </w:r>
      <w:r w:rsidR="0021258A">
        <w:t xml:space="preserve"> </w:t>
      </w:r>
      <w:r w:rsidRPr="00C40CA7">
        <w:t xml:space="preserve">in the design of programs, a practice that </w:t>
      </w:r>
      <w:r w:rsidR="007B7FE2">
        <w:t>should be</w:t>
      </w:r>
      <w:r w:rsidRPr="00C40CA7">
        <w:t xml:space="preserve"> regarded as ‘a serious part of the </w:t>
      </w:r>
      <w:r w:rsidR="008756FF">
        <w:t xml:space="preserve">policy </w:t>
      </w:r>
      <w:r w:rsidRPr="00C40CA7">
        <w:t xml:space="preserve">process’. She also commented </w:t>
      </w:r>
      <w:r>
        <w:t xml:space="preserve">on the desirability of involving academics and academic publications to improve rigour, as the peer review and independent publication process acts as critical quality assurance. </w:t>
      </w:r>
      <w:r w:rsidRPr="00C40CA7">
        <w:t xml:space="preserve">She </w:t>
      </w:r>
      <w:r>
        <w:t>argued strongly that evaluations of public policy should be made public</w:t>
      </w:r>
      <w:r w:rsidR="004C75D0">
        <w:t xml:space="preserve">, </w:t>
      </w:r>
      <w:r w:rsidR="007B7FE2">
        <w:t xml:space="preserve">pointing to the value of </w:t>
      </w:r>
      <w:r w:rsidRPr="0087258B">
        <w:t>clinical trials registries in medical research</w:t>
      </w:r>
      <w:r>
        <w:t xml:space="preserve">. </w:t>
      </w:r>
    </w:p>
    <w:p w:rsidR="00384356" w:rsidRPr="00384356" w:rsidRDefault="00384356" w:rsidP="00531C25">
      <w:pPr>
        <w:pStyle w:val="ListBullet"/>
      </w:pPr>
      <w:r>
        <w:rPr>
          <w:b/>
        </w:rPr>
        <w:lastRenderedPageBreak/>
        <w:t xml:space="preserve">Jody Broun </w:t>
      </w:r>
      <w:r w:rsidRPr="00112160">
        <w:t>(</w:t>
      </w:r>
      <w:r>
        <w:t>Chapter 6</w:t>
      </w:r>
      <w:r w:rsidRPr="00112160">
        <w:t xml:space="preserve">) </w:t>
      </w:r>
      <w:r>
        <w:t>discussed the role of the National Congress of Australia’s First Peoples as</w:t>
      </w:r>
      <w:r w:rsidRPr="00112160">
        <w:t xml:space="preserve"> an important mechanism </w:t>
      </w:r>
      <w:r>
        <w:t>for</w:t>
      </w:r>
      <w:r w:rsidRPr="00112160">
        <w:t xml:space="preserve"> hold</w:t>
      </w:r>
      <w:r>
        <w:t xml:space="preserve">ing governments to </w:t>
      </w:r>
      <w:r w:rsidRPr="00112160">
        <w:t xml:space="preserve">account for </w:t>
      </w:r>
      <w:r>
        <w:t xml:space="preserve">the </w:t>
      </w:r>
      <w:r w:rsidRPr="00112160">
        <w:t xml:space="preserve">delivery </w:t>
      </w:r>
      <w:r>
        <w:t xml:space="preserve">of services </w:t>
      </w:r>
      <w:r w:rsidRPr="00112160">
        <w:t>to individuals and communities</w:t>
      </w:r>
      <w:r>
        <w:t xml:space="preserve">, including by </w:t>
      </w:r>
      <w:r w:rsidRPr="00112160">
        <w:t xml:space="preserve">ensuring </w:t>
      </w:r>
      <w:r>
        <w:t xml:space="preserve">that </w:t>
      </w:r>
      <w:r w:rsidRPr="00112160">
        <w:t xml:space="preserve">adequate monitoring and evaluation processes </w:t>
      </w:r>
      <w:r>
        <w:t xml:space="preserve">are </w:t>
      </w:r>
      <w:r w:rsidRPr="00112160">
        <w:t>in place.</w:t>
      </w:r>
    </w:p>
    <w:p w:rsidR="00531C25" w:rsidRPr="004C75D0" w:rsidRDefault="00531C25" w:rsidP="00531C25">
      <w:pPr>
        <w:pStyle w:val="ListBullet"/>
      </w:pPr>
      <w:r>
        <w:rPr>
          <w:b/>
        </w:rPr>
        <w:t xml:space="preserve">Matthew James </w:t>
      </w:r>
      <w:r>
        <w:t>(</w:t>
      </w:r>
      <w:r w:rsidR="00572195" w:rsidRPr="00423D6A">
        <w:t xml:space="preserve">Chapter </w:t>
      </w:r>
      <w:r w:rsidR="00CC73DE">
        <w:t>7</w:t>
      </w:r>
      <w:r>
        <w:t>) noted that within the public policy sphere there is often a desire to ‘just get on with it’, but argued that this was counterproductive — programs and policies are developed and implemented not for their own sake, but to improve outcomes. Evaluation is the key to understanding whether outcomes are being achieved and to improving policies and programs over time.</w:t>
      </w:r>
    </w:p>
    <w:p w:rsidR="004C75D0" w:rsidRDefault="004C75D0" w:rsidP="00430882">
      <w:pPr>
        <w:pStyle w:val="ListBullet"/>
      </w:pPr>
      <w:r>
        <w:rPr>
          <w:b/>
        </w:rPr>
        <w:t xml:space="preserve">David </w:t>
      </w:r>
      <w:proofErr w:type="spellStart"/>
      <w:r>
        <w:rPr>
          <w:b/>
        </w:rPr>
        <w:t>Kalisch</w:t>
      </w:r>
      <w:proofErr w:type="spellEnd"/>
      <w:r>
        <w:rPr>
          <w:b/>
        </w:rPr>
        <w:t xml:space="preserve"> </w:t>
      </w:r>
      <w:r w:rsidRPr="004C75D0">
        <w:t>(</w:t>
      </w:r>
      <w:r w:rsidR="00572195" w:rsidRPr="00423D6A">
        <w:t xml:space="preserve">Chapter </w:t>
      </w:r>
      <w:r w:rsidR="00CC73DE">
        <w:t>9</w:t>
      </w:r>
      <w:r w:rsidRPr="004C75D0">
        <w:t xml:space="preserve">) </w:t>
      </w:r>
      <w:r w:rsidR="00D05103" w:rsidRPr="00D05103">
        <w:t xml:space="preserve">discussed the </w:t>
      </w:r>
      <w:r w:rsidR="0021258A">
        <w:t xml:space="preserve">Australian Institute of Health and Welfare’s </w:t>
      </w:r>
      <w:r w:rsidR="00D05103" w:rsidRPr="00D05103">
        <w:t>work on Indigenous health and welfare information</w:t>
      </w:r>
      <w:r w:rsidR="00964FE7">
        <w:t>,</w:t>
      </w:r>
      <w:r w:rsidR="0038322A">
        <w:t xml:space="preserve"> </w:t>
      </w:r>
      <w:r w:rsidR="00D63315">
        <w:t>and the institute’s role in</w:t>
      </w:r>
      <w:r w:rsidR="0038322A">
        <w:t xml:space="preserve"> the </w:t>
      </w:r>
      <w:r w:rsidR="00D05103" w:rsidRPr="00D05103">
        <w:t xml:space="preserve">work of the Closing the Gap Clearinghouse. </w:t>
      </w:r>
      <w:r w:rsidR="00D05103">
        <w:t xml:space="preserve">He </w:t>
      </w:r>
      <w:r w:rsidR="0038322A">
        <w:t>acknowledged</w:t>
      </w:r>
      <w:r w:rsidR="00D05103">
        <w:t xml:space="preserve"> </w:t>
      </w:r>
      <w:r w:rsidR="00D05103" w:rsidRPr="00D05103">
        <w:t xml:space="preserve">the </w:t>
      </w:r>
      <w:r w:rsidR="0038322A">
        <w:t xml:space="preserve">lack of evaluations in many areas, noting that the </w:t>
      </w:r>
      <w:r w:rsidR="00D05103" w:rsidRPr="00D05103">
        <w:t>cost of evaluations is often not built into program budgets and timetables</w:t>
      </w:r>
      <w:r w:rsidR="00D05103">
        <w:t xml:space="preserve">, </w:t>
      </w:r>
      <w:r w:rsidR="0021258A">
        <w:t xml:space="preserve">with the </w:t>
      </w:r>
      <w:r w:rsidR="00D05103" w:rsidRPr="00D05103">
        <w:t xml:space="preserve">result </w:t>
      </w:r>
      <w:r w:rsidR="0021258A">
        <w:t xml:space="preserve">that </w:t>
      </w:r>
      <w:r w:rsidR="00D05103" w:rsidRPr="00D05103">
        <w:t xml:space="preserve">many programs or interventions </w:t>
      </w:r>
      <w:r w:rsidR="0021258A">
        <w:t xml:space="preserve">have </w:t>
      </w:r>
      <w:r w:rsidR="00D05103" w:rsidRPr="00D05103">
        <w:t>low</w:t>
      </w:r>
      <w:r w:rsidR="00247495">
        <w:t>-</w:t>
      </w:r>
      <w:r w:rsidR="00D05103">
        <w:t xml:space="preserve">cost, partial or no evaluations. </w:t>
      </w:r>
      <w:r w:rsidR="0038322A">
        <w:t xml:space="preserve">He also noted </w:t>
      </w:r>
      <w:r w:rsidR="00247495">
        <w:t xml:space="preserve">that gaining </w:t>
      </w:r>
      <w:r w:rsidR="0038322A" w:rsidRPr="0038322A">
        <w:t>access to evaluations</w:t>
      </w:r>
      <w:r w:rsidR="00247495">
        <w:t xml:space="preserve"> can be challenging</w:t>
      </w:r>
      <w:r w:rsidR="00D63315">
        <w:t xml:space="preserve">; </w:t>
      </w:r>
      <w:r w:rsidR="0038322A" w:rsidRPr="0038322A">
        <w:t xml:space="preserve">only 30 per cent of </w:t>
      </w:r>
      <w:r w:rsidR="00247495">
        <w:t xml:space="preserve">the </w:t>
      </w:r>
      <w:r w:rsidR="0038322A" w:rsidRPr="0038322A">
        <w:t xml:space="preserve">evaluations listed on the Clearinghouse </w:t>
      </w:r>
      <w:r w:rsidR="0038322A">
        <w:t>r</w:t>
      </w:r>
      <w:r w:rsidR="0038322A" w:rsidRPr="0038322A">
        <w:t>egister of government</w:t>
      </w:r>
      <w:r w:rsidR="00247495">
        <w:t>-</w:t>
      </w:r>
      <w:r w:rsidR="0038322A" w:rsidRPr="0038322A">
        <w:t xml:space="preserve">commissioned research </w:t>
      </w:r>
      <w:r w:rsidR="00247495">
        <w:t xml:space="preserve">are </w:t>
      </w:r>
      <w:r w:rsidR="0038322A">
        <w:t xml:space="preserve">released </w:t>
      </w:r>
      <w:r w:rsidR="0038322A" w:rsidRPr="0038322A">
        <w:t xml:space="preserve">publicly. </w:t>
      </w:r>
      <w:r w:rsidR="00430882" w:rsidRPr="00430882">
        <w:t>This</w:t>
      </w:r>
      <w:r w:rsidR="00C03DCA">
        <w:t xml:space="preserve"> potentially</w:t>
      </w:r>
      <w:r w:rsidR="00430882" w:rsidRPr="00430882">
        <w:t xml:space="preserve"> </w:t>
      </w:r>
      <w:r w:rsidR="00430882">
        <w:t xml:space="preserve">creates </w:t>
      </w:r>
      <w:r w:rsidR="00430882" w:rsidRPr="00430882">
        <w:t>a publication bias</w:t>
      </w:r>
      <w:r w:rsidR="00247495">
        <w:t xml:space="preserve">, </w:t>
      </w:r>
      <w:r w:rsidR="00D63315">
        <w:t>if</w:t>
      </w:r>
      <w:r w:rsidR="00430882">
        <w:t xml:space="preserve"> </w:t>
      </w:r>
      <w:r w:rsidR="00430882" w:rsidRPr="00430882">
        <w:t xml:space="preserve">only </w:t>
      </w:r>
      <w:r w:rsidR="00247495">
        <w:t xml:space="preserve">studies that have </w:t>
      </w:r>
      <w:r w:rsidR="00430882" w:rsidRPr="00430882">
        <w:t xml:space="preserve">positive </w:t>
      </w:r>
      <w:r w:rsidR="00247495">
        <w:t>findings or</w:t>
      </w:r>
      <w:r w:rsidR="00430882" w:rsidRPr="00430882">
        <w:t xml:space="preserve"> </w:t>
      </w:r>
      <w:r w:rsidR="00430882">
        <w:t xml:space="preserve">accord with the funder’s views </w:t>
      </w:r>
      <w:r w:rsidR="00247495">
        <w:t>are</w:t>
      </w:r>
      <w:r w:rsidR="00247495" w:rsidRPr="00430882">
        <w:t xml:space="preserve"> </w:t>
      </w:r>
      <w:r w:rsidR="00430882" w:rsidRPr="00430882">
        <w:t>released.</w:t>
      </w:r>
    </w:p>
    <w:p w:rsidR="00531C25" w:rsidRPr="002C6A5B" w:rsidRDefault="00531C25" w:rsidP="00531C25">
      <w:pPr>
        <w:pStyle w:val="ListBullet"/>
      </w:pPr>
      <w:r>
        <w:rPr>
          <w:b/>
        </w:rPr>
        <w:t xml:space="preserve">Helen </w:t>
      </w:r>
      <w:proofErr w:type="spellStart"/>
      <w:r>
        <w:rPr>
          <w:b/>
        </w:rPr>
        <w:t>Moewaka</w:t>
      </w:r>
      <w:proofErr w:type="spellEnd"/>
      <w:r>
        <w:rPr>
          <w:b/>
        </w:rPr>
        <w:t xml:space="preserve"> Barnes </w:t>
      </w:r>
      <w:r w:rsidRPr="002C6A5B">
        <w:t>(</w:t>
      </w:r>
      <w:r w:rsidR="00572195" w:rsidRPr="00423D6A">
        <w:t xml:space="preserve">Chapter </w:t>
      </w:r>
      <w:r w:rsidR="00CC73DE">
        <w:t>10</w:t>
      </w:r>
      <w:r w:rsidRPr="002C6A5B">
        <w:t xml:space="preserve">) </w:t>
      </w:r>
      <w:r>
        <w:t xml:space="preserve">discussed </w:t>
      </w:r>
      <w:r w:rsidRPr="002C6A5B">
        <w:t xml:space="preserve">Maori evaluation </w:t>
      </w:r>
      <w:r>
        <w:t xml:space="preserve">approaches </w:t>
      </w:r>
      <w:r w:rsidRPr="002C6A5B">
        <w:t>developed in parallel with Maori models of wellbeing.</w:t>
      </w:r>
      <w:r>
        <w:t xml:space="preserve"> She noted that </w:t>
      </w:r>
      <w:r w:rsidRPr="0020613A">
        <w:t>the effective application of a range of Maori theory and practice frameworks contributed to Maori engagement</w:t>
      </w:r>
      <w:r w:rsidR="00E91892">
        <w:t xml:space="preserve"> with and</w:t>
      </w:r>
      <w:r w:rsidRPr="0020613A">
        <w:t xml:space="preserve"> acceptance and use of evaluation</w:t>
      </w:r>
      <w:r>
        <w:t xml:space="preserve">. </w:t>
      </w:r>
    </w:p>
    <w:p w:rsidR="008333EF" w:rsidRDefault="008333EF" w:rsidP="008333EF">
      <w:pPr>
        <w:pStyle w:val="ListBullet"/>
      </w:pPr>
      <w:r w:rsidRPr="008333EF">
        <w:rPr>
          <w:b/>
        </w:rPr>
        <w:t>Frances Abele</w:t>
      </w:r>
      <w:r>
        <w:t xml:space="preserve"> (</w:t>
      </w:r>
      <w:r w:rsidR="00572195" w:rsidRPr="00423D6A">
        <w:t>Chapter</w:t>
      </w:r>
      <w:r w:rsidRPr="00423D6A">
        <w:t xml:space="preserve"> </w:t>
      </w:r>
      <w:r w:rsidR="00CC73DE">
        <w:t>11</w:t>
      </w:r>
      <w:r>
        <w:t>)</w:t>
      </w:r>
      <w:r>
        <w:rPr>
          <w:color w:val="FF0000"/>
        </w:rPr>
        <w:t xml:space="preserve"> </w:t>
      </w:r>
      <w:r w:rsidRPr="00C40CA7">
        <w:t xml:space="preserve">noted that, in Canada, program evaluation is an integral, mandatory function in all departments of the federal government, and established, extensive and comprehensive evaluation systems and policies </w:t>
      </w:r>
      <w:r w:rsidR="0021258A">
        <w:t xml:space="preserve">are </w:t>
      </w:r>
      <w:r w:rsidRPr="00C40CA7">
        <w:t xml:space="preserve">in operation. In addition, the </w:t>
      </w:r>
      <w:r w:rsidR="00247495">
        <w:t xml:space="preserve">Canadian </w:t>
      </w:r>
      <w:r w:rsidRPr="00C40CA7">
        <w:t>Office of the Auditor</w:t>
      </w:r>
      <w:r w:rsidR="00572195">
        <w:t>-</w:t>
      </w:r>
      <w:r w:rsidRPr="00C40CA7">
        <w:t xml:space="preserve">General </w:t>
      </w:r>
      <w:r w:rsidR="00D63315">
        <w:t xml:space="preserve">can analyse </w:t>
      </w:r>
      <w:r w:rsidRPr="00C40CA7">
        <w:t xml:space="preserve">public </w:t>
      </w:r>
      <w:r w:rsidR="00D63315" w:rsidRPr="00C40CA7">
        <w:t xml:space="preserve">expenditure </w:t>
      </w:r>
      <w:r w:rsidR="000E41E3">
        <w:t>and provide commentary on policy implementation</w:t>
      </w:r>
      <w:r w:rsidR="00D63315" w:rsidRPr="00D63315">
        <w:t xml:space="preserve"> </w:t>
      </w:r>
      <w:r w:rsidR="00D63315">
        <w:t>(although usually on a thematic basis, rather than program by program)</w:t>
      </w:r>
      <w:r w:rsidR="000E41E3">
        <w:t xml:space="preserve">. Royal </w:t>
      </w:r>
      <w:r w:rsidR="0021258A">
        <w:t>c</w:t>
      </w:r>
      <w:r w:rsidR="000E41E3">
        <w:t>ommissions have also played a role in large</w:t>
      </w:r>
      <w:r w:rsidR="0074335B">
        <w:t>-</w:t>
      </w:r>
      <w:r w:rsidR="000E41E3">
        <w:t>scale policy evaluations.</w:t>
      </w:r>
    </w:p>
    <w:p w:rsidR="00112160" w:rsidRDefault="00E50927" w:rsidP="00384356">
      <w:pPr>
        <w:pStyle w:val="ListBullet"/>
      </w:pPr>
      <w:r w:rsidRPr="00C40CA7">
        <w:rPr>
          <w:b/>
        </w:rPr>
        <w:t>Brian Gleeson</w:t>
      </w:r>
      <w:r>
        <w:t xml:space="preserve"> </w:t>
      </w:r>
      <w:r w:rsidR="00C40CA7">
        <w:t>(</w:t>
      </w:r>
      <w:r w:rsidR="00572195" w:rsidRPr="00423D6A">
        <w:t>Chapter</w:t>
      </w:r>
      <w:r w:rsidR="00C40CA7" w:rsidRPr="00423D6A">
        <w:t xml:space="preserve"> </w:t>
      </w:r>
      <w:r w:rsidR="00CC73DE">
        <w:t>13</w:t>
      </w:r>
      <w:r w:rsidR="00C40CA7">
        <w:t xml:space="preserve">) discussed how </w:t>
      </w:r>
      <w:r w:rsidRPr="001D7DB2">
        <w:t xml:space="preserve">evaluation findings and evidence were </w:t>
      </w:r>
      <w:r w:rsidR="00C40CA7">
        <w:t xml:space="preserve">(or were not) </w:t>
      </w:r>
      <w:r w:rsidRPr="001D7DB2">
        <w:t xml:space="preserve">embedded in the </w:t>
      </w:r>
      <w:r w:rsidR="00C40CA7" w:rsidRPr="001D7DB2">
        <w:t xml:space="preserve">approach </w:t>
      </w:r>
      <w:r w:rsidR="00C40CA7">
        <w:t xml:space="preserve">of the </w:t>
      </w:r>
      <w:r w:rsidR="0051598B">
        <w:t xml:space="preserve">National Partnership Agreement on </w:t>
      </w:r>
      <w:r w:rsidRPr="001D7DB2">
        <w:t>Remote Service Delivery</w:t>
      </w:r>
      <w:r>
        <w:t>. He noted that</w:t>
      </w:r>
      <w:r w:rsidR="00C40CA7">
        <w:t xml:space="preserve"> </w:t>
      </w:r>
      <w:r w:rsidR="00C40CA7" w:rsidRPr="001D7DB2">
        <w:t>previous interventions and experiences of place</w:t>
      </w:r>
      <w:r w:rsidR="005711CB">
        <w:t>-</w:t>
      </w:r>
      <w:r w:rsidR="00C40CA7" w:rsidRPr="001D7DB2">
        <w:t>based and community</w:t>
      </w:r>
      <w:r w:rsidR="005711CB">
        <w:t>-</w:t>
      </w:r>
      <w:r w:rsidR="00C40CA7" w:rsidRPr="001D7DB2">
        <w:t>strengthening approaches for remote comm</w:t>
      </w:r>
      <w:r w:rsidR="00C40CA7">
        <w:t xml:space="preserve">unities had </w:t>
      </w:r>
      <w:r w:rsidR="007B7FE2">
        <w:t>provided</w:t>
      </w:r>
      <w:r>
        <w:t xml:space="preserve"> evidence </w:t>
      </w:r>
      <w:r w:rsidR="00C40CA7">
        <w:t xml:space="preserve">of </w:t>
      </w:r>
      <w:r w:rsidR="00247495">
        <w:t>‘</w:t>
      </w:r>
      <w:r w:rsidR="00C40CA7">
        <w:t>what works</w:t>
      </w:r>
      <w:r w:rsidR="00247495">
        <w:t>’</w:t>
      </w:r>
      <w:r w:rsidRPr="001D7DB2">
        <w:t xml:space="preserve">. </w:t>
      </w:r>
      <w:r>
        <w:t xml:space="preserve">However, while </w:t>
      </w:r>
      <w:r w:rsidRPr="001D7DB2">
        <w:t xml:space="preserve">some lessons </w:t>
      </w:r>
      <w:r w:rsidR="00C40CA7">
        <w:t>have been</w:t>
      </w:r>
      <w:r w:rsidRPr="001D7DB2">
        <w:t xml:space="preserve"> firmly embraced</w:t>
      </w:r>
      <w:r>
        <w:t>,</w:t>
      </w:r>
      <w:r w:rsidRPr="001D7DB2">
        <w:t xml:space="preserve"> others have been left to languish</w:t>
      </w:r>
      <w:r>
        <w:t xml:space="preserve">. </w:t>
      </w:r>
      <w:r w:rsidR="00D05103">
        <w:t xml:space="preserve">He also emphasised that </w:t>
      </w:r>
      <w:r w:rsidR="00D05103" w:rsidRPr="00D05103">
        <w:t>institutionalising better evaluation practices necessarily means providing meaningful feedback on evaluation fin</w:t>
      </w:r>
      <w:r w:rsidR="00D05103">
        <w:t xml:space="preserve">dings to Indigenous communities. </w:t>
      </w:r>
    </w:p>
    <w:p w:rsidR="00C40CA7" w:rsidRDefault="00C40CA7" w:rsidP="00741C7F">
      <w:pPr>
        <w:pStyle w:val="Heading4"/>
      </w:pPr>
      <w:r>
        <w:lastRenderedPageBreak/>
        <w:t>Discussion</w:t>
      </w:r>
    </w:p>
    <w:p w:rsidR="00EE6D29" w:rsidRDefault="00D05103" w:rsidP="00EE6D29">
      <w:pPr>
        <w:pStyle w:val="BodyText"/>
      </w:pPr>
      <w:r>
        <w:t>Participants</w:t>
      </w:r>
      <w:r w:rsidR="00EE6D29">
        <w:t xml:space="preserve"> agreed that, as in social policy more generally, there is a lack of rigorous impact evaluation</w:t>
      </w:r>
      <w:r>
        <w:t xml:space="preserve"> of </w:t>
      </w:r>
      <w:r w:rsidR="00D949F9">
        <w:t xml:space="preserve">Australian </w:t>
      </w:r>
      <w:r>
        <w:t>Indigenous policies and programs</w:t>
      </w:r>
      <w:r w:rsidR="00EE6D29">
        <w:t xml:space="preserve">. </w:t>
      </w:r>
      <w:r w:rsidR="005711CB">
        <w:t xml:space="preserve">Significant </w:t>
      </w:r>
      <w:r w:rsidR="00EE6D29">
        <w:t xml:space="preserve">gaps </w:t>
      </w:r>
      <w:r w:rsidR="005711CB">
        <w:t xml:space="preserve">exist </w:t>
      </w:r>
      <w:r w:rsidR="00EE6D29">
        <w:t>in the Australian evidence base</w:t>
      </w:r>
      <w:r w:rsidR="0027300D">
        <w:t>,</w:t>
      </w:r>
      <w:r w:rsidR="00EE6D29">
        <w:t xml:space="preserve"> due </w:t>
      </w:r>
      <w:r>
        <w:t>to lack of mandated evaluations</w:t>
      </w:r>
      <w:r w:rsidR="00EE6D29">
        <w:t>.</w:t>
      </w:r>
      <w:r>
        <w:t xml:space="preserve"> </w:t>
      </w:r>
      <w:r w:rsidR="00396EA7">
        <w:t>E</w:t>
      </w:r>
      <w:r w:rsidR="00EE6D29">
        <w:t xml:space="preserve">valuation of social policies and programs </w:t>
      </w:r>
      <w:r w:rsidR="0027300D">
        <w:t>i</w:t>
      </w:r>
      <w:r>
        <w:t xml:space="preserve">s </w:t>
      </w:r>
      <w:r w:rsidR="00EE6D29">
        <w:t xml:space="preserve">more common in </w:t>
      </w:r>
      <w:r w:rsidR="000E41E3">
        <w:t>the United States</w:t>
      </w:r>
      <w:r w:rsidR="00EE6D29">
        <w:t xml:space="preserve">, where rigorous evaluation has been incorporated in legislation as a condition of federal funding to the states. </w:t>
      </w:r>
    </w:p>
    <w:p w:rsidR="00295D86" w:rsidRDefault="00295D86" w:rsidP="00EE6D29">
      <w:pPr>
        <w:pStyle w:val="BodyText"/>
      </w:pPr>
      <w:r>
        <w:t>Several participants noted a</w:t>
      </w:r>
      <w:r w:rsidRPr="00295D86">
        <w:t xml:space="preserve"> lack of basic information </w:t>
      </w:r>
      <w:r w:rsidR="00FF433F">
        <w:t>about</w:t>
      </w:r>
      <w:r w:rsidRPr="00295D86">
        <w:t xml:space="preserve"> </w:t>
      </w:r>
      <w:r w:rsidR="0027300D">
        <w:t>how many</w:t>
      </w:r>
      <w:r w:rsidRPr="00295D86">
        <w:t xml:space="preserve"> </w:t>
      </w:r>
      <w:r w:rsidR="00D63315" w:rsidRPr="00295D86">
        <w:t>local, state and territory</w:t>
      </w:r>
      <w:r w:rsidR="00D63315">
        <w:t>,</w:t>
      </w:r>
      <w:r w:rsidR="00D63315" w:rsidRPr="00295D86">
        <w:t xml:space="preserve"> and federal </w:t>
      </w:r>
      <w:r w:rsidRPr="00295D86">
        <w:t xml:space="preserve">programs </w:t>
      </w:r>
      <w:r w:rsidR="0027300D">
        <w:t xml:space="preserve">are </w:t>
      </w:r>
      <w:r w:rsidRPr="00295D86">
        <w:t xml:space="preserve">operating </w:t>
      </w:r>
      <w:r w:rsidR="005711CB">
        <w:t>in communities</w:t>
      </w:r>
      <w:r w:rsidR="00FF433F">
        <w:t xml:space="preserve">. It was therefore not surprising that there was also a lack of evaluation of the impact of these programs. </w:t>
      </w:r>
      <w:r w:rsidRPr="00295D86">
        <w:t xml:space="preserve">It was suggested that </w:t>
      </w:r>
      <w:r w:rsidR="00FF433F">
        <w:t xml:space="preserve">a good starting point would be </w:t>
      </w:r>
      <w:r w:rsidRPr="00295D86">
        <w:t>a complete register of programs</w:t>
      </w:r>
      <w:r w:rsidR="00FF433F">
        <w:t>,</w:t>
      </w:r>
      <w:r w:rsidRPr="00295D86">
        <w:t xml:space="preserve"> to </w:t>
      </w:r>
      <w:r w:rsidR="00CE241D">
        <w:t>provide</w:t>
      </w:r>
      <w:r w:rsidRPr="00295D86">
        <w:t xml:space="preserve"> a holistic picture of what </w:t>
      </w:r>
      <w:r w:rsidR="0027300D">
        <w:t>i</w:t>
      </w:r>
      <w:r w:rsidR="0051598B">
        <w:t xml:space="preserve">s </w:t>
      </w:r>
      <w:r w:rsidRPr="00295D86">
        <w:t xml:space="preserve">going on in </w:t>
      </w:r>
      <w:r w:rsidR="0027300D">
        <w:t>a</w:t>
      </w:r>
      <w:r w:rsidRPr="00295D86">
        <w:t xml:space="preserve"> community</w:t>
      </w:r>
      <w:r>
        <w:t>.</w:t>
      </w:r>
    </w:p>
    <w:p w:rsidR="00EE6D29" w:rsidRDefault="005711CB" w:rsidP="00D05103">
      <w:pPr>
        <w:pStyle w:val="BodyText"/>
      </w:pPr>
      <w:r>
        <w:t xml:space="preserve">Several </w:t>
      </w:r>
      <w:r w:rsidR="001B48C3">
        <w:t>participants argued that</w:t>
      </w:r>
      <w:r w:rsidR="00D949F9">
        <w:t>, in at least some situations,</w:t>
      </w:r>
      <w:r w:rsidR="001B48C3">
        <w:t xml:space="preserve"> we </w:t>
      </w:r>
      <w:r w:rsidR="00D05103">
        <w:t xml:space="preserve">know </w:t>
      </w:r>
      <w:r w:rsidR="0027300D">
        <w:t>‘</w:t>
      </w:r>
      <w:r w:rsidR="00D05103">
        <w:t xml:space="preserve">what needs to be done’ </w:t>
      </w:r>
      <w:r w:rsidR="00D949F9">
        <w:t xml:space="preserve">but there is no mechanism to ensure </w:t>
      </w:r>
      <w:r w:rsidR="0027300D">
        <w:t xml:space="preserve">that </w:t>
      </w:r>
      <w:r w:rsidR="00D949F9">
        <w:t xml:space="preserve">policies and programs reflect </w:t>
      </w:r>
      <w:r w:rsidR="0027300D">
        <w:t>that knowledge</w:t>
      </w:r>
      <w:r w:rsidR="00D949F9">
        <w:t xml:space="preserve">. Relevant </w:t>
      </w:r>
      <w:r w:rsidR="006C411B">
        <w:t>available</w:t>
      </w:r>
      <w:r w:rsidR="00D949F9">
        <w:t xml:space="preserve"> research included </w:t>
      </w:r>
      <w:r w:rsidR="001B48C3">
        <w:t xml:space="preserve">the </w:t>
      </w:r>
      <w:proofErr w:type="spellStart"/>
      <w:r w:rsidR="001B48C3">
        <w:t>NTER</w:t>
      </w:r>
      <w:proofErr w:type="spellEnd"/>
      <w:r w:rsidR="001B48C3">
        <w:t xml:space="preserve"> evaluations (2008</w:t>
      </w:r>
      <w:r w:rsidR="00D949F9">
        <w:t>–</w:t>
      </w:r>
      <w:r w:rsidR="001B48C3">
        <w:t>12)</w:t>
      </w:r>
      <w:r w:rsidR="0027300D">
        <w:t>;</w:t>
      </w:r>
      <w:r w:rsidR="001B48C3">
        <w:t xml:space="preserve"> reports from the Coordinator</w:t>
      </w:r>
      <w:r w:rsidR="0051598B">
        <w:t>-</w:t>
      </w:r>
      <w:r w:rsidR="001B48C3">
        <w:t>General for Remote Indigenous Services (2009</w:t>
      </w:r>
      <w:r w:rsidR="00D949F9">
        <w:t>–</w:t>
      </w:r>
      <w:r w:rsidR="001B48C3">
        <w:t>12)</w:t>
      </w:r>
      <w:r w:rsidR="0027300D">
        <w:t>;</w:t>
      </w:r>
      <w:r w:rsidR="001B48C3">
        <w:t xml:space="preserve"> </w:t>
      </w:r>
      <w:r w:rsidR="00D949F9">
        <w:t xml:space="preserve">work by the </w:t>
      </w:r>
      <w:r w:rsidR="001B48C3">
        <w:t>COAG Closing the Gap Clearinghouse (2009</w:t>
      </w:r>
      <w:r w:rsidR="00D949F9">
        <w:t>–</w:t>
      </w:r>
      <w:r w:rsidR="0027300D">
        <w:t>present</w:t>
      </w:r>
      <w:r w:rsidR="001B48C3">
        <w:t>)</w:t>
      </w:r>
      <w:r w:rsidR="0027300D">
        <w:t>;</w:t>
      </w:r>
      <w:r w:rsidR="001B48C3">
        <w:t xml:space="preserve"> reviews of the COAG trials and Shared Responsibility Agreements (2002</w:t>
      </w:r>
      <w:r w:rsidR="00D949F9">
        <w:t>–</w:t>
      </w:r>
      <w:r w:rsidR="001B48C3">
        <w:t>07)</w:t>
      </w:r>
      <w:r w:rsidR="0027300D">
        <w:t>;</w:t>
      </w:r>
      <w:r w:rsidR="001B48C3">
        <w:t xml:space="preserve"> </w:t>
      </w:r>
      <w:r w:rsidR="00E55D8C">
        <w:t>Overcoming Indigenous Disadvantage</w:t>
      </w:r>
      <w:r w:rsidR="001B48C3">
        <w:t xml:space="preserve"> </w:t>
      </w:r>
      <w:r w:rsidR="000E41E3">
        <w:t>‘t</w:t>
      </w:r>
      <w:r w:rsidR="001B48C3">
        <w:t xml:space="preserve">hings </w:t>
      </w:r>
      <w:r w:rsidR="000E41E3">
        <w:t>t</w:t>
      </w:r>
      <w:r w:rsidR="001B48C3">
        <w:t xml:space="preserve">hat </w:t>
      </w:r>
      <w:r w:rsidR="000E41E3">
        <w:t>w</w:t>
      </w:r>
      <w:r w:rsidR="001B48C3">
        <w:t>ork</w:t>
      </w:r>
      <w:r w:rsidR="000E41E3">
        <w:t>’</w:t>
      </w:r>
      <w:r w:rsidR="001B48C3">
        <w:t xml:space="preserve"> (2005</w:t>
      </w:r>
      <w:r w:rsidR="00D949F9">
        <w:t>–</w:t>
      </w:r>
      <w:r w:rsidR="001B48C3">
        <w:t>11)</w:t>
      </w:r>
      <w:r w:rsidR="0027300D">
        <w:t>;</w:t>
      </w:r>
      <w:r w:rsidR="001B48C3">
        <w:t xml:space="preserve"> and the </w:t>
      </w:r>
      <w:r w:rsidR="00D949F9">
        <w:t xml:space="preserve">COAG </w:t>
      </w:r>
      <w:r w:rsidR="00EC4388">
        <w:t>s</w:t>
      </w:r>
      <w:r w:rsidR="00D949F9">
        <w:t xml:space="preserve">ervice </w:t>
      </w:r>
      <w:r w:rsidR="00EC4388">
        <w:t>d</w:t>
      </w:r>
      <w:r w:rsidR="00D949F9">
        <w:t>elivery principles (2004)</w:t>
      </w:r>
      <w:r w:rsidR="0027300D">
        <w:t xml:space="preserve"> that were</w:t>
      </w:r>
      <w:r w:rsidR="001B48C3">
        <w:t xml:space="preserve"> incorporated into the National Indigenous Reform Agreement</w:t>
      </w:r>
      <w:r w:rsidR="0027300D">
        <w:t xml:space="preserve"> (2008</w:t>
      </w:r>
      <w:r w:rsidR="001B48C3">
        <w:t>).</w:t>
      </w:r>
    </w:p>
    <w:p w:rsidR="006C411B" w:rsidRDefault="00CB148D" w:rsidP="00D05103">
      <w:pPr>
        <w:pStyle w:val="BodyText"/>
      </w:pPr>
      <w:r>
        <w:t xml:space="preserve">Participants discussed the difficulty of ensuring </w:t>
      </w:r>
      <w:r w:rsidR="005711CB">
        <w:t xml:space="preserve">that </w:t>
      </w:r>
      <w:r>
        <w:t>g</w:t>
      </w:r>
      <w:r w:rsidRPr="00CB148D">
        <w:t xml:space="preserve">ood program evaluations </w:t>
      </w:r>
      <w:r>
        <w:t>are</w:t>
      </w:r>
      <w:r w:rsidRPr="00CB148D">
        <w:t xml:space="preserve"> embedded in </w:t>
      </w:r>
      <w:r w:rsidR="00543EF7">
        <w:t xml:space="preserve">the </w:t>
      </w:r>
      <w:r w:rsidRPr="00CB148D">
        <w:t>systems</w:t>
      </w:r>
      <w:r w:rsidR="00543EF7">
        <w:t xml:space="preserve"> that govern the review and design of Indigenous programs and policies</w:t>
      </w:r>
      <w:r>
        <w:t xml:space="preserve">. </w:t>
      </w:r>
      <w:r w:rsidR="006C411B">
        <w:t>Participants considered that i</w:t>
      </w:r>
      <w:r w:rsidR="006C411B" w:rsidRPr="006C411B">
        <w:t xml:space="preserve">mplementation of </w:t>
      </w:r>
      <w:r w:rsidR="00B42D76">
        <w:t xml:space="preserve">evaluation </w:t>
      </w:r>
      <w:r w:rsidR="006C411B" w:rsidRPr="006C411B">
        <w:t xml:space="preserve">recommendations </w:t>
      </w:r>
      <w:r w:rsidR="00672BC1">
        <w:t>i</w:t>
      </w:r>
      <w:r w:rsidR="006C411B" w:rsidRPr="006C411B">
        <w:t xml:space="preserve">s usually opportunistic. </w:t>
      </w:r>
      <w:r w:rsidR="006C411B" w:rsidRPr="00E76211">
        <w:t>Practical issues such as the timing of evaluations aff</w:t>
      </w:r>
      <w:r w:rsidR="00B42D76">
        <w:t>ect their degree of influence — e</w:t>
      </w:r>
      <w:r w:rsidR="006C411B" w:rsidRPr="00E76211">
        <w:t xml:space="preserve">valuations </w:t>
      </w:r>
      <w:r w:rsidR="00B42D76">
        <w:t>should</w:t>
      </w:r>
      <w:r w:rsidR="006C411B" w:rsidRPr="00E76211">
        <w:t xml:space="preserve"> be done while there </w:t>
      </w:r>
      <w:r w:rsidR="0027300D">
        <w:t>is</w:t>
      </w:r>
      <w:r w:rsidR="006C411B" w:rsidRPr="00E76211">
        <w:t xml:space="preserve"> an opportunity to change a program or policy, not </w:t>
      </w:r>
      <w:r w:rsidR="0027300D">
        <w:t>after a program or policy has</w:t>
      </w:r>
      <w:r w:rsidR="005711CB">
        <w:t xml:space="preserve"> ended and a new one </w:t>
      </w:r>
      <w:r w:rsidR="0027300D">
        <w:t xml:space="preserve">has </w:t>
      </w:r>
      <w:r w:rsidR="005711CB">
        <w:t>begun</w:t>
      </w:r>
      <w:r w:rsidR="006C411B" w:rsidRPr="00E76211">
        <w:t xml:space="preserve">. </w:t>
      </w:r>
      <w:r w:rsidR="000E41E3">
        <w:t xml:space="preserve">Participants acknowledged that evaluations </w:t>
      </w:r>
      <w:r w:rsidR="00672BC1">
        <w:t>are</w:t>
      </w:r>
      <w:r w:rsidR="005711CB">
        <w:t xml:space="preserve"> </w:t>
      </w:r>
      <w:r w:rsidR="000E41E3">
        <w:t>often ‘bac</w:t>
      </w:r>
      <w:r w:rsidR="003153A9">
        <w:t>kward looking’ and</w:t>
      </w:r>
      <w:r w:rsidR="0027300D">
        <w:t xml:space="preserve"> that</w:t>
      </w:r>
      <w:r w:rsidR="003153A9">
        <w:t>, by</w:t>
      </w:r>
      <w:r w:rsidR="000E41E3">
        <w:t xml:space="preserve"> their very nature, </w:t>
      </w:r>
      <w:r w:rsidR="006C411B" w:rsidRPr="00E76211">
        <w:t>good evaluations take time. Matching evaluations to political</w:t>
      </w:r>
      <w:r w:rsidR="00741C7F">
        <w:t>–</w:t>
      </w:r>
      <w:r w:rsidR="006C411B" w:rsidRPr="00E76211">
        <w:t xml:space="preserve">government schedules is </w:t>
      </w:r>
      <w:r w:rsidR="000E41E3">
        <w:t>complex and must be handled strategically</w:t>
      </w:r>
      <w:r w:rsidR="006C411B" w:rsidRPr="00E76211">
        <w:t>.</w:t>
      </w:r>
    </w:p>
    <w:p w:rsidR="006C411B" w:rsidRDefault="006C411B" w:rsidP="00D05103">
      <w:pPr>
        <w:pStyle w:val="BodyText"/>
      </w:pPr>
      <w:r>
        <w:t xml:space="preserve">Participants also noted that even the best evaluations can have limited influence if recommended reforms must overcome </w:t>
      </w:r>
      <w:r w:rsidRPr="006C411B">
        <w:t>structural impediment</w:t>
      </w:r>
      <w:r>
        <w:t xml:space="preserve">s. </w:t>
      </w:r>
      <w:r w:rsidRPr="006C411B">
        <w:t xml:space="preserve">Evidence </w:t>
      </w:r>
      <w:r w:rsidR="00964FE7">
        <w:t xml:space="preserve">alone </w:t>
      </w:r>
      <w:r w:rsidRPr="006C411B">
        <w:t xml:space="preserve">is </w:t>
      </w:r>
      <w:r>
        <w:t>not as powerful as people think</w:t>
      </w:r>
      <w:r w:rsidR="0027300D">
        <w:t xml:space="preserve"> it is</w:t>
      </w:r>
      <w:r>
        <w:t>. G</w:t>
      </w:r>
      <w:r w:rsidRPr="006C411B">
        <w:t>enuine change takes effort and risk</w:t>
      </w:r>
      <w:r>
        <w:t xml:space="preserve">, and </w:t>
      </w:r>
      <w:r w:rsidRPr="006C411B">
        <w:t xml:space="preserve">needs champions </w:t>
      </w:r>
      <w:r>
        <w:t xml:space="preserve">willing to </w:t>
      </w:r>
      <w:r w:rsidR="00311B59">
        <w:t>upset the status quo</w:t>
      </w:r>
      <w:r w:rsidRPr="006C411B">
        <w:t>.</w:t>
      </w:r>
    </w:p>
    <w:p w:rsidR="00A836DD" w:rsidRDefault="00A836DD" w:rsidP="00741C7F">
      <w:pPr>
        <w:pStyle w:val="Heading3"/>
      </w:pPr>
      <w:r>
        <w:lastRenderedPageBreak/>
        <w:t>International experiences</w:t>
      </w:r>
    </w:p>
    <w:p w:rsidR="00DF7917" w:rsidRPr="00DF7917" w:rsidRDefault="00C32F70" w:rsidP="00DF7917">
      <w:pPr>
        <w:pStyle w:val="BodyText"/>
        <w:keepNext/>
        <w:jc w:val="center"/>
        <w:rPr>
          <w:i/>
        </w:rPr>
      </w:pPr>
      <w:r>
        <w:rPr>
          <w:i/>
        </w:rPr>
        <w:t>‘</w:t>
      </w:r>
      <w:r w:rsidR="00741C7F">
        <w:rPr>
          <w:i/>
        </w:rPr>
        <w:t>S</w:t>
      </w:r>
      <w:r w:rsidR="00DF7917" w:rsidRPr="00DF7917">
        <w:rPr>
          <w:i/>
        </w:rPr>
        <w:t xml:space="preserve">ome good and bad examples </w:t>
      </w:r>
      <w:r w:rsidR="00DF7917">
        <w:rPr>
          <w:i/>
        </w:rPr>
        <w:t>…</w:t>
      </w:r>
      <w:r w:rsidR="00DF7917" w:rsidRPr="00DF7917">
        <w:rPr>
          <w:i/>
        </w:rPr>
        <w:t xml:space="preserve"> in historical context and in light of specific political, economic and social circumstances</w:t>
      </w:r>
      <w:r w:rsidR="00741C7F">
        <w:rPr>
          <w:i/>
        </w:rPr>
        <w:t>.</w:t>
      </w:r>
      <w:r>
        <w:rPr>
          <w:i/>
        </w:rPr>
        <w:t>’</w:t>
      </w:r>
    </w:p>
    <w:p w:rsidR="00A836DD" w:rsidRDefault="00A836DD" w:rsidP="00741C7F">
      <w:pPr>
        <w:pStyle w:val="Heading4"/>
      </w:pPr>
      <w:r>
        <w:t>Relevant</w:t>
      </w:r>
      <w:r w:rsidR="00741C7F">
        <w:t xml:space="preserve"> chapters</w:t>
      </w:r>
    </w:p>
    <w:p w:rsidR="00531C25" w:rsidRPr="008A18E3" w:rsidRDefault="00531C25" w:rsidP="00531C25">
      <w:pPr>
        <w:pStyle w:val="ListBullet"/>
      </w:pPr>
      <w:r w:rsidRPr="0087258B">
        <w:rPr>
          <w:b/>
        </w:rPr>
        <w:t xml:space="preserve">Les </w:t>
      </w:r>
      <w:proofErr w:type="spellStart"/>
      <w:r w:rsidRPr="0087258B">
        <w:rPr>
          <w:b/>
        </w:rPr>
        <w:t>Malezer</w:t>
      </w:r>
      <w:proofErr w:type="spellEnd"/>
      <w:r>
        <w:t xml:space="preserve"> (</w:t>
      </w:r>
      <w:r w:rsidR="00572195" w:rsidRPr="00423D6A">
        <w:t>Chapter</w:t>
      </w:r>
      <w:r w:rsidRPr="00423D6A">
        <w:t xml:space="preserve"> 4</w:t>
      </w:r>
      <w:r>
        <w:t xml:space="preserve">) argued that the starting point for an effective evaluation regime should be self-determination, as </w:t>
      </w:r>
      <w:r w:rsidRPr="00DC1416">
        <w:t>explained</w:t>
      </w:r>
      <w:r>
        <w:t xml:space="preserve"> in the United Nations Declaration on the Rights of Indigenous Peoples.</w:t>
      </w:r>
    </w:p>
    <w:p w:rsidR="00531C25" w:rsidRPr="00155849" w:rsidRDefault="00531C25" w:rsidP="00531C25">
      <w:pPr>
        <w:pStyle w:val="ListBullet"/>
      </w:pPr>
      <w:r w:rsidRPr="008A18E3">
        <w:rPr>
          <w:b/>
        </w:rPr>
        <w:t>Matthew James</w:t>
      </w:r>
      <w:r w:rsidRPr="00155849">
        <w:t xml:space="preserve"> (</w:t>
      </w:r>
      <w:r w:rsidR="00572195" w:rsidRPr="00423D6A">
        <w:t>Chapter</w:t>
      </w:r>
      <w:r w:rsidR="00CC73DE">
        <w:t xml:space="preserve"> 7</w:t>
      </w:r>
      <w:r w:rsidRPr="00155849">
        <w:t>)</w:t>
      </w:r>
      <w:r>
        <w:t xml:space="preserve"> </w:t>
      </w:r>
      <w:r w:rsidR="00374857">
        <w:t xml:space="preserve">and </w:t>
      </w:r>
      <w:r w:rsidR="00374857" w:rsidRPr="008A18E3">
        <w:rPr>
          <w:b/>
        </w:rPr>
        <w:t xml:space="preserve">David </w:t>
      </w:r>
      <w:proofErr w:type="spellStart"/>
      <w:r w:rsidR="00374857" w:rsidRPr="008A18E3">
        <w:rPr>
          <w:b/>
        </w:rPr>
        <w:t>Kalisch</w:t>
      </w:r>
      <w:proofErr w:type="spellEnd"/>
      <w:r w:rsidR="00374857" w:rsidRPr="00155849">
        <w:t xml:space="preserve"> (</w:t>
      </w:r>
      <w:r w:rsidR="00572195" w:rsidRPr="00A962B4">
        <w:t>Chapter</w:t>
      </w:r>
      <w:r w:rsidR="00CC73DE">
        <w:t xml:space="preserve"> 9</w:t>
      </w:r>
      <w:r w:rsidR="00374857" w:rsidRPr="00155849">
        <w:t>)</w:t>
      </w:r>
      <w:r w:rsidR="00374857">
        <w:t xml:space="preserve"> </w:t>
      </w:r>
      <w:r w:rsidRPr="00155849">
        <w:t xml:space="preserve">noted </w:t>
      </w:r>
      <w:r>
        <w:t>that Australia frequently</w:t>
      </w:r>
      <w:r w:rsidRPr="00155849">
        <w:t xml:space="preserve"> reli</w:t>
      </w:r>
      <w:r>
        <w:t>es</w:t>
      </w:r>
      <w:r w:rsidRPr="00155849">
        <w:t xml:space="preserve"> on overseas studies, in the absence of quality evaluations of Australian Indigenous social programs.</w:t>
      </w:r>
    </w:p>
    <w:p w:rsidR="00531C25" w:rsidRDefault="00531C25" w:rsidP="00531C25">
      <w:pPr>
        <w:pStyle w:val="ListBullet"/>
      </w:pPr>
      <w:r w:rsidRPr="00155849">
        <w:rPr>
          <w:b/>
        </w:rPr>
        <w:t xml:space="preserve">Helen </w:t>
      </w:r>
      <w:proofErr w:type="spellStart"/>
      <w:r w:rsidRPr="00155849">
        <w:rPr>
          <w:b/>
        </w:rPr>
        <w:t>Moewaka</w:t>
      </w:r>
      <w:proofErr w:type="spellEnd"/>
      <w:r w:rsidRPr="00155849">
        <w:rPr>
          <w:b/>
        </w:rPr>
        <w:t xml:space="preserve"> Barnes</w:t>
      </w:r>
      <w:r>
        <w:t xml:space="preserve"> (</w:t>
      </w:r>
      <w:r w:rsidR="00572195" w:rsidRPr="00423D6A">
        <w:t>Chapter</w:t>
      </w:r>
      <w:r w:rsidR="00CC73DE">
        <w:t xml:space="preserve"> 10</w:t>
      </w:r>
      <w:r>
        <w:t xml:space="preserve">) discussed </w:t>
      </w:r>
      <w:r w:rsidRPr="00155849">
        <w:t>an Aotearoa New Zealand perspective on the role of evaluation</w:t>
      </w:r>
      <w:r>
        <w:t xml:space="preserve">, </w:t>
      </w:r>
      <w:r w:rsidRPr="00155849">
        <w:t>premised on the right and need for Maori to be involved through collaborative and consultative processes at all stages</w:t>
      </w:r>
      <w:r w:rsidR="00374857">
        <w:t xml:space="preserve">: </w:t>
      </w:r>
      <w:r w:rsidRPr="00155849">
        <w:t>from policy design, t</w:t>
      </w:r>
      <w:r>
        <w:t>hrough</w:t>
      </w:r>
      <w:r w:rsidRPr="00155849">
        <w:t xml:space="preserve"> implementation</w:t>
      </w:r>
      <w:r>
        <w:t>,</w:t>
      </w:r>
      <w:r w:rsidRPr="00155849">
        <w:t xml:space="preserve"> </w:t>
      </w:r>
      <w:r>
        <w:t xml:space="preserve">to </w:t>
      </w:r>
      <w:r w:rsidRPr="00155849">
        <w:t>evaluation</w:t>
      </w:r>
      <w:r>
        <w:t>.</w:t>
      </w:r>
    </w:p>
    <w:p w:rsidR="00A836DD" w:rsidRDefault="00A836DD" w:rsidP="00A836DD">
      <w:pPr>
        <w:pStyle w:val="ListBullet"/>
      </w:pPr>
      <w:r w:rsidRPr="00155849">
        <w:rPr>
          <w:b/>
        </w:rPr>
        <w:t>Frances Abele</w:t>
      </w:r>
      <w:r>
        <w:t xml:space="preserve"> (</w:t>
      </w:r>
      <w:r w:rsidR="00572195" w:rsidRPr="00423D6A">
        <w:t>Chapter</w:t>
      </w:r>
      <w:r w:rsidRPr="00423D6A">
        <w:t xml:space="preserve"> </w:t>
      </w:r>
      <w:r w:rsidR="00CC73DE">
        <w:t>11</w:t>
      </w:r>
      <w:r>
        <w:t>) reflected</w:t>
      </w:r>
      <w:r w:rsidRPr="00155849">
        <w:t xml:space="preserve"> on the Canadian experience </w:t>
      </w:r>
      <w:r>
        <w:t xml:space="preserve">of evaluation as </w:t>
      </w:r>
      <w:r w:rsidRPr="00155849">
        <w:t>a tool for social justice</w:t>
      </w:r>
      <w:r>
        <w:t>,</w:t>
      </w:r>
      <w:r w:rsidRPr="00155849">
        <w:t xml:space="preserve"> reconciliation</w:t>
      </w:r>
      <w:r>
        <w:t xml:space="preserve"> and control</w:t>
      </w:r>
      <w:r w:rsidR="0074335B">
        <w:t>.</w:t>
      </w:r>
    </w:p>
    <w:p w:rsidR="00A836DD" w:rsidRDefault="00A836DD" w:rsidP="00741C7F">
      <w:pPr>
        <w:pStyle w:val="Heading4"/>
      </w:pPr>
      <w:r>
        <w:t>Discussion</w:t>
      </w:r>
    </w:p>
    <w:p w:rsidR="00A836DD" w:rsidRDefault="00340E02" w:rsidP="00A836DD">
      <w:pPr>
        <w:pStyle w:val="BodyText"/>
      </w:pPr>
      <w:r>
        <w:t>The</w:t>
      </w:r>
      <w:r w:rsidR="00A836DD">
        <w:t xml:space="preserve"> presenters </w:t>
      </w:r>
      <w:r>
        <w:t xml:space="preserve">from Canada and New Zealand </w:t>
      </w:r>
      <w:r w:rsidR="00A836DD">
        <w:t xml:space="preserve">identified strong </w:t>
      </w:r>
      <w:r w:rsidR="00A962B4">
        <w:t xml:space="preserve">evaluation </w:t>
      </w:r>
      <w:r w:rsidR="00A836DD">
        <w:t>culture</w:t>
      </w:r>
      <w:r w:rsidR="00A962B4">
        <w:t>s</w:t>
      </w:r>
      <w:r w:rsidR="00A836DD">
        <w:t xml:space="preserve"> </w:t>
      </w:r>
      <w:r w:rsidR="00A962B4">
        <w:t xml:space="preserve">in their respective countries, which had led to the development of significant bodies of evidence on Indigenous policy and program </w:t>
      </w:r>
      <w:r w:rsidR="00A962B4" w:rsidRPr="00C71D0E">
        <w:t>effectiveness</w:t>
      </w:r>
      <w:r w:rsidR="00A836DD">
        <w:t>. Th</w:t>
      </w:r>
      <w:r w:rsidR="00A962B4">
        <w:t>eir</w:t>
      </w:r>
      <w:r>
        <w:t xml:space="preserve"> </w:t>
      </w:r>
      <w:r w:rsidR="00A836DD">
        <w:t xml:space="preserve">presentations highlighted the different roles that evaluation can play in Indigenous social policy. Evaluation has been used not only to improve service delivery for Indigenous people, but also </w:t>
      </w:r>
      <w:r w:rsidR="009846B5">
        <w:t xml:space="preserve">to </w:t>
      </w:r>
      <w:r w:rsidR="00A962B4">
        <w:t>influence</w:t>
      </w:r>
      <w:r w:rsidR="009846B5">
        <w:t xml:space="preserve"> </w:t>
      </w:r>
      <w:r w:rsidR="00A836DD">
        <w:t>relations between Indigenous and non-Indigenous peoples. In particular, the Canadian Royal Commissio</w:t>
      </w:r>
      <w:r w:rsidR="00543EF7">
        <w:t xml:space="preserve">n on Indigenous </w:t>
      </w:r>
      <w:r w:rsidR="009846B5">
        <w:t>P</w:t>
      </w:r>
      <w:r w:rsidR="00543EF7">
        <w:t>eoples (1992–</w:t>
      </w:r>
      <w:r w:rsidR="00A836DD">
        <w:t>96)</w:t>
      </w:r>
      <w:r w:rsidR="00A836DD" w:rsidRPr="008A18E3">
        <w:t xml:space="preserve"> had a long-lasting impact on the broad approach to Indigenous policy, </w:t>
      </w:r>
      <w:r w:rsidR="00543EF7">
        <w:t>recommending</w:t>
      </w:r>
      <w:r w:rsidR="00A836DD" w:rsidRPr="008A18E3">
        <w:t xml:space="preserve"> four </w:t>
      </w:r>
      <w:r w:rsidR="00543EF7">
        <w:t xml:space="preserve">fundamental </w:t>
      </w:r>
      <w:r w:rsidR="00A836DD" w:rsidRPr="008A18E3">
        <w:t>principles: mutual recognition</w:t>
      </w:r>
      <w:r w:rsidR="009846B5">
        <w:t>,</w:t>
      </w:r>
      <w:r w:rsidR="00A836DD" w:rsidRPr="008A18E3">
        <w:t xml:space="preserve"> mutual respect</w:t>
      </w:r>
      <w:r w:rsidR="009846B5">
        <w:t>,</w:t>
      </w:r>
      <w:r w:rsidR="00A836DD" w:rsidRPr="008A18E3">
        <w:t xml:space="preserve"> sharing</w:t>
      </w:r>
      <w:r w:rsidR="009846B5">
        <w:t>,</w:t>
      </w:r>
      <w:r w:rsidR="00A836DD" w:rsidRPr="008A18E3">
        <w:t xml:space="preserve"> and mutual responsibility</w:t>
      </w:r>
      <w:r w:rsidR="00A836DD">
        <w:t>.</w:t>
      </w:r>
    </w:p>
    <w:p w:rsidR="00A836DD" w:rsidRDefault="00A836DD" w:rsidP="00A836DD">
      <w:pPr>
        <w:pStyle w:val="BodyText"/>
      </w:pPr>
      <w:r>
        <w:t>Participants noted a tension between the accountability function of evaluations (especially from the perspective of federal or central governments) and Indigenous people</w:t>
      </w:r>
      <w:r w:rsidR="00741C7F">
        <w:t>’</w:t>
      </w:r>
      <w:r>
        <w:t>s desire to use evaluation as a tool for community development. There was general agreement that evaluations in Australia tend to focus on program accountability, and that all levels of government and Indigenous people could learn from the distinctly Maori approaches to evaluation in New Zealand.</w:t>
      </w:r>
    </w:p>
    <w:p w:rsidR="00A836DD" w:rsidRDefault="00A836DD" w:rsidP="00A836DD">
      <w:pPr>
        <w:pStyle w:val="BodyText"/>
      </w:pPr>
      <w:r>
        <w:lastRenderedPageBreak/>
        <w:t xml:space="preserve">A number of participants argued that the </w:t>
      </w:r>
      <w:r w:rsidRPr="00C80756">
        <w:t>United Nations Decla</w:t>
      </w:r>
      <w:r w:rsidRPr="00435B95">
        <w:t xml:space="preserve">ration </w:t>
      </w:r>
      <w:r w:rsidR="00435B95">
        <w:t xml:space="preserve">on the Rights </w:t>
      </w:r>
      <w:r w:rsidRPr="00435B95">
        <w:t>of Indige</w:t>
      </w:r>
      <w:r w:rsidRPr="00C80756">
        <w:t xml:space="preserve">nous Peoples </w:t>
      </w:r>
      <w:r>
        <w:t>should be</w:t>
      </w:r>
      <w:r w:rsidRPr="00C80756">
        <w:t xml:space="preserve"> the foundation on which an ev</w:t>
      </w:r>
      <w:r>
        <w:t xml:space="preserve">aluation regime </w:t>
      </w:r>
      <w:r w:rsidR="00A962B4">
        <w:t>is</w:t>
      </w:r>
      <w:r w:rsidR="00435B95">
        <w:t xml:space="preserve"> </w:t>
      </w:r>
      <w:r>
        <w:t>built.</w:t>
      </w:r>
    </w:p>
    <w:p w:rsidR="00A836DD" w:rsidRDefault="00A836DD" w:rsidP="00D05103">
      <w:pPr>
        <w:pStyle w:val="BodyText"/>
      </w:pPr>
      <w:r>
        <w:t>Several participants noted that gaps in Australian evaluations mean that policy and program developers frequently ha</w:t>
      </w:r>
      <w:r w:rsidR="00672BC1">
        <w:t>ve</w:t>
      </w:r>
      <w:r>
        <w:t xml:space="preserve"> to rely on overseas evaluations. </w:t>
      </w:r>
      <w:r w:rsidR="00435B95">
        <w:t xml:space="preserve">It </w:t>
      </w:r>
      <w:r>
        <w:t>was generally agreed that the use of overseas studies require</w:t>
      </w:r>
      <w:r w:rsidR="00672BC1">
        <w:t>s</w:t>
      </w:r>
      <w:r>
        <w:t xml:space="preserve"> careful consideration of the different </w:t>
      </w:r>
      <w:r w:rsidRPr="00A836DD">
        <w:t>political, economic and social circumstances</w:t>
      </w:r>
      <w:r>
        <w:t xml:space="preserve"> of Indigenous people in different countries.</w:t>
      </w:r>
    </w:p>
    <w:p w:rsidR="00CD1F05" w:rsidRDefault="008365A8" w:rsidP="008365A8">
      <w:pPr>
        <w:pStyle w:val="Heading3"/>
      </w:pPr>
      <w:r w:rsidRPr="008365A8">
        <w:t>Evaluatio</w:t>
      </w:r>
      <w:r w:rsidR="003337D5">
        <w:t>n and broader Indigenous policy</w:t>
      </w:r>
    </w:p>
    <w:p w:rsidR="00DF7917" w:rsidRDefault="00C32F70" w:rsidP="00B856DE">
      <w:pPr>
        <w:pStyle w:val="BodyText"/>
        <w:jc w:val="center"/>
        <w:rPr>
          <w:i/>
        </w:rPr>
      </w:pPr>
      <w:r>
        <w:rPr>
          <w:i/>
        </w:rPr>
        <w:t>‘</w:t>
      </w:r>
      <w:r w:rsidR="008756FF">
        <w:rPr>
          <w:i/>
        </w:rPr>
        <w:t>Evaluation</w:t>
      </w:r>
      <w:r w:rsidR="00DF7917">
        <w:rPr>
          <w:i/>
        </w:rPr>
        <w:t xml:space="preserve"> </w:t>
      </w:r>
      <w:r w:rsidR="00DF7917" w:rsidRPr="00DB18AB">
        <w:rPr>
          <w:i/>
        </w:rPr>
        <w:t>can be deeply political and dependent on context</w:t>
      </w:r>
      <w:r w:rsidR="00DF7917">
        <w:rPr>
          <w:i/>
        </w:rPr>
        <w:t>.</w:t>
      </w:r>
      <w:r>
        <w:rPr>
          <w:i/>
        </w:rPr>
        <w:t>’</w:t>
      </w:r>
    </w:p>
    <w:p w:rsidR="007C7365" w:rsidRDefault="008E4C5E" w:rsidP="00741C7F">
      <w:pPr>
        <w:pStyle w:val="Heading4"/>
      </w:pPr>
      <w:r w:rsidRPr="008E4C5E">
        <w:t>Relevant chapters</w:t>
      </w:r>
    </w:p>
    <w:p w:rsidR="002261EC" w:rsidRDefault="00C54CC9" w:rsidP="001D207B">
      <w:pPr>
        <w:pStyle w:val="ListBullet"/>
      </w:pPr>
      <w:r w:rsidRPr="002261EC">
        <w:rPr>
          <w:b/>
        </w:rPr>
        <w:t>Fred Chaney</w:t>
      </w:r>
      <w:r>
        <w:t xml:space="preserve"> (</w:t>
      </w:r>
      <w:r w:rsidR="00572195" w:rsidRPr="00423D6A">
        <w:t>Chapter</w:t>
      </w:r>
      <w:r w:rsidRPr="00423D6A">
        <w:t xml:space="preserve"> </w:t>
      </w:r>
      <w:r w:rsidR="0074335B" w:rsidRPr="00423D6A">
        <w:t>3</w:t>
      </w:r>
      <w:r>
        <w:t xml:space="preserve">) </w:t>
      </w:r>
      <w:r w:rsidR="00543EF7">
        <w:t>contended</w:t>
      </w:r>
      <w:r w:rsidR="002261EC">
        <w:t xml:space="preserve"> that there are fundamental problems in the architecture of government approaches to Indigenous issues, which </w:t>
      </w:r>
      <w:r w:rsidR="00527622">
        <w:t>can</w:t>
      </w:r>
      <w:r w:rsidR="002261EC">
        <w:t xml:space="preserve">not be easily solved through piecemeal evaluations of individual programs. </w:t>
      </w:r>
      <w:r w:rsidR="00527622">
        <w:t xml:space="preserve">He argued that </w:t>
      </w:r>
      <w:r w:rsidR="002261EC">
        <w:t xml:space="preserve">a </w:t>
      </w:r>
      <w:r w:rsidR="00A962B4">
        <w:t>broader</w:t>
      </w:r>
      <w:r w:rsidR="002261EC">
        <w:t xml:space="preserve"> approach </w:t>
      </w:r>
      <w:r w:rsidR="00340E02">
        <w:t xml:space="preserve">must </w:t>
      </w:r>
      <w:r w:rsidR="002261EC">
        <w:t>be taken to address system</w:t>
      </w:r>
      <w:r w:rsidR="00C9631D">
        <w:t xml:space="preserve">ic </w:t>
      </w:r>
      <w:r w:rsidR="002261EC">
        <w:t>failure</w:t>
      </w:r>
      <w:r w:rsidR="00527622">
        <w:t xml:space="preserve">. He called for </w:t>
      </w:r>
      <w:r w:rsidR="002261EC">
        <w:t xml:space="preserve">‘good governance at organisation, community and government levels’, </w:t>
      </w:r>
      <w:r w:rsidR="00E1656A">
        <w:t>including</w:t>
      </w:r>
      <w:r w:rsidR="002261EC">
        <w:t xml:space="preserve"> greater devolution of decision</w:t>
      </w:r>
      <w:r w:rsidR="00A962B4">
        <w:t>-</w:t>
      </w:r>
      <w:r w:rsidR="002261EC">
        <w:t>making to Indigenous communities, and alternative accountability mechanisms outside traditional agency silos.</w:t>
      </w:r>
    </w:p>
    <w:p w:rsidR="00531C25" w:rsidRDefault="00531C25" w:rsidP="00531C25">
      <w:pPr>
        <w:pStyle w:val="ListBullet"/>
      </w:pPr>
      <w:r w:rsidRPr="0087258B">
        <w:rPr>
          <w:b/>
        </w:rPr>
        <w:t xml:space="preserve">Les </w:t>
      </w:r>
      <w:proofErr w:type="spellStart"/>
      <w:r w:rsidRPr="0087258B">
        <w:rPr>
          <w:b/>
        </w:rPr>
        <w:t>Malezer</w:t>
      </w:r>
      <w:proofErr w:type="spellEnd"/>
      <w:r>
        <w:t xml:space="preserve"> (</w:t>
      </w:r>
      <w:r w:rsidR="00572195" w:rsidRPr="00423D6A">
        <w:t>Chapter</w:t>
      </w:r>
      <w:r w:rsidRPr="00423D6A">
        <w:t xml:space="preserve"> 4</w:t>
      </w:r>
      <w:r>
        <w:t xml:space="preserve">) argued that the traditional evaluations that focus on disadvantage arising from historical dispossession and displacement </w:t>
      </w:r>
      <w:r w:rsidRPr="00091795">
        <w:t xml:space="preserve">fail to </w:t>
      </w:r>
      <w:r>
        <w:t xml:space="preserve">address Indigenous rights and perspectives. He argued that the United Nations Declaration on the Rights of Indigenous Peoples, developed to re-position Indigenous peoples in their own territories, should be the starting point for effective evaluation. </w:t>
      </w:r>
    </w:p>
    <w:p w:rsidR="001D207B" w:rsidRDefault="001D207B" w:rsidP="00531C25">
      <w:pPr>
        <w:pStyle w:val="ListBullet"/>
      </w:pPr>
      <w:r>
        <w:rPr>
          <w:b/>
        </w:rPr>
        <w:t xml:space="preserve">Jody Broun </w:t>
      </w:r>
      <w:r w:rsidRPr="00112160">
        <w:t>(</w:t>
      </w:r>
      <w:r>
        <w:t>Chapter 6</w:t>
      </w:r>
      <w:r w:rsidRPr="00112160">
        <w:t xml:space="preserve">) </w:t>
      </w:r>
      <w:r>
        <w:t xml:space="preserve">argued that </w:t>
      </w:r>
      <w:r w:rsidRPr="00112160">
        <w:t>non</w:t>
      </w:r>
      <w:r w:rsidRPr="00112160">
        <w:rPr>
          <w:rFonts w:ascii="Cambria Math" w:hAnsi="Cambria Math" w:cs="Cambria Math"/>
        </w:rPr>
        <w:t>‐</w:t>
      </w:r>
      <w:r w:rsidRPr="00112160">
        <w:t xml:space="preserve">government and independent organisations have a valid and important role in evaluating government policy objectives, </w:t>
      </w:r>
      <w:r>
        <w:t xml:space="preserve">delivering </w:t>
      </w:r>
      <w:r w:rsidRPr="00112160">
        <w:t>program</w:t>
      </w:r>
      <w:r>
        <w:t>s</w:t>
      </w:r>
      <w:r w:rsidRPr="00112160">
        <w:t>, and holding government to account for outcomes</w:t>
      </w:r>
      <w:r>
        <w:t>.</w:t>
      </w:r>
    </w:p>
    <w:p w:rsidR="00531C25" w:rsidRDefault="00531C25" w:rsidP="00531C25">
      <w:pPr>
        <w:pStyle w:val="ListBullet"/>
      </w:pPr>
      <w:r>
        <w:rPr>
          <w:b/>
        </w:rPr>
        <w:t xml:space="preserve">Matthew James </w:t>
      </w:r>
      <w:r w:rsidRPr="005C6C76">
        <w:t>(</w:t>
      </w:r>
      <w:r w:rsidR="00572195" w:rsidRPr="00423D6A">
        <w:t>Chapter</w:t>
      </w:r>
      <w:r w:rsidR="00CC73DE">
        <w:t xml:space="preserve"> 7</w:t>
      </w:r>
      <w:r w:rsidRPr="005C6C76">
        <w:t>) explicitly link</w:t>
      </w:r>
      <w:r>
        <w:t>ed</w:t>
      </w:r>
      <w:r w:rsidRPr="005C6C76">
        <w:t xml:space="preserve"> evaluation to policy, and argued </w:t>
      </w:r>
      <w:r>
        <w:t>that evaluation</w:t>
      </w:r>
      <w:r w:rsidRPr="005C6C76">
        <w:t xml:space="preserve"> should not be</w:t>
      </w:r>
      <w:r>
        <w:t xml:space="preserve"> perceived as</w:t>
      </w:r>
      <w:r w:rsidRPr="005C6C76">
        <w:t xml:space="preserve"> a separate activity</w:t>
      </w:r>
      <w:r>
        <w:t xml:space="preserve"> conducted in isolation — if evidence is to inform policy, evaluation and monitoring need to be incorporated into policy processes. </w:t>
      </w:r>
    </w:p>
    <w:p w:rsidR="00531C25" w:rsidRDefault="00531C25" w:rsidP="00531C25">
      <w:pPr>
        <w:pStyle w:val="ListBullet"/>
      </w:pPr>
      <w:r w:rsidRPr="00C54CC9">
        <w:rPr>
          <w:b/>
        </w:rPr>
        <w:t xml:space="preserve">Helen </w:t>
      </w:r>
      <w:proofErr w:type="spellStart"/>
      <w:r w:rsidRPr="00C54CC9">
        <w:rPr>
          <w:b/>
        </w:rPr>
        <w:t>Moewaka</w:t>
      </w:r>
      <w:proofErr w:type="spellEnd"/>
      <w:r w:rsidRPr="00C54CC9">
        <w:rPr>
          <w:b/>
        </w:rPr>
        <w:t xml:space="preserve"> Barnes</w:t>
      </w:r>
      <w:r>
        <w:t xml:space="preserve"> (</w:t>
      </w:r>
      <w:r w:rsidR="00572195" w:rsidRPr="00423D6A">
        <w:t>Chapter</w:t>
      </w:r>
      <w:r w:rsidR="00CC73DE">
        <w:t xml:space="preserve"> 10</w:t>
      </w:r>
      <w:r>
        <w:t xml:space="preserve">) noted that, in New Zealand, evaluation historically was applied selectively to scrutinise Maori providers. However, this created an opportunity for the development of ‘by Maori, for Maori’ evaluation. </w:t>
      </w:r>
    </w:p>
    <w:p w:rsidR="007C7365" w:rsidRDefault="008333EF" w:rsidP="00C54CC9">
      <w:pPr>
        <w:pStyle w:val="ListBullet"/>
      </w:pPr>
      <w:r w:rsidRPr="008333EF">
        <w:rPr>
          <w:b/>
        </w:rPr>
        <w:lastRenderedPageBreak/>
        <w:t>Frances Abele</w:t>
      </w:r>
      <w:r>
        <w:t xml:space="preserve"> </w:t>
      </w:r>
      <w:r w:rsidR="007C7365">
        <w:t>(</w:t>
      </w:r>
      <w:r w:rsidR="00572195" w:rsidRPr="00423D6A">
        <w:t>Chapter</w:t>
      </w:r>
      <w:r w:rsidR="007C7365" w:rsidRPr="00423D6A">
        <w:t xml:space="preserve"> </w:t>
      </w:r>
      <w:r w:rsidR="00CC73DE">
        <w:t>11</w:t>
      </w:r>
      <w:r w:rsidR="007C7365">
        <w:t>)</w:t>
      </w:r>
      <w:r w:rsidR="007C7365">
        <w:rPr>
          <w:color w:val="FF0000"/>
        </w:rPr>
        <w:t xml:space="preserve"> </w:t>
      </w:r>
      <w:r w:rsidRPr="00C54CC9">
        <w:t xml:space="preserve">noted that, in Canada, </w:t>
      </w:r>
      <w:r w:rsidR="0074335B">
        <w:t>r</w:t>
      </w:r>
      <w:r w:rsidR="00C54CC9" w:rsidRPr="00C54CC9">
        <w:t xml:space="preserve">oyal </w:t>
      </w:r>
      <w:r w:rsidR="0074335B">
        <w:t>c</w:t>
      </w:r>
      <w:r w:rsidR="00C54CC9" w:rsidRPr="00C54CC9">
        <w:t>ommissions are often used to resolve knotty and persistent problems of public policy. Virtually the full range of federal policies affecting Indigenous peoples were examined in the Royal Commission on Aboriginal Peoples (199</w:t>
      </w:r>
      <w:r w:rsidR="0074335B">
        <w:t>2</w:t>
      </w:r>
      <w:r w:rsidR="00543EF7">
        <w:t>–</w:t>
      </w:r>
      <w:r w:rsidR="00C54CC9" w:rsidRPr="00C54CC9">
        <w:t>96).</w:t>
      </w:r>
    </w:p>
    <w:p w:rsidR="00CF1200" w:rsidRDefault="00CF1200" w:rsidP="00CF1200">
      <w:pPr>
        <w:pStyle w:val="ListBullet"/>
      </w:pPr>
      <w:r>
        <w:rPr>
          <w:b/>
        </w:rPr>
        <w:t xml:space="preserve">Michael Dillon </w:t>
      </w:r>
      <w:r w:rsidRPr="00CF1200">
        <w:t>(</w:t>
      </w:r>
      <w:r w:rsidR="00572195" w:rsidRPr="00423D6A">
        <w:t>Chapter</w:t>
      </w:r>
      <w:r w:rsidRPr="00423D6A">
        <w:t xml:space="preserve"> </w:t>
      </w:r>
      <w:r w:rsidR="00CC73DE">
        <w:t>12</w:t>
      </w:r>
      <w:r w:rsidRPr="00CF1200">
        <w:t>) (paper presented by Matthew James) note</w:t>
      </w:r>
      <w:r>
        <w:t>d</w:t>
      </w:r>
      <w:r w:rsidRPr="00CF1200">
        <w:t xml:space="preserve"> that government agencies are </w:t>
      </w:r>
      <w:r w:rsidR="00DC762E" w:rsidRPr="00CF1200">
        <w:t xml:space="preserve">increasingly </w:t>
      </w:r>
      <w:r w:rsidRPr="00CF1200">
        <w:t xml:space="preserve">involving </w:t>
      </w:r>
      <w:r>
        <w:t>local</w:t>
      </w:r>
      <w:r w:rsidRPr="00CF1200">
        <w:t xml:space="preserve"> communit</w:t>
      </w:r>
      <w:r>
        <w:t>ies</w:t>
      </w:r>
      <w:r w:rsidRPr="00CF1200">
        <w:t xml:space="preserve"> in the research and evaluation process </w:t>
      </w:r>
      <w:r w:rsidR="00E1656A">
        <w:t>(</w:t>
      </w:r>
      <w:r w:rsidRPr="00CF1200">
        <w:t xml:space="preserve">for example, under the </w:t>
      </w:r>
      <w:r w:rsidR="00741C7F">
        <w:t>c</w:t>
      </w:r>
      <w:r w:rsidRPr="00CF1200">
        <w:t xml:space="preserve">ommunity </w:t>
      </w:r>
      <w:r w:rsidR="00741C7F">
        <w:t>l</w:t>
      </w:r>
      <w:r w:rsidRPr="00CF1200">
        <w:t xml:space="preserve">ocal </w:t>
      </w:r>
      <w:r w:rsidR="00741C7F">
        <w:t>r</w:t>
      </w:r>
      <w:r w:rsidRPr="00CF1200">
        <w:t xml:space="preserve">esearch </w:t>
      </w:r>
      <w:r w:rsidR="00741C7F">
        <w:t>p</w:t>
      </w:r>
      <w:r w:rsidRPr="00CF1200">
        <w:t xml:space="preserve">rojects </w:t>
      </w:r>
      <w:r w:rsidR="00E1656A">
        <w:t xml:space="preserve">that are </w:t>
      </w:r>
      <w:r w:rsidRPr="00CF1200">
        <w:t xml:space="preserve">part of the </w:t>
      </w:r>
      <w:r>
        <w:t>National Partnership Agreement</w:t>
      </w:r>
      <w:r w:rsidR="00741C7F">
        <w:t xml:space="preserve"> on Remote Service Delivery</w:t>
      </w:r>
      <w:r>
        <w:t>).</w:t>
      </w:r>
    </w:p>
    <w:p w:rsidR="00E50927" w:rsidRDefault="00C54CC9" w:rsidP="00741C7F">
      <w:pPr>
        <w:pStyle w:val="Heading4"/>
      </w:pPr>
      <w:r>
        <w:t>Discussion</w:t>
      </w:r>
    </w:p>
    <w:p w:rsidR="006076CC" w:rsidRDefault="006076CC" w:rsidP="006076CC">
      <w:pPr>
        <w:pStyle w:val="BodyText"/>
      </w:pPr>
      <w:r>
        <w:t>Participants discussed the potential for evaluation (especially high</w:t>
      </w:r>
      <w:r w:rsidR="0074335B">
        <w:t>-</w:t>
      </w:r>
      <w:r>
        <w:t>level reviews) to help frame relationships between Indigenous people and the state</w:t>
      </w:r>
      <w:r w:rsidR="00B3483A">
        <w:t>,</w:t>
      </w:r>
      <w:r>
        <w:t xml:space="preserve"> even though </w:t>
      </w:r>
      <w:r w:rsidR="00B3483A">
        <w:t>evaluation outcomes</w:t>
      </w:r>
      <w:r>
        <w:t xml:space="preserve"> may not be binding and their influence can fade over time. </w:t>
      </w:r>
      <w:r w:rsidR="00B3483A">
        <w:t>Participants</w:t>
      </w:r>
      <w:r w:rsidR="0072718C">
        <w:t xml:space="preserve"> considered</w:t>
      </w:r>
      <w:r>
        <w:t xml:space="preserve"> </w:t>
      </w:r>
      <w:r w:rsidR="00B3483A">
        <w:t xml:space="preserve">that it </w:t>
      </w:r>
      <w:r w:rsidR="00672BC1">
        <w:t>i</w:t>
      </w:r>
      <w:r w:rsidR="00B3483A">
        <w:t xml:space="preserve">s </w:t>
      </w:r>
      <w:r>
        <w:t xml:space="preserve">difficult for </w:t>
      </w:r>
      <w:r w:rsidRPr="006076CC">
        <w:t xml:space="preserve">piecemeal evaluations of individual programs </w:t>
      </w:r>
      <w:r>
        <w:t xml:space="preserve">to have broad influence, although an accumulation of knowledge over time can be more influential than one-off program evaluations. </w:t>
      </w:r>
    </w:p>
    <w:p w:rsidR="00E50927" w:rsidRDefault="00CB148D" w:rsidP="00E50927">
      <w:pPr>
        <w:pStyle w:val="BodyText"/>
      </w:pPr>
      <w:r>
        <w:t>Several participants argued that</w:t>
      </w:r>
      <w:r w:rsidR="0074335B">
        <w:t>,</w:t>
      </w:r>
      <w:r>
        <w:t xml:space="preserve"> t</w:t>
      </w:r>
      <w:r w:rsidRPr="00295D86">
        <w:t>oo often</w:t>
      </w:r>
      <w:r>
        <w:t>,</w:t>
      </w:r>
      <w:r w:rsidRPr="00295D86">
        <w:t xml:space="preserve"> evaluation is </w:t>
      </w:r>
      <w:r w:rsidR="008756FF">
        <w:t>‘</w:t>
      </w:r>
      <w:r w:rsidRPr="00295D86">
        <w:t xml:space="preserve">something that </w:t>
      </w:r>
      <w:r>
        <w:t xml:space="preserve">is done to </w:t>
      </w:r>
      <w:r w:rsidRPr="00295D86">
        <w:t>Indigenous people</w:t>
      </w:r>
      <w:r>
        <w:t>’</w:t>
      </w:r>
      <w:r w:rsidRPr="00295D86">
        <w:t xml:space="preserve">. </w:t>
      </w:r>
      <w:r w:rsidR="00DC1416">
        <w:t xml:space="preserve">Rather than </w:t>
      </w:r>
      <w:r w:rsidR="00C902FF">
        <w:t>gain</w:t>
      </w:r>
      <w:r w:rsidR="0074335B">
        <w:t>ing</w:t>
      </w:r>
      <w:r w:rsidR="00C902FF">
        <w:t xml:space="preserve"> knowledge through</w:t>
      </w:r>
      <w:r w:rsidR="00DC1416">
        <w:t xml:space="preserve"> effective </w:t>
      </w:r>
      <w:r w:rsidR="00C902FF">
        <w:t>evaluation of</w:t>
      </w:r>
      <w:r w:rsidR="00DC1416">
        <w:t xml:space="preserve"> service delivery efforts</w:t>
      </w:r>
      <w:r w:rsidR="007322F6">
        <w:t>,</w:t>
      </w:r>
      <w:r w:rsidR="00DC1416">
        <w:t xml:space="preserve"> government programs </w:t>
      </w:r>
      <w:r w:rsidR="0074335B">
        <w:t xml:space="preserve">seek </w:t>
      </w:r>
      <w:r w:rsidR="00DC1416">
        <w:t xml:space="preserve">political </w:t>
      </w:r>
      <w:r w:rsidR="00C902FF">
        <w:t>solutions</w:t>
      </w:r>
      <w:r w:rsidR="00DC1416">
        <w:t xml:space="preserve"> without expert </w:t>
      </w:r>
      <w:r w:rsidR="00C902FF">
        <w:t>information</w:t>
      </w:r>
      <w:r w:rsidR="00DC1416">
        <w:t xml:space="preserve">. </w:t>
      </w:r>
      <w:r>
        <w:t>Indigenous</w:t>
      </w:r>
      <w:r w:rsidRPr="00295D86">
        <w:t xml:space="preserve"> engagement in research and evaluation </w:t>
      </w:r>
      <w:r>
        <w:t>can contribute to both</w:t>
      </w:r>
      <w:r w:rsidRPr="00295D86">
        <w:t xml:space="preserve"> </w:t>
      </w:r>
      <w:r>
        <w:t>improved</w:t>
      </w:r>
      <w:r w:rsidRPr="00295D86">
        <w:t xml:space="preserve"> </w:t>
      </w:r>
      <w:r>
        <w:t>program effectiveness</w:t>
      </w:r>
      <w:r w:rsidRPr="00295D86">
        <w:t xml:space="preserve"> and </w:t>
      </w:r>
      <w:r>
        <w:t xml:space="preserve">greater ‘legitimacy’ of policies and programs. </w:t>
      </w:r>
      <w:r w:rsidR="006076CC">
        <w:t>P</w:t>
      </w:r>
      <w:r w:rsidR="002261EC">
        <w:t>articipants</w:t>
      </w:r>
      <w:r w:rsidR="00C54CC9">
        <w:t xml:space="preserve"> </w:t>
      </w:r>
      <w:r w:rsidR="004C1CF0">
        <w:t>noted that</w:t>
      </w:r>
      <w:r w:rsidR="00E50927">
        <w:t>:</w:t>
      </w:r>
    </w:p>
    <w:p w:rsidR="00C54CC9" w:rsidRDefault="00C54CC9" w:rsidP="00C54CC9">
      <w:pPr>
        <w:pStyle w:val="ListBullet"/>
      </w:pPr>
      <w:r>
        <w:t>Indigenous collectivist identity means a different set of aspirations — joint as well as individual. It is also important to recognis</w:t>
      </w:r>
      <w:r w:rsidR="004C1CF0">
        <w:t>e Indigenous peoples’ histories</w:t>
      </w:r>
      <w:r w:rsidR="002F7852">
        <w:t>.</w:t>
      </w:r>
    </w:p>
    <w:p w:rsidR="00E50927" w:rsidRDefault="002F7852" w:rsidP="00E50927">
      <w:pPr>
        <w:pStyle w:val="ListBullet"/>
      </w:pPr>
      <w:r>
        <w:t>A</w:t>
      </w:r>
      <w:r w:rsidR="00E50927">
        <w:t>ll evaluations are implicitly or explicitly ideological. Using terms such as ‘rights</w:t>
      </w:r>
      <w:r w:rsidR="00B3483A">
        <w:t>’</w:t>
      </w:r>
      <w:r w:rsidR="00E50927">
        <w:t xml:space="preserve"> and ‘special needs’ when referring to Indigenous evaluations overlooks the invisible rights and privileges involved in non-Indigenous programs and evaluations. Government</w:t>
      </w:r>
      <w:r>
        <w:t>-</w:t>
      </w:r>
      <w:r w:rsidR="00E50927">
        <w:t>commissioned evaluations automatically cater to the mainstream but do</w:t>
      </w:r>
      <w:r>
        <w:t xml:space="preserve"> </w:t>
      </w:r>
      <w:r w:rsidR="00E50927">
        <w:t>n</w:t>
      </w:r>
      <w:r>
        <w:t>o</w:t>
      </w:r>
      <w:r w:rsidR="00E50927">
        <w:t xml:space="preserve">t look at things that are </w:t>
      </w:r>
      <w:r w:rsidR="004C1CF0">
        <w:t>important to Indigenous people</w:t>
      </w:r>
      <w:r>
        <w:t>.</w:t>
      </w:r>
    </w:p>
    <w:p w:rsidR="00E50927" w:rsidRDefault="00D34B49" w:rsidP="00E50927">
      <w:pPr>
        <w:pStyle w:val="ListBullet"/>
      </w:pPr>
      <w:r>
        <w:t xml:space="preserve">The priorities and aspirations of </w:t>
      </w:r>
      <w:r w:rsidR="00E50927">
        <w:t xml:space="preserve">Indigenous people may have different </w:t>
      </w:r>
      <w:r>
        <w:t>to those of governments</w:t>
      </w:r>
      <w:r w:rsidR="00E50927">
        <w:t xml:space="preserve"> but</w:t>
      </w:r>
      <w:r>
        <w:t xml:space="preserve">, </w:t>
      </w:r>
      <w:r w:rsidR="00E50927">
        <w:t>if Indigenous people have sufficient control over decision</w:t>
      </w:r>
      <w:r>
        <w:t>-</w:t>
      </w:r>
      <w:r w:rsidR="00E50927">
        <w:t>making (with appropriate governance, based on the communit</w:t>
      </w:r>
      <w:r w:rsidR="004C1CF0">
        <w:t>y’s preferred governance model)</w:t>
      </w:r>
      <w:r w:rsidR="00672BC1">
        <w:t>,</w:t>
      </w:r>
      <w:r w:rsidR="00B3483A">
        <w:t xml:space="preserve"> this need not prevent Indigenous people and the state from coming together</w:t>
      </w:r>
      <w:r w:rsidR="002F7852">
        <w:t>.</w:t>
      </w:r>
    </w:p>
    <w:p w:rsidR="00E50927" w:rsidRDefault="002F7852" w:rsidP="00E50927">
      <w:pPr>
        <w:pStyle w:val="ListBullet"/>
      </w:pPr>
      <w:r>
        <w:lastRenderedPageBreak/>
        <w:t>E</w:t>
      </w:r>
      <w:r w:rsidR="00E50927">
        <w:t xml:space="preserve">valuations </w:t>
      </w:r>
      <w:r w:rsidR="00C54CC9">
        <w:t xml:space="preserve">by Indigenous people tend to place greater </w:t>
      </w:r>
      <w:r w:rsidR="00E50927">
        <w:t>emphasis on relationships with the community, especially established accountabilities to elders and local leaders.</w:t>
      </w:r>
    </w:p>
    <w:p w:rsidR="00CF1200" w:rsidRDefault="00CF1200" w:rsidP="00CF1200">
      <w:pPr>
        <w:pStyle w:val="BodyText"/>
      </w:pPr>
      <w:r>
        <w:t>Participants discussed Indigenous people</w:t>
      </w:r>
      <w:r w:rsidR="00B3483A">
        <w:t>’</w:t>
      </w:r>
      <w:r>
        <w:t xml:space="preserve">s views of current evaluation approaches. Most participants agreed that there was </w:t>
      </w:r>
      <w:r w:rsidR="00E50927">
        <w:t xml:space="preserve">‘enormous cynicism’ among Indigenous people, </w:t>
      </w:r>
      <w:r>
        <w:t>citing issues such as:</w:t>
      </w:r>
    </w:p>
    <w:p w:rsidR="0072718C" w:rsidRDefault="0072718C" w:rsidP="0072718C">
      <w:pPr>
        <w:pStyle w:val="ListBullet"/>
      </w:pPr>
      <w:r>
        <w:t>a focus on</w:t>
      </w:r>
      <w:r w:rsidR="00D34B49">
        <w:t xml:space="preserve"> the</w:t>
      </w:r>
      <w:r>
        <w:t xml:space="preserve"> </w:t>
      </w:r>
      <w:r w:rsidRPr="0072718C">
        <w:t>closing the gaps</w:t>
      </w:r>
      <w:r>
        <w:t xml:space="preserve"> </w:t>
      </w:r>
      <w:r w:rsidR="00E85310">
        <w:t xml:space="preserve">agenda </w:t>
      </w:r>
      <w:r>
        <w:t>mean</w:t>
      </w:r>
      <w:r w:rsidR="00E85310">
        <w:t>s</w:t>
      </w:r>
      <w:r>
        <w:t xml:space="preserve"> that programs (and therefore evaluations) do not necessarily reflect </w:t>
      </w:r>
      <w:r w:rsidRPr="0072718C">
        <w:t>Indigenous people</w:t>
      </w:r>
      <w:r w:rsidR="002F7852">
        <w:t>’</w:t>
      </w:r>
      <w:r>
        <w:t xml:space="preserve">s </w:t>
      </w:r>
      <w:r w:rsidRPr="0072718C">
        <w:t xml:space="preserve">objectives and priorities, </w:t>
      </w:r>
      <w:r>
        <w:t>particularly</w:t>
      </w:r>
      <w:r w:rsidRPr="0072718C">
        <w:t xml:space="preserve"> </w:t>
      </w:r>
      <w:r w:rsidR="00E85310">
        <w:t xml:space="preserve">in relation to </w:t>
      </w:r>
      <w:r w:rsidRPr="0072718C">
        <w:t>community de</w:t>
      </w:r>
      <w:r>
        <w:t>velopment and governance issues</w:t>
      </w:r>
    </w:p>
    <w:p w:rsidR="00CF1200" w:rsidRDefault="0072718C" w:rsidP="00CF1200">
      <w:pPr>
        <w:pStyle w:val="ListBullet"/>
      </w:pPr>
      <w:r>
        <w:t>whe</w:t>
      </w:r>
      <w:r w:rsidR="00E85310">
        <w:t>n</w:t>
      </w:r>
      <w:r>
        <w:t xml:space="preserve"> Indigenous people are consulted in evaluations, their </w:t>
      </w:r>
      <w:r w:rsidR="00CF1200">
        <w:t xml:space="preserve">views </w:t>
      </w:r>
      <w:r>
        <w:t xml:space="preserve">are not </w:t>
      </w:r>
      <w:r w:rsidR="00D34B49">
        <w:t>always reflected accurately</w:t>
      </w:r>
    </w:p>
    <w:p w:rsidR="000E41E3" w:rsidRDefault="00E85310" w:rsidP="000E41E3">
      <w:pPr>
        <w:pStyle w:val="ListBullet"/>
      </w:pPr>
      <w:r>
        <w:t xml:space="preserve">there has been </w:t>
      </w:r>
      <w:r w:rsidR="002F7852">
        <w:t xml:space="preserve">a </w:t>
      </w:r>
      <w:r w:rsidR="000E41E3">
        <w:t xml:space="preserve">widespread failure to implement </w:t>
      </w:r>
      <w:r w:rsidR="000E41E3" w:rsidRPr="007F0716">
        <w:t>even straight</w:t>
      </w:r>
      <w:r w:rsidR="00D34B49">
        <w:t>-</w:t>
      </w:r>
      <w:r w:rsidR="000E41E3" w:rsidRPr="007F0716">
        <w:t>forward recommendations</w:t>
      </w:r>
      <w:r w:rsidR="00D34B49">
        <w:t xml:space="preserve"> flowing from evaluations</w:t>
      </w:r>
    </w:p>
    <w:p w:rsidR="00CF1200" w:rsidRDefault="00E85310" w:rsidP="00CF1200">
      <w:pPr>
        <w:pStyle w:val="ListBullet"/>
      </w:pPr>
      <w:r>
        <w:t xml:space="preserve">there has been </w:t>
      </w:r>
      <w:r w:rsidR="002F7852">
        <w:t xml:space="preserve">a </w:t>
      </w:r>
      <w:r w:rsidR="00CF1200">
        <w:t xml:space="preserve">failure to communicate the results of evaluations </w:t>
      </w:r>
      <w:r w:rsidR="0072718C">
        <w:t xml:space="preserve">and subsequent actions </w:t>
      </w:r>
      <w:r w:rsidR="00CF1200">
        <w:t>to Indigenous people</w:t>
      </w:r>
    </w:p>
    <w:p w:rsidR="00E50927" w:rsidRDefault="00CF1200" w:rsidP="00CF1200">
      <w:pPr>
        <w:pStyle w:val="ListBullet"/>
      </w:pPr>
      <w:r>
        <w:t xml:space="preserve">evaluation reports </w:t>
      </w:r>
      <w:r w:rsidR="00E85310">
        <w:t xml:space="preserve">are used </w:t>
      </w:r>
      <w:r>
        <w:t>to justify actions that do not reflect the report recommendations</w:t>
      </w:r>
      <w:r w:rsidR="00E50927">
        <w:t>.</w:t>
      </w:r>
    </w:p>
    <w:p w:rsidR="00E50927" w:rsidRDefault="002F7852" w:rsidP="00CF1200">
      <w:pPr>
        <w:pStyle w:val="BodyText"/>
      </w:pPr>
      <w:r>
        <w:t>P</w:t>
      </w:r>
      <w:r w:rsidR="004C1CF0">
        <w:t>articipants noted that e</w:t>
      </w:r>
      <w:r w:rsidR="00C25936">
        <w:t xml:space="preserve">valuations can also help </w:t>
      </w:r>
      <w:r w:rsidR="00E85310">
        <w:t xml:space="preserve">to </w:t>
      </w:r>
      <w:r w:rsidR="00C25936">
        <w:t>build trust</w:t>
      </w:r>
      <w:r w:rsidR="004C1CF0">
        <w:t>,</w:t>
      </w:r>
      <w:r w:rsidR="00C25936">
        <w:t xml:space="preserve"> if </w:t>
      </w:r>
      <w:r w:rsidR="00E85310">
        <w:t xml:space="preserve">they are </w:t>
      </w:r>
      <w:r w:rsidR="00C25936">
        <w:t xml:space="preserve">used to inform </w:t>
      </w:r>
      <w:r w:rsidR="00E85310">
        <w:t>‘</w:t>
      </w:r>
      <w:r w:rsidR="00C25936">
        <w:t>learning by doing</w:t>
      </w:r>
      <w:r w:rsidR="00E85310">
        <w:t>’</w:t>
      </w:r>
      <w:r w:rsidR="00C25936">
        <w:t>, and if government and local people work together to meet agreed outcomes. Governments can build trust by living up to their commitments</w:t>
      </w:r>
      <w:r w:rsidR="004C1CF0">
        <w:t>.</w:t>
      </w:r>
    </w:p>
    <w:p w:rsidR="004C1CF0" w:rsidRDefault="00D34B49" w:rsidP="00CF1200">
      <w:pPr>
        <w:pStyle w:val="BodyText"/>
      </w:pPr>
      <w:r w:rsidRPr="00836568">
        <w:t xml:space="preserve">Participants noted </w:t>
      </w:r>
      <w:r>
        <w:t xml:space="preserve">that there are </w:t>
      </w:r>
      <w:r w:rsidRPr="00836568">
        <w:t xml:space="preserve">some examples of evaluations </w:t>
      </w:r>
      <w:r>
        <w:t xml:space="preserve">involving Indigenous people </w:t>
      </w:r>
      <w:r w:rsidRPr="00836568">
        <w:t xml:space="preserve">(for example, </w:t>
      </w:r>
      <w:r>
        <w:t>c</w:t>
      </w:r>
      <w:r w:rsidRPr="00836568">
        <w:t xml:space="preserve">ommunity </w:t>
      </w:r>
      <w:r>
        <w:t>r</w:t>
      </w:r>
      <w:r w:rsidRPr="00836568">
        <w:t xml:space="preserve">esearchers under the </w:t>
      </w:r>
      <w:r>
        <w:t xml:space="preserve">National Partnership Agreement on </w:t>
      </w:r>
      <w:r w:rsidRPr="00836568">
        <w:t>Remote Service Delivery</w:t>
      </w:r>
      <w:r>
        <w:t>,</w:t>
      </w:r>
      <w:r w:rsidRPr="00836568">
        <w:t xml:space="preserve"> primarily undertaking process evaluation work), but </w:t>
      </w:r>
      <w:r>
        <w:t xml:space="preserve">observed that </w:t>
      </w:r>
      <w:r w:rsidRPr="00836568">
        <w:t xml:space="preserve">few </w:t>
      </w:r>
      <w:r>
        <w:t>evaluations are</w:t>
      </w:r>
      <w:r w:rsidRPr="00836568">
        <w:t xml:space="preserve"> driven by Indigenous people themselves.</w:t>
      </w:r>
      <w:r>
        <w:t xml:space="preserve"> </w:t>
      </w:r>
      <w:r w:rsidR="00836568" w:rsidRPr="00836568">
        <w:t xml:space="preserve">Several </w:t>
      </w:r>
      <w:r w:rsidR="00E85310">
        <w:t>particip</w:t>
      </w:r>
      <w:r w:rsidR="00E85310" w:rsidRPr="00836568">
        <w:t xml:space="preserve">ants </w:t>
      </w:r>
      <w:r w:rsidR="00836568" w:rsidRPr="00836568">
        <w:t xml:space="preserve">asked what was preventing </w:t>
      </w:r>
      <w:r>
        <w:t xml:space="preserve">Indigenous people from conducting </w:t>
      </w:r>
      <w:r w:rsidR="00836568" w:rsidRPr="00836568">
        <w:t>more ‘bottom up’ evaluations of access to services or government implementation of agreed best</w:t>
      </w:r>
      <w:r w:rsidR="002F7852">
        <w:t>-</w:t>
      </w:r>
      <w:r w:rsidR="00836568" w:rsidRPr="00836568">
        <w:t xml:space="preserve">practice principles. </w:t>
      </w:r>
      <w:r w:rsidR="000E41E3">
        <w:t>There was a call for more empowerment or participatory evaluations</w:t>
      </w:r>
      <w:r w:rsidR="00771B3D">
        <w:t xml:space="preserve"> (action research)</w:t>
      </w:r>
      <w:r w:rsidR="000E41E3">
        <w:t>, particularly for community programs. Th</w:t>
      </w:r>
      <w:r w:rsidR="002F7852">
        <w:t>o</w:t>
      </w:r>
      <w:r w:rsidR="000E41E3">
        <w:t xml:space="preserve">se types of evaluations focus </w:t>
      </w:r>
      <w:r w:rsidR="00E85310">
        <w:t xml:space="preserve">not only </w:t>
      </w:r>
      <w:r w:rsidR="000E41E3">
        <w:t xml:space="preserve">on improving programs but also </w:t>
      </w:r>
      <w:r w:rsidR="002F7852">
        <w:t xml:space="preserve">on </w:t>
      </w:r>
      <w:r w:rsidR="000E41E3">
        <w:t>work</w:t>
      </w:r>
      <w:r w:rsidR="002F7852">
        <w:t>ing</w:t>
      </w:r>
      <w:r w:rsidR="000E41E3">
        <w:t xml:space="preserve"> to build research or evaluation capacity within communities. This approach has proven to be fruitful in the New Zealand context. </w:t>
      </w:r>
    </w:p>
    <w:p w:rsidR="001F5D5B" w:rsidRDefault="00CE241D" w:rsidP="003337D5">
      <w:pPr>
        <w:pStyle w:val="BodyText"/>
      </w:pPr>
      <w:r w:rsidRPr="00CE241D">
        <w:t>Several participants argued that evaluation of Indigenous programs did not focu</w:t>
      </w:r>
      <w:r>
        <w:t xml:space="preserve">s enough on </w:t>
      </w:r>
      <w:r w:rsidR="000E41E3">
        <w:t>‘</w:t>
      </w:r>
      <w:r>
        <w:t xml:space="preserve">government </w:t>
      </w:r>
      <w:r w:rsidR="000E41E3">
        <w:t>governance’</w:t>
      </w:r>
      <w:r>
        <w:t>, noting that</w:t>
      </w:r>
      <w:r w:rsidRPr="00CE241D">
        <w:t xml:space="preserve"> Indigenous policies and programs are affected by government silos, program duplication, compliance red tape, lack of </w:t>
      </w:r>
      <w:r>
        <w:lastRenderedPageBreak/>
        <w:t xml:space="preserve">government </w:t>
      </w:r>
      <w:r w:rsidRPr="00CE241D">
        <w:t>staff competencies, piecemeal and short</w:t>
      </w:r>
      <w:r w:rsidR="002F7852">
        <w:t>-</w:t>
      </w:r>
      <w:r w:rsidRPr="00CE241D">
        <w:t>term funding</w:t>
      </w:r>
      <w:r w:rsidR="00E85310">
        <w:t>,</w:t>
      </w:r>
      <w:r w:rsidRPr="00CE241D">
        <w:t xml:space="preserve"> and lack of flexibility.</w:t>
      </w:r>
      <w:r>
        <w:t xml:space="preserve"> It was strongly argued that the current broader system was not ‘fit for purpose’. There was general agreement that </w:t>
      </w:r>
      <w:r w:rsidR="001F5D5B">
        <w:t>a high</w:t>
      </w:r>
      <w:r w:rsidR="002F7852">
        <w:t>-</w:t>
      </w:r>
      <w:r w:rsidR="001F5D5B">
        <w:t xml:space="preserve">level review of </w:t>
      </w:r>
      <w:r w:rsidR="001F5D5B" w:rsidRPr="001F5D5B">
        <w:t xml:space="preserve">the way in which </w:t>
      </w:r>
      <w:r w:rsidR="00E3068D">
        <w:t>Australian g</w:t>
      </w:r>
      <w:r w:rsidR="001F5D5B" w:rsidRPr="001F5D5B">
        <w:t>overnment</w:t>
      </w:r>
      <w:r w:rsidR="001F5D5B">
        <w:t>s</w:t>
      </w:r>
      <w:r w:rsidR="001F5D5B" w:rsidRPr="001F5D5B">
        <w:t xml:space="preserve"> interact with Indigenous people</w:t>
      </w:r>
      <w:r w:rsidR="002F7852">
        <w:t xml:space="preserve"> is required</w:t>
      </w:r>
      <w:r w:rsidR="001F5D5B" w:rsidRPr="001F5D5B">
        <w:t>.</w:t>
      </w:r>
      <w:r w:rsidR="001F5D5B">
        <w:t xml:space="preserve"> </w:t>
      </w:r>
    </w:p>
    <w:p w:rsidR="001B23A1" w:rsidRDefault="0027300D" w:rsidP="00741C7F">
      <w:pPr>
        <w:pStyle w:val="Heading3"/>
      </w:pPr>
      <w:r>
        <w:t>W</w:t>
      </w:r>
      <w:r w:rsidR="00E50927">
        <w:t>here to from here?</w:t>
      </w:r>
    </w:p>
    <w:p w:rsidR="000D3928" w:rsidRPr="00D45FA8" w:rsidRDefault="00C32F70" w:rsidP="000D3928">
      <w:pPr>
        <w:pStyle w:val="BodyText"/>
        <w:jc w:val="center"/>
        <w:rPr>
          <w:i/>
        </w:rPr>
      </w:pPr>
      <w:r>
        <w:rPr>
          <w:i/>
        </w:rPr>
        <w:t>‘</w:t>
      </w:r>
      <w:r w:rsidR="000D3928" w:rsidRPr="00D45FA8">
        <w:rPr>
          <w:i/>
        </w:rPr>
        <w:t>Do people feel like their lives are g</w:t>
      </w:r>
      <w:r w:rsidR="000D3928">
        <w:rPr>
          <w:i/>
        </w:rPr>
        <w:t>etting better?</w:t>
      </w:r>
      <w:r>
        <w:rPr>
          <w:i/>
        </w:rPr>
        <w:t>’</w:t>
      </w:r>
    </w:p>
    <w:p w:rsidR="00964FE7" w:rsidRDefault="00964FE7" w:rsidP="00741C7F">
      <w:pPr>
        <w:pStyle w:val="Heading4"/>
      </w:pPr>
      <w:r>
        <w:t>Relevant chapters</w:t>
      </w:r>
    </w:p>
    <w:p w:rsidR="00531C25" w:rsidRPr="00BB4817" w:rsidRDefault="00531C25" w:rsidP="00531C25">
      <w:pPr>
        <w:pStyle w:val="ListBullet"/>
        <w:rPr>
          <w:b/>
        </w:rPr>
      </w:pPr>
      <w:r w:rsidRPr="00BB4817">
        <w:rPr>
          <w:b/>
        </w:rPr>
        <w:t>Fred Chaney</w:t>
      </w:r>
      <w:r>
        <w:rPr>
          <w:b/>
        </w:rPr>
        <w:t xml:space="preserve"> </w:t>
      </w:r>
      <w:r w:rsidRPr="00BB4817">
        <w:t>(</w:t>
      </w:r>
      <w:r w:rsidR="00572195" w:rsidRPr="00423D6A">
        <w:t>Chapter</w:t>
      </w:r>
      <w:r w:rsidRPr="00423D6A">
        <w:t xml:space="preserve"> 3</w:t>
      </w:r>
      <w:r w:rsidRPr="00BB4817">
        <w:t>)</w:t>
      </w:r>
      <w:r>
        <w:rPr>
          <w:b/>
        </w:rPr>
        <w:t xml:space="preserve"> </w:t>
      </w:r>
      <w:r>
        <w:t xml:space="preserve">strongly </w:t>
      </w:r>
      <w:r w:rsidRPr="006076CC">
        <w:t xml:space="preserve">suggested that governments could learn from private sector project managers with ‘their feet in the clay’. Characteristics of effective social programs managed by corporations include program lifecycles of 10 or 20 years, the ability (and flexibility) </w:t>
      </w:r>
      <w:r>
        <w:t>of</w:t>
      </w:r>
      <w:r w:rsidRPr="006076CC">
        <w:t xml:space="preserve"> managers to deal with complexities as they arise</w:t>
      </w:r>
      <w:r>
        <w:t>,</w:t>
      </w:r>
      <w:r w:rsidRPr="006076CC">
        <w:t xml:space="preserve"> and ‘learning by doing’.</w:t>
      </w:r>
    </w:p>
    <w:p w:rsidR="00964FE7" w:rsidRDefault="00964FE7" w:rsidP="00964FE7">
      <w:pPr>
        <w:pStyle w:val="ListBullet"/>
      </w:pPr>
      <w:r w:rsidRPr="00964FE7">
        <w:rPr>
          <w:b/>
        </w:rPr>
        <w:t>Deborah Cobb-Clarke</w:t>
      </w:r>
      <w:r>
        <w:t xml:space="preserve"> (</w:t>
      </w:r>
      <w:r w:rsidR="00572195" w:rsidRPr="00423D6A">
        <w:t>Chapter</w:t>
      </w:r>
      <w:r w:rsidRPr="00423D6A">
        <w:t xml:space="preserve"> </w:t>
      </w:r>
      <w:r w:rsidR="002F7852" w:rsidRPr="00423D6A">
        <w:t>5</w:t>
      </w:r>
      <w:r>
        <w:t xml:space="preserve">) suggested that </w:t>
      </w:r>
      <w:r w:rsidRPr="00964FE7">
        <w:t xml:space="preserve">social policy could be improved by making evaluations (and associated unit record data) public — potentially with an independent agency to commission all policy evaluations on behalf of the Australian </w:t>
      </w:r>
      <w:r>
        <w:t>G</w:t>
      </w:r>
      <w:r w:rsidRPr="00964FE7">
        <w:t>overnment.</w:t>
      </w:r>
    </w:p>
    <w:p w:rsidR="000E41E3" w:rsidRDefault="000E41E3" w:rsidP="000E41E3">
      <w:pPr>
        <w:pStyle w:val="ListBullet"/>
      </w:pPr>
      <w:r>
        <w:rPr>
          <w:b/>
        </w:rPr>
        <w:t xml:space="preserve">Matthew James </w:t>
      </w:r>
      <w:r w:rsidRPr="00BB4817">
        <w:t>(</w:t>
      </w:r>
      <w:r w:rsidR="00572195" w:rsidRPr="00423D6A">
        <w:t>Chapter</w:t>
      </w:r>
      <w:r w:rsidRPr="00423D6A">
        <w:t xml:space="preserve"> </w:t>
      </w:r>
      <w:r w:rsidR="00CC73DE">
        <w:t>7</w:t>
      </w:r>
      <w:r w:rsidRPr="00BB4817">
        <w:t>)</w:t>
      </w:r>
      <w:r>
        <w:rPr>
          <w:b/>
        </w:rPr>
        <w:t xml:space="preserve"> </w:t>
      </w:r>
      <w:r>
        <w:t>emphasised that ‘lack of knowledge should not be used as an excuse for inaction’. Evaluations and monitoring should be built into the policy design</w:t>
      </w:r>
      <w:r w:rsidR="00771B3D">
        <w:t xml:space="preserve"> and</w:t>
      </w:r>
      <w:r>
        <w:t xml:space="preserve"> be adequately resourced (including access to key data at policy commencement and conclusion) to properly assess </w:t>
      </w:r>
      <w:r w:rsidR="001369A5">
        <w:t xml:space="preserve">whether </w:t>
      </w:r>
      <w:r>
        <w:t>there is a logical link between the policy action and the outcome.</w:t>
      </w:r>
    </w:p>
    <w:p w:rsidR="00964FE7" w:rsidRPr="00964FE7" w:rsidRDefault="000E41E3" w:rsidP="000E41E3">
      <w:pPr>
        <w:pStyle w:val="ListBullet"/>
      </w:pPr>
      <w:r>
        <w:rPr>
          <w:b/>
        </w:rPr>
        <w:t xml:space="preserve">Helen </w:t>
      </w:r>
      <w:proofErr w:type="spellStart"/>
      <w:r>
        <w:rPr>
          <w:b/>
        </w:rPr>
        <w:t>Moewaka</w:t>
      </w:r>
      <w:proofErr w:type="spellEnd"/>
      <w:r>
        <w:rPr>
          <w:b/>
        </w:rPr>
        <w:t xml:space="preserve"> Barnes </w:t>
      </w:r>
      <w:r w:rsidRPr="000E41E3">
        <w:t>(</w:t>
      </w:r>
      <w:r w:rsidR="00572195" w:rsidRPr="00423D6A">
        <w:t>Chapter</w:t>
      </w:r>
      <w:r w:rsidRPr="00423D6A">
        <w:t xml:space="preserve"> </w:t>
      </w:r>
      <w:r w:rsidR="00CC73DE">
        <w:t>10</w:t>
      </w:r>
      <w:r w:rsidRPr="000E41E3">
        <w:t xml:space="preserve">) </w:t>
      </w:r>
      <w:r w:rsidR="00374857">
        <w:t xml:space="preserve">and </w:t>
      </w:r>
      <w:r w:rsidR="00374857">
        <w:rPr>
          <w:b/>
        </w:rPr>
        <w:t xml:space="preserve">Frances Abele </w:t>
      </w:r>
      <w:r w:rsidR="00374857" w:rsidRPr="000E41E3">
        <w:t>(</w:t>
      </w:r>
      <w:r w:rsidR="00572195" w:rsidRPr="00423D6A">
        <w:t>Chapter</w:t>
      </w:r>
      <w:r w:rsidR="00CC73DE">
        <w:t xml:space="preserve"> 11</w:t>
      </w:r>
      <w:r w:rsidR="00374857" w:rsidRPr="000E41E3">
        <w:t>)</w:t>
      </w:r>
      <w:r w:rsidR="00374857">
        <w:rPr>
          <w:b/>
        </w:rPr>
        <w:t xml:space="preserve"> </w:t>
      </w:r>
      <w:r>
        <w:t xml:space="preserve">provided some lessons from Indigenous evaluation in </w:t>
      </w:r>
      <w:r w:rsidR="00374857">
        <w:t xml:space="preserve">New Zealand and </w:t>
      </w:r>
      <w:r>
        <w:t>Canada respectively.</w:t>
      </w:r>
      <w:r>
        <w:rPr>
          <w:b/>
        </w:rPr>
        <w:t xml:space="preserve"> </w:t>
      </w:r>
    </w:p>
    <w:p w:rsidR="006076CC" w:rsidRDefault="006076CC" w:rsidP="00741C7F">
      <w:pPr>
        <w:pStyle w:val="Heading4"/>
      </w:pPr>
      <w:r>
        <w:t>Discussion</w:t>
      </w:r>
    </w:p>
    <w:p w:rsidR="00DC762E" w:rsidRDefault="001369A5" w:rsidP="00FC4B8E">
      <w:pPr>
        <w:pStyle w:val="BodyText"/>
      </w:pPr>
      <w:r>
        <w:t>P</w:t>
      </w:r>
      <w:r w:rsidR="00964FE7" w:rsidRPr="00964FE7">
        <w:t xml:space="preserve">articipants identified a number of fundamental system design issues that need sustained political leadership to drive change. </w:t>
      </w:r>
      <w:r w:rsidR="00403FAA" w:rsidRPr="00DC762E">
        <w:t xml:space="preserve">There was </w:t>
      </w:r>
      <w:r w:rsidR="00403FAA">
        <w:t xml:space="preserve">a </w:t>
      </w:r>
      <w:r w:rsidR="00403FAA" w:rsidRPr="00DC762E">
        <w:t xml:space="preserve">general </w:t>
      </w:r>
      <w:r w:rsidR="00403FAA">
        <w:t xml:space="preserve">call for </w:t>
      </w:r>
      <w:r w:rsidR="00403FAA" w:rsidRPr="00DC762E">
        <w:t>a high</w:t>
      </w:r>
      <w:r w:rsidR="00D34B49">
        <w:noBreakHyphen/>
      </w:r>
      <w:r w:rsidR="00403FAA" w:rsidRPr="00DC762E">
        <w:t xml:space="preserve">level review of the way </w:t>
      </w:r>
      <w:r w:rsidR="002F7852">
        <w:t xml:space="preserve">in which </w:t>
      </w:r>
      <w:r w:rsidR="00403FAA" w:rsidRPr="00DC762E">
        <w:t xml:space="preserve">Australian governments </w:t>
      </w:r>
      <w:r w:rsidR="00403FAA">
        <w:t>interact with Indigenous people, to address issues such as</w:t>
      </w:r>
      <w:r w:rsidR="00DC762E">
        <w:t>:</w:t>
      </w:r>
    </w:p>
    <w:p w:rsidR="00DC762E" w:rsidRDefault="00403FAA" w:rsidP="00DC762E">
      <w:pPr>
        <w:pStyle w:val="ListBullet"/>
      </w:pPr>
      <w:r>
        <w:t xml:space="preserve">the </w:t>
      </w:r>
      <w:r w:rsidR="00DC762E" w:rsidRPr="00DC762E">
        <w:t xml:space="preserve">lack of basic information about </w:t>
      </w:r>
      <w:r w:rsidR="001369A5">
        <w:t>existing</w:t>
      </w:r>
      <w:r w:rsidR="001369A5" w:rsidRPr="00DC762E">
        <w:t xml:space="preserve"> </w:t>
      </w:r>
      <w:r w:rsidR="00DC762E" w:rsidRPr="00DC762E">
        <w:t>programs</w:t>
      </w:r>
      <w:r>
        <w:t>,</w:t>
      </w:r>
      <w:r w:rsidR="00DC762E" w:rsidRPr="00DC762E">
        <w:t xml:space="preserve"> </w:t>
      </w:r>
      <w:r w:rsidR="001369A5">
        <w:t xml:space="preserve">including </w:t>
      </w:r>
      <w:r>
        <w:t>their objectives and associated ‘program logic’</w:t>
      </w:r>
      <w:r w:rsidR="001369A5">
        <w:t>,</w:t>
      </w:r>
      <w:r>
        <w:t xml:space="preserve"> </w:t>
      </w:r>
      <w:r w:rsidR="00DC762E" w:rsidRPr="00DC762E">
        <w:t>at the local, state and territory</w:t>
      </w:r>
      <w:r w:rsidR="00DC762E">
        <w:t>,</w:t>
      </w:r>
      <w:r>
        <w:t xml:space="preserve"> and federal levels</w:t>
      </w:r>
    </w:p>
    <w:p w:rsidR="00403FAA" w:rsidRDefault="00403FAA" w:rsidP="00403FAA">
      <w:pPr>
        <w:pStyle w:val="ListBullet"/>
      </w:pPr>
      <w:r>
        <w:lastRenderedPageBreak/>
        <w:t>the lack of</w:t>
      </w:r>
      <w:r w:rsidRPr="00403FAA">
        <w:t xml:space="preserve"> a coherent framework for the evaluation of Indigenous policies and programs</w:t>
      </w:r>
      <w:r w:rsidR="001369A5">
        <w:t>,</w:t>
      </w:r>
      <w:r>
        <w:t xml:space="preserve"> and a need to</w:t>
      </w:r>
      <w:r w:rsidRPr="00403FAA">
        <w:t xml:space="preserve"> </w:t>
      </w:r>
      <w:r>
        <w:t xml:space="preserve">embed (and fund) </w:t>
      </w:r>
      <w:r w:rsidRPr="00403FAA">
        <w:t>evaluation plans in the design of programs</w:t>
      </w:r>
    </w:p>
    <w:p w:rsidR="00403FAA" w:rsidRDefault="00403FAA" w:rsidP="00403FAA">
      <w:pPr>
        <w:pStyle w:val="ListBullet"/>
      </w:pPr>
      <w:r>
        <w:t>the need for genuine partnership</w:t>
      </w:r>
      <w:r w:rsidR="001369A5">
        <w:t>,</w:t>
      </w:r>
      <w:r>
        <w:t xml:space="preserve"> </w:t>
      </w:r>
      <w:r w:rsidR="001369A5">
        <w:t xml:space="preserve">between </w:t>
      </w:r>
      <w:r w:rsidR="001369A5" w:rsidRPr="00403FAA">
        <w:t xml:space="preserve">governments </w:t>
      </w:r>
      <w:r w:rsidR="001369A5">
        <w:t>and</w:t>
      </w:r>
      <w:r w:rsidR="001369A5" w:rsidRPr="00403FAA">
        <w:t xml:space="preserve"> Indigenous communities and organisations</w:t>
      </w:r>
      <w:r w:rsidR="001369A5">
        <w:t xml:space="preserve">, </w:t>
      </w:r>
      <w:r w:rsidR="00771B3D">
        <w:t xml:space="preserve">in </w:t>
      </w:r>
      <w:r w:rsidR="001369A5">
        <w:t xml:space="preserve">the development and evaluation of </w:t>
      </w:r>
      <w:r w:rsidR="00771B3D">
        <w:t>program</w:t>
      </w:r>
      <w:r w:rsidR="001369A5">
        <w:t>s</w:t>
      </w:r>
      <w:r w:rsidR="00771B3D">
        <w:t xml:space="preserve"> and polic</w:t>
      </w:r>
      <w:r w:rsidR="001369A5">
        <w:t>ies</w:t>
      </w:r>
      <w:r w:rsidR="00771B3D">
        <w:t xml:space="preserve">  </w:t>
      </w:r>
    </w:p>
    <w:p w:rsidR="00DC762E" w:rsidRDefault="00DC762E" w:rsidP="00E30178">
      <w:pPr>
        <w:pStyle w:val="ListBullet"/>
      </w:pPr>
      <w:r>
        <w:t xml:space="preserve">the </w:t>
      </w:r>
      <w:r w:rsidR="00E30178">
        <w:t xml:space="preserve">influence </w:t>
      </w:r>
      <w:r w:rsidR="00403FAA">
        <w:t xml:space="preserve">on Indigenous policies and programs </w:t>
      </w:r>
      <w:r w:rsidR="00E30178">
        <w:t xml:space="preserve">of </w:t>
      </w:r>
      <w:r w:rsidR="00403FAA">
        <w:t xml:space="preserve">various aspects of </w:t>
      </w:r>
      <w:r w:rsidR="00E30178">
        <w:t>‘government governance’</w:t>
      </w:r>
      <w:r w:rsidR="00DA284F">
        <w:t>, such as</w:t>
      </w:r>
      <w:r w:rsidR="00E30178">
        <w:t xml:space="preserve"> </w:t>
      </w:r>
      <w:r w:rsidRPr="00DC762E">
        <w:t>government silos, program duplication, red tape, lack of government staff competencies, piecemeal and short</w:t>
      </w:r>
      <w:r w:rsidR="002F7852">
        <w:t>-</w:t>
      </w:r>
      <w:r w:rsidRPr="00DC762E">
        <w:t>term funding</w:t>
      </w:r>
      <w:r w:rsidR="001369A5">
        <w:t>,</w:t>
      </w:r>
      <w:r w:rsidRPr="00DC762E">
        <w:t xml:space="preserve"> and lack of flexibility</w:t>
      </w:r>
    </w:p>
    <w:p w:rsidR="00500DCD" w:rsidRDefault="00363DF5" w:rsidP="00E30178">
      <w:pPr>
        <w:pStyle w:val="ListBullet"/>
      </w:pPr>
      <w:r>
        <w:t xml:space="preserve">a </w:t>
      </w:r>
      <w:r w:rsidR="00500DCD">
        <w:t xml:space="preserve">failure to adopt known success factors </w:t>
      </w:r>
      <w:r>
        <w:t xml:space="preserve">and follow lessons </w:t>
      </w:r>
      <w:r w:rsidR="00500DCD">
        <w:t>painfully learned over many years of policy experimentation.</w:t>
      </w:r>
    </w:p>
    <w:p w:rsidR="005568F6" w:rsidRDefault="00363DF5" w:rsidP="00741C7F">
      <w:pPr>
        <w:pStyle w:val="Heading5"/>
      </w:pPr>
      <w:r>
        <w:t>B</w:t>
      </w:r>
      <w:r w:rsidR="005568F6">
        <w:t>asic information</w:t>
      </w:r>
    </w:p>
    <w:p w:rsidR="005568F6" w:rsidRDefault="00403FAA" w:rsidP="00FC4B8E">
      <w:pPr>
        <w:pStyle w:val="BodyText"/>
      </w:pPr>
      <w:r>
        <w:t xml:space="preserve">Participants argued that </w:t>
      </w:r>
      <w:r w:rsidRPr="00403FAA">
        <w:t xml:space="preserve">a lack of basic information about </w:t>
      </w:r>
      <w:r w:rsidR="00363DF5">
        <w:t>current</w:t>
      </w:r>
      <w:r w:rsidR="00363DF5" w:rsidRPr="00403FAA">
        <w:t xml:space="preserve"> </w:t>
      </w:r>
      <w:r w:rsidRPr="00403FAA">
        <w:t>programs at the local, state and territory, and federal levels mak</w:t>
      </w:r>
      <w:r>
        <w:t>es it</w:t>
      </w:r>
      <w:r w:rsidRPr="00403FAA">
        <w:t xml:space="preserve"> impossible to establish </w:t>
      </w:r>
      <w:r w:rsidR="00363DF5">
        <w:t xml:space="preserve">what </w:t>
      </w:r>
      <w:r w:rsidRPr="00403FAA">
        <w:t xml:space="preserve">programs </w:t>
      </w:r>
      <w:r w:rsidR="00363DF5">
        <w:t xml:space="preserve">are </w:t>
      </w:r>
      <w:r w:rsidRPr="00403FAA">
        <w:t xml:space="preserve">operating at the community level, </w:t>
      </w:r>
      <w:r w:rsidR="00363DF5">
        <w:t xml:space="preserve">or </w:t>
      </w:r>
      <w:r w:rsidRPr="00403FAA">
        <w:t xml:space="preserve">to evaluate them individually or collectively. It was suggested that it would be useful to have a complete register of programs to </w:t>
      </w:r>
      <w:r w:rsidR="00363DF5">
        <w:t xml:space="preserve">provide </w:t>
      </w:r>
      <w:r w:rsidRPr="00403FAA">
        <w:t xml:space="preserve">a holistic picture of what is going on in </w:t>
      </w:r>
      <w:r w:rsidR="00363DF5">
        <w:t>a</w:t>
      </w:r>
      <w:r w:rsidR="00363DF5" w:rsidRPr="00403FAA">
        <w:t xml:space="preserve"> </w:t>
      </w:r>
      <w:r w:rsidRPr="00403FAA">
        <w:t>community</w:t>
      </w:r>
      <w:r>
        <w:t xml:space="preserve">. </w:t>
      </w:r>
    </w:p>
    <w:p w:rsidR="005568F6" w:rsidRDefault="00363DF5" w:rsidP="00741C7F">
      <w:pPr>
        <w:pStyle w:val="Heading5"/>
      </w:pPr>
      <w:r>
        <w:t>C</w:t>
      </w:r>
      <w:r w:rsidR="005568F6">
        <w:t>oherent framework</w:t>
      </w:r>
    </w:p>
    <w:p w:rsidR="005568F6" w:rsidRDefault="005568F6" w:rsidP="005568F6">
      <w:pPr>
        <w:pStyle w:val="BodyText"/>
      </w:pPr>
      <w:r>
        <w:t xml:space="preserve">Participants argued that </w:t>
      </w:r>
      <w:r w:rsidR="002F7852">
        <w:t xml:space="preserve">it was necessary to have </w:t>
      </w:r>
      <w:r>
        <w:t xml:space="preserve">a coherent framework for </w:t>
      </w:r>
      <w:r w:rsidR="002F7852">
        <w:t xml:space="preserve">evaluating </w:t>
      </w:r>
      <w:r>
        <w:t xml:space="preserve">Indigenous policies and programs. </w:t>
      </w:r>
      <w:r w:rsidR="002F7852">
        <w:t xml:space="preserve">The </w:t>
      </w:r>
      <w:r>
        <w:t>Clos</w:t>
      </w:r>
      <w:r w:rsidR="002F7852">
        <w:t>ing</w:t>
      </w:r>
      <w:r>
        <w:t xml:space="preserve"> the Gap framework </w:t>
      </w:r>
      <w:r w:rsidR="00363DF5">
        <w:t>i</w:t>
      </w:r>
      <w:r w:rsidR="002F7852">
        <w:t xml:space="preserve">s </w:t>
      </w:r>
      <w:r>
        <w:t>not enough on its own, as the COAG targets mean that most programs address</w:t>
      </w:r>
      <w:r w:rsidR="00363DF5">
        <w:t xml:space="preserve"> </w:t>
      </w:r>
      <w:r>
        <w:t>symptoms and</w:t>
      </w:r>
      <w:r w:rsidR="00396EA7">
        <w:t>, consequently,</w:t>
      </w:r>
      <w:r>
        <w:t xml:space="preserve"> </w:t>
      </w:r>
      <w:r w:rsidR="000E22EE">
        <w:t xml:space="preserve">most </w:t>
      </w:r>
      <w:r w:rsidR="00363DF5">
        <w:t xml:space="preserve">program </w:t>
      </w:r>
      <w:r>
        <w:t xml:space="preserve">evaluations assess whether symptoms </w:t>
      </w:r>
      <w:r w:rsidR="002F7852">
        <w:t>ha</w:t>
      </w:r>
      <w:r w:rsidR="00363DF5">
        <w:t>ve</w:t>
      </w:r>
      <w:r w:rsidR="002F7852">
        <w:t xml:space="preserve"> </w:t>
      </w:r>
      <w:r>
        <w:t>been reduced, rather than addressing deeper causal issues. Evaluations could look more broadly and deeply</w:t>
      </w:r>
      <w:r w:rsidR="009C714E">
        <w:t>,</w:t>
      </w:r>
      <w:r>
        <w:t xml:space="preserve"> and </w:t>
      </w:r>
      <w:r w:rsidR="009C714E">
        <w:t>consider</w:t>
      </w:r>
      <w:r>
        <w:t xml:space="preserve"> other factors that are important to Indigenous people and are likely to influence the underlying drivers of disadvantage.</w:t>
      </w:r>
    </w:p>
    <w:p w:rsidR="0067209A" w:rsidRDefault="005568F6" w:rsidP="005568F6">
      <w:pPr>
        <w:pStyle w:val="BodyText"/>
      </w:pPr>
      <w:r>
        <w:t xml:space="preserve">There was general agreement that evaluation plans should be embedded (and funded) in the design of programs, a practice that should be regarded as ‘a serious part of the </w:t>
      </w:r>
      <w:r w:rsidR="008756FF">
        <w:t xml:space="preserve">policy </w:t>
      </w:r>
      <w:r>
        <w:t xml:space="preserve">process’ but is more common in other countries than in Australia. </w:t>
      </w:r>
      <w:r w:rsidR="0067209A">
        <w:t xml:space="preserve">The lack of assessment or evaluation has not only resulted in significant gaps in the Australian evidence base, but has </w:t>
      </w:r>
      <w:r w:rsidR="00363DF5">
        <w:t xml:space="preserve">also </w:t>
      </w:r>
      <w:r w:rsidR="0067209A">
        <w:t>contributed to ‘a litany of poor policies being recycled’.</w:t>
      </w:r>
    </w:p>
    <w:p w:rsidR="005568F6" w:rsidRDefault="005568F6" w:rsidP="005568F6">
      <w:pPr>
        <w:pStyle w:val="BodyText"/>
      </w:pPr>
      <w:r>
        <w:lastRenderedPageBreak/>
        <w:t xml:space="preserve">Participants also noted the importance of truly independent evaluations, conducted at </w:t>
      </w:r>
      <w:r w:rsidR="009C714E">
        <w:t>arms-</w:t>
      </w:r>
      <w:r w:rsidR="00910B94">
        <w:t>length</w:t>
      </w:r>
      <w:r>
        <w:t xml:space="preserve"> from government. It was suggested that social policy could be improved by making all evaluations (and associated unit record data) public — potentially with an independent agency to commission all policy evaluations on behalf of the Australian Government. Although these principles were strongly supported, participants struggled to identify a mechanism to encourage compliance</w:t>
      </w:r>
      <w:r w:rsidR="00363DF5">
        <w:t>.</w:t>
      </w:r>
      <w:r w:rsidR="0067209A">
        <w:t xml:space="preserve"> </w:t>
      </w:r>
      <w:r>
        <w:t xml:space="preserve">COAG agreement to </w:t>
      </w:r>
      <w:r w:rsidR="009C714E">
        <w:t xml:space="preserve">list all </w:t>
      </w:r>
      <w:r>
        <w:t xml:space="preserve">evaluations of Indigenous programs on the Closing the Gap Clearinghouse’s Research and Evaluation Register </w:t>
      </w:r>
      <w:r w:rsidR="0067209A">
        <w:t>c</w:t>
      </w:r>
      <w:r>
        <w:t>ould be a good start.</w:t>
      </w:r>
    </w:p>
    <w:p w:rsidR="005568F6" w:rsidRDefault="005568F6" w:rsidP="00741C7F">
      <w:pPr>
        <w:pStyle w:val="Heading5"/>
      </w:pPr>
      <w:r>
        <w:t>Genuine partnership</w:t>
      </w:r>
    </w:p>
    <w:p w:rsidR="005568F6" w:rsidRDefault="005568F6" w:rsidP="00FC4B8E">
      <w:pPr>
        <w:pStyle w:val="BodyText"/>
      </w:pPr>
      <w:r w:rsidRPr="005568F6">
        <w:t>Participants noted that many publicly funded evaluations of Indigenous programs (especially service delivery programs) are accountability-oriented ‘audit and punish’ exercises</w:t>
      </w:r>
      <w:r w:rsidR="0067209A">
        <w:t>, and</w:t>
      </w:r>
      <w:r w:rsidR="0067209A" w:rsidRPr="0067209A">
        <w:t xml:space="preserve"> that the goals implicit in evaluations </w:t>
      </w:r>
      <w:r w:rsidR="0067209A">
        <w:t xml:space="preserve">do not </w:t>
      </w:r>
      <w:r w:rsidR="0067209A" w:rsidRPr="0067209A">
        <w:t>match the interests of Indigenous people</w:t>
      </w:r>
      <w:r w:rsidRPr="005568F6">
        <w:t xml:space="preserve">. Participants argued that </w:t>
      </w:r>
      <w:r w:rsidR="009E1B59">
        <w:t xml:space="preserve">rather than the auditor–punisher model </w:t>
      </w:r>
      <w:r w:rsidRPr="005568F6">
        <w:t xml:space="preserve">there are other models </w:t>
      </w:r>
      <w:r w:rsidR="009E1B59">
        <w:t xml:space="preserve">that enable </w:t>
      </w:r>
      <w:r w:rsidRPr="005568F6">
        <w:t xml:space="preserve">government to work with service providers as a partner. The Productivity Commission report on the contribution of the not-for-profit sector set out a continuum of ways </w:t>
      </w:r>
      <w:r w:rsidR="00363DF5">
        <w:t xml:space="preserve">in which </w:t>
      </w:r>
      <w:r w:rsidRPr="005568F6">
        <w:t>government could engage with the sector for different purposes, and noted that</w:t>
      </w:r>
      <w:r w:rsidR="00363DF5">
        <w:t xml:space="preserve"> </w:t>
      </w:r>
      <w:r w:rsidRPr="009C714E">
        <w:rPr>
          <w:i/>
        </w:rPr>
        <w:t>how</w:t>
      </w:r>
      <w:r w:rsidRPr="005568F6">
        <w:t xml:space="preserve"> </w:t>
      </w:r>
      <w:r w:rsidR="00363DF5">
        <w:t>a thing</w:t>
      </w:r>
      <w:r w:rsidR="00363DF5" w:rsidRPr="005568F6">
        <w:t xml:space="preserve"> </w:t>
      </w:r>
      <w:r w:rsidRPr="005568F6">
        <w:t xml:space="preserve">is done can </w:t>
      </w:r>
      <w:r w:rsidR="00363DF5">
        <w:t xml:space="preserve">sometimes </w:t>
      </w:r>
      <w:r w:rsidRPr="005568F6">
        <w:t xml:space="preserve">be as important as </w:t>
      </w:r>
      <w:r w:rsidRPr="009C714E">
        <w:rPr>
          <w:i/>
        </w:rPr>
        <w:t>what</w:t>
      </w:r>
      <w:r w:rsidRPr="005568F6">
        <w:t xml:space="preserve"> is done (PC 2010). </w:t>
      </w:r>
    </w:p>
    <w:p w:rsidR="005568F6" w:rsidRDefault="00363DF5" w:rsidP="00FC4B8E">
      <w:pPr>
        <w:pStyle w:val="BodyText"/>
      </w:pPr>
      <w:r>
        <w:t>Participants agreed that it</w:t>
      </w:r>
      <w:r w:rsidRPr="005568F6">
        <w:t xml:space="preserve"> </w:t>
      </w:r>
      <w:r>
        <w:t>i</w:t>
      </w:r>
      <w:r w:rsidR="005568F6" w:rsidRPr="005568F6">
        <w:t xml:space="preserve">s crucial that governments work in partnership with Indigenous communities and organisations to ensure that the goals implicit in evaluations match the interests of Indigenous people. Governments need to </w:t>
      </w:r>
      <w:r w:rsidR="005568F6">
        <w:t xml:space="preserve">move beyond the rhetoric of ‘consultation’ to </w:t>
      </w:r>
      <w:r w:rsidR="005568F6" w:rsidRPr="005568F6">
        <w:t>grapple with genuine partnership that involves shared accountabilities and sustained involvement.</w:t>
      </w:r>
    </w:p>
    <w:p w:rsidR="005568F6" w:rsidRDefault="005568F6" w:rsidP="00741C7F">
      <w:pPr>
        <w:pStyle w:val="Heading5"/>
      </w:pPr>
      <w:r>
        <w:t>Government governance</w:t>
      </w:r>
    </w:p>
    <w:p w:rsidR="005568F6" w:rsidRDefault="005568F6" w:rsidP="00FC4B8E">
      <w:pPr>
        <w:pStyle w:val="BodyText"/>
      </w:pPr>
      <w:r>
        <w:t xml:space="preserve">Many participants argued that piecemeal evaluations of specific policies and programs will not address the broader </w:t>
      </w:r>
      <w:r w:rsidRPr="005568F6">
        <w:t>influence of ‘government governance’</w:t>
      </w:r>
      <w:r w:rsidR="00DA284F">
        <w:t>:</w:t>
      </w:r>
      <w:r>
        <w:t xml:space="preserve"> the way governments interact with Indigenous people and organisations.</w:t>
      </w:r>
      <w:r w:rsidRPr="005568F6">
        <w:t xml:space="preserve"> </w:t>
      </w:r>
    </w:p>
    <w:p w:rsidR="00403FAA" w:rsidRDefault="00403FAA" w:rsidP="00FC4B8E">
      <w:pPr>
        <w:pStyle w:val="BodyText"/>
      </w:pPr>
      <w:r>
        <w:t xml:space="preserve">It was suggested that </w:t>
      </w:r>
      <w:r w:rsidR="00FC4B8E">
        <w:t>COAG should rationalise the large number of Indigenous programs and their associated funding arrangements, reduce the disproportionate amount of red tape attached to Indigenous programs, and improve the capacit</w:t>
      </w:r>
      <w:r>
        <w:t>ies</w:t>
      </w:r>
      <w:r w:rsidR="00FC4B8E">
        <w:t xml:space="preserve"> of public servants working with Indigenous people </w:t>
      </w:r>
      <w:r w:rsidR="00771B3D">
        <w:t xml:space="preserve">as well as the capacities of </w:t>
      </w:r>
      <w:r w:rsidR="00FC4B8E">
        <w:t>Indigenous organisations.</w:t>
      </w:r>
      <w:r w:rsidR="00DE419C">
        <w:t xml:space="preserve"> </w:t>
      </w:r>
      <w:r w:rsidR="0067209A">
        <w:t>It was also suggested that governments reassess data collection policies to ensure that data about Indigenous people are</w:t>
      </w:r>
      <w:r w:rsidR="0067209A" w:rsidRPr="00117970">
        <w:t xml:space="preserve"> of use to Indigenous peopl</w:t>
      </w:r>
      <w:r w:rsidR="0067209A">
        <w:t xml:space="preserve">e themselves. </w:t>
      </w:r>
    </w:p>
    <w:p w:rsidR="00500DCD" w:rsidRDefault="00363DF5" w:rsidP="00741C7F">
      <w:pPr>
        <w:pStyle w:val="Heading5"/>
      </w:pPr>
      <w:r>
        <w:lastRenderedPageBreak/>
        <w:t>K</w:t>
      </w:r>
      <w:r w:rsidR="00500DCD">
        <w:t>nown success factors</w:t>
      </w:r>
    </w:p>
    <w:p w:rsidR="00DC762E" w:rsidRDefault="00DC762E" w:rsidP="00DE419C">
      <w:pPr>
        <w:pStyle w:val="BodyText"/>
      </w:pPr>
      <w:r>
        <w:t>Despite general agreement that a more systematic approach to evaluation was needed, s</w:t>
      </w:r>
      <w:r w:rsidR="00DE419C">
        <w:t xml:space="preserve">everal participants suggested that </w:t>
      </w:r>
      <w:r>
        <w:t>m</w:t>
      </w:r>
      <w:r w:rsidRPr="00DC762E">
        <w:t xml:space="preserve">any of the factors for success are </w:t>
      </w:r>
      <w:r>
        <w:t xml:space="preserve">already </w:t>
      </w:r>
      <w:r w:rsidRPr="00DC762E">
        <w:t xml:space="preserve">known and agreed. </w:t>
      </w:r>
      <w:r w:rsidR="00403FAA" w:rsidRPr="00DC762E">
        <w:t>These</w:t>
      </w:r>
      <w:r w:rsidRPr="00DC762E">
        <w:t xml:space="preserve"> </w:t>
      </w:r>
      <w:r w:rsidR="00E30178">
        <w:t>include</w:t>
      </w:r>
      <w:r w:rsidRPr="00DC762E">
        <w:t xml:space="preserve"> lessons from </w:t>
      </w:r>
      <w:r w:rsidR="00E30178">
        <w:t xml:space="preserve">evaluations of the COAG </w:t>
      </w:r>
      <w:r w:rsidR="009C714E">
        <w:t>T</w:t>
      </w:r>
      <w:r w:rsidR="00E30178">
        <w:t>rials and</w:t>
      </w:r>
      <w:r w:rsidRPr="00DC762E">
        <w:t xml:space="preserve"> Shared Responsibility Agreements, </w:t>
      </w:r>
      <w:r w:rsidR="00E30178">
        <w:t xml:space="preserve">the work of the </w:t>
      </w:r>
      <w:r>
        <w:t xml:space="preserve">Closing the Gap Clearinghouse and the </w:t>
      </w:r>
      <w:r w:rsidR="009E1B59">
        <w:t xml:space="preserve">Overcoming Indigenous Disadvantage </w:t>
      </w:r>
      <w:r w:rsidR="0067209A">
        <w:t>‘things that w</w:t>
      </w:r>
      <w:r>
        <w:t>ork</w:t>
      </w:r>
      <w:r w:rsidR="0067209A">
        <w:t>’</w:t>
      </w:r>
      <w:r>
        <w:t>. E</w:t>
      </w:r>
      <w:r w:rsidRPr="00DC762E">
        <w:t xml:space="preserve">valuations </w:t>
      </w:r>
      <w:r>
        <w:t xml:space="preserve">should </w:t>
      </w:r>
      <w:r w:rsidR="00E55D8C">
        <w:t>consider</w:t>
      </w:r>
      <w:r>
        <w:t xml:space="preserve"> </w:t>
      </w:r>
      <w:r w:rsidRPr="00DC762E">
        <w:t>whether the</w:t>
      </w:r>
      <w:r>
        <w:t>se</w:t>
      </w:r>
      <w:r w:rsidRPr="00DC762E">
        <w:t xml:space="preserve"> factors have been applied and</w:t>
      </w:r>
      <w:r w:rsidR="009E1B59">
        <w:t>,</w:t>
      </w:r>
      <w:r w:rsidRPr="00DC762E">
        <w:t xml:space="preserve"> if they have not, </w:t>
      </w:r>
      <w:r w:rsidR="00E55D8C">
        <w:t xml:space="preserve">identify </w:t>
      </w:r>
      <w:r w:rsidRPr="00DC762E">
        <w:t>the barriers</w:t>
      </w:r>
      <w:r>
        <w:t xml:space="preserve"> to their implementation.</w:t>
      </w:r>
    </w:p>
    <w:p w:rsidR="005568F6" w:rsidRDefault="005568F6" w:rsidP="00D3062A">
      <w:pPr>
        <w:pStyle w:val="Heading2"/>
      </w:pPr>
      <w:r>
        <w:t xml:space="preserve">Conclusion </w:t>
      </w:r>
    </w:p>
    <w:p w:rsidR="00953D0E" w:rsidRDefault="00E30178" w:rsidP="00DE419C">
      <w:pPr>
        <w:pStyle w:val="BodyText"/>
        <w:rPr>
          <w:szCs w:val="26"/>
        </w:rPr>
      </w:pPr>
      <w:r w:rsidRPr="00E30178">
        <w:t xml:space="preserve">In his final summary, Chairman Gary Banks noted </w:t>
      </w:r>
      <w:r w:rsidR="00771B3D">
        <w:t xml:space="preserve">that </w:t>
      </w:r>
      <w:r w:rsidR="00771B3D">
        <w:rPr>
          <w:szCs w:val="26"/>
        </w:rPr>
        <w:t xml:space="preserve">social policy is notoriously difficult to design and evaluate, and that Indigenous policy involves unique challenges. </w:t>
      </w:r>
      <w:r w:rsidR="00953D0E">
        <w:rPr>
          <w:szCs w:val="26"/>
        </w:rPr>
        <w:t>However, he emphasised the importance of conducting quality evaluations, and using the evidence gained from them to drive policy improvements that benefit Indigenous people and the wider community.</w:t>
      </w:r>
    </w:p>
    <w:p w:rsidR="00771B3D" w:rsidRDefault="00E55D8C" w:rsidP="00DE419C">
      <w:pPr>
        <w:pStyle w:val="BodyText"/>
        <w:rPr>
          <w:szCs w:val="26"/>
        </w:rPr>
      </w:pPr>
      <w:r>
        <w:rPr>
          <w:szCs w:val="26"/>
        </w:rPr>
        <w:t xml:space="preserve">The Chairman </w:t>
      </w:r>
      <w:r w:rsidR="00953D0E">
        <w:rPr>
          <w:szCs w:val="26"/>
        </w:rPr>
        <w:t>thanked</w:t>
      </w:r>
      <w:r w:rsidR="00771B3D">
        <w:rPr>
          <w:szCs w:val="26"/>
        </w:rPr>
        <w:t xml:space="preserve"> </w:t>
      </w:r>
      <w:r w:rsidR="00771B3D">
        <w:t>roundtable participants</w:t>
      </w:r>
      <w:r w:rsidR="00953D0E">
        <w:t>, particularly those from overseas, for their</w:t>
      </w:r>
      <w:r w:rsidR="00771B3D" w:rsidRPr="00E30178">
        <w:t xml:space="preserve"> </w:t>
      </w:r>
      <w:r w:rsidR="00771B3D">
        <w:t xml:space="preserve">contributions to identifying </w:t>
      </w:r>
      <w:r w:rsidR="00616A6E">
        <w:t>ways</w:t>
      </w:r>
      <w:r w:rsidR="00771B3D">
        <w:rPr>
          <w:szCs w:val="26"/>
        </w:rPr>
        <w:t xml:space="preserve"> to guide better use of evaluation in Indigenous policy in the future</w:t>
      </w:r>
      <w:r w:rsidR="00953D0E">
        <w:rPr>
          <w:szCs w:val="26"/>
        </w:rPr>
        <w:t xml:space="preserve">. He noted suggestions for improving the way evaluations are conducted, and for ensuring </w:t>
      </w:r>
      <w:r w:rsidR="009E1B59">
        <w:rPr>
          <w:szCs w:val="26"/>
        </w:rPr>
        <w:t xml:space="preserve">that </w:t>
      </w:r>
      <w:r w:rsidR="00953D0E">
        <w:rPr>
          <w:szCs w:val="26"/>
        </w:rPr>
        <w:t>the outcomes of evaluations are</w:t>
      </w:r>
      <w:r w:rsidR="00953D0E" w:rsidRPr="00953D0E">
        <w:rPr>
          <w:szCs w:val="26"/>
        </w:rPr>
        <w:t xml:space="preserve"> convey</w:t>
      </w:r>
      <w:r w:rsidR="00953D0E">
        <w:rPr>
          <w:szCs w:val="26"/>
        </w:rPr>
        <w:t>ed</w:t>
      </w:r>
      <w:r w:rsidR="00953D0E" w:rsidRPr="00953D0E">
        <w:rPr>
          <w:szCs w:val="26"/>
        </w:rPr>
        <w:t xml:space="preserve"> to both policymakers and ‘those on the ground’</w:t>
      </w:r>
      <w:r w:rsidR="00953D0E">
        <w:rPr>
          <w:szCs w:val="26"/>
        </w:rPr>
        <w:t>.</w:t>
      </w:r>
    </w:p>
    <w:p w:rsidR="00771B3D" w:rsidRDefault="00771B3D" w:rsidP="00DE419C">
      <w:pPr>
        <w:pStyle w:val="BodyText"/>
      </w:pPr>
      <w:r>
        <w:rPr>
          <w:szCs w:val="26"/>
        </w:rPr>
        <w:t xml:space="preserve">However, </w:t>
      </w:r>
      <w:r w:rsidR="00953D0E">
        <w:rPr>
          <w:szCs w:val="26"/>
        </w:rPr>
        <w:t>he also highlighted participants’</w:t>
      </w:r>
      <w:r w:rsidR="00EC3DEE">
        <w:rPr>
          <w:szCs w:val="26"/>
        </w:rPr>
        <w:t xml:space="preserve"> </w:t>
      </w:r>
      <w:r w:rsidR="00823D9F">
        <w:rPr>
          <w:szCs w:val="26"/>
        </w:rPr>
        <w:t>concern</w:t>
      </w:r>
      <w:r>
        <w:rPr>
          <w:szCs w:val="26"/>
        </w:rPr>
        <w:t xml:space="preserve"> that </w:t>
      </w:r>
      <w:r w:rsidR="00953D0E">
        <w:rPr>
          <w:szCs w:val="26"/>
        </w:rPr>
        <w:t>piecemeal evaluations cannot address systemic issues. Political commitment to a</w:t>
      </w:r>
      <w:r>
        <w:rPr>
          <w:szCs w:val="26"/>
        </w:rPr>
        <w:t xml:space="preserve"> </w:t>
      </w:r>
      <w:r w:rsidRPr="00D512D7">
        <w:rPr>
          <w:szCs w:val="26"/>
        </w:rPr>
        <w:t>broad policy review</w:t>
      </w:r>
      <w:r>
        <w:rPr>
          <w:szCs w:val="26"/>
        </w:rPr>
        <w:t xml:space="preserve"> </w:t>
      </w:r>
      <w:r w:rsidR="00953D0E">
        <w:rPr>
          <w:szCs w:val="26"/>
        </w:rPr>
        <w:t>i</w:t>
      </w:r>
      <w:r>
        <w:rPr>
          <w:szCs w:val="26"/>
        </w:rPr>
        <w:t xml:space="preserve">s required to address </w:t>
      </w:r>
      <w:r w:rsidRPr="00D512D7">
        <w:rPr>
          <w:szCs w:val="26"/>
        </w:rPr>
        <w:t xml:space="preserve">fundamental </w:t>
      </w:r>
      <w:r>
        <w:rPr>
          <w:szCs w:val="26"/>
        </w:rPr>
        <w:t>issues with ‘government governance’</w:t>
      </w:r>
      <w:r w:rsidR="00DA284F">
        <w:rPr>
          <w:szCs w:val="26"/>
        </w:rPr>
        <w:t>:</w:t>
      </w:r>
      <w:r>
        <w:rPr>
          <w:szCs w:val="26"/>
        </w:rPr>
        <w:t xml:space="preserve"> </w:t>
      </w:r>
      <w:r>
        <w:rPr>
          <w:rFonts w:ascii="TimesNewRomanPSMT" w:hAnsi="TimesNewRomanPSMT" w:cs="TimesNewRomanPSMT"/>
          <w:szCs w:val="26"/>
        </w:rPr>
        <w:t>the way governments work with, and in, Indigenous communities</w:t>
      </w:r>
      <w:r>
        <w:rPr>
          <w:szCs w:val="26"/>
        </w:rPr>
        <w:t>.</w:t>
      </w:r>
    </w:p>
    <w:sectPr w:rsidR="00771B3D" w:rsidSect="0089285E">
      <w:headerReference w:type="even" r:id="rId9"/>
      <w:headerReference w:type="default" r:id="rId10"/>
      <w:footerReference w:type="even" r:id="rId11"/>
      <w:footerReference w:type="default" r:id="rId12"/>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8EE" w:rsidRDefault="00B068EE">
      <w:r>
        <w:separator/>
      </w:r>
    </w:p>
  </w:endnote>
  <w:endnote w:type="continuationSeparator" w:id="0">
    <w:p w:rsidR="00B068EE" w:rsidRDefault="00B06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B068EE">
      <w:trPr>
        <w:trHeight w:hRule="exact" w:val="740"/>
      </w:trPr>
      <w:tc>
        <w:tcPr>
          <w:tcW w:w="510" w:type="dxa"/>
          <w:tcBorders>
            <w:top w:val="single" w:sz="6" w:space="0" w:color="auto"/>
          </w:tcBorders>
        </w:tcPr>
        <w:p w:rsidR="00B068EE" w:rsidRDefault="00B068EE"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613AFB">
            <w:rPr>
              <w:rStyle w:val="PageNumber"/>
              <w:noProof/>
            </w:rPr>
            <w:t>2</w:t>
          </w:r>
          <w:r>
            <w:rPr>
              <w:rStyle w:val="PageNumber"/>
            </w:rPr>
            <w:fldChar w:fldCharType="end"/>
          </w:r>
        </w:p>
      </w:tc>
      <w:tc>
        <w:tcPr>
          <w:tcW w:w="1644" w:type="dxa"/>
          <w:tcBorders>
            <w:top w:val="single" w:sz="6" w:space="0" w:color="auto"/>
          </w:tcBorders>
        </w:tcPr>
        <w:p w:rsidR="00B068EE" w:rsidRDefault="00613AFB" w:rsidP="0019293B">
          <w:pPr>
            <w:pStyle w:val="Footer"/>
          </w:pPr>
          <w:r>
            <w:fldChar w:fldCharType="begin"/>
          </w:r>
          <w:r>
            <w:instrText xml:space="preserve"> SUBJECT  \* MERGEFORMAT </w:instrText>
          </w:r>
          <w:r>
            <w:fldChar w:fldCharType="separate"/>
          </w:r>
          <w:r w:rsidR="001D75EB">
            <w:t>Better Indigenous Policies: The Role of Evaluation</w:t>
          </w:r>
          <w:r>
            <w:fldChar w:fldCharType="end"/>
          </w:r>
        </w:p>
      </w:tc>
      <w:tc>
        <w:tcPr>
          <w:tcW w:w="6634" w:type="dxa"/>
        </w:tcPr>
        <w:p w:rsidR="00B068EE" w:rsidRDefault="00B068EE" w:rsidP="0019293B">
          <w:pPr>
            <w:pStyle w:val="Footer"/>
          </w:pPr>
        </w:p>
      </w:tc>
    </w:tr>
  </w:tbl>
  <w:p w:rsidR="00B068EE" w:rsidRDefault="00B068EE"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B068EE">
      <w:trPr>
        <w:trHeight w:hRule="exact" w:val="740"/>
      </w:trPr>
      <w:tc>
        <w:tcPr>
          <w:tcW w:w="6634" w:type="dxa"/>
        </w:tcPr>
        <w:p w:rsidR="00B068EE" w:rsidRDefault="00B068EE">
          <w:pPr>
            <w:pStyle w:val="Footer"/>
            <w:ind w:right="360" w:firstLine="360"/>
          </w:pPr>
        </w:p>
      </w:tc>
      <w:tc>
        <w:tcPr>
          <w:tcW w:w="1644" w:type="dxa"/>
          <w:tcBorders>
            <w:top w:val="single" w:sz="6" w:space="0" w:color="auto"/>
          </w:tcBorders>
        </w:tcPr>
        <w:p w:rsidR="00B068EE" w:rsidRDefault="00613AFB">
          <w:pPr>
            <w:pStyle w:val="Footer"/>
          </w:pPr>
          <w:r>
            <w:fldChar w:fldCharType="begin"/>
          </w:r>
          <w:r>
            <w:instrText xml:space="preserve"> TITLE  \* MERGEFORMAT </w:instrText>
          </w:r>
          <w:r>
            <w:fldChar w:fldCharType="separate"/>
          </w:r>
          <w:r w:rsidR="001D75EB">
            <w:t>Summary of Discussions</w:t>
          </w:r>
          <w:r>
            <w:fldChar w:fldCharType="end"/>
          </w:r>
        </w:p>
      </w:tc>
      <w:tc>
        <w:tcPr>
          <w:tcW w:w="510" w:type="dxa"/>
          <w:tcBorders>
            <w:top w:val="single" w:sz="6" w:space="0" w:color="auto"/>
          </w:tcBorders>
        </w:tcPr>
        <w:p w:rsidR="00B068EE" w:rsidRDefault="00B068EE">
          <w:pPr>
            <w:pStyle w:val="Footer"/>
            <w:jc w:val="right"/>
          </w:pPr>
          <w:r>
            <w:rPr>
              <w:rStyle w:val="PageNumber"/>
            </w:rPr>
            <w:fldChar w:fldCharType="begin"/>
          </w:r>
          <w:r>
            <w:rPr>
              <w:rStyle w:val="PageNumber"/>
            </w:rPr>
            <w:instrText xml:space="preserve">PAGE  </w:instrText>
          </w:r>
          <w:r>
            <w:rPr>
              <w:rStyle w:val="PageNumber"/>
            </w:rPr>
            <w:fldChar w:fldCharType="separate"/>
          </w:r>
          <w:r w:rsidR="00613AFB">
            <w:rPr>
              <w:rStyle w:val="PageNumber"/>
              <w:noProof/>
            </w:rPr>
            <w:t>1</w:t>
          </w:r>
          <w:r>
            <w:rPr>
              <w:rStyle w:val="PageNumber"/>
            </w:rPr>
            <w:fldChar w:fldCharType="end"/>
          </w:r>
        </w:p>
      </w:tc>
    </w:tr>
  </w:tbl>
  <w:p w:rsidR="00B068EE" w:rsidRDefault="00B068EE">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8EE" w:rsidRDefault="00B068EE">
      <w:r>
        <w:separator/>
      </w:r>
    </w:p>
  </w:footnote>
  <w:footnote w:type="continuationSeparator" w:id="0">
    <w:p w:rsidR="00B068EE" w:rsidRDefault="00B068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068EE">
      <w:tc>
        <w:tcPr>
          <w:tcW w:w="2155" w:type="dxa"/>
          <w:tcBorders>
            <w:top w:val="single" w:sz="24" w:space="0" w:color="auto"/>
          </w:tcBorders>
        </w:tcPr>
        <w:p w:rsidR="00B068EE" w:rsidRDefault="00B068EE" w:rsidP="0019293B">
          <w:pPr>
            <w:pStyle w:val="HeaderEven"/>
          </w:pPr>
        </w:p>
      </w:tc>
      <w:tc>
        <w:tcPr>
          <w:tcW w:w="6634" w:type="dxa"/>
          <w:tcBorders>
            <w:top w:val="single" w:sz="6" w:space="0" w:color="auto"/>
          </w:tcBorders>
        </w:tcPr>
        <w:p w:rsidR="00B068EE" w:rsidRDefault="00B068EE" w:rsidP="0019293B">
          <w:pPr>
            <w:pStyle w:val="HeaderEven"/>
          </w:pPr>
        </w:p>
      </w:tc>
    </w:tr>
  </w:tbl>
  <w:p w:rsidR="00B068EE" w:rsidRDefault="00B068EE"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068EE">
      <w:tc>
        <w:tcPr>
          <w:tcW w:w="6634" w:type="dxa"/>
          <w:tcBorders>
            <w:top w:val="single" w:sz="6" w:space="0" w:color="auto"/>
          </w:tcBorders>
        </w:tcPr>
        <w:p w:rsidR="00B068EE" w:rsidRDefault="00B068EE" w:rsidP="00E669E2">
          <w:pPr>
            <w:pStyle w:val="HeaderOdd"/>
          </w:pPr>
        </w:p>
      </w:tc>
      <w:tc>
        <w:tcPr>
          <w:tcW w:w="2155" w:type="dxa"/>
          <w:tcBorders>
            <w:top w:val="single" w:sz="24" w:space="0" w:color="auto"/>
          </w:tcBorders>
        </w:tcPr>
        <w:p w:rsidR="00B068EE" w:rsidRDefault="00B068EE" w:rsidP="00E669E2">
          <w:pPr>
            <w:pStyle w:val="HeaderOdd"/>
          </w:pPr>
        </w:p>
      </w:tc>
    </w:tr>
  </w:tbl>
  <w:p w:rsidR="00B068EE" w:rsidRDefault="00B068EE"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54E38C1"/>
    <w:multiLevelType w:val="hybridMultilevel"/>
    <w:tmpl w:val="AE50A782"/>
    <w:lvl w:ilvl="0" w:tplc="4238EA6C">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2">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07057F34"/>
    <w:multiLevelType w:val="singleLevel"/>
    <w:tmpl w:val="ED98921A"/>
    <w:lvl w:ilvl="0">
      <w:start w:val="1"/>
      <w:numFmt w:val="decimal"/>
      <w:lvlText w:val="%1."/>
      <w:legacy w:legacy="1" w:legacySpace="0" w:legacyIndent="340"/>
      <w:lvlJc w:val="left"/>
      <w:pPr>
        <w:ind w:left="340" w:hanging="340"/>
      </w:pPr>
    </w:lvl>
  </w:abstractNum>
  <w:abstractNum w:abstractNumId="14">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9">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2">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5">
    <w:nsid w:val="51F74561"/>
    <w:multiLevelType w:val="singleLevel"/>
    <w:tmpl w:val="ED98921A"/>
    <w:lvl w:ilvl="0">
      <w:start w:val="1"/>
      <w:numFmt w:val="decimal"/>
      <w:lvlText w:val="%1."/>
      <w:legacy w:legacy="1" w:legacySpace="0" w:legacyIndent="340"/>
      <w:lvlJc w:val="left"/>
      <w:pPr>
        <w:ind w:left="340" w:hanging="340"/>
      </w:p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1320C1E"/>
    <w:multiLevelType w:val="singleLevel"/>
    <w:tmpl w:val="C444122C"/>
    <w:lvl w:ilvl="0">
      <w:start w:val="1"/>
      <w:numFmt w:val="decimal"/>
      <w:lvlText w:val="%1."/>
      <w:legacy w:legacy="1" w:legacySpace="0" w:legacyIndent="284"/>
      <w:lvlJc w:val="left"/>
      <w:pPr>
        <w:ind w:left="284" w:hanging="284"/>
      </w:p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1"/>
  </w:num>
  <w:num w:numId="2">
    <w:abstractNumId w:val="43"/>
  </w:num>
  <w:num w:numId="3">
    <w:abstractNumId w:val="7"/>
  </w:num>
  <w:num w:numId="4">
    <w:abstractNumId w:val="26"/>
  </w:num>
  <w:num w:numId="5">
    <w:abstractNumId w:val="9"/>
  </w:num>
  <w:num w:numId="6">
    <w:abstractNumId w:val="38"/>
  </w:num>
  <w:num w:numId="7">
    <w:abstractNumId w:val="29"/>
  </w:num>
  <w:num w:numId="8">
    <w:abstractNumId w:val="44"/>
  </w:num>
  <w:num w:numId="9">
    <w:abstractNumId w:val="17"/>
  </w:num>
  <w:num w:numId="10">
    <w:abstractNumId w:val="27"/>
  </w:num>
  <w:num w:numId="11">
    <w:abstractNumId w:val="16"/>
  </w:num>
  <w:num w:numId="12">
    <w:abstractNumId w:val="15"/>
  </w:num>
  <w:num w:numId="13">
    <w:abstractNumId w:val="18"/>
  </w:num>
  <w:num w:numId="14">
    <w:abstractNumId w:val="20"/>
  </w:num>
  <w:num w:numId="15">
    <w:abstractNumId w:val="23"/>
  </w:num>
  <w:num w:numId="16">
    <w:abstractNumId w:val="11"/>
  </w:num>
  <w:num w:numId="17">
    <w:abstractNumId w:val="31"/>
  </w:num>
  <w:num w:numId="18">
    <w:abstractNumId w:val="10"/>
  </w:num>
  <w:num w:numId="19">
    <w:abstractNumId w:val="26"/>
  </w:num>
  <w:num w:numId="20">
    <w:abstractNumId w:val="5"/>
  </w:num>
  <w:num w:numId="21">
    <w:abstractNumId w:val="3"/>
  </w:num>
  <w:num w:numId="22">
    <w:abstractNumId w:val="2"/>
  </w:num>
  <w:num w:numId="23">
    <w:abstractNumId w:val="4"/>
  </w:num>
  <w:num w:numId="24">
    <w:abstractNumId w:val="1"/>
  </w:num>
  <w:num w:numId="25">
    <w:abstractNumId w:val="0"/>
  </w:num>
  <w:num w:numId="26">
    <w:abstractNumId w:val="13"/>
  </w:num>
  <w:num w:numId="27">
    <w:abstractNumId w:val="35"/>
  </w:num>
  <w:num w:numId="28">
    <w:abstractNumId w:val="37"/>
  </w:num>
  <w:num w:numId="29">
    <w:abstractNumId w:val="25"/>
  </w:num>
  <w:num w:numId="30">
    <w:abstractNumId w:val="28"/>
  </w:num>
  <w:num w:numId="31">
    <w:abstractNumId w:val="30"/>
  </w:num>
  <w:num w:numId="32">
    <w:abstractNumId w:val="42"/>
  </w:num>
  <w:num w:numId="33">
    <w:abstractNumId w:val="34"/>
  </w:num>
  <w:num w:numId="34">
    <w:abstractNumId w:val="39"/>
  </w:num>
  <w:num w:numId="35">
    <w:abstractNumId w:val="40"/>
  </w:num>
  <w:num w:numId="36">
    <w:abstractNumId w:val="32"/>
  </w:num>
  <w:num w:numId="37">
    <w:abstractNumId w:val="22"/>
  </w:num>
  <w:num w:numId="38">
    <w:abstractNumId w:val="45"/>
  </w:num>
  <w:num w:numId="39">
    <w:abstractNumId w:val="8"/>
  </w:num>
  <w:num w:numId="40">
    <w:abstractNumId w:val="19"/>
  </w:num>
  <w:num w:numId="41">
    <w:abstractNumId w:val="41"/>
  </w:num>
  <w:num w:numId="42">
    <w:abstractNumId w:val="33"/>
  </w:num>
  <w:num w:numId="43">
    <w:abstractNumId w:val="14"/>
  </w:num>
  <w:num w:numId="44">
    <w:abstractNumId w:val="36"/>
  </w:num>
  <w:num w:numId="45">
    <w:abstractNumId w:val="24"/>
  </w:num>
  <w:num w:numId="46">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7">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Summary of Discussions"/>
    <w:docVar w:name="ShortReportTitle" w:val="Better Indigenous Policies: The Role of Evaluation"/>
  </w:docVars>
  <w:rsids>
    <w:rsidRoot w:val="001B23A1"/>
    <w:rsid w:val="000227D5"/>
    <w:rsid w:val="000240B3"/>
    <w:rsid w:val="000245AA"/>
    <w:rsid w:val="00025710"/>
    <w:rsid w:val="000260E1"/>
    <w:rsid w:val="00032B57"/>
    <w:rsid w:val="0003664B"/>
    <w:rsid w:val="0004111F"/>
    <w:rsid w:val="00042F22"/>
    <w:rsid w:val="000458AD"/>
    <w:rsid w:val="00055FDA"/>
    <w:rsid w:val="000565B3"/>
    <w:rsid w:val="0006057A"/>
    <w:rsid w:val="000612EF"/>
    <w:rsid w:val="0007150B"/>
    <w:rsid w:val="00074F80"/>
    <w:rsid w:val="00075ED1"/>
    <w:rsid w:val="0007706A"/>
    <w:rsid w:val="00084C03"/>
    <w:rsid w:val="000863FA"/>
    <w:rsid w:val="00091795"/>
    <w:rsid w:val="000938F5"/>
    <w:rsid w:val="00095C36"/>
    <w:rsid w:val="00096E55"/>
    <w:rsid w:val="000A2872"/>
    <w:rsid w:val="000B30CB"/>
    <w:rsid w:val="000B601B"/>
    <w:rsid w:val="000B7F00"/>
    <w:rsid w:val="000C207E"/>
    <w:rsid w:val="000C7742"/>
    <w:rsid w:val="000D05BF"/>
    <w:rsid w:val="000D0802"/>
    <w:rsid w:val="000D2B6E"/>
    <w:rsid w:val="000D3928"/>
    <w:rsid w:val="000D4C18"/>
    <w:rsid w:val="000D4E8E"/>
    <w:rsid w:val="000E22EE"/>
    <w:rsid w:val="000E3213"/>
    <w:rsid w:val="000E3596"/>
    <w:rsid w:val="000E41E3"/>
    <w:rsid w:val="000E4DD3"/>
    <w:rsid w:val="000E60E0"/>
    <w:rsid w:val="000F0035"/>
    <w:rsid w:val="000F420B"/>
    <w:rsid w:val="000F7AB0"/>
    <w:rsid w:val="00101449"/>
    <w:rsid w:val="00110116"/>
    <w:rsid w:val="00112160"/>
    <w:rsid w:val="00112263"/>
    <w:rsid w:val="00120072"/>
    <w:rsid w:val="00122DDE"/>
    <w:rsid w:val="00126EB8"/>
    <w:rsid w:val="001274D4"/>
    <w:rsid w:val="001306F9"/>
    <w:rsid w:val="001363AA"/>
    <w:rsid w:val="001369A5"/>
    <w:rsid w:val="00137328"/>
    <w:rsid w:val="00153AB5"/>
    <w:rsid w:val="0016758F"/>
    <w:rsid w:val="00170B24"/>
    <w:rsid w:val="0018007A"/>
    <w:rsid w:val="00181253"/>
    <w:rsid w:val="00181534"/>
    <w:rsid w:val="00183E82"/>
    <w:rsid w:val="001878BB"/>
    <w:rsid w:val="00191AE0"/>
    <w:rsid w:val="0019293B"/>
    <w:rsid w:val="0019337E"/>
    <w:rsid w:val="001A2B49"/>
    <w:rsid w:val="001B23A1"/>
    <w:rsid w:val="001B332F"/>
    <w:rsid w:val="001B48C3"/>
    <w:rsid w:val="001B6594"/>
    <w:rsid w:val="001B6FF8"/>
    <w:rsid w:val="001C0865"/>
    <w:rsid w:val="001C3ABA"/>
    <w:rsid w:val="001D207B"/>
    <w:rsid w:val="001D75EB"/>
    <w:rsid w:val="001D7DB2"/>
    <w:rsid w:val="001E38C7"/>
    <w:rsid w:val="001E7BE8"/>
    <w:rsid w:val="001E7C74"/>
    <w:rsid w:val="001F0248"/>
    <w:rsid w:val="001F21AE"/>
    <w:rsid w:val="001F3EB3"/>
    <w:rsid w:val="001F42A5"/>
    <w:rsid w:val="001F4F86"/>
    <w:rsid w:val="001F5D5B"/>
    <w:rsid w:val="00202C2C"/>
    <w:rsid w:val="0020613A"/>
    <w:rsid w:val="00211ED2"/>
    <w:rsid w:val="00211FA6"/>
    <w:rsid w:val="0021258A"/>
    <w:rsid w:val="002135AB"/>
    <w:rsid w:val="00214004"/>
    <w:rsid w:val="002144BE"/>
    <w:rsid w:val="0021777B"/>
    <w:rsid w:val="00221A01"/>
    <w:rsid w:val="002261EC"/>
    <w:rsid w:val="0024210F"/>
    <w:rsid w:val="00242279"/>
    <w:rsid w:val="00245C82"/>
    <w:rsid w:val="00247495"/>
    <w:rsid w:val="00255103"/>
    <w:rsid w:val="00255527"/>
    <w:rsid w:val="002625BE"/>
    <w:rsid w:val="00262A4D"/>
    <w:rsid w:val="0026540C"/>
    <w:rsid w:val="00267D01"/>
    <w:rsid w:val="0027300D"/>
    <w:rsid w:val="0029057A"/>
    <w:rsid w:val="00291B40"/>
    <w:rsid w:val="00291C4E"/>
    <w:rsid w:val="00292BA5"/>
    <w:rsid w:val="00292F2D"/>
    <w:rsid w:val="00295D86"/>
    <w:rsid w:val="002A015C"/>
    <w:rsid w:val="002B05E2"/>
    <w:rsid w:val="002B4008"/>
    <w:rsid w:val="002C6A5B"/>
    <w:rsid w:val="002C7D11"/>
    <w:rsid w:val="002D0E8E"/>
    <w:rsid w:val="002E18FE"/>
    <w:rsid w:val="002E466E"/>
    <w:rsid w:val="002F01C5"/>
    <w:rsid w:val="002F2064"/>
    <w:rsid w:val="002F5C58"/>
    <w:rsid w:val="002F7852"/>
    <w:rsid w:val="00301189"/>
    <w:rsid w:val="00311B59"/>
    <w:rsid w:val="00312691"/>
    <w:rsid w:val="003153A9"/>
    <w:rsid w:val="00323C2E"/>
    <w:rsid w:val="00323E09"/>
    <w:rsid w:val="003337D5"/>
    <w:rsid w:val="00333932"/>
    <w:rsid w:val="00340E02"/>
    <w:rsid w:val="00342C0D"/>
    <w:rsid w:val="0034398D"/>
    <w:rsid w:val="003518AA"/>
    <w:rsid w:val="00352165"/>
    <w:rsid w:val="00352921"/>
    <w:rsid w:val="00353182"/>
    <w:rsid w:val="0035439F"/>
    <w:rsid w:val="003565D9"/>
    <w:rsid w:val="003602E1"/>
    <w:rsid w:val="00362A86"/>
    <w:rsid w:val="003637ED"/>
    <w:rsid w:val="00363DF5"/>
    <w:rsid w:val="00364B97"/>
    <w:rsid w:val="0037026F"/>
    <w:rsid w:val="00371240"/>
    <w:rsid w:val="003742C3"/>
    <w:rsid w:val="00374731"/>
    <w:rsid w:val="00374857"/>
    <w:rsid w:val="003749D0"/>
    <w:rsid w:val="00376E59"/>
    <w:rsid w:val="003772D8"/>
    <w:rsid w:val="0038322A"/>
    <w:rsid w:val="00383368"/>
    <w:rsid w:val="00384356"/>
    <w:rsid w:val="003902F3"/>
    <w:rsid w:val="003919F9"/>
    <w:rsid w:val="00396CD8"/>
    <w:rsid w:val="00396EA7"/>
    <w:rsid w:val="003B2F9F"/>
    <w:rsid w:val="003B79B1"/>
    <w:rsid w:val="003C352C"/>
    <w:rsid w:val="003C38B5"/>
    <w:rsid w:val="003C5D99"/>
    <w:rsid w:val="003D27CE"/>
    <w:rsid w:val="003D4FE6"/>
    <w:rsid w:val="003E0D8F"/>
    <w:rsid w:val="003E2F59"/>
    <w:rsid w:val="003F0487"/>
    <w:rsid w:val="003F0789"/>
    <w:rsid w:val="003F5729"/>
    <w:rsid w:val="004009CD"/>
    <w:rsid w:val="00401882"/>
    <w:rsid w:val="00403FAA"/>
    <w:rsid w:val="00405FE9"/>
    <w:rsid w:val="00406008"/>
    <w:rsid w:val="004100C8"/>
    <w:rsid w:val="00411DBD"/>
    <w:rsid w:val="00412ACE"/>
    <w:rsid w:val="004136A5"/>
    <w:rsid w:val="00415256"/>
    <w:rsid w:val="00417CD1"/>
    <w:rsid w:val="004204D3"/>
    <w:rsid w:val="00423D6A"/>
    <w:rsid w:val="00430882"/>
    <w:rsid w:val="00431249"/>
    <w:rsid w:val="00431F1E"/>
    <w:rsid w:val="0043219C"/>
    <w:rsid w:val="004324D1"/>
    <w:rsid w:val="00434C19"/>
    <w:rsid w:val="00435B95"/>
    <w:rsid w:val="004369FF"/>
    <w:rsid w:val="00436A76"/>
    <w:rsid w:val="004438E5"/>
    <w:rsid w:val="00443C75"/>
    <w:rsid w:val="004505E4"/>
    <w:rsid w:val="00450810"/>
    <w:rsid w:val="00451724"/>
    <w:rsid w:val="00453591"/>
    <w:rsid w:val="004535FE"/>
    <w:rsid w:val="004576F7"/>
    <w:rsid w:val="0046171F"/>
    <w:rsid w:val="00462E92"/>
    <w:rsid w:val="00463E9E"/>
    <w:rsid w:val="004729A2"/>
    <w:rsid w:val="00474A84"/>
    <w:rsid w:val="00477144"/>
    <w:rsid w:val="00481CFA"/>
    <w:rsid w:val="00484A7C"/>
    <w:rsid w:val="00490671"/>
    <w:rsid w:val="00491380"/>
    <w:rsid w:val="00491499"/>
    <w:rsid w:val="004943F3"/>
    <w:rsid w:val="0049459F"/>
    <w:rsid w:val="004971E4"/>
    <w:rsid w:val="004A38DD"/>
    <w:rsid w:val="004B43AE"/>
    <w:rsid w:val="004B591A"/>
    <w:rsid w:val="004C1CF0"/>
    <w:rsid w:val="004C30ED"/>
    <w:rsid w:val="004C4D90"/>
    <w:rsid w:val="004C5E22"/>
    <w:rsid w:val="004C75D0"/>
    <w:rsid w:val="004C7CD3"/>
    <w:rsid w:val="004D288A"/>
    <w:rsid w:val="004D4569"/>
    <w:rsid w:val="004D47FE"/>
    <w:rsid w:val="004D5675"/>
    <w:rsid w:val="004D64D5"/>
    <w:rsid w:val="004D6E1B"/>
    <w:rsid w:val="004E5BB8"/>
    <w:rsid w:val="004E5C95"/>
    <w:rsid w:val="004E6A4D"/>
    <w:rsid w:val="004F022B"/>
    <w:rsid w:val="004F552A"/>
    <w:rsid w:val="005008B5"/>
    <w:rsid w:val="00500DCD"/>
    <w:rsid w:val="005057BE"/>
    <w:rsid w:val="005074B4"/>
    <w:rsid w:val="0051598B"/>
    <w:rsid w:val="00523639"/>
    <w:rsid w:val="00523AAD"/>
    <w:rsid w:val="00525B3F"/>
    <w:rsid w:val="00526E6E"/>
    <w:rsid w:val="00527622"/>
    <w:rsid w:val="00531C25"/>
    <w:rsid w:val="00531FE5"/>
    <w:rsid w:val="005336A7"/>
    <w:rsid w:val="00536745"/>
    <w:rsid w:val="00536A50"/>
    <w:rsid w:val="00537D43"/>
    <w:rsid w:val="00542F35"/>
    <w:rsid w:val="00543EF7"/>
    <w:rsid w:val="00550087"/>
    <w:rsid w:val="00555C66"/>
    <w:rsid w:val="005568F6"/>
    <w:rsid w:val="00562962"/>
    <w:rsid w:val="00562CAB"/>
    <w:rsid w:val="00570A49"/>
    <w:rsid w:val="005711CB"/>
    <w:rsid w:val="00572195"/>
    <w:rsid w:val="00573510"/>
    <w:rsid w:val="00583C39"/>
    <w:rsid w:val="00587F28"/>
    <w:rsid w:val="005909CF"/>
    <w:rsid w:val="00591E71"/>
    <w:rsid w:val="005A0D41"/>
    <w:rsid w:val="005A33E2"/>
    <w:rsid w:val="005A4A24"/>
    <w:rsid w:val="005A6913"/>
    <w:rsid w:val="005B2F8D"/>
    <w:rsid w:val="005C1F47"/>
    <w:rsid w:val="005C4F3C"/>
    <w:rsid w:val="005C5138"/>
    <w:rsid w:val="005E2564"/>
    <w:rsid w:val="005E2EC6"/>
    <w:rsid w:val="005E456D"/>
    <w:rsid w:val="005E73A5"/>
    <w:rsid w:val="005E7F1A"/>
    <w:rsid w:val="005F359C"/>
    <w:rsid w:val="005F6B00"/>
    <w:rsid w:val="0060190D"/>
    <w:rsid w:val="00604C3B"/>
    <w:rsid w:val="00606CCB"/>
    <w:rsid w:val="006076CC"/>
    <w:rsid w:val="00607BF1"/>
    <w:rsid w:val="00613AFB"/>
    <w:rsid w:val="00615420"/>
    <w:rsid w:val="00615900"/>
    <w:rsid w:val="00616A6E"/>
    <w:rsid w:val="00627A0D"/>
    <w:rsid w:val="00630D4D"/>
    <w:rsid w:val="006310C5"/>
    <w:rsid w:val="00632A74"/>
    <w:rsid w:val="006471FA"/>
    <w:rsid w:val="006611E1"/>
    <w:rsid w:val="006660E3"/>
    <w:rsid w:val="0067209A"/>
    <w:rsid w:val="00672BC1"/>
    <w:rsid w:val="00675451"/>
    <w:rsid w:val="0068074D"/>
    <w:rsid w:val="00681232"/>
    <w:rsid w:val="00690926"/>
    <w:rsid w:val="006A2BC0"/>
    <w:rsid w:val="006A4655"/>
    <w:rsid w:val="006A4D4D"/>
    <w:rsid w:val="006A6B13"/>
    <w:rsid w:val="006B1165"/>
    <w:rsid w:val="006B1289"/>
    <w:rsid w:val="006B2B3C"/>
    <w:rsid w:val="006C01D3"/>
    <w:rsid w:val="006C16A2"/>
    <w:rsid w:val="006C1D81"/>
    <w:rsid w:val="006C411B"/>
    <w:rsid w:val="006C4929"/>
    <w:rsid w:val="006C6777"/>
    <w:rsid w:val="006C6F4E"/>
    <w:rsid w:val="006C7038"/>
    <w:rsid w:val="006D15D7"/>
    <w:rsid w:val="006D32A2"/>
    <w:rsid w:val="006D4014"/>
    <w:rsid w:val="006D709A"/>
    <w:rsid w:val="006E312F"/>
    <w:rsid w:val="006E73EF"/>
    <w:rsid w:val="006E7B93"/>
    <w:rsid w:val="006E7D4E"/>
    <w:rsid w:val="006F5E50"/>
    <w:rsid w:val="00707409"/>
    <w:rsid w:val="007104A3"/>
    <w:rsid w:val="007116A8"/>
    <w:rsid w:val="00714D4D"/>
    <w:rsid w:val="007163D5"/>
    <w:rsid w:val="00721175"/>
    <w:rsid w:val="007246BF"/>
    <w:rsid w:val="0072718C"/>
    <w:rsid w:val="007322F6"/>
    <w:rsid w:val="0073380A"/>
    <w:rsid w:val="00741C7F"/>
    <w:rsid w:val="0074335B"/>
    <w:rsid w:val="0074437E"/>
    <w:rsid w:val="007517FE"/>
    <w:rsid w:val="0075553F"/>
    <w:rsid w:val="00755BA5"/>
    <w:rsid w:val="007604BB"/>
    <w:rsid w:val="00766372"/>
    <w:rsid w:val="00771B3D"/>
    <w:rsid w:val="00773A41"/>
    <w:rsid w:val="00777916"/>
    <w:rsid w:val="007816F8"/>
    <w:rsid w:val="00782661"/>
    <w:rsid w:val="00783B09"/>
    <w:rsid w:val="0078489A"/>
    <w:rsid w:val="00784C65"/>
    <w:rsid w:val="00784D1E"/>
    <w:rsid w:val="00785232"/>
    <w:rsid w:val="007A21EB"/>
    <w:rsid w:val="007B1A93"/>
    <w:rsid w:val="007B1E2A"/>
    <w:rsid w:val="007B2A75"/>
    <w:rsid w:val="007B7FE2"/>
    <w:rsid w:val="007C2458"/>
    <w:rsid w:val="007C36C9"/>
    <w:rsid w:val="007C7365"/>
    <w:rsid w:val="007D6401"/>
    <w:rsid w:val="007E01E4"/>
    <w:rsid w:val="007E30CD"/>
    <w:rsid w:val="007E49AE"/>
    <w:rsid w:val="007E6B47"/>
    <w:rsid w:val="007F0716"/>
    <w:rsid w:val="007F7107"/>
    <w:rsid w:val="00800D4C"/>
    <w:rsid w:val="0081030F"/>
    <w:rsid w:val="00810C20"/>
    <w:rsid w:val="0082087D"/>
    <w:rsid w:val="008220BC"/>
    <w:rsid w:val="00822CC9"/>
    <w:rsid w:val="00823D9F"/>
    <w:rsid w:val="008263DD"/>
    <w:rsid w:val="00831A7B"/>
    <w:rsid w:val="008333EF"/>
    <w:rsid w:val="008353AB"/>
    <w:rsid w:val="00835771"/>
    <w:rsid w:val="00836568"/>
    <w:rsid w:val="008365A8"/>
    <w:rsid w:val="00842933"/>
    <w:rsid w:val="00857A41"/>
    <w:rsid w:val="0086082C"/>
    <w:rsid w:val="00861E58"/>
    <w:rsid w:val="00864ADC"/>
    <w:rsid w:val="008652BE"/>
    <w:rsid w:val="0087258B"/>
    <w:rsid w:val="0087474E"/>
    <w:rsid w:val="008756FF"/>
    <w:rsid w:val="00876A90"/>
    <w:rsid w:val="00880153"/>
    <w:rsid w:val="008803A2"/>
    <w:rsid w:val="00880DFC"/>
    <w:rsid w:val="00880F97"/>
    <w:rsid w:val="0088133A"/>
    <w:rsid w:val="0088362A"/>
    <w:rsid w:val="00884597"/>
    <w:rsid w:val="008859AD"/>
    <w:rsid w:val="00886015"/>
    <w:rsid w:val="00886FEB"/>
    <w:rsid w:val="0089285E"/>
    <w:rsid w:val="0089436C"/>
    <w:rsid w:val="008956FD"/>
    <w:rsid w:val="00895C31"/>
    <w:rsid w:val="00896531"/>
    <w:rsid w:val="008A0AF6"/>
    <w:rsid w:val="008B067B"/>
    <w:rsid w:val="008B2F75"/>
    <w:rsid w:val="008B6F1F"/>
    <w:rsid w:val="008C4079"/>
    <w:rsid w:val="008C565C"/>
    <w:rsid w:val="008C7C7D"/>
    <w:rsid w:val="008D365C"/>
    <w:rsid w:val="008E06AA"/>
    <w:rsid w:val="008E2356"/>
    <w:rsid w:val="008E4C5E"/>
    <w:rsid w:val="008F0F9A"/>
    <w:rsid w:val="008F710E"/>
    <w:rsid w:val="009030BF"/>
    <w:rsid w:val="00905F75"/>
    <w:rsid w:val="0091032F"/>
    <w:rsid w:val="00910B94"/>
    <w:rsid w:val="00914368"/>
    <w:rsid w:val="00921A4E"/>
    <w:rsid w:val="00930186"/>
    <w:rsid w:val="00931076"/>
    <w:rsid w:val="00932441"/>
    <w:rsid w:val="009345D9"/>
    <w:rsid w:val="00934B15"/>
    <w:rsid w:val="00942B62"/>
    <w:rsid w:val="00943321"/>
    <w:rsid w:val="009445C1"/>
    <w:rsid w:val="00945DA9"/>
    <w:rsid w:val="00946C53"/>
    <w:rsid w:val="00953D0E"/>
    <w:rsid w:val="00955353"/>
    <w:rsid w:val="00956A0C"/>
    <w:rsid w:val="00956BD9"/>
    <w:rsid w:val="0096144E"/>
    <w:rsid w:val="00961D8A"/>
    <w:rsid w:val="00962144"/>
    <w:rsid w:val="00962489"/>
    <w:rsid w:val="00964175"/>
    <w:rsid w:val="00964FE7"/>
    <w:rsid w:val="00975899"/>
    <w:rsid w:val="00975D03"/>
    <w:rsid w:val="00980E58"/>
    <w:rsid w:val="009846B5"/>
    <w:rsid w:val="0098486C"/>
    <w:rsid w:val="00990B37"/>
    <w:rsid w:val="00990C2C"/>
    <w:rsid w:val="00990EE3"/>
    <w:rsid w:val="00991CAC"/>
    <w:rsid w:val="00992DAB"/>
    <w:rsid w:val="00995A20"/>
    <w:rsid w:val="009A1539"/>
    <w:rsid w:val="009B67C6"/>
    <w:rsid w:val="009C714E"/>
    <w:rsid w:val="009D7368"/>
    <w:rsid w:val="009E0A28"/>
    <w:rsid w:val="009E1B59"/>
    <w:rsid w:val="009E25B4"/>
    <w:rsid w:val="009E3745"/>
    <w:rsid w:val="009F0D1B"/>
    <w:rsid w:val="009F696D"/>
    <w:rsid w:val="009F6BC6"/>
    <w:rsid w:val="00A11060"/>
    <w:rsid w:val="00A15EC0"/>
    <w:rsid w:val="00A17328"/>
    <w:rsid w:val="00A23A20"/>
    <w:rsid w:val="00A244EE"/>
    <w:rsid w:val="00A25EDA"/>
    <w:rsid w:val="00A268B9"/>
    <w:rsid w:val="00A2703A"/>
    <w:rsid w:val="00A27ECB"/>
    <w:rsid w:val="00A27FBF"/>
    <w:rsid w:val="00A33383"/>
    <w:rsid w:val="00A33DFF"/>
    <w:rsid w:val="00A35115"/>
    <w:rsid w:val="00A36D9A"/>
    <w:rsid w:val="00A41F2A"/>
    <w:rsid w:val="00A43AE8"/>
    <w:rsid w:val="00A554AB"/>
    <w:rsid w:val="00A55BF7"/>
    <w:rsid w:val="00A56A2C"/>
    <w:rsid w:val="00A57062"/>
    <w:rsid w:val="00A712D7"/>
    <w:rsid w:val="00A72224"/>
    <w:rsid w:val="00A72376"/>
    <w:rsid w:val="00A756D2"/>
    <w:rsid w:val="00A76EE1"/>
    <w:rsid w:val="00A82787"/>
    <w:rsid w:val="00A836DD"/>
    <w:rsid w:val="00A855FA"/>
    <w:rsid w:val="00A8673C"/>
    <w:rsid w:val="00A90877"/>
    <w:rsid w:val="00A92B53"/>
    <w:rsid w:val="00A94FA6"/>
    <w:rsid w:val="00A954EE"/>
    <w:rsid w:val="00A962B4"/>
    <w:rsid w:val="00A97180"/>
    <w:rsid w:val="00AA0B03"/>
    <w:rsid w:val="00AA49A0"/>
    <w:rsid w:val="00AA6710"/>
    <w:rsid w:val="00AB0681"/>
    <w:rsid w:val="00AB1598"/>
    <w:rsid w:val="00AC5367"/>
    <w:rsid w:val="00AD4201"/>
    <w:rsid w:val="00AD4902"/>
    <w:rsid w:val="00AD520B"/>
    <w:rsid w:val="00AE75AA"/>
    <w:rsid w:val="00AE7D34"/>
    <w:rsid w:val="00AF3633"/>
    <w:rsid w:val="00AF3B3B"/>
    <w:rsid w:val="00AF720F"/>
    <w:rsid w:val="00B01806"/>
    <w:rsid w:val="00B05A09"/>
    <w:rsid w:val="00B068EE"/>
    <w:rsid w:val="00B2640B"/>
    <w:rsid w:val="00B33E6B"/>
    <w:rsid w:val="00B34586"/>
    <w:rsid w:val="00B34627"/>
    <w:rsid w:val="00B3483A"/>
    <w:rsid w:val="00B363BE"/>
    <w:rsid w:val="00B3735C"/>
    <w:rsid w:val="00B425C3"/>
    <w:rsid w:val="00B427CA"/>
    <w:rsid w:val="00B42D76"/>
    <w:rsid w:val="00B440AD"/>
    <w:rsid w:val="00B53E7E"/>
    <w:rsid w:val="00B544B2"/>
    <w:rsid w:val="00B54E0C"/>
    <w:rsid w:val="00B6342E"/>
    <w:rsid w:val="00B7113F"/>
    <w:rsid w:val="00B747F2"/>
    <w:rsid w:val="00B762D4"/>
    <w:rsid w:val="00B81D63"/>
    <w:rsid w:val="00B856DE"/>
    <w:rsid w:val="00BA0756"/>
    <w:rsid w:val="00BA23EF"/>
    <w:rsid w:val="00BA73B6"/>
    <w:rsid w:val="00BA7E27"/>
    <w:rsid w:val="00BB03C8"/>
    <w:rsid w:val="00BB2603"/>
    <w:rsid w:val="00BB4FCD"/>
    <w:rsid w:val="00BB5DF1"/>
    <w:rsid w:val="00BB6A20"/>
    <w:rsid w:val="00BB7FB3"/>
    <w:rsid w:val="00BC0173"/>
    <w:rsid w:val="00BC0C2E"/>
    <w:rsid w:val="00BD00DA"/>
    <w:rsid w:val="00BD026C"/>
    <w:rsid w:val="00BD13EA"/>
    <w:rsid w:val="00BD1B09"/>
    <w:rsid w:val="00BE1265"/>
    <w:rsid w:val="00BE3808"/>
    <w:rsid w:val="00BF4EF0"/>
    <w:rsid w:val="00BF6EC4"/>
    <w:rsid w:val="00C03DCA"/>
    <w:rsid w:val="00C062E9"/>
    <w:rsid w:val="00C07B64"/>
    <w:rsid w:val="00C10AA9"/>
    <w:rsid w:val="00C11DAA"/>
    <w:rsid w:val="00C11F6B"/>
    <w:rsid w:val="00C13721"/>
    <w:rsid w:val="00C14DAE"/>
    <w:rsid w:val="00C14FE4"/>
    <w:rsid w:val="00C23416"/>
    <w:rsid w:val="00C25936"/>
    <w:rsid w:val="00C3066D"/>
    <w:rsid w:val="00C32F70"/>
    <w:rsid w:val="00C34CBD"/>
    <w:rsid w:val="00C40CA7"/>
    <w:rsid w:val="00C42281"/>
    <w:rsid w:val="00C52773"/>
    <w:rsid w:val="00C540A0"/>
    <w:rsid w:val="00C543F4"/>
    <w:rsid w:val="00C547CB"/>
    <w:rsid w:val="00C54CC9"/>
    <w:rsid w:val="00C56815"/>
    <w:rsid w:val="00C6291C"/>
    <w:rsid w:val="00C633CB"/>
    <w:rsid w:val="00C65A10"/>
    <w:rsid w:val="00C7040E"/>
    <w:rsid w:val="00C7070E"/>
    <w:rsid w:val="00C75B0B"/>
    <w:rsid w:val="00C7759E"/>
    <w:rsid w:val="00C80F7C"/>
    <w:rsid w:val="00C81D4A"/>
    <w:rsid w:val="00C8762C"/>
    <w:rsid w:val="00C902FF"/>
    <w:rsid w:val="00C91216"/>
    <w:rsid w:val="00C92B56"/>
    <w:rsid w:val="00C95E7E"/>
    <w:rsid w:val="00C9631D"/>
    <w:rsid w:val="00CA00F9"/>
    <w:rsid w:val="00CA2961"/>
    <w:rsid w:val="00CB148D"/>
    <w:rsid w:val="00CB3D4C"/>
    <w:rsid w:val="00CB50D7"/>
    <w:rsid w:val="00CB60C6"/>
    <w:rsid w:val="00CB7177"/>
    <w:rsid w:val="00CB724A"/>
    <w:rsid w:val="00CC1998"/>
    <w:rsid w:val="00CC1A50"/>
    <w:rsid w:val="00CC4572"/>
    <w:rsid w:val="00CC4946"/>
    <w:rsid w:val="00CC6857"/>
    <w:rsid w:val="00CC72F4"/>
    <w:rsid w:val="00CC73DE"/>
    <w:rsid w:val="00CD079F"/>
    <w:rsid w:val="00CD1F05"/>
    <w:rsid w:val="00CD7CDE"/>
    <w:rsid w:val="00CE2016"/>
    <w:rsid w:val="00CE241D"/>
    <w:rsid w:val="00CF110B"/>
    <w:rsid w:val="00CF1200"/>
    <w:rsid w:val="00CF334B"/>
    <w:rsid w:val="00CF4E16"/>
    <w:rsid w:val="00D05103"/>
    <w:rsid w:val="00D057EF"/>
    <w:rsid w:val="00D16306"/>
    <w:rsid w:val="00D270A4"/>
    <w:rsid w:val="00D3062A"/>
    <w:rsid w:val="00D31E13"/>
    <w:rsid w:val="00D31FE9"/>
    <w:rsid w:val="00D344A5"/>
    <w:rsid w:val="00D34B49"/>
    <w:rsid w:val="00D34E1B"/>
    <w:rsid w:val="00D376BA"/>
    <w:rsid w:val="00D428F9"/>
    <w:rsid w:val="00D4320C"/>
    <w:rsid w:val="00D45634"/>
    <w:rsid w:val="00D45FA8"/>
    <w:rsid w:val="00D51A2D"/>
    <w:rsid w:val="00D5568A"/>
    <w:rsid w:val="00D56E16"/>
    <w:rsid w:val="00D63315"/>
    <w:rsid w:val="00D63D73"/>
    <w:rsid w:val="00D64452"/>
    <w:rsid w:val="00D66E1E"/>
    <w:rsid w:val="00D71AAA"/>
    <w:rsid w:val="00D75722"/>
    <w:rsid w:val="00D80CF5"/>
    <w:rsid w:val="00D83FEB"/>
    <w:rsid w:val="00D86491"/>
    <w:rsid w:val="00D920DB"/>
    <w:rsid w:val="00D949F9"/>
    <w:rsid w:val="00DA1253"/>
    <w:rsid w:val="00DA254B"/>
    <w:rsid w:val="00DA284F"/>
    <w:rsid w:val="00DA404D"/>
    <w:rsid w:val="00DA408A"/>
    <w:rsid w:val="00DA5BBA"/>
    <w:rsid w:val="00DA77DD"/>
    <w:rsid w:val="00DA7AC5"/>
    <w:rsid w:val="00DB26D2"/>
    <w:rsid w:val="00DB67C9"/>
    <w:rsid w:val="00DB742E"/>
    <w:rsid w:val="00DC0C95"/>
    <w:rsid w:val="00DC1416"/>
    <w:rsid w:val="00DC489E"/>
    <w:rsid w:val="00DC762E"/>
    <w:rsid w:val="00DD4BFA"/>
    <w:rsid w:val="00DD6580"/>
    <w:rsid w:val="00DE419C"/>
    <w:rsid w:val="00DF7917"/>
    <w:rsid w:val="00E03CEB"/>
    <w:rsid w:val="00E14BED"/>
    <w:rsid w:val="00E1656A"/>
    <w:rsid w:val="00E17C72"/>
    <w:rsid w:val="00E21FC6"/>
    <w:rsid w:val="00E27D85"/>
    <w:rsid w:val="00E30178"/>
    <w:rsid w:val="00E3068D"/>
    <w:rsid w:val="00E30C1E"/>
    <w:rsid w:val="00E3651F"/>
    <w:rsid w:val="00E36593"/>
    <w:rsid w:val="00E4099C"/>
    <w:rsid w:val="00E41604"/>
    <w:rsid w:val="00E431A9"/>
    <w:rsid w:val="00E46D80"/>
    <w:rsid w:val="00E50927"/>
    <w:rsid w:val="00E55D8C"/>
    <w:rsid w:val="00E56001"/>
    <w:rsid w:val="00E6346E"/>
    <w:rsid w:val="00E669E2"/>
    <w:rsid w:val="00E73869"/>
    <w:rsid w:val="00E76135"/>
    <w:rsid w:val="00E76211"/>
    <w:rsid w:val="00E82664"/>
    <w:rsid w:val="00E82F4F"/>
    <w:rsid w:val="00E85310"/>
    <w:rsid w:val="00E86FA6"/>
    <w:rsid w:val="00E87450"/>
    <w:rsid w:val="00E91892"/>
    <w:rsid w:val="00E9736A"/>
    <w:rsid w:val="00EA0D9C"/>
    <w:rsid w:val="00EA3734"/>
    <w:rsid w:val="00EB104F"/>
    <w:rsid w:val="00EB26F7"/>
    <w:rsid w:val="00EB2AD9"/>
    <w:rsid w:val="00EB521C"/>
    <w:rsid w:val="00EB6D10"/>
    <w:rsid w:val="00EC2844"/>
    <w:rsid w:val="00EC3B51"/>
    <w:rsid w:val="00EC3DEE"/>
    <w:rsid w:val="00EC4388"/>
    <w:rsid w:val="00EC5500"/>
    <w:rsid w:val="00EC6BE3"/>
    <w:rsid w:val="00EC773F"/>
    <w:rsid w:val="00ED04F9"/>
    <w:rsid w:val="00EE6D29"/>
    <w:rsid w:val="00EF20B9"/>
    <w:rsid w:val="00EF3F41"/>
    <w:rsid w:val="00EF63F9"/>
    <w:rsid w:val="00EF6C6C"/>
    <w:rsid w:val="00F00C85"/>
    <w:rsid w:val="00F050C0"/>
    <w:rsid w:val="00F056FC"/>
    <w:rsid w:val="00F10476"/>
    <w:rsid w:val="00F1357A"/>
    <w:rsid w:val="00F135D8"/>
    <w:rsid w:val="00F14D4E"/>
    <w:rsid w:val="00F257A3"/>
    <w:rsid w:val="00F31299"/>
    <w:rsid w:val="00F325E8"/>
    <w:rsid w:val="00F3534A"/>
    <w:rsid w:val="00F37B46"/>
    <w:rsid w:val="00F5003E"/>
    <w:rsid w:val="00F51609"/>
    <w:rsid w:val="00F54293"/>
    <w:rsid w:val="00F54983"/>
    <w:rsid w:val="00F56A54"/>
    <w:rsid w:val="00F603B2"/>
    <w:rsid w:val="00F64D6F"/>
    <w:rsid w:val="00F6648D"/>
    <w:rsid w:val="00F85325"/>
    <w:rsid w:val="00F940CF"/>
    <w:rsid w:val="00F96B3C"/>
    <w:rsid w:val="00FB2970"/>
    <w:rsid w:val="00FB747D"/>
    <w:rsid w:val="00FC00DB"/>
    <w:rsid w:val="00FC2BBE"/>
    <w:rsid w:val="00FC317C"/>
    <w:rsid w:val="00FC4B8E"/>
    <w:rsid w:val="00FC58CD"/>
    <w:rsid w:val="00FC7C80"/>
    <w:rsid w:val="00FD22B1"/>
    <w:rsid w:val="00FD43B6"/>
    <w:rsid w:val="00FE2C95"/>
    <w:rsid w:val="00FE7333"/>
    <w:rsid w:val="00FF2208"/>
    <w:rsid w:val="00FF433F"/>
    <w:rsid w:val="00FF6843"/>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60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613AFB"/>
    <w:rPr>
      <w:sz w:val="26"/>
      <w:szCs w:val="24"/>
    </w:rPr>
  </w:style>
  <w:style w:type="paragraph" w:styleId="Heading1">
    <w:name w:val="heading 1"/>
    <w:basedOn w:val="BodyText"/>
    <w:next w:val="BodyText"/>
    <w:link w:val="Heading1Char"/>
    <w:rsid w:val="00613AFB"/>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613AFB"/>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613AFB"/>
    <w:pPr>
      <w:spacing w:before="560" w:line="320" w:lineRule="exact"/>
      <w:ind w:left="0" w:firstLine="0"/>
      <w:outlineLvl w:val="2"/>
    </w:pPr>
    <w:rPr>
      <w:sz w:val="26"/>
    </w:rPr>
  </w:style>
  <w:style w:type="paragraph" w:styleId="Heading4">
    <w:name w:val="heading 4"/>
    <w:basedOn w:val="Heading3"/>
    <w:next w:val="BodyText"/>
    <w:qFormat/>
    <w:rsid w:val="00613AFB"/>
    <w:pPr>
      <w:spacing w:before="480"/>
      <w:outlineLvl w:val="3"/>
    </w:pPr>
    <w:rPr>
      <w:b w:val="0"/>
      <w:i/>
      <w:sz w:val="24"/>
    </w:rPr>
  </w:style>
  <w:style w:type="paragraph" w:styleId="Heading5">
    <w:name w:val="heading 5"/>
    <w:basedOn w:val="Heading4"/>
    <w:next w:val="BodyText"/>
    <w:qFormat/>
    <w:rsid w:val="00613AFB"/>
    <w:pPr>
      <w:outlineLvl w:val="4"/>
    </w:pPr>
    <w:rPr>
      <w:rFonts w:ascii="Times New Roman" w:hAnsi="Times New Roman"/>
      <w:sz w:val="26"/>
    </w:rPr>
  </w:style>
  <w:style w:type="paragraph" w:styleId="Heading6">
    <w:name w:val="heading 6"/>
    <w:basedOn w:val="BodyText"/>
    <w:next w:val="BodyText"/>
    <w:rsid w:val="00613AFB"/>
    <w:pPr>
      <w:spacing w:after="60"/>
      <w:jc w:val="left"/>
      <w:outlineLvl w:val="5"/>
    </w:pPr>
    <w:rPr>
      <w:i/>
      <w:sz w:val="22"/>
    </w:rPr>
  </w:style>
  <w:style w:type="paragraph" w:styleId="Heading7">
    <w:name w:val="heading 7"/>
    <w:basedOn w:val="BodyText"/>
    <w:next w:val="BodyText"/>
    <w:rsid w:val="00613AFB"/>
    <w:pPr>
      <w:spacing w:after="60" w:line="240" w:lineRule="auto"/>
      <w:jc w:val="left"/>
      <w:outlineLvl w:val="6"/>
    </w:pPr>
    <w:rPr>
      <w:rFonts w:ascii="Arial" w:hAnsi="Arial"/>
      <w:sz w:val="20"/>
    </w:rPr>
  </w:style>
  <w:style w:type="paragraph" w:styleId="Heading8">
    <w:name w:val="heading 8"/>
    <w:basedOn w:val="BodyText"/>
    <w:next w:val="BodyText"/>
    <w:rsid w:val="00613AFB"/>
    <w:pPr>
      <w:spacing w:after="60" w:line="240" w:lineRule="auto"/>
      <w:jc w:val="left"/>
      <w:outlineLvl w:val="7"/>
    </w:pPr>
    <w:rPr>
      <w:rFonts w:ascii="Arial" w:hAnsi="Arial"/>
      <w:i/>
      <w:sz w:val="20"/>
    </w:rPr>
  </w:style>
  <w:style w:type="paragraph" w:styleId="Heading9">
    <w:name w:val="heading 9"/>
    <w:basedOn w:val="BodyText"/>
    <w:next w:val="BodyText"/>
    <w:rsid w:val="00613AFB"/>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13A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3AFB"/>
  </w:style>
  <w:style w:type="paragraph" w:styleId="BodyText">
    <w:name w:val="Body Text"/>
    <w:aliases w:val="new legislation style,Body Text Char2 Char,Body Text Char Char1 Char,Body Text Char2 Char Char Char1,Body Text Char1 Char1 Char Char Char1,Body Text Char Char Char1 Char Char Char1,Body Text Char1 Char Char Char Char Char Char1"/>
    <w:link w:val="BodyTextChar"/>
    <w:qFormat/>
    <w:rsid w:val="00613AFB"/>
    <w:pPr>
      <w:spacing w:before="240" w:line="320" w:lineRule="atLeast"/>
      <w:jc w:val="both"/>
    </w:pPr>
    <w:rPr>
      <w:sz w:val="26"/>
    </w:rPr>
  </w:style>
  <w:style w:type="paragraph" w:styleId="Footer">
    <w:name w:val="footer"/>
    <w:basedOn w:val="BodyText"/>
    <w:semiHidden/>
    <w:rsid w:val="00613AFB"/>
    <w:pPr>
      <w:spacing w:before="80" w:line="200" w:lineRule="exact"/>
      <w:ind w:right="6"/>
      <w:jc w:val="left"/>
    </w:pPr>
    <w:rPr>
      <w:caps/>
      <w:spacing w:val="-4"/>
      <w:sz w:val="16"/>
    </w:rPr>
  </w:style>
  <w:style w:type="paragraph" w:customStyle="1" w:styleId="FooterEnd">
    <w:name w:val="Footer End"/>
    <w:basedOn w:val="Footer"/>
    <w:rsid w:val="00613AFB"/>
    <w:pPr>
      <w:spacing w:before="0" w:line="20" w:lineRule="exact"/>
    </w:pPr>
  </w:style>
  <w:style w:type="paragraph" w:styleId="Header">
    <w:name w:val="header"/>
    <w:basedOn w:val="BodyText"/>
    <w:rsid w:val="00613AFB"/>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13AFB"/>
    <w:pPr>
      <w:spacing w:line="20" w:lineRule="exact"/>
    </w:pPr>
    <w:rPr>
      <w:sz w:val="16"/>
    </w:rPr>
  </w:style>
  <w:style w:type="paragraph" w:customStyle="1" w:styleId="HeaderEven">
    <w:name w:val="Header Even"/>
    <w:basedOn w:val="Header"/>
    <w:semiHidden/>
    <w:rsid w:val="00613AFB"/>
  </w:style>
  <w:style w:type="paragraph" w:customStyle="1" w:styleId="HeaderOdd">
    <w:name w:val="Header Odd"/>
    <w:basedOn w:val="Header"/>
    <w:semiHidden/>
    <w:rsid w:val="00613AFB"/>
  </w:style>
  <w:style w:type="character" w:styleId="PageNumber">
    <w:name w:val="page number"/>
    <w:basedOn w:val="DefaultParagraphFont"/>
    <w:rsid w:val="00613AFB"/>
    <w:rPr>
      <w:rFonts w:ascii="Arial" w:hAnsi="Arial"/>
      <w:b/>
      <w:sz w:val="16"/>
    </w:rPr>
  </w:style>
  <w:style w:type="paragraph" w:customStyle="1" w:styleId="Abbreviation">
    <w:name w:val="Abbreviation"/>
    <w:basedOn w:val="BodyText"/>
    <w:rsid w:val="00613AFB"/>
    <w:pPr>
      <w:spacing w:before="120"/>
      <w:ind w:left="2381" w:hanging="2381"/>
      <w:jc w:val="left"/>
    </w:pPr>
  </w:style>
  <w:style w:type="paragraph" w:customStyle="1" w:styleId="Box">
    <w:name w:val="Box"/>
    <w:basedOn w:val="BodyText"/>
    <w:qFormat/>
    <w:rsid w:val="00613AFB"/>
    <w:pPr>
      <w:keepNext/>
      <w:spacing w:before="120" w:line="280" w:lineRule="atLeast"/>
    </w:pPr>
    <w:rPr>
      <w:rFonts w:ascii="Arial" w:hAnsi="Arial"/>
      <w:sz w:val="22"/>
    </w:rPr>
  </w:style>
  <w:style w:type="paragraph" w:customStyle="1" w:styleId="BoxContinued">
    <w:name w:val="Box Continued"/>
    <w:basedOn w:val="BodyText"/>
    <w:next w:val="BodyText"/>
    <w:semiHidden/>
    <w:rsid w:val="00613AFB"/>
    <w:pPr>
      <w:spacing w:before="180" w:line="220" w:lineRule="exact"/>
      <w:jc w:val="right"/>
    </w:pPr>
    <w:rPr>
      <w:rFonts w:ascii="Arial" w:hAnsi="Arial"/>
      <w:sz w:val="18"/>
    </w:rPr>
  </w:style>
  <w:style w:type="paragraph" w:customStyle="1" w:styleId="BoxHeading1">
    <w:name w:val="Box Heading 1"/>
    <w:basedOn w:val="BodyText"/>
    <w:next w:val="Box"/>
    <w:rsid w:val="00613AFB"/>
    <w:pPr>
      <w:keepNext/>
      <w:spacing w:before="200" w:line="280" w:lineRule="atLeast"/>
    </w:pPr>
    <w:rPr>
      <w:rFonts w:ascii="Arial" w:hAnsi="Arial"/>
      <w:b/>
      <w:sz w:val="22"/>
    </w:rPr>
  </w:style>
  <w:style w:type="paragraph" w:customStyle="1" w:styleId="BoxHeading2">
    <w:name w:val="Box Heading 2"/>
    <w:basedOn w:val="BoxHeading1"/>
    <w:next w:val="Normal"/>
    <w:rsid w:val="00613AFB"/>
    <w:rPr>
      <w:b w:val="0"/>
      <w:i/>
    </w:rPr>
  </w:style>
  <w:style w:type="paragraph" w:customStyle="1" w:styleId="BoxListBullet">
    <w:name w:val="Box List Bullet"/>
    <w:basedOn w:val="BodyText"/>
    <w:rsid w:val="00613AFB"/>
    <w:pPr>
      <w:keepNext/>
      <w:numPr>
        <w:numId w:val="1"/>
      </w:numPr>
      <w:spacing w:before="60" w:line="280" w:lineRule="atLeast"/>
    </w:pPr>
    <w:rPr>
      <w:rFonts w:ascii="Arial" w:hAnsi="Arial"/>
      <w:sz w:val="22"/>
    </w:rPr>
  </w:style>
  <w:style w:type="paragraph" w:customStyle="1" w:styleId="BoxListBullet2">
    <w:name w:val="Box List Bullet 2"/>
    <w:basedOn w:val="BodyText"/>
    <w:rsid w:val="00613AFB"/>
    <w:pPr>
      <w:keepNext/>
      <w:numPr>
        <w:numId w:val="16"/>
      </w:numPr>
      <w:spacing w:before="60" w:line="280" w:lineRule="atLeast"/>
    </w:pPr>
    <w:rPr>
      <w:rFonts w:ascii="Arial" w:hAnsi="Arial"/>
      <w:sz w:val="22"/>
    </w:rPr>
  </w:style>
  <w:style w:type="paragraph" w:customStyle="1" w:styleId="BoxListNumber">
    <w:name w:val="Box List Number"/>
    <w:basedOn w:val="BodyText"/>
    <w:rsid w:val="00613AFB"/>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613AFB"/>
    <w:pPr>
      <w:numPr>
        <w:ilvl w:val="1"/>
      </w:numPr>
    </w:pPr>
  </w:style>
  <w:style w:type="paragraph" w:customStyle="1" w:styleId="BoxQuote">
    <w:name w:val="Box Quote"/>
    <w:basedOn w:val="BodyText"/>
    <w:next w:val="Box"/>
    <w:rsid w:val="00613AFB"/>
    <w:pPr>
      <w:keepNext/>
      <w:spacing w:before="60" w:line="260" w:lineRule="exact"/>
      <w:ind w:left="284"/>
    </w:pPr>
    <w:rPr>
      <w:rFonts w:ascii="Arial" w:hAnsi="Arial"/>
      <w:sz w:val="20"/>
    </w:rPr>
  </w:style>
  <w:style w:type="paragraph" w:customStyle="1" w:styleId="Note">
    <w:name w:val="Note"/>
    <w:basedOn w:val="BodyText"/>
    <w:next w:val="BodyText"/>
    <w:rsid w:val="00613AFB"/>
    <w:pPr>
      <w:keepLines/>
      <w:spacing w:before="80" w:line="220" w:lineRule="exact"/>
    </w:pPr>
    <w:rPr>
      <w:rFonts w:ascii="Arial" w:hAnsi="Arial"/>
      <w:sz w:val="18"/>
    </w:rPr>
  </w:style>
  <w:style w:type="paragraph" w:customStyle="1" w:styleId="Source">
    <w:name w:val="Source"/>
    <w:basedOn w:val="Note"/>
    <w:next w:val="BodyText"/>
    <w:rsid w:val="00613AFB"/>
    <w:pPr>
      <w:spacing w:after="120"/>
    </w:pPr>
  </w:style>
  <w:style w:type="paragraph" w:customStyle="1" w:styleId="BoxSource">
    <w:name w:val="Box Source"/>
    <w:basedOn w:val="Source"/>
    <w:next w:val="BodyText"/>
    <w:rsid w:val="00613AFB"/>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613AFB"/>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613AFB"/>
    <w:pPr>
      <w:spacing w:before="120" w:after="0"/>
      <w:ind w:left="1304" w:hanging="1304"/>
    </w:pPr>
    <w:rPr>
      <w:sz w:val="24"/>
    </w:rPr>
  </w:style>
  <w:style w:type="paragraph" w:customStyle="1" w:styleId="BoxSubtitle">
    <w:name w:val="Box Subtitle"/>
    <w:basedOn w:val="BoxTitle"/>
    <w:next w:val="Normal"/>
    <w:rsid w:val="00613AFB"/>
    <w:pPr>
      <w:spacing w:after="80" w:line="200" w:lineRule="exact"/>
      <w:ind w:firstLine="0"/>
    </w:pPr>
    <w:rPr>
      <w:b w:val="0"/>
      <w:sz w:val="20"/>
    </w:rPr>
  </w:style>
  <w:style w:type="paragraph" w:customStyle="1" w:styleId="Chapter">
    <w:name w:val="Chapter"/>
    <w:basedOn w:val="Heading1"/>
    <w:next w:val="BodyText"/>
    <w:semiHidden/>
    <w:rsid w:val="00613AFB"/>
    <w:pPr>
      <w:ind w:left="0" w:firstLine="0"/>
      <w:outlineLvl w:val="9"/>
    </w:pPr>
  </w:style>
  <w:style w:type="paragraph" w:customStyle="1" w:styleId="ChapterSummary">
    <w:name w:val="Chapter Summary"/>
    <w:basedOn w:val="BodyText"/>
    <w:rsid w:val="00613AFB"/>
    <w:pPr>
      <w:ind w:left="907"/>
    </w:pPr>
    <w:rPr>
      <w:rFonts w:ascii="Arial" w:hAnsi="Arial"/>
      <w:b/>
      <w:sz w:val="22"/>
    </w:rPr>
  </w:style>
  <w:style w:type="character" w:styleId="CommentReference">
    <w:name w:val="annotation reference"/>
    <w:basedOn w:val="DefaultParagraphFont"/>
    <w:semiHidden/>
    <w:rsid w:val="00613AFB"/>
    <w:rPr>
      <w:b/>
      <w:vanish/>
      <w:color w:val="FF00FF"/>
      <w:sz w:val="20"/>
    </w:rPr>
  </w:style>
  <w:style w:type="paragraph" w:styleId="CommentText">
    <w:name w:val="annotation text"/>
    <w:basedOn w:val="Normal"/>
    <w:link w:val="CommentTextChar"/>
    <w:semiHidden/>
    <w:rsid w:val="00613AFB"/>
    <w:pPr>
      <w:spacing w:before="120" w:line="240" w:lineRule="atLeast"/>
      <w:ind w:left="567" w:hanging="567"/>
    </w:pPr>
    <w:rPr>
      <w:sz w:val="20"/>
    </w:rPr>
  </w:style>
  <w:style w:type="paragraph" w:customStyle="1" w:styleId="Continued">
    <w:name w:val="Continued"/>
    <w:basedOn w:val="BoxContinued"/>
    <w:next w:val="BodyText"/>
    <w:rsid w:val="00613AFB"/>
  </w:style>
  <w:style w:type="character" w:customStyle="1" w:styleId="DocumentInfo">
    <w:name w:val="Document Info"/>
    <w:basedOn w:val="DefaultParagraphFont"/>
    <w:semiHidden/>
    <w:rsid w:val="00613AFB"/>
    <w:rPr>
      <w:rFonts w:ascii="Arial" w:hAnsi="Arial"/>
      <w:sz w:val="14"/>
    </w:rPr>
  </w:style>
  <w:style w:type="character" w:customStyle="1" w:styleId="DraftingNote">
    <w:name w:val="Drafting Note"/>
    <w:basedOn w:val="DefaultParagraphFont"/>
    <w:rsid w:val="00613AFB"/>
    <w:rPr>
      <w:b/>
      <w:color w:val="FF0000"/>
      <w:sz w:val="24"/>
      <w:u w:val="dotted"/>
    </w:rPr>
  </w:style>
  <w:style w:type="paragraph" w:customStyle="1" w:styleId="Figure">
    <w:name w:val="Figure"/>
    <w:basedOn w:val="BodyText"/>
    <w:rsid w:val="00613AFB"/>
    <w:pPr>
      <w:keepNext/>
      <w:spacing w:before="120" w:after="120" w:line="240" w:lineRule="atLeast"/>
      <w:jc w:val="center"/>
    </w:pPr>
  </w:style>
  <w:style w:type="paragraph" w:customStyle="1" w:styleId="FigureTitle">
    <w:name w:val="Figure Title"/>
    <w:basedOn w:val="Caption"/>
    <w:next w:val="Subtitle"/>
    <w:rsid w:val="00613AFB"/>
    <w:rPr>
      <w:sz w:val="24"/>
    </w:rPr>
  </w:style>
  <w:style w:type="paragraph" w:styleId="Subtitle">
    <w:name w:val="Subtitle"/>
    <w:basedOn w:val="Caption"/>
    <w:link w:val="SubtitleChar"/>
    <w:rsid w:val="00613AFB"/>
    <w:pPr>
      <w:spacing w:before="0" w:line="200" w:lineRule="exact"/>
      <w:ind w:firstLine="0"/>
    </w:pPr>
    <w:rPr>
      <w:b w:val="0"/>
      <w:sz w:val="20"/>
    </w:rPr>
  </w:style>
  <w:style w:type="paragraph" w:customStyle="1" w:styleId="Finding">
    <w:name w:val="Finding"/>
    <w:basedOn w:val="BodyText"/>
    <w:rsid w:val="00613AFB"/>
    <w:pPr>
      <w:keepLines/>
      <w:spacing w:before="180"/>
    </w:pPr>
    <w:rPr>
      <w:i/>
    </w:rPr>
  </w:style>
  <w:style w:type="paragraph" w:customStyle="1" w:styleId="FindingBullet">
    <w:name w:val="Finding Bullet"/>
    <w:basedOn w:val="Finding"/>
    <w:rsid w:val="00613AFB"/>
    <w:pPr>
      <w:numPr>
        <w:numId w:val="2"/>
      </w:numPr>
      <w:spacing w:before="80"/>
    </w:pPr>
  </w:style>
  <w:style w:type="paragraph" w:customStyle="1" w:styleId="FindingNoTitle">
    <w:name w:val="Finding NoTitle"/>
    <w:basedOn w:val="Finding"/>
    <w:semiHidden/>
    <w:rsid w:val="00613AFB"/>
    <w:pPr>
      <w:spacing w:before="240"/>
    </w:pPr>
  </w:style>
  <w:style w:type="paragraph" w:customStyle="1" w:styleId="RecTitle">
    <w:name w:val="Rec Title"/>
    <w:basedOn w:val="BodyText"/>
    <w:next w:val="Normal"/>
    <w:rsid w:val="00613AFB"/>
    <w:pPr>
      <w:keepNext/>
      <w:keepLines/>
    </w:pPr>
    <w:rPr>
      <w:caps/>
      <w:sz w:val="20"/>
    </w:rPr>
  </w:style>
  <w:style w:type="paragraph" w:customStyle="1" w:styleId="FindingTitle">
    <w:name w:val="Finding Title"/>
    <w:basedOn w:val="RecTitle"/>
    <w:next w:val="Finding"/>
    <w:rsid w:val="00613AFB"/>
    <w:pPr>
      <w:framePr w:wrap="notBeside" w:hAnchor="text"/>
    </w:pPr>
  </w:style>
  <w:style w:type="character" w:styleId="FootnoteReference">
    <w:name w:val="footnote reference"/>
    <w:basedOn w:val="DefaultParagraphFont"/>
    <w:semiHidden/>
    <w:rsid w:val="00613AFB"/>
    <w:rPr>
      <w:rFonts w:ascii="Times New Roman" w:hAnsi="Times New Roman"/>
      <w:position w:val="6"/>
      <w:sz w:val="22"/>
      <w:vertAlign w:val="baseline"/>
    </w:rPr>
  </w:style>
  <w:style w:type="paragraph" w:styleId="FootnoteText">
    <w:name w:val="footnote text"/>
    <w:basedOn w:val="BodyText"/>
    <w:rsid w:val="00613AFB"/>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613AFB"/>
    <w:pPr>
      <w:spacing w:before="360" w:after="120"/>
    </w:pPr>
    <w:rPr>
      <w:rFonts w:ascii="Arial" w:hAnsi="Arial"/>
      <w:sz w:val="24"/>
    </w:rPr>
  </w:style>
  <w:style w:type="paragraph" w:customStyle="1" w:styleId="Jurisdictioncommentsbodytext">
    <w:name w:val="Jurisdiction comments body text"/>
    <w:rsid w:val="00613AFB"/>
    <w:pPr>
      <w:spacing w:after="140"/>
      <w:jc w:val="both"/>
    </w:pPr>
    <w:rPr>
      <w:rFonts w:ascii="Arial" w:hAnsi="Arial"/>
      <w:sz w:val="24"/>
      <w:lang w:eastAsia="en-US"/>
    </w:rPr>
  </w:style>
  <w:style w:type="paragraph" w:customStyle="1" w:styleId="Jurisdictioncommentsheading">
    <w:name w:val="Jurisdiction comments heading"/>
    <w:rsid w:val="00613AFB"/>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13AFB"/>
    <w:pPr>
      <w:numPr>
        <w:numId w:val="3"/>
      </w:numPr>
      <w:spacing w:after="140"/>
      <w:jc w:val="both"/>
    </w:pPr>
    <w:rPr>
      <w:rFonts w:ascii="Arial" w:hAnsi="Arial"/>
      <w:sz w:val="24"/>
      <w:lang w:eastAsia="en-US"/>
    </w:rPr>
  </w:style>
  <w:style w:type="paragraph" w:styleId="ListBullet">
    <w:name w:val="List Bullet"/>
    <w:basedOn w:val="BodyText"/>
    <w:rsid w:val="00613AFB"/>
    <w:pPr>
      <w:numPr>
        <w:numId w:val="4"/>
      </w:numPr>
      <w:spacing w:before="120"/>
    </w:pPr>
  </w:style>
  <w:style w:type="paragraph" w:styleId="ListBullet2">
    <w:name w:val="List Bullet 2"/>
    <w:basedOn w:val="BodyText"/>
    <w:rsid w:val="00613AFB"/>
    <w:pPr>
      <w:numPr>
        <w:numId w:val="5"/>
      </w:numPr>
      <w:spacing w:before="120"/>
    </w:pPr>
  </w:style>
  <w:style w:type="paragraph" w:styleId="ListBullet3">
    <w:name w:val="List Bullet 3"/>
    <w:basedOn w:val="BodyText"/>
    <w:rsid w:val="00613AFB"/>
    <w:pPr>
      <w:numPr>
        <w:numId w:val="6"/>
      </w:numPr>
      <w:spacing w:before="120"/>
    </w:pPr>
  </w:style>
  <w:style w:type="paragraph" w:styleId="ListNumber">
    <w:name w:val="List Number"/>
    <w:basedOn w:val="BodyText"/>
    <w:rsid w:val="00613AFB"/>
    <w:pPr>
      <w:numPr>
        <w:numId w:val="11"/>
      </w:numPr>
      <w:spacing w:before="120"/>
    </w:pPr>
  </w:style>
  <w:style w:type="paragraph" w:styleId="ListNumber2">
    <w:name w:val="List Number 2"/>
    <w:basedOn w:val="ListNumber"/>
    <w:rsid w:val="00613AFB"/>
    <w:pPr>
      <w:numPr>
        <w:ilvl w:val="1"/>
      </w:numPr>
    </w:pPr>
  </w:style>
  <w:style w:type="paragraph" w:styleId="ListNumber3">
    <w:name w:val="List Number 3"/>
    <w:basedOn w:val="ListNumber2"/>
    <w:rsid w:val="00613AFB"/>
    <w:pPr>
      <w:numPr>
        <w:ilvl w:val="2"/>
      </w:numPr>
    </w:pPr>
  </w:style>
  <w:style w:type="character" w:customStyle="1" w:styleId="NoteLabel">
    <w:name w:val="Note Label"/>
    <w:basedOn w:val="DefaultParagraphFont"/>
    <w:rsid w:val="00613AFB"/>
    <w:rPr>
      <w:rFonts w:ascii="Arial" w:hAnsi="Arial"/>
      <w:b/>
      <w:position w:val="6"/>
      <w:sz w:val="18"/>
    </w:rPr>
  </w:style>
  <w:style w:type="paragraph" w:customStyle="1" w:styleId="PartDivider">
    <w:name w:val="Part Divider"/>
    <w:basedOn w:val="BodyText"/>
    <w:next w:val="BodyText"/>
    <w:semiHidden/>
    <w:rsid w:val="00613AFB"/>
    <w:pPr>
      <w:spacing w:before="0" w:line="40" w:lineRule="exact"/>
      <w:jc w:val="right"/>
    </w:pPr>
    <w:rPr>
      <w:smallCaps/>
      <w:sz w:val="16"/>
    </w:rPr>
  </w:style>
  <w:style w:type="paragraph" w:customStyle="1" w:styleId="PartNumber">
    <w:name w:val="Part Number"/>
    <w:basedOn w:val="BodyText"/>
    <w:next w:val="BodyText"/>
    <w:semiHidden/>
    <w:rsid w:val="00613AFB"/>
    <w:pPr>
      <w:spacing w:before="4000" w:line="320" w:lineRule="exact"/>
      <w:ind w:left="6634"/>
      <w:jc w:val="right"/>
    </w:pPr>
    <w:rPr>
      <w:smallCaps/>
      <w:spacing w:val="60"/>
      <w:sz w:val="32"/>
    </w:rPr>
  </w:style>
  <w:style w:type="paragraph" w:customStyle="1" w:styleId="PartTitle">
    <w:name w:val="Part Title"/>
    <w:basedOn w:val="BodyText"/>
    <w:semiHidden/>
    <w:rsid w:val="00613AFB"/>
    <w:pPr>
      <w:spacing w:before="160" w:after="1360" w:line="520" w:lineRule="exact"/>
      <w:ind w:right="2381"/>
      <w:jc w:val="right"/>
    </w:pPr>
    <w:rPr>
      <w:smallCaps/>
      <w:sz w:val="52"/>
    </w:rPr>
  </w:style>
  <w:style w:type="paragraph" w:styleId="Quote">
    <w:name w:val="Quote"/>
    <w:basedOn w:val="BodyText"/>
    <w:next w:val="BodyText"/>
    <w:qFormat/>
    <w:rsid w:val="00613AFB"/>
    <w:pPr>
      <w:spacing w:before="120" w:line="280" w:lineRule="exact"/>
      <w:ind w:left="340"/>
    </w:pPr>
    <w:rPr>
      <w:sz w:val="24"/>
    </w:rPr>
  </w:style>
  <w:style w:type="paragraph" w:customStyle="1" w:styleId="QuoteBullet">
    <w:name w:val="Quote Bullet"/>
    <w:basedOn w:val="Quote"/>
    <w:rsid w:val="00613AFB"/>
    <w:pPr>
      <w:numPr>
        <w:numId w:val="7"/>
      </w:numPr>
    </w:pPr>
  </w:style>
  <w:style w:type="paragraph" w:customStyle="1" w:styleId="Rec">
    <w:name w:val="Rec"/>
    <w:basedOn w:val="BodyText"/>
    <w:rsid w:val="00613AFB"/>
    <w:pPr>
      <w:keepLines/>
      <w:spacing w:before="180"/>
    </w:pPr>
    <w:rPr>
      <w:b/>
      <w:i/>
    </w:rPr>
  </w:style>
  <w:style w:type="paragraph" w:customStyle="1" w:styleId="RecBullet">
    <w:name w:val="Rec Bullet"/>
    <w:basedOn w:val="Rec"/>
    <w:rsid w:val="00613AFB"/>
    <w:pPr>
      <w:numPr>
        <w:numId w:val="8"/>
      </w:numPr>
      <w:spacing w:before="80"/>
    </w:pPr>
  </w:style>
  <w:style w:type="paragraph" w:customStyle="1" w:styleId="RecB">
    <w:name w:val="RecB"/>
    <w:basedOn w:val="Normal"/>
    <w:semiHidden/>
    <w:rsid w:val="00613AFB"/>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613AFB"/>
    <w:pPr>
      <w:numPr>
        <w:numId w:val="13"/>
      </w:numPr>
      <w:spacing w:before="80"/>
    </w:pPr>
  </w:style>
  <w:style w:type="paragraph" w:customStyle="1" w:styleId="RecBNoTitle">
    <w:name w:val="RecB NoTitle"/>
    <w:basedOn w:val="RecB"/>
    <w:semiHidden/>
    <w:rsid w:val="00613AFB"/>
    <w:pPr>
      <w:spacing w:before="240"/>
    </w:pPr>
  </w:style>
  <w:style w:type="paragraph" w:customStyle="1" w:styleId="Reference">
    <w:name w:val="Reference"/>
    <w:basedOn w:val="BodyText"/>
    <w:rsid w:val="00613AFB"/>
    <w:pPr>
      <w:spacing w:before="120"/>
      <w:ind w:left="340" w:hanging="340"/>
    </w:pPr>
  </w:style>
  <w:style w:type="paragraph" w:customStyle="1" w:styleId="SequenceInfo">
    <w:name w:val="Sequence Info"/>
    <w:basedOn w:val="BodyText"/>
    <w:semiHidden/>
    <w:rsid w:val="00613AFB"/>
    <w:rPr>
      <w:vanish/>
      <w:sz w:val="16"/>
    </w:rPr>
  </w:style>
  <w:style w:type="paragraph" w:customStyle="1" w:styleId="SideNote">
    <w:name w:val="Side Note"/>
    <w:basedOn w:val="BodyText"/>
    <w:next w:val="BodyText"/>
    <w:semiHidden/>
    <w:rsid w:val="00613AFB"/>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613AFB"/>
    <w:pPr>
      <w:framePr w:wrap="around"/>
      <w:numPr>
        <w:numId w:val="9"/>
      </w:numPr>
      <w:tabs>
        <w:tab w:val="left" w:pos="227"/>
      </w:tabs>
    </w:pPr>
  </w:style>
  <w:style w:type="paragraph" w:customStyle="1" w:styleId="SideNoteGraphic">
    <w:name w:val="Side Note Graphic"/>
    <w:basedOn w:val="SideNote"/>
    <w:next w:val="BodyText"/>
    <w:semiHidden/>
    <w:rsid w:val="00613AFB"/>
    <w:pPr>
      <w:framePr w:wrap="around"/>
    </w:pPr>
  </w:style>
  <w:style w:type="paragraph" w:customStyle="1" w:styleId="TableBodyText">
    <w:name w:val="Table Body Text"/>
    <w:basedOn w:val="BodyText"/>
    <w:rsid w:val="00613AFB"/>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613AFB"/>
    <w:pPr>
      <w:numPr>
        <w:numId w:val="10"/>
      </w:numPr>
      <w:jc w:val="left"/>
    </w:pPr>
  </w:style>
  <w:style w:type="paragraph" w:customStyle="1" w:styleId="TableColumnHeading">
    <w:name w:val="Table Column Heading"/>
    <w:basedOn w:val="TableBodyText"/>
    <w:rsid w:val="00613AFB"/>
    <w:pPr>
      <w:spacing w:before="80" w:after="80"/>
    </w:pPr>
    <w:rPr>
      <w:i/>
    </w:rPr>
  </w:style>
  <w:style w:type="paragraph" w:styleId="TOC2">
    <w:name w:val="toc 2"/>
    <w:basedOn w:val="BodyText"/>
    <w:semiHidden/>
    <w:rsid w:val="00613AFB"/>
    <w:pPr>
      <w:tabs>
        <w:tab w:val="right" w:pos="8789"/>
      </w:tabs>
      <w:ind w:left="510" w:right="851" w:hanging="510"/>
      <w:jc w:val="left"/>
    </w:pPr>
    <w:rPr>
      <w:b/>
    </w:rPr>
  </w:style>
  <w:style w:type="paragraph" w:styleId="TOC3">
    <w:name w:val="toc 3"/>
    <w:basedOn w:val="TOC2"/>
    <w:semiHidden/>
    <w:rsid w:val="00613AFB"/>
    <w:pPr>
      <w:spacing w:before="60"/>
      <w:ind w:left="1190" w:hanging="680"/>
    </w:pPr>
    <w:rPr>
      <w:b w:val="0"/>
    </w:rPr>
  </w:style>
  <w:style w:type="paragraph" w:styleId="TableofFigures">
    <w:name w:val="table of figures"/>
    <w:basedOn w:val="TOC3"/>
    <w:next w:val="BodyText"/>
    <w:semiHidden/>
    <w:rsid w:val="00613AFB"/>
    <w:pPr>
      <w:ind w:left="737" w:hanging="737"/>
    </w:pPr>
  </w:style>
  <w:style w:type="paragraph" w:customStyle="1" w:styleId="TableTitle">
    <w:name w:val="Table Title"/>
    <w:basedOn w:val="Caption"/>
    <w:next w:val="Subtitle"/>
    <w:rsid w:val="00613AFB"/>
    <w:rPr>
      <w:sz w:val="24"/>
    </w:rPr>
  </w:style>
  <w:style w:type="paragraph" w:customStyle="1" w:styleId="TableUnitsRow">
    <w:name w:val="Table Units Row"/>
    <w:basedOn w:val="TableBodyText"/>
    <w:rsid w:val="00613AFB"/>
    <w:pPr>
      <w:spacing w:before="80" w:after="80"/>
    </w:pPr>
  </w:style>
  <w:style w:type="paragraph" w:styleId="TOC1">
    <w:name w:val="toc 1"/>
    <w:basedOn w:val="Normal"/>
    <w:next w:val="TOC2"/>
    <w:semiHidden/>
    <w:rsid w:val="00613AFB"/>
    <w:pPr>
      <w:tabs>
        <w:tab w:val="right" w:pos="8789"/>
      </w:tabs>
      <w:spacing w:before="480" w:after="60" w:line="320" w:lineRule="exact"/>
      <w:ind w:left="1191" w:right="851" w:hanging="1191"/>
    </w:pPr>
    <w:rPr>
      <w:b/>
      <w:caps/>
    </w:rPr>
  </w:style>
  <w:style w:type="paragraph" w:styleId="TOC4">
    <w:name w:val="toc 4"/>
    <w:basedOn w:val="TOC3"/>
    <w:semiHidden/>
    <w:rsid w:val="00613AFB"/>
    <w:pPr>
      <w:ind w:left="1191" w:firstLine="0"/>
    </w:pPr>
  </w:style>
  <w:style w:type="paragraph" w:customStyle="1" w:styleId="RecBBullet2">
    <w:name w:val="RecB Bullet 2"/>
    <w:basedOn w:val="ListBullet2"/>
    <w:semiHidden/>
    <w:rsid w:val="00613AFB"/>
    <w:pPr>
      <w:pBdr>
        <w:left w:val="single" w:sz="24" w:space="29" w:color="C0C0C0"/>
      </w:pBdr>
    </w:pPr>
    <w:rPr>
      <w:b/>
      <w:i/>
    </w:rPr>
  </w:style>
  <w:style w:type="paragraph" w:styleId="BalloonText">
    <w:name w:val="Balloon Text"/>
    <w:basedOn w:val="Normal"/>
    <w:link w:val="BalloonTextChar"/>
    <w:rsid w:val="00613AFB"/>
    <w:rPr>
      <w:rFonts w:ascii="Tahoma" w:hAnsi="Tahoma" w:cs="Tahoma"/>
      <w:sz w:val="16"/>
      <w:szCs w:val="16"/>
    </w:rPr>
  </w:style>
  <w:style w:type="character" w:customStyle="1" w:styleId="BalloonTextChar">
    <w:name w:val="Balloon Text Char"/>
    <w:basedOn w:val="DefaultParagraphFont"/>
    <w:link w:val="BalloonText"/>
    <w:rsid w:val="00613AFB"/>
    <w:rPr>
      <w:rFonts w:ascii="Tahoma" w:hAnsi="Tahoma" w:cs="Tahoma"/>
      <w:sz w:val="16"/>
      <w:szCs w:val="16"/>
    </w:rPr>
  </w:style>
  <w:style w:type="character" w:customStyle="1" w:styleId="SubtitleChar">
    <w:name w:val="Subtitle Char"/>
    <w:basedOn w:val="DefaultParagraphFont"/>
    <w:link w:val="Subtitle"/>
    <w:rsid w:val="00613AFB"/>
    <w:rPr>
      <w:rFonts w:ascii="Arial" w:hAnsi="Arial"/>
      <w:szCs w:val="24"/>
    </w:rPr>
  </w:style>
  <w:style w:type="paragraph" w:customStyle="1" w:styleId="BoxListBullet3">
    <w:name w:val="Box List Bullet 3"/>
    <w:basedOn w:val="ListBullet3"/>
    <w:rsid w:val="00613AFB"/>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613AFB"/>
    <w:rPr>
      <w:i/>
      <w:iCs/>
    </w:rPr>
  </w:style>
  <w:style w:type="paragraph" w:customStyle="1" w:styleId="BoxQuoteBullet">
    <w:name w:val="Box Quote Bullet"/>
    <w:basedOn w:val="BoxQuote"/>
    <w:next w:val="Box"/>
    <w:rsid w:val="00613AFB"/>
    <w:pPr>
      <w:numPr>
        <w:numId w:val="14"/>
      </w:numPr>
      <w:ind w:left="568" w:hanging="284"/>
    </w:pPr>
  </w:style>
  <w:style w:type="paragraph" w:customStyle="1" w:styleId="InformationRequestBullet">
    <w:name w:val="Information Request Bullet"/>
    <w:basedOn w:val="ListBullet"/>
    <w:next w:val="BodyText"/>
    <w:rsid w:val="00613AFB"/>
    <w:pPr>
      <w:numPr>
        <w:numId w:val="15"/>
      </w:numPr>
      <w:ind w:left="340" w:hanging="340"/>
    </w:pPr>
    <w:rPr>
      <w:rFonts w:ascii="Arial" w:hAnsi="Arial"/>
      <w:i/>
      <w:sz w:val="24"/>
    </w:rPr>
  </w:style>
  <w:style w:type="character" w:customStyle="1" w:styleId="BodyTextChar">
    <w:name w:val="Body Text Char"/>
    <w:aliases w:val="new legislation style Char,Body Text Char2 Char Char,Body Text Char Char1 Char Char,Body Text Char2 Char Char Char1 Char,Body Text Char1 Char1 Char Char Char1 Char,Body Text Char Char Char1 Char Char Char1 Char"/>
    <w:link w:val="BodyText"/>
    <w:rsid w:val="00B856DE"/>
    <w:rPr>
      <w:sz w:val="26"/>
    </w:rPr>
  </w:style>
  <w:style w:type="character" w:styleId="Hyperlink">
    <w:name w:val="Hyperlink"/>
    <w:basedOn w:val="DefaultParagraphFont"/>
    <w:rsid w:val="00EB6D10"/>
    <w:rPr>
      <w:color w:val="0000FF" w:themeColor="hyperlink"/>
      <w:u w:val="single"/>
    </w:rPr>
  </w:style>
  <w:style w:type="character" w:customStyle="1" w:styleId="Heading1Char">
    <w:name w:val="Heading 1 Char"/>
    <w:basedOn w:val="DefaultParagraphFont"/>
    <w:link w:val="Heading1"/>
    <w:rsid w:val="00F603B2"/>
    <w:rPr>
      <w:sz w:val="52"/>
    </w:rPr>
  </w:style>
  <w:style w:type="character" w:customStyle="1" w:styleId="Heading3Char">
    <w:name w:val="Heading 3 Char"/>
    <w:basedOn w:val="DefaultParagraphFont"/>
    <w:link w:val="Heading3"/>
    <w:rsid w:val="007C7365"/>
    <w:rPr>
      <w:rFonts w:ascii="Arial" w:hAnsi="Arial"/>
      <w:b/>
      <w:sz w:val="26"/>
    </w:rPr>
  </w:style>
  <w:style w:type="character" w:customStyle="1" w:styleId="Heading2Char">
    <w:name w:val="Heading 2 Char"/>
    <w:basedOn w:val="DefaultParagraphFont"/>
    <w:link w:val="Heading2"/>
    <w:rsid w:val="00A836DD"/>
    <w:rPr>
      <w:rFonts w:ascii="Arial" w:hAnsi="Arial"/>
      <w:b/>
      <w:sz w:val="32"/>
    </w:rPr>
  </w:style>
  <w:style w:type="character" w:customStyle="1" w:styleId="CommentTextChar">
    <w:name w:val="Comment Text Char"/>
    <w:basedOn w:val="DefaultParagraphFont"/>
    <w:link w:val="CommentText"/>
    <w:semiHidden/>
    <w:rsid w:val="0067209A"/>
    <w:rPr>
      <w:szCs w:val="24"/>
    </w:rPr>
  </w:style>
  <w:style w:type="paragraph" w:customStyle="1" w:styleId="BoxSpaceAbove">
    <w:name w:val="Box Space Above"/>
    <w:basedOn w:val="BodyText"/>
    <w:rsid w:val="00613AFB"/>
    <w:pPr>
      <w:keepNext/>
      <w:spacing w:before="360" w:line="80" w:lineRule="exact"/>
      <w:jc w:val="left"/>
    </w:pPr>
  </w:style>
  <w:style w:type="paragraph" w:customStyle="1" w:styleId="BoxSpaceBelow">
    <w:name w:val="Box Space Below"/>
    <w:basedOn w:val="Box"/>
    <w:rsid w:val="00613AFB"/>
    <w:pPr>
      <w:keepNext w:val="0"/>
      <w:spacing w:before="60" w:after="60" w:line="80" w:lineRule="exact"/>
    </w:pPr>
    <w:rPr>
      <w:sz w:val="14"/>
    </w:rPr>
  </w:style>
  <w:style w:type="paragraph" w:customStyle="1" w:styleId="Author">
    <w:name w:val="Author"/>
    <w:basedOn w:val="Normal"/>
    <w:rsid w:val="00462E92"/>
    <w:rPr>
      <w:rFonts w:ascii="Arial" w:hAnsi="Arial"/>
      <w:b/>
      <w:sz w:val="28"/>
    </w:rPr>
  </w:style>
  <w:style w:type="paragraph" w:customStyle="1" w:styleId="AbstractHeading">
    <w:name w:val="AbstractHeading"/>
    <w:basedOn w:val="AbstractText"/>
    <w:rsid w:val="00462E92"/>
    <w:pPr>
      <w:spacing w:before="240"/>
    </w:pPr>
    <w:rPr>
      <w:b/>
    </w:rPr>
  </w:style>
  <w:style w:type="paragraph" w:customStyle="1" w:styleId="AbstractText">
    <w:name w:val="AbstractText"/>
    <w:basedOn w:val="Normal"/>
    <w:rsid w:val="00462E92"/>
    <w:pPr>
      <w:spacing w:before="120" w:after="120" w:line="320" w:lineRule="atLeast"/>
      <w:ind w:left="907"/>
    </w:pPr>
    <w:rPr>
      <w:rFonts w:ascii="Arial" w:hAnsi="Arial"/>
      <w:sz w:val="22"/>
    </w:rPr>
  </w:style>
  <w:style w:type="paragraph" w:styleId="CommentSubject">
    <w:name w:val="annotation subject"/>
    <w:basedOn w:val="CommentText"/>
    <w:next w:val="CommentText"/>
    <w:link w:val="CommentSubjectChar"/>
    <w:rsid w:val="005C5138"/>
    <w:pPr>
      <w:spacing w:before="0" w:line="240" w:lineRule="auto"/>
      <w:ind w:left="0" w:firstLine="0"/>
    </w:pPr>
    <w:rPr>
      <w:b/>
      <w:bCs/>
      <w:szCs w:val="20"/>
    </w:rPr>
  </w:style>
  <w:style w:type="character" w:customStyle="1" w:styleId="CommentSubjectChar">
    <w:name w:val="Comment Subject Char"/>
    <w:basedOn w:val="CommentTextChar"/>
    <w:link w:val="CommentSubject"/>
    <w:rsid w:val="005C5138"/>
    <w:rPr>
      <w:b/>
      <w:bCs/>
      <w:szCs w:val="24"/>
    </w:rPr>
  </w:style>
  <w:style w:type="paragraph" w:styleId="DocumentMap">
    <w:name w:val="Document Map"/>
    <w:basedOn w:val="Normal"/>
    <w:link w:val="DocumentMapChar"/>
    <w:rsid w:val="00741C7F"/>
    <w:rPr>
      <w:rFonts w:ascii="Tahoma" w:hAnsi="Tahoma" w:cs="Tahoma"/>
      <w:sz w:val="16"/>
      <w:szCs w:val="16"/>
    </w:rPr>
  </w:style>
  <w:style w:type="character" w:customStyle="1" w:styleId="DocumentMapChar">
    <w:name w:val="Document Map Char"/>
    <w:basedOn w:val="DefaultParagraphFont"/>
    <w:link w:val="DocumentMap"/>
    <w:rsid w:val="00741C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613AFB"/>
    <w:rPr>
      <w:sz w:val="26"/>
      <w:szCs w:val="24"/>
    </w:rPr>
  </w:style>
  <w:style w:type="paragraph" w:styleId="Heading1">
    <w:name w:val="heading 1"/>
    <w:basedOn w:val="BodyText"/>
    <w:next w:val="BodyText"/>
    <w:link w:val="Heading1Char"/>
    <w:rsid w:val="00613AFB"/>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613AFB"/>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613AFB"/>
    <w:pPr>
      <w:spacing w:before="560" w:line="320" w:lineRule="exact"/>
      <w:ind w:left="0" w:firstLine="0"/>
      <w:outlineLvl w:val="2"/>
    </w:pPr>
    <w:rPr>
      <w:sz w:val="26"/>
    </w:rPr>
  </w:style>
  <w:style w:type="paragraph" w:styleId="Heading4">
    <w:name w:val="heading 4"/>
    <w:basedOn w:val="Heading3"/>
    <w:next w:val="BodyText"/>
    <w:qFormat/>
    <w:rsid w:val="00613AFB"/>
    <w:pPr>
      <w:spacing w:before="480"/>
      <w:outlineLvl w:val="3"/>
    </w:pPr>
    <w:rPr>
      <w:b w:val="0"/>
      <w:i/>
      <w:sz w:val="24"/>
    </w:rPr>
  </w:style>
  <w:style w:type="paragraph" w:styleId="Heading5">
    <w:name w:val="heading 5"/>
    <w:basedOn w:val="Heading4"/>
    <w:next w:val="BodyText"/>
    <w:qFormat/>
    <w:rsid w:val="00613AFB"/>
    <w:pPr>
      <w:outlineLvl w:val="4"/>
    </w:pPr>
    <w:rPr>
      <w:rFonts w:ascii="Times New Roman" w:hAnsi="Times New Roman"/>
      <w:sz w:val="26"/>
    </w:rPr>
  </w:style>
  <w:style w:type="paragraph" w:styleId="Heading6">
    <w:name w:val="heading 6"/>
    <w:basedOn w:val="BodyText"/>
    <w:next w:val="BodyText"/>
    <w:rsid w:val="00613AFB"/>
    <w:pPr>
      <w:spacing w:after="60"/>
      <w:jc w:val="left"/>
      <w:outlineLvl w:val="5"/>
    </w:pPr>
    <w:rPr>
      <w:i/>
      <w:sz w:val="22"/>
    </w:rPr>
  </w:style>
  <w:style w:type="paragraph" w:styleId="Heading7">
    <w:name w:val="heading 7"/>
    <w:basedOn w:val="BodyText"/>
    <w:next w:val="BodyText"/>
    <w:rsid w:val="00613AFB"/>
    <w:pPr>
      <w:spacing w:after="60" w:line="240" w:lineRule="auto"/>
      <w:jc w:val="left"/>
      <w:outlineLvl w:val="6"/>
    </w:pPr>
    <w:rPr>
      <w:rFonts w:ascii="Arial" w:hAnsi="Arial"/>
      <w:sz w:val="20"/>
    </w:rPr>
  </w:style>
  <w:style w:type="paragraph" w:styleId="Heading8">
    <w:name w:val="heading 8"/>
    <w:basedOn w:val="BodyText"/>
    <w:next w:val="BodyText"/>
    <w:rsid w:val="00613AFB"/>
    <w:pPr>
      <w:spacing w:after="60" w:line="240" w:lineRule="auto"/>
      <w:jc w:val="left"/>
      <w:outlineLvl w:val="7"/>
    </w:pPr>
    <w:rPr>
      <w:rFonts w:ascii="Arial" w:hAnsi="Arial"/>
      <w:i/>
      <w:sz w:val="20"/>
    </w:rPr>
  </w:style>
  <w:style w:type="paragraph" w:styleId="Heading9">
    <w:name w:val="heading 9"/>
    <w:basedOn w:val="BodyText"/>
    <w:next w:val="BodyText"/>
    <w:rsid w:val="00613AFB"/>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13A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3AFB"/>
  </w:style>
  <w:style w:type="paragraph" w:styleId="BodyText">
    <w:name w:val="Body Text"/>
    <w:aliases w:val="new legislation style,Body Text Char2 Char,Body Text Char Char1 Char,Body Text Char2 Char Char Char1,Body Text Char1 Char1 Char Char Char1,Body Text Char Char Char1 Char Char Char1,Body Text Char1 Char Char Char Char Char Char1"/>
    <w:link w:val="BodyTextChar"/>
    <w:qFormat/>
    <w:rsid w:val="00613AFB"/>
    <w:pPr>
      <w:spacing w:before="240" w:line="320" w:lineRule="atLeast"/>
      <w:jc w:val="both"/>
    </w:pPr>
    <w:rPr>
      <w:sz w:val="26"/>
    </w:rPr>
  </w:style>
  <w:style w:type="paragraph" w:styleId="Footer">
    <w:name w:val="footer"/>
    <w:basedOn w:val="BodyText"/>
    <w:semiHidden/>
    <w:rsid w:val="00613AFB"/>
    <w:pPr>
      <w:spacing w:before="80" w:line="200" w:lineRule="exact"/>
      <w:ind w:right="6"/>
      <w:jc w:val="left"/>
    </w:pPr>
    <w:rPr>
      <w:caps/>
      <w:spacing w:val="-4"/>
      <w:sz w:val="16"/>
    </w:rPr>
  </w:style>
  <w:style w:type="paragraph" w:customStyle="1" w:styleId="FooterEnd">
    <w:name w:val="Footer End"/>
    <w:basedOn w:val="Footer"/>
    <w:rsid w:val="00613AFB"/>
    <w:pPr>
      <w:spacing w:before="0" w:line="20" w:lineRule="exact"/>
    </w:pPr>
  </w:style>
  <w:style w:type="paragraph" w:styleId="Header">
    <w:name w:val="header"/>
    <w:basedOn w:val="BodyText"/>
    <w:rsid w:val="00613AFB"/>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13AFB"/>
    <w:pPr>
      <w:spacing w:line="20" w:lineRule="exact"/>
    </w:pPr>
    <w:rPr>
      <w:sz w:val="16"/>
    </w:rPr>
  </w:style>
  <w:style w:type="paragraph" w:customStyle="1" w:styleId="HeaderEven">
    <w:name w:val="Header Even"/>
    <w:basedOn w:val="Header"/>
    <w:semiHidden/>
    <w:rsid w:val="00613AFB"/>
  </w:style>
  <w:style w:type="paragraph" w:customStyle="1" w:styleId="HeaderOdd">
    <w:name w:val="Header Odd"/>
    <w:basedOn w:val="Header"/>
    <w:semiHidden/>
    <w:rsid w:val="00613AFB"/>
  </w:style>
  <w:style w:type="character" w:styleId="PageNumber">
    <w:name w:val="page number"/>
    <w:basedOn w:val="DefaultParagraphFont"/>
    <w:rsid w:val="00613AFB"/>
    <w:rPr>
      <w:rFonts w:ascii="Arial" w:hAnsi="Arial"/>
      <w:b/>
      <w:sz w:val="16"/>
    </w:rPr>
  </w:style>
  <w:style w:type="paragraph" w:customStyle="1" w:styleId="Abbreviation">
    <w:name w:val="Abbreviation"/>
    <w:basedOn w:val="BodyText"/>
    <w:rsid w:val="00613AFB"/>
    <w:pPr>
      <w:spacing w:before="120"/>
      <w:ind w:left="2381" w:hanging="2381"/>
      <w:jc w:val="left"/>
    </w:pPr>
  </w:style>
  <w:style w:type="paragraph" w:customStyle="1" w:styleId="Box">
    <w:name w:val="Box"/>
    <w:basedOn w:val="BodyText"/>
    <w:qFormat/>
    <w:rsid w:val="00613AFB"/>
    <w:pPr>
      <w:keepNext/>
      <w:spacing w:before="120" w:line="280" w:lineRule="atLeast"/>
    </w:pPr>
    <w:rPr>
      <w:rFonts w:ascii="Arial" w:hAnsi="Arial"/>
      <w:sz w:val="22"/>
    </w:rPr>
  </w:style>
  <w:style w:type="paragraph" w:customStyle="1" w:styleId="BoxContinued">
    <w:name w:val="Box Continued"/>
    <w:basedOn w:val="BodyText"/>
    <w:next w:val="BodyText"/>
    <w:semiHidden/>
    <w:rsid w:val="00613AFB"/>
    <w:pPr>
      <w:spacing w:before="180" w:line="220" w:lineRule="exact"/>
      <w:jc w:val="right"/>
    </w:pPr>
    <w:rPr>
      <w:rFonts w:ascii="Arial" w:hAnsi="Arial"/>
      <w:sz w:val="18"/>
    </w:rPr>
  </w:style>
  <w:style w:type="paragraph" w:customStyle="1" w:styleId="BoxHeading1">
    <w:name w:val="Box Heading 1"/>
    <w:basedOn w:val="BodyText"/>
    <w:next w:val="Box"/>
    <w:rsid w:val="00613AFB"/>
    <w:pPr>
      <w:keepNext/>
      <w:spacing w:before="200" w:line="280" w:lineRule="atLeast"/>
    </w:pPr>
    <w:rPr>
      <w:rFonts w:ascii="Arial" w:hAnsi="Arial"/>
      <w:b/>
      <w:sz w:val="22"/>
    </w:rPr>
  </w:style>
  <w:style w:type="paragraph" w:customStyle="1" w:styleId="BoxHeading2">
    <w:name w:val="Box Heading 2"/>
    <w:basedOn w:val="BoxHeading1"/>
    <w:next w:val="Normal"/>
    <w:rsid w:val="00613AFB"/>
    <w:rPr>
      <w:b w:val="0"/>
      <w:i/>
    </w:rPr>
  </w:style>
  <w:style w:type="paragraph" w:customStyle="1" w:styleId="BoxListBullet">
    <w:name w:val="Box List Bullet"/>
    <w:basedOn w:val="BodyText"/>
    <w:rsid w:val="00613AFB"/>
    <w:pPr>
      <w:keepNext/>
      <w:numPr>
        <w:numId w:val="1"/>
      </w:numPr>
      <w:spacing w:before="60" w:line="280" w:lineRule="atLeast"/>
    </w:pPr>
    <w:rPr>
      <w:rFonts w:ascii="Arial" w:hAnsi="Arial"/>
      <w:sz w:val="22"/>
    </w:rPr>
  </w:style>
  <w:style w:type="paragraph" w:customStyle="1" w:styleId="BoxListBullet2">
    <w:name w:val="Box List Bullet 2"/>
    <w:basedOn w:val="BodyText"/>
    <w:rsid w:val="00613AFB"/>
    <w:pPr>
      <w:keepNext/>
      <w:numPr>
        <w:numId w:val="16"/>
      </w:numPr>
      <w:spacing w:before="60" w:line="280" w:lineRule="atLeast"/>
    </w:pPr>
    <w:rPr>
      <w:rFonts w:ascii="Arial" w:hAnsi="Arial"/>
      <w:sz w:val="22"/>
    </w:rPr>
  </w:style>
  <w:style w:type="paragraph" w:customStyle="1" w:styleId="BoxListNumber">
    <w:name w:val="Box List Number"/>
    <w:basedOn w:val="BodyText"/>
    <w:rsid w:val="00613AFB"/>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613AFB"/>
    <w:pPr>
      <w:numPr>
        <w:ilvl w:val="1"/>
      </w:numPr>
    </w:pPr>
  </w:style>
  <w:style w:type="paragraph" w:customStyle="1" w:styleId="BoxQuote">
    <w:name w:val="Box Quote"/>
    <w:basedOn w:val="BodyText"/>
    <w:next w:val="Box"/>
    <w:rsid w:val="00613AFB"/>
    <w:pPr>
      <w:keepNext/>
      <w:spacing w:before="60" w:line="260" w:lineRule="exact"/>
      <w:ind w:left="284"/>
    </w:pPr>
    <w:rPr>
      <w:rFonts w:ascii="Arial" w:hAnsi="Arial"/>
      <w:sz w:val="20"/>
    </w:rPr>
  </w:style>
  <w:style w:type="paragraph" w:customStyle="1" w:styleId="Note">
    <w:name w:val="Note"/>
    <w:basedOn w:val="BodyText"/>
    <w:next w:val="BodyText"/>
    <w:rsid w:val="00613AFB"/>
    <w:pPr>
      <w:keepLines/>
      <w:spacing w:before="80" w:line="220" w:lineRule="exact"/>
    </w:pPr>
    <w:rPr>
      <w:rFonts w:ascii="Arial" w:hAnsi="Arial"/>
      <w:sz w:val="18"/>
    </w:rPr>
  </w:style>
  <w:style w:type="paragraph" w:customStyle="1" w:styleId="Source">
    <w:name w:val="Source"/>
    <w:basedOn w:val="Note"/>
    <w:next w:val="BodyText"/>
    <w:rsid w:val="00613AFB"/>
    <w:pPr>
      <w:spacing w:after="120"/>
    </w:pPr>
  </w:style>
  <w:style w:type="paragraph" w:customStyle="1" w:styleId="BoxSource">
    <w:name w:val="Box Source"/>
    <w:basedOn w:val="Source"/>
    <w:next w:val="BodyText"/>
    <w:rsid w:val="00613AFB"/>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613AFB"/>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613AFB"/>
    <w:pPr>
      <w:spacing w:before="120" w:after="0"/>
      <w:ind w:left="1304" w:hanging="1304"/>
    </w:pPr>
    <w:rPr>
      <w:sz w:val="24"/>
    </w:rPr>
  </w:style>
  <w:style w:type="paragraph" w:customStyle="1" w:styleId="BoxSubtitle">
    <w:name w:val="Box Subtitle"/>
    <w:basedOn w:val="BoxTitle"/>
    <w:next w:val="Normal"/>
    <w:rsid w:val="00613AFB"/>
    <w:pPr>
      <w:spacing w:after="80" w:line="200" w:lineRule="exact"/>
      <w:ind w:firstLine="0"/>
    </w:pPr>
    <w:rPr>
      <w:b w:val="0"/>
      <w:sz w:val="20"/>
    </w:rPr>
  </w:style>
  <w:style w:type="paragraph" w:customStyle="1" w:styleId="Chapter">
    <w:name w:val="Chapter"/>
    <w:basedOn w:val="Heading1"/>
    <w:next w:val="BodyText"/>
    <w:semiHidden/>
    <w:rsid w:val="00613AFB"/>
    <w:pPr>
      <w:ind w:left="0" w:firstLine="0"/>
      <w:outlineLvl w:val="9"/>
    </w:pPr>
  </w:style>
  <w:style w:type="paragraph" w:customStyle="1" w:styleId="ChapterSummary">
    <w:name w:val="Chapter Summary"/>
    <w:basedOn w:val="BodyText"/>
    <w:rsid w:val="00613AFB"/>
    <w:pPr>
      <w:ind w:left="907"/>
    </w:pPr>
    <w:rPr>
      <w:rFonts w:ascii="Arial" w:hAnsi="Arial"/>
      <w:b/>
      <w:sz w:val="22"/>
    </w:rPr>
  </w:style>
  <w:style w:type="character" w:styleId="CommentReference">
    <w:name w:val="annotation reference"/>
    <w:basedOn w:val="DefaultParagraphFont"/>
    <w:semiHidden/>
    <w:rsid w:val="00613AFB"/>
    <w:rPr>
      <w:b/>
      <w:vanish/>
      <w:color w:val="FF00FF"/>
      <w:sz w:val="20"/>
    </w:rPr>
  </w:style>
  <w:style w:type="paragraph" w:styleId="CommentText">
    <w:name w:val="annotation text"/>
    <w:basedOn w:val="Normal"/>
    <w:link w:val="CommentTextChar"/>
    <w:semiHidden/>
    <w:rsid w:val="00613AFB"/>
    <w:pPr>
      <w:spacing w:before="120" w:line="240" w:lineRule="atLeast"/>
      <w:ind w:left="567" w:hanging="567"/>
    </w:pPr>
    <w:rPr>
      <w:sz w:val="20"/>
    </w:rPr>
  </w:style>
  <w:style w:type="paragraph" w:customStyle="1" w:styleId="Continued">
    <w:name w:val="Continued"/>
    <w:basedOn w:val="BoxContinued"/>
    <w:next w:val="BodyText"/>
    <w:rsid w:val="00613AFB"/>
  </w:style>
  <w:style w:type="character" w:customStyle="1" w:styleId="DocumentInfo">
    <w:name w:val="Document Info"/>
    <w:basedOn w:val="DefaultParagraphFont"/>
    <w:semiHidden/>
    <w:rsid w:val="00613AFB"/>
    <w:rPr>
      <w:rFonts w:ascii="Arial" w:hAnsi="Arial"/>
      <w:sz w:val="14"/>
    </w:rPr>
  </w:style>
  <w:style w:type="character" w:customStyle="1" w:styleId="DraftingNote">
    <w:name w:val="Drafting Note"/>
    <w:basedOn w:val="DefaultParagraphFont"/>
    <w:rsid w:val="00613AFB"/>
    <w:rPr>
      <w:b/>
      <w:color w:val="FF0000"/>
      <w:sz w:val="24"/>
      <w:u w:val="dotted"/>
    </w:rPr>
  </w:style>
  <w:style w:type="paragraph" w:customStyle="1" w:styleId="Figure">
    <w:name w:val="Figure"/>
    <w:basedOn w:val="BodyText"/>
    <w:rsid w:val="00613AFB"/>
    <w:pPr>
      <w:keepNext/>
      <w:spacing w:before="120" w:after="120" w:line="240" w:lineRule="atLeast"/>
      <w:jc w:val="center"/>
    </w:pPr>
  </w:style>
  <w:style w:type="paragraph" w:customStyle="1" w:styleId="FigureTitle">
    <w:name w:val="Figure Title"/>
    <w:basedOn w:val="Caption"/>
    <w:next w:val="Subtitle"/>
    <w:rsid w:val="00613AFB"/>
    <w:rPr>
      <w:sz w:val="24"/>
    </w:rPr>
  </w:style>
  <w:style w:type="paragraph" w:styleId="Subtitle">
    <w:name w:val="Subtitle"/>
    <w:basedOn w:val="Caption"/>
    <w:link w:val="SubtitleChar"/>
    <w:rsid w:val="00613AFB"/>
    <w:pPr>
      <w:spacing w:before="0" w:line="200" w:lineRule="exact"/>
      <w:ind w:firstLine="0"/>
    </w:pPr>
    <w:rPr>
      <w:b w:val="0"/>
      <w:sz w:val="20"/>
    </w:rPr>
  </w:style>
  <w:style w:type="paragraph" w:customStyle="1" w:styleId="Finding">
    <w:name w:val="Finding"/>
    <w:basedOn w:val="BodyText"/>
    <w:rsid w:val="00613AFB"/>
    <w:pPr>
      <w:keepLines/>
      <w:spacing w:before="180"/>
    </w:pPr>
    <w:rPr>
      <w:i/>
    </w:rPr>
  </w:style>
  <w:style w:type="paragraph" w:customStyle="1" w:styleId="FindingBullet">
    <w:name w:val="Finding Bullet"/>
    <w:basedOn w:val="Finding"/>
    <w:rsid w:val="00613AFB"/>
    <w:pPr>
      <w:numPr>
        <w:numId w:val="2"/>
      </w:numPr>
      <w:spacing w:before="80"/>
    </w:pPr>
  </w:style>
  <w:style w:type="paragraph" w:customStyle="1" w:styleId="FindingNoTitle">
    <w:name w:val="Finding NoTitle"/>
    <w:basedOn w:val="Finding"/>
    <w:semiHidden/>
    <w:rsid w:val="00613AFB"/>
    <w:pPr>
      <w:spacing w:before="240"/>
    </w:pPr>
  </w:style>
  <w:style w:type="paragraph" w:customStyle="1" w:styleId="RecTitle">
    <w:name w:val="Rec Title"/>
    <w:basedOn w:val="BodyText"/>
    <w:next w:val="Normal"/>
    <w:rsid w:val="00613AFB"/>
    <w:pPr>
      <w:keepNext/>
      <w:keepLines/>
    </w:pPr>
    <w:rPr>
      <w:caps/>
      <w:sz w:val="20"/>
    </w:rPr>
  </w:style>
  <w:style w:type="paragraph" w:customStyle="1" w:styleId="FindingTitle">
    <w:name w:val="Finding Title"/>
    <w:basedOn w:val="RecTitle"/>
    <w:next w:val="Finding"/>
    <w:rsid w:val="00613AFB"/>
    <w:pPr>
      <w:framePr w:wrap="notBeside" w:hAnchor="text"/>
    </w:pPr>
  </w:style>
  <w:style w:type="character" w:styleId="FootnoteReference">
    <w:name w:val="footnote reference"/>
    <w:basedOn w:val="DefaultParagraphFont"/>
    <w:semiHidden/>
    <w:rsid w:val="00613AFB"/>
    <w:rPr>
      <w:rFonts w:ascii="Times New Roman" w:hAnsi="Times New Roman"/>
      <w:position w:val="6"/>
      <w:sz w:val="22"/>
      <w:vertAlign w:val="baseline"/>
    </w:rPr>
  </w:style>
  <w:style w:type="paragraph" w:styleId="FootnoteText">
    <w:name w:val="footnote text"/>
    <w:basedOn w:val="BodyText"/>
    <w:rsid w:val="00613AFB"/>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613AFB"/>
    <w:pPr>
      <w:spacing w:before="360" w:after="120"/>
    </w:pPr>
    <w:rPr>
      <w:rFonts w:ascii="Arial" w:hAnsi="Arial"/>
      <w:sz w:val="24"/>
    </w:rPr>
  </w:style>
  <w:style w:type="paragraph" w:customStyle="1" w:styleId="Jurisdictioncommentsbodytext">
    <w:name w:val="Jurisdiction comments body text"/>
    <w:rsid w:val="00613AFB"/>
    <w:pPr>
      <w:spacing w:after="140"/>
      <w:jc w:val="both"/>
    </w:pPr>
    <w:rPr>
      <w:rFonts w:ascii="Arial" w:hAnsi="Arial"/>
      <w:sz w:val="24"/>
      <w:lang w:eastAsia="en-US"/>
    </w:rPr>
  </w:style>
  <w:style w:type="paragraph" w:customStyle="1" w:styleId="Jurisdictioncommentsheading">
    <w:name w:val="Jurisdiction comments heading"/>
    <w:rsid w:val="00613AFB"/>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13AFB"/>
    <w:pPr>
      <w:numPr>
        <w:numId w:val="3"/>
      </w:numPr>
      <w:spacing w:after="140"/>
      <w:jc w:val="both"/>
    </w:pPr>
    <w:rPr>
      <w:rFonts w:ascii="Arial" w:hAnsi="Arial"/>
      <w:sz w:val="24"/>
      <w:lang w:eastAsia="en-US"/>
    </w:rPr>
  </w:style>
  <w:style w:type="paragraph" w:styleId="ListBullet">
    <w:name w:val="List Bullet"/>
    <w:basedOn w:val="BodyText"/>
    <w:rsid w:val="00613AFB"/>
    <w:pPr>
      <w:numPr>
        <w:numId w:val="4"/>
      </w:numPr>
      <w:spacing w:before="120"/>
    </w:pPr>
  </w:style>
  <w:style w:type="paragraph" w:styleId="ListBullet2">
    <w:name w:val="List Bullet 2"/>
    <w:basedOn w:val="BodyText"/>
    <w:rsid w:val="00613AFB"/>
    <w:pPr>
      <w:numPr>
        <w:numId w:val="5"/>
      </w:numPr>
      <w:spacing w:before="120"/>
    </w:pPr>
  </w:style>
  <w:style w:type="paragraph" w:styleId="ListBullet3">
    <w:name w:val="List Bullet 3"/>
    <w:basedOn w:val="BodyText"/>
    <w:rsid w:val="00613AFB"/>
    <w:pPr>
      <w:numPr>
        <w:numId w:val="6"/>
      </w:numPr>
      <w:spacing w:before="120"/>
    </w:pPr>
  </w:style>
  <w:style w:type="paragraph" w:styleId="ListNumber">
    <w:name w:val="List Number"/>
    <w:basedOn w:val="BodyText"/>
    <w:rsid w:val="00613AFB"/>
    <w:pPr>
      <w:numPr>
        <w:numId w:val="11"/>
      </w:numPr>
      <w:spacing w:before="120"/>
    </w:pPr>
  </w:style>
  <w:style w:type="paragraph" w:styleId="ListNumber2">
    <w:name w:val="List Number 2"/>
    <w:basedOn w:val="ListNumber"/>
    <w:rsid w:val="00613AFB"/>
    <w:pPr>
      <w:numPr>
        <w:ilvl w:val="1"/>
      </w:numPr>
    </w:pPr>
  </w:style>
  <w:style w:type="paragraph" w:styleId="ListNumber3">
    <w:name w:val="List Number 3"/>
    <w:basedOn w:val="ListNumber2"/>
    <w:rsid w:val="00613AFB"/>
    <w:pPr>
      <w:numPr>
        <w:ilvl w:val="2"/>
      </w:numPr>
    </w:pPr>
  </w:style>
  <w:style w:type="character" w:customStyle="1" w:styleId="NoteLabel">
    <w:name w:val="Note Label"/>
    <w:basedOn w:val="DefaultParagraphFont"/>
    <w:rsid w:val="00613AFB"/>
    <w:rPr>
      <w:rFonts w:ascii="Arial" w:hAnsi="Arial"/>
      <w:b/>
      <w:position w:val="6"/>
      <w:sz w:val="18"/>
    </w:rPr>
  </w:style>
  <w:style w:type="paragraph" w:customStyle="1" w:styleId="PartDivider">
    <w:name w:val="Part Divider"/>
    <w:basedOn w:val="BodyText"/>
    <w:next w:val="BodyText"/>
    <w:semiHidden/>
    <w:rsid w:val="00613AFB"/>
    <w:pPr>
      <w:spacing w:before="0" w:line="40" w:lineRule="exact"/>
      <w:jc w:val="right"/>
    </w:pPr>
    <w:rPr>
      <w:smallCaps/>
      <w:sz w:val="16"/>
    </w:rPr>
  </w:style>
  <w:style w:type="paragraph" w:customStyle="1" w:styleId="PartNumber">
    <w:name w:val="Part Number"/>
    <w:basedOn w:val="BodyText"/>
    <w:next w:val="BodyText"/>
    <w:semiHidden/>
    <w:rsid w:val="00613AFB"/>
    <w:pPr>
      <w:spacing w:before="4000" w:line="320" w:lineRule="exact"/>
      <w:ind w:left="6634"/>
      <w:jc w:val="right"/>
    </w:pPr>
    <w:rPr>
      <w:smallCaps/>
      <w:spacing w:val="60"/>
      <w:sz w:val="32"/>
    </w:rPr>
  </w:style>
  <w:style w:type="paragraph" w:customStyle="1" w:styleId="PartTitle">
    <w:name w:val="Part Title"/>
    <w:basedOn w:val="BodyText"/>
    <w:semiHidden/>
    <w:rsid w:val="00613AFB"/>
    <w:pPr>
      <w:spacing w:before="160" w:after="1360" w:line="520" w:lineRule="exact"/>
      <w:ind w:right="2381"/>
      <w:jc w:val="right"/>
    </w:pPr>
    <w:rPr>
      <w:smallCaps/>
      <w:sz w:val="52"/>
    </w:rPr>
  </w:style>
  <w:style w:type="paragraph" w:styleId="Quote">
    <w:name w:val="Quote"/>
    <w:basedOn w:val="BodyText"/>
    <w:next w:val="BodyText"/>
    <w:qFormat/>
    <w:rsid w:val="00613AFB"/>
    <w:pPr>
      <w:spacing w:before="120" w:line="280" w:lineRule="exact"/>
      <w:ind w:left="340"/>
    </w:pPr>
    <w:rPr>
      <w:sz w:val="24"/>
    </w:rPr>
  </w:style>
  <w:style w:type="paragraph" w:customStyle="1" w:styleId="QuoteBullet">
    <w:name w:val="Quote Bullet"/>
    <w:basedOn w:val="Quote"/>
    <w:rsid w:val="00613AFB"/>
    <w:pPr>
      <w:numPr>
        <w:numId w:val="7"/>
      </w:numPr>
    </w:pPr>
  </w:style>
  <w:style w:type="paragraph" w:customStyle="1" w:styleId="Rec">
    <w:name w:val="Rec"/>
    <w:basedOn w:val="BodyText"/>
    <w:rsid w:val="00613AFB"/>
    <w:pPr>
      <w:keepLines/>
      <w:spacing w:before="180"/>
    </w:pPr>
    <w:rPr>
      <w:b/>
      <w:i/>
    </w:rPr>
  </w:style>
  <w:style w:type="paragraph" w:customStyle="1" w:styleId="RecBullet">
    <w:name w:val="Rec Bullet"/>
    <w:basedOn w:val="Rec"/>
    <w:rsid w:val="00613AFB"/>
    <w:pPr>
      <w:numPr>
        <w:numId w:val="8"/>
      </w:numPr>
      <w:spacing w:before="80"/>
    </w:pPr>
  </w:style>
  <w:style w:type="paragraph" w:customStyle="1" w:styleId="RecB">
    <w:name w:val="RecB"/>
    <w:basedOn w:val="Normal"/>
    <w:semiHidden/>
    <w:rsid w:val="00613AFB"/>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613AFB"/>
    <w:pPr>
      <w:numPr>
        <w:numId w:val="13"/>
      </w:numPr>
      <w:spacing w:before="80"/>
    </w:pPr>
  </w:style>
  <w:style w:type="paragraph" w:customStyle="1" w:styleId="RecBNoTitle">
    <w:name w:val="RecB NoTitle"/>
    <w:basedOn w:val="RecB"/>
    <w:semiHidden/>
    <w:rsid w:val="00613AFB"/>
    <w:pPr>
      <w:spacing w:before="240"/>
    </w:pPr>
  </w:style>
  <w:style w:type="paragraph" w:customStyle="1" w:styleId="Reference">
    <w:name w:val="Reference"/>
    <w:basedOn w:val="BodyText"/>
    <w:rsid w:val="00613AFB"/>
    <w:pPr>
      <w:spacing w:before="120"/>
      <w:ind w:left="340" w:hanging="340"/>
    </w:pPr>
  </w:style>
  <w:style w:type="paragraph" w:customStyle="1" w:styleId="SequenceInfo">
    <w:name w:val="Sequence Info"/>
    <w:basedOn w:val="BodyText"/>
    <w:semiHidden/>
    <w:rsid w:val="00613AFB"/>
    <w:rPr>
      <w:vanish/>
      <w:sz w:val="16"/>
    </w:rPr>
  </w:style>
  <w:style w:type="paragraph" w:customStyle="1" w:styleId="SideNote">
    <w:name w:val="Side Note"/>
    <w:basedOn w:val="BodyText"/>
    <w:next w:val="BodyText"/>
    <w:semiHidden/>
    <w:rsid w:val="00613AFB"/>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613AFB"/>
    <w:pPr>
      <w:framePr w:wrap="around"/>
      <w:numPr>
        <w:numId w:val="9"/>
      </w:numPr>
      <w:tabs>
        <w:tab w:val="left" w:pos="227"/>
      </w:tabs>
    </w:pPr>
  </w:style>
  <w:style w:type="paragraph" w:customStyle="1" w:styleId="SideNoteGraphic">
    <w:name w:val="Side Note Graphic"/>
    <w:basedOn w:val="SideNote"/>
    <w:next w:val="BodyText"/>
    <w:semiHidden/>
    <w:rsid w:val="00613AFB"/>
    <w:pPr>
      <w:framePr w:wrap="around"/>
    </w:pPr>
  </w:style>
  <w:style w:type="paragraph" w:customStyle="1" w:styleId="TableBodyText">
    <w:name w:val="Table Body Text"/>
    <w:basedOn w:val="BodyText"/>
    <w:rsid w:val="00613AFB"/>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613AFB"/>
    <w:pPr>
      <w:numPr>
        <w:numId w:val="10"/>
      </w:numPr>
      <w:jc w:val="left"/>
    </w:pPr>
  </w:style>
  <w:style w:type="paragraph" w:customStyle="1" w:styleId="TableColumnHeading">
    <w:name w:val="Table Column Heading"/>
    <w:basedOn w:val="TableBodyText"/>
    <w:rsid w:val="00613AFB"/>
    <w:pPr>
      <w:spacing w:before="80" w:after="80"/>
    </w:pPr>
    <w:rPr>
      <w:i/>
    </w:rPr>
  </w:style>
  <w:style w:type="paragraph" w:styleId="TOC2">
    <w:name w:val="toc 2"/>
    <w:basedOn w:val="BodyText"/>
    <w:semiHidden/>
    <w:rsid w:val="00613AFB"/>
    <w:pPr>
      <w:tabs>
        <w:tab w:val="right" w:pos="8789"/>
      </w:tabs>
      <w:ind w:left="510" w:right="851" w:hanging="510"/>
      <w:jc w:val="left"/>
    </w:pPr>
    <w:rPr>
      <w:b/>
    </w:rPr>
  </w:style>
  <w:style w:type="paragraph" w:styleId="TOC3">
    <w:name w:val="toc 3"/>
    <w:basedOn w:val="TOC2"/>
    <w:semiHidden/>
    <w:rsid w:val="00613AFB"/>
    <w:pPr>
      <w:spacing w:before="60"/>
      <w:ind w:left="1190" w:hanging="680"/>
    </w:pPr>
    <w:rPr>
      <w:b w:val="0"/>
    </w:rPr>
  </w:style>
  <w:style w:type="paragraph" w:styleId="TableofFigures">
    <w:name w:val="table of figures"/>
    <w:basedOn w:val="TOC3"/>
    <w:next w:val="BodyText"/>
    <w:semiHidden/>
    <w:rsid w:val="00613AFB"/>
    <w:pPr>
      <w:ind w:left="737" w:hanging="737"/>
    </w:pPr>
  </w:style>
  <w:style w:type="paragraph" w:customStyle="1" w:styleId="TableTitle">
    <w:name w:val="Table Title"/>
    <w:basedOn w:val="Caption"/>
    <w:next w:val="Subtitle"/>
    <w:rsid w:val="00613AFB"/>
    <w:rPr>
      <w:sz w:val="24"/>
    </w:rPr>
  </w:style>
  <w:style w:type="paragraph" w:customStyle="1" w:styleId="TableUnitsRow">
    <w:name w:val="Table Units Row"/>
    <w:basedOn w:val="TableBodyText"/>
    <w:rsid w:val="00613AFB"/>
    <w:pPr>
      <w:spacing w:before="80" w:after="80"/>
    </w:pPr>
  </w:style>
  <w:style w:type="paragraph" w:styleId="TOC1">
    <w:name w:val="toc 1"/>
    <w:basedOn w:val="Normal"/>
    <w:next w:val="TOC2"/>
    <w:semiHidden/>
    <w:rsid w:val="00613AFB"/>
    <w:pPr>
      <w:tabs>
        <w:tab w:val="right" w:pos="8789"/>
      </w:tabs>
      <w:spacing w:before="480" w:after="60" w:line="320" w:lineRule="exact"/>
      <w:ind w:left="1191" w:right="851" w:hanging="1191"/>
    </w:pPr>
    <w:rPr>
      <w:b/>
      <w:caps/>
    </w:rPr>
  </w:style>
  <w:style w:type="paragraph" w:styleId="TOC4">
    <w:name w:val="toc 4"/>
    <w:basedOn w:val="TOC3"/>
    <w:semiHidden/>
    <w:rsid w:val="00613AFB"/>
    <w:pPr>
      <w:ind w:left="1191" w:firstLine="0"/>
    </w:pPr>
  </w:style>
  <w:style w:type="paragraph" w:customStyle="1" w:styleId="RecBBullet2">
    <w:name w:val="RecB Bullet 2"/>
    <w:basedOn w:val="ListBullet2"/>
    <w:semiHidden/>
    <w:rsid w:val="00613AFB"/>
    <w:pPr>
      <w:pBdr>
        <w:left w:val="single" w:sz="24" w:space="29" w:color="C0C0C0"/>
      </w:pBdr>
    </w:pPr>
    <w:rPr>
      <w:b/>
      <w:i/>
    </w:rPr>
  </w:style>
  <w:style w:type="paragraph" w:styleId="BalloonText">
    <w:name w:val="Balloon Text"/>
    <w:basedOn w:val="Normal"/>
    <w:link w:val="BalloonTextChar"/>
    <w:rsid w:val="00613AFB"/>
    <w:rPr>
      <w:rFonts w:ascii="Tahoma" w:hAnsi="Tahoma" w:cs="Tahoma"/>
      <w:sz w:val="16"/>
      <w:szCs w:val="16"/>
    </w:rPr>
  </w:style>
  <w:style w:type="character" w:customStyle="1" w:styleId="BalloonTextChar">
    <w:name w:val="Balloon Text Char"/>
    <w:basedOn w:val="DefaultParagraphFont"/>
    <w:link w:val="BalloonText"/>
    <w:rsid w:val="00613AFB"/>
    <w:rPr>
      <w:rFonts w:ascii="Tahoma" w:hAnsi="Tahoma" w:cs="Tahoma"/>
      <w:sz w:val="16"/>
      <w:szCs w:val="16"/>
    </w:rPr>
  </w:style>
  <w:style w:type="character" w:customStyle="1" w:styleId="SubtitleChar">
    <w:name w:val="Subtitle Char"/>
    <w:basedOn w:val="DefaultParagraphFont"/>
    <w:link w:val="Subtitle"/>
    <w:rsid w:val="00613AFB"/>
    <w:rPr>
      <w:rFonts w:ascii="Arial" w:hAnsi="Arial"/>
      <w:szCs w:val="24"/>
    </w:rPr>
  </w:style>
  <w:style w:type="paragraph" w:customStyle="1" w:styleId="BoxListBullet3">
    <w:name w:val="Box List Bullet 3"/>
    <w:basedOn w:val="ListBullet3"/>
    <w:rsid w:val="00613AFB"/>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613AFB"/>
    <w:rPr>
      <w:i/>
      <w:iCs/>
    </w:rPr>
  </w:style>
  <w:style w:type="paragraph" w:customStyle="1" w:styleId="BoxQuoteBullet">
    <w:name w:val="Box Quote Bullet"/>
    <w:basedOn w:val="BoxQuote"/>
    <w:next w:val="Box"/>
    <w:rsid w:val="00613AFB"/>
    <w:pPr>
      <w:numPr>
        <w:numId w:val="14"/>
      </w:numPr>
      <w:ind w:left="568" w:hanging="284"/>
    </w:pPr>
  </w:style>
  <w:style w:type="paragraph" w:customStyle="1" w:styleId="InformationRequestBullet">
    <w:name w:val="Information Request Bullet"/>
    <w:basedOn w:val="ListBullet"/>
    <w:next w:val="BodyText"/>
    <w:rsid w:val="00613AFB"/>
    <w:pPr>
      <w:numPr>
        <w:numId w:val="15"/>
      </w:numPr>
      <w:ind w:left="340" w:hanging="340"/>
    </w:pPr>
    <w:rPr>
      <w:rFonts w:ascii="Arial" w:hAnsi="Arial"/>
      <w:i/>
      <w:sz w:val="24"/>
    </w:rPr>
  </w:style>
  <w:style w:type="character" w:customStyle="1" w:styleId="BodyTextChar">
    <w:name w:val="Body Text Char"/>
    <w:aliases w:val="new legislation style Char,Body Text Char2 Char Char,Body Text Char Char1 Char Char,Body Text Char2 Char Char Char1 Char,Body Text Char1 Char1 Char Char Char1 Char,Body Text Char Char Char1 Char Char Char1 Char"/>
    <w:link w:val="BodyText"/>
    <w:rsid w:val="00B856DE"/>
    <w:rPr>
      <w:sz w:val="26"/>
    </w:rPr>
  </w:style>
  <w:style w:type="character" w:styleId="Hyperlink">
    <w:name w:val="Hyperlink"/>
    <w:basedOn w:val="DefaultParagraphFont"/>
    <w:rsid w:val="00EB6D10"/>
    <w:rPr>
      <w:color w:val="0000FF" w:themeColor="hyperlink"/>
      <w:u w:val="single"/>
    </w:rPr>
  </w:style>
  <w:style w:type="character" w:customStyle="1" w:styleId="Heading1Char">
    <w:name w:val="Heading 1 Char"/>
    <w:basedOn w:val="DefaultParagraphFont"/>
    <w:link w:val="Heading1"/>
    <w:rsid w:val="00F603B2"/>
    <w:rPr>
      <w:sz w:val="52"/>
    </w:rPr>
  </w:style>
  <w:style w:type="character" w:customStyle="1" w:styleId="Heading3Char">
    <w:name w:val="Heading 3 Char"/>
    <w:basedOn w:val="DefaultParagraphFont"/>
    <w:link w:val="Heading3"/>
    <w:rsid w:val="007C7365"/>
    <w:rPr>
      <w:rFonts w:ascii="Arial" w:hAnsi="Arial"/>
      <w:b/>
      <w:sz w:val="26"/>
    </w:rPr>
  </w:style>
  <w:style w:type="character" w:customStyle="1" w:styleId="Heading2Char">
    <w:name w:val="Heading 2 Char"/>
    <w:basedOn w:val="DefaultParagraphFont"/>
    <w:link w:val="Heading2"/>
    <w:rsid w:val="00A836DD"/>
    <w:rPr>
      <w:rFonts w:ascii="Arial" w:hAnsi="Arial"/>
      <w:b/>
      <w:sz w:val="32"/>
    </w:rPr>
  </w:style>
  <w:style w:type="character" w:customStyle="1" w:styleId="CommentTextChar">
    <w:name w:val="Comment Text Char"/>
    <w:basedOn w:val="DefaultParagraphFont"/>
    <w:link w:val="CommentText"/>
    <w:semiHidden/>
    <w:rsid w:val="0067209A"/>
    <w:rPr>
      <w:szCs w:val="24"/>
    </w:rPr>
  </w:style>
  <w:style w:type="paragraph" w:customStyle="1" w:styleId="BoxSpaceAbove">
    <w:name w:val="Box Space Above"/>
    <w:basedOn w:val="BodyText"/>
    <w:rsid w:val="00613AFB"/>
    <w:pPr>
      <w:keepNext/>
      <w:spacing w:before="360" w:line="80" w:lineRule="exact"/>
      <w:jc w:val="left"/>
    </w:pPr>
  </w:style>
  <w:style w:type="paragraph" w:customStyle="1" w:styleId="BoxSpaceBelow">
    <w:name w:val="Box Space Below"/>
    <w:basedOn w:val="Box"/>
    <w:rsid w:val="00613AFB"/>
    <w:pPr>
      <w:keepNext w:val="0"/>
      <w:spacing w:before="60" w:after="60" w:line="80" w:lineRule="exact"/>
    </w:pPr>
    <w:rPr>
      <w:sz w:val="14"/>
    </w:rPr>
  </w:style>
  <w:style w:type="paragraph" w:customStyle="1" w:styleId="Author">
    <w:name w:val="Author"/>
    <w:basedOn w:val="Normal"/>
    <w:rsid w:val="00462E92"/>
    <w:rPr>
      <w:rFonts w:ascii="Arial" w:hAnsi="Arial"/>
      <w:b/>
      <w:sz w:val="28"/>
    </w:rPr>
  </w:style>
  <w:style w:type="paragraph" w:customStyle="1" w:styleId="AbstractHeading">
    <w:name w:val="AbstractHeading"/>
    <w:basedOn w:val="AbstractText"/>
    <w:rsid w:val="00462E92"/>
    <w:pPr>
      <w:spacing w:before="240"/>
    </w:pPr>
    <w:rPr>
      <w:b/>
    </w:rPr>
  </w:style>
  <w:style w:type="paragraph" w:customStyle="1" w:styleId="AbstractText">
    <w:name w:val="AbstractText"/>
    <w:basedOn w:val="Normal"/>
    <w:rsid w:val="00462E92"/>
    <w:pPr>
      <w:spacing w:before="120" w:after="120" w:line="320" w:lineRule="atLeast"/>
      <w:ind w:left="907"/>
    </w:pPr>
    <w:rPr>
      <w:rFonts w:ascii="Arial" w:hAnsi="Arial"/>
      <w:sz w:val="22"/>
    </w:rPr>
  </w:style>
  <w:style w:type="paragraph" w:styleId="CommentSubject">
    <w:name w:val="annotation subject"/>
    <w:basedOn w:val="CommentText"/>
    <w:next w:val="CommentText"/>
    <w:link w:val="CommentSubjectChar"/>
    <w:rsid w:val="005C5138"/>
    <w:pPr>
      <w:spacing w:before="0" w:line="240" w:lineRule="auto"/>
      <w:ind w:left="0" w:firstLine="0"/>
    </w:pPr>
    <w:rPr>
      <w:b/>
      <w:bCs/>
      <w:szCs w:val="20"/>
    </w:rPr>
  </w:style>
  <w:style w:type="character" w:customStyle="1" w:styleId="CommentSubjectChar">
    <w:name w:val="Comment Subject Char"/>
    <w:basedOn w:val="CommentTextChar"/>
    <w:link w:val="CommentSubject"/>
    <w:rsid w:val="005C5138"/>
    <w:rPr>
      <w:b/>
      <w:bCs/>
      <w:szCs w:val="24"/>
    </w:rPr>
  </w:style>
  <w:style w:type="paragraph" w:styleId="DocumentMap">
    <w:name w:val="Document Map"/>
    <w:basedOn w:val="Normal"/>
    <w:link w:val="DocumentMapChar"/>
    <w:rsid w:val="00741C7F"/>
    <w:rPr>
      <w:rFonts w:ascii="Tahoma" w:hAnsi="Tahoma" w:cs="Tahoma"/>
      <w:sz w:val="16"/>
      <w:szCs w:val="16"/>
    </w:rPr>
  </w:style>
  <w:style w:type="character" w:customStyle="1" w:styleId="DocumentMapChar">
    <w:name w:val="Document Map Char"/>
    <w:basedOn w:val="DefaultParagraphFont"/>
    <w:link w:val="DocumentMap"/>
    <w:rsid w:val="00741C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C224E2-F9A5-4CFB-82C0-E6D7ADAF4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185</TotalTime>
  <Pages>14</Pages>
  <Words>4617</Words>
  <Characters>27643</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Summary of Discussions</vt:lpstr>
    </vt:vector>
  </TitlesOfParts>
  <Company>Productivity Commission</Company>
  <LinksUpToDate>false</LinksUpToDate>
  <CharactersWithSpaces>32196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of Discussions</dc:title>
  <dc:subject>Better Indigenous Policies: The Role of Evaluation</dc:subject>
  <dc:creator>Productivity Commission</dc:creator>
  <cp:keywords/>
  <dc:description>1.</dc:description>
  <cp:lastModifiedBy>Productivity Commission</cp:lastModifiedBy>
  <cp:revision>21</cp:revision>
  <cp:lastPrinted>2013-04-16T00:49:00Z</cp:lastPrinted>
  <dcterms:created xsi:type="dcterms:W3CDTF">2013-03-19T22:30:00Z</dcterms:created>
  <dcterms:modified xsi:type="dcterms:W3CDTF">2013-04-24T01:12:00Z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-791205070</vt:i4>
  </property>
  <property fmtid="{D5CDD505-2E9C-101B-9397-08002B2CF9AE}" pid="3" name="_NewReviewCycle">
    <vt:lpwstr/>
  </property>
  <property fmtid="{D5CDD505-2E9C-101B-9397-08002B2CF9AE}" pid="4" name="_EmailSubject">
    <vt:lpwstr>web files - indigenous roundtable</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