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92356" w:rsidP="00531FE5">
      <w:pPr>
        <w:pStyle w:val="Heading1"/>
        <w:spacing w:before="0"/>
      </w:pPr>
      <w:bookmarkStart w:id="0" w:name="ChapterNumber"/>
      <w:r>
        <w:t>2</w:t>
      </w:r>
      <w:bookmarkEnd w:id="0"/>
      <w:r w:rsidR="00531FE5">
        <w:tab/>
      </w:r>
      <w:r w:rsidR="00F32646" w:rsidRPr="00F32646">
        <w:t>Outcomes for Indigenous Australians — the current situation</w:t>
      </w:r>
    </w:p>
    <w:p w:rsidR="00DB26D2" w:rsidRDefault="003A0772" w:rsidP="003A0772">
      <w:pPr>
        <w:pStyle w:val="Author"/>
      </w:pPr>
      <w:bookmarkStart w:id="1" w:name="begin"/>
      <w:bookmarkEnd w:id="1"/>
      <w:r w:rsidRPr="003A0772">
        <w:t>Robert Fitzgerald</w:t>
      </w:r>
      <w:r>
        <w:rPr>
          <w:rStyle w:val="FootnoteReference"/>
        </w:rPr>
        <w:footnoteReference w:id="1"/>
      </w:r>
    </w:p>
    <w:p w:rsidR="003A0772" w:rsidRDefault="003A0772" w:rsidP="003A0772">
      <w:pPr>
        <w:pStyle w:val="AbstractHeading"/>
      </w:pPr>
      <w:r>
        <w:t>Abstract</w:t>
      </w:r>
    </w:p>
    <w:p w:rsidR="003A0772" w:rsidRDefault="003A0772" w:rsidP="00C82392">
      <w:pPr>
        <w:pStyle w:val="AbstractText"/>
        <w:jc w:val="both"/>
      </w:pPr>
      <w:r>
        <w:t xml:space="preserve">While the majority of Indigenous Australians lead productive, successful and rewarding lives, on average, Indigenous Australians remain significantly disadvantaged compared with other Australians across a wide range of </w:t>
      </w:r>
      <w:proofErr w:type="spellStart"/>
      <w:r>
        <w:t>socio</w:t>
      </w:r>
      <w:r w:rsidR="000412F4">
        <w:noBreakHyphen/>
      </w:r>
      <w:r>
        <w:t>economic</w:t>
      </w:r>
      <w:proofErr w:type="spellEnd"/>
      <w:r>
        <w:t xml:space="preserve"> indicators. Some outcomes for Indigenous Australians are improving, particularly in education and economic participation, but other outcomes are stagnating or even deteriorating.</w:t>
      </w:r>
    </w:p>
    <w:p w:rsidR="003A0772" w:rsidRPr="007736AF" w:rsidRDefault="003A0772" w:rsidP="00C82392">
      <w:pPr>
        <w:pStyle w:val="AbstractText"/>
        <w:jc w:val="both"/>
      </w:pPr>
      <w:r>
        <w:t>Governments in Australia spend $25 billion annually on services for Indigenous Australians. While much of this expenditure is on mainstream services used by all Australians, some specifically addresses Indigenous disadvantage. Ensuring that expenditure aimed at ‘closing the gap’ for Indigenous Australians is effective and efficient requires good evaluation. T</w:t>
      </w:r>
      <w:r w:rsidRPr="009D6188">
        <w:t>here are lessons to be learnt</w:t>
      </w:r>
      <w:r>
        <w:t xml:space="preserve"> about the success factors that underpin effective programs</w:t>
      </w:r>
      <w:r w:rsidRPr="009D6188">
        <w:t xml:space="preserve"> from the ‘things that work’ case studies identified in the Overcoming Indigenous Disadvantage </w:t>
      </w:r>
      <w:r>
        <w:t>r</w:t>
      </w:r>
      <w:r w:rsidRPr="009D6188">
        <w:t xml:space="preserve">eports, but </w:t>
      </w:r>
      <w:r>
        <w:t xml:space="preserve">the value of </w:t>
      </w:r>
      <w:r w:rsidRPr="009D6188">
        <w:t xml:space="preserve">these </w:t>
      </w:r>
      <w:r>
        <w:t>is often limited</w:t>
      </w:r>
      <w:r w:rsidRPr="009D6188">
        <w:t xml:space="preserve"> by </w:t>
      </w:r>
      <w:r>
        <w:t>a</w:t>
      </w:r>
      <w:r w:rsidRPr="009D6188">
        <w:t xml:space="preserve"> lack of rigorous</w:t>
      </w:r>
      <w:r>
        <w:t xml:space="preserve"> evaluation</w:t>
      </w:r>
      <w:r w:rsidRPr="009D6188">
        <w:t>.</w:t>
      </w:r>
    </w:p>
    <w:p w:rsidR="003A0772" w:rsidRDefault="003A0772" w:rsidP="003A0772">
      <w:pPr>
        <w:pStyle w:val="Heading2"/>
      </w:pPr>
      <w:r>
        <w:t>2.1</w:t>
      </w:r>
      <w:r>
        <w:tab/>
        <w:t>Introduction</w:t>
      </w:r>
    </w:p>
    <w:p w:rsidR="003A0772" w:rsidRDefault="003A0772" w:rsidP="003A0772">
      <w:pPr>
        <w:pStyle w:val="BodyText"/>
      </w:pPr>
      <w:r>
        <w:t>This paper draws on results from four streams of performance reporting work by the Productivity Commission, in its role as secretariat to the Steering Committee for the Review of Government Service Provision:</w:t>
      </w:r>
    </w:p>
    <w:p w:rsidR="003A0772" w:rsidRDefault="003A0772" w:rsidP="003A0772">
      <w:pPr>
        <w:pStyle w:val="ListBullet"/>
      </w:pPr>
      <w:r>
        <w:t>Overcoming Indigenous Disadvantage: Key Indicators (</w:t>
      </w:r>
      <w:proofErr w:type="spellStart"/>
      <w:r>
        <w:t>OID</w:t>
      </w:r>
      <w:proofErr w:type="spellEnd"/>
      <w:r>
        <w:t xml:space="preserve"> report)</w:t>
      </w:r>
      <w:r w:rsidR="00075937">
        <w:t xml:space="preserve"> (</w:t>
      </w:r>
      <w:proofErr w:type="spellStart"/>
      <w:r w:rsidR="00075937">
        <w:t>SCRGSP</w:t>
      </w:r>
      <w:proofErr w:type="spellEnd"/>
      <w:r w:rsidR="00075937">
        <w:t xml:space="preserve"> </w:t>
      </w:r>
      <w:proofErr w:type="spellStart"/>
      <w:r w:rsidR="00075937">
        <w:t>2011b</w:t>
      </w:r>
      <w:proofErr w:type="spellEnd"/>
      <w:r w:rsidR="00075937">
        <w:t>)</w:t>
      </w:r>
    </w:p>
    <w:p w:rsidR="003A0772" w:rsidRDefault="003A0772" w:rsidP="003A0772">
      <w:pPr>
        <w:pStyle w:val="ListBullet"/>
      </w:pPr>
      <w:r>
        <w:t xml:space="preserve">Indigenous Expenditure Report </w:t>
      </w:r>
      <w:r w:rsidR="00075937">
        <w:t>(</w:t>
      </w:r>
      <w:proofErr w:type="spellStart"/>
      <w:r w:rsidR="00075937">
        <w:t>SCRGSP</w:t>
      </w:r>
      <w:proofErr w:type="spellEnd"/>
      <w:r w:rsidR="00075937">
        <w:t xml:space="preserve"> </w:t>
      </w:r>
      <w:proofErr w:type="spellStart"/>
      <w:r w:rsidR="00075937">
        <w:t>2012a</w:t>
      </w:r>
      <w:proofErr w:type="spellEnd"/>
      <w:r w:rsidR="00075937">
        <w:t>)</w:t>
      </w:r>
    </w:p>
    <w:p w:rsidR="003A0772" w:rsidRDefault="003A0772" w:rsidP="003A0772">
      <w:pPr>
        <w:pStyle w:val="ListBullet"/>
      </w:pPr>
      <w:r>
        <w:t>Report on Government Services</w:t>
      </w:r>
      <w:r w:rsidR="00AB0424">
        <w:t>:</w:t>
      </w:r>
      <w:r>
        <w:t xml:space="preserve"> Indigenous Compendium </w:t>
      </w:r>
      <w:r w:rsidR="00075937">
        <w:t>(</w:t>
      </w:r>
      <w:proofErr w:type="spellStart"/>
      <w:r w:rsidR="00075937">
        <w:t>SCRGSP</w:t>
      </w:r>
      <w:proofErr w:type="spellEnd"/>
      <w:r w:rsidR="00075937">
        <w:t xml:space="preserve"> </w:t>
      </w:r>
      <w:proofErr w:type="spellStart"/>
      <w:r w:rsidR="00075937">
        <w:t>2012b</w:t>
      </w:r>
      <w:proofErr w:type="spellEnd"/>
      <w:r w:rsidR="00075937">
        <w:t>)</w:t>
      </w:r>
    </w:p>
    <w:p w:rsidR="003A0772" w:rsidRDefault="003A0772" w:rsidP="003A0772">
      <w:pPr>
        <w:pStyle w:val="ListBullet"/>
      </w:pPr>
      <w:r>
        <w:lastRenderedPageBreak/>
        <w:t>National Indigenous Reform Agreement</w:t>
      </w:r>
      <w:r w:rsidR="003C140C">
        <w:t>:</w:t>
      </w:r>
      <w:r>
        <w:t xml:space="preserve"> Performance Information reports</w:t>
      </w:r>
      <w:r w:rsidR="00075937">
        <w:t xml:space="preserve"> (</w:t>
      </w:r>
      <w:proofErr w:type="spellStart"/>
      <w:r w:rsidR="00075937">
        <w:t>SCRGSP</w:t>
      </w:r>
      <w:proofErr w:type="spellEnd"/>
      <w:r w:rsidR="00075937">
        <w:t xml:space="preserve"> </w:t>
      </w:r>
      <w:proofErr w:type="spellStart"/>
      <w:r w:rsidR="00075937">
        <w:t>2011a</w:t>
      </w:r>
      <w:proofErr w:type="spellEnd"/>
      <w:r w:rsidR="00075937">
        <w:t>)</w:t>
      </w:r>
      <w:r>
        <w:t>.</w:t>
      </w:r>
    </w:p>
    <w:p w:rsidR="003A0772" w:rsidRDefault="003A0772" w:rsidP="003A0772">
      <w:pPr>
        <w:pStyle w:val="BodyText"/>
      </w:pPr>
      <w:r>
        <w:t>This paper provides background information on the Indigenous population in Australia, describes the OID report’s background and strategic framework of outcome indicators, and presents data on outcomes for Indigenous people across several key themes:</w:t>
      </w:r>
    </w:p>
    <w:p w:rsidR="003A0772" w:rsidRPr="003A0772" w:rsidRDefault="003A0772" w:rsidP="003A0772">
      <w:pPr>
        <w:pStyle w:val="ListBullet"/>
      </w:pPr>
      <w:r>
        <w:t>remo</w:t>
      </w:r>
      <w:r w:rsidRPr="003A0772">
        <w:t>teness</w:t>
      </w:r>
    </w:p>
    <w:p w:rsidR="003A0772" w:rsidRPr="003A0772" w:rsidRDefault="003A0772" w:rsidP="003A0772">
      <w:pPr>
        <w:pStyle w:val="ListBullet"/>
      </w:pPr>
      <w:r w:rsidRPr="003A0772">
        <w:t>economic outcomes</w:t>
      </w:r>
    </w:p>
    <w:p w:rsidR="003A0772" w:rsidRPr="003A0772" w:rsidRDefault="003A0772" w:rsidP="003A0772">
      <w:pPr>
        <w:pStyle w:val="ListBullet"/>
      </w:pPr>
      <w:r w:rsidRPr="003A0772">
        <w:t>health</w:t>
      </w:r>
    </w:p>
    <w:p w:rsidR="003A0772" w:rsidRPr="003A0772" w:rsidRDefault="003A0772" w:rsidP="003A0772">
      <w:pPr>
        <w:pStyle w:val="ListBullet"/>
      </w:pPr>
      <w:r w:rsidRPr="003A0772">
        <w:t>education</w:t>
      </w:r>
    </w:p>
    <w:p w:rsidR="003A0772" w:rsidRDefault="003A0772" w:rsidP="003A0772">
      <w:pPr>
        <w:pStyle w:val="ListBullet"/>
      </w:pPr>
      <w:r w:rsidRPr="003A0772">
        <w:t xml:space="preserve">safe </w:t>
      </w:r>
      <w:r>
        <w:t>and supportive communities</w:t>
      </w:r>
    </w:p>
    <w:p w:rsidR="003A0772" w:rsidRDefault="003A0772" w:rsidP="003A0772">
      <w:pPr>
        <w:pStyle w:val="ListBullet"/>
      </w:pPr>
      <w:r>
        <w:t>service delivery and governance.</w:t>
      </w:r>
    </w:p>
    <w:p w:rsidR="003A0772" w:rsidRDefault="003A0772" w:rsidP="003A0772">
      <w:pPr>
        <w:pStyle w:val="Heading2"/>
      </w:pPr>
      <w:r>
        <w:t>2.2</w:t>
      </w:r>
      <w:r>
        <w:tab/>
        <w:t>The Indigenous population in Australia</w:t>
      </w:r>
    </w:p>
    <w:p w:rsidR="003A0772" w:rsidRDefault="003A0772" w:rsidP="003A0772">
      <w:pPr>
        <w:pStyle w:val="BodyText"/>
      </w:pPr>
      <w:r>
        <w:t>In this paper</w:t>
      </w:r>
      <w:r w:rsidRPr="008B54D6">
        <w:t>, the term ‘Indigenous</w:t>
      </w:r>
      <w:r>
        <w:t xml:space="preserve"> Australians</w:t>
      </w:r>
      <w:r w:rsidRPr="008B54D6">
        <w:t xml:space="preserve">’ is used to refer to Aboriginal and Torres Strait Islander </w:t>
      </w:r>
      <w:r>
        <w:t>Australians</w:t>
      </w:r>
      <w:r w:rsidRPr="008B54D6">
        <w:t xml:space="preserve">. In </w:t>
      </w:r>
      <w:r w:rsidRPr="00E659B2">
        <w:t>2006</w:t>
      </w:r>
      <w:r>
        <w:t>,</w:t>
      </w:r>
      <w:r>
        <w:rPr>
          <w:rStyle w:val="FootnoteReference"/>
        </w:rPr>
        <w:footnoteReference w:id="2"/>
      </w:r>
      <w:r w:rsidRPr="00E659B2">
        <w:t xml:space="preserve"> 90</w:t>
      </w:r>
      <w:r>
        <w:t> </w:t>
      </w:r>
      <w:r w:rsidRPr="00E659B2">
        <w:t>per</w:t>
      </w:r>
      <w:r>
        <w:t> </w:t>
      </w:r>
      <w:r w:rsidRPr="00E659B2">
        <w:t xml:space="preserve">cent </w:t>
      </w:r>
      <w:r>
        <w:t xml:space="preserve">of the estimated Indigenous population </w:t>
      </w:r>
      <w:r w:rsidRPr="00E659B2">
        <w:t>were of Aboriginal origin only, 6 per cent were of Torres Strait Islander origin only and 4 per cent were of both origins</w:t>
      </w:r>
      <w:r w:rsidRPr="008B54D6">
        <w:t>.</w:t>
      </w:r>
    </w:p>
    <w:p w:rsidR="003A0772" w:rsidRDefault="003A0772" w:rsidP="003A0772">
      <w:pPr>
        <w:pStyle w:val="BodyText"/>
      </w:pPr>
      <w:r>
        <w:t xml:space="preserve">Box </w:t>
      </w:r>
      <w:r w:rsidR="0000550A">
        <w:t>2.</w:t>
      </w:r>
      <w:r>
        <w:t>1 summarises some information about Australia’s Indigenous population. On average, Indigenous Australians are younger than other Australians, and a higher proportion of Indigenous Australians live in remote and very remote areas.</w:t>
      </w: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4537"/>
        <w:gridCol w:w="4536"/>
      </w:tblGrid>
      <w:tr w:rsidR="00D347F8" w:rsidRPr="009F117B" w:rsidTr="00CE3F6C">
        <w:trPr>
          <w:cantSplit/>
        </w:trPr>
        <w:tc>
          <w:tcPr>
            <w:tcW w:w="9073" w:type="dxa"/>
            <w:gridSpan w:val="2"/>
            <w:tcBorders>
              <w:top w:val="single" w:sz="6" w:space="0" w:color="auto"/>
              <w:bottom w:val="nil"/>
            </w:tcBorders>
          </w:tcPr>
          <w:p w:rsidR="00D347F8" w:rsidRPr="00AE5902" w:rsidRDefault="00D347F8" w:rsidP="00D347F8">
            <w:pPr>
              <w:pStyle w:val="BoxTitle"/>
            </w:pPr>
            <w:r w:rsidRPr="00D347F8">
              <w:lastRenderedPageBreak/>
              <w:t xml:space="preserve">Box </w:t>
            </w:r>
            <w:bookmarkStart w:id="2" w:name="OLE_LINK8"/>
            <w:r w:rsidR="0000550A">
              <w:t>2.</w:t>
            </w:r>
            <w:r w:rsidRPr="00D347F8">
              <w:t>1</w:t>
            </w:r>
            <w:bookmarkEnd w:id="2"/>
            <w:r>
              <w:tab/>
            </w:r>
            <w:r w:rsidRPr="00AE5902">
              <w:t>How many people?</w:t>
            </w:r>
          </w:p>
        </w:tc>
      </w:tr>
      <w:tr w:rsidR="00D347F8" w:rsidRPr="009F117B" w:rsidTr="00CE3F6C">
        <w:trPr>
          <w:cantSplit/>
        </w:trPr>
        <w:tc>
          <w:tcPr>
            <w:tcW w:w="9073" w:type="dxa"/>
            <w:gridSpan w:val="2"/>
            <w:tcBorders>
              <w:top w:val="nil"/>
              <w:left w:val="single" w:sz="6" w:space="0" w:color="auto"/>
              <w:bottom w:val="nil"/>
              <w:right w:val="single" w:sz="6" w:space="0" w:color="auto"/>
            </w:tcBorders>
          </w:tcPr>
          <w:p w:rsidR="00D347F8" w:rsidRPr="00270578" w:rsidRDefault="00D347F8" w:rsidP="00D347F8">
            <w:pPr>
              <w:pStyle w:val="Box"/>
            </w:pPr>
            <w:r>
              <w:t>I</w:t>
            </w:r>
            <w:r w:rsidRPr="001F7255">
              <w:t>n 20</w:t>
            </w:r>
            <w:r>
              <w:t>11</w:t>
            </w:r>
            <w:r w:rsidRPr="001F7255">
              <w:t xml:space="preserve">, the estimated resident Indigenous population of Australia was </w:t>
            </w:r>
            <w:r>
              <w:t>670</w:t>
            </w:r>
            <w:r w:rsidRPr="001F7255">
              <w:t> 000</w:t>
            </w:r>
            <w:r>
              <w:t xml:space="preserve"> people</w:t>
            </w:r>
            <w:r w:rsidRPr="001F7255">
              <w:t>, out of a total population of 2</w:t>
            </w:r>
            <w:r>
              <w:t>2.3</w:t>
            </w:r>
            <w:r w:rsidRPr="001F7255">
              <w:t xml:space="preserve"> million people (</w:t>
            </w:r>
            <w:r>
              <w:t>3</w:t>
            </w:r>
            <w:r w:rsidRPr="001F7255">
              <w:t xml:space="preserve"> per cent of the Australian population).</w:t>
            </w:r>
            <w:r>
              <w:t xml:space="preserve"> The Indigenous population has a young age profile — in </w:t>
            </w:r>
            <w:r w:rsidRPr="00270578">
              <w:t>20</w:t>
            </w:r>
            <w:r>
              <w:t xml:space="preserve">11, </w:t>
            </w:r>
            <w:r w:rsidRPr="00270578">
              <w:t>3</w:t>
            </w:r>
            <w:r>
              <w:t>6</w:t>
            </w:r>
            <w:r w:rsidRPr="00270578">
              <w:t xml:space="preserve"> per cent of </w:t>
            </w:r>
            <w:r>
              <w:t>Indigenous Australians</w:t>
            </w:r>
            <w:r w:rsidRPr="00270578">
              <w:t xml:space="preserve"> </w:t>
            </w:r>
            <w:r>
              <w:t xml:space="preserve">were </w:t>
            </w:r>
            <w:r w:rsidRPr="00270578">
              <w:t>aged 14</w:t>
            </w:r>
            <w:r>
              <w:t> </w:t>
            </w:r>
            <w:r w:rsidRPr="00270578">
              <w:t xml:space="preserve">years </w:t>
            </w:r>
            <w:r>
              <w:t>or</w:t>
            </w:r>
            <w:r w:rsidRPr="00270578">
              <w:t xml:space="preserve"> under, compared with 1</w:t>
            </w:r>
            <w:r>
              <w:t>8</w:t>
            </w:r>
            <w:r w:rsidRPr="00270578">
              <w:t xml:space="preserve"> per cent </w:t>
            </w:r>
            <w:r>
              <w:t>of</w:t>
            </w:r>
            <w:r w:rsidRPr="00270578">
              <w:t xml:space="preserve"> the non</w:t>
            </w:r>
            <w:r>
              <w:noBreakHyphen/>
            </w:r>
            <w:r w:rsidRPr="00270578">
              <w:t>Indigenous population</w:t>
            </w:r>
            <w:r>
              <w:t>.</w:t>
            </w:r>
          </w:p>
          <w:p w:rsidR="00D347F8" w:rsidRPr="00E641C8" w:rsidRDefault="00D347F8" w:rsidP="00AB0424">
            <w:pPr>
              <w:pStyle w:val="Box"/>
            </w:pPr>
            <w:r>
              <w:rPr>
                <w:color w:val="000000"/>
              </w:rPr>
              <w:t>Using 2011 census data, a</w:t>
            </w:r>
            <w:r w:rsidRPr="00270578">
              <w:rPr>
                <w:color w:val="000000"/>
              </w:rPr>
              <w:t xml:space="preserve"> higher proportion of both </w:t>
            </w:r>
            <w:r>
              <w:rPr>
                <w:color w:val="000000"/>
              </w:rPr>
              <w:t xml:space="preserve">the </w:t>
            </w:r>
            <w:r w:rsidRPr="00270578">
              <w:rPr>
                <w:color w:val="000000"/>
              </w:rPr>
              <w:t>Indigenous and non-Indigenous populations live</w:t>
            </w:r>
            <w:r>
              <w:rPr>
                <w:color w:val="000000"/>
              </w:rPr>
              <w:t>d</w:t>
            </w:r>
            <w:r w:rsidRPr="00270578">
              <w:rPr>
                <w:color w:val="000000"/>
              </w:rPr>
              <w:t xml:space="preserve"> in N</w:t>
            </w:r>
            <w:r w:rsidR="005C3FA8">
              <w:rPr>
                <w:color w:val="000000"/>
              </w:rPr>
              <w:t xml:space="preserve">ew </w:t>
            </w:r>
            <w:r w:rsidRPr="00270578">
              <w:rPr>
                <w:color w:val="000000"/>
              </w:rPr>
              <w:t>S</w:t>
            </w:r>
            <w:r w:rsidR="005C3FA8">
              <w:rPr>
                <w:color w:val="000000"/>
              </w:rPr>
              <w:t xml:space="preserve">outh </w:t>
            </w:r>
            <w:r w:rsidRPr="00270578">
              <w:rPr>
                <w:color w:val="000000"/>
              </w:rPr>
              <w:t>W</w:t>
            </w:r>
            <w:r w:rsidR="005C3FA8">
              <w:rPr>
                <w:color w:val="000000"/>
              </w:rPr>
              <w:t>ales</w:t>
            </w:r>
            <w:r w:rsidRPr="00270578">
              <w:rPr>
                <w:color w:val="000000"/>
              </w:rPr>
              <w:t xml:space="preserve"> than other </w:t>
            </w:r>
            <w:r w:rsidR="005C3FA8" w:rsidRPr="00270578">
              <w:rPr>
                <w:color w:val="000000"/>
              </w:rPr>
              <w:t xml:space="preserve">States </w:t>
            </w:r>
            <w:r w:rsidRPr="00270578">
              <w:rPr>
                <w:color w:val="000000"/>
              </w:rPr>
              <w:t xml:space="preserve">and </w:t>
            </w:r>
            <w:r w:rsidR="005C3FA8" w:rsidRPr="00270578">
              <w:rPr>
                <w:color w:val="000000"/>
              </w:rPr>
              <w:t xml:space="preserve">Territories </w:t>
            </w:r>
            <w:r w:rsidRPr="00270578">
              <w:rPr>
                <w:color w:val="000000"/>
              </w:rPr>
              <w:t>(3</w:t>
            </w:r>
            <w:r>
              <w:rPr>
                <w:color w:val="000000"/>
              </w:rPr>
              <w:t>1</w:t>
            </w:r>
            <w:r w:rsidRPr="00270578">
              <w:rPr>
                <w:color w:val="000000"/>
              </w:rPr>
              <w:t xml:space="preserve"> per cent and 3</w:t>
            </w:r>
            <w:r>
              <w:rPr>
                <w:color w:val="000000"/>
              </w:rPr>
              <w:t>2</w:t>
            </w:r>
            <w:r w:rsidRPr="00270578">
              <w:rPr>
                <w:color w:val="000000"/>
              </w:rPr>
              <w:t xml:space="preserve"> per cent respectively). </w:t>
            </w:r>
            <w:r>
              <w:rPr>
                <w:color w:val="000000"/>
              </w:rPr>
              <w:t>In contrast, 10 per cent of the national Indigenous population lived in the N</w:t>
            </w:r>
            <w:r w:rsidR="003C140C">
              <w:rPr>
                <w:color w:val="000000"/>
              </w:rPr>
              <w:t xml:space="preserve">orthern </w:t>
            </w:r>
            <w:r>
              <w:rPr>
                <w:color w:val="000000"/>
              </w:rPr>
              <w:t>T</w:t>
            </w:r>
            <w:r w:rsidR="003C140C">
              <w:rPr>
                <w:color w:val="000000"/>
              </w:rPr>
              <w:t>erritory</w:t>
            </w:r>
            <w:r>
              <w:rPr>
                <w:color w:val="000000"/>
              </w:rPr>
              <w:t>, but less than 1 per cent of the non-Indigenous population</w:t>
            </w:r>
            <w:r w:rsidR="005C3FA8">
              <w:rPr>
                <w:color w:val="000000"/>
              </w:rPr>
              <w:t xml:space="preserve"> lived there</w:t>
            </w:r>
            <w:r>
              <w:rPr>
                <w:color w:val="000000"/>
              </w:rPr>
              <w:t>.</w:t>
            </w:r>
          </w:p>
          <w:p w:rsidR="00D347F8" w:rsidRPr="005A2B09" w:rsidRDefault="00D347F8" w:rsidP="00AB0424">
            <w:pPr>
              <w:pStyle w:val="Box"/>
              <w:spacing w:before="60"/>
              <w:jc w:val="center"/>
            </w:pPr>
            <w:r w:rsidRPr="00270578">
              <w:rPr>
                <w:b/>
                <w:color w:val="000000"/>
              </w:rPr>
              <w:t xml:space="preserve">Proportion of the </w:t>
            </w:r>
            <w:r>
              <w:rPr>
                <w:b/>
                <w:color w:val="000000"/>
              </w:rPr>
              <w:t xml:space="preserve">Australian </w:t>
            </w:r>
            <w:r w:rsidRPr="00270578">
              <w:rPr>
                <w:b/>
                <w:color w:val="000000"/>
              </w:rPr>
              <w:t>population</w:t>
            </w:r>
            <w:r>
              <w:rPr>
                <w:b/>
                <w:color w:val="000000"/>
              </w:rPr>
              <w:t>, by</w:t>
            </w:r>
            <w:r w:rsidRPr="00270578">
              <w:rPr>
                <w:b/>
                <w:color w:val="000000"/>
              </w:rPr>
              <w:t xml:space="preserve"> State and Territory, 20</w:t>
            </w:r>
            <w:r>
              <w:rPr>
                <w:b/>
                <w:color w:val="000000"/>
              </w:rPr>
              <w:t>11</w:t>
            </w:r>
          </w:p>
        </w:tc>
      </w:tr>
      <w:tr w:rsidR="00D347F8" w:rsidRPr="009F117B" w:rsidTr="00CE3F6C">
        <w:trPr>
          <w:cantSplit/>
        </w:trPr>
        <w:tc>
          <w:tcPr>
            <w:tcW w:w="4537" w:type="dxa"/>
            <w:tcBorders>
              <w:top w:val="nil"/>
              <w:left w:val="single" w:sz="6" w:space="0" w:color="auto"/>
              <w:bottom w:val="nil"/>
              <w:right w:val="nil"/>
            </w:tcBorders>
          </w:tcPr>
          <w:p w:rsidR="00D347F8" w:rsidRPr="00270578" w:rsidRDefault="00D347F8" w:rsidP="00AB0424">
            <w:pPr>
              <w:pStyle w:val="Box"/>
              <w:spacing w:before="0"/>
              <w:jc w:val="center"/>
              <w:rPr>
                <w:b/>
                <w:color w:val="000000"/>
              </w:rPr>
            </w:pPr>
            <w:r w:rsidRPr="00270578">
              <w:rPr>
                <w:b/>
                <w:color w:val="000000"/>
              </w:rPr>
              <w:t>Indigenous</w:t>
            </w:r>
          </w:p>
        </w:tc>
        <w:tc>
          <w:tcPr>
            <w:tcW w:w="4536" w:type="dxa"/>
            <w:tcBorders>
              <w:top w:val="nil"/>
              <w:left w:val="nil"/>
              <w:bottom w:val="nil"/>
              <w:right w:val="single" w:sz="6" w:space="0" w:color="auto"/>
            </w:tcBorders>
          </w:tcPr>
          <w:p w:rsidR="00D347F8" w:rsidRPr="00270578" w:rsidRDefault="00D347F8" w:rsidP="00AB0424">
            <w:pPr>
              <w:pStyle w:val="Box"/>
              <w:spacing w:before="0"/>
              <w:jc w:val="center"/>
              <w:rPr>
                <w:b/>
                <w:color w:val="000000"/>
              </w:rPr>
            </w:pPr>
            <w:r w:rsidRPr="00270578">
              <w:rPr>
                <w:b/>
                <w:color w:val="000000"/>
              </w:rPr>
              <w:t>Non-Indigenous</w:t>
            </w:r>
          </w:p>
        </w:tc>
      </w:tr>
      <w:tr w:rsidR="00D347F8" w:rsidRPr="009F117B" w:rsidTr="00CE3F6C">
        <w:trPr>
          <w:cantSplit/>
          <w:trHeight w:val="2630"/>
        </w:trPr>
        <w:tc>
          <w:tcPr>
            <w:tcW w:w="4537" w:type="dxa"/>
            <w:tcBorders>
              <w:top w:val="nil"/>
              <w:left w:val="single" w:sz="6" w:space="0" w:color="auto"/>
              <w:bottom w:val="nil"/>
              <w:right w:val="nil"/>
            </w:tcBorders>
          </w:tcPr>
          <w:p w:rsidR="00D347F8" w:rsidRPr="009F117B" w:rsidRDefault="00D347F8" w:rsidP="00AB0424">
            <w:pPr>
              <w:pStyle w:val="Figure"/>
            </w:pPr>
            <w:r>
              <w:rPr>
                <w:noProof/>
              </w:rPr>
              <w:drawing>
                <wp:inline distT="0" distB="0" distL="0" distR="0">
                  <wp:extent cx="2438400" cy="1362075"/>
                  <wp:effectExtent l="0" t="0" r="0" b="9525"/>
                  <wp:docPr id="17" name="Picture 17" descr="Proportion of the Australian population, by State and Territory, 2011 - Indigenous people. Key results are in the text above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8400" cy="1362075"/>
                          </a:xfrm>
                          <a:prstGeom prst="rect">
                            <a:avLst/>
                          </a:prstGeom>
                          <a:noFill/>
                          <a:ln>
                            <a:noFill/>
                          </a:ln>
                        </pic:spPr>
                      </pic:pic>
                    </a:graphicData>
                  </a:graphic>
                </wp:inline>
              </w:drawing>
            </w:r>
          </w:p>
        </w:tc>
        <w:tc>
          <w:tcPr>
            <w:tcW w:w="4536" w:type="dxa"/>
            <w:tcBorders>
              <w:top w:val="nil"/>
              <w:left w:val="nil"/>
              <w:bottom w:val="nil"/>
              <w:right w:val="single" w:sz="6" w:space="0" w:color="auto"/>
            </w:tcBorders>
          </w:tcPr>
          <w:p w:rsidR="00D347F8" w:rsidRPr="009F117B" w:rsidRDefault="00D347F8" w:rsidP="00AB0424">
            <w:pPr>
              <w:pStyle w:val="Figure"/>
            </w:pPr>
            <w:r>
              <w:rPr>
                <w:noProof/>
              </w:rPr>
              <w:drawing>
                <wp:inline distT="0" distB="0" distL="0" distR="0">
                  <wp:extent cx="2590800" cy="1447800"/>
                  <wp:effectExtent l="0" t="0" r="0" b="0"/>
                  <wp:docPr id="4" name="Picture 4" descr="Proportion of the Australian population, by State and Territory, 2011 - non-Indigenous people. Key results are highlighted in the text above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90800" cy="1447800"/>
                          </a:xfrm>
                          <a:prstGeom prst="rect">
                            <a:avLst/>
                          </a:prstGeom>
                          <a:noFill/>
                          <a:ln>
                            <a:noFill/>
                          </a:ln>
                        </pic:spPr>
                      </pic:pic>
                    </a:graphicData>
                  </a:graphic>
                </wp:inline>
              </w:drawing>
            </w:r>
          </w:p>
        </w:tc>
      </w:tr>
      <w:tr w:rsidR="00D347F8" w:rsidRPr="009F117B" w:rsidTr="00CE3F6C">
        <w:trPr>
          <w:cantSplit/>
        </w:trPr>
        <w:tc>
          <w:tcPr>
            <w:tcW w:w="9073" w:type="dxa"/>
            <w:gridSpan w:val="2"/>
            <w:tcBorders>
              <w:top w:val="nil"/>
              <w:left w:val="single" w:sz="6" w:space="0" w:color="auto"/>
              <w:bottom w:val="nil"/>
              <w:right w:val="single" w:sz="6" w:space="0" w:color="auto"/>
            </w:tcBorders>
          </w:tcPr>
          <w:p w:rsidR="00D347F8" w:rsidRPr="00270578" w:rsidRDefault="00D347F8" w:rsidP="00AB0424">
            <w:pPr>
              <w:pStyle w:val="Box"/>
              <w:spacing w:before="0"/>
              <w:rPr>
                <w:color w:val="000000"/>
              </w:rPr>
            </w:pPr>
            <w:r>
              <w:rPr>
                <w:color w:val="000000"/>
              </w:rPr>
              <w:t>Seventy-five per cent</w:t>
            </w:r>
            <w:r w:rsidRPr="00270578">
              <w:rPr>
                <w:color w:val="000000"/>
              </w:rPr>
              <w:t xml:space="preserve"> of </w:t>
            </w:r>
            <w:r>
              <w:rPr>
                <w:color w:val="000000"/>
              </w:rPr>
              <w:t>Indigenous Australians</w:t>
            </w:r>
            <w:r w:rsidRPr="00270578">
              <w:rPr>
                <w:color w:val="000000"/>
              </w:rPr>
              <w:t xml:space="preserve"> live</w:t>
            </w:r>
            <w:r>
              <w:rPr>
                <w:color w:val="000000"/>
              </w:rPr>
              <w:t>d</w:t>
            </w:r>
            <w:r w:rsidRPr="00270578">
              <w:rPr>
                <w:color w:val="000000"/>
              </w:rPr>
              <w:t xml:space="preserve"> in major cities or regional areas</w:t>
            </w:r>
            <w:r>
              <w:rPr>
                <w:color w:val="000000"/>
              </w:rPr>
              <w:t xml:space="preserve"> in 2006</w:t>
            </w:r>
            <w:r>
              <w:rPr>
                <w:rStyle w:val="FootnoteReference"/>
                <w:color w:val="000000"/>
              </w:rPr>
              <w:footnoteReference w:id="3"/>
            </w:r>
            <w:r>
              <w:rPr>
                <w:color w:val="000000"/>
              </w:rPr>
              <w:t xml:space="preserve"> (</w:t>
            </w:r>
            <w:r w:rsidRPr="00270578">
              <w:rPr>
                <w:color w:val="000000"/>
              </w:rPr>
              <w:t>32</w:t>
            </w:r>
            <w:r>
              <w:rPr>
                <w:color w:val="000000"/>
              </w:rPr>
              <w:t> </w:t>
            </w:r>
            <w:r w:rsidRPr="00270578">
              <w:rPr>
                <w:color w:val="000000"/>
              </w:rPr>
              <w:t>per</w:t>
            </w:r>
            <w:r>
              <w:rPr>
                <w:color w:val="000000"/>
              </w:rPr>
              <w:t> </w:t>
            </w:r>
            <w:r w:rsidRPr="00270578">
              <w:rPr>
                <w:color w:val="000000"/>
              </w:rPr>
              <w:t>cent in major cities</w:t>
            </w:r>
            <w:r>
              <w:rPr>
                <w:color w:val="000000"/>
              </w:rPr>
              <w:t xml:space="preserve">, </w:t>
            </w:r>
            <w:r w:rsidRPr="00270578">
              <w:rPr>
                <w:color w:val="000000"/>
              </w:rPr>
              <w:t xml:space="preserve">21 per cent in inner regional </w:t>
            </w:r>
            <w:r>
              <w:rPr>
                <w:color w:val="000000"/>
              </w:rPr>
              <w:t xml:space="preserve">areas </w:t>
            </w:r>
            <w:r w:rsidRPr="00270578">
              <w:rPr>
                <w:color w:val="000000"/>
              </w:rPr>
              <w:t>and 22</w:t>
            </w:r>
            <w:r>
              <w:rPr>
                <w:color w:val="000000"/>
              </w:rPr>
              <w:t> </w:t>
            </w:r>
            <w:r w:rsidRPr="00270578">
              <w:rPr>
                <w:color w:val="000000"/>
              </w:rPr>
              <w:t>per cent in outer regional areas</w:t>
            </w:r>
            <w:r>
              <w:rPr>
                <w:color w:val="000000"/>
              </w:rPr>
              <w:t>)</w:t>
            </w:r>
            <w:r w:rsidRPr="00270578">
              <w:rPr>
                <w:color w:val="000000"/>
              </w:rPr>
              <w:t xml:space="preserve">. </w:t>
            </w:r>
            <w:r>
              <w:rPr>
                <w:color w:val="000000"/>
              </w:rPr>
              <w:t xml:space="preserve">Nine </w:t>
            </w:r>
            <w:r w:rsidRPr="00270578">
              <w:rPr>
                <w:color w:val="000000"/>
              </w:rPr>
              <w:t>per cent lived in remote</w:t>
            </w:r>
            <w:r>
              <w:rPr>
                <w:color w:val="000000"/>
              </w:rPr>
              <w:t xml:space="preserve"> areas</w:t>
            </w:r>
            <w:r w:rsidRPr="00270578">
              <w:rPr>
                <w:color w:val="000000"/>
              </w:rPr>
              <w:t xml:space="preserve"> and 15 per cent </w:t>
            </w:r>
            <w:r>
              <w:rPr>
                <w:color w:val="000000"/>
              </w:rPr>
              <w:t xml:space="preserve">lived </w:t>
            </w:r>
            <w:r w:rsidRPr="00270578">
              <w:rPr>
                <w:color w:val="000000"/>
              </w:rPr>
              <w:t xml:space="preserve">in very remote areas. </w:t>
            </w:r>
          </w:p>
          <w:p w:rsidR="00D347F8" w:rsidRPr="00270578" w:rsidRDefault="00D347F8" w:rsidP="00AB0424">
            <w:pPr>
              <w:pStyle w:val="Box"/>
              <w:spacing w:before="0"/>
              <w:jc w:val="center"/>
              <w:rPr>
                <w:color w:val="000000"/>
              </w:rPr>
            </w:pPr>
            <w:r w:rsidRPr="00270578">
              <w:rPr>
                <w:b/>
                <w:color w:val="000000"/>
              </w:rPr>
              <w:t xml:space="preserve">Proportion of the </w:t>
            </w:r>
            <w:r>
              <w:rPr>
                <w:b/>
                <w:color w:val="000000"/>
              </w:rPr>
              <w:t xml:space="preserve">Australian </w:t>
            </w:r>
            <w:r w:rsidRPr="00270578">
              <w:rPr>
                <w:b/>
                <w:color w:val="000000"/>
              </w:rPr>
              <w:t>population by remoteness area, 2006</w:t>
            </w:r>
          </w:p>
        </w:tc>
      </w:tr>
      <w:tr w:rsidR="00D347F8" w:rsidRPr="009F117B" w:rsidTr="00CE3F6C">
        <w:trPr>
          <w:cantSplit/>
        </w:trPr>
        <w:tc>
          <w:tcPr>
            <w:tcW w:w="4537" w:type="dxa"/>
            <w:tcBorders>
              <w:top w:val="nil"/>
              <w:left w:val="single" w:sz="6" w:space="0" w:color="auto"/>
              <w:bottom w:val="nil"/>
              <w:right w:val="nil"/>
            </w:tcBorders>
          </w:tcPr>
          <w:p w:rsidR="00D347F8" w:rsidRPr="00270578" w:rsidRDefault="00D347F8" w:rsidP="00AB0424">
            <w:pPr>
              <w:pStyle w:val="Box"/>
              <w:spacing w:before="0"/>
              <w:jc w:val="center"/>
              <w:rPr>
                <w:b/>
                <w:color w:val="000000"/>
              </w:rPr>
            </w:pPr>
            <w:r w:rsidRPr="00270578">
              <w:rPr>
                <w:b/>
                <w:color w:val="000000"/>
              </w:rPr>
              <w:t>Indigenous</w:t>
            </w:r>
          </w:p>
        </w:tc>
        <w:tc>
          <w:tcPr>
            <w:tcW w:w="4536" w:type="dxa"/>
            <w:tcBorders>
              <w:top w:val="nil"/>
              <w:left w:val="nil"/>
              <w:bottom w:val="nil"/>
              <w:right w:val="single" w:sz="6" w:space="0" w:color="auto"/>
            </w:tcBorders>
          </w:tcPr>
          <w:p w:rsidR="00D347F8" w:rsidRPr="00270578" w:rsidRDefault="00D347F8" w:rsidP="00AB0424">
            <w:pPr>
              <w:pStyle w:val="Box"/>
              <w:spacing w:before="0"/>
              <w:jc w:val="center"/>
              <w:rPr>
                <w:b/>
                <w:color w:val="000000"/>
              </w:rPr>
            </w:pPr>
            <w:r w:rsidRPr="00270578">
              <w:rPr>
                <w:b/>
                <w:color w:val="000000"/>
              </w:rPr>
              <w:t>Non-Indigenous</w:t>
            </w:r>
          </w:p>
        </w:tc>
      </w:tr>
      <w:tr w:rsidR="00D347F8" w:rsidRPr="009F117B" w:rsidTr="00CE3F6C">
        <w:trPr>
          <w:cantSplit/>
          <w:trHeight w:val="2498"/>
        </w:trPr>
        <w:tc>
          <w:tcPr>
            <w:tcW w:w="4537" w:type="dxa"/>
            <w:tcBorders>
              <w:top w:val="nil"/>
              <w:left w:val="single" w:sz="6" w:space="0" w:color="auto"/>
              <w:bottom w:val="nil"/>
              <w:right w:val="nil"/>
            </w:tcBorders>
          </w:tcPr>
          <w:p w:rsidR="00D347F8" w:rsidRPr="009F117B" w:rsidRDefault="00D347F8" w:rsidP="00AB0424">
            <w:pPr>
              <w:pStyle w:val="Figure"/>
            </w:pPr>
            <w:r>
              <w:rPr>
                <w:noProof/>
              </w:rPr>
              <w:drawing>
                <wp:inline distT="0" distB="0" distL="0" distR="0">
                  <wp:extent cx="2600325" cy="1447800"/>
                  <wp:effectExtent l="0" t="0" r="9525" b="0"/>
                  <wp:docPr id="2" name="Picture 2" descr="Proportion of the Australian population by remoteness area, 2006 - Indigenous people. Key results are highlighted in the text above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00325" cy="1447800"/>
                          </a:xfrm>
                          <a:prstGeom prst="rect">
                            <a:avLst/>
                          </a:prstGeom>
                          <a:noFill/>
                          <a:ln>
                            <a:noFill/>
                          </a:ln>
                        </pic:spPr>
                      </pic:pic>
                    </a:graphicData>
                  </a:graphic>
                </wp:inline>
              </w:drawing>
            </w:r>
          </w:p>
        </w:tc>
        <w:tc>
          <w:tcPr>
            <w:tcW w:w="4536" w:type="dxa"/>
            <w:tcBorders>
              <w:top w:val="nil"/>
              <w:left w:val="nil"/>
              <w:bottom w:val="nil"/>
              <w:right w:val="single" w:sz="6" w:space="0" w:color="auto"/>
            </w:tcBorders>
          </w:tcPr>
          <w:p w:rsidR="00D347F8" w:rsidRPr="009F117B" w:rsidRDefault="00D347F8" w:rsidP="00AB0424">
            <w:pPr>
              <w:pStyle w:val="Figure"/>
            </w:pPr>
            <w:r>
              <w:rPr>
                <w:noProof/>
              </w:rPr>
              <w:drawing>
                <wp:inline distT="0" distB="0" distL="0" distR="0">
                  <wp:extent cx="2600325" cy="1447800"/>
                  <wp:effectExtent l="0" t="0" r="9525" b="0"/>
                  <wp:docPr id="1" name="Picture 1" descr="Proportion of the Australian population by remoteness area, 2006 - non-Indigenous people. Key results are highlighted in the text above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00325" cy="1447800"/>
                          </a:xfrm>
                          <a:prstGeom prst="rect">
                            <a:avLst/>
                          </a:prstGeom>
                          <a:noFill/>
                          <a:ln>
                            <a:noFill/>
                          </a:ln>
                        </pic:spPr>
                      </pic:pic>
                    </a:graphicData>
                  </a:graphic>
                </wp:inline>
              </w:drawing>
            </w:r>
          </w:p>
        </w:tc>
      </w:tr>
      <w:tr w:rsidR="00D347F8" w:rsidRPr="009F117B" w:rsidTr="00CE3F6C">
        <w:trPr>
          <w:cantSplit/>
        </w:trPr>
        <w:tc>
          <w:tcPr>
            <w:tcW w:w="9073" w:type="dxa"/>
            <w:gridSpan w:val="2"/>
            <w:tcBorders>
              <w:top w:val="nil"/>
              <w:left w:val="single" w:sz="6" w:space="0" w:color="auto"/>
              <w:bottom w:val="single" w:sz="4" w:space="0" w:color="auto"/>
              <w:right w:val="single" w:sz="6" w:space="0" w:color="auto"/>
            </w:tcBorders>
          </w:tcPr>
          <w:p w:rsidR="00D347F8" w:rsidRPr="004512BB" w:rsidRDefault="00D347F8" w:rsidP="00AB0424">
            <w:pPr>
              <w:pStyle w:val="BoxSource"/>
              <w:spacing w:before="0" w:after="60"/>
              <w:rPr>
                <w:color w:val="000000"/>
              </w:rPr>
            </w:pPr>
            <w:r>
              <w:rPr>
                <w:i/>
                <w:color w:val="000000"/>
              </w:rPr>
              <w:t>Data s</w:t>
            </w:r>
            <w:r w:rsidRPr="004512BB">
              <w:rPr>
                <w:i/>
                <w:color w:val="000000"/>
              </w:rPr>
              <w:t>ource</w:t>
            </w:r>
            <w:r w:rsidR="00E91F8F">
              <w:rPr>
                <w:i/>
                <w:color w:val="000000"/>
              </w:rPr>
              <w:t>s</w:t>
            </w:r>
            <w:r w:rsidRPr="004512BB">
              <w:rPr>
                <w:color w:val="000000"/>
              </w:rPr>
              <w:t xml:space="preserve">: </w:t>
            </w:r>
            <w:r>
              <w:rPr>
                <w:color w:val="000000"/>
              </w:rPr>
              <w:t>ABS (2008); ABS (</w:t>
            </w:r>
            <w:proofErr w:type="spellStart"/>
            <w:r>
              <w:rPr>
                <w:color w:val="000000"/>
              </w:rPr>
              <w:t>2012a</w:t>
            </w:r>
            <w:proofErr w:type="spellEnd"/>
            <w:r>
              <w:rPr>
                <w:color w:val="000000"/>
              </w:rPr>
              <w:t>).</w:t>
            </w:r>
          </w:p>
        </w:tc>
      </w:tr>
    </w:tbl>
    <w:p w:rsidR="00CE3F6C" w:rsidRPr="00BC5CF1" w:rsidRDefault="00CE3F6C" w:rsidP="00CE3F6C">
      <w:pPr>
        <w:pStyle w:val="BodyText"/>
      </w:pPr>
      <w:r>
        <w:t>While a number of dimensions</w:t>
      </w:r>
      <w:r w:rsidRPr="00BC5CF1">
        <w:t xml:space="preserve"> of disadvantage increase with </w:t>
      </w:r>
      <w:r>
        <w:t xml:space="preserve">geographic </w:t>
      </w:r>
      <w:r w:rsidRPr="00BC5CF1">
        <w:t>remoteness,</w:t>
      </w:r>
      <w:r>
        <w:t xml:space="preserve"> many Indigenous Australians</w:t>
      </w:r>
      <w:r w:rsidRPr="00BC5CF1">
        <w:t xml:space="preserve"> in </w:t>
      </w:r>
      <w:r>
        <w:t>urban settings</w:t>
      </w:r>
      <w:r w:rsidRPr="00BC5CF1">
        <w:t xml:space="preserve"> also face significant disadvantage</w:t>
      </w:r>
      <w:r>
        <w:t>, when</w:t>
      </w:r>
      <w:r w:rsidRPr="00BC5CF1">
        <w:t xml:space="preserve"> </w:t>
      </w:r>
      <w:r>
        <w:t>compared with other Australians living in the same areas</w:t>
      </w:r>
      <w:r w:rsidRPr="00BC5CF1">
        <w:t>.</w:t>
      </w:r>
    </w:p>
    <w:p w:rsidR="00CE3F6C" w:rsidRDefault="00CE3F6C" w:rsidP="00CE3F6C">
      <w:pPr>
        <w:pStyle w:val="Heading2"/>
      </w:pPr>
      <w:r>
        <w:lastRenderedPageBreak/>
        <w:t>2.3</w:t>
      </w:r>
      <w:r>
        <w:tab/>
        <w:t>The Steering Committee’s role in Indigenous reporting</w:t>
      </w:r>
    </w:p>
    <w:p w:rsidR="00CE3F6C" w:rsidRDefault="00CE3F6C" w:rsidP="00CE3F6C">
      <w:pPr>
        <w:pStyle w:val="Heading3"/>
      </w:pPr>
      <w:r>
        <w:t>Overcoming Indigenous Disadvantage report</w:t>
      </w:r>
    </w:p>
    <w:p w:rsidR="00CE3F6C" w:rsidRDefault="00CE3F6C" w:rsidP="00CE3F6C">
      <w:pPr>
        <w:pStyle w:val="BodyText"/>
      </w:pPr>
      <w:r w:rsidRPr="0096505B">
        <w:t xml:space="preserve">In April 2002, the Council of Australian Governments </w:t>
      </w:r>
      <w:r>
        <w:t xml:space="preserve">(COAG) </w:t>
      </w:r>
      <w:r w:rsidRPr="0096505B">
        <w:t>commissioned the Steering Committee to produce a regular report against key indicators of Indigenous disadvantage.</w:t>
      </w:r>
      <w:r>
        <w:t xml:space="preserve"> The </w:t>
      </w:r>
      <w:r w:rsidR="009636B3">
        <w:t xml:space="preserve">OID </w:t>
      </w:r>
      <w:r w:rsidRPr="0096505B">
        <w:t>report has an important long-term objective</w:t>
      </w:r>
      <w:r>
        <w:t xml:space="preserve"> — to</w:t>
      </w:r>
      <w:r w:rsidRPr="0096505B">
        <w:t xml:space="preserve"> inform Australian governments </w:t>
      </w:r>
      <w:r>
        <w:t xml:space="preserve">and Indigenous people </w:t>
      </w:r>
      <w:r w:rsidRPr="0096505B">
        <w:t xml:space="preserve">about whether policy programs and interventions are </w:t>
      </w:r>
      <w:r>
        <w:t xml:space="preserve">collectively </w:t>
      </w:r>
      <w:r w:rsidRPr="0096505B">
        <w:t>achieving positive outcomes for Indigenous people</w:t>
      </w:r>
      <w:r>
        <w:t xml:space="preserve">. In turn, this information can </w:t>
      </w:r>
      <w:r w:rsidRPr="0096505B">
        <w:t xml:space="preserve">help </w:t>
      </w:r>
      <w:r>
        <w:t>identify</w:t>
      </w:r>
      <w:r w:rsidRPr="0096505B">
        <w:t xml:space="preserve"> where further work is needed.</w:t>
      </w:r>
      <w:r>
        <w:t xml:space="preserve"> </w:t>
      </w:r>
      <w:r w:rsidRPr="0096505B">
        <w:t>The latest edition of the rep</w:t>
      </w:r>
      <w:r>
        <w:t xml:space="preserve">ort </w:t>
      </w:r>
      <w:r w:rsidRPr="0096505B">
        <w:t>was released on 25 August 2011. Previous editions were published in 2003, 2005, 2007 and 2009.</w:t>
      </w:r>
    </w:p>
    <w:p w:rsidR="00CE3F6C" w:rsidRPr="0096505B" w:rsidRDefault="00CE3F6C" w:rsidP="00CE3F6C">
      <w:pPr>
        <w:pStyle w:val="Heading3"/>
      </w:pPr>
      <w:r>
        <w:t>National Indigenous Reform Agreement</w:t>
      </w:r>
    </w:p>
    <w:p w:rsidR="00CE3F6C" w:rsidRDefault="00CE3F6C" w:rsidP="00CE3F6C">
      <w:pPr>
        <w:pStyle w:val="BodyText"/>
      </w:pPr>
      <w:r w:rsidRPr="006464E7">
        <w:t xml:space="preserve">In December 2007, COAG identified Indigenous </w:t>
      </w:r>
      <w:r>
        <w:t>policy</w:t>
      </w:r>
      <w:r w:rsidRPr="006464E7">
        <w:t xml:space="preserve"> as one of seven priority areas of national reform. COAG set six high</w:t>
      </w:r>
      <w:r w:rsidR="003C140C">
        <w:t>-</w:t>
      </w:r>
      <w:r w:rsidRPr="006464E7">
        <w:t>level targets for closing the gaps in Indigenous outcomes</w:t>
      </w:r>
      <w:r>
        <w:t>, and identified seven ‘building blocks’ that underpinned a National Indigenous Reform Agreement (</w:t>
      </w:r>
      <w:proofErr w:type="spellStart"/>
      <w:r>
        <w:t>NIRA</w:t>
      </w:r>
      <w:proofErr w:type="spellEnd"/>
      <w:r>
        <w:t xml:space="preserve">) (COAG 2011). The </w:t>
      </w:r>
      <w:proofErr w:type="spellStart"/>
      <w:r>
        <w:t>NIRA</w:t>
      </w:r>
      <w:proofErr w:type="spellEnd"/>
      <w:r>
        <w:t xml:space="preserve"> sets out governments’ agreed </w:t>
      </w:r>
      <w:r w:rsidRPr="00274647">
        <w:t>objectives and outcomes</w:t>
      </w:r>
      <w:r>
        <w:t xml:space="preserve">, </w:t>
      </w:r>
      <w:r w:rsidRPr="00274647">
        <w:t xml:space="preserve">and clarifies the respective roles and responsibilities of the Commonwealth and the </w:t>
      </w:r>
      <w:r w:rsidR="005C3FA8" w:rsidRPr="00274647">
        <w:t xml:space="preserve">States </w:t>
      </w:r>
      <w:r w:rsidRPr="00274647">
        <w:t xml:space="preserve">and </w:t>
      </w:r>
      <w:r w:rsidR="005C3FA8" w:rsidRPr="00274647">
        <w:t xml:space="preserve">Territories </w:t>
      </w:r>
      <w:r w:rsidRPr="00274647">
        <w:t xml:space="preserve">in the delivery of services. The </w:t>
      </w:r>
      <w:proofErr w:type="spellStart"/>
      <w:r w:rsidRPr="00274647">
        <w:t>N</w:t>
      </w:r>
      <w:r>
        <w:t>IR</w:t>
      </w:r>
      <w:r w:rsidRPr="00274647">
        <w:t>A</w:t>
      </w:r>
      <w:proofErr w:type="spellEnd"/>
      <w:r w:rsidRPr="00274647">
        <w:t xml:space="preserve"> contain</w:t>
      </w:r>
      <w:r>
        <w:t>s</w:t>
      </w:r>
      <w:r w:rsidRPr="00274647">
        <w:t xml:space="preserve"> </w:t>
      </w:r>
      <w:r>
        <w:t xml:space="preserve">the COAG targets and a number of other </w:t>
      </w:r>
      <w:r w:rsidRPr="00274647">
        <w:t xml:space="preserve">performance indicators. The performance of all governments </w:t>
      </w:r>
      <w:r>
        <w:t>against</w:t>
      </w:r>
      <w:r w:rsidRPr="00274647">
        <w:t xml:space="preserve"> the </w:t>
      </w:r>
      <w:r>
        <w:t>targets and indicators</w:t>
      </w:r>
      <w:r w:rsidRPr="00274647">
        <w:t xml:space="preserve"> </w:t>
      </w:r>
      <w:r>
        <w:t>is</w:t>
      </w:r>
      <w:r w:rsidRPr="00274647">
        <w:t xml:space="preserve"> assessed by the COAG Reform Council (CRC).</w:t>
      </w:r>
      <w:r>
        <w:t xml:space="preserve"> The Steering Committee collates the </w:t>
      </w:r>
      <w:proofErr w:type="spellStart"/>
      <w:r>
        <w:t>NIRA</w:t>
      </w:r>
      <w:proofErr w:type="spellEnd"/>
      <w:r>
        <w:t xml:space="preserve"> performance information for analysis by the CRC. The CRC has published </w:t>
      </w:r>
      <w:r w:rsidRPr="00091AE5">
        <w:t xml:space="preserve">three </w:t>
      </w:r>
      <w:r>
        <w:t xml:space="preserve">reports assessing progress against the </w:t>
      </w:r>
      <w:proofErr w:type="spellStart"/>
      <w:r>
        <w:t>NIRA</w:t>
      </w:r>
      <w:proofErr w:type="spellEnd"/>
      <w:r>
        <w:t>, in 2010, 2011 and 2012.</w:t>
      </w:r>
    </w:p>
    <w:p w:rsidR="00CE3F6C" w:rsidRDefault="00CE3F6C" w:rsidP="00CE3F6C">
      <w:pPr>
        <w:pStyle w:val="Heading3"/>
      </w:pPr>
      <w:r>
        <w:t>Indigenous Expenditure Report</w:t>
      </w:r>
    </w:p>
    <w:p w:rsidR="00CE3F6C" w:rsidRDefault="00CE3F6C" w:rsidP="00CE3F6C">
      <w:pPr>
        <w:pStyle w:val="BodyText"/>
      </w:pPr>
      <w:r w:rsidRPr="0039229F">
        <w:t xml:space="preserve">In December 2007, COAG committed to reporting on expenditure </w:t>
      </w:r>
      <w:r>
        <w:t xml:space="preserve">on </w:t>
      </w:r>
      <w:r w:rsidRPr="0039229F">
        <w:t>services to Indigenous Australians</w:t>
      </w:r>
      <w:r>
        <w:t>, to inform better understanding of</w:t>
      </w:r>
      <w:r w:rsidRPr="009E1B5B">
        <w:t xml:space="preserve"> </w:t>
      </w:r>
      <w:r w:rsidRPr="00111E4A">
        <w:t>the level and patterns of expenditure</w:t>
      </w:r>
      <w:r>
        <w:t xml:space="preserve">. The first </w:t>
      </w:r>
      <w:r w:rsidRPr="0039229F">
        <w:t>Indigenous Expenditure Report (</w:t>
      </w:r>
      <w:proofErr w:type="spellStart"/>
      <w:r w:rsidRPr="0039229F">
        <w:t>IER</w:t>
      </w:r>
      <w:proofErr w:type="spellEnd"/>
      <w:r w:rsidRPr="0039229F">
        <w:t>)</w:t>
      </w:r>
      <w:r>
        <w:rPr>
          <w:i/>
        </w:rPr>
        <w:t xml:space="preserve"> </w:t>
      </w:r>
      <w:r>
        <w:t xml:space="preserve">was published in 2010 and, in </w:t>
      </w:r>
      <w:r w:rsidRPr="0039229F">
        <w:t xml:space="preserve">2011, </w:t>
      </w:r>
      <w:r>
        <w:t xml:space="preserve">COAG </w:t>
      </w:r>
      <w:r w:rsidRPr="0039229F">
        <w:t xml:space="preserve">transferred responsibility for </w:t>
      </w:r>
      <w:r>
        <w:t xml:space="preserve">future reports </w:t>
      </w:r>
      <w:r w:rsidRPr="0039229F">
        <w:t>to the Steering Committee</w:t>
      </w:r>
      <w:r>
        <w:t>. A second report was published in 2012.</w:t>
      </w:r>
    </w:p>
    <w:p w:rsidR="00CE3F6C" w:rsidRDefault="00CE3F6C" w:rsidP="00CE3F6C">
      <w:pPr>
        <w:pStyle w:val="BodyText"/>
      </w:pPr>
      <w:r>
        <w:t xml:space="preserve">The </w:t>
      </w:r>
      <w:proofErr w:type="spellStart"/>
      <w:r>
        <w:t>IER</w:t>
      </w:r>
      <w:proofErr w:type="spellEnd"/>
      <w:r w:rsidRPr="00111E4A">
        <w:t xml:space="preserve"> provides </w:t>
      </w:r>
      <w:r>
        <w:t xml:space="preserve">estimates of </w:t>
      </w:r>
      <w:r w:rsidRPr="007735EF">
        <w:t>expenditure by the Australian</w:t>
      </w:r>
      <w:r>
        <w:t xml:space="preserve"> Government and </w:t>
      </w:r>
      <w:r w:rsidRPr="007735EF">
        <w:t xml:space="preserve">State and Territory governments on Indigenous specific services and the estimated </w:t>
      </w:r>
      <w:r w:rsidRPr="007735EF">
        <w:lastRenderedPageBreak/>
        <w:t>Indigenous share of mainstream services</w:t>
      </w:r>
      <w:r>
        <w:t>. Expenditure is reported</w:t>
      </w:r>
      <w:r w:rsidRPr="007735EF">
        <w:t xml:space="preserve"> </w:t>
      </w:r>
      <w:r>
        <w:t>across 86 categories,</w:t>
      </w:r>
      <w:r w:rsidRPr="00111E4A">
        <w:t xml:space="preserve"> mapped to the </w:t>
      </w:r>
      <w:proofErr w:type="spellStart"/>
      <w:r>
        <w:t>OID</w:t>
      </w:r>
      <w:proofErr w:type="spellEnd"/>
      <w:r>
        <w:t xml:space="preserve"> and </w:t>
      </w:r>
      <w:proofErr w:type="spellStart"/>
      <w:r>
        <w:t>NIRA</w:t>
      </w:r>
      <w:proofErr w:type="spellEnd"/>
      <w:r>
        <w:t xml:space="preserve"> </w:t>
      </w:r>
      <w:r w:rsidRPr="00111E4A">
        <w:t>building blocks.</w:t>
      </w:r>
      <w:r>
        <w:t xml:space="preserve"> </w:t>
      </w:r>
    </w:p>
    <w:p w:rsidR="00CE3F6C" w:rsidRPr="004B04DE" w:rsidRDefault="00CE3F6C" w:rsidP="00CE3F6C">
      <w:pPr>
        <w:pStyle w:val="BodyText"/>
      </w:pPr>
      <w:r>
        <w:t>I</w:t>
      </w:r>
      <w:r w:rsidR="003C140C">
        <w:t>n</w:t>
      </w:r>
      <w:r>
        <w:t xml:space="preserve"> the 2012 </w:t>
      </w:r>
      <w:proofErr w:type="spellStart"/>
      <w:r>
        <w:t>IER</w:t>
      </w:r>
      <w:proofErr w:type="spellEnd"/>
      <w:r>
        <w:t>, t</w:t>
      </w:r>
      <w:r w:rsidRPr="004B04DE">
        <w:t xml:space="preserve">otal direct </w:t>
      </w:r>
      <w:r>
        <w:t xml:space="preserve">government </w:t>
      </w:r>
      <w:r w:rsidRPr="004B04DE">
        <w:t xml:space="preserve">expenditure </w:t>
      </w:r>
      <w:r>
        <w:t xml:space="preserve">on services to Indigenous Australians </w:t>
      </w:r>
      <w:r w:rsidRPr="004B04DE">
        <w:t>was estimated to be $25.4 billion</w:t>
      </w:r>
      <w:r w:rsidRPr="00942BAC">
        <w:t xml:space="preserve"> </w:t>
      </w:r>
      <w:r w:rsidRPr="004B04DE">
        <w:t>in 2010</w:t>
      </w:r>
      <w:r w:rsidR="0097792A">
        <w:t>–</w:t>
      </w:r>
      <w:r w:rsidRPr="004B04DE">
        <w:t>11, accounting for 5.6 per cent of total direct general government expenditure. Indigenous Australians ma</w:t>
      </w:r>
      <w:r w:rsidR="003C140C">
        <w:t>de</w:t>
      </w:r>
      <w:r w:rsidRPr="004B04DE">
        <w:t xml:space="preserve"> up 2.6 per cent of the population</w:t>
      </w:r>
      <w:r>
        <w:t xml:space="preserve">. </w:t>
      </w:r>
      <w:r w:rsidRPr="004B04DE">
        <w:t>Estimated expenditure per head of population was $44 128 for Indigenous Australians, compared with $19 589 for other Australians (a ratio of 2.25 to 1). The $24 538 per person difference reflected the combined effects of:</w:t>
      </w:r>
    </w:p>
    <w:p w:rsidR="00CE3F6C" w:rsidRPr="004B04DE" w:rsidRDefault="00CE3F6C" w:rsidP="00CE3F6C">
      <w:pPr>
        <w:pStyle w:val="ListBullet"/>
      </w:pPr>
      <w:r w:rsidRPr="00511258">
        <w:t xml:space="preserve">greater intensity of service use </w:t>
      </w:r>
      <w:r w:rsidRPr="004B04DE">
        <w:t>($16 109 or 66 per cent) — Indigenous Australians use more services per capita because of greater need, and because of population characteristics such as the younger age profile of the Indigenous population</w:t>
      </w:r>
      <w:r>
        <w:t xml:space="preserve"> </w:t>
      </w:r>
    </w:p>
    <w:p w:rsidR="00CE3F6C" w:rsidRDefault="00CE3F6C" w:rsidP="00CE3F6C">
      <w:pPr>
        <w:pStyle w:val="ListBullet"/>
      </w:pPr>
      <w:r w:rsidRPr="00511258">
        <w:t xml:space="preserve">additional cost of providing services </w:t>
      </w:r>
      <w:r w:rsidRPr="004B04DE">
        <w:t>($8429 or 34 per cent) — it can cost more to provide services to Indigenous Australians if mainstream services are more expensive to provide (for example, because of location), or if Indigenous Australians receive targeted services (for example, Indigenous liaison officers in hospitals) in addition to mainstream services</w:t>
      </w:r>
      <w:r>
        <w:t xml:space="preserve"> (</w:t>
      </w:r>
      <w:proofErr w:type="spellStart"/>
      <w:r>
        <w:t>SCRGSP</w:t>
      </w:r>
      <w:proofErr w:type="spellEnd"/>
      <w:r>
        <w:t> </w:t>
      </w:r>
      <w:proofErr w:type="spellStart"/>
      <w:r>
        <w:t>2012a</w:t>
      </w:r>
      <w:proofErr w:type="spellEnd"/>
      <w:r>
        <w:t>)</w:t>
      </w:r>
      <w:r w:rsidRPr="004B04DE">
        <w:t>.</w:t>
      </w:r>
    </w:p>
    <w:p w:rsidR="00CE3F6C" w:rsidRDefault="00CE3F6C" w:rsidP="00CE3F6C">
      <w:pPr>
        <w:pStyle w:val="BodyText"/>
      </w:pPr>
      <w:r>
        <w:t xml:space="preserve">The estimates in the </w:t>
      </w:r>
      <w:proofErr w:type="spellStart"/>
      <w:r>
        <w:t>IER</w:t>
      </w:r>
      <w:proofErr w:type="spellEnd"/>
      <w:r>
        <w:t xml:space="preserve"> provide information relevant to a number of key policy questions.</w:t>
      </w:r>
    </w:p>
    <w:p w:rsidR="00CE3F6C" w:rsidRPr="00CE3F6C" w:rsidRDefault="00CE3F6C" w:rsidP="00CE3F6C">
      <w:pPr>
        <w:pStyle w:val="ListBullet"/>
      </w:pPr>
      <w:r>
        <w:t>How mu</w:t>
      </w:r>
      <w:r w:rsidRPr="00CE3F6C">
        <w:t>ch did government spend on key services?</w:t>
      </w:r>
    </w:p>
    <w:p w:rsidR="00CE3F6C" w:rsidRPr="00CE3F6C" w:rsidRDefault="00CE3F6C" w:rsidP="00CE3F6C">
      <w:pPr>
        <w:pStyle w:val="ListBullet"/>
      </w:pPr>
      <w:r w:rsidRPr="00CE3F6C">
        <w:t>How much was spent on Indigenous Australians and how does this compare with expenditure on other Australians?</w:t>
      </w:r>
    </w:p>
    <w:p w:rsidR="00CE3F6C" w:rsidRPr="00CE3F6C" w:rsidRDefault="00CE3F6C" w:rsidP="00CE3F6C">
      <w:pPr>
        <w:pStyle w:val="ListBullet"/>
      </w:pPr>
      <w:r w:rsidRPr="00CE3F6C">
        <w:t>What were the patterns of service use by Indigenous Australians and how do these compare with service use by other Australians?</w:t>
      </w:r>
    </w:p>
    <w:p w:rsidR="00CE3F6C" w:rsidRDefault="00CE3F6C" w:rsidP="00CE3F6C">
      <w:pPr>
        <w:pStyle w:val="ListBullet"/>
      </w:pPr>
      <w:r w:rsidRPr="00CE3F6C">
        <w:t>What drove the differences in expenditure between Indigenous and other Australian</w:t>
      </w:r>
      <w:r>
        <w:t>s?</w:t>
      </w:r>
    </w:p>
    <w:p w:rsidR="00CE3F6C" w:rsidRPr="004B04DE" w:rsidRDefault="00CE3F6C" w:rsidP="00CE3F6C">
      <w:pPr>
        <w:pStyle w:val="BodyText"/>
      </w:pPr>
      <w:r>
        <w:t xml:space="preserve">However, the estimates in the </w:t>
      </w:r>
      <w:proofErr w:type="spellStart"/>
      <w:r>
        <w:t>IER</w:t>
      </w:r>
      <w:proofErr w:type="spellEnd"/>
      <w:r>
        <w:t xml:space="preserve"> </w:t>
      </w:r>
      <w:r w:rsidRPr="004313DC">
        <w:rPr>
          <w:i/>
        </w:rPr>
        <w:t>on their own</w:t>
      </w:r>
      <w:r>
        <w:t xml:space="preserve"> cannot answer questions about the adequacy, effectiveness and efficiency of government expenditure on services for Indigenous Australians. This requires more targeted evaluation, combining information on expenditure with information on the level of need and the performance of services.</w:t>
      </w:r>
      <w:r w:rsidRPr="0035613F">
        <w:t xml:space="preserve"> </w:t>
      </w:r>
    </w:p>
    <w:p w:rsidR="00CE3F6C" w:rsidRDefault="00CE3F6C" w:rsidP="00CE3F6C">
      <w:pPr>
        <w:pStyle w:val="Heading3"/>
      </w:pPr>
      <w:r>
        <w:lastRenderedPageBreak/>
        <w:t>Report on Government Services</w:t>
      </w:r>
      <w:r w:rsidR="009636B3">
        <w:t>:</w:t>
      </w:r>
      <w:r>
        <w:t xml:space="preserve"> Indigenous Compendium</w:t>
      </w:r>
    </w:p>
    <w:p w:rsidR="00CE3F6C" w:rsidRPr="00230948" w:rsidRDefault="00CE3F6C" w:rsidP="00CE3F6C">
      <w:pPr>
        <w:pStyle w:val="BodyText"/>
      </w:pPr>
      <w:r w:rsidRPr="00230948">
        <w:t>Heads of government (now COAG)</w:t>
      </w:r>
      <w:r>
        <w:t xml:space="preserve"> commissioned the annual Report on Government Services (RoGS) </w:t>
      </w:r>
      <w:r w:rsidRPr="00230948">
        <w:t>to provide</w:t>
      </w:r>
      <w:r>
        <w:t xml:space="preserve"> </w:t>
      </w:r>
      <w:r w:rsidRPr="00230948">
        <w:t>information on the equity, efficiency and effectivene</w:t>
      </w:r>
      <w:r>
        <w:t xml:space="preserve">ss of government services. </w:t>
      </w:r>
      <w:r w:rsidRPr="00230948">
        <w:t xml:space="preserve">For a number of years, the Steering Committee has devoted particular attention in </w:t>
      </w:r>
      <w:r>
        <w:t>the</w:t>
      </w:r>
      <w:r w:rsidRPr="00230948">
        <w:t xml:space="preserve"> </w:t>
      </w:r>
      <w:r w:rsidR="005515BD">
        <w:t>r</w:t>
      </w:r>
      <w:r w:rsidRPr="00230948">
        <w:t xml:space="preserve">eport to mainstream services delivered to Aboriginal and Torres Strait Islander people. </w:t>
      </w:r>
      <w:r>
        <w:t xml:space="preserve">The RoGS </w:t>
      </w:r>
      <w:r w:rsidRPr="00230948">
        <w:t xml:space="preserve">Indigenous Compendium </w:t>
      </w:r>
      <w:r>
        <w:t>brings together</w:t>
      </w:r>
      <w:r w:rsidRPr="00230948">
        <w:t xml:space="preserve"> in an accessible form all the Indigenous data to be found in the </w:t>
      </w:r>
      <w:r>
        <w:t xml:space="preserve">main </w:t>
      </w:r>
      <w:r w:rsidR="005515BD">
        <w:t>r</w:t>
      </w:r>
      <w:r w:rsidRPr="00230948">
        <w:t>eport.</w:t>
      </w:r>
      <w:r w:rsidR="00841B0B">
        <w:t xml:space="preserve"> </w:t>
      </w:r>
      <w:r w:rsidRPr="007735EF">
        <w:t>However, the focus of the report is on mainstream services and it does not include information on many Indigenous-specific services.</w:t>
      </w:r>
    </w:p>
    <w:p w:rsidR="00176A2D" w:rsidRPr="00A13CDC" w:rsidRDefault="00176A2D" w:rsidP="00176A2D">
      <w:pPr>
        <w:pStyle w:val="Heading2"/>
      </w:pPr>
      <w:r>
        <w:t>2.4</w:t>
      </w:r>
      <w:r>
        <w:tab/>
        <w:t xml:space="preserve">The OID </w:t>
      </w:r>
      <w:r w:rsidR="009636B3">
        <w:t xml:space="preserve">report </w:t>
      </w:r>
      <w:r>
        <w:t>framework</w:t>
      </w:r>
    </w:p>
    <w:p w:rsidR="00176A2D" w:rsidRDefault="00176A2D" w:rsidP="00176A2D">
      <w:pPr>
        <w:pStyle w:val="BodyText"/>
      </w:pPr>
      <w:r>
        <w:t xml:space="preserve">This paper mainly draws on results from the OID report, which uses a strategic </w:t>
      </w:r>
      <w:r w:rsidRPr="00A13CDC">
        <w:t xml:space="preserve">framework </w:t>
      </w:r>
      <w:r>
        <w:t xml:space="preserve">(see </w:t>
      </w:r>
      <w:r w:rsidR="000C4F55">
        <w:t xml:space="preserve">Figure </w:t>
      </w:r>
      <w:r w:rsidR="00064343">
        <w:t>2.</w:t>
      </w:r>
      <w:r w:rsidR="000C4F55">
        <w:t>1</w:t>
      </w:r>
      <w:r>
        <w:t xml:space="preserve">) </w:t>
      </w:r>
      <w:r w:rsidRPr="00A13CDC">
        <w:t>based on the best available evidence about causes of disadvantage, in order to focus policy attention on prevention, as well as addressing existing disadvantage</w:t>
      </w:r>
      <w:r>
        <w:t xml:space="preserve"> (</w:t>
      </w:r>
      <w:proofErr w:type="spellStart"/>
      <w:r>
        <w:t>SCRGSP</w:t>
      </w:r>
      <w:proofErr w:type="spellEnd"/>
      <w:r>
        <w:t xml:space="preserve"> </w:t>
      </w:r>
      <w:proofErr w:type="spellStart"/>
      <w:r>
        <w:t>2011b</w:t>
      </w:r>
      <w:proofErr w:type="spellEnd"/>
      <w:r>
        <w:t>)</w:t>
      </w:r>
      <w:r w:rsidRPr="00A13CDC">
        <w:t>.</w:t>
      </w:r>
      <w:r>
        <w:t xml:space="preserve"> The Steering Committee</w:t>
      </w:r>
      <w:r w:rsidRPr="00274647">
        <w:t xml:space="preserve"> has aligned the indicators and strategic areas for action in the </w:t>
      </w:r>
      <w:proofErr w:type="spellStart"/>
      <w:r w:rsidRPr="00274647">
        <w:t>OID</w:t>
      </w:r>
      <w:proofErr w:type="spellEnd"/>
      <w:r w:rsidRPr="00274647">
        <w:t xml:space="preserve"> with the </w:t>
      </w:r>
      <w:proofErr w:type="spellStart"/>
      <w:r w:rsidRPr="00274647">
        <w:t>NIRA</w:t>
      </w:r>
      <w:proofErr w:type="spellEnd"/>
      <w:r w:rsidRPr="00274647">
        <w:t xml:space="preserve"> indicators and building blocks.</w:t>
      </w:r>
    </w:p>
    <w:p w:rsidR="00176A2D" w:rsidRPr="00AA4FBC" w:rsidRDefault="00176A2D" w:rsidP="009A1AF1">
      <w:pPr>
        <w:pStyle w:val="BodyText"/>
      </w:pPr>
      <w:r>
        <w:t>L</w:t>
      </w:r>
      <w:r w:rsidRPr="00AA4FBC">
        <w:t>inked priority outcomes reflect a vision of how</w:t>
      </w:r>
      <w:r>
        <w:t xml:space="preserve"> </w:t>
      </w:r>
      <w:r w:rsidRPr="00AA4FBC">
        <w:t>life should be for Indigenous people. These</w:t>
      </w:r>
      <w:r>
        <w:t xml:space="preserve"> </w:t>
      </w:r>
      <w:r w:rsidRPr="00AA4FBC">
        <w:t>priority outcomes have been endorsed by both</w:t>
      </w:r>
      <w:r>
        <w:t xml:space="preserve"> </w:t>
      </w:r>
      <w:r w:rsidRPr="00AA4FBC">
        <w:t>Indigenous people and governments.</w:t>
      </w:r>
      <w:r w:rsidR="00841B0B">
        <w:t xml:space="preserve"> </w:t>
      </w:r>
      <w:r w:rsidRPr="00AA4FBC">
        <w:t>It is difficult to measure progress or to hold</w:t>
      </w:r>
      <w:r>
        <w:t xml:space="preserve"> </w:t>
      </w:r>
      <w:r w:rsidRPr="00AA4FBC">
        <w:t>governments accountable for achieving these</w:t>
      </w:r>
      <w:r>
        <w:t xml:space="preserve"> </w:t>
      </w:r>
      <w:r w:rsidRPr="00AA4FBC">
        <w:t>broadly stated priority outcomes. So the</w:t>
      </w:r>
      <w:r>
        <w:t xml:space="preserve"> </w:t>
      </w:r>
      <w:r w:rsidRPr="00AA4FBC">
        <w:t>framework includes two layers of measurable</w:t>
      </w:r>
      <w:r>
        <w:t xml:space="preserve"> </w:t>
      </w:r>
      <w:r w:rsidRPr="00AA4FBC">
        <w:t>indicators. The logic of the framework is that,</w:t>
      </w:r>
      <w:r>
        <w:t xml:space="preserve"> </w:t>
      </w:r>
      <w:r w:rsidRPr="00AA4FBC">
        <w:t>over time, improvement in these indicators</w:t>
      </w:r>
      <w:r>
        <w:t xml:space="preserve"> </w:t>
      </w:r>
      <w:r w:rsidRPr="00AA4FBC">
        <w:t>will demonstrate progress toward the priority</w:t>
      </w:r>
      <w:r>
        <w:t xml:space="preserve"> </w:t>
      </w:r>
      <w:r w:rsidRPr="00AA4FBC">
        <w:t>outcomes.</w:t>
      </w:r>
    </w:p>
    <w:p w:rsidR="00176A2D" w:rsidRDefault="00176A2D" w:rsidP="009A1AF1">
      <w:pPr>
        <w:pStyle w:val="BodyText"/>
      </w:pPr>
      <w:r w:rsidRPr="00AA4FBC">
        <w:t>The first layer of indicators is made up of the six</w:t>
      </w:r>
      <w:r>
        <w:t xml:space="preserve"> </w:t>
      </w:r>
      <w:r w:rsidRPr="00AA4FBC">
        <w:t>Closing the Gap targets set by COAG, and six</w:t>
      </w:r>
      <w:r>
        <w:t xml:space="preserve"> </w:t>
      </w:r>
      <w:r w:rsidRPr="00AA4FBC">
        <w:t>headline indicators developed by the Steering</w:t>
      </w:r>
      <w:r>
        <w:t xml:space="preserve"> </w:t>
      </w:r>
      <w:r w:rsidRPr="00AA4FBC">
        <w:t>Committee in consultation with Indigenous</w:t>
      </w:r>
      <w:r>
        <w:t xml:space="preserve"> </w:t>
      </w:r>
      <w:r w:rsidRPr="00AA4FBC">
        <w:t>people and researchers. Together, the COAG</w:t>
      </w:r>
      <w:r>
        <w:t xml:space="preserve"> </w:t>
      </w:r>
      <w:r w:rsidRPr="00AA4FBC">
        <w:t>targets and headline indicators provide a</w:t>
      </w:r>
      <w:r>
        <w:t xml:space="preserve"> </w:t>
      </w:r>
      <w:r w:rsidRPr="00AA4FBC">
        <w:t>high</w:t>
      </w:r>
      <w:r w:rsidR="005515BD">
        <w:t>-</w:t>
      </w:r>
      <w:r w:rsidRPr="00AA4FBC">
        <w:t>level summary of the state of Indigenous</w:t>
      </w:r>
      <w:r>
        <w:t xml:space="preserve"> </w:t>
      </w:r>
      <w:r w:rsidRPr="00AA4FBC">
        <w:t>disadvantage. However, whole-of-government</w:t>
      </w:r>
      <w:r>
        <w:t xml:space="preserve"> </w:t>
      </w:r>
      <w:r w:rsidRPr="00AA4FBC">
        <w:t>action over a long period will be necessary</w:t>
      </w:r>
      <w:r>
        <w:t xml:space="preserve"> </w:t>
      </w:r>
      <w:r w:rsidRPr="00AA4FBC">
        <w:t>before significant progress can be made in many</w:t>
      </w:r>
      <w:r>
        <w:t xml:space="preserve"> </w:t>
      </w:r>
      <w:r w:rsidRPr="00AA4FBC">
        <w:t>of these indicators.</w:t>
      </w:r>
    </w:p>
    <w:p w:rsidR="00176A2D" w:rsidRDefault="00176A2D" w:rsidP="009A1AF1">
      <w:pPr>
        <w:pStyle w:val="BodyText"/>
      </w:pPr>
      <w:r w:rsidRPr="00AA4FBC">
        <w:t>In order to inform policy in the shorter term,</w:t>
      </w:r>
      <w:r>
        <w:t xml:space="preserve"> </w:t>
      </w:r>
      <w:r w:rsidRPr="00AA4FBC">
        <w:t>seven ‘strategic areas for action’ underpin the</w:t>
      </w:r>
      <w:r>
        <w:t xml:space="preserve"> </w:t>
      </w:r>
      <w:r w:rsidRPr="00AA4FBC">
        <w:t>COAG targets and headline indicators. The</w:t>
      </w:r>
      <w:r>
        <w:t xml:space="preserve"> </w:t>
      </w:r>
      <w:r w:rsidRPr="00AA4FBC">
        <w:t>evidence shows that action is needed in these</w:t>
      </w:r>
      <w:r>
        <w:t xml:space="preserve"> </w:t>
      </w:r>
      <w:r w:rsidRPr="00AA4FBC">
        <w:t>areas in order to achieve the COAG targets and</w:t>
      </w:r>
      <w:r>
        <w:t xml:space="preserve"> </w:t>
      </w:r>
      <w:r w:rsidRPr="00AA4FBC">
        <w:t>headline indicators. For each strategic area, a</w:t>
      </w:r>
      <w:r>
        <w:t xml:space="preserve"> </w:t>
      </w:r>
      <w:r w:rsidRPr="00AA4FBC">
        <w:t>small number of ‘strategic change indicators’</w:t>
      </w:r>
      <w:r>
        <w:t xml:space="preserve"> </w:t>
      </w:r>
      <w:r w:rsidRPr="00AA4FBC">
        <w:t>inform governments and the community about</w:t>
      </w:r>
      <w:r>
        <w:t xml:space="preserve"> </w:t>
      </w:r>
      <w:r w:rsidRPr="00AA4FBC">
        <w:t>the current rate of progress and help to identify</w:t>
      </w:r>
      <w:r>
        <w:t xml:space="preserve"> </w:t>
      </w:r>
      <w:r w:rsidRPr="00AA4FBC">
        <w:t>specific policy areas where more attention is</w:t>
      </w:r>
      <w:r>
        <w:t xml:space="preserve"> </w:t>
      </w:r>
      <w:r w:rsidRPr="00AA4FBC">
        <w:t>needed.</w:t>
      </w:r>
    </w:p>
    <w:p w:rsidR="000D11CE" w:rsidRDefault="000D11CE">
      <w:pPr>
        <w:pStyle w:val="FigureTitle"/>
      </w:pPr>
      <w:r w:rsidRPr="000D11CE">
        <w:lastRenderedPageBreak/>
        <w:t>Figure 2.</w:t>
      </w:r>
      <w:r w:rsidRPr="000D11CE">
        <w:rPr>
          <w:noProof/>
        </w:rPr>
        <w:t>1</w:t>
      </w:r>
      <w:r w:rsidRPr="000D11CE">
        <w:tab/>
      </w:r>
      <w:r>
        <w:t xml:space="preserve">OID report </w:t>
      </w:r>
      <w:r w:rsidRPr="00533D85">
        <w:t>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D11CE">
        <w:tc>
          <w:tcPr>
            <w:tcW w:w="8777" w:type="dxa"/>
          </w:tcPr>
          <w:p w:rsidR="000D11CE" w:rsidRPr="00245BC7" w:rsidRDefault="000D11CE" w:rsidP="000D11CE">
            <w:pPr>
              <w:pStyle w:val="TableTitle"/>
              <w:spacing w:before="240"/>
            </w:pPr>
            <w:r w:rsidRPr="00245BC7">
              <w:t>Priority outcomes</w:t>
            </w:r>
          </w:p>
          <w:p w:rsidR="000D11CE" w:rsidRPr="002A0736" w:rsidRDefault="000D11CE" w:rsidP="000D11CE">
            <w:pPr>
              <w:keepNext/>
            </w:pPr>
            <w:r>
              <w:rPr>
                <w:noProof/>
              </w:rPr>
              <mc:AlternateContent>
                <mc:Choice Requires="wpc">
                  <w:drawing>
                    <wp:anchor distT="0" distB="0" distL="114300" distR="114300" simplePos="0" relativeHeight="251662336" behindDoc="0" locked="0" layoutInCell="1" allowOverlap="1" wp14:anchorId="3A852F58" wp14:editId="22761F5C">
                      <wp:simplePos x="0" y="0"/>
                      <wp:positionH relativeFrom="character">
                        <wp:posOffset>0</wp:posOffset>
                      </wp:positionH>
                      <wp:positionV relativeFrom="line">
                        <wp:posOffset>44186</wp:posOffset>
                      </wp:positionV>
                      <wp:extent cx="5727065" cy="2285365"/>
                      <wp:effectExtent l="0" t="0" r="0" b="0"/>
                      <wp:wrapNone/>
                      <wp:docPr id="30" name="Canvas 15" descr="The chart shows the three priority outcomes of the Overcoming Indigenous Disadvantage framework, shown as three overlapping circles."/>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39" name="Group 39"/>
                              <wpg:cNvGrpSpPr/>
                              <wpg:grpSpPr>
                                <a:xfrm>
                                  <a:off x="935461" y="161290"/>
                                  <a:ext cx="3827145" cy="1829435"/>
                                  <a:chOff x="935461" y="161290"/>
                                  <a:chExt cx="3827145" cy="1829435"/>
                                </a:xfrm>
                              </wpg:grpSpPr>
                              <wps:wsp>
                                <wps:cNvPr id="3" name="Oval 5"/>
                                <wps:cNvSpPr>
                                  <a:spLocks noChangeArrowheads="1"/>
                                </wps:cNvSpPr>
                                <wps:spPr bwMode="auto">
                                  <a:xfrm>
                                    <a:off x="935461" y="161290"/>
                                    <a:ext cx="2072640" cy="1101090"/>
                                  </a:xfrm>
                                  <a:prstGeom prst="ellipse">
                                    <a:avLst/>
                                  </a:prstGeom>
                                  <a:noFill/>
                                  <a:ln w="9525">
                                    <a:solidFill>
                                      <a:srgbClr val="000000"/>
                                    </a:solidFill>
                                    <a:round/>
                                    <a:headEnd/>
                                    <a:tailEnd/>
                                  </a:ln>
                                  <a:extLst>
                                    <a:ext uri="{909E8E84-426E-40DD-AFC4-6F175D3DCCD1}">
                                      <a14:hiddenFill xmlns:a14="http://schemas.microsoft.com/office/drawing/2010/main">
                                        <a:solidFill>
                                          <a:srgbClr val="FFCC99">
                                            <a:alpha val="50195"/>
                                          </a:srgbClr>
                                        </a:solidFill>
                                      </a14:hiddenFill>
                                    </a:ext>
                                  </a:extLst>
                                </wps:spPr>
                                <wps:bodyPr rot="0" vert="horz" wrap="square" lIns="91440" tIns="45720" rIns="91440" bIns="45720" anchor="t" anchorCtr="0" upright="1">
                                  <a:noAutofit/>
                                </wps:bodyPr>
                              </wps:wsp>
                              <wps:wsp>
                                <wps:cNvPr id="25" name="Text Box 6"/>
                                <wps:cNvSpPr txBox="1">
                                  <a:spLocks noChangeArrowheads="1"/>
                                </wps:cNvSpPr>
                                <wps:spPr bwMode="auto">
                                  <a:xfrm>
                                    <a:off x="1134851" y="311785"/>
                                    <a:ext cx="1504950" cy="824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3BE3" w:rsidRPr="000C643D" w:rsidRDefault="00A13BE3" w:rsidP="000D11CE">
                                      <w:pPr>
                                        <w:jc w:val="center"/>
                                        <w:rPr>
                                          <w:rFonts w:ascii="Arial" w:hAnsi="Arial" w:cs="Arial"/>
                                          <w:sz w:val="18"/>
                                          <w:szCs w:val="18"/>
                                        </w:rPr>
                                      </w:pPr>
                                      <w:r w:rsidRPr="000C643D">
                                        <w:rPr>
                                          <w:rFonts w:ascii="Arial" w:hAnsi="Arial" w:cs="Arial"/>
                                          <w:sz w:val="18"/>
                                          <w:szCs w:val="18"/>
                                        </w:rPr>
                                        <w:t>Safe, healthy and supportive family environments with strong communities and cultural identity</w:t>
                                      </w:r>
                                    </w:p>
                                  </w:txbxContent>
                                </wps:txbx>
                                <wps:bodyPr rot="0" vert="horz" wrap="square" lIns="73152" tIns="36576" rIns="73152" bIns="36576" anchor="t" anchorCtr="0" upright="1">
                                  <a:noAutofit/>
                                </wps:bodyPr>
                              </wps:wsp>
                              <wps:wsp>
                                <wps:cNvPr id="26" name="Oval 7"/>
                                <wps:cNvSpPr>
                                  <a:spLocks noChangeArrowheads="1"/>
                                </wps:cNvSpPr>
                                <wps:spPr bwMode="auto">
                                  <a:xfrm>
                                    <a:off x="2690601" y="161290"/>
                                    <a:ext cx="2072005" cy="1101090"/>
                                  </a:xfrm>
                                  <a:prstGeom prst="ellipse">
                                    <a:avLst/>
                                  </a:prstGeom>
                                  <a:noFill/>
                                  <a:ln w="9525">
                                    <a:solidFill>
                                      <a:srgbClr val="000000"/>
                                    </a:solidFill>
                                    <a:round/>
                                    <a:headEnd/>
                                    <a:tailEnd/>
                                  </a:ln>
                                  <a:extLst>
                                    <a:ext uri="{909E8E84-426E-40DD-AFC4-6F175D3DCCD1}">
                                      <a14:hiddenFill xmlns:a14="http://schemas.microsoft.com/office/drawing/2010/main">
                                        <a:solidFill>
                                          <a:srgbClr val="FF9900">
                                            <a:alpha val="50195"/>
                                          </a:srgbClr>
                                        </a:solidFill>
                                      </a14:hiddenFill>
                                    </a:ext>
                                  </a:extLst>
                                </wps:spPr>
                                <wps:bodyPr rot="0" vert="horz" wrap="square" lIns="91440" tIns="45720" rIns="91440" bIns="45720" anchor="t" anchorCtr="0" upright="1">
                                  <a:noAutofit/>
                                </wps:bodyPr>
                              </wps:wsp>
                              <wps:wsp>
                                <wps:cNvPr id="27" name="Text Box 8"/>
                                <wps:cNvSpPr txBox="1">
                                  <a:spLocks noChangeArrowheads="1"/>
                                </wps:cNvSpPr>
                                <wps:spPr bwMode="auto">
                                  <a:xfrm>
                                    <a:off x="3052551" y="367665"/>
                                    <a:ext cx="1435100" cy="66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3BE3" w:rsidRPr="000C643D" w:rsidRDefault="00A13BE3" w:rsidP="000D11CE">
                                      <w:pPr>
                                        <w:jc w:val="center"/>
                                        <w:rPr>
                                          <w:rFonts w:ascii="Arial" w:hAnsi="Arial" w:cs="Arial"/>
                                          <w:sz w:val="18"/>
                                          <w:szCs w:val="18"/>
                                        </w:rPr>
                                      </w:pPr>
                                      <w:r w:rsidRPr="000C643D">
                                        <w:rPr>
                                          <w:rFonts w:ascii="Arial" w:hAnsi="Arial" w:cs="Arial"/>
                                          <w:sz w:val="18"/>
                                          <w:szCs w:val="18"/>
                                        </w:rPr>
                                        <w:t>Positive child development and prevention of violence, crime and self-harm</w:t>
                                      </w:r>
                                    </w:p>
                                  </w:txbxContent>
                                </wps:txbx>
                                <wps:bodyPr rot="0" vert="horz" wrap="square" lIns="73152" tIns="36576" rIns="73152" bIns="36576" anchor="t" anchorCtr="0" upright="1">
                                  <a:noAutofit/>
                                </wps:bodyPr>
                              </wps:wsp>
                              <wps:wsp>
                                <wps:cNvPr id="28" name="Oval 9"/>
                                <wps:cNvSpPr>
                                  <a:spLocks noChangeArrowheads="1"/>
                                </wps:cNvSpPr>
                                <wps:spPr bwMode="auto">
                                  <a:xfrm>
                                    <a:off x="1812396" y="890905"/>
                                    <a:ext cx="2072640" cy="1099820"/>
                                  </a:xfrm>
                                  <a:prstGeom prst="ellipse">
                                    <a:avLst/>
                                  </a:prstGeom>
                                  <a:noFill/>
                                  <a:ln w="9525">
                                    <a:solidFill>
                                      <a:srgbClr val="000000"/>
                                    </a:solidFill>
                                    <a:round/>
                                    <a:headEnd/>
                                    <a:tailEnd/>
                                  </a:ln>
                                  <a:extLst>
                                    <a:ext uri="{909E8E84-426E-40DD-AFC4-6F175D3DCCD1}">
                                      <a14:hiddenFill xmlns:a14="http://schemas.microsoft.com/office/drawing/2010/main">
                                        <a:solidFill>
                                          <a:srgbClr val="FF9966">
                                            <a:alpha val="50195"/>
                                          </a:srgbClr>
                                        </a:solidFill>
                                      </a14:hiddenFill>
                                    </a:ext>
                                  </a:extLst>
                                </wps:spPr>
                                <wps:bodyPr rot="0" vert="horz" wrap="square" lIns="91440" tIns="45720" rIns="91440" bIns="45720" anchor="t" anchorCtr="0" upright="1">
                                  <a:noAutofit/>
                                </wps:bodyPr>
                              </wps:wsp>
                              <wps:wsp>
                                <wps:cNvPr id="29" name="Text Box 10"/>
                                <wps:cNvSpPr txBox="1">
                                  <a:spLocks noChangeArrowheads="1"/>
                                </wps:cNvSpPr>
                                <wps:spPr bwMode="auto">
                                  <a:xfrm>
                                    <a:off x="2127991" y="1192530"/>
                                    <a:ext cx="1490980" cy="798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3BE3" w:rsidRPr="000C643D" w:rsidRDefault="00A13BE3" w:rsidP="000D11CE">
                                      <w:pPr>
                                        <w:jc w:val="center"/>
                                        <w:rPr>
                                          <w:rFonts w:ascii="Arial" w:hAnsi="Arial" w:cs="Arial"/>
                                          <w:sz w:val="18"/>
                                          <w:szCs w:val="18"/>
                                        </w:rPr>
                                      </w:pPr>
                                      <w:r w:rsidRPr="000C643D">
                                        <w:rPr>
                                          <w:rFonts w:ascii="Arial" w:hAnsi="Arial" w:cs="Arial"/>
                                          <w:sz w:val="18"/>
                                          <w:szCs w:val="18"/>
                                        </w:rPr>
                                        <w:t>Improved</w:t>
                                      </w:r>
                                      <w:r w:rsidRPr="000C643D">
                                        <w:rPr>
                                          <w:rFonts w:ascii="Arial" w:hAnsi="Arial" w:cs="Arial"/>
                                          <w:sz w:val="18"/>
                                          <w:szCs w:val="18"/>
                                        </w:rPr>
                                        <w:br/>
                                        <w:t>wealth creation and economic sustainability for individuals, families and communities</w:t>
                                      </w:r>
                                    </w:p>
                                  </w:txbxContent>
                                </wps:txbx>
                                <wps:bodyPr rot="0" vert="horz" wrap="square" lIns="73152" tIns="36576" rIns="73152" bIns="36576"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15" o:spid="_x0000_s1026" editas="canvas" alt="Description: The chart shows the three priority outcomes of the Overcoming Indigenous Disadvantage framework, shown as three overlapping circles." style="position:absolute;margin-left:0;margin-top:3.5pt;width:450.95pt;height:179.95pt;z-index:251662336;mso-position-horizontal-relative:char;mso-position-vertical-relative:line" coordsize="57270,22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he chart shows the three priority outcomes of the Overcoming Indigenous Disadvantage framework, shown as three overlapping circles." style="position:absolute;width:57270;height:22853;visibility:visible;mso-wrap-style:square">
                        <v:fill o:detectmouseclick="t"/>
                        <v:path o:connecttype="none"/>
                      </v:shape>
                      <v:group id="Group 39" o:spid="_x0000_s1028" style="position:absolute;left:9354;top:1612;width:38272;height:18295" coordorigin="9354,1612" coordsize="38271,182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oval id="Oval 5" o:spid="_x0000_s1029" style="position:absolute;left:9354;top:1612;width:20727;height:110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1X6cEA&#10;AADaAAAADwAAAGRycy9kb3ducmV2LnhtbESPT4vCMBTE74LfITxhb5rqgkjXKKIIZfHgn8Je3zbP&#10;pmzzUpqsVj+9EQSPw8z8hpkvO1uLC7W+cqxgPEpAEBdOV1wqyE/b4QyED8gaa8ek4EYelot+b46p&#10;dlc+0OUYShEh7FNUYEJoUil9YciiH7mGOHpn11oMUbal1C1eI9zWcpIkU2mx4rhgsKG1oeLv+G8V&#10;uKnZ6TL32d5+n12m9eb3h+9KfQy61ReIQF14h1/tTCv4hOeVeAP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dV+nBAAAA2gAAAA8AAAAAAAAAAAAAAAAAmAIAAGRycy9kb3du&#10;cmV2LnhtbFBLBQYAAAAABAAEAPUAAACGAwAAAAA=&#10;" filled="f" fillcolor="#fc9">
                          <v:fill opacity="32896f"/>
                        </v:oval>
                        <v:shapetype id="_x0000_t202" coordsize="21600,21600" o:spt="202" path="m,l,21600r21600,l21600,xe">
                          <v:stroke joinstyle="miter"/>
                          <v:path gradientshapeok="t" o:connecttype="rect"/>
                        </v:shapetype>
                        <v:shape id="Text Box 6" o:spid="_x0000_s1030" type="#_x0000_t202" style="position:absolute;left:11348;top:3117;width:15050;height:8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RjBsQA&#10;AADbAAAADwAAAGRycy9kb3ducmV2LnhtbESPQWvCQBSE7wX/w/KE3uquohKim6ChQk9CY2mvz+xr&#10;kpp9G7JbTf99tyD0OMzMN8w2H20nrjT41rGG+UyBIK6cabnW8HY6PCUgfEA22DkmDT/kIc8mD1tM&#10;jbvxK13LUIsIYZ+ihiaEPpXSVw1Z9DPXE0fv0w0WQ5RDLc2Atwi3nVwotZYWW44LDfZUNFRdym+r&#10;4csux9X+mNjjx6lw72dfKPVcav04HXcbEIHG8B++t1+MhsUK/r7EHy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0YwbEAAAA2wAAAA8AAAAAAAAAAAAAAAAAmAIAAGRycy9k&#10;b3ducmV2LnhtbFBLBQYAAAAABAAEAPUAAACJAwAAAAA=&#10;" filled="f" stroked="f">
                          <v:textbox inset="5.76pt,2.88pt,5.76pt,2.88pt">
                            <w:txbxContent>
                              <w:p w:rsidR="00A13BE3" w:rsidRPr="000C643D" w:rsidRDefault="00A13BE3" w:rsidP="000D11CE">
                                <w:pPr>
                                  <w:jc w:val="center"/>
                                  <w:rPr>
                                    <w:rFonts w:ascii="Arial" w:hAnsi="Arial" w:cs="Arial"/>
                                    <w:sz w:val="18"/>
                                    <w:szCs w:val="18"/>
                                  </w:rPr>
                                </w:pPr>
                                <w:r w:rsidRPr="000C643D">
                                  <w:rPr>
                                    <w:rFonts w:ascii="Arial" w:hAnsi="Arial" w:cs="Arial"/>
                                    <w:sz w:val="18"/>
                                    <w:szCs w:val="18"/>
                                  </w:rPr>
                                  <w:t>Safe, healthy and supportive family environments with strong communities and cultural identity</w:t>
                                </w:r>
                              </w:p>
                            </w:txbxContent>
                          </v:textbox>
                        </v:shape>
                        <v:oval id="Oval 7" o:spid="_x0000_s1031" style="position:absolute;left:26906;top:1612;width:20720;height:110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7m1cIA&#10;AADbAAAADwAAAGRycy9kb3ducmV2LnhtbESP3YrCMBSE7wXfIRzBO00VFKlGEWXRRRD8eYBDc2yK&#10;zUlpsrXdpzcLC14OM/MNs9q0thQN1b5wrGAyTkAQZ04XnCu4375GCxA+IGssHZOCjjxs1v3eClPt&#10;Xnyh5hpyESHsU1RgQqhSKX1myKIfu4o4eg9XWwxR1rnUNb4i3JZymiRzabHguGCwop2h7Hn9sQq4&#10;e34fjs35cJ/tT+Z359q8uxmlhoN2uwQRqA2f8H/7qBVM5/D3Jf4AuX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7ubVwgAAANsAAAAPAAAAAAAAAAAAAAAAAJgCAABkcnMvZG93&#10;bnJldi54bWxQSwUGAAAAAAQABAD1AAAAhwMAAAAA&#10;" filled="f" fillcolor="#f90">
                          <v:fill opacity="32896f"/>
                        </v:oval>
                        <v:shape id="Text Box 8" o:spid="_x0000_s1032" type="#_x0000_t202" style="position:absolute;left:30525;top:3676;width:14351;height:6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pY6sMA&#10;AADbAAAADwAAAGRycy9kb3ducmV2LnhtbESPQWvCQBSE74L/YXkFb7pbsVVSV9Gg0JNgLPX6zL4m&#10;abNvQ3bV+O9doeBxmJlvmPmys7W4UOsrxxpeRwoEce5MxYWGr8N2OAPhA7LB2jFpuJGH5aLfm2Ni&#10;3JX3dMlCISKEfYIayhCaREqfl2TRj1xDHL0f11oMUbaFNC1eI9zWcqzUu7RYcVwosaG0pPwvO1sN&#10;v3bSva13M7s7HlL3ffKpUptM68FLt/oAEagLz/B/+9NoGE/h8SX+A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upY6sMAAADbAAAADwAAAAAAAAAAAAAAAACYAgAAZHJzL2Rv&#10;d25yZXYueG1sUEsFBgAAAAAEAAQA9QAAAIgDAAAAAA==&#10;" filled="f" stroked="f">
                          <v:textbox inset="5.76pt,2.88pt,5.76pt,2.88pt">
                            <w:txbxContent>
                              <w:p w:rsidR="00A13BE3" w:rsidRPr="000C643D" w:rsidRDefault="00A13BE3" w:rsidP="000D11CE">
                                <w:pPr>
                                  <w:jc w:val="center"/>
                                  <w:rPr>
                                    <w:rFonts w:ascii="Arial" w:hAnsi="Arial" w:cs="Arial"/>
                                    <w:sz w:val="18"/>
                                    <w:szCs w:val="18"/>
                                  </w:rPr>
                                </w:pPr>
                                <w:r w:rsidRPr="000C643D">
                                  <w:rPr>
                                    <w:rFonts w:ascii="Arial" w:hAnsi="Arial" w:cs="Arial"/>
                                    <w:sz w:val="18"/>
                                    <w:szCs w:val="18"/>
                                  </w:rPr>
                                  <w:t>Positive child development and prevention of violence, crime and self-harm</w:t>
                                </w:r>
                              </w:p>
                            </w:txbxContent>
                          </v:textbox>
                        </v:shape>
                        <v:oval id="Oval 9" o:spid="_x0000_s1033" style="position:absolute;left:18123;top:8909;width:20727;height:10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5Ujb4A&#10;AADbAAAADwAAAGRycy9kb3ducmV2LnhtbERPy4rCMBTdD8w/hDvgbkytzCi1UUQQXProB1ybax82&#10;NyWJtv69WQzM8nDe+WY0nXiS841lBbNpAoK4tLrhSkFx2X8vQfiArLGzTApe5GGz/vzIMdN24BM9&#10;z6ESMYR9hgrqEPpMSl/WZNBPbU8cuZt1BkOErpLa4RDDTSfTJPmVBhuODTX2tKupvJ8fRsHV+bSY&#10;z7o2tDd3+RmO7q5PC6UmX+N2BSLQGP7Ff+6DVpDGsfFL/AFy/Q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VI2+AAAA2wAAAA8AAAAAAAAAAAAAAAAAmAIAAGRycy9kb3ducmV2&#10;LnhtbFBLBQYAAAAABAAEAPUAAACDAwAAAAA=&#10;" filled="f" fillcolor="#f96">
                          <v:fill opacity="32896f"/>
                        </v:oval>
                        <v:shape id="Text Box 10" o:spid="_x0000_s1034" type="#_x0000_t202" style="position:absolute;left:21279;top:11925;width:14910;height:79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lpA8QA&#10;AADbAAAADwAAAGRycy9kb3ducmV2LnhtbESPQWvCQBSE74X+h+UVequ7ii2aZiMaFDwJjaVeX7PP&#10;JJp9G7JbTf+9KxR6HGbmGyZdDLYVF+p941jDeKRAEJfONFxp+NxvXmYgfEA22DomDb/kYZE9PqSY&#10;GHflD7oUoRIRwj5BDXUIXSKlL2uy6EeuI47e0fUWQ5R9JU2P1wi3rZwo9SYtNhwXauwor6k8Fz9W&#10;w8lOh9fVbmZ3h33uvr59rtS60Pr5aVi+gwg0hP/wX3trNEzmcP8Sf4DM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5aQPEAAAA2wAAAA8AAAAAAAAAAAAAAAAAmAIAAGRycy9k&#10;b3ducmV2LnhtbFBLBQYAAAAABAAEAPUAAACJAwAAAAA=&#10;" filled="f" stroked="f">
                          <v:textbox inset="5.76pt,2.88pt,5.76pt,2.88pt">
                            <w:txbxContent>
                              <w:p w:rsidR="00A13BE3" w:rsidRPr="000C643D" w:rsidRDefault="00A13BE3" w:rsidP="000D11CE">
                                <w:pPr>
                                  <w:jc w:val="center"/>
                                  <w:rPr>
                                    <w:rFonts w:ascii="Arial" w:hAnsi="Arial" w:cs="Arial"/>
                                    <w:sz w:val="18"/>
                                    <w:szCs w:val="18"/>
                                  </w:rPr>
                                </w:pPr>
                                <w:r w:rsidRPr="000C643D">
                                  <w:rPr>
                                    <w:rFonts w:ascii="Arial" w:hAnsi="Arial" w:cs="Arial"/>
                                    <w:sz w:val="18"/>
                                    <w:szCs w:val="18"/>
                                  </w:rPr>
                                  <w:t>Improved</w:t>
                                </w:r>
                                <w:r w:rsidRPr="000C643D">
                                  <w:rPr>
                                    <w:rFonts w:ascii="Arial" w:hAnsi="Arial" w:cs="Arial"/>
                                    <w:sz w:val="18"/>
                                    <w:szCs w:val="18"/>
                                  </w:rPr>
                                  <w:br/>
                                  <w:t>wealth creation and economic sustainability for individuals, families and communities</w:t>
                                </w:r>
                              </w:p>
                            </w:txbxContent>
                          </v:textbox>
                        </v:shape>
                      </v:group>
                      <w10:wrap anchory="line"/>
                    </v:group>
                  </w:pict>
                </mc:Fallback>
              </mc:AlternateContent>
            </w:r>
            <w:r>
              <w:rPr>
                <w:noProof/>
              </w:rPr>
              <mc:AlternateContent>
                <mc:Choice Requires="wps">
                  <w:drawing>
                    <wp:inline distT="0" distB="0" distL="0" distR="0" wp14:anchorId="289DBE7A" wp14:editId="46A10EAF">
                      <wp:extent cx="6972300" cy="1990725"/>
                      <wp:effectExtent l="0" t="0" r="0" b="9525"/>
                      <wp:docPr id="24" name="Rectangle 8" descr="The chart shows the three priority outcomes of the Overcoming Indigenous Disadvantage framework, shown as three overlapping circle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72300" cy="1990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 o:spid="_x0000_s1026" alt="Description: The chart shows the three priority outcomes of the Overcoming Indigenous Disadvantage framework, shown as three overlapping circles." style="width:549pt;height:15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" filled="f" stroked="f">
                      <o:lock v:ext="edit" aspectratio="t"/>
                      <w10:anchorlock/>
                    </v:rect>
                  </w:pict>
                </mc:Fallback>
              </mc:AlternateContent>
            </w:r>
          </w:p>
          <w:p w:rsidR="000D11CE" w:rsidRPr="00245BC7" w:rsidRDefault="000D11CE" w:rsidP="000D11CE">
            <w:pPr>
              <w:pStyle w:val="TableTitle"/>
            </w:pPr>
            <w:bookmarkStart w:id="3" w:name="OLE_LINK5"/>
            <w:r w:rsidRPr="00245BC7">
              <w:t>COAG targets and headline indicators</w:t>
            </w:r>
          </w:p>
          <w:tbl>
            <w:tblPr>
              <w:tblW w:w="4872" w:type="pct"/>
              <w:tblInd w:w="115" w:type="dxa"/>
              <w:tblBorders>
                <w:top w:val="single" w:sz="2" w:space="0" w:color="auto"/>
                <w:left w:val="single" w:sz="2" w:space="0" w:color="auto"/>
                <w:bottom w:val="single" w:sz="2" w:space="0" w:color="auto"/>
                <w:right w:val="single" w:sz="2" w:space="0" w:color="auto"/>
              </w:tblBorders>
              <w:tblLayout w:type="fixed"/>
              <w:tblCellMar>
                <w:left w:w="115" w:type="dxa"/>
                <w:right w:w="115" w:type="dxa"/>
              </w:tblCellMar>
              <w:tblLook w:val="01E0" w:firstRow="1" w:lastRow="1" w:firstColumn="1" w:lastColumn="1" w:noHBand="0" w:noVBand="0"/>
            </w:tblPr>
            <w:tblGrid>
              <w:gridCol w:w="3188"/>
              <w:gridCol w:w="5358"/>
            </w:tblGrid>
            <w:tr w:rsidR="000D11CE" w:rsidRPr="002A0736" w:rsidTr="00A13BE3">
              <w:tc>
                <w:tcPr>
                  <w:tcW w:w="1865" w:type="pct"/>
                  <w:shd w:val="clear" w:color="auto" w:fill="auto"/>
                </w:tcPr>
                <w:bookmarkEnd w:id="3"/>
                <w:p w:rsidR="000D11CE" w:rsidRPr="006837FC" w:rsidRDefault="000D11CE" w:rsidP="00A13BE3">
                  <w:pPr>
                    <w:pStyle w:val="TableColumnHeading"/>
                  </w:pPr>
                  <w:r w:rsidRPr="006837FC">
                    <w:t>COAG targets</w:t>
                  </w:r>
                </w:p>
              </w:tc>
              <w:tc>
                <w:tcPr>
                  <w:tcW w:w="3135" w:type="pct"/>
                  <w:shd w:val="clear" w:color="auto" w:fill="auto"/>
                </w:tcPr>
                <w:p w:rsidR="000D11CE" w:rsidRPr="006837FC" w:rsidRDefault="000D11CE" w:rsidP="00A13BE3">
                  <w:pPr>
                    <w:pStyle w:val="TableColumnHeading"/>
                  </w:pPr>
                  <w:r w:rsidRPr="006837FC">
                    <w:t>Headline indicators</w:t>
                  </w:r>
                </w:p>
              </w:tc>
            </w:tr>
            <w:tr w:rsidR="000D11CE" w:rsidRPr="002A0736" w:rsidTr="00A13BE3">
              <w:tc>
                <w:tcPr>
                  <w:tcW w:w="1865" w:type="pct"/>
                  <w:shd w:val="clear" w:color="auto" w:fill="auto"/>
                </w:tcPr>
                <w:p w:rsidR="000D11CE" w:rsidRPr="006837FC" w:rsidRDefault="000D11CE" w:rsidP="00A13BE3">
                  <w:pPr>
                    <w:tabs>
                      <w:tab w:val="right" w:pos="318"/>
                    </w:tabs>
                    <w:spacing w:before="60" w:after="60"/>
                    <w:ind w:left="113"/>
                    <w:rPr>
                      <w:rFonts w:ascii="Arial" w:hAnsi="Arial" w:cs="Arial"/>
                      <w:color w:val="000000"/>
                      <w:sz w:val="18"/>
                      <w:szCs w:val="18"/>
                    </w:rPr>
                  </w:pPr>
                  <w:bookmarkStart w:id="4" w:name="OLE_LINK7"/>
                  <w:r w:rsidRPr="006837FC">
                    <w:rPr>
                      <w:rFonts w:ascii="Arial" w:hAnsi="Arial" w:cs="Arial"/>
                      <w:color w:val="000000"/>
                      <w:sz w:val="18"/>
                      <w:szCs w:val="18"/>
                    </w:rPr>
                    <w:tab/>
                    <w:t xml:space="preserve">Life expectancy </w:t>
                  </w:r>
                </w:p>
              </w:tc>
              <w:tc>
                <w:tcPr>
                  <w:tcW w:w="3135" w:type="pct"/>
                  <w:shd w:val="clear" w:color="auto" w:fill="auto"/>
                </w:tcPr>
                <w:p w:rsidR="000D11CE" w:rsidRPr="006837FC" w:rsidRDefault="000D11CE" w:rsidP="00A13BE3">
                  <w:pPr>
                    <w:tabs>
                      <w:tab w:val="left" w:pos="272"/>
                      <w:tab w:val="left" w:pos="340"/>
                    </w:tabs>
                    <w:spacing w:before="60" w:after="60"/>
                    <w:ind w:left="113"/>
                    <w:rPr>
                      <w:rFonts w:ascii="Arial" w:hAnsi="Arial" w:cs="Arial"/>
                      <w:i/>
                      <w:color w:val="000000"/>
                      <w:sz w:val="18"/>
                      <w:szCs w:val="18"/>
                    </w:rPr>
                  </w:pPr>
                  <w:proofErr w:type="spellStart"/>
                  <w:r w:rsidRPr="006837FC">
                    <w:rPr>
                      <w:rFonts w:ascii="Arial" w:hAnsi="Arial" w:cs="Arial"/>
                      <w:color w:val="000000"/>
                      <w:sz w:val="18"/>
                      <w:szCs w:val="18"/>
                    </w:rPr>
                    <w:t>Post secondary</w:t>
                  </w:r>
                  <w:proofErr w:type="spellEnd"/>
                  <w:r w:rsidRPr="006837FC">
                    <w:rPr>
                      <w:rFonts w:ascii="Arial" w:hAnsi="Arial" w:cs="Arial"/>
                      <w:color w:val="000000"/>
                      <w:sz w:val="18"/>
                      <w:szCs w:val="18"/>
                    </w:rPr>
                    <w:t xml:space="preserve"> education — participation and attainment </w:t>
                  </w:r>
                </w:p>
              </w:tc>
            </w:tr>
            <w:tr w:rsidR="000D11CE" w:rsidRPr="00EC3206" w:rsidTr="00A13BE3">
              <w:tc>
                <w:tcPr>
                  <w:tcW w:w="1865" w:type="pct"/>
                  <w:shd w:val="clear" w:color="auto" w:fill="auto"/>
                </w:tcPr>
                <w:p w:rsidR="000D11CE" w:rsidRPr="006837FC" w:rsidRDefault="000D11CE" w:rsidP="00A13BE3">
                  <w:pPr>
                    <w:spacing w:before="60" w:after="60"/>
                    <w:ind w:left="113"/>
                    <w:rPr>
                      <w:rFonts w:ascii="Arial" w:hAnsi="Arial" w:cs="Arial"/>
                      <w:color w:val="000000"/>
                      <w:sz w:val="18"/>
                      <w:szCs w:val="18"/>
                    </w:rPr>
                  </w:pPr>
                  <w:r w:rsidRPr="006837FC">
                    <w:rPr>
                      <w:rFonts w:ascii="Arial" w:hAnsi="Arial" w:cs="Arial"/>
                      <w:color w:val="000000"/>
                      <w:sz w:val="18"/>
                      <w:szCs w:val="18"/>
                    </w:rPr>
                    <w:t xml:space="preserve">Young child mortality </w:t>
                  </w:r>
                </w:p>
              </w:tc>
              <w:tc>
                <w:tcPr>
                  <w:tcW w:w="3135" w:type="pct"/>
                  <w:shd w:val="clear" w:color="auto" w:fill="auto"/>
                </w:tcPr>
                <w:p w:rsidR="000D11CE" w:rsidRPr="006837FC" w:rsidRDefault="000D11CE" w:rsidP="00A13BE3">
                  <w:pPr>
                    <w:tabs>
                      <w:tab w:val="left" w:pos="448"/>
                    </w:tabs>
                    <w:spacing w:before="60" w:after="60"/>
                    <w:ind w:left="113"/>
                    <w:rPr>
                      <w:rFonts w:ascii="Arial" w:hAnsi="Arial" w:cs="Arial"/>
                      <w:color w:val="000000"/>
                      <w:sz w:val="18"/>
                      <w:szCs w:val="18"/>
                    </w:rPr>
                  </w:pPr>
                  <w:r w:rsidRPr="006837FC">
                    <w:rPr>
                      <w:rFonts w:ascii="Arial" w:hAnsi="Arial" w:cs="Arial"/>
                      <w:color w:val="000000"/>
                      <w:sz w:val="18"/>
                      <w:szCs w:val="18"/>
                    </w:rPr>
                    <w:t xml:space="preserve">Disability and chronic disease </w:t>
                  </w:r>
                </w:p>
              </w:tc>
            </w:tr>
            <w:tr w:rsidR="000D11CE" w:rsidRPr="00EC3206" w:rsidTr="00A13BE3">
              <w:tc>
                <w:tcPr>
                  <w:tcW w:w="1865" w:type="pct"/>
                  <w:shd w:val="clear" w:color="auto" w:fill="auto"/>
                </w:tcPr>
                <w:p w:rsidR="000D11CE" w:rsidRPr="006837FC" w:rsidRDefault="000D11CE" w:rsidP="00A13BE3">
                  <w:pPr>
                    <w:spacing w:before="60" w:after="60"/>
                    <w:ind w:left="113"/>
                    <w:rPr>
                      <w:rFonts w:ascii="Arial" w:hAnsi="Arial" w:cs="Arial"/>
                      <w:color w:val="000000"/>
                      <w:sz w:val="18"/>
                      <w:szCs w:val="18"/>
                    </w:rPr>
                  </w:pPr>
                  <w:r w:rsidRPr="006837FC">
                    <w:rPr>
                      <w:rFonts w:ascii="Arial" w:hAnsi="Arial" w:cs="Arial"/>
                      <w:color w:val="000000"/>
                      <w:sz w:val="18"/>
                      <w:szCs w:val="18"/>
                    </w:rPr>
                    <w:t xml:space="preserve">Early childhood education </w:t>
                  </w:r>
                </w:p>
              </w:tc>
              <w:tc>
                <w:tcPr>
                  <w:tcW w:w="3135" w:type="pct"/>
                  <w:shd w:val="clear" w:color="auto" w:fill="auto"/>
                </w:tcPr>
                <w:p w:rsidR="000D11CE" w:rsidRPr="006837FC" w:rsidRDefault="000D11CE" w:rsidP="00A13BE3">
                  <w:pPr>
                    <w:spacing w:before="60" w:after="60"/>
                    <w:ind w:left="113"/>
                    <w:rPr>
                      <w:rFonts w:ascii="Arial" w:hAnsi="Arial" w:cs="Arial"/>
                      <w:color w:val="000000"/>
                      <w:sz w:val="18"/>
                      <w:szCs w:val="18"/>
                    </w:rPr>
                  </w:pPr>
                  <w:r w:rsidRPr="006837FC">
                    <w:rPr>
                      <w:rFonts w:ascii="Arial" w:hAnsi="Arial" w:cs="Arial"/>
                      <w:color w:val="000000"/>
                      <w:sz w:val="18"/>
                      <w:szCs w:val="18"/>
                    </w:rPr>
                    <w:t xml:space="preserve">Household and individual income </w:t>
                  </w:r>
                </w:p>
              </w:tc>
            </w:tr>
            <w:tr w:rsidR="000D11CE" w:rsidRPr="00EC3206" w:rsidTr="00A13BE3">
              <w:tc>
                <w:tcPr>
                  <w:tcW w:w="1865" w:type="pct"/>
                  <w:shd w:val="clear" w:color="auto" w:fill="auto"/>
                </w:tcPr>
                <w:p w:rsidR="000D11CE" w:rsidRPr="006837FC" w:rsidRDefault="000D11CE" w:rsidP="00A13BE3">
                  <w:pPr>
                    <w:spacing w:before="60" w:after="60"/>
                    <w:ind w:left="113"/>
                    <w:rPr>
                      <w:rFonts w:ascii="Arial" w:hAnsi="Arial" w:cs="Arial"/>
                      <w:color w:val="000000"/>
                      <w:sz w:val="18"/>
                      <w:szCs w:val="18"/>
                    </w:rPr>
                  </w:pPr>
                  <w:r w:rsidRPr="006837FC">
                    <w:rPr>
                      <w:rFonts w:ascii="Arial" w:hAnsi="Arial" w:cs="Arial"/>
                      <w:color w:val="000000"/>
                      <w:sz w:val="18"/>
                      <w:szCs w:val="18"/>
                    </w:rPr>
                    <w:t>Reading, writing and numeracy</w:t>
                  </w:r>
                </w:p>
              </w:tc>
              <w:tc>
                <w:tcPr>
                  <w:tcW w:w="3135" w:type="pct"/>
                  <w:shd w:val="clear" w:color="auto" w:fill="auto"/>
                </w:tcPr>
                <w:p w:rsidR="000D11CE" w:rsidRPr="006837FC" w:rsidRDefault="000D11CE" w:rsidP="00A13BE3">
                  <w:pPr>
                    <w:spacing w:before="60" w:after="60"/>
                    <w:ind w:left="113"/>
                    <w:rPr>
                      <w:rFonts w:ascii="Arial" w:hAnsi="Arial" w:cs="Arial"/>
                      <w:color w:val="000000"/>
                      <w:sz w:val="18"/>
                      <w:szCs w:val="18"/>
                    </w:rPr>
                  </w:pPr>
                  <w:r w:rsidRPr="006837FC">
                    <w:rPr>
                      <w:rFonts w:ascii="Arial" w:hAnsi="Arial" w:cs="Arial"/>
                      <w:color w:val="000000"/>
                      <w:sz w:val="18"/>
                      <w:szCs w:val="18"/>
                    </w:rPr>
                    <w:t xml:space="preserve">Substantiated child abuse and neglect </w:t>
                  </w:r>
                </w:p>
              </w:tc>
            </w:tr>
            <w:tr w:rsidR="000D11CE" w:rsidRPr="00EC3206" w:rsidTr="00A13BE3">
              <w:tc>
                <w:tcPr>
                  <w:tcW w:w="1865" w:type="pct"/>
                  <w:shd w:val="clear" w:color="auto" w:fill="auto"/>
                </w:tcPr>
                <w:p w:rsidR="000D11CE" w:rsidRPr="006837FC" w:rsidRDefault="000D11CE" w:rsidP="00A13BE3">
                  <w:pPr>
                    <w:spacing w:before="60" w:after="60"/>
                    <w:ind w:left="113"/>
                    <w:rPr>
                      <w:rFonts w:ascii="Arial" w:hAnsi="Arial" w:cs="Arial"/>
                      <w:color w:val="000000"/>
                      <w:sz w:val="18"/>
                      <w:szCs w:val="18"/>
                    </w:rPr>
                  </w:pPr>
                  <w:r w:rsidRPr="006837FC">
                    <w:rPr>
                      <w:rFonts w:ascii="Arial" w:hAnsi="Arial" w:cs="Arial"/>
                      <w:color w:val="000000"/>
                      <w:sz w:val="18"/>
                      <w:szCs w:val="18"/>
                    </w:rPr>
                    <w:t>Year 12 attainment</w:t>
                  </w:r>
                </w:p>
              </w:tc>
              <w:tc>
                <w:tcPr>
                  <w:tcW w:w="3135" w:type="pct"/>
                  <w:shd w:val="clear" w:color="auto" w:fill="auto"/>
                </w:tcPr>
                <w:p w:rsidR="000D11CE" w:rsidRPr="006837FC" w:rsidRDefault="000D11CE" w:rsidP="00A13BE3">
                  <w:pPr>
                    <w:spacing w:before="60" w:after="60"/>
                    <w:ind w:left="113"/>
                    <w:rPr>
                      <w:rFonts w:ascii="Arial" w:hAnsi="Arial" w:cs="Arial"/>
                      <w:color w:val="000000"/>
                      <w:sz w:val="18"/>
                      <w:szCs w:val="18"/>
                    </w:rPr>
                  </w:pPr>
                  <w:r w:rsidRPr="006837FC">
                    <w:rPr>
                      <w:rFonts w:ascii="Arial" w:hAnsi="Arial" w:cs="Arial"/>
                      <w:color w:val="000000"/>
                      <w:sz w:val="18"/>
                      <w:szCs w:val="18"/>
                    </w:rPr>
                    <w:t xml:space="preserve">Family and community violence </w:t>
                  </w:r>
                </w:p>
              </w:tc>
            </w:tr>
            <w:tr w:rsidR="000D11CE" w:rsidRPr="00EC3206" w:rsidTr="00A13BE3">
              <w:tc>
                <w:tcPr>
                  <w:tcW w:w="1865" w:type="pct"/>
                  <w:shd w:val="clear" w:color="auto" w:fill="auto"/>
                </w:tcPr>
                <w:p w:rsidR="000D11CE" w:rsidRPr="006837FC" w:rsidRDefault="000D11CE" w:rsidP="00A13BE3">
                  <w:pPr>
                    <w:spacing w:before="60" w:after="60"/>
                    <w:ind w:left="113"/>
                    <w:rPr>
                      <w:rFonts w:ascii="Arial" w:hAnsi="Arial" w:cs="Arial"/>
                      <w:color w:val="000000"/>
                      <w:sz w:val="18"/>
                      <w:szCs w:val="18"/>
                    </w:rPr>
                  </w:pPr>
                  <w:r w:rsidRPr="006837FC">
                    <w:rPr>
                      <w:rFonts w:ascii="Arial" w:hAnsi="Arial" w:cs="Arial"/>
                      <w:color w:val="000000"/>
                      <w:sz w:val="18"/>
                      <w:szCs w:val="18"/>
                    </w:rPr>
                    <w:t>Employment</w:t>
                  </w:r>
                </w:p>
              </w:tc>
              <w:tc>
                <w:tcPr>
                  <w:tcW w:w="3135" w:type="pct"/>
                  <w:shd w:val="clear" w:color="auto" w:fill="auto"/>
                </w:tcPr>
                <w:p w:rsidR="000D11CE" w:rsidRPr="006837FC" w:rsidRDefault="000D11CE" w:rsidP="00A13BE3">
                  <w:pPr>
                    <w:spacing w:before="60" w:after="60"/>
                    <w:ind w:left="113"/>
                    <w:rPr>
                      <w:rFonts w:ascii="Arial" w:hAnsi="Arial" w:cs="Arial"/>
                      <w:i/>
                      <w:color w:val="000000"/>
                      <w:sz w:val="18"/>
                      <w:szCs w:val="18"/>
                    </w:rPr>
                  </w:pPr>
                  <w:r w:rsidRPr="006837FC">
                    <w:rPr>
                      <w:rFonts w:ascii="Arial" w:hAnsi="Arial" w:cs="Arial"/>
                      <w:color w:val="000000"/>
                      <w:sz w:val="18"/>
                      <w:szCs w:val="18"/>
                    </w:rPr>
                    <w:t xml:space="preserve">Imprisonment and juvenile detention </w:t>
                  </w:r>
                </w:p>
              </w:tc>
            </w:tr>
          </w:tbl>
          <w:bookmarkEnd w:id="4"/>
          <w:p w:rsidR="000D11CE" w:rsidRPr="00245BC7" w:rsidRDefault="000D11CE" w:rsidP="000D11CE">
            <w:pPr>
              <w:pStyle w:val="TableTitle"/>
            </w:pPr>
            <w:r w:rsidRPr="00245BC7">
              <w:t>Strategic areas for action</w:t>
            </w:r>
          </w:p>
          <w:tbl>
            <w:tblPr>
              <w:tblW w:w="5000" w:type="pct"/>
              <w:tblLayout w:type="fixed"/>
              <w:tblCellMar>
                <w:left w:w="57" w:type="dxa"/>
                <w:right w:w="57" w:type="dxa"/>
              </w:tblCellMar>
              <w:tblLook w:val="01E0" w:firstRow="1" w:lastRow="1" w:firstColumn="1" w:lastColumn="1" w:noHBand="0" w:noVBand="0"/>
            </w:tblPr>
            <w:tblGrid>
              <w:gridCol w:w="575"/>
              <w:gridCol w:w="618"/>
              <w:gridCol w:w="134"/>
              <w:gridCol w:w="611"/>
              <w:gridCol w:w="385"/>
              <w:gridCol w:w="134"/>
              <w:gridCol w:w="541"/>
              <w:gridCol w:w="576"/>
              <w:gridCol w:w="134"/>
              <w:gridCol w:w="582"/>
              <w:gridCol w:w="584"/>
              <w:gridCol w:w="134"/>
              <w:gridCol w:w="590"/>
              <w:gridCol w:w="590"/>
              <w:gridCol w:w="134"/>
              <w:gridCol w:w="598"/>
              <w:gridCol w:w="598"/>
              <w:gridCol w:w="134"/>
              <w:gridCol w:w="563"/>
              <w:gridCol w:w="562"/>
            </w:tblGrid>
            <w:tr w:rsidR="000D11CE" w:rsidRPr="00EC3206" w:rsidTr="00A13BE3">
              <w:trPr>
                <w:trHeight w:hRule="exact" w:val="284"/>
              </w:trPr>
              <w:tc>
                <w:tcPr>
                  <w:tcW w:w="333" w:type="pct"/>
                  <w:tcBorders>
                    <w:bottom w:val="single" w:sz="2" w:space="0" w:color="auto"/>
                    <w:right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58"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63" w:type="pct"/>
                  <w:tcBorders>
                    <w:top w:val="single" w:sz="2" w:space="0" w:color="auto"/>
                    <w:left w:val="nil"/>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54"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224"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67" w:type="pct"/>
                  <w:tcBorders>
                    <w:top w:val="single" w:sz="2" w:space="0" w:color="auto"/>
                    <w:left w:val="nil"/>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14"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34"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63" w:type="pct"/>
                  <w:tcBorders>
                    <w:top w:val="single" w:sz="2" w:space="0" w:color="auto"/>
                    <w:left w:val="nil"/>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37"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37"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63" w:type="pct"/>
                  <w:tcBorders>
                    <w:top w:val="single" w:sz="2" w:space="0" w:color="auto"/>
                    <w:left w:val="nil"/>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41"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41"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63" w:type="pct"/>
                  <w:tcBorders>
                    <w:top w:val="single" w:sz="2" w:space="0" w:color="auto"/>
                    <w:left w:val="nil"/>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46"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46"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63" w:type="pct"/>
                  <w:tcBorders>
                    <w:top w:val="single" w:sz="2" w:space="0" w:color="auto"/>
                    <w:left w:val="nil"/>
                  </w:tcBorders>
                  <w:shd w:val="clear" w:color="auto" w:fill="auto"/>
                </w:tcPr>
                <w:p w:rsidR="000D11CE" w:rsidRPr="006837FC" w:rsidRDefault="000D11CE" w:rsidP="00A13BE3">
                  <w:pPr>
                    <w:keepNext/>
                    <w:spacing w:before="120" w:after="120"/>
                    <w:ind w:left="57"/>
                    <w:jc w:val="center"/>
                    <w:rPr>
                      <w:rFonts w:ascii="Arial" w:hAnsi="Arial" w:cs="Arial"/>
                      <w:b/>
                      <w:color w:val="000000"/>
                      <w:sz w:val="22"/>
                      <w:szCs w:val="22"/>
                    </w:rPr>
                  </w:pPr>
                </w:p>
              </w:tc>
              <w:tc>
                <w:tcPr>
                  <w:tcW w:w="326"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25" w:type="pct"/>
                  <w:tcBorders>
                    <w:left w:val="single" w:sz="2" w:space="0" w:color="auto"/>
                    <w:bottom w:val="single" w:sz="2" w:space="0" w:color="auto"/>
                  </w:tcBorders>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r>
            <w:tr w:rsidR="000D11CE" w:rsidRPr="00E8099A" w:rsidTr="00A13BE3">
              <w:tc>
                <w:tcPr>
                  <w:tcW w:w="691" w:type="pct"/>
                  <w:gridSpan w:val="2"/>
                  <w:tcBorders>
                    <w:top w:val="single" w:sz="2" w:space="0" w:color="auto"/>
                    <w:left w:val="single" w:sz="2" w:space="0" w:color="auto"/>
                    <w:bottom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r w:rsidRPr="000D11CE">
                    <w:rPr>
                      <w:sz w:val="16"/>
                      <w:szCs w:val="16"/>
                    </w:rPr>
                    <w:t>Early child development</w:t>
                  </w:r>
                </w:p>
              </w:tc>
              <w:tc>
                <w:tcPr>
                  <w:tcW w:w="63" w:type="pct"/>
                  <w:tcBorders>
                    <w:left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p>
              </w:tc>
              <w:tc>
                <w:tcPr>
                  <w:tcW w:w="579" w:type="pct"/>
                  <w:gridSpan w:val="2"/>
                  <w:tcBorders>
                    <w:top w:val="single" w:sz="2" w:space="0" w:color="auto"/>
                    <w:left w:val="single" w:sz="2" w:space="0" w:color="auto"/>
                    <w:bottom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r w:rsidRPr="000D11CE">
                    <w:rPr>
                      <w:sz w:val="16"/>
                      <w:szCs w:val="16"/>
                    </w:rPr>
                    <w:t>Education and training</w:t>
                  </w:r>
                </w:p>
              </w:tc>
              <w:tc>
                <w:tcPr>
                  <w:tcW w:w="67" w:type="pct"/>
                  <w:tcBorders>
                    <w:left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p>
              </w:tc>
              <w:tc>
                <w:tcPr>
                  <w:tcW w:w="648" w:type="pct"/>
                  <w:gridSpan w:val="2"/>
                  <w:tcBorders>
                    <w:top w:val="single" w:sz="2" w:space="0" w:color="auto"/>
                    <w:left w:val="single" w:sz="2" w:space="0" w:color="auto"/>
                    <w:bottom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r w:rsidRPr="000D11CE">
                    <w:rPr>
                      <w:sz w:val="16"/>
                      <w:szCs w:val="16"/>
                    </w:rPr>
                    <w:t>Healthy lives</w:t>
                  </w:r>
                </w:p>
              </w:tc>
              <w:tc>
                <w:tcPr>
                  <w:tcW w:w="63" w:type="pct"/>
                  <w:tcBorders>
                    <w:left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p>
              </w:tc>
              <w:tc>
                <w:tcPr>
                  <w:tcW w:w="675" w:type="pct"/>
                  <w:gridSpan w:val="2"/>
                  <w:tcBorders>
                    <w:top w:val="single" w:sz="2" w:space="0" w:color="auto"/>
                    <w:left w:val="single" w:sz="2" w:space="0" w:color="auto"/>
                    <w:bottom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r w:rsidRPr="000D11CE">
                    <w:rPr>
                      <w:sz w:val="16"/>
                      <w:szCs w:val="16"/>
                    </w:rPr>
                    <w:t>Economic participation</w:t>
                  </w:r>
                </w:p>
              </w:tc>
              <w:tc>
                <w:tcPr>
                  <w:tcW w:w="63" w:type="pct"/>
                  <w:tcBorders>
                    <w:left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p>
              </w:tc>
              <w:tc>
                <w:tcPr>
                  <w:tcW w:w="682" w:type="pct"/>
                  <w:gridSpan w:val="2"/>
                  <w:tcBorders>
                    <w:top w:val="single" w:sz="2" w:space="0" w:color="auto"/>
                    <w:left w:val="single" w:sz="2" w:space="0" w:color="auto"/>
                    <w:bottom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r w:rsidRPr="000D11CE">
                    <w:rPr>
                      <w:sz w:val="16"/>
                      <w:szCs w:val="16"/>
                    </w:rPr>
                    <w:t>Home environment</w:t>
                  </w:r>
                </w:p>
              </w:tc>
              <w:tc>
                <w:tcPr>
                  <w:tcW w:w="63" w:type="pct"/>
                  <w:tcBorders>
                    <w:left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p>
              </w:tc>
              <w:tc>
                <w:tcPr>
                  <w:tcW w:w="692" w:type="pct"/>
                  <w:gridSpan w:val="2"/>
                  <w:tcBorders>
                    <w:top w:val="single" w:sz="2" w:space="0" w:color="auto"/>
                    <w:left w:val="single" w:sz="2" w:space="0" w:color="auto"/>
                    <w:bottom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r w:rsidRPr="000D11CE">
                    <w:rPr>
                      <w:sz w:val="16"/>
                      <w:szCs w:val="16"/>
                    </w:rPr>
                    <w:t>Safe and supportive communities</w:t>
                  </w:r>
                </w:p>
              </w:tc>
              <w:tc>
                <w:tcPr>
                  <w:tcW w:w="63" w:type="pct"/>
                  <w:tcBorders>
                    <w:left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p>
              </w:tc>
              <w:tc>
                <w:tcPr>
                  <w:tcW w:w="651" w:type="pct"/>
                  <w:gridSpan w:val="2"/>
                  <w:tcBorders>
                    <w:top w:val="single" w:sz="2" w:space="0" w:color="auto"/>
                    <w:left w:val="single" w:sz="2" w:space="0" w:color="auto"/>
                    <w:bottom w:val="single" w:sz="2" w:space="0" w:color="auto"/>
                    <w:right w:val="single" w:sz="2" w:space="0" w:color="auto"/>
                  </w:tcBorders>
                  <w:shd w:val="clear" w:color="auto" w:fill="auto"/>
                </w:tcPr>
                <w:p w:rsidR="000D11CE" w:rsidRPr="000D11CE" w:rsidRDefault="000D11CE" w:rsidP="00A13BE3">
                  <w:pPr>
                    <w:pStyle w:val="TableColumnHeading"/>
                    <w:jc w:val="center"/>
                    <w:rPr>
                      <w:sz w:val="16"/>
                      <w:szCs w:val="16"/>
                    </w:rPr>
                  </w:pPr>
                  <w:r w:rsidRPr="000D11CE">
                    <w:rPr>
                      <w:sz w:val="16"/>
                      <w:szCs w:val="16"/>
                    </w:rPr>
                    <w:t>Governance and leadership</w:t>
                  </w:r>
                </w:p>
              </w:tc>
            </w:tr>
            <w:tr w:rsidR="000D11CE" w:rsidRPr="00EC3206" w:rsidTr="00A13BE3">
              <w:trPr>
                <w:trHeight w:hRule="exact" w:val="284"/>
              </w:trPr>
              <w:tc>
                <w:tcPr>
                  <w:tcW w:w="333"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358"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63" w:type="pct"/>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354"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224"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67" w:type="pct"/>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314"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334"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63" w:type="pct"/>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337"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337"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63" w:type="pct"/>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41"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341"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63" w:type="pct"/>
                  <w:shd w:val="clear" w:color="auto" w:fill="auto"/>
                </w:tcPr>
                <w:p w:rsidR="000D11CE" w:rsidRPr="006837FC" w:rsidRDefault="000D11CE" w:rsidP="00A13BE3">
                  <w:pPr>
                    <w:keepNext/>
                    <w:spacing w:before="120" w:after="120"/>
                    <w:jc w:val="center"/>
                    <w:rPr>
                      <w:rFonts w:ascii="Arial" w:hAnsi="Arial" w:cs="Arial"/>
                      <w:b/>
                      <w:color w:val="000000"/>
                      <w:sz w:val="22"/>
                      <w:szCs w:val="22"/>
                    </w:rPr>
                  </w:pPr>
                </w:p>
              </w:tc>
              <w:tc>
                <w:tcPr>
                  <w:tcW w:w="346"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346"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63" w:type="pct"/>
                  <w:shd w:val="clear" w:color="auto" w:fill="auto"/>
                </w:tcPr>
                <w:p w:rsidR="000D11CE" w:rsidRPr="006837FC" w:rsidRDefault="000D11CE" w:rsidP="00A13BE3">
                  <w:pPr>
                    <w:keepNext/>
                    <w:spacing w:before="120" w:after="120"/>
                    <w:ind w:left="57"/>
                    <w:jc w:val="center"/>
                    <w:rPr>
                      <w:rFonts w:ascii="Arial" w:hAnsi="Arial" w:cs="Arial"/>
                      <w:b/>
                      <w:color w:val="000000"/>
                      <w:sz w:val="22"/>
                      <w:szCs w:val="22"/>
                    </w:rPr>
                  </w:pPr>
                </w:p>
              </w:tc>
              <w:tc>
                <w:tcPr>
                  <w:tcW w:w="326" w:type="pct"/>
                  <w:tcBorders>
                    <w:top w:val="single" w:sz="2" w:space="0" w:color="auto"/>
                    <w:bottom w:val="single" w:sz="2" w:space="0" w:color="auto"/>
                    <w:right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c>
                <w:tcPr>
                  <w:tcW w:w="325" w:type="pct"/>
                  <w:tcBorders>
                    <w:top w:val="single" w:sz="2" w:space="0" w:color="auto"/>
                    <w:left w:val="single" w:sz="2" w:space="0" w:color="auto"/>
                    <w:bottom w:val="single" w:sz="2" w:space="0" w:color="auto"/>
                  </w:tcBorders>
                  <w:shd w:val="clear" w:color="auto" w:fill="auto"/>
                </w:tcPr>
                <w:p w:rsidR="000D11CE" w:rsidRPr="006837FC" w:rsidRDefault="000D11CE" w:rsidP="00A13BE3">
                  <w:pPr>
                    <w:keepNext/>
                    <w:spacing w:before="120" w:after="120"/>
                    <w:rPr>
                      <w:rFonts w:ascii="Arial" w:hAnsi="Arial" w:cs="Arial"/>
                      <w:color w:val="000000"/>
                      <w:sz w:val="22"/>
                      <w:szCs w:val="22"/>
                    </w:rPr>
                  </w:pPr>
                </w:p>
              </w:tc>
            </w:tr>
            <w:tr w:rsidR="000D11CE" w:rsidRPr="00EC3206" w:rsidTr="00BA6F5D">
              <w:trPr>
                <w:trHeight w:val="95"/>
              </w:trPr>
              <w:tc>
                <w:tcPr>
                  <w:tcW w:w="691" w:type="pct"/>
                  <w:gridSpan w:val="2"/>
                  <w:tcBorders>
                    <w:top w:val="single" w:sz="2" w:space="0" w:color="auto"/>
                    <w:left w:val="single" w:sz="2" w:space="0" w:color="auto"/>
                    <w:bottom w:val="single" w:sz="4" w:space="0" w:color="auto"/>
                    <w:right w:val="single" w:sz="2" w:space="0" w:color="auto"/>
                  </w:tcBorders>
                  <w:shd w:val="clear" w:color="auto" w:fill="auto"/>
                  <w:tcMar>
                    <w:left w:w="17" w:type="dxa"/>
                    <w:right w:w="17" w:type="dxa"/>
                  </w:tcMar>
                </w:tcPr>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Maternal health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Teenage birth rate </w:t>
                  </w:r>
                </w:p>
                <w:p w:rsidR="000D11CE" w:rsidRPr="00E8099A" w:rsidRDefault="000D11CE" w:rsidP="00A13BE3">
                  <w:pPr>
                    <w:keepNext/>
                    <w:spacing w:before="40" w:after="40"/>
                    <w:ind w:left="57"/>
                    <w:rPr>
                      <w:rFonts w:ascii="Arial" w:hAnsi="Arial" w:cs="Arial"/>
                      <w:color w:val="000000"/>
                      <w:sz w:val="15"/>
                      <w:szCs w:val="15"/>
                    </w:rPr>
                  </w:pPr>
                  <w:proofErr w:type="spellStart"/>
                  <w:r w:rsidRPr="00E8099A">
                    <w:rPr>
                      <w:rFonts w:ascii="Arial" w:hAnsi="Arial" w:cs="Arial"/>
                      <w:color w:val="000000"/>
                      <w:sz w:val="15"/>
                      <w:szCs w:val="15"/>
                    </w:rPr>
                    <w:t>Birthweight</w:t>
                  </w:r>
                  <w:proofErr w:type="spellEnd"/>
                  <w:r w:rsidRPr="00E8099A">
                    <w:rPr>
                      <w:rFonts w:ascii="Arial" w:hAnsi="Arial" w:cs="Arial"/>
                      <w:color w:val="000000"/>
                      <w:sz w:val="15"/>
                      <w:szCs w:val="15"/>
                    </w:rPr>
                    <w:t xml:space="preserve">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Early childhood hospitalisations </w:t>
                  </w:r>
                </w:p>
                <w:p w:rsidR="000D11CE" w:rsidRPr="00E8099A" w:rsidRDefault="000D11CE" w:rsidP="00A13BE3">
                  <w:pPr>
                    <w:keepNext/>
                    <w:spacing w:before="40" w:after="40"/>
                    <w:ind w:left="57"/>
                    <w:rPr>
                      <w:rFonts w:ascii="Arial" w:hAnsi="Arial" w:cs="Arial"/>
                      <w:b/>
                      <w:color w:val="000000"/>
                      <w:sz w:val="15"/>
                      <w:szCs w:val="15"/>
                    </w:rPr>
                  </w:pPr>
                  <w:r w:rsidRPr="00E8099A">
                    <w:rPr>
                      <w:rFonts w:ascii="Arial" w:hAnsi="Arial" w:cs="Arial"/>
                      <w:color w:val="000000"/>
                      <w:sz w:val="15"/>
                      <w:szCs w:val="15"/>
                    </w:rPr>
                    <w:t xml:space="preserve">Injury and preventable disease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Basic skills for life and learning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Hearing impairment </w:t>
                  </w:r>
                </w:p>
              </w:tc>
              <w:tc>
                <w:tcPr>
                  <w:tcW w:w="63" w:type="pct"/>
                  <w:tcBorders>
                    <w:left w:val="single" w:sz="2" w:space="0" w:color="auto"/>
                    <w:right w:val="single" w:sz="2"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p>
              </w:tc>
              <w:tc>
                <w:tcPr>
                  <w:tcW w:w="579" w:type="pct"/>
                  <w:gridSpan w:val="2"/>
                  <w:tcBorders>
                    <w:top w:val="single" w:sz="2" w:space="0" w:color="auto"/>
                    <w:left w:val="single" w:sz="2" w:space="0" w:color="auto"/>
                    <w:bottom w:val="single" w:sz="4" w:space="0" w:color="auto"/>
                    <w:right w:val="single" w:sz="2"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School enrolment and attendance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Teacher quality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Indigenous cultural studies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Year 9 attainment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Year 10 attainment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Transition from school to work </w:t>
                  </w:r>
                </w:p>
              </w:tc>
              <w:tc>
                <w:tcPr>
                  <w:tcW w:w="67" w:type="pct"/>
                  <w:tcBorders>
                    <w:left w:val="single" w:sz="2" w:space="0" w:color="auto"/>
                    <w:right w:val="single" w:sz="2"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p>
              </w:tc>
              <w:tc>
                <w:tcPr>
                  <w:tcW w:w="648" w:type="pct"/>
                  <w:gridSpan w:val="2"/>
                  <w:tcBorders>
                    <w:top w:val="single" w:sz="2" w:space="0" w:color="auto"/>
                    <w:left w:val="single" w:sz="2" w:space="0" w:color="auto"/>
                    <w:bottom w:val="single" w:sz="4" w:space="0" w:color="auto"/>
                    <w:right w:val="single" w:sz="2" w:space="0" w:color="auto"/>
                  </w:tcBorders>
                  <w:shd w:val="clear" w:color="auto" w:fill="auto"/>
                  <w:tcMar>
                    <w:left w:w="11" w:type="dxa"/>
                    <w:right w:w="11" w:type="dxa"/>
                  </w:tcMar>
                </w:tcPr>
                <w:p w:rsidR="000D11CE" w:rsidRPr="00E8099A" w:rsidRDefault="000D11CE" w:rsidP="00A13BE3">
                  <w:pPr>
                    <w:keepNext/>
                    <w:spacing w:before="40" w:after="40"/>
                    <w:ind w:left="57"/>
                    <w:rPr>
                      <w:sz w:val="15"/>
                      <w:szCs w:val="15"/>
                    </w:rPr>
                  </w:pPr>
                  <w:r w:rsidRPr="00E8099A">
                    <w:rPr>
                      <w:rFonts w:ascii="Arial" w:hAnsi="Arial" w:cs="Arial"/>
                      <w:color w:val="000000"/>
                      <w:sz w:val="15"/>
                      <w:szCs w:val="15"/>
                    </w:rPr>
                    <w:t xml:space="preserve">Access to primary health care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Potentially preventable hospitalisations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Avoidable mortality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Tobacco consumption and harm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Obesity and nutrition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Tooth decay</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Mental health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Suicide and self-harm </w:t>
                  </w:r>
                </w:p>
              </w:tc>
              <w:tc>
                <w:tcPr>
                  <w:tcW w:w="63" w:type="pct"/>
                  <w:tcBorders>
                    <w:left w:val="single" w:sz="2" w:space="0" w:color="auto"/>
                    <w:right w:val="single" w:sz="2"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p>
              </w:tc>
              <w:tc>
                <w:tcPr>
                  <w:tcW w:w="675" w:type="pct"/>
                  <w:gridSpan w:val="2"/>
                  <w:tcBorders>
                    <w:top w:val="single" w:sz="2" w:space="0" w:color="auto"/>
                    <w:left w:val="single" w:sz="2" w:space="0" w:color="auto"/>
                    <w:bottom w:val="single" w:sz="4" w:space="0" w:color="auto"/>
                    <w:right w:val="single" w:sz="2" w:space="0" w:color="auto"/>
                  </w:tcBorders>
                  <w:shd w:val="clear" w:color="auto" w:fill="auto"/>
                </w:tcPr>
                <w:p w:rsidR="000D11CE" w:rsidRPr="00E8099A" w:rsidRDefault="000D11CE" w:rsidP="00A13BE3">
                  <w:pPr>
                    <w:keepNext/>
                    <w:spacing w:before="40" w:after="40"/>
                    <w:ind w:left="57"/>
                    <w:rPr>
                      <w:sz w:val="15"/>
                      <w:szCs w:val="15"/>
                    </w:rPr>
                  </w:pPr>
                  <w:r w:rsidRPr="00E8099A">
                    <w:rPr>
                      <w:rFonts w:ascii="Arial" w:hAnsi="Arial" w:cs="Arial"/>
                      <w:color w:val="000000"/>
                      <w:sz w:val="15"/>
                      <w:szCs w:val="15"/>
                    </w:rPr>
                    <w:t>Employment by full time/part time status, sector and occupation</w:t>
                  </w:r>
                </w:p>
                <w:p w:rsidR="000D11CE" w:rsidRPr="00E8099A" w:rsidRDefault="000D11CE" w:rsidP="00A13BE3">
                  <w:pPr>
                    <w:keepNext/>
                    <w:spacing w:before="40" w:after="40"/>
                    <w:ind w:left="57"/>
                    <w:rPr>
                      <w:rFonts w:ascii="Arial" w:hAnsi="Arial" w:cs="Arial"/>
                      <w:i/>
                      <w:color w:val="000000"/>
                      <w:sz w:val="15"/>
                      <w:szCs w:val="15"/>
                    </w:rPr>
                  </w:pPr>
                  <w:r w:rsidRPr="00E8099A">
                    <w:rPr>
                      <w:rFonts w:ascii="Arial" w:hAnsi="Arial" w:cs="Arial"/>
                      <w:color w:val="000000"/>
                      <w:sz w:val="15"/>
                      <w:szCs w:val="15"/>
                    </w:rPr>
                    <w:t xml:space="preserve">Indigenous owned or controlled land and business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Home ownership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Income support </w:t>
                  </w:r>
                </w:p>
              </w:tc>
              <w:tc>
                <w:tcPr>
                  <w:tcW w:w="63" w:type="pct"/>
                  <w:tcBorders>
                    <w:left w:val="single" w:sz="2" w:space="0" w:color="auto"/>
                    <w:bottom w:val="single" w:sz="4" w:space="0" w:color="auto"/>
                    <w:right w:val="single" w:sz="2" w:space="0" w:color="auto"/>
                  </w:tcBorders>
                  <w:shd w:val="clear" w:color="auto" w:fill="auto"/>
                </w:tcPr>
                <w:p w:rsidR="000D11CE" w:rsidRPr="00E8099A" w:rsidRDefault="000D11CE" w:rsidP="00A13BE3">
                  <w:pPr>
                    <w:keepNext/>
                    <w:spacing w:before="120" w:after="120"/>
                    <w:ind w:left="57"/>
                    <w:jc w:val="center"/>
                    <w:rPr>
                      <w:rFonts w:ascii="Arial" w:hAnsi="Arial" w:cs="Arial"/>
                      <w:b/>
                      <w:color w:val="000000"/>
                      <w:sz w:val="15"/>
                      <w:szCs w:val="15"/>
                    </w:rPr>
                  </w:pPr>
                </w:p>
              </w:tc>
              <w:tc>
                <w:tcPr>
                  <w:tcW w:w="682" w:type="pct"/>
                  <w:gridSpan w:val="2"/>
                  <w:tcBorders>
                    <w:top w:val="single" w:sz="2" w:space="0" w:color="auto"/>
                    <w:left w:val="single" w:sz="2" w:space="0" w:color="auto"/>
                    <w:bottom w:val="single" w:sz="4" w:space="0" w:color="auto"/>
                    <w:right w:val="single" w:sz="2"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Overcrowding in housing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Rates of disease associated with poor environmental health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Access to clean water and functional sewerage and electricity services </w:t>
                  </w:r>
                </w:p>
              </w:tc>
              <w:tc>
                <w:tcPr>
                  <w:tcW w:w="63" w:type="pct"/>
                  <w:tcBorders>
                    <w:left w:val="single" w:sz="2" w:space="0" w:color="auto"/>
                    <w:right w:val="single" w:sz="2" w:space="0" w:color="auto"/>
                  </w:tcBorders>
                  <w:shd w:val="clear" w:color="auto" w:fill="auto"/>
                </w:tcPr>
                <w:p w:rsidR="000D11CE" w:rsidRPr="00E8099A" w:rsidRDefault="000D11CE" w:rsidP="00A13BE3">
                  <w:pPr>
                    <w:keepNext/>
                    <w:spacing w:before="120" w:after="120"/>
                    <w:jc w:val="center"/>
                    <w:rPr>
                      <w:rFonts w:ascii="Arial" w:hAnsi="Arial" w:cs="Arial"/>
                      <w:b/>
                      <w:color w:val="000000"/>
                      <w:sz w:val="15"/>
                      <w:szCs w:val="15"/>
                    </w:rPr>
                  </w:pPr>
                </w:p>
              </w:tc>
              <w:tc>
                <w:tcPr>
                  <w:tcW w:w="692" w:type="pct"/>
                  <w:gridSpan w:val="2"/>
                  <w:tcBorders>
                    <w:top w:val="single" w:sz="2" w:space="0" w:color="auto"/>
                    <w:left w:val="single" w:sz="2" w:space="0" w:color="auto"/>
                    <w:bottom w:val="single" w:sz="4" w:space="0" w:color="auto"/>
                    <w:right w:val="single" w:sz="2"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Participation in organised sport, arts or community group activities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Access to traditional lands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Alcohol consumption and harm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Drug and other substance use and harm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Juvenile diversions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Repeat offending </w:t>
                  </w:r>
                </w:p>
              </w:tc>
              <w:tc>
                <w:tcPr>
                  <w:tcW w:w="63" w:type="pct"/>
                  <w:tcBorders>
                    <w:left w:val="single" w:sz="2" w:space="0" w:color="auto"/>
                    <w:right w:val="single" w:sz="2" w:space="0" w:color="auto"/>
                  </w:tcBorders>
                  <w:shd w:val="clear" w:color="auto" w:fill="auto"/>
                </w:tcPr>
                <w:p w:rsidR="000D11CE" w:rsidRPr="00E8099A" w:rsidRDefault="000D11CE" w:rsidP="00A13BE3">
                  <w:pPr>
                    <w:keepNext/>
                    <w:spacing w:before="120" w:after="120"/>
                    <w:ind w:left="57"/>
                    <w:jc w:val="center"/>
                    <w:rPr>
                      <w:rFonts w:ascii="Arial" w:hAnsi="Arial" w:cs="Arial"/>
                      <w:b/>
                      <w:color w:val="000000"/>
                      <w:sz w:val="15"/>
                      <w:szCs w:val="15"/>
                    </w:rPr>
                  </w:pPr>
                </w:p>
              </w:tc>
              <w:tc>
                <w:tcPr>
                  <w:tcW w:w="651" w:type="pct"/>
                  <w:gridSpan w:val="2"/>
                  <w:tcBorders>
                    <w:top w:val="single" w:sz="2" w:space="0" w:color="auto"/>
                    <w:left w:val="single" w:sz="2" w:space="0" w:color="auto"/>
                    <w:bottom w:val="single" w:sz="4" w:space="0" w:color="auto"/>
                    <w:right w:val="single" w:sz="2"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Case studies in governance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Governance capacity and skills </w:t>
                  </w:r>
                </w:p>
                <w:p w:rsidR="000D11CE" w:rsidRPr="00E8099A" w:rsidRDefault="000D11CE" w:rsidP="00A13BE3">
                  <w:pPr>
                    <w:keepNext/>
                    <w:spacing w:before="40" w:after="40"/>
                    <w:ind w:left="57"/>
                    <w:rPr>
                      <w:rFonts w:ascii="Arial" w:hAnsi="Arial" w:cs="Arial"/>
                      <w:color w:val="000000"/>
                      <w:sz w:val="15"/>
                      <w:szCs w:val="15"/>
                    </w:rPr>
                  </w:pPr>
                  <w:r w:rsidRPr="00E8099A">
                    <w:rPr>
                      <w:rFonts w:ascii="Arial" w:hAnsi="Arial" w:cs="Arial"/>
                      <w:color w:val="000000"/>
                      <w:sz w:val="15"/>
                      <w:szCs w:val="15"/>
                    </w:rPr>
                    <w:t xml:space="preserve">Engagement with service delivery </w:t>
                  </w:r>
                </w:p>
              </w:tc>
            </w:tr>
            <w:tr w:rsidR="000D11CE" w:rsidRPr="00EC3206" w:rsidTr="00A70573">
              <w:trPr>
                <w:trHeight w:hRule="exact" w:val="227"/>
              </w:trPr>
              <w:tc>
                <w:tcPr>
                  <w:tcW w:w="691" w:type="pct"/>
                  <w:gridSpan w:val="2"/>
                  <w:tcBorders>
                    <w:top w:val="single" w:sz="4" w:space="0" w:color="auto"/>
                  </w:tcBorders>
                  <w:shd w:val="clear" w:color="auto" w:fill="auto"/>
                  <w:tcMar>
                    <w:left w:w="17" w:type="dxa"/>
                    <w:right w:w="17" w:type="dxa"/>
                  </w:tcMar>
                </w:tcPr>
                <w:p w:rsidR="000D11CE" w:rsidRPr="00E8099A" w:rsidRDefault="000D11CE" w:rsidP="00A13BE3">
                  <w:pPr>
                    <w:keepNext/>
                    <w:spacing w:before="40" w:after="40"/>
                    <w:ind w:left="57"/>
                    <w:rPr>
                      <w:rFonts w:ascii="Arial" w:hAnsi="Arial" w:cs="Arial"/>
                      <w:color w:val="000000"/>
                      <w:sz w:val="15"/>
                      <w:szCs w:val="15"/>
                    </w:rPr>
                  </w:pPr>
                </w:p>
              </w:tc>
              <w:tc>
                <w:tcPr>
                  <w:tcW w:w="63" w:type="pct"/>
                  <w:shd w:val="clear" w:color="auto" w:fill="auto"/>
                </w:tcPr>
                <w:p w:rsidR="000D11CE" w:rsidRPr="00E8099A" w:rsidRDefault="000D11CE" w:rsidP="00A13BE3">
                  <w:pPr>
                    <w:keepNext/>
                    <w:spacing w:before="40" w:after="40"/>
                    <w:ind w:left="57"/>
                    <w:rPr>
                      <w:rFonts w:ascii="Arial" w:hAnsi="Arial" w:cs="Arial"/>
                      <w:color w:val="000000"/>
                      <w:sz w:val="15"/>
                      <w:szCs w:val="15"/>
                    </w:rPr>
                  </w:pPr>
                </w:p>
              </w:tc>
              <w:tc>
                <w:tcPr>
                  <w:tcW w:w="579" w:type="pct"/>
                  <w:gridSpan w:val="2"/>
                  <w:tcBorders>
                    <w:top w:val="single" w:sz="4"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p>
              </w:tc>
              <w:tc>
                <w:tcPr>
                  <w:tcW w:w="67" w:type="pct"/>
                  <w:shd w:val="clear" w:color="auto" w:fill="auto"/>
                </w:tcPr>
                <w:p w:rsidR="000D11CE" w:rsidRPr="00E8099A" w:rsidRDefault="000D11CE" w:rsidP="00A13BE3">
                  <w:pPr>
                    <w:keepNext/>
                    <w:spacing w:before="40" w:after="40"/>
                    <w:ind w:left="57"/>
                    <w:rPr>
                      <w:rFonts w:ascii="Arial" w:hAnsi="Arial" w:cs="Arial"/>
                      <w:color w:val="000000"/>
                      <w:sz w:val="15"/>
                      <w:szCs w:val="15"/>
                    </w:rPr>
                  </w:pPr>
                </w:p>
              </w:tc>
              <w:tc>
                <w:tcPr>
                  <w:tcW w:w="648" w:type="pct"/>
                  <w:gridSpan w:val="2"/>
                  <w:tcBorders>
                    <w:top w:val="single" w:sz="4" w:space="0" w:color="auto"/>
                  </w:tcBorders>
                  <w:shd w:val="clear" w:color="auto" w:fill="auto"/>
                  <w:tcMar>
                    <w:left w:w="11" w:type="dxa"/>
                    <w:right w:w="11" w:type="dxa"/>
                  </w:tcMar>
                </w:tcPr>
                <w:p w:rsidR="000D11CE" w:rsidRPr="00E8099A" w:rsidRDefault="000D11CE" w:rsidP="00A13BE3">
                  <w:pPr>
                    <w:keepNext/>
                    <w:spacing w:before="40" w:after="40"/>
                    <w:ind w:left="57"/>
                    <w:rPr>
                      <w:rFonts w:ascii="Arial" w:hAnsi="Arial" w:cs="Arial"/>
                      <w:color w:val="000000"/>
                      <w:sz w:val="15"/>
                      <w:szCs w:val="15"/>
                    </w:rPr>
                  </w:pPr>
                </w:p>
              </w:tc>
              <w:tc>
                <w:tcPr>
                  <w:tcW w:w="63" w:type="pct"/>
                  <w:shd w:val="clear" w:color="auto" w:fill="auto"/>
                </w:tcPr>
                <w:p w:rsidR="000D11CE" w:rsidRPr="00E8099A" w:rsidRDefault="000D11CE" w:rsidP="00A13BE3">
                  <w:pPr>
                    <w:keepNext/>
                    <w:spacing w:before="40" w:after="40"/>
                    <w:ind w:left="57"/>
                    <w:rPr>
                      <w:rFonts w:ascii="Arial" w:hAnsi="Arial" w:cs="Arial"/>
                      <w:color w:val="000000"/>
                      <w:sz w:val="15"/>
                      <w:szCs w:val="15"/>
                    </w:rPr>
                  </w:pPr>
                </w:p>
              </w:tc>
              <w:tc>
                <w:tcPr>
                  <w:tcW w:w="675" w:type="pct"/>
                  <w:gridSpan w:val="2"/>
                  <w:tcBorders>
                    <w:top w:val="single" w:sz="4"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p>
              </w:tc>
              <w:tc>
                <w:tcPr>
                  <w:tcW w:w="63" w:type="pct"/>
                  <w:tcBorders>
                    <w:top w:val="single" w:sz="4" w:space="0" w:color="auto"/>
                  </w:tcBorders>
                  <w:shd w:val="clear" w:color="auto" w:fill="auto"/>
                </w:tcPr>
                <w:p w:rsidR="000D11CE" w:rsidRPr="00E8099A" w:rsidRDefault="000D11CE" w:rsidP="00BA6F5D">
                  <w:pPr>
                    <w:keepNext/>
                    <w:spacing w:before="120" w:after="120"/>
                    <w:ind w:left="57"/>
                    <w:rPr>
                      <w:rFonts w:ascii="Arial" w:hAnsi="Arial" w:cs="Arial"/>
                      <w:b/>
                      <w:color w:val="000000"/>
                      <w:sz w:val="15"/>
                      <w:szCs w:val="15"/>
                    </w:rPr>
                  </w:pPr>
                </w:p>
              </w:tc>
              <w:tc>
                <w:tcPr>
                  <w:tcW w:w="682" w:type="pct"/>
                  <w:gridSpan w:val="2"/>
                  <w:tcBorders>
                    <w:top w:val="single" w:sz="4"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p>
              </w:tc>
              <w:tc>
                <w:tcPr>
                  <w:tcW w:w="63" w:type="pct"/>
                  <w:shd w:val="clear" w:color="auto" w:fill="auto"/>
                </w:tcPr>
                <w:p w:rsidR="000D11CE" w:rsidRPr="00E8099A" w:rsidRDefault="000D11CE" w:rsidP="00A13BE3">
                  <w:pPr>
                    <w:keepNext/>
                    <w:spacing w:before="120" w:after="120"/>
                    <w:jc w:val="center"/>
                    <w:rPr>
                      <w:rFonts w:ascii="Arial" w:hAnsi="Arial" w:cs="Arial"/>
                      <w:b/>
                      <w:color w:val="000000"/>
                      <w:sz w:val="15"/>
                      <w:szCs w:val="15"/>
                    </w:rPr>
                  </w:pPr>
                </w:p>
              </w:tc>
              <w:tc>
                <w:tcPr>
                  <w:tcW w:w="692" w:type="pct"/>
                  <w:gridSpan w:val="2"/>
                  <w:tcBorders>
                    <w:top w:val="single" w:sz="4"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p>
              </w:tc>
              <w:tc>
                <w:tcPr>
                  <w:tcW w:w="63" w:type="pct"/>
                  <w:shd w:val="clear" w:color="auto" w:fill="auto"/>
                </w:tcPr>
                <w:p w:rsidR="000D11CE" w:rsidRPr="00E8099A" w:rsidRDefault="000D11CE" w:rsidP="00A13BE3">
                  <w:pPr>
                    <w:keepNext/>
                    <w:spacing w:before="120" w:after="120"/>
                    <w:ind w:left="57"/>
                    <w:jc w:val="center"/>
                    <w:rPr>
                      <w:rFonts w:ascii="Arial" w:hAnsi="Arial" w:cs="Arial"/>
                      <w:b/>
                      <w:color w:val="000000"/>
                      <w:sz w:val="15"/>
                      <w:szCs w:val="15"/>
                    </w:rPr>
                  </w:pPr>
                </w:p>
              </w:tc>
              <w:tc>
                <w:tcPr>
                  <w:tcW w:w="651" w:type="pct"/>
                  <w:gridSpan w:val="2"/>
                  <w:tcBorders>
                    <w:top w:val="single" w:sz="4" w:space="0" w:color="auto"/>
                  </w:tcBorders>
                  <w:shd w:val="clear" w:color="auto" w:fill="auto"/>
                </w:tcPr>
                <w:p w:rsidR="000D11CE" w:rsidRPr="00E8099A" w:rsidRDefault="000D11CE" w:rsidP="00A13BE3">
                  <w:pPr>
                    <w:keepNext/>
                    <w:spacing w:before="40" w:after="40"/>
                    <w:ind w:left="57"/>
                    <w:rPr>
                      <w:rFonts w:ascii="Arial" w:hAnsi="Arial" w:cs="Arial"/>
                      <w:color w:val="000000"/>
                      <w:sz w:val="15"/>
                      <w:szCs w:val="15"/>
                    </w:rPr>
                  </w:pPr>
                </w:p>
              </w:tc>
            </w:tr>
          </w:tbl>
          <w:p w:rsidR="000D11CE" w:rsidRDefault="000D11CE">
            <w:pPr>
              <w:pStyle w:val="Figure"/>
            </w:pPr>
          </w:p>
        </w:tc>
      </w:tr>
    </w:tbl>
    <w:p w:rsidR="000D11CE" w:rsidRDefault="000D11CE">
      <w:pPr>
        <w:pStyle w:val="Source"/>
      </w:pPr>
      <w:r>
        <w:rPr>
          <w:i/>
        </w:rPr>
        <w:t>Source</w:t>
      </w:r>
      <w:r w:rsidRPr="00167F06">
        <w:t xml:space="preserve">: </w:t>
      </w:r>
      <w:proofErr w:type="spellStart"/>
      <w:r w:rsidRPr="003E52FE">
        <w:t>SCRGSP</w:t>
      </w:r>
      <w:proofErr w:type="spellEnd"/>
      <w:r w:rsidRPr="003E52FE">
        <w:t xml:space="preserve"> </w:t>
      </w:r>
      <w:r>
        <w:t>(</w:t>
      </w:r>
      <w:proofErr w:type="spellStart"/>
      <w:r w:rsidRPr="003E52FE">
        <w:t>2011b</w:t>
      </w:r>
      <w:proofErr w:type="spellEnd"/>
      <w:r>
        <w:t>).</w:t>
      </w:r>
    </w:p>
    <w:p w:rsidR="00A87987" w:rsidRPr="000643FE" w:rsidRDefault="00A87987" w:rsidP="00D71A3D">
      <w:pPr>
        <w:pStyle w:val="BodyText"/>
      </w:pPr>
      <w:r>
        <w:lastRenderedPageBreak/>
        <w:t>There are complex interactions between the indicators in the OID framework. Box </w:t>
      </w:r>
      <w:r w:rsidR="0000550A">
        <w:t>2.</w:t>
      </w:r>
      <w:r>
        <w:t xml:space="preserve">2 shows how the higher level ‘headline indicators’ are influenced by a range of more immediate outcomes, while </w:t>
      </w:r>
      <w:r w:rsidR="00C76A58">
        <w:t xml:space="preserve">Box </w:t>
      </w:r>
      <w:r w:rsidR="0000550A">
        <w:t>2.</w:t>
      </w:r>
      <w:r>
        <w:t>3 shows how addressing individual areas (housing overcrowding in this example) can affect a range of other outcomes.</w:t>
      </w:r>
    </w:p>
    <w:p w:rsidR="00A87987" w:rsidRDefault="00A87987" w:rsidP="00A87987">
      <w:pPr>
        <w:pStyle w:val="BoxSpace"/>
      </w:pPr>
    </w:p>
    <w:tbl>
      <w:tblPr>
        <w:tblW w:w="0" w:type="auto"/>
        <w:tblInd w:w="137"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98"/>
      </w:tblGrid>
      <w:tr w:rsidR="00A87987" w:rsidTr="00AB0424">
        <w:tc>
          <w:tcPr>
            <w:tcW w:w="8798" w:type="dxa"/>
            <w:tcBorders>
              <w:top w:val="single" w:sz="6" w:space="0" w:color="auto"/>
              <w:bottom w:val="nil"/>
            </w:tcBorders>
          </w:tcPr>
          <w:p w:rsidR="00A87987" w:rsidRDefault="00A87987" w:rsidP="00D71A3D">
            <w:pPr>
              <w:pStyle w:val="BoxTitle"/>
            </w:pPr>
            <w:r>
              <w:t xml:space="preserve">Box </w:t>
            </w:r>
            <w:r w:rsidR="0000550A">
              <w:t>2.</w:t>
            </w:r>
            <w:r>
              <w:rPr>
                <w:noProof/>
              </w:rPr>
              <w:t>2</w:t>
            </w:r>
            <w:r>
              <w:tab/>
              <w:t>Multiple influences on outcomes — the case of health</w:t>
            </w:r>
          </w:p>
        </w:tc>
      </w:tr>
      <w:tr w:rsidR="00A87987" w:rsidTr="00AB0424">
        <w:trPr>
          <w:cantSplit/>
        </w:trPr>
        <w:tc>
          <w:tcPr>
            <w:tcW w:w="8798" w:type="dxa"/>
            <w:tcBorders>
              <w:top w:val="nil"/>
              <w:left w:val="single" w:sz="6" w:space="0" w:color="auto"/>
              <w:bottom w:val="nil"/>
              <w:right w:val="single" w:sz="6" w:space="0" w:color="auto"/>
            </w:tcBorders>
          </w:tcPr>
          <w:p w:rsidR="00A87987" w:rsidRPr="00E23649" w:rsidRDefault="00A87987" w:rsidP="00D71A3D">
            <w:pPr>
              <w:pStyle w:val="Box"/>
            </w:pPr>
            <w:r w:rsidRPr="00E23649">
              <w:t xml:space="preserve">The COAG target of ‘Life expectancy’ is linked to </w:t>
            </w:r>
            <w:r>
              <w:t>COAG’s</w:t>
            </w:r>
            <w:r w:rsidRPr="00E23649">
              <w:t xml:space="preserve"> ‘Young child mortality’ target and the ‘Disability and chronic disease’ headline indicator. In turn, these outcomes </w:t>
            </w:r>
            <w:r>
              <w:t>are</w:t>
            </w:r>
            <w:r w:rsidRPr="00E23649">
              <w:t xml:space="preserve"> influenced by outcomes such as ‘</w:t>
            </w:r>
            <w:proofErr w:type="spellStart"/>
            <w:r w:rsidRPr="00E23649">
              <w:t>Birthweight</w:t>
            </w:r>
            <w:proofErr w:type="spellEnd"/>
            <w:r w:rsidRPr="00E23649">
              <w:t xml:space="preserve">’ and ‘Injury and preventable disease’ in the ‘Early child development’ strategic area for action, and ‘Obesity and nutrition’ and ‘Tobacco consumption and harm’ in the ‘Healthy lives’ strategic area. But actions in these areas must be supported by actions to address outcomes such as ‘Access to clean water and functional sewerage and electricity’ and ‘Overcrowding in housing’ in the ‘Home environment’ strategic area, and ‘Alcohol and drug consumption and harm’ </w:t>
            </w:r>
            <w:r>
              <w:t>in</w:t>
            </w:r>
            <w:r w:rsidRPr="00E23649">
              <w:t xml:space="preserve"> the ‘Safe and supportive communities’ area. </w:t>
            </w:r>
            <w:r>
              <w:t>O</w:t>
            </w:r>
            <w:r w:rsidRPr="00E23649">
              <w:t>ther social determinants of health in the education and employment areas</w:t>
            </w:r>
            <w:r>
              <w:t xml:space="preserve"> must also be addressed</w:t>
            </w:r>
            <w:r w:rsidRPr="00E23649">
              <w:t>.</w:t>
            </w:r>
          </w:p>
        </w:tc>
      </w:tr>
      <w:tr w:rsidR="00A87987" w:rsidTr="00AB0424">
        <w:trPr>
          <w:cantSplit/>
        </w:trPr>
        <w:tc>
          <w:tcPr>
            <w:tcW w:w="8798" w:type="dxa"/>
            <w:tcBorders>
              <w:top w:val="nil"/>
              <w:left w:val="single" w:sz="6" w:space="0" w:color="auto"/>
              <w:bottom w:val="nil"/>
              <w:right w:val="single" w:sz="6" w:space="0" w:color="auto"/>
            </w:tcBorders>
          </w:tcPr>
          <w:p w:rsidR="00A87987" w:rsidRPr="00E23649" w:rsidRDefault="00A87987" w:rsidP="007E6B7E">
            <w:pPr>
              <w:keepNext/>
              <w:jc w:val="center"/>
              <w:rPr>
                <w:color w:val="000000"/>
              </w:rPr>
            </w:pPr>
            <w:r>
              <w:rPr>
                <w:noProof/>
                <w:color w:val="000000"/>
              </w:rPr>
              <w:drawing>
                <wp:anchor distT="0" distB="0" distL="114300" distR="114300" simplePos="0" relativeHeight="251660288" behindDoc="0" locked="0" layoutInCell="0" allowOverlap="1" wp14:anchorId="1C031628" wp14:editId="3D75C789">
                  <wp:simplePos x="0" y="0"/>
                  <wp:positionH relativeFrom="column">
                    <wp:posOffset>685800</wp:posOffset>
                  </wp:positionH>
                  <wp:positionV relativeFrom="paragraph">
                    <wp:posOffset>0</wp:posOffset>
                  </wp:positionV>
                  <wp:extent cx="3928110" cy="3581400"/>
                  <wp:effectExtent l="0" t="0" r="0" b="0"/>
                  <wp:wrapNone/>
                  <wp:docPr id="5" name="Picture 5" descr="The diagram shows that a range of factors influence health outcomes (life expectancy, young child mortality and disability and chronic disease). It is explained in the text above th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28110" cy="3581400"/>
                          </a:xfrm>
                          <a:prstGeom prst="rect">
                            <a:avLst/>
                          </a:prstGeom>
                          <a:noFill/>
                          <a:ln>
                            <a:noFill/>
                          </a:ln>
                        </pic:spPr>
                      </pic:pic>
                    </a:graphicData>
                  </a:graphic>
                </wp:anchor>
              </w:drawing>
            </w:r>
          </w:p>
        </w:tc>
      </w:tr>
      <w:tr w:rsidR="00A87987" w:rsidTr="00AB0424">
        <w:trPr>
          <w:cantSplit/>
          <w:trHeight w:val="5300"/>
        </w:trPr>
        <w:tc>
          <w:tcPr>
            <w:tcW w:w="8798" w:type="dxa"/>
            <w:tcBorders>
              <w:top w:val="nil"/>
              <w:left w:val="single" w:sz="6" w:space="0" w:color="auto"/>
              <w:bottom w:val="single" w:sz="6" w:space="0" w:color="auto"/>
              <w:right w:val="single" w:sz="6" w:space="0" w:color="auto"/>
            </w:tcBorders>
          </w:tcPr>
          <w:p w:rsidR="00A87987" w:rsidRDefault="00A87987" w:rsidP="00AB0424">
            <w:pPr>
              <w:pStyle w:val="Box"/>
              <w:spacing w:before="0" w:line="120" w:lineRule="exact"/>
            </w:pPr>
          </w:p>
        </w:tc>
      </w:tr>
      <w:tr w:rsidR="00A87987" w:rsidRPr="000863A5" w:rsidTr="00AB0424">
        <w:tc>
          <w:tcPr>
            <w:tcW w:w="8798" w:type="dxa"/>
            <w:tcBorders>
              <w:top w:val="nil"/>
              <w:left w:val="nil"/>
              <w:bottom w:val="nil"/>
              <w:right w:val="nil"/>
            </w:tcBorders>
          </w:tcPr>
          <w:p w:rsidR="00A87987" w:rsidRPr="000863A5" w:rsidRDefault="00A87987" w:rsidP="00AB0424">
            <w:pPr>
              <w:pStyle w:val="Box"/>
              <w:keepNext w:val="0"/>
              <w:spacing w:before="60" w:after="60" w:line="80" w:lineRule="exact"/>
              <w:rPr>
                <w:b/>
                <w:sz w:val="14"/>
              </w:rPr>
            </w:pPr>
          </w:p>
        </w:tc>
      </w:tr>
      <w:tr w:rsidR="00A87987" w:rsidTr="00AB0424">
        <w:tc>
          <w:tcPr>
            <w:tcW w:w="8798" w:type="dxa"/>
            <w:tcBorders>
              <w:top w:val="single" w:sz="6" w:space="0" w:color="auto"/>
              <w:bottom w:val="nil"/>
            </w:tcBorders>
          </w:tcPr>
          <w:p w:rsidR="00A87987" w:rsidRDefault="00A87987" w:rsidP="00D71A3D">
            <w:pPr>
              <w:pStyle w:val="BoxTitle"/>
            </w:pPr>
            <w:r>
              <w:lastRenderedPageBreak/>
              <w:t xml:space="preserve">Box </w:t>
            </w:r>
            <w:r w:rsidR="0000550A">
              <w:t>2.</w:t>
            </w:r>
            <w:r>
              <w:rPr>
                <w:noProof/>
              </w:rPr>
              <w:t>3</w:t>
            </w:r>
            <w:r>
              <w:tab/>
            </w:r>
            <w:r w:rsidRPr="00E62ADF">
              <w:t>Some actions can have multiple effects</w:t>
            </w:r>
          </w:p>
        </w:tc>
      </w:tr>
      <w:tr w:rsidR="00A87987" w:rsidTr="00AB0424">
        <w:trPr>
          <w:cantSplit/>
        </w:trPr>
        <w:tc>
          <w:tcPr>
            <w:tcW w:w="8798" w:type="dxa"/>
            <w:tcBorders>
              <w:top w:val="nil"/>
              <w:left w:val="single" w:sz="6" w:space="0" w:color="auto"/>
              <w:bottom w:val="nil"/>
              <w:right w:val="single" w:sz="6" w:space="0" w:color="auto"/>
            </w:tcBorders>
          </w:tcPr>
          <w:p w:rsidR="00A87987" w:rsidRDefault="00A87987" w:rsidP="00D71A3D">
            <w:pPr>
              <w:pStyle w:val="Box"/>
            </w:pPr>
            <w:r w:rsidRPr="00CC215F">
              <w:t xml:space="preserve">Reducing overcrowding can affect outcomes in the ‘Education and training’, ‘Healthy lives’, ‘Home environment’ and ‘Safe and supportive communities’ strategic areas, and can contribute to the COAG target of ‘Reading, writing and numeracy’ and </w:t>
            </w:r>
            <w:r>
              <w:t xml:space="preserve">the </w:t>
            </w:r>
            <w:r w:rsidRPr="00CC215F">
              <w:t xml:space="preserve">headline indicators of ‘Disability and chronic disease’ and ‘Family and community violence’. </w:t>
            </w:r>
            <w:r>
              <w:t>O</w:t>
            </w:r>
            <w:r w:rsidRPr="00CC215F">
              <w:t xml:space="preserve">ther influences are also important </w:t>
            </w:r>
            <w:r>
              <w:t xml:space="preserve">but </w:t>
            </w:r>
            <w:r w:rsidRPr="00CC215F">
              <w:t>there is sufficient evidence for education, health and justice departments to be concerned about housing issues.</w:t>
            </w:r>
          </w:p>
        </w:tc>
      </w:tr>
      <w:tr w:rsidR="00A87987" w:rsidRPr="00C95D6B" w:rsidTr="00AB0424">
        <w:tblPrEx>
          <w:jc w:val="center"/>
        </w:tblPrEx>
        <w:trPr>
          <w:cantSplit/>
          <w:jc w:val="center"/>
        </w:trPr>
        <w:tc>
          <w:tcPr>
            <w:tcW w:w="8794" w:type="dxa"/>
            <w:tcBorders>
              <w:top w:val="nil"/>
              <w:left w:val="single" w:sz="6" w:space="0" w:color="auto"/>
              <w:bottom w:val="nil"/>
              <w:right w:val="single" w:sz="6" w:space="0" w:color="auto"/>
            </w:tcBorders>
          </w:tcPr>
          <w:p w:rsidR="00A87987" w:rsidRPr="00CC215F" w:rsidRDefault="00A87987" w:rsidP="00AB0424">
            <w:r>
              <w:rPr>
                <w:noProof/>
              </w:rPr>
              <w:drawing>
                <wp:inline distT="0" distB="0" distL="0" distR="0">
                  <wp:extent cx="4562475" cy="3438525"/>
                  <wp:effectExtent l="0" t="0" r="9525" b="9525"/>
                  <wp:docPr id="7" name="Picture 7" descr="The diagram shows that overcrowding in housing influences a range of outcomes for Indigenous people. It is explained in the text above th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62475" cy="3438525"/>
                          </a:xfrm>
                          <a:prstGeom prst="rect">
                            <a:avLst/>
                          </a:prstGeom>
                          <a:noFill/>
                          <a:ln>
                            <a:noFill/>
                          </a:ln>
                        </pic:spPr>
                      </pic:pic>
                    </a:graphicData>
                  </a:graphic>
                </wp:inline>
              </w:drawing>
            </w:r>
          </w:p>
        </w:tc>
      </w:tr>
      <w:tr w:rsidR="00A87987" w:rsidRPr="00C95D6B" w:rsidTr="00AB0424">
        <w:tblPrEx>
          <w:jc w:val="center"/>
        </w:tblPrEx>
        <w:trPr>
          <w:cantSplit/>
          <w:trHeight w:hRule="exact" w:val="170"/>
          <w:jc w:val="center"/>
        </w:trPr>
        <w:tc>
          <w:tcPr>
            <w:tcW w:w="8794" w:type="dxa"/>
            <w:tcBorders>
              <w:top w:val="nil"/>
              <w:left w:val="single" w:sz="6" w:space="0" w:color="auto"/>
              <w:bottom w:val="single" w:sz="6" w:space="0" w:color="auto"/>
              <w:right w:val="single" w:sz="6" w:space="0" w:color="auto"/>
            </w:tcBorders>
          </w:tcPr>
          <w:p w:rsidR="00A87987" w:rsidRPr="00837B69" w:rsidRDefault="00A87987" w:rsidP="00AB0424">
            <w:pPr>
              <w:rPr>
                <w:color w:val="008000"/>
              </w:rPr>
            </w:pPr>
          </w:p>
        </w:tc>
      </w:tr>
    </w:tbl>
    <w:p w:rsidR="00A87987" w:rsidRDefault="0060703C" w:rsidP="00D71A3D">
      <w:pPr>
        <w:pStyle w:val="Heading2"/>
      </w:pPr>
      <w:r>
        <w:t>2.5</w:t>
      </w:r>
      <w:r w:rsidR="00F13CBA">
        <w:tab/>
      </w:r>
      <w:r w:rsidR="00A87987">
        <w:t>How do outcomes for Indigenous and other Australians compare?</w:t>
      </w:r>
    </w:p>
    <w:p w:rsidR="00A87987" w:rsidRDefault="00A87987" w:rsidP="00D71A3D">
      <w:pPr>
        <w:pStyle w:val="BodyText"/>
      </w:pPr>
      <w:r>
        <w:t>T</w:t>
      </w:r>
      <w:r w:rsidRPr="001221E6">
        <w:t xml:space="preserve">he </w:t>
      </w:r>
      <w:r>
        <w:t>results reported</w:t>
      </w:r>
      <w:r w:rsidRPr="001221E6">
        <w:t xml:space="preserve"> in this </w:t>
      </w:r>
      <w:r>
        <w:t>paper</w:t>
      </w:r>
      <w:r w:rsidRPr="001221E6">
        <w:t xml:space="preserve"> should be thought of as averages — although on average Indigenous people experience significant disadvantage, most Indigenous people are living productive lives, contributing to their families and communities.</w:t>
      </w:r>
      <w:r>
        <w:t xml:space="preserve"> </w:t>
      </w:r>
      <w:r w:rsidRPr="001221E6">
        <w:t>Everything that follows should be seen in this context.</w:t>
      </w:r>
    </w:p>
    <w:p w:rsidR="00A87987" w:rsidRDefault="00A87987" w:rsidP="00D71A3D">
      <w:pPr>
        <w:pStyle w:val="BodyText"/>
      </w:pPr>
      <w:r w:rsidRPr="00A13CDC">
        <w:t xml:space="preserve">There is still a considerable way to go to achieve COAG’s commitment to close the gap in Indigenous disadvantage. </w:t>
      </w:r>
      <w:r>
        <w:t>T</w:t>
      </w:r>
      <w:r w:rsidRPr="00A13CDC">
        <w:t xml:space="preserve">here are wide gaps in </w:t>
      </w:r>
      <w:r>
        <w:t xml:space="preserve">average </w:t>
      </w:r>
      <w:r w:rsidRPr="00A13CDC">
        <w:t xml:space="preserve">outcomes between Indigenous and </w:t>
      </w:r>
      <w:r>
        <w:t xml:space="preserve">other </w:t>
      </w:r>
      <w:r w:rsidRPr="00A13CDC">
        <w:t xml:space="preserve">Australians. </w:t>
      </w:r>
      <w:r>
        <w:t>However, t</w:t>
      </w:r>
      <w:r w:rsidRPr="00A13CDC">
        <w:t xml:space="preserve">he challenge is </w:t>
      </w:r>
      <w:r>
        <w:t xml:space="preserve">surmountable and, </w:t>
      </w:r>
      <w:r w:rsidRPr="00A13CDC">
        <w:t xml:space="preserve">in a few areas, the gaps </w:t>
      </w:r>
      <w:r>
        <w:t>have been</w:t>
      </w:r>
      <w:r w:rsidRPr="00A13CDC">
        <w:t xml:space="preserve"> narrowing. </w:t>
      </w:r>
      <w:r>
        <w:t>Nevertheless,</w:t>
      </w:r>
      <w:r w:rsidRPr="00A13CDC">
        <w:t xml:space="preserve"> many indicators </w:t>
      </w:r>
      <w:r>
        <w:t>reveal</w:t>
      </w:r>
      <w:r w:rsidRPr="00A13CDC">
        <w:t xml:space="preserve"> that outcomes are not improving, or are even deteriorating. </w:t>
      </w:r>
    </w:p>
    <w:p w:rsidR="00A87987" w:rsidRDefault="00A87987" w:rsidP="00D71A3D">
      <w:pPr>
        <w:pStyle w:val="BodyText"/>
      </w:pPr>
      <w:r>
        <w:lastRenderedPageBreak/>
        <w:t xml:space="preserve">Of the 45 quantitative indicators in the OID report, data available at the time of the 2011 report showed improvement in outcomes for </w:t>
      </w:r>
      <w:r w:rsidR="004A416B">
        <w:t xml:space="preserve">13 </w:t>
      </w:r>
      <w:r>
        <w:t xml:space="preserve">indicators — including </w:t>
      </w:r>
      <w:r w:rsidRPr="00BC5CF1">
        <w:t>in employment, educational attainment and home ownership</w:t>
      </w:r>
      <w:r>
        <w:t>. However, there had been no real improvement</w:t>
      </w:r>
      <w:r w:rsidRPr="00780C05">
        <w:t xml:space="preserve"> </w:t>
      </w:r>
      <w:r>
        <w:t>for ten indicators, and for another</w:t>
      </w:r>
      <w:r w:rsidR="006C5C0C">
        <w:t xml:space="preserve"> </w:t>
      </w:r>
      <w:r>
        <w:t xml:space="preserve"> seven, including social indicators such as criminal justice, outcomes had actually deteriorated. For the remaining third, data limitations meant that it was not possible to conclude whether there had been any change (</w:t>
      </w:r>
      <w:r w:rsidR="005515BD">
        <w:t xml:space="preserve">Figure </w:t>
      </w:r>
      <w:r w:rsidR="0000550A">
        <w:t>2.</w:t>
      </w:r>
      <w:r w:rsidR="0060703C">
        <w:t>2</w:t>
      </w:r>
      <w:r>
        <w:t>).</w:t>
      </w:r>
    </w:p>
    <w:p w:rsidR="00A87987" w:rsidRDefault="0060703C" w:rsidP="00D71A3D">
      <w:pPr>
        <w:pStyle w:val="FigureTitle"/>
      </w:pPr>
      <w:r>
        <w:t>Figure 2</w:t>
      </w:r>
      <w:r w:rsidR="0000550A">
        <w:t>.2</w:t>
      </w:r>
      <w:r w:rsidR="00A87987">
        <w:tab/>
        <w:t>Overcoming Indigenous Disadvantage: Key Indicators 2011 — snapshot of indicator changes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sidRPr="009E204D">
              <w:rPr>
                <w:noProof/>
              </w:rPr>
              <w:drawing>
                <wp:inline distT="0" distB="0" distL="0" distR="0">
                  <wp:extent cx="5400000" cy="2880000"/>
                  <wp:effectExtent l="0" t="0" r="0" b="0"/>
                  <wp:docPr id="6" name="Chart 6" descr="Figure 2.2 Overcoming Indigenous Disadvantage: Key Indicators 2011 — snapshot of indicator changes shows the proportions of indicators showing improvement, no change, deterioration or can't tell. Explained in the paragraph above the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A87987" w:rsidRDefault="00A87987" w:rsidP="00A87987">
      <w:pPr>
        <w:pStyle w:val="Source"/>
      </w:pPr>
      <w:r w:rsidRPr="00E91F8F">
        <w:rPr>
          <w:i/>
        </w:rPr>
        <w:t xml:space="preserve">Data </w:t>
      </w:r>
      <w:r w:rsidR="001A6072" w:rsidRPr="000412F4">
        <w:rPr>
          <w:i/>
        </w:rPr>
        <w:t>source</w:t>
      </w:r>
      <w:r w:rsidRPr="005515BD">
        <w:t xml:space="preserve">: </w:t>
      </w:r>
      <w:proofErr w:type="spellStart"/>
      <w:r>
        <w:t>SCRGSP</w:t>
      </w:r>
      <w:proofErr w:type="spellEnd"/>
      <w:r>
        <w:t xml:space="preserve"> (</w:t>
      </w:r>
      <w:proofErr w:type="spellStart"/>
      <w:r>
        <w:t>2011b</w:t>
      </w:r>
      <w:proofErr w:type="spellEnd"/>
      <w:r>
        <w:t>).</w:t>
      </w:r>
    </w:p>
    <w:p w:rsidR="00A87987" w:rsidRDefault="00A87987" w:rsidP="00D71A3D">
      <w:pPr>
        <w:pStyle w:val="Heading3"/>
      </w:pPr>
      <w:r>
        <w:t>Outcomes for Indigenous Australians vary by remoteness</w:t>
      </w:r>
    </w:p>
    <w:p w:rsidR="00A87987" w:rsidRDefault="00A87987" w:rsidP="00D71A3D">
      <w:pPr>
        <w:pStyle w:val="BodyText"/>
      </w:pPr>
      <w:r>
        <w:t xml:space="preserve">Much of the debate in Indigenous affairs has focused on outcomes for Indigenous Australians in remote areas. However, the majority of Indigenous Australians live in major cities and regional areas — only a quarter live in remote and very remote areas. </w:t>
      </w:r>
    </w:p>
    <w:p w:rsidR="00A87987" w:rsidRDefault="00A87987" w:rsidP="00D71A3D">
      <w:pPr>
        <w:pStyle w:val="BodyText"/>
      </w:pPr>
      <w:r>
        <w:t xml:space="preserve">For indicators where data can be disaggregated by remoteness, the proportion of Indigenous Australians experiencing disadvantage typically increases with remoteness. Figure </w:t>
      </w:r>
      <w:r w:rsidR="0000550A">
        <w:t>2.</w:t>
      </w:r>
      <w:r w:rsidR="0060703C">
        <w:t>3</w:t>
      </w:r>
      <w:r>
        <w:t xml:space="preserve"> shows outcomes in 2008 declining with remoteness for:</w:t>
      </w:r>
    </w:p>
    <w:p w:rsidR="00A87987" w:rsidRPr="00511C0B" w:rsidRDefault="00A87987" w:rsidP="00D71A3D">
      <w:pPr>
        <w:pStyle w:val="ListBullet"/>
      </w:pPr>
      <w:r>
        <w:t>s</w:t>
      </w:r>
      <w:r w:rsidRPr="00511C0B">
        <w:t xml:space="preserve">elf-reported </w:t>
      </w:r>
      <w:r w:rsidR="004A416B" w:rsidRPr="00511C0B">
        <w:t xml:space="preserve">Year </w:t>
      </w:r>
      <w:r w:rsidRPr="00511C0B">
        <w:t>12 completion</w:t>
      </w:r>
      <w:r>
        <w:t xml:space="preserve"> — from just over 50 per cent in non-remote areas to around 25 per cent in very remote areas</w:t>
      </w:r>
    </w:p>
    <w:p w:rsidR="00A87987" w:rsidRPr="00511C0B" w:rsidRDefault="00A87987" w:rsidP="00D71A3D">
      <w:pPr>
        <w:pStyle w:val="ListBullet"/>
      </w:pPr>
      <w:r>
        <w:lastRenderedPageBreak/>
        <w:t>a</w:t>
      </w:r>
      <w:r w:rsidRPr="00511C0B">
        <w:t>chievement of Certificate III or higher qualifications</w:t>
      </w:r>
      <w:r>
        <w:t xml:space="preserve"> </w:t>
      </w:r>
      <w:r w:rsidRPr="00583295">
        <w:t xml:space="preserve">— from </w:t>
      </w:r>
      <w:r>
        <w:t>around 30 per cent</w:t>
      </w:r>
      <w:r w:rsidRPr="00583295">
        <w:t xml:space="preserve"> in </w:t>
      </w:r>
      <w:r>
        <w:t>non-remote areas</w:t>
      </w:r>
      <w:r w:rsidRPr="00583295">
        <w:t xml:space="preserve"> to </w:t>
      </w:r>
      <w:r>
        <w:t>12 per cent in</w:t>
      </w:r>
      <w:r w:rsidRPr="00583295">
        <w:t xml:space="preserve"> </w:t>
      </w:r>
      <w:r>
        <w:t>very remote areas</w:t>
      </w:r>
    </w:p>
    <w:p w:rsidR="00A87987" w:rsidRPr="00511C0B" w:rsidRDefault="00A87987" w:rsidP="00D71A3D">
      <w:pPr>
        <w:pStyle w:val="ListBullet"/>
      </w:pPr>
      <w:r>
        <w:t>l</w:t>
      </w:r>
      <w:r w:rsidRPr="00511C0B">
        <w:t>iving in a home owned or being purchased by a member of the household</w:t>
      </w:r>
      <w:r>
        <w:t xml:space="preserve"> </w:t>
      </w:r>
      <w:r w:rsidRPr="00583295">
        <w:t xml:space="preserve">— from </w:t>
      </w:r>
      <w:r>
        <w:t>35</w:t>
      </w:r>
      <w:r w:rsidRPr="00583295">
        <w:t xml:space="preserve"> </w:t>
      </w:r>
      <w:r>
        <w:t xml:space="preserve">per cent </w:t>
      </w:r>
      <w:r w:rsidRPr="00583295">
        <w:t xml:space="preserve">in </w:t>
      </w:r>
      <w:r>
        <w:t>non-remote areas</w:t>
      </w:r>
      <w:r w:rsidRPr="00583295">
        <w:t xml:space="preserve"> to </w:t>
      </w:r>
      <w:r>
        <w:t>5</w:t>
      </w:r>
      <w:r w:rsidRPr="00583295">
        <w:t xml:space="preserve"> </w:t>
      </w:r>
      <w:r>
        <w:t>per cent in very remote areas</w:t>
      </w:r>
    </w:p>
    <w:p w:rsidR="00A87987" w:rsidRPr="00511C0B" w:rsidRDefault="00A87987" w:rsidP="00D71A3D">
      <w:pPr>
        <w:pStyle w:val="ListBullet"/>
      </w:pPr>
      <w:r>
        <w:t>b</w:t>
      </w:r>
      <w:r w:rsidRPr="00511C0B">
        <w:t>eing employed in a non-</w:t>
      </w:r>
      <w:proofErr w:type="spellStart"/>
      <w:r w:rsidRPr="00511C0B">
        <w:t>CDEP</w:t>
      </w:r>
      <w:proofErr w:type="spellEnd"/>
      <w:r w:rsidRPr="00511C0B">
        <w:t xml:space="preserve"> job</w:t>
      </w:r>
      <w:r>
        <w:t xml:space="preserve"> </w:t>
      </w:r>
      <w:r w:rsidRPr="00583295">
        <w:t xml:space="preserve">— from </w:t>
      </w:r>
      <w:r>
        <w:t>53 per cent</w:t>
      </w:r>
      <w:r w:rsidRPr="00583295">
        <w:t xml:space="preserve"> in </w:t>
      </w:r>
      <w:r>
        <w:t>non-remote areas</w:t>
      </w:r>
      <w:r w:rsidRPr="00583295">
        <w:t xml:space="preserve"> to </w:t>
      </w:r>
      <w:r>
        <w:t>29 per cent in very remote areas</w:t>
      </w:r>
    </w:p>
    <w:p w:rsidR="00A87987" w:rsidRPr="00511C0B" w:rsidRDefault="00A87987" w:rsidP="00D71A3D">
      <w:pPr>
        <w:pStyle w:val="ListBullet"/>
      </w:pPr>
      <w:r>
        <w:t>y</w:t>
      </w:r>
      <w:r w:rsidRPr="00511C0B">
        <w:t>oung people neither working nor studying</w:t>
      </w:r>
      <w:r>
        <w:t xml:space="preserve"> (and at risk of long</w:t>
      </w:r>
      <w:r w:rsidR="00E91F8F">
        <w:t>-</w:t>
      </w:r>
      <w:r>
        <w:t>term disadvantage)</w:t>
      </w:r>
      <w:r w:rsidR="0097792A">
        <w:t xml:space="preserve"> </w:t>
      </w:r>
      <w:r w:rsidRPr="00583295">
        <w:t xml:space="preserve">— from </w:t>
      </w:r>
      <w:r>
        <w:t>38 per cent in non-remote areas</w:t>
      </w:r>
      <w:r w:rsidRPr="00583295">
        <w:t xml:space="preserve"> to </w:t>
      </w:r>
      <w:r>
        <w:t>47 per cent in very remote areas</w:t>
      </w:r>
    </w:p>
    <w:p w:rsidR="00A87987" w:rsidRPr="00511C0B" w:rsidRDefault="00A87987" w:rsidP="00D71A3D">
      <w:pPr>
        <w:pStyle w:val="ListBullet"/>
      </w:pPr>
      <w:r>
        <w:t>l</w:t>
      </w:r>
      <w:r w:rsidRPr="00511C0B">
        <w:t>iving in overcrowded housing</w:t>
      </w:r>
      <w:r>
        <w:t xml:space="preserve"> </w:t>
      </w:r>
      <w:r w:rsidRPr="00583295">
        <w:t xml:space="preserve">— from </w:t>
      </w:r>
      <w:r>
        <w:t>20 per cent in non-remote areas</w:t>
      </w:r>
      <w:r w:rsidRPr="00583295">
        <w:t xml:space="preserve"> to </w:t>
      </w:r>
      <w:r>
        <w:t>61 per cent in very remote areas</w:t>
      </w:r>
      <w:r w:rsidRPr="00511C0B">
        <w:t>.</w:t>
      </w:r>
    </w:p>
    <w:p w:rsidR="00A87987" w:rsidRPr="000D28FB" w:rsidRDefault="00A87987" w:rsidP="00D71A3D">
      <w:pPr>
        <w:pStyle w:val="FigureTitle"/>
        <w:rPr>
          <w:rStyle w:val="NoteLabel"/>
        </w:rPr>
      </w:pPr>
      <w:r>
        <w:t xml:space="preserve">Figure </w:t>
      </w:r>
      <w:r w:rsidR="0000550A">
        <w:t>2.</w:t>
      </w:r>
      <w:r w:rsidR="0060703C">
        <w:rPr>
          <w:noProof/>
        </w:rPr>
        <w:t>3</w:t>
      </w:r>
      <w:r>
        <w:tab/>
        <w:t>Outcomes for Indigenous Australians by remoteness, 2008</w:t>
      </w:r>
      <w:r w:rsidRPr="00CA370A">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67025"/>
                  <wp:effectExtent l="0" t="0" r="0" b="9525"/>
                  <wp:docPr id="23" name="Picture 2" descr="Figure 2.3 Outcomes for Indigenous Australians by remoteness, 2008a. Shows outcomes by remoteness for year 12 completion, people with a qualification of certificate III or above, home ownership, non-CDEP employment, 18-24 year olds at risk and overcrowding. Key results in the text above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A87987" w:rsidRPr="00400E8D" w:rsidRDefault="00A87987" w:rsidP="00A87987">
      <w:pPr>
        <w:pStyle w:val="Note"/>
        <w:rPr>
          <w:rStyle w:val="NoteLabel"/>
          <w:b w:val="0"/>
          <w:position w:val="0"/>
        </w:rPr>
      </w:pPr>
      <w:proofErr w:type="spellStart"/>
      <w:r>
        <w:rPr>
          <w:rStyle w:val="NoteLabel"/>
          <w:b w:val="0"/>
          <w:position w:val="0"/>
        </w:rPr>
        <w:t>yr</w:t>
      </w:r>
      <w:proofErr w:type="spellEnd"/>
      <w:r>
        <w:rPr>
          <w:rStyle w:val="NoteLabel"/>
          <w:b w:val="0"/>
          <w:position w:val="0"/>
        </w:rPr>
        <w:t xml:space="preserve">=year; Cert III=Certificate III or above; </w:t>
      </w:r>
      <w:proofErr w:type="spellStart"/>
      <w:r>
        <w:rPr>
          <w:rStyle w:val="NoteLabel"/>
          <w:b w:val="0"/>
          <w:position w:val="0"/>
        </w:rPr>
        <w:t>CDEP</w:t>
      </w:r>
      <w:proofErr w:type="spellEnd"/>
      <w:r>
        <w:rPr>
          <w:rStyle w:val="NoteLabel"/>
          <w:b w:val="0"/>
          <w:position w:val="0"/>
        </w:rPr>
        <w:t>=Community Development Employment Projects.</w:t>
      </w:r>
    </w:p>
    <w:p w:rsidR="00A87987" w:rsidRPr="009A022B" w:rsidRDefault="00A87987" w:rsidP="00A87987">
      <w:pPr>
        <w:pStyle w:val="Note"/>
      </w:pPr>
      <w:r>
        <w:rPr>
          <w:rStyle w:val="NoteLabel"/>
        </w:rPr>
        <w:t>a</w:t>
      </w:r>
      <w:r>
        <w:t xml:space="preserve"> See source tables for definitions and notes.</w:t>
      </w:r>
    </w:p>
    <w:p w:rsidR="00A87987" w:rsidRDefault="00A87987" w:rsidP="00A87987">
      <w:pPr>
        <w:pStyle w:val="Source"/>
      </w:pPr>
      <w:r>
        <w:rPr>
          <w:i/>
        </w:rPr>
        <w:t>Data source</w:t>
      </w:r>
      <w:r w:rsidR="00E91F8F">
        <w:rPr>
          <w:i/>
        </w:rPr>
        <w:t>s</w:t>
      </w:r>
      <w:r w:rsidRPr="00167F06">
        <w:t xml:space="preserve">: </w:t>
      </w:r>
      <w:r>
        <w:t>ABS</w:t>
      </w:r>
      <w:r w:rsidR="004A416B">
        <w:t>,</w:t>
      </w:r>
      <w:r>
        <w:t xml:space="preserve"> National Aboriginal and Torres Strait Islander Social Survey </w:t>
      </w:r>
      <w:r w:rsidR="004A416B">
        <w:t>(</w:t>
      </w:r>
      <w:proofErr w:type="spellStart"/>
      <w:r w:rsidR="004A416B">
        <w:t>NATSISS</w:t>
      </w:r>
      <w:proofErr w:type="spellEnd"/>
      <w:r w:rsidR="004A416B">
        <w:t xml:space="preserve">) </w:t>
      </w:r>
      <w:r>
        <w:t>2008</w:t>
      </w:r>
      <w:r w:rsidR="004A416B">
        <w:t>, unpublished</w:t>
      </w:r>
      <w:r>
        <w:t xml:space="preserve">; </w:t>
      </w:r>
      <w:proofErr w:type="spellStart"/>
      <w:r>
        <w:t>SCRGSP</w:t>
      </w:r>
      <w:proofErr w:type="spellEnd"/>
      <w:r>
        <w:t xml:space="preserve"> (</w:t>
      </w:r>
      <w:proofErr w:type="spellStart"/>
      <w:r>
        <w:t>2011b</w:t>
      </w:r>
      <w:proofErr w:type="spellEnd"/>
      <w:r>
        <w:t xml:space="preserve">), tables </w:t>
      </w:r>
      <w:proofErr w:type="spellStart"/>
      <w:r>
        <w:t>4A.5.1</w:t>
      </w:r>
      <w:proofErr w:type="spellEnd"/>
      <w:r>
        <w:t xml:space="preserve"> (</w:t>
      </w:r>
      <w:r w:rsidR="000073A9">
        <w:t xml:space="preserve">Year </w:t>
      </w:r>
      <w:r>
        <w:t xml:space="preserve">12), </w:t>
      </w:r>
      <w:proofErr w:type="spellStart"/>
      <w:r>
        <w:t>4A.7.5</w:t>
      </w:r>
      <w:proofErr w:type="spellEnd"/>
      <w:r>
        <w:t xml:space="preserve"> (</w:t>
      </w:r>
      <w:proofErr w:type="spellStart"/>
      <w:r>
        <w:t>post secondary</w:t>
      </w:r>
      <w:proofErr w:type="spellEnd"/>
      <w:r>
        <w:t xml:space="preserve">), </w:t>
      </w:r>
      <w:proofErr w:type="spellStart"/>
      <w:r>
        <w:t>8A.3.1</w:t>
      </w:r>
      <w:proofErr w:type="spellEnd"/>
      <w:r>
        <w:t xml:space="preserve"> (home ownership),</w:t>
      </w:r>
      <w:r w:rsidR="0097792A">
        <w:t xml:space="preserve"> </w:t>
      </w:r>
      <w:proofErr w:type="spellStart"/>
      <w:r>
        <w:t>4A.6.15</w:t>
      </w:r>
      <w:proofErr w:type="spellEnd"/>
      <w:r>
        <w:t xml:space="preserve"> (employment), </w:t>
      </w:r>
      <w:proofErr w:type="spellStart"/>
      <w:r>
        <w:t>6A.6.1</w:t>
      </w:r>
      <w:proofErr w:type="spellEnd"/>
      <w:r>
        <w:t xml:space="preserve"> (transition from school to work), </w:t>
      </w:r>
      <w:proofErr w:type="spellStart"/>
      <w:r>
        <w:t>9A.1.2</w:t>
      </w:r>
      <w:proofErr w:type="spellEnd"/>
      <w:r>
        <w:t xml:space="preserve"> (overcrowding).</w:t>
      </w:r>
    </w:p>
    <w:p w:rsidR="00A87987" w:rsidRDefault="00A87987" w:rsidP="00D71A3D">
      <w:pPr>
        <w:pStyle w:val="Heading3"/>
      </w:pPr>
      <w:r>
        <w:t>Economic participation by Indigenous Australians</w:t>
      </w:r>
    </w:p>
    <w:p w:rsidR="00A87987" w:rsidRPr="00155C8D" w:rsidRDefault="00A87987" w:rsidP="00D71A3D">
      <w:pPr>
        <w:pStyle w:val="BodyText"/>
      </w:pPr>
      <w:r w:rsidRPr="00155C8D">
        <w:t>Participation in the econom</w:t>
      </w:r>
      <w:r>
        <w:t>ic life of the community ha</w:t>
      </w:r>
      <w:r w:rsidRPr="00155C8D">
        <w:t xml:space="preserve">s a significant influence on </w:t>
      </w:r>
      <w:r>
        <w:t xml:space="preserve">the </w:t>
      </w:r>
      <w:r w:rsidRPr="00155C8D">
        <w:t>living standards</w:t>
      </w:r>
      <w:r>
        <w:t xml:space="preserve"> of individuals and households</w:t>
      </w:r>
      <w:r w:rsidRPr="00155C8D">
        <w:t xml:space="preserve">. Having a job or being involved in a business activity can lead to improved incomes for families and communities, </w:t>
      </w:r>
      <w:r>
        <w:t>and</w:t>
      </w:r>
      <w:r w:rsidRPr="00155C8D">
        <w:t xml:space="preserve"> enhance self-esteem and reduce social alienation. </w:t>
      </w:r>
      <w:r>
        <w:t>Long</w:t>
      </w:r>
      <w:r w:rsidR="00186ABD">
        <w:t>-</w:t>
      </w:r>
      <w:r>
        <w:t>term r</w:t>
      </w:r>
      <w:r w:rsidRPr="00155C8D">
        <w:t xml:space="preserve">eliance on income </w:t>
      </w:r>
      <w:r w:rsidRPr="00155C8D">
        <w:lastRenderedPageBreak/>
        <w:t xml:space="preserve">support can entrench the disadvantages that accompany low socioeconomic status, and can contribute to long-term welfare dependency. </w:t>
      </w:r>
    </w:p>
    <w:p w:rsidR="00A87987" w:rsidRPr="005F2550" w:rsidRDefault="00A87987" w:rsidP="00D71A3D">
      <w:pPr>
        <w:pStyle w:val="BodyText"/>
      </w:pPr>
      <w:r>
        <w:t xml:space="preserve">In many ways </w:t>
      </w:r>
      <w:r w:rsidR="0097792A">
        <w:t>‘</w:t>
      </w:r>
      <w:r>
        <w:t>a</w:t>
      </w:r>
      <w:r w:rsidRPr="00E853BC">
        <w:t xml:space="preserve"> rising tide lifts all boats</w:t>
      </w:r>
      <w:r w:rsidR="0097792A">
        <w:t>’</w:t>
      </w:r>
      <w:r>
        <w:t xml:space="preserve"> —</w:t>
      </w:r>
      <w:r w:rsidRPr="00E853BC">
        <w:t xml:space="preserve"> Indigenous </w:t>
      </w:r>
      <w:r>
        <w:t>Australians</w:t>
      </w:r>
      <w:r w:rsidRPr="00E853BC">
        <w:t xml:space="preserve"> have benefited from Australia’s </w:t>
      </w:r>
      <w:r>
        <w:t xml:space="preserve">recent </w:t>
      </w:r>
      <w:r w:rsidRPr="00E853BC">
        <w:t xml:space="preserve">prosperity. But, as </w:t>
      </w:r>
      <w:r>
        <w:t xml:space="preserve">shown in </w:t>
      </w:r>
      <w:r w:rsidR="000073A9">
        <w:t xml:space="preserve">Figure </w:t>
      </w:r>
      <w:r w:rsidR="0000550A">
        <w:t>2.</w:t>
      </w:r>
      <w:r w:rsidR="0060703C">
        <w:t>4</w:t>
      </w:r>
      <w:r w:rsidRPr="00E853BC">
        <w:t xml:space="preserve">, </w:t>
      </w:r>
      <w:r>
        <w:t xml:space="preserve">simultaneous </w:t>
      </w:r>
      <w:r w:rsidRPr="00E853BC">
        <w:t xml:space="preserve">improvements for </w:t>
      </w:r>
      <w:r>
        <w:t>other</w:t>
      </w:r>
      <w:r w:rsidRPr="00E853BC">
        <w:t xml:space="preserve"> </w:t>
      </w:r>
      <w:r>
        <w:t>Australians</w:t>
      </w:r>
      <w:r w:rsidRPr="00E853BC">
        <w:t xml:space="preserve"> mean the gaps </w:t>
      </w:r>
      <w:r>
        <w:t>have been</w:t>
      </w:r>
      <w:r w:rsidRPr="00E853BC">
        <w:t xml:space="preserve"> slow to close</w:t>
      </w:r>
      <w:r>
        <w:t>.</w:t>
      </w:r>
    </w:p>
    <w:p w:rsidR="00A87987" w:rsidRPr="00CA370A" w:rsidRDefault="00A87987" w:rsidP="00D71A3D">
      <w:pPr>
        <w:pStyle w:val="FigureTitle"/>
        <w:rPr>
          <w:rStyle w:val="NoteLabel"/>
        </w:rPr>
      </w:pPr>
      <w:r>
        <w:t xml:space="preserve">Figure </w:t>
      </w:r>
      <w:r w:rsidR="0000550A">
        <w:t>2.</w:t>
      </w:r>
      <w:r w:rsidR="0060703C">
        <w:rPr>
          <w:noProof/>
        </w:rPr>
        <w:t>4</w:t>
      </w:r>
      <w:r>
        <w:tab/>
        <w:t>Selected economic outcomes</w:t>
      </w:r>
      <w:r w:rsidRPr="00CA370A">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67025"/>
                  <wp:effectExtent l="0" t="0" r="0" b="9525"/>
                  <wp:docPr id="22" name="Picture 3" descr="Figure 2.4 Selected economic outcomes. Chart shows outcomes for Indigenous and non-Indigenous people for employment to population ratio (2004-04 and 2008), income support (2004-04 and 2008) and median household income (2002 and 2008). Key results are in the text below the ch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A87987" w:rsidRDefault="00A87987" w:rsidP="00A87987">
      <w:pPr>
        <w:pStyle w:val="Note"/>
      </w:pPr>
      <w:r>
        <w:rPr>
          <w:rStyle w:val="NoteLabel"/>
        </w:rPr>
        <w:t>a</w:t>
      </w:r>
      <w:r>
        <w:t xml:space="preserve"> See source tables for definitions and notes.</w:t>
      </w:r>
    </w:p>
    <w:p w:rsidR="00A87987" w:rsidRDefault="00A87987" w:rsidP="00A87987">
      <w:pPr>
        <w:pStyle w:val="Source"/>
      </w:pPr>
      <w:r>
        <w:rPr>
          <w:i/>
        </w:rPr>
        <w:t>Data source</w:t>
      </w:r>
      <w:r w:rsidR="00186ABD">
        <w:rPr>
          <w:i/>
        </w:rPr>
        <w:t>s</w:t>
      </w:r>
      <w:r w:rsidRPr="00167F06">
        <w:t xml:space="preserve">: </w:t>
      </w:r>
      <w:r>
        <w:t>ABS</w:t>
      </w:r>
      <w:r w:rsidR="004A416B">
        <w:t xml:space="preserve">, </w:t>
      </w:r>
      <w:r>
        <w:t>National Aboriginal and Torres Strait Islander Health Survey 2004</w:t>
      </w:r>
      <w:r w:rsidR="0097792A">
        <w:t>–</w:t>
      </w:r>
      <w:r>
        <w:t>05</w:t>
      </w:r>
      <w:r w:rsidR="004A416B">
        <w:t>, unpublished</w:t>
      </w:r>
      <w:r>
        <w:t>; ABS</w:t>
      </w:r>
      <w:r w:rsidR="004A416B">
        <w:t xml:space="preserve">, </w:t>
      </w:r>
      <w:proofErr w:type="spellStart"/>
      <w:r w:rsidR="004A416B">
        <w:t>NATSISS</w:t>
      </w:r>
      <w:proofErr w:type="spellEnd"/>
      <w:r w:rsidR="004A416B">
        <w:t>, 2002 and 2008, unpublished</w:t>
      </w:r>
      <w:r>
        <w:t xml:space="preserve">; </w:t>
      </w:r>
      <w:proofErr w:type="spellStart"/>
      <w:r>
        <w:t>SCRGSP</w:t>
      </w:r>
      <w:proofErr w:type="spellEnd"/>
      <w:r>
        <w:t xml:space="preserve"> (</w:t>
      </w:r>
      <w:proofErr w:type="spellStart"/>
      <w:r>
        <w:t>2011b</w:t>
      </w:r>
      <w:proofErr w:type="spellEnd"/>
      <w:r>
        <w:t>), figure 4.6.1 (employment), figure 8.4.2 (income support), figure 4.9.2 (</w:t>
      </w:r>
      <w:proofErr w:type="spellStart"/>
      <w:r>
        <w:t>equivalised</w:t>
      </w:r>
      <w:proofErr w:type="spellEnd"/>
      <w:r>
        <w:t xml:space="preserve"> household income).</w:t>
      </w:r>
    </w:p>
    <w:p w:rsidR="00A87987" w:rsidRDefault="00A87987" w:rsidP="00D71A3D">
      <w:pPr>
        <w:pStyle w:val="BodyText"/>
      </w:pPr>
      <w:r>
        <w:t>Between 2004</w:t>
      </w:r>
      <w:r w:rsidR="00C174BB">
        <w:noBreakHyphen/>
      </w:r>
      <w:r>
        <w:t>05 and 2008, for those aged 15</w:t>
      </w:r>
      <w:r w:rsidR="000073A9">
        <w:t>–</w:t>
      </w:r>
      <w:r>
        <w:t xml:space="preserve">64 years, a small apparent increase in the employment to population ratio for Indigenous Australians (from 51 per cent to 54 per cent) was not statistically significant. The </w:t>
      </w:r>
      <w:r w:rsidRPr="001C73D3">
        <w:t>increase</w:t>
      </w:r>
      <w:r>
        <w:t xml:space="preserve"> for other Australians (from 74 per cent to 76 per cent) was statistically significant (</w:t>
      </w:r>
      <w:r w:rsidR="00186ABD">
        <w:t>Figure </w:t>
      </w:r>
      <w:r w:rsidR="0000550A">
        <w:t>2.</w:t>
      </w:r>
      <w:r w:rsidR="00855B9C">
        <w:t>4</w:t>
      </w:r>
      <w:r>
        <w:t>).</w:t>
      </w:r>
    </w:p>
    <w:p w:rsidR="00A87987" w:rsidRDefault="00A87987" w:rsidP="00D71A3D">
      <w:pPr>
        <w:pStyle w:val="BodyText"/>
      </w:pPr>
      <w:r>
        <w:t>Over the same period, the proportion of people aged 18−64 years whose main source of income was Community Development Employment Program payments or government cash pensions and allowances fell for Indigenous Australians (from 61 per cent in 2002 to 46 per cent in 2008 (</w:t>
      </w:r>
      <w:r w:rsidR="00186ABD">
        <w:t xml:space="preserve">Figure </w:t>
      </w:r>
      <w:r w:rsidR="0000550A">
        <w:t>2.</w:t>
      </w:r>
      <w:r w:rsidR="00855B9C">
        <w:t>4</w:t>
      </w:r>
      <w:r>
        <w:t>).</w:t>
      </w:r>
    </w:p>
    <w:p w:rsidR="00A87987" w:rsidRDefault="00A87987" w:rsidP="00D71A3D">
      <w:pPr>
        <w:pStyle w:val="BodyText"/>
      </w:pPr>
      <w:r>
        <w:t xml:space="preserve">Between 2002 and 2008 (in constant 2008 dollars), median gross weekly </w:t>
      </w:r>
      <w:proofErr w:type="spellStart"/>
      <w:r>
        <w:t>equivalised</w:t>
      </w:r>
      <w:proofErr w:type="spellEnd"/>
      <w:r>
        <w:t xml:space="preserve"> household incomes increased for both Indigenous households (from $347 per week to $445 per week) and other households (from $640 per week to $746 per week) (</w:t>
      </w:r>
      <w:r w:rsidR="00186ABD">
        <w:t xml:space="preserve">Figure </w:t>
      </w:r>
      <w:r w:rsidR="0000550A">
        <w:t>2.</w:t>
      </w:r>
      <w:r w:rsidR="00855B9C">
        <w:t>4</w:t>
      </w:r>
      <w:r>
        <w:t>).</w:t>
      </w:r>
    </w:p>
    <w:p w:rsidR="00A87987" w:rsidRDefault="00A87987" w:rsidP="00D71A3D">
      <w:pPr>
        <w:pStyle w:val="Heading3"/>
      </w:pPr>
      <w:r>
        <w:lastRenderedPageBreak/>
        <w:t>Are health outcomes improving for Indigenous Australians?</w:t>
      </w:r>
    </w:p>
    <w:p w:rsidR="00A87987" w:rsidRPr="0053225B" w:rsidRDefault="00A87987" w:rsidP="00D71A3D">
      <w:pPr>
        <w:pStyle w:val="BodyText"/>
      </w:pPr>
      <w:r w:rsidRPr="0053225B">
        <w:t xml:space="preserve">The COAG targets </w:t>
      </w:r>
      <w:r>
        <w:t xml:space="preserve">in the </w:t>
      </w:r>
      <w:proofErr w:type="spellStart"/>
      <w:r>
        <w:t>NIRA</w:t>
      </w:r>
      <w:proofErr w:type="spellEnd"/>
      <w:r>
        <w:t xml:space="preserve"> (COAG 2011) </w:t>
      </w:r>
      <w:r w:rsidRPr="0053225B">
        <w:t xml:space="preserve">place a particular emphasis on health </w:t>
      </w:r>
      <w:r w:rsidR="00186ABD">
        <w:t xml:space="preserve">— </w:t>
      </w:r>
      <w:r w:rsidRPr="0053225B">
        <w:t xml:space="preserve">as does the </w:t>
      </w:r>
      <w:r>
        <w:t xml:space="preserve">independent </w:t>
      </w:r>
      <w:r w:rsidRPr="0053225B">
        <w:t>Close the Gap Indigenous health campaign</w:t>
      </w:r>
      <w:r>
        <w:t xml:space="preserve"> (</w:t>
      </w:r>
      <w:proofErr w:type="spellStart"/>
      <w:r>
        <w:t>AHRC</w:t>
      </w:r>
      <w:proofErr w:type="spellEnd"/>
      <w:r>
        <w:t xml:space="preserve"> 2012)</w:t>
      </w:r>
      <w:r w:rsidRPr="0053225B">
        <w:t>.</w:t>
      </w:r>
    </w:p>
    <w:p w:rsidR="00A87987" w:rsidRPr="0053225B" w:rsidRDefault="00A87987" w:rsidP="00D71A3D">
      <w:pPr>
        <w:pStyle w:val="BodyText"/>
      </w:pPr>
      <w:r w:rsidRPr="0053225B">
        <w:t xml:space="preserve">Health issues start early </w:t>
      </w:r>
      <w:r>
        <w:t>—</w:t>
      </w:r>
      <w:r w:rsidRPr="0053225B">
        <w:t xml:space="preserve"> providing children with a good start in life can influence the whole of their lives. Problems at this early stage can create barriers that prevent children achieving their full potential.</w:t>
      </w:r>
    </w:p>
    <w:p w:rsidR="00A87987" w:rsidRPr="000A5B58" w:rsidRDefault="00A87987" w:rsidP="00D71A3D">
      <w:pPr>
        <w:pStyle w:val="FigureTitle"/>
        <w:rPr>
          <w:rStyle w:val="NoteLabel"/>
        </w:rPr>
      </w:pPr>
      <w:r>
        <w:t xml:space="preserve">Figure </w:t>
      </w:r>
      <w:r w:rsidR="0000550A">
        <w:t>2.</w:t>
      </w:r>
      <w:r w:rsidR="0060703C">
        <w:rPr>
          <w:noProof/>
        </w:rPr>
        <w:t>5</w:t>
      </w:r>
      <w:r>
        <w:tab/>
        <w:t xml:space="preserve">Young children’s health — </w:t>
      </w:r>
      <w:proofErr w:type="spellStart"/>
      <w:r>
        <w:t>birthweight</w:t>
      </w:r>
      <w:proofErr w:type="spellEnd"/>
      <w:r>
        <w:t xml:space="preserve"> and mortality</w:t>
      </w:r>
      <w:r>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bookmarkStart w:id="5" w:name="_GoBack"/>
            <w:r w:rsidRPr="00DE78C6">
              <w:rPr>
                <w:noProof/>
              </w:rPr>
              <w:drawing>
                <wp:inline distT="0" distB="0" distL="0" distR="0">
                  <wp:extent cx="5067300" cy="2809875"/>
                  <wp:effectExtent l="0" t="0" r="0" b="0"/>
                  <wp:docPr id="33" name="Chart 33" descr="Figure 2.5 Young children’s health — birthweight and mortality. Chart shows Indigenous and non-Indigenous rates of low birthweight (1998-2000 and 2006-2008) and young child mortality (1991 and 2009). Key results are in the text below the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bookmarkEnd w:id="5"/>
          </w:p>
        </w:tc>
      </w:tr>
    </w:tbl>
    <w:p w:rsidR="00A87987" w:rsidRDefault="00A87987" w:rsidP="00A87987">
      <w:pPr>
        <w:pStyle w:val="Note"/>
      </w:pPr>
      <w:r>
        <w:rPr>
          <w:rStyle w:val="NoteLabel"/>
        </w:rPr>
        <w:t>a</w:t>
      </w:r>
      <w:r w:rsidRPr="00CA370A">
        <w:t xml:space="preserve"> </w:t>
      </w:r>
      <w:r>
        <w:t xml:space="preserve">See source tables for definitions and notes. </w:t>
      </w:r>
      <w:r>
        <w:rPr>
          <w:rStyle w:val="NoteLabel"/>
        </w:rPr>
        <w:t>b</w:t>
      </w:r>
      <w:r w:rsidRPr="00CA370A">
        <w:t xml:space="preserve"> </w:t>
      </w:r>
      <w:r>
        <w:t>Young child mortality for WA, SA and the NT combined.</w:t>
      </w:r>
    </w:p>
    <w:p w:rsidR="00A87987" w:rsidRDefault="00A87987" w:rsidP="00A87987">
      <w:pPr>
        <w:pStyle w:val="Source"/>
      </w:pPr>
      <w:r>
        <w:rPr>
          <w:i/>
        </w:rPr>
        <w:t>Data source</w:t>
      </w:r>
      <w:r w:rsidR="00186ABD">
        <w:rPr>
          <w:i/>
        </w:rPr>
        <w:t>s</w:t>
      </w:r>
      <w:r w:rsidRPr="00167F06">
        <w:t xml:space="preserve">: </w:t>
      </w:r>
      <w:proofErr w:type="spellStart"/>
      <w:r>
        <w:t>AIHW</w:t>
      </w:r>
      <w:proofErr w:type="spellEnd"/>
      <w:r w:rsidR="00C174BB">
        <w:t>,</w:t>
      </w:r>
      <w:r>
        <w:t xml:space="preserve"> National Perinatal Data Collection; </w:t>
      </w:r>
      <w:proofErr w:type="spellStart"/>
      <w:r>
        <w:t>SCRGSP</w:t>
      </w:r>
      <w:proofErr w:type="spellEnd"/>
      <w:r>
        <w:t xml:space="preserve"> (</w:t>
      </w:r>
      <w:proofErr w:type="spellStart"/>
      <w:r>
        <w:t>2011b</w:t>
      </w:r>
      <w:proofErr w:type="spellEnd"/>
      <w:r>
        <w:t xml:space="preserve">), </w:t>
      </w:r>
      <w:r w:rsidRPr="0054156E">
        <w:t>table</w:t>
      </w:r>
      <w:r>
        <w:t>s</w:t>
      </w:r>
      <w:r w:rsidRPr="0054156E">
        <w:t xml:space="preserve"> </w:t>
      </w:r>
      <w:proofErr w:type="spellStart"/>
      <w:r w:rsidRPr="0054156E">
        <w:t>5A.3.5</w:t>
      </w:r>
      <w:proofErr w:type="spellEnd"/>
      <w:r w:rsidRPr="0054156E">
        <w:t xml:space="preserve"> to </w:t>
      </w:r>
      <w:proofErr w:type="spellStart"/>
      <w:r w:rsidRPr="0054156E">
        <w:t>5A.3.14</w:t>
      </w:r>
      <w:proofErr w:type="spellEnd"/>
      <w:r>
        <w:t xml:space="preserve"> (</w:t>
      </w:r>
      <w:proofErr w:type="spellStart"/>
      <w:r>
        <w:t>birthweight</w:t>
      </w:r>
      <w:proofErr w:type="spellEnd"/>
      <w:r>
        <w:t xml:space="preserve">), table </w:t>
      </w:r>
      <w:proofErr w:type="spellStart"/>
      <w:r>
        <w:t>4A.2.15</w:t>
      </w:r>
      <w:proofErr w:type="spellEnd"/>
      <w:r>
        <w:t xml:space="preserve"> (child mortality).</w:t>
      </w:r>
    </w:p>
    <w:p w:rsidR="00A87987" w:rsidRPr="00BF6B99" w:rsidRDefault="00A87987" w:rsidP="00D71A3D">
      <w:pPr>
        <w:pStyle w:val="BodyText"/>
      </w:pPr>
      <w:r>
        <w:t>B</w:t>
      </w:r>
      <w:r w:rsidRPr="00BF6B99">
        <w:t>etween 1998–2000 and 2006–2008</w:t>
      </w:r>
      <w:r>
        <w:t>, average</w:t>
      </w:r>
      <w:r w:rsidRPr="00BF6B99">
        <w:t xml:space="preserve"> </w:t>
      </w:r>
      <w:proofErr w:type="spellStart"/>
      <w:r w:rsidRPr="00BF6B99">
        <w:t>birthweights</w:t>
      </w:r>
      <w:proofErr w:type="spellEnd"/>
      <w:r w:rsidRPr="00BF6B99">
        <w:t xml:space="preserve"> and proportions of low </w:t>
      </w:r>
      <w:proofErr w:type="spellStart"/>
      <w:r w:rsidRPr="00BF6B99">
        <w:t>birthweight</w:t>
      </w:r>
      <w:proofErr w:type="spellEnd"/>
      <w:r w:rsidRPr="00BF6B99">
        <w:t xml:space="preserve"> babies born to Indigenous and </w:t>
      </w:r>
      <w:r>
        <w:t>other Australian</w:t>
      </w:r>
      <w:r w:rsidRPr="00BF6B99">
        <w:t xml:space="preserve"> mothers were relatively constant</w:t>
      </w:r>
      <w:r>
        <w:t>, with no change in the significant gap</w:t>
      </w:r>
      <w:r w:rsidRPr="00BF6B99">
        <w:t xml:space="preserve"> (</w:t>
      </w:r>
      <w:r w:rsidR="00186ABD" w:rsidRPr="00BF6B99">
        <w:t xml:space="preserve">Figure </w:t>
      </w:r>
      <w:r w:rsidR="0000550A">
        <w:t>2.</w:t>
      </w:r>
      <w:r w:rsidR="00855B9C">
        <w:t>5</w:t>
      </w:r>
      <w:r w:rsidRPr="00BF6B99">
        <w:t>).</w:t>
      </w:r>
    </w:p>
    <w:p w:rsidR="00A87987" w:rsidRDefault="00A87987" w:rsidP="00D71A3D">
      <w:pPr>
        <w:pStyle w:val="BodyText"/>
      </w:pPr>
      <w:r>
        <w:t>A longer time series (</w:t>
      </w:r>
      <w:r w:rsidRPr="00341451">
        <w:t xml:space="preserve">1991 </w:t>
      </w:r>
      <w:r>
        <w:t>to</w:t>
      </w:r>
      <w:r w:rsidRPr="00341451">
        <w:t xml:space="preserve"> 200</w:t>
      </w:r>
      <w:r>
        <w:t>9) is available for young child (0–4 years) mortality for W</w:t>
      </w:r>
      <w:r w:rsidR="00186ABD">
        <w:t xml:space="preserve">estern </w:t>
      </w:r>
      <w:r>
        <w:t>A</w:t>
      </w:r>
      <w:r w:rsidR="00186ABD">
        <w:t>ustralia</w:t>
      </w:r>
      <w:r>
        <w:t>, S</w:t>
      </w:r>
      <w:r w:rsidR="00186ABD">
        <w:t xml:space="preserve">outh </w:t>
      </w:r>
      <w:r>
        <w:t>A</w:t>
      </w:r>
      <w:r w:rsidR="00186ABD">
        <w:t>ustralia</w:t>
      </w:r>
      <w:r>
        <w:t xml:space="preserve"> and the N</w:t>
      </w:r>
      <w:r w:rsidR="00186ABD">
        <w:t xml:space="preserve">orthern </w:t>
      </w:r>
      <w:r>
        <w:t>T</w:t>
      </w:r>
      <w:r w:rsidR="00186ABD">
        <w:t>erritory</w:t>
      </w:r>
      <w:r>
        <w:t>, and shows that Indigenous child mortality rates have significantly declined over that period, from 619 to 247 deaths per 100 000 children (</w:t>
      </w:r>
      <w:r w:rsidR="00186ABD" w:rsidRPr="00BF6B99">
        <w:t xml:space="preserve">Figure </w:t>
      </w:r>
      <w:r w:rsidR="0000550A">
        <w:t>2.</w:t>
      </w:r>
      <w:r w:rsidR="00855B9C">
        <w:t>5</w:t>
      </w:r>
      <w:r>
        <w:t>)</w:t>
      </w:r>
      <w:r w:rsidRPr="00100B57">
        <w:t>.</w:t>
      </w:r>
    </w:p>
    <w:p w:rsidR="00A87987" w:rsidRPr="0012326D" w:rsidRDefault="00A87987" w:rsidP="00D71A3D">
      <w:pPr>
        <w:pStyle w:val="FigureTitle"/>
        <w:rPr>
          <w:rStyle w:val="NoteLabel"/>
          <w:b/>
        </w:rPr>
      </w:pPr>
      <w:r>
        <w:lastRenderedPageBreak/>
        <w:t xml:space="preserve">Figure </w:t>
      </w:r>
      <w:r w:rsidR="0000550A">
        <w:t>2.</w:t>
      </w:r>
      <w:r w:rsidR="00855B9C">
        <w:rPr>
          <w:noProof/>
        </w:rPr>
        <w:t>6</w:t>
      </w:r>
      <w:r>
        <w:tab/>
        <w:t>Hospitalisation rate, children aged 0–4 years, 2009</w:t>
      </w:r>
      <w:r w:rsidR="0097792A">
        <w:t>–</w:t>
      </w:r>
      <w:r>
        <w:t>10</w:t>
      </w:r>
      <w:r>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76550"/>
                  <wp:effectExtent l="0" t="0" r="0" b="0"/>
                  <wp:docPr id="21" name="Picture 4" descr="Figure 2.6 Hospitalisation rate, children aged 0–4 years, 2009–10. Chart shows hospitalisation rates for Indigenous and non-Indigenous children by state/territory. Key results are in the text below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A87987" w:rsidRPr="0012326D" w:rsidRDefault="00A87987" w:rsidP="00A87987">
      <w:pPr>
        <w:pStyle w:val="Note"/>
      </w:pPr>
      <w:r>
        <w:rPr>
          <w:rStyle w:val="NoteLabel"/>
        </w:rPr>
        <w:t>a</w:t>
      </w:r>
      <w:r>
        <w:sym w:font="Symbol" w:char="F020"/>
      </w:r>
      <w:r w:rsidRPr="00CA370A">
        <w:t xml:space="preserve"> </w:t>
      </w:r>
      <w:r>
        <w:t>See source table for definitions and notes</w:t>
      </w:r>
      <w:r w:rsidRPr="0030614A">
        <w:t>.</w:t>
      </w:r>
    </w:p>
    <w:p w:rsidR="00A87987" w:rsidRDefault="000412F4" w:rsidP="00A87987">
      <w:pPr>
        <w:pStyle w:val="Source"/>
      </w:pPr>
      <w:r>
        <w:rPr>
          <w:i/>
        </w:rPr>
        <w:t>Data s</w:t>
      </w:r>
      <w:r w:rsidR="00A87987">
        <w:rPr>
          <w:i/>
        </w:rPr>
        <w:t>ource</w:t>
      </w:r>
      <w:r w:rsidR="00186ABD">
        <w:rPr>
          <w:i/>
        </w:rPr>
        <w:t>s</w:t>
      </w:r>
      <w:r w:rsidR="00A87987" w:rsidRPr="00167F06">
        <w:t xml:space="preserve">: </w:t>
      </w:r>
      <w:proofErr w:type="spellStart"/>
      <w:r w:rsidR="00A87987">
        <w:t>AIHW</w:t>
      </w:r>
      <w:proofErr w:type="spellEnd"/>
      <w:r w:rsidR="00C174BB">
        <w:t>,</w:t>
      </w:r>
      <w:r w:rsidR="00A87987">
        <w:t xml:space="preserve"> National Hospital Morbidity Database</w:t>
      </w:r>
      <w:r w:rsidR="00C174BB">
        <w:t>, unpublished</w:t>
      </w:r>
      <w:r w:rsidR="00A87987">
        <w:t xml:space="preserve">; </w:t>
      </w:r>
      <w:proofErr w:type="spellStart"/>
      <w:r w:rsidR="00A87987">
        <w:t>SCRGSP</w:t>
      </w:r>
      <w:proofErr w:type="spellEnd"/>
      <w:r w:rsidR="00A87987">
        <w:t xml:space="preserve"> (</w:t>
      </w:r>
      <w:proofErr w:type="spellStart"/>
      <w:r w:rsidR="00A87987">
        <w:t>2011a</w:t>
      </w:r>
      <w:proofErr w:type="spellEnd"/>
      <w:r w:rsidR="00A87987">
        <w:t xml:space="preserve">), table </w:t>
      </w:r>
      <w:proofErr w:type="spellStart"/>
      <w:r w:rsidR="00A87987">
        <w:t>NIRA.11.2</w:t>
      </w:r>
      <w:proofErr w:type="spellEnd"/>
      <w:r w:rsidR="00A87987">
        <w:t>.</w:t>
      </w:r>
    </w:p>
    <w:p w:rsidR="00A87987" w:rsidRDefault="00A87987" w:rsidP="00D71A3D">
      <w:pPr>
        <w:pStyle w:val="BodyText"/>
      </w:pPr>
      <w:r>
        <w:t>In 2009</w:t>
      </w:r>
      <w:r w:rsidR="00547C7F">
        <w:noBreakHyphen/>
      </w:r>
      <w:r>
        <w:t xml:space="preserve">10, hospitalisation rates for Indigenous children were higher than for other children in all </w:t>
      </w:r>
      <w:r w:rsidR="00186ABD">
        <w:t xml:space="preserve">States </w:t>
      </w:r>
      <w:r>
        <w:t xml:space="preserve">and </w:t>
      </w:r>
      <w:r w:rsidR="00186ABD">
        <w:t xml:space="preserve">Territories </w:t>
      </w:r>
      <w:r>
        <w:t>except Tasmania (</w:t>
      </w:r>
      <w:r w:rsidR="00186ABD">
        <w:t xml:space="preserve">Figure </w:t>
      </w:r>
      <w:r w:rsidR="0000550A">
        <w:t>2.</w:t>
      </w:r>
      <w:r w:rsidR="00855B9C">
        <w:t>6</w:t>
      </w:r>
      <w:r>
        <w:t>). Earlier data for 2008</w:t>
      </w:r>
      <w:r w:rsidR="00547C7F">
        <w:noBreakHyphen/>
      </w:r>
      <w:r>
        <w:t>09 were available by remoteness, and reveal that hospitalisation rates in major cities were similar for Indigenous and other children, but that rates for Indigenous children were 1.3 times as high as other children’s rates in regional areas and twice as high in remote areas (</w:t>
      </w:r>
      <w:proofErr w:type="spellStart"/>
      <w:r>
        <w:t>SCRGSP</w:t>
      </w:r>
      <w:proofErr w:type="spellEnd"/>
      <w:r>
        <w:t xml:space="preserve"> </w:t>
      </w:r>
      <w:proofErr w:type="spellStart"/>
      <w:r>
        <w:t>2011b</w:t>
      </w:r>
      <w:proofErr w:type="spellEnd"/>
      <w:r>
        <w:t>, table </w:t>
      </w:r>
      <w:proofErr w:type="spellStart"/>
      <w:r>
        <w:t>5A.4.6</w:t>
      </w:r>
      <w:proofErr w:type="spellEnd"/>
      <w:r>
        <w:t>).</w:t>
      </w:r>
    </w:p>
    <w:p w:rsidR="00A87987" w:rsidRPr="007F00CD" w:rsidRDefault="00A87987" w:rsidP="00D71A3D">
      <w:pPr>
        <w:pStyle w:val="FigureTitle"/>
        <w:rPr>
          <w:rStyle w:val="NoteLabel"/>
        </w:rPr>
      </w:pPr>
      <w:r>
        <w:lastRenderedPageBreak/>
        <w:t xml:space="preserve">Figure </w:t>
      </w:r>
      <w:r w:rsidR="0000550A">
        <w:t>2.</w:t>
      </w:r>
      <w:r w:rsidR="00855B9C">
        <w:rPr>
          <w:noProof/>
        </w:rPr>
        <w:t>7</w:t>
      </w:r>
      <w:r>
        <w:tab/>
        <w:t xml:space="preserve">Potentially preventable </w:t>
      </w:r>
      <w:r w:rsidRPr="007F00CD">
        <w:t>hospitalisations</w:t>
      </w:r>
      <w:r w:rsidRPr="007F00CD">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67025"/>
                  <wp:effectExtent l="0" t="0" r="0" b="9525"/>
                  <wp:docPr id="20" name="Picture 5" descr="Figure 2.7 Potentially preventable hospitalisations. The chart shows hospitalisation rates for Indigenous and other people for potentially preventable chronic conditions (2004-04 and 2007-08) and acute conditions (2004-05 and 2008-09). Key results are highlighted below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A87987" w:rsidRDefault="00A87987" w:rsidP="00A87987">
      <w:pPr>
        <w:pStyle w:val="Source"/>
      </w:pPr>
      <w:r w:rsidRPr="00860B2C">
        <w:rPr>
          <w:rStyle w:val="NoteLabel"/>
        </w:rPr>
        <w:t>a</w:t>
      </w:r>
      <w:r>
        <w:rPr>
          <w:rFonts w:cs="Arial"/>
        </w:rPr>
        <w:t xml:space="preserve"> </w:t>
      </w:r>
      <w:r w:rsidRPr="00C742D0">
        <w:rPr>
          <w:rFonts w:cs="Arial"/>
        </w:rPr>
        <w:t>NSW, Victoria, Queensland, WA, SA and public hospitals in the NT</w:t>
      </w:r>
      <w:r>
        <w:rPr>
          <w:rFonts w:cs="Arial"/>
        </w:rPr>
        <w:t xml:space="preserve">. </w:t>
      </w:r>
      <w:r>
        <w:rPr>
          <w:rStyle w:val="NoteLabel"/>
        </w:rPr>
        <w:t xml:space="preserve">b </w:t>
      </w:r>
      <w:r>
        <w:t>See source table for definitions and notes</w:t>
      </w:r>
      <w:r w:rsidRPr="0030614A">
        <w:t>.</w:t>
      </w:r>
    </w:p>
    <w:p w:rsidR="00A87987" w:rsidRDefault="00A87987" w:rsidP="00A87987">
      <w:pPr>
        <w:pStyle w:val="Source"/>
      </w:pPr>
      <w:r>
        <w:rPr>
          <w:i/>
        </w:rPr>
        <w:t>Data source</w:t>
      </w:r>
      <w:r w:rsidR="00186ABD">
        <w:rPr>
          <w:i/>
        </w:rPr>
        <w:t>s</w:t>
      </w:r>
      <w:r w:rsidRPr="00167F06">
        <w:t xml:space="preserve">: </w:t>
      </w:r>
      <w:proofErr w:type="spellStart"/>
      <w:r>
        <w:t>AIHW</w:t>
      </w:r>
      <w:proofErr w:type="spellEnd"/>
      <w:r w:rsidR="00C174BB">
        <w:t>,</w:t>
      </w:r>
      <w:r>
        <w:t xml:space="preserve"> National Hospital Morbidity Database</w:t>
      </w:r>
      <w:r w:rsidR="00C174BB">
        <w:t>, unpublished</w:t>
      </w:r>
      <w:r>
        <w:t xml:space="preserve">; </w:t>
      </w:r>
      <w:proofErr w:type="spellStart"/>
      <w:r>
        <w:t>SCRGSP</w:t>
      </w:r>
      <w:proofErr w:type="spellEnd"/>
      <w:r>
        <w:t xml:space="preserve"> (</w:t>
      </w:r>
      <w:proofErr w:type="spellStart"/>
      <w:r>
        <w:t>2011b</w:t>
      </w:r>
      <w:proofErr w:type="spellEnd"/>
      <w:r>
        <w:t xml:space="preserve">) tables </w:t>
      </w:r>
      <w:proofErr w:type="spellStart"/>
      <w:r>
        <w:t>7A.2.1</w:t>
      </w:r>
      <w:proofErr w:type="spellEnd"/>
      <w:r>
        <w:t xml:space="preserve"> and </w:t>
      </w:r>
      <w:proofErr w:type="spellStart"/>
      <w:r>
        <w:t>7A.2.5</w:t>
      </w:r>
      <w:proofErr w:type="spellEnd"/>
      <w:r>
        <w:t>.</w:t>
      </w:r>
    </w:p>
    <w:p w:rsidR="00A87987" w:rsidRDefault="00A87987" w:rsidP="00D71A3D">
      <w:pPr>
        <w:pStyle w:val="BodyText"/>
      </w:pPr>
      <w:r>
        <w:t xml:space="preserve">Poor health is an increasing problem for Australian adults, particularly as the population ages. Poor health </w:t>
      </w:r>
      <w:r w:rsidRPr="00BD38DA">
        <w:t>affect</w:t>
      </w:r>
      <w:r>
        <w:t xml:space="preserve">s </w:t>
      </w:r>
      <w:r w:rsidRPr="00BD38DA">
        <w:t>the quality of life of many Indigenous people</w:t>
      </w:r>
      <w:r>
        <w:t xml:space="preserve">, and can </w:t>
      </w:r>
      <w:r w:rsidRPr="00BD38DA">
        <w:t xml:space="preserve">also </w:t>
      </w:r>
      <w:r>
        <w:t xml:space="preserve">contribute to </w:t>
      </w:r>
      <w:r w:rsidRPr="00BD38DA">
        <w:t>barriers to social interaction</w:t>
      </w:r>
      <w:r>
        <w:t xml:space="preserve">, </w:t>
      </w:r>
      <w:r w:rsidRPr="00BD38DA">
        <w:t>education and employment.</w:t>
      </w:r>
      <w:r>
        <w:t xml:space="preserve"> </w:t>
      </w:r>
    </w:p>
    <w:p w:rsidR="00A87987" w:rsidRDefault="00A87987" w:rsidP="00D71A3D">
      <w:pPr>
        <w:pStyle w:val="BodyText"/>
      </w:pPr>
      <w:r>
        <w:t xml:space="preserve">As illustrated in </w:t>
      </w:r>
      <w:r w:rsidR="00186ABD">
        <w:t xml:space="preserve">Figure </w:t>
      </w:r>
      <w:r w:rsidR="0000550A">
        <w:t>2.</w:t>
      </w:r>
      <w:r w:rsidR="00855B9C">
        <w:t>7</w:t>
      </w:r>
      <w:r>
        <w:t>, h</w:t>
      </w:r>
      <w:r w:rsidRPr="003B3AB1">
        <w:t xml:space="preserve">ospitalisation rates for Indigenous Australians with potentially preventable chronic conditions were </w:t>
      </w:r>
      <w:r w:rsidR="00186ABD">
        <w:t>seven</w:t>
      </w:r>
      <w:r w:rsidRPr="003B3AB1">
        <w:t xml:space="preserve"> times as high as the rates for other Australians</w:t>
      </w:r>
      <w:r>
        <w:t xml:space="preserve"> in 2008</w:t>
      </w:r>
      <w:r w:rsidR="00547C7F">
        <w:noBreakHyphen/>
      </w:r>
      <w:r w:rsidRPr="003B3AB1">
        <w:t>09</w:t>
      </w:r>
      <w:r>
        <w:t xml:space="preserve"> (</w:t>
      </w:r>
      <w:proofErr w:type="spellStart"/>
      <w:r>
        <w:t>SCRGSP</w:t>
      </w:r>
      <w:proofErr w:type="spellEnd"/>
      <w:r>
        <w:t xml:space="preserve"> </w:t>
      </w:r>
      <w:proofErr w:type="spellStart"/>
      <w:r>
        <w:t>2011b</w:t>
      </w:r>
      <w:proofErr w:type="spellEnd"/>
      <w:r>
        <w:t>, table 7.2.1). The Indigenous hospitalisation rate increased between 2004</w:t>
      </w:r>
      <w:r w:rsidR="00547C7F">
        <w:noBreakHyphen/>
      </w:r>
      <w:r>
        <w:t>05 and 2007</w:t>
      </w:r>
      <w:r w:rsidR="00547C7F">
        <w:noBreakHyphen/>
      </w:r>
      <w:r>
        <w:t>08, and the gap with other Australians increased (data for chronic conditions for 2008</w:t>
      </w:r>
      <w:r w:rsidR="00547C7F">
        <w:noBreakHyphen/>
      </w:r>
      <w:r>
        <w:t>09 are not directly comparable with the earlier data) (</w:t>
      </w:r>
      <w:proofErr w:type="spellStart"/>
      <w:r>
        <w:t>SCRGSP</w:t>
      </w:r>
      <w:proofErr w:type="spellEnd"/>
      <w:r>
        <w:t xml:space="preserve"> </w:t>
      </w:r>
      <w:proofErr w:type="spellStart"/>
      <w:r>
        <w:t>2011b</w:t>
      </w:r>
      <w:proofErr w:type="spellEnd"/>
      <w:r>
        <w:t xml:space="preserve">, table </w:t>
      </w:r>
      <w:proofErr w:type="spellStart"/>
      <w:r>
        <w:t>7A.2.1</w:t>
      </w:r>
      <w:proofErr w:type="spellEnd"/>
      <w:r w:rsidRPr="00850DB0">
        <w:t>)</w:t>
      </w:r>
      <w:r>
        <w:t>.</w:t>
      </w:r>
    </w:p>
    <w:p w:rsidR="00A87987" w:rsidRPr="00BC4945" w:rsidRDefault="00A87987" w:rsidP="00D71A3D">
      <w:pPr>
        <w:pStyle w:val="BodyText"/>
      </w:pPr>
      <w:r>
        <w:t xml:space="preserve">Hospitalisation rates for </w:t>
      </w:r>
      <w:r w:rsidRPr="00785221">
        <w:t xml:space="preserve">Indigenous Australians with potentially preventable </w:t>
      </w:r>
      <w:r>
        <w:t>acute</w:t>
      </w:r>
      <w:r w:rsidRPr="00785221">
        <w:t xml:space="preserve"> conditions were</w:t>
      </w:r>
      <w:r>
        <w:t xml:space="preserve"> nearly two-and-a-half times the rate for other people in 2008</w:t>
      </w:r>
      <w:r w:rsidR="00547C7F">
        <w:noBreakHyphen/>
      </w:r>
      <w:r>
        <w:t>09, with a small increase between 2004</w:t>
      </w:r>
      <w:r w:rsidR="00547C7F">
        <w:noBreakHyphen/>
      </w:r>
      <w:r>
        <w:t>05 and 2008</w:t>
      </w:r>
      <w:r w:rsidR="00547C7F">
        <w:noBreakHyphen/>
      </w:r>
      <w:r>
        <w:t>09 (</w:t>
      </w:r>
      <w:r w:rsidR="00186ABD">
        <w:t xml:space="preserve">Figure </w:t>
      </w:r>
      <w:r w:rsidR="0000550A">
        <w:t>2.</w:t>
      </w:r>
      <w:r w:rsidR="00855B9C">
        <w:t>7</w:t>
      </w:r>
      <w:r>
        <w:t>).</w:t>
      </w:r>
    </w:p>
    <w:p w:rsidR="00A87987" w:rsidRPr="007F00CD" w:rsidRDefault="00A87987" w:rsidP="00D71A3D">
      <w:pPr>
        <w:pStyle w:val="FigureTitle"/>
        <w:rPr>
          <w:rStyle w:val="NoteLabel"/>
          <w:b/>
        </w:rPr>
      </w:pPr>
      <w:r>
        <w:lastRenderedPageBreak/>
        <w:t xml:space="preserve">Figure </w:t>
      </w:r>
      <w:r w:rsidR="0000550A">
        <w:t>2.</w:t>
      </w:r>
      <w:r w:rsidR="00855B9C">
        <w:rPr>
          <w:noProof/>
        </w:rPr>
        <w:t>8</w:t>
      </w:r>
      <w:r>
        <w:tab/>
        <w:t>Avoidable mortality, 0–74 year olds</w:t>
      </w:r>
      <w:r>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67025"/>
                  <wp:effectExtent l="0" t="0" r="0" b="9525"/>
                  <wp:docPr id="19" name="Picture 6" descr="Figure 2.8 Avoidable mortality, 0–74 year olds. The chart shows avoidable mortality rates for Indigenous and other people from 1998 to 2009. Key results are in the paragraph below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A87987" w:rsidRDefault="00A87987" w:rsidP="00A87987">
      <w:pPr>
        <w:pStyle w:val="Source"/>
      </w:pPr>
      <w:r w:rsidRPr="00860B2C">
        <w:rPr>
          <w:rStyle w:val="NoteLabel"/>
        </w:rPr>
        <w:t>a</w:t>
      </w:r>
      <w:r>
        <w:rPr>
          <w:rFonts w:cs="Arial"/>
        </w:rPr>
        <w:t xml:space="preserve"> </w:t>
      </w:r>
      <w:r w:rsidRPr="00C742D0">
        <w:rPr>
          <w:rFonts w:cs="Arial"/>
        </w:rPr>
        <w:t>NSW, Queensland, WA, SA and the NT</w:t>
      </w:r>
      <w:r>
        <w:rPr>
          <w:rFonts w:cs="Arial"/>
        </w:rPr>
        <w:t xml:space="preserve">. </w:t>
      </w:r>
      <w:r>
        <w:rPr>
          <w:rStyle w:val="NoteLabel"/>
        </w:rPr>
        <w:t xml:space="preserve">b </w:t>
      </w:r>
      <w:r>
        <w:t>See source table for definitions and notes</w:t>
      </w:r>
      <w:r w:rsidRPr="0030614A">
        <w:t>.</w:t>
      </w:r>
    </w:p>
    <w:p w:rsidR="00A87987" w:rsidRDefault="00A87987" w:rsidP="00A87987">
      <w:pPr>
        <w:pStyle w:val="Source"/>
      </w:pPr>
      <w:r>
        <w:rPr>
          <w:i/>
        </w:rPr>
        <w:t>Data source</w:t>
      </w:r>
      <w:r w:rsidR="00186ABD">
        <w:rPr>
          <w:i/>
        </w:rPr>
        <w:t>s</w:t>
      </w:r>
      <w:r w:rsidRPr="00167F06">
        <w:t xml:space="preserve">: </w:t>
      </w:r>
      <w:r w:rsidRPr="005A03D5">
        <w:rPr>
          <w:color w:val="000000"/>
        </w:rPr>
        <w:t>ABS</w:t>
      </w:r>
      <w:r w:rsidR="00C174BB">
        <w:rPr>
          <w:color w:val="000000"/>
        </w:rPr>
        <w:t>,</w:t>
      </w:r>
      <w:r>
        <w:rPr>
          <w:color w:val="000000"/>
        </w:rPr>
        <w:t xml:space="preserve"> </w:t>
      </w:r>
      <w:r w:rsidRPr="00630065">
        <w:rPr>
          <w:i/>
          <w:color w:val="000000"/>
        </w:rPr>
        <w:t>Causes of Death, Australia 2009</w:t>
      </w:r>
      <w:r w:rsidRPr="00630065">
        <w:rPr>
          <w:color w:val="000000"/>
        </w:rPr>
        <w:t>, Cat. no. 3303.0</w:t>
      </w:r>
      <w:r w:rsidR="00C174BB">
        <w:rPr>
          <w:color w:val="000000"/>
        </w:rPr>
        <w:t xml:space="preserve">, </w:t>
      </w:r>
      <w:r w:rsidR="000412F4">
        <w:rPr>
          <w:color w:val="000000"/>
        </w:rPr>
        <w:t>(</w:t>
      </w:r>
      <w:r w:rsidR="00C174BB">
        <w:rPr>
          <w:color w:val="000000"/>
        </w:rPr>
        <w:t>unpublished</w:t>
      </w:r>
      <w:r w:rsidR="000412F4">
        <w:rPr>
          <w:color w:val="000000"/>
        </w:rPr>
        <w:t>)</w:t>
      </w:r>
      <w:r w:rsidRPr="00630065">
        <w:rPr>
          <w:color w:val="000000"/>
        </w:rPr>
        <w:t xml:space="preserve">; </w:t>
      </w:r>
      <w:proofErr w:type="spellStart"/>
      <w:r>
        <w:rPr>
          <w:color w:val="000000"/>
        </w:rPr>
        <w:t>SCRGSP</w:t>
      </w:r>
      <w:proofErr w:type="spellEnd"/>
      <w:r>
        <w:rPr>
          <w:color w:val="000000"/>
        </w:rPr>
        <w:t xml:space="preserve"> (</w:t>
      </w:r>
      <w:proofErr w:type="spellStart"/>
      <w:r>
        <w:rPr>
          <w:color w:val="000000"/>
        </w:rPr>
        <w:t>2011b</w:t>
      </w:r>
      <w:proofErr w:type="spellEnd"/>
      <w:r w:rsidR="00C174BB">
        <w:rPr>
          <w:color w:val="000000"/>
        </w:rPr>
        <w:t>)</w:t>
      </w:r>
      <w:r>
        <w:rPr>
          <w:color w:val="000000"/>
        </w:rPr>
        <w:t>, table </w:t>
      </w:r>
      <w:proofErr w:type="spellStart"/>
      <w:r w:rsidRPr="00630065">
        <w:rPr>
          <w:color w:val="000000"/>
        </w:rPr>
        <w:t>7A.3.</w:t>
      </w:r>
      <w:r>
        <w:rPr>
          <w:color w:val="000000"/>
        </w:rPr>
        <w:t>4</w:t>
      </w:r>
      <w:proofErr w:type="spellEnd"/>
      <w:r w:rsidRPr="00630065">
        <w:rPr>
          <w:color w:val="000000"/>
        </w:rPr>
        <w:t>.</w:t>
      </w:r>
    </w:p>
    <w:p w:rsidR="00A87987" w:rsidRPr="00C416B4" w:rsidRDefault="00A87987" w:rsidP="00D71A3D">
      <w:pPr>
        <w:pStyle w:val="BodyText"/>
      </w:pPr>
      <w:r>
        <w:t>There has been some improvement in other health outcomes for Indigenous Australians — b</w:t>
      </w:r>
      <w:r w:rsidRPr="00495C14">
        <w:t xml:space="preserve">etween </w:t>
      </w:r>
      <w:r>
        <w:t>1998</w:t>
      </w:r>
      <w:r w:rsidRPr="00495C14">
        <w:t xml:space="preserve"> and 2009, </w:t>
      </w:r>
      <w:r w:rsidRPr="00C416B4">
        <w:t xml:space="preserve">mortality rates from avoidable causes </w:t>
      </w:r>
      <w:r>
        <w:t xml:space="preserve">for Indigenous people </w:t>
      </w:r>
      <w:r w:rsidRPr="00C416B4">
        <w:t xml:space="preserve">declined </w:t>
      </w:r>
      <w:r>
        <w:t>by almost 30 per cent, and the gap between Indigenous and other Australians narrowed (but did not close) (</w:t>
      </w:r>
      <w:r w:rsidR="00186ABD">
        <w:t xml:space="preserve">Figure </w:t>
      </w:r>
      <w:r w:rsidR="0000550A">
        <w:t>2.</w:t>
      </w:r>
      <w:r w:rsidR="00855B9C">
        <w:t>8</w:t>
      </w:r>
      <w:r>
        <w:t>).</w:t>
      </w:r>
    </w:p>
    <w:p w:rsidR="00A87987" w:rsidRDefault="00A87987" w:rsidP="00D71A3D">
      <w:pPr>
        <w:pStyle w:val="Heading3"/>
      </w:pPr>
      <w:r>
        <w:t>Lifestyle factors can contribute to poor outcomes</w:t>
      </w:r>
    </w:p>
    <w:p w:rsidR="00A87987" w:rsidRDefault="00A87987" w:rsidP="00D71A3D">
      <w:pPr>
        <w:pStyle w:val="BodyText"/>
      </w:pPr>
      <w:r>
        <w:t>Lifestyle risk factors, including smoking, being overweight or obese, risky alcohol consumption and use of illicit drugs, influence a range of health outcomes for all Australians. However, data to enable comparisons with other Australians are only available for some indicators.</w:t>
      </w:r>
    </w:p>
    <w:p w:rsidR="00A87987" w:rsidRPr="00C63223" w:rsidRDefault="00A87987" w:rsidP="00D71A3D">
      <w:pPr>
        <w:pStyle w:val="FigureTitle"/>
        <w:rPr>
          <w:rStyle w:val="NoteLabel"/>
          <w:b/>
        </w:rPr>
      </w:pPr>
      <w:r>
        <w:lastRenderedPageBreak/>
        <w:t xml:space="preserve">Figure </w:t>
      </w:r>
      <w:r w:rsidR="0000550A">
        <w:t>2.</w:t>
      </w:r>
      <w:r w:rsidR="00855B9C">
        <w:rPr>
          <w:noProof/>
        </w:rPr>
        <w:t>9</w:t>
      </w:r>
      <w:r>
        <w:tab/>
        <w:t>Lifestyle risk factors</w:t>
      </w:r>
      <w:r>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67025"/>
                  <wp:effectExtent l="0" t="0" r="0" b="9525"/>
                  <wp:docPr id="18" name="Picture 7" descr="Figure 2.9 Lifestyle risk factors. The chart shows rates of daily smoking (2008), overweight and obesity (2004-05), risky alcohol consumption (2008) and use of illicit drugs (2008) for Indigenous and non-Indigenous people. Key results from the chart are in the 5 paragraphs below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A87987" w:rsidRDefault="00A87987" w:rsidP="00A87987">
      <w:pPr>
        <w:pStyle w:val="Note"/>
      </w:pPr>
      <w:r>
        <w:rPr>
          <w:rStyle w:val="NoteLabel"/>
        </w:rPr>
        <w:t>a</w:t>
      </w:r>
      <w:r>
        <w:sym w:font="Symbol" w:char="F020"/>
      </w:r>
      <w:r w:rsidRPr="004D1FA2">
        <w:t xml:space="preserve"> </w:t>
      </w:r>
      <w:r>
        <w:t>See source tables for definitions and notes</w:t>
      </w:r>
      <w:r w:rsidRPr="0030614A">
        <w:t>.</w:t>
      </w:r>
    </w:p>
    <w:p w:rsidR="00A87987" w:rsidRPr="00C63223" w:rsidRDefault="00A87987" w:rsidP="00A87987">
      <w:pPr>
        <w:pStyle w:val="Source"/>
        <w:rPr>
          <w:i/>
        </w:rPr>
      </w:pPr>
      <w:r>
        <w:rPr>
          <w:i/>
        </w:rPr>
        <w:t>Data source</w:t>
      </w:r>
      <w:r w:rsidR="00186ABD">
        <w:rPr>
          <w:i/>
        </w:rPr>
        <w:t>s</w:t>
      </w:r>
      <w:r w:rsidRPr="00167F06">
        <w:t xml:space="preserve">: </w:t>
      </w:r>
      <w:r>
        <w:t>ABS</w:t>
      </w:r>
      <w:r w:rsidR="00C174BB">
        <w:t>,</w:t>
      </w:r>
      <w:r>
        <w:t xml:space="preserve"> National Aboriginal and Torres Strait Islander Health Survey 2004</w:t>
      </w:r>
      <w:r w:rsidR="0097792A">
        <w:t>–</w:t>
      </w:r>
      <w:r>
        <w:t>05</w:t>
      </w:r>
      <w:r w:rsidR="00C174BB">
        <w:t>, unpublished</w:t>
      </w:r>
      <w:r>
        <w:t>; ABS</w:t>
      </w:r>
      <w:r w:rsidR="00C174BB">
        <w:t>,</w:t>
      </w:r>
      <w:r>
        <w:t xml:space="preserve"> National Aboriginal and Torres Strait Islander Health Survey 2008</w:t>
      </w:r>
      <w:r w:rsidR="00C174BB">
        <w:t>, unpublished</w:t>
      </w:r>
      <w:r>
        <w:t xml:space="preserve">; </w:t>
      </w:r>
      <w:proofErr w:type="spellStart"/>
      <w:r>
        <w:t>SCRGSP</w:t>
      </w:r>
      <w:proofErr w:type="spellEnd"/>
      <w:r>
        <w:t xml:space="preserve"> (</w:t>
      </w:r>
      <w:proofErr w:type="spellStart"/>
      <w:r>
        <w:t>2011b</w:t>
      </w:r>
      <w:proofErr w:type="spellEnd"/>
      <w:r>
        <w:t xml:space="preserve">), tables </w:t>
      </w:r>
      <w:proofErr w:type="spellStart"/>
      <w:r>
        <w:t>7A.4.1</w:t>
      </w:r>
      <w:proofErr w:type="spellEnd"/>
      <w:r>
        <w:t xml:space="preserve"> (smoking), </w:t>
      </w:r>
      <w:proofErr w:type="spellStart"/>
      <w:r>
        <w:t>7A.5.2</w:t>
      </w:r>
      <w:proofErr w:type="spellEnd"/>
      <w:r>
        <w:t xml:space="preserve"> (overweight and obesity), </w:t>
      </w:r>
      <w:proofErr w:type="spellStart"/>
      <w:r>
        <w:t>10A.3.3</w:t>
      </w:r>
      <w:proofErr w:type="spellEnd"/>
      <w:r>
        <w:t xml:space="preserve"> (alcohol) and </w:t>
      </w:r>
      <w:proofErr w:type="spellStart"/>
      <w:r>
        <w:t>10A.4.2</w:t>
      </w:r>
      <w:proofErr w:type="spellEnd"/>
      <w:r>
        <w:t xml:space="preserve"> (drugs).</w:t>
      </w:r>
    </w:p>
    <w:p w:rsidR="00A87987" w:rsidRDefault="00A87987" w:rsidP="00A87987">
      <w:pPr>
        <w:pStyle w:val="Heading4"/>
      </w:pPr>
      <w:r>
        <w:t>Smoking rates remain high</w:t>
      </w:r>
    </w:p>
    <w:p w:rsidR="00A87987" w:rsidRDefault="00A87987" w:rsidP="00D71A3D">
      <w:pPr>
        <w:pStyle w:val="BodyText"/>
      </w:pPr>
      <w:r>
        <w:t>In 2008, after accounting for the different age structures in the Indigenous and non</w:t>
      </w:r>
      <w:r>
        <w:noBreakHyphen/>
        <w:t>Indigenous populations, the current daily smoking rate for Indigenous adults (45</w:t>
      </w:r>
      <w:r w:rsidRPr="008364DA">
        <w:t> per</w:t>
      </w:r>
      <w:r>
        <w:t> </w:t>
      </w:r>
      <w:r w:rsidRPr="008364DA">
        <w:t>cent</w:t>
      </w:r>
      <w:r>
        <w:t>)</w:t>
      </w:r>
      <w:r w:rsidRPr="008364DA">
        <w:t xml:space="preserve"> </w:t>
      </w:r>
      <w:r>
        <w:t xml:space="preserve">was two-and-a-half times the rate for other adults </w:t>
      </w:r>
      <w:r w:rsidRPr="008364DA">
        <w:t>(</w:t>
      </w:r>
      <w:r>
        <w:t>19</w:t>
      </w:r>
      <w:r w:rsidRPr="008364DA">
        <w:t> per</w:t>
      </w:r>
      <w:r>
        <w:t> </w:t>
      </w:r>
      <w:r w:rsidRPr="008364DA">
        <w:t>cent) (</w:t>
      </w:r>
      <w:r w:rsidR="00186ABD">
        <w:t>Figure </w:t>
      </w:r>
      <w:r w:rsidR="0000550A">
        <w:t>2.</w:t>
      </w:r>
      <w:r w:rsidR="00855B9C">
        <w:t>9</w:t>
      </w:r>
      <w:r>
        <w:t>). Indigenous adults living in remote and very remote areas combined (50 per cent) had slightly higher rates of smoking than those living in non</w:t>
      </w:r>
      <w:r>
        <w:noBreakHyphen/>
        <w:t>remote areas (46 per cent) (</w:t>
      </w:r>
      <w:proofErr w:type="spellStart"/>
      <w:r>
        <w:t>SCRGSP</w:t>
      </w:r>
      <w:proofErr w:type="spellEnd"/>
      <w:r>
        <w:t xml:space="preserve"> </w:t>
      </w:r>
      <w:proofErr w:type="spellStart"/>
      <w:r>
        <w:t>2011b</w:t>
      </w:r>
      <w:proofErr w:type="spellEnd"/>
      <w:r>
        <w:t>, table </w:t>
      </w:r>
      <w:proofErr w:type="spellStart"/>
      <w:r>
        <w:t>7A.4.7</w:t>
      </w:r>
      <w:proofErr w:type="spellEnd"/>
      <w:r>
        <w:t>).</w:t>
      </w:r>
    </w:p>
    <w:p w:rsidR="00A87987" w:rsidRDefault="00A87987" w:rsidP="00D71A3D">
      <w:pPr>
        <w:pStyle w:val="BodyText"/>
      </w:pPr>
      <w:r>
        <w:t>Non-age standardised data show no change in current daily smoking rates among Indigenous adults from 2001 to 2008 (</w:t>
      </w:r>
      <w:proofErr w:type="spellStart"/>
      <w:r>
        <w:t>SCRGSP</w:t>
      </w:r>
      <w:proofErr w:type="spellEnd"/>
      <w:r>
        <w:t xml:space="preserve"> </w:t>
      </w:r>
      <w:proofErr w:type="spellStart"/>
      <w:r>
        <w:t>2011b</w:t>
      </w:r>
      <w:proofErr w:type="spellEnd"/>
      <w:r>
        <w:t xml:space="preserve">, table </w:t>
      </w:r>
      <w:proofErr w:type="spellStart"/>
      <w:r>
        <w:t>7A.4.1</w:t>
      </w:r>
      <w:proofErr w:type="spellEnd"/>
      <w:r>
        <w:t>).</w:t>
      </w:r>
    </w:p>
    <w:p w:rsidR="00A87987" w:rsidRDefault="00F52437" w:rsidP="00D71A3D">
      <w:pPr>
        <w:pStyle w:val="Heading4"/>
      </w:pPr>
      <w:r>
        <w:t>Being o</w:t>
      </w:r>
      <w:r w:rsidR="00A87987">
        <w:t xml:space="preserve">verweight </w:t>
      </w:r>
      <w:r>
        <w:t xml:space="preserve">or </w:t>
      </w:r>
      <w:r w:rsidR="00A87987">
        <w:t>obes</w:t>
      </w:r>
      <w:r>
        <w:t>e</w:t>
      </w:r>
      <w:r w:rsidR="00A87987">
        <w:t xml:space="preserve"> contribute</w:t>
      </w:r>
      <w:r w:rsidR="00090901">
        <w:t>s</w:t>
      </w:r>
      <w:r w:rsidR="00A87987">
        <w:t xml:space="preserve"> to poor health outcomes</w:t>
      </w:r>
    </w:p>
    <w:p w:rsidR="00A87987" w:rsidRDefault="00A87987" w:rsidP="00D71A3D">
      <w:pPr>
        <w:pStyle w:val="BodyText"/>
      </w:pPr>
      <w:r>
        <w:t>In 2004</w:t>
      </w:r>
      <w:r w:rsidR="00547C7F">
        <w:noBreakHyphen/>
      </w:r>
      <w:r>
        <w:t xml:space="preserve">05 (the most recent data available at the time of the 2011 OID report), </w:t>
      </w:r>
      <w:r w:rsidRPr="00307B4A">
        <w:t>3</w:t>
      </w:r>
      <w:r>
        <w:t xml:space="preserve">1 per cent </w:t>
      </w:r>
      <w:r w:rsidRPr="00307B4A">
        <w:t xml:space="preserve">of </w:t>
      </w:r>
      <w:r>
        <w:t xml:space="preserve">adult </w:t>
      </w:r>
      <w:r w:rsidRPr="00307B4A">
        <w:t xml:space="preserve">Indigenous </w:t>
      </w:r>
      <w:r>
        <w:t>Australians</w:t>
      </w:r>
      <w:r w:rsidRPr="00307B4A">
        <w:t xml:space="preserve"> were obese</w:t>
      </w:r>
      <w:r>
        <w:t xml:space="preserve"> and, after accounting for the different age structures in the two populations, the rate of obesity among </w:t>
      </w:r>
      <w:r w:rsidRPr="009C3E8F">
        <w:t xml:space="preserve">Indigenous adults </w:t>
      </w:r>
      <w:r>
        <w:t>was almost twice the rate for other</w:t>
      </w:r>
      <w:r w:rsidRPr="009C3E8F">
        <w:t xml:space="preserve"> adults (</w:t>
      </w:r>
      <w:proofErr w:type="spellStart"/>
      <w:r>
        <w:t>SCRGSP</w:t>
      </w:r>
      <w:proofErr w:type="spellEnd"/>
      <w:r>
        <w:t xml:space="preserve"> </w:t>
      </w:r>
      <w:proofErr w:type="spellStart"/>
      <w:r>
        <w:t>2011b</w:t>
      </w:r>
      <w:proofErr w:type="spellEnd"/>
      <w:r>
        <w:t>, table </w:t>
      </w:r>
      <w:proofErr w:type="spellStart"/>
      <w:r>
        <w:t>7A.5.2</w:t>
      </w:r>
      <w:proofErr w:type="spellEnd"/>
      <w:r w:rsidRPr="009C3E8F">
        <w:t xml:space="preserve">). </w:t>
      </w:r>
      <w:r>
        <w:t>The proportion of Indigenous adults who were overweight or obese did not change significantly between 2001 and 2004</w:t>
      </w:r>
      <w:r w:rsidR="00547C7F">
        <w:noBreakHyphen/>
      </w:r>
      <w:r>
        <w:t>05 (</w:t>
      </w:r>
      <w:proofErr w:type="spellStart"/>
      <w:r w:rsidRPr="00C071AA">
        <w:t>AIHW</w:t>
      </w:r>
      <w:proofErr w:type="spellEnd"/>
      <w:r w:rsidRPr="00C071AA">
        <w:t> 2009).</w:t>
      </w:r>
      <w:r>
        <w:t xml:space="preserve"> </w:t>
      </w:r>
    </w:p>
    <w:p w:rsidR="00A87987" w:rsidRDefault="00A87987" w:rsidP="00D71A3D">
      <w:pPr>
        <w:pStyle w:val="Heading4"/>
      </w:pPr>
      <w:r>
        <w:lastRenderedPageBreak/>
        <w:t>Rates of drinking alcohol vary widely</w:t>
      </w:r>
    </w:p>
    <w:p w:rsidR="00A87987" w:rsidRDefault="00A87987" w:rsidP="00D71A3D">
      <w:pPr>
        <w:pStyle w:val="BodyText"/>
      </w:pPr>
      <w:r w:rsidRPr="00A02271">
        <w:t>No comparable data are available for other Australians</w:t>
      </w:r>
      <w:r>
        <w:t xml:space="preserve">, but in 2008, </w:t>
      </w:r>
      <w:r w:rsidR="00F52437">
        <w:t xml:space="preserve">more than </w:t>
      </w:r>
      <w:r>
        <w:t xml:space="preserve">one quarter of Indigenous Australians </w:t>
      </w:r>
      <w:r w:rsidRPr="00234CDD">
        <w:t>aged 15 years and over</w:t>
      </w:r>
      <w:r>
        <w:t xml:space="preserve"> reported that they had abstained from drinking alcohol in the previous 12 months (</w:t>
      </w:r>
      <w:proofErr w:type="spellStart"/>
      <w:r>
        <w:t>SCRGSP</w:t>
      </w:r>
      <w:proofErr w:type="spellEnd"/>
      <w:r>
        <w:t xml:space="preserve"> </w:t>
      </w:r>
      <w:proofErr w:type="spellStart"/>
      <w:r>
        <w:t>2011b</w:t>
      </w:r>
      <w:proofErr w:type="spellEnd"/>
      <w:r>
        <w:t>, table </w:t>
      </w:r>
      <w:proofErr w:type="spellStart"/>
      <w:r>
        <w:t>10A.3.3</w:t>
      </w:r>
      <w:proofErr w:type="spellEnd"/>
      <w:r>
        <w:t>). People in remote areas (41 per cent) were more likely than people in non</w:t>
      </w:r>
      <w:r>
        <w:noBreakHyphen/>
        <w:t>remote areas (22 per cent) to report abstaining from drinking (</w:t>
      </w:r>
      <w:proofErr w:type="spellStart"/>
      <w:r>
        <w:t>SCRGSP</w:t>
      </w:r>
      <w:proofErr w:type="spellEnd"/>
      <w:r>
        <w:t xml:space="preserve"> </w:t>
      </w:r>
      <w:proofErr w:type="spellStart"/>
      <w:r>
        <w:t>2011b</w:t>
      </w:r>
      <w:proofErr w:type="spellEnd"/>
      <w:r>
        <w:t>, table </w:t>
      </w:r>
      <w:proofErr w:type="spellStart"/>
      <w:r>
        <w:t>10A.3.5</w:t>
      </w:r>
      <w:proofErr w:type="spellEnd"/>
      <w:r>
        <w:t>). However, 17 per cent of Indigenous Australians</w:t>
      </w:r>
      <w:r w:rsidRPr="00234CDD">
        <w:t xml:space="preserve"> </w:t>
      </w:r>
      <w:r>
        <w:t xml:space="preserve">reported drinking at </w:t>
      </w:r>
      <w:r w:rsidRPr="00234CDD">
        <w:t>chronic risky/high risk levels</w:t>
      </w:r>
      <w:r>
        <w:t xml:space="preserve"> (</w:t>
      </w:r>
      <w:r w:rsidR="00F52437">
        <w:t xml:space="preserve">Figure </w:t>
      </w:r>
      <w:r w:rsidR="0000550A">
        <w:t>2.</w:t>
      </w:r>
      <w:r w:rsidR="008D17FE">
        <w:t>9</w:t>
      </w:r>
      <w:r>
        <w:t>). Rates were similar for Indigenous Australians</w:t>
      </w:r>
      <w:r w:rsidRPr="00BA0471">
        <w:t xml:space="preserve"> living in remote </w:t>
      </w:r>
      <w:r>
        <w:t xml:space="preserve">areas and </w:t>
      </w:r>
      <w:r w:rsidRPr="00BA0471">
        <w:t>non</w:t>
      </w:r>
      <w:r w:rsidRPr="00BA0471">
        <w:noBreakHyphen/>
        <w:t xml:space="preserve">remote </w:t>
      </w:r>
      <w:r>
        <w:t>areas (</w:t>
      </w:r>
      <w:proofErr w:type="spellStart"/>
      <w:r>
        <w:t>SCRGSP</w:t>
      </w:r>
      <w:proofErr w:type="spellEnd"/>
      <w:r>
        <w:t xml:space="preserve"> </w:t>
      </w:r>
      <w:proofErr w:type="spellStart"/>
      <w:r>
        <w:t>2011b</w:t>
      </w:r>
      <w:proofErr w:type="spellEnd"/>
      <w:r>
        <w:t>, table </w:t>
      </w:r>
      <w:proofErr w:type="spellStart"/>
      <w:r>
        <w:t>10A.3.5</w:t>
      </w:r>
      <w:proofErr w:type="spellEnd"/>
      <w:r>
        <w:t xml:space="preserve">). </w:t>
      </w:r>
    </w:p>
    <w:p w:rsidR="00A87987" w:rsidRDefault="00A87987" w:rsidP="00D71A3D">
      <w:pPr>
        <w:pStyle w:val="Heading4"/>
      </w:pPr>
      <w:r>
        <w:t>Illicit drug use</w:t>
      </w:r>
    </w:p>
    <w:p w:rsidR="00A87987" w:rsidRPr="007C0E13" w:rsidRDefault="00A87987" w:rsidP="00D71A3D">
      <w:pPr>
        <w:pStyle w:val="BodyText"/>
      </w:pPr>
      <w:r>
        <w:t>No comparable data are available for other</w:t>
      </w:r>
      <w:r w:rsidRPr="001D569F">
        <w:t xml:space="preserve"> Australians</w:t>
      </w:r>
      <w:r>
        <w:t>, but in both 2002 and 2008, among Indigenous Australians who accepted the substance use form,</w:t>
      </w:r>
      <w:r>
        <w:rPr>
          <w:rStyle w:val="FootnoteReference"/>
        </w:rPr>
        <w:footnoteReference w:id="4"/>
      </w:r>
      <w:r>
        <w:t xml:space="preserve"> 23 per cent reported using illicit drugs in the previous 12 months (</w:t>
      </w:r>
      <w:r w:rsidR="00F52437">
        <w:t>Figure </w:t>
      </w:r>
      <w:r>
        <w:t>1.8). Cannabis was the most commonly used substance (</w:t>
      </w:r>
      <w:proofErr w:type="spellStart"/>
      <w:r>
        <w:t>SCRGSP</w:t>
      </w:r>
      <w:proofErr w:type="spellEnd"/>
      <w:r>
        <w:t xml:space="preserve"> </w:t>
      </w:r>
      <w:proofErr w:type="spellStart"/>
      <w:r>
        <w:t>2011b</w:t>
      </w:r>
      <w:proofErr w:type="spellEnd"/>
      <w:r>
        <w:t>, table </w:t>
      </w:r>
      <w:proofErr w:type="spellStart"/>
      <w:r>
        <w:t>10A.4.2</w:t>
      </w:r>
      <w:proofErr w:type="spellEnd"/>
      <w:r>
        <w:t>).</w:t>
      </w:r>
    </w:p>
    <w:p w:rsidR="00A87987" w:rsidRDefault="00A87987" w:rsidP="00D71A3D">
      <w:pPr>
        <w:pStyle w:val="Heading3"/>
      </w:pPr>
      <w:r>
        <w:t>Education is a key to overcoming disadvantage</w:t>
      </w:r>
    </w:p>
    <w:p w:rsidR="00A87987" w:rsidRPr="001D569F" w:rsidRDefault="00A87987" w:rsidP="00D71A3D">
      <w:pPr>
        <w:pStyle w:val="BodyText"/>
      </w:pPr>
      <w:r>
        <w:t>Improved educational outcomes are essential to overcoming many aspects of disadvantage. School leavers without strong literacy and numeracy skills face poor employment prospects and low income. There are also links between education and health outcomes.</w:t>
      </w:r>
    </w:p>
    <w:p w:rsidR="00A87987" w:rsidRPr="00D8459E" w:rsidRDefault="00A87987" w:rsidP="00D71A3D">
      <w:pPr>
        <w:pStyle w:val="FigureTitle"/>
        <w:rPr>
          <w:rStyle w:val="NoteLabel"/>
          <w:b/>
        </w:rPr>
      </w:pPr>
      <w:r>
        <w:lastRenderedPageBreak/>
        <w:t xml:space="preserve">Figure </w:t>
      </w:r>
      <w:r w:rsidR="0000550A">
        <w:t>2.</w:t>
      </w:r>
      <w:r>
        <w:t>1</w:t>
      </w:r>
      <w:r w:rsidR="0000550A">
        <w:t>0</w:t>
      </w:r>
      <w:r>
        <w:tab/>
        <w:t xml:space="preserve">Students achieving </w:t>
      </w:r>
      <w:r w:rsidR="00F52437">
        <w:t xml:space="preserve">Year </w:t>
      </w:r>
      <w:r>
        <w:t>3 minimum standards, 2011</w:t>
      </w:r>
      <w:r>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67025"/>
                  <wp:effectExtent l="0" t="0" r="0" b="9525"/>
                  <wp:docPr id="8" name="Picture 8" descr="Figure 2.10 Students achieving Year 3 minimum standards, 2011. The chart shows proportions of Indigenous and non-Indigenous students achieving minimum standards in numeracy and reading by geolocation (metropolitan, provincial, remote and very remote). The key results are highlighted in the text following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A87987" w:rsidRDefault="00A87987" w:rsidP="00A87987">
      <w:pPr>
        <w:pStyle w:val="Note"/>
        <w:keepNext/>
      </w:pPr>
      <w:proofErr w:type="spellStart"/>
      <w:r>
        <w:rPr>
          <w:rStyle w:val="NoteLabel"/>
        </w:rPr>
        <w:t>a</w:t>
      </w:r>
      <w:proofErr w:type="spellEnd"/>
      <w:r>
        <w:sym w:font="Symbol" w:char="F020"/>
      </w:r>
      <w:r>
        <w:t xml:space="preserve"> </w:t>
      </w:r>
      <w:r w:rsidRPr="00375025">
        <w:t>Exempt students were not assessed and were deemed not to have met the national minimum standard.</w:t>
      </w:r>
      <w:r>
        <w:t xml:space="preserve"> </w:t>
      </w:r>
      <w:r>
        <w:rPr>
          <w:rStyle w:val="NoteLabel"/>
        </w:rPr>
        <w:t>b</w:t>
      </w:r>
      <w:r>
        <w:sym w:font="Symbol" w:char="F020"/>
      </w:r>
      <w:r w:rsidRPr="00375025">
        <w:t>The method used to identify Indigenous students varies between jurisdictions.</w:t>
      </w:r>
    </w:p>
    <w:p w:rsidR="00A87987" w:rsidRDefault="00A87987" w:rsidP="00A87987">
      <w:pPr>
        <w:pStyle w:val="Source"/>
        <w:keepNext/>
      </w:pPr>
      <w:r>
        <w:rPr>
          <w:i/>
        </w:rPr>
        <w:t>Data source</w:t>
      </w:r>
      <w:r w:rsidR="00F52437">
        <w:rPr>
          <w:i/>
        </w:rPr>
        <w:t>s</w:t>
      </w:r>
      <w:r w:rsidRPr="00167F06">
        <w:t xml:space="preserve">: </w:t>
      </w:r>
      <w:proofErr w:type="spellStart"/>
      <w:r w:rsidRPr="00375025">
        <w:t>ACARA</w:t>
      </w:r>
      <w:proofErr w:type="spellEnd"/>
      <w:r w:rsidR="00C174BB">
        <w:t>,</w:t>
      </w:r>
      <w:r w:rsidRPr="00375025">
        <w:t xml:space="preserve"> </w:t>
      </w:r>
      <w:r w:rsidRPr="00C174BB">
        <w:rPr>
          <w:i/>
        </w:rPr>
        <w:t>National Assessment Program — Literacy and Numeracy: A</w:t>
      </w:r>
      <w:r w:rsidR="001A6072" w:rsidRPr="00090901">
        <w:rPr>
          <w:i/>
        </w:rPr>
        <w:t>chievement in Reading, Writing, Language Conventions and Numeracy,</w:t>
      </w:r>
      <w:r>
        <w:rPr>
          <w:i/>
        </w:rPr>
        <w:t xml:space="preserve"> </w:t>
      </w:r>
      <w:r w:rsidR="001A6072" w:rsidRPr="00090901">
        <w:t>2011, unpublished</w:t>
      </w:r>
      <w:r>
        <w:t xml:space="preserve">; </w:t>
      </w:r>
      <w:proofErr w:type="spellStart"/>
      <w:r>
        <w:t>SCRGSP</w:t>
      </w:r>
      <w:proofErr w:type="spellEnd"/>
      <w:r>
        <w:t xml:space="preserve"> </w:t>
      </w:r>
      <w:r w:rsidR="00507B56">
        <w:t>(</w:t>
      </w:r>
      <w:proofErr w:type="spellStart"/>
      <w:r>
        <w:t>2011a</w:t>
      </w:r>
      <w:proofErr w:type="spellEnd"/>
      <w:r w:rsidR="00507B56">
        <w:t>)</w:t>
      </w:r>
      <w:r>
        <w:t xml:space="preserve">, </w:t>
      </w:r>
      <w:r w:rsidRPr="00B5413D">
        <w:t>table</w:t>
      </w:r>
      <w:r>
        <w:t>s</w:t>
      </w:r>
      <w:r w:rsidRPr="00B5413D">
        <w:t xml:space="preserve"> </w:t>
      </w:r>
      <w:proofErr w:type="spellStart"/>
      <w:r>
        <w:t>NIRA15.1</w:t>
      </w:r>
      <w:proofErr w:type="spellEnd"/>
      <w:r>
        <w:t xml:space="preserve"> and </w:t>
      </w:r>
      <w:proofErr w:type="spellStart"/>
      <w:r>
        <w:t>NIRA</w:t>
      </w:r>
      <w:proofErr w:type="spellEnd"/>
      <w:r>
        <w:t xml:space="preserve"> 15.2. </w:t>
      </w:r>
    </w:p>
    <w:p w:rsidR="00A87987" w:rsidRDefault="00A87987" w:rsidP="00D71A3D">
      <w:pPr>
        <w:pStyle w:val="BodyText"/>
      </w:pPr>
      <w:r>
        <w:t xml:space="preserve">In 2011, the majority of Indigenous students </w:t>
      </w:r>
      <w:r w:rsidRPr="00534851">
        <w:t>achieved</w:t>
      </w:r>
      <w:r>
        <w:t xml:space="preserve"> the </w:t>
      </w:r>
      <w:r w:rsidR="002C7791">
        <w:t xml:space="preserve">Year </w:t>
      </w:r>
      <w:r>
        <w:t xml:space="preserve">3 national minimum standards for reading, writing and numeracy, but there were significant gaps compared with non-Indigenous students: </w:t>
      </w:r>
    </w:p>
    <w:p w:rsidR="00A87987" w:rsidRPr="00D71A3D" w:rsidRDefault="00A87987" w:rsidP="00D71A3D">
      <w:pPr>
        <w:pStyle w:val="ListBullet"/>
      </w:pPr>
      <w:r>
        <w:t>readi</w:t>
      </w:r>
      <w:r w:rsidRPr="00D71A3D">
        <w:t>ng — 76 per cent of Indigenous students achieved the minimum standard, compared with 95 per cent of other students (</w:t>
      </w:r>
      <w:r w:rsidR="002C7791" w:rsidRPr="00D71A3D">
        <w:t xml:space="preserve">Figure </w:t>
      </w:r>
      <w:r w:rsidR="0000550A">
        <w:t>2.</w:t>
      </w:r>
      <w:r w:rsidRPr="00D71A3D">
        <w:t>1</w:t>
      </w:r>
      <w:r w:rsidR="00855B9C">
        <w:t>0</w:t>
      </w:r>
      <w:r w:rsidRPr="00D71A3D">
        <w:t>)</w:t>
      </w:r>
    </w:p>
    <w:p w:rsidR="00A87987" w:rsidRPr="00D71A3D" w:rsidRDefault="00A87987" w:rsidP="00D71A3D">
      <w:pPr>
        <w:pStyle w:val="ListBullet"/>
      </w:pPr>
      <w:r w:rsidRPr="00D71A3D">
        <w:t>writing — 80 per cent of Indigenous students achieved the minimum standard, compared with 96 per cent of other students (</w:t>
      </w:r>
      <w:proofErr w:type="spellStart"/>
      <w:r w:rsidRPr="00D71A3D">
        <w:t>SCRGSP</w:t>
      </w:r>
      <w:proofErr w:type="spellEnd"/>
      <w:r w:rsidRPr="00D71A3D">
        <w:t xml:space="preserve"> </w:t>
      </w:r>
      <w:proofErr w:type="spellStart"/>
      <w:r w:rsidRPr="00D71A3D">
        <w:t>2011a</w:t>
      </w:r>
      <w:proofErr w:type="spellEnd"/>
      <w:r w:rsidRPr="00D71A3D">
        <w:t xml:space="preserve">, table </w:t>
      </w:r>
      <w:proofErr w:type="spellStart"/>
      <w:r w:rsidRPr="00D71A3D">
        <w:t>NIRA15.2</w:t>
      </w:r>
      <w:proofErr w:type="spellEnd"/>
      <w:r w:rsidRPr="00D71A3D">
        <w:t>)</w:t>
      </w:r>
    </w:p>
    <w:p w:rsidR="00A87987" w:rsidRDefault="00A87987" w:rsidP="00D71A3D">
      <w:pPr>
        <w:pStyle w:val="ListBullet"/>
      </w:pPr>
      <w:r w:rsidRPr="00D71A3D">
        <w:t>numeracy — 84 per cent of Indigenous students achieved the minimum standard, compared with 9</w:t>
      </w:r>
      <w:r>
        <w:t>6 per cent of other students (</w:t>
      </w:r>
      <w:r w:rsidR="002C7791">
        <w:t xml:space="preserve">Figure </w:t>
      </w:r>
      <w:r w:rsidR="0000550A">
        <w:t>2.</w:t>
      </w:r>
      <w:r>
        <w:t>1</w:t>
      </w:r>
      <w:r w:rsidR="00855B9C">
        <w:t>0</w:t>
      </w:r>
      <w:r>
        <w:t>).</w:t>
      </w:r>
    </w:p>
    <w:p w:rsidR="00A87987" w:rsidRDefault="00A87987" w:rsidP="00D71A3D">
      <w:pPr>
        <w:pStyle w:val="BodyText"/>
      </w:pPr>
      <w:r>
        <w:t>The proportion of Indigenous students in urban (metropolitan and provincial) areas meeting the national minimum standards was higher than the proportions in remote and very remote areas (</w:t>
      </w:r>
      <w:r w:rsidR="002C7791">
        <w:t>Figure </w:t>
      </w:r>
      <w:r w:rsidR="0000550A">
        <w:t>2.</w:t>
      </w:r>
      <w:r>
        <w:t>1</w:t>
      </w:r>
      <w:r w:rsidR="00855B9C">
        <w:t>0</w:t>
      </w:r>
      <w:r>
        <w:t xml:space="preserve">). </w:t>
      </w:r>
    </w:p>
    <w:p w:rsidR="00A87987" w:rsidRDefault="00A87987" w:rsidP="00D71A3D">
      <w:pPr>
        <w:pStyle w:val="BodyText"/>
      </w:pPr>
      <w:r>
        <w:t>Between 2008 and 2011, at a national level, there were small but statistically significant increases in the proportions of Indigenous students achieving at or above the national minimum standard in reading in years 3 and 7, and in numeracy in years 3 and 5 (COAG Reform Council 2012, p. 37).</w:t>
      </w:r>
    </w:p>
    <w:p w:rsidR="00A87987" w:rsidRPr="00A269A1" w:rsidRDefault="00A87987" w:rsidP="00D71A3D">
      <w:pPr>
        <w:pStyle w:val="FigureTitle"/>
        <w:rPr>
          <w:rStyle w:val="NoteLabel"/>
          <w:b/>
        </w:rPr>
      </w:pPr>
      <w:r>
        <w:lastRenderedPageBreak/>
        <w:t xml:space="preserve">Figure </w:t>
      </w:r>
      <w:r w:rsidR="0000550A">
        <w:t>2.</w:t>
      </w:r>
      <w:r>
        <w:t>1</w:t>
      </w:r>
      <w:r>
        <w:rPr>
          <w:noProof/>
        </w:rPr>
        <w:t>1</w:t>
      </w:r>
      <w:r>
        <w:tab/>
        <w:t>Apparent retention rates of full</w:t>
      </w:r>
      <w:r w:rsidR="002C7791">
        <w:t>-</w:t>
      </w:r>
      <w:r>
        <w:t>time secondary students</w:t>
      </w:r>
      <w:r>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67025"/>
                  <wp:effectExtent l="0" t="0" r="0" b="9525"/>
                  <wp:docPr id="9" name="Picture 9" descr="Figure 2.11 Apparent retention rates of full-time secondary students. The chart shows apparent retention rates to year9, year 10, year 11 and year 12 for Indigenous and non-Indigenous students in 1997 and 2011. Key results are highlighted in the paragraph following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A87987" w:rsidRPr="00990CDE" w:rsidRDefault="00A87987" w:rsidP="00A87987">
      <w:pPr>
        <w:pStyle w:val="Source"/>
      </w:pPr>
      <w:proofErr w:type="spellStart"/>
      <w:r w:rsidRPr="00990CDE">
        <w:rPr>
          <w:rStyle w:val="NoteLabel"/>
        </w:rPr>
        <w:t>a</w:t>
      </w:r>
      <w:proofErr w:type="spellEnd"/>
      <w:r w:rsidRPr="00990CDE">
        <w:sym w:font="Symbol" w:char="F020"/>
      </w:r>
      <w:r w:rsidRPr="00990CDE">
        <w:t xml:space="preserve">The apparent retention rate is the percentage of full time students who continued to </w:t>
      </w:r>
      <w:r w:rsidR="002C7791" w:rsidRPr="00990CDE">
        <w:t>Year</w:t>
      </w:r>
      <w:r w:rsidR="002C7791">
        <w:t xml:space="preserve"> </w:t>
      </w:r>
      <w:r w:rsidRPr="00990CDE">
        <w:t>12 from respective cohort groups at the commencement of their secondary schooling (</w:t>
      </w:r>
      <w:r w:rsidR="002C7791" w:rsidRPr="00990CDE">
        <w:t>Year</w:t>
      </w:r>
      <w:r w:rsidR="002C7791">
        <w:t xml:space="preserve"> </w:t>
      </w:r>
      <w:r>
        <w:t>7</w:t>
      </w:r>
      <w:r w:rsidR="002C7791">
        <w:t xml:space="preserve"> or </w:t>
      </w:r>
      <w:r>
        <w:t>8).</w:t>
      </w:r>
    </w:p>
    <w:p w:rsidR="00A87987" w:rsidRDefault="00A87987" w:rsidP="00A87987">
      <w:pPr>
        <w:pStyle w:val="Source"/>
      </w:pPr>
      <w:r>
        <w:rPr>
          <w:i/>
        </w:rPr>
        <w:t>Data</w:t>
      </w:r>
      <w:r w:rsidRPr="00990CDE">
        <w:rPr>
          <w:i/>
        </w:rPr>
        <w:t xml:space="preserve"> </w:t>
      </w:r>
      <w:r>
        <w:rPr>
          <w:i/>
        </w:rPr>
        <w:t>s</w:t>
      </w:r>
      <w:r w:rsidRPr="00990CDE">
        <w:rPr>
          <w:i/>
        </w:rPr>
        <w:t>ource</w:t>
      </w:r>
      <w:r w:rsidRPr="00990CDE">
        <w:t xml:space="preserve">: ABS </w:t>
      </w:r>
      <w:r>
        <w:t>(</w:t>
      </w:r>
      <w:proofErr w:type="spellStart"/>
      <w:r w:rsidRPr="00990CDE">
        <w:t>20</w:t>
      </w:r>
      <w:r>
        <w:t>12b</w:t>
      </w:r>
      <w:proofErr w:type="spellEnd"/>
      <w:r w:rsidR="00507B56">
        <w:t>)</w:t>
      </w:r>
      <w:r>
        <w:t xml:space="preserve">, </w:t>
      </w:r>
      <w:proofErr w:type="spellStart"/>
      <w:r>
        <w:t>NSSC</w:t>
      </w:r>
      <w:proofErr w:type="spellEnd"/>
      <w:r>
        <w:t xml:space="preserve"> table </w:t>
      </w:r>
      <w:proofErr w:type="spellStart"/>
      <w:r>
        <w:t>64a</w:t>
      </w:r>
      <w:proofErr w:type="spellEnd"/>
      <w:r>
        <w:t>.</w:t>
      </w:r>
    </w:p>
    <w:p w:rsidR="00A87987" w:rsidRPr="00CB4B25" w:rsidRDefault="00A87987" w:rsidP="00D71A3D">
      <w:pPr>
        <w:pStyle w:val="BodyText"/>
      </w:pPr>
      <w:r>
        <w:t xml:space="preserve">Over time, higher proportions of </w:t>
      </w:r>
      <w:r w:rsidRPr="00CB4B25">
        <w:t xml:space="preserve">Indigenous children </w:t>
      </w:r>
      <w:r>
        <w:t>are completing more years of school, although apparent retention rates</w:t>
      </w:r>
      <w:r>
        <w:rPr>
          <w:rStyle w:val="FootnoteReference"/>
        </w:rPr>
        <w:footnoteReference w:id="5"/>
      </w:r>
      <w:r>
        <w:t xml:space="preserve"> for Indigenous students </w:t>
      </w:r>
      <w:r w:rsidRPr="00CB4B25">
        <w:t>still drop rapidly outside the compulsory years of schooling.</w:t>
      </w:r>
      <w:r>
        <w:t xml:space="preserve"> </w:t>
      </w:r>
      <w:r w:rsidRPr="00CB4B25">
        <w:t xml:space="preserve">Indigenous students’ retention to </w:t>
      </w:r>
      <w:r w:rsidR="002C7791" w:rsidRPr="00CB4B25">
        <w:t xml:space="preserve">Year </w:t>
      </w:r>
      <w:r w:rsidRPr="00CB4B25">
        <w:t xml:space="preserve">12 </w:t>
      </w:r>
      <w:r>
        <w:t>increased</w:t>
      </w:r>
      <w:r w:rsidRPr="00CB4B25">
        <w:t xml:space="preserve"> from 3</w:t>
      </w:r>
      <w:r>
        <w:t>1 per cent</w:t>
      </w:r>
      <w:r w:rsidRPr="00CB4B25">
        <w:t xml:space="preserve"> in </w:t>
      </w:r>
      <w:r>
        <w:t>1997</w:t>
      </w:r>
      <w:r w:rsidRPr="00CB4B25">
        <w:t xml:space="preserve"> to 4</w:t>
      </w:r>
      <w:r>
        <w:t>9 per cent</w:t>
      </w:r>
      <w:r w:rsidRPr="00CB4B25">
        <w:t xml:space="preserve"> in 201</w:t>
      </w:r>
      <w:r>
        <w:t>1, but is still well below the 79 per cent rate for other students (</w:t>
      </w:r>
      <w:r w:rsidR="002C7791">
        <w:t xml:space="preserve">Figure </w:t>
      </w:r>
      <w:r w:rsidR="0000550A">
        <w:t>2.</w:t>
      </w:r>
      <w:r>
        <w:t>11)</w:t>
      </w:r>
      <w:r w:rsidRPr="00CB4B25">
        <w:t>.</w:t>
      </w:r>
    </w:p>
    <w:p w:rsidR="00A87987" w:rsidRPr="006E2A0C" w:rsidRDefault="00A87987" w:rsidP="00D71A3D">
      <w:pPr>
        <w:pStyle w:val="FigureTitle"/>
      </w:pPr>
      <w:r>
        <w:lastRenderedPageBreak/>
        <w:t xml:space="preserve">Figure </w:t>
      </w:r>
      <w:r w:rsidR="0000550A">
        <w:t>2.</w:t>
      </w:r>
      <w:r>
        <w:t>1</w:t>
      </w:r>
      <w:r w:rsidR="00855B9C">
        <w:rPr>
          <w:noProof/>
        </w:rPr>
        <w:t>2</w:t>
      </w:r>
      <w:r>
        <w:tab/>
      </w:r>
      <w:r w:rsidRPr="00A358A8">
        <w:t xml:space="preserve">20–64 year olds with Certificate III or above </w:t>
      </w:r>
      <w:r>
        <w:t>(</w:t>
      </w:r>
      <w:r w:rsidRPr="00A358A8">
        <w:t>or studying</w:t>
      </w:r>
      <w:r>
        <w:t>)</w:t>
      </w:r>
      <w:r>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keepLines/>
            </w:pPr>
            <w:r>
              <w:rPr>
                <w:noProof/>
              </w:rPr>
              <w:drawing>
                <wp:inline distT="0" distB="0" distL="0" distR="0">
                  <wp:extent cx="5391150" cy="2876550"/>
                  <wp:effectExtent l="0" t="0" r="0" b="0"/>
                  <wp:docPr id="10" name="Picture 10" descr="Figure 2.12 20–64 year olds with Certificate III or above (or studying). The chart shows proportions of Indigenous and non-Indigenous people with certificate III or above (or studying) by males, females and persons for 2002 and 2008. Key results are highlighted in the paragraph following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A87987" w:rsidRPr="00B33050" w:rsidRDefault="00A87987" w:rsidP="00A87987">
      <w:pPr>
        <w:pStyle w:val="Note"/>
      </w:pPr>
      <w:r>
        <w:rPr>
          <w:rStyle w:val="NoteLabel"/>
        </w:rPr>
        <w:t>a</w:t>
      </w:r>
      <w:r>
        <w:sym w:font="Symbol" w:char="F020"/>
      </w:r>
      <w:r w:rsidRPr="004D1FA2">
        <w:t xml:space="preserve"> </w:t>
      </w:r>
      <w:r>
        <w:t>See source tables for definitions and notes</w:t>
      </w:r>
      <w:r w:rsidRPr="0030614A">
        <w:t>.</w:t>
      </w:r>
    </w:p>
    <w:p w:rsidR="00A87987" w:rsidRDefault="00A87987" w:rsidP="00A87987">
      <w:pPr>
        <w:pStyle w:val="Source"/>
      </w:pPr>
      <w:r>
        <w:rPr>
          <w:i/>
        </w:rPr>
        <w:t>Data source</w:t>
      </w:r>
      <w:r w:rsidR="002C7791">
        <w:rPr>
          <w:i/>
        </w:rPr>
        <w:t>s</w:t>
      </w:r>
      <w:r w:rsidRPr="00167F06">
        <w:t xml:space="preserve">: </w:t>
      </w:r>
      <w:r w:rsidRPr="00E45F7F">
        <w:t>ABS</w:t>
      </w:r>
      <w:r w:rsidR="00507B56">
        <w:t>,</w:t>
      </w:r>
      <w:r w:rsidRPr="00E45F7F">
        <w:t xml:space="preserve"> </w:t>
      </w:r>
      <w:proofErr w:type="spellStart"/>
      <w:r w:rsidRPr="00E45F7F">
        <w:t>GSS</w:t>
      </w:r>
      <w:proofErr w:type="spellEnd"/>
      <w:r w:rsidRPr="00E45F7F">
        <w:t xml:space="preserve"> and </w:t>
      </w:r>
      <w:proofErr w:type="spellStart"/>
      <w:r w:rsidRPr="00E45F7F">
        <w:t>NATSISS</w:t>
      </w:r>
      <w:proofErr w:type="spellEnd"/>
      <w:r w:rsidRPr="00E45F7F">
        <w:t xml:space="preserve"> 2002</w:t>
      </w:r>
      <w:r w:rsidR="00507B56">
        <w:t>, unpublished</w:t>
      </w:r>
      <w:r w:rsidRPr="00E45F7F">
        <w:t>; ABS</w:t>
      </w:r>
      <w:r w:rsidR="00507B56">
        <w:t>,</w:t>
      </w:r>
      <w:r w:rsidRPr="00E45F7F">
        <w:t xml:space="preserve"> </w:t>
      </w:r>
      <w:proofErr w:type="spellStart"/>
      <w:r w:rsidRPr="00E45F7F">
        <w:t>NATSISS</w:t>
      </w:r>
      <w:proofErr w:type="spellEnd"/>
      <w:r w:rsidRPr="00E45F7F">
        <w:t xml:space="preserve"> 2008</w:t>
      </w:r>
      <w:r w:rsidR="00507B56">
        <w:t>, unpublished</w:t>
      </w:r>
      <w:r w:rsidRPr="00E45F7F">
        <w:t>; ABS</w:t>
      </w:r>
      <w:r w:rsidR="00507B56">
        <w:t>,</w:t>
      </w:r>
      <w:r w:rsidRPr="00E45F7F">
        <w:t xml:space="preserve"> </w:t>
      </w:r>
      <w:proofErr w:type="spellStart"/>
      <w:r w:rsidRPr="00E45F7F">
        <w:t>NHS</w:t>
      </w:r>
      <w:proofErr w:type="spellEnd"/>
      <w:r w:rsidRPr="00E45F7F">
        <w:t xml:space="preserve"> 2007</w:t>
      </w:r>
      <w:r w:rsidR="0097792A">
        <w:t>–</w:t>
      </w:r>
      <w:r w:rsidRPr="00E45F7F">
        <w:t>08</w:t>
      </w:r>
      <w:r w:rsidR="00507B56">
        <w:t>, unpublished</w:t>
      </w:r>
      <w:r>
        <w:t>;</w:t>
      </w:r>
      <w:r w:rsidRPr="006E2A0C">
        <w:t xml:space="preserve"> </w:t>
      </w:r>
      <w:proofErr w:type="spellStart"/>
      <w:r>
        <w:t>SCRGSP</w:t>
      </w:r>
      <w:proofErr w:type="spellEnd"/>
      <w:r>
        <w:t xml:space="preserve"> </w:t>
      </w:r>
      <w:r w:rsidR="00507B56">
        <w:t>(</w:t>
      </w:r>
      <w:proofErr w:type="spellStart"/>
      <w:r>
        <w:t>2011b</w:t>
      </w:r>
      <w:proofErr w:type="spellEnd"/>
      <w:r w:rsidR="00507B56">
        <w:t>)</w:t>
      </w:r>
      <w:r>
        <w:t xml:space="preserve">, </w:t>
      </w:r>
      <w:r w:rsidRPr="006E2A0C">
        <w:t xml:space="preserve">table </w:t>
      </w:r>
      <w:proofErr w:type="spellStart"/>
      <w:r w:rsidRPr="006E2A0C">
        <w:t>4A.7.</w:t>
      </w:r>
      <w:r>
        <w:t>1</w:t>
      </w:r>
      <w:proofErr w:type="spellEnd"/>
      <w:r w:rsidRPr="006E2A0C">
        <w:t>.</w:t>
      </w:r>
    </w:p>
    <w:p w:rsidR="00A87987" w:rsidRPr="00B47E41" w:rsidRDefault="00A87987" w:rsidP="00D71A3D">
      <w:pPr>
        <w:pStyle w:val="BodyText"/>
      </w:pPr>
      <w:r>
        <w:t xml:space="preserve">Post-school outcomes for Indigenous Australians have also improved. </w:t>
      </w:r>
      <w:r w:rsidRPr="00B47E41">
        <w:t xml:space="preserve">The proportion of </w:t>
      </w:r>
      <w:r>
        <w:t xml:space="preserve">Indigenous </w:t>
      </w:r>
      <w:r w:rsidRPr="00B47E41">
        <w:t>20–64</w:t>
      </w:r>
      <w:r>
        <w:t> </w:t>
      </w:r>
      <w:r w:rsidRPr="00B47E41">
        <w:t>year olds with a Certificate III or above</w:t>
      </w:r>
      <w:r>
        <w:t>,</w:t>
      </w:r>
      <w:r w:rsidRPr="00B47E41">
        <w:t xml:space="preserve"> or who were </w:t>
      </w:r>
      <w:r>
        <w:t xml:space="preserve">currently </w:t>
      </w:r>
      <w:r w:rsidRPr="00B47E41">
        <w:t>studying</w:t>
      </w:r>
      <w:r>
        <w:t>,</w:t>
      </w:r>
      <w:r w:rsidRPr="00B47E41">
        <w:t xml:space="preserve"> increased from 26 per cent </w:t>
      </w:r>
      <w:r>
        <w:t>in</w:t>
      </w:r>
      <w:r w:rsidRPr="00B47E41">
        <w:t xml:space="preserve"> 2002 </w:t>
      </w:r>
      <w:r>
        <w:t xml:space="preserve">to </w:t>
      </w:r>
      <w:r w:rsidRPr="00B47E41">
        <w:t xml:space="preserve">34 per cent </w:t>
      </w:r>
      <w:r>
        <w:t xml:space="preserve">in </w:t>
      </w:r>
      <w:r w:rsidRPr="00B47E41">
        <w:t>2008</w:t>
      </w:r>
      <w:r>
        <w:t xml:space="preserve">. The proportion for other </w:t>
      </w:r>
      <w:r w:rsidRPr="00B60DB3">
        <w:t>20–64 year olds</w:t>
      </w:r>
      <w:r w:rsidRPr="00B47E41">
        <w:t xml:space="preserve"> </w:t>
      </w:r>
      <w:r>
        <w:t>increased from</w:t>
      </w:r>
      <w:r w:rsidRPr="00B47E41">
        <w:t xml:space="preserve"> 5</w:t>
      </w:r>
      <w:r>
        <w:t>2</w:t>
      </w:r>
      <w:r w:rsidRPr="00B47E41">
        <w:t> per cent to 58 per cent</w:t>
      </w:r>
      <w:r>
        <w:t xml:space="preserve"> over the same period</w:t>
      </w:r>
      <w:r w:rsidRPr="00B47E41">
        <w:t xml:space="preserve"> (</w:t>
      </w:r>
      <w:r w:rsidR="002C7791" w:rsidRPr="00B47E41">
        <w:t>Figure </w:t>
      </w:r>
      <w:r w:rsidR="0000550A">
        <w:t>2.</w:t>
      </w:r>
      <w:r w:rsidRPr="00B47E41">
        <w:t>1</w:t>
      </w:r>
      <w:r w:rsidR="00855B9C">
        <w:t>2</w:t>
      </w:r>
      <w:r w:rsidRPr="00B47E41">
        <w:t>).</w:t>
      </w:r>
    </w:p>
    <w:p w:rsidR="00A87987" w:rsidRDefault="00A87987" w:rsidP="00D71A3D">
      <w:pPr>
        <w:pStyle w:val="Heading3"/>
      </w:pPr>
      <w:r>
        <w:t>S</w:t>
      </w:r>
      <w:r w:rsidRPr="000F4598">
        <w:t>afe and supportive communities</w:t>
      </w:r>
    </w:p>
    <w:p w:rsidR="00A87987" w:rsidRPr="00B808B7" w:rsidRDefault="00A87987" w:rsidP="00D71A3D">
      <w:pPr>
        <w:pStyle w:val="BodyText"/>
      </w:pPr>
      <w:r w:rsidRPr="00B808B7">
        <w:t xml:space="preserve">Safe and supportive families and communities provide the foundations for the physical and mental wellbeing of children and adults. Together they </w:t>
      </w:r>
      <w:r>
        <w:t xml:space="preserve">can </w:t>
      </w:r>
      <w:r w:rsidRPr="00B808B7">
        <w:t>provide a protective, caring and resilient environment, promoting a range of positive outcomes.</w:t>
      </w:r>
    </w:p>
    <w:p w:rsidR="00A87987" w:rsidRDefault="00A87987" w:rsidP="00D71A3D">
      <w:pPr>
        <w:pStyle w:val="BodyText"/>
      </w:pPr>
      <w:r>
        <w:t>However, m</w:t>
      </w:r>
      <w:r w:rsidRPr="00994AAE">
        <w:t xml:space="preserve">any Indigenous communities live under severe social strain. </w:t>
      </w:r>
      <w:r w:rsidRPr="00B808B7">
        <w:t>Community breakdown can contribute to alcohol and drug misuse, child abuse and neglect, violence and imprisonment, and poor health, education, employment and income outcomes.</w:t>
      </w:r>
      <w:r>
        <w:t xml:space="preserve"> </w:t>
      </w:r>
      <w:r w:rsidRPr="00B808B7">
        <w:t>Governments’ ability to influence these outcomes varies.</w:t>
      </w:r>
    </w:p>
    <w:p w:rsidR="00A87987" w:rsidRDefault="00A87987" w:rsidP="00D71A3D">
      <w:pPr>
        <w:pStyle w:val="BodyText"/>
      </w:pPr>
      <w:r>
        <w:t xml:space="preserve">A range of factors can inhibit healthy community functioning. </w:t>
      </w:r>
      <w:r w:rsidRPr="00B808B7">
        <w:t xml:space="preserve">Unemployment, welfare dependency and low incomes </w:t>
      </w:r>
      <w:r>
        <w:t>affect</w:t>
      </w:r>
      <w:r w:rsidRPr="00B808B7">
        <w:t xml:space="preserve"> living standards, self-esteem and overall wellbeing</w:t>
      </w:r>
      <w:r>
        <w:t xml:space="preserve">. </w:t>
      </w:r>
      <w:r w:rsidRPr="00B808B7">
        <w:t>Excessive drinking has both health and social consequences</w:t>
      </w:r>
      <w:r>
        <w:t xml:space="preserve">. </w:t>
      </w:r>
      <w:r w:rsidRPr="00B808B7">
        <w:t xml:space="preserve">Drug use contributes to illness, violence and crime, family and social disruption, </w:t>
      </w:r>
      <w:r w:rsidRPr="00B808B7">
        <w:lastRenderedPageBreak/>
        <w:t>and workplace problems</w:t>
      </w:r>
      <w:r>
        <w:t xml:space="preserve">. </w:t>
      </w:r>
      <w:r w:rsidRPr="00B808B7">
        <w:t xml:space="preserve">Overcrowding </w:t>
      </w:r>
      <w:r>
        <w:t xml:space="preserve">in housing </w:t>
      </w:r>
      <w:r w:rsidRPr="00B808B7">
        <w:t xml:space="preserve">can increase domestic tensions and </w:t>
      </w:r>
      <w:r w:rsidR="00090901">
        <w:t>affect</w:t>
      </w:r>
      <w:r w:rsidR="002C7791">
        <w:t xml:space="preserve"> </w:t>
      </w:r>
      <w:r w:rsidRPr="00B808B7">
        <w:t>people’s health and education</w:t>
      </w:r>
    </w:p>
    <w:p w:rsidR="00A87987" w:rsidRDefault="00A87987" w:rsidP="00D71A3D">
      <w:pPr>
        <w:pStyle w:val="BodyText"/>
      </w:pPr>
      <w:r>
        <w:t>This part of the paper examines outcomes for Indigenous people in housing overcrowding, child abuse and neglect, violence, imprisonment and juvenile detention.</w:t>
      </w:r>
    </w:p>
    <w:p w:rsidR="00A87987" w:rsidRDefault="00A87987" w:rsidP="00A87987">
      <w:pPr>
        <w:pStyle w:val="Heading4"/>
      </w:pPr>
      <w:r>
        <w:t>Overcrowding</w:t>
      </w:r>
    </w:p>
    <w:p w:rsidR="00A87987" w:rsidRPr="00B514CF" w:rsidRDefault="00A87987" w:rsidP="00D71A3D">
      <w:pPr>
        <w:pStyle w:val="FigureTitle"/>
      </w:pPr>
      <w:r w:rsidRPr="00B514CF">
        <w:t xml:space="preserve">Figure </w:t>
      </w:r>
      <w:r w:rsidR="0000550A">
        <w:t>2.</w:t>
      </w:r>
      <w:r>
        <w:t>1</w:t>
      </w:r>
      <w:r w:rsidR="00855B9C">
        <w:rPr>
          <w:noProof/>
        </w:rPr>
        <w:t>3</w:t>
      </w:r>
      <w:r w:rsidRPr="00B514CF">
        <w:tab/>
        <w:t>People in overcrowded housing, 2008</w:t>
      </w:r>
      <w:r w:rsidRPr="00B514CF">
        <w:rPr>
          <w:rStyle w:val="NoteLabel"/>
          <w:b/>
        </w:rPr>
        <w:t>a</w:t>
      </w:r>
      <w:r>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RPr="00E0643B" w:rsidTr="00AB0424">
        <w:tc>
          <w:tcPr>
            <w:tcW w:w="8777" w:type="dxa"/>
          </w:tcPr>
          <w:p w:rsidR="00A87987" w:rsidRPr="005D74A1" w:rsidRDefault="00A87987" w:rsidP="00AB0424">
            <w:pPr>
              <w:pStyle w:val="Figure"/>
            </w:pPr>
            <w:r>
              <w:rPr>
                <w:noProof/>
              </w:rPr>
              <w:drawing>
                <wp:inline distT="0" distB="0" distL="0" distR="0">
                  <wp:extent cx="5391150" cy="2876550"/>
                  <wp:effectExtent l="0" t="0" r="0" b="0"/>
                  <wp:docPr id="11" name="Picture 11" descr="Figure 2.13 People in overcrowded housing, 2008. The chart shows proportions of Indigneous and non-Indigenous people in overcrowded housing by state/territory. Key results are highlighted in the paragraph following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A87987" w:rsidRPr="007B0D2E" w:rsidRDefault="00A87987" w:rsidP="00A87987">
      <w:pPr>
        <w:pStyle w:val="Note"/>
        <w:rPr>
          <w:rFonts w:cs="Arial"/>
          <w:szCs w:val="18"/>
        </w:rPr>
      </w:pPr>
      <w:r w:rsidRPr="007B0D2E">
        <w:rPr>
          <w:rStyle w:val="NoteLabel"/>
        </w:rPr>
        <w:t>a</w:t>
      </w:r>
      <w:r w:rsidRPr="007B0D2E">
        <w:sym w:font="Symbol" w:char="F020"/>
      </w:r>
      <w:r w:rsidRPr="007B0D2E">
        <w:t>Households requiring at least one additional bedroom, based on the Canadian National Occupancy Standa</w:t>
      </w:r>
      <w:r>
        <w:t xml:space="preserve">rd for Housing Appropriateness. </w:t>
      </w:r>
      <w:r>
        <w:rPr>
          <w:rStyle w:val="NoteLabel"/>
        </w:rPr>
        <w:t>b</w:t>
      </w:r>
      <w:r>
        <w:sym w:font="Symbol" w:char="F020"/>
      </w:r>
      <w:r w:rsidRPr="004D1FA2">
        <w:t xml:space="preserve"> </w:t>
      </w:r>
      <w:r>
        <w:t>See source tables for definitions and notes</w:t>
      </w:r>
      <w:r w:rsidRPr="0030614A">
        <w:t>.</w:t>
      </w:r>
    </w:p>
    <w:p w:rsidR="00A87987" w:rsidRDefault="00A87987" w:rsidP="00A87987">
      <w:pPr>
        <w:pStyle w:val="Note"/>
      </w:pPr>
      <w:r>
        <w:rPr>
          <w:i/>
        </w:rPr>
        <w:t>Data s</w:t>
      </w:r>
      <w:r w:rsidRPr="007B0D2E">
        <w:rPr>
          <w:i/>
        </w:rPr>
        <w:t>ource</w:t>
      </w:r>
      <w:r w:rsidR="002C7791">
        <w:rPr>
          <w:i/>
        </w:rPr>
        <w:t>s</w:t>
      </w:r>
      <w:r w:rsidRPr="007B0D2E">
        <w:t>:</w:t>
      </w:r>
      <w:r w:rsidRPr="00421326">
        <w:t xml:space="preserve"> ABS</w:t>
      </w:r>
      <w:r w:rsidR="00507B56">
        <w:t>,</w:t>
      </w:r>
      <w:r w:rsidRPr="00421326">
        <w:t xml:space="preserve"> </w:t>
      </w:r>
      <w:proofErr w:type="spellStart"/>
      <w:r w:rsidRPr="00421326">
        <w:t>NATSISS</w:t>
      </w:r>
      <w:proofErr w:type="spellEnd"/>
      <w:r w:rsidRPr="00421326">
        <w:t xml:space="preserve"> 2008</w:t>
      </w:r>
      <w:r w:rsidR="00507B56">
        <w:t>, unpublished</w:t>
      </w:r>
      <w:r w:rsidRPr="00421326">
        <w:t>; ABS</w:t>
      </w:r>
      <w:r w:rsidR="00507B56">
        <w:t>,</w:t>
      </w:r>
      <w:r w:rsidRPr="00421326">
        <w:t xml:space="preserve"> </w:t>
      </w:r>
      <w:proofErr w:type="spellStart"/>
      <w:r w:rsidRPr="00421326">
        <w:t>NHS</w:t>
      </w:r>
      <w:proofErr w:type="spellEnd"/>
      <w:r w:rsidRPr="00421326">
        <w:t xml:space="preserve"> 2007</w:t>
      </w:r>
      <w:r w:rsidR="0097792A">
        <w:t>–</w:t>
      </w:r>
      <w:r w:rsidRPr="00421326">
        <w:t>08</w:t>
      </w:r>
      <w:r w:rsidR="00507B56">
        <w:t>, unpublished</w:t>
      </w:r>
      <w:r>
        <w:t xml:space="preserve">; </w:t>
      </w:r>
      <w:proofErr w:type="spellStart"/>
      <w:r>
        <w:t>SCRGSP</w:t>
      </w:r>
      <w:proofErr w:type="spellEnd"/>
      <w:r>
        <w:t xml:space="preserve"> (</w:t>
      </w:r>
      <w:proofErr w:type="spellStart"/>
      <w:r>
        <w:t>2011b</w:t>
      </w:r>
      <w:proofErr w:type="spellEnd"/>
      <w:r>
        <w:t>), table </w:t>
      </w:r>
      <w:proofErr w:type="spellStart"/>
      <w:r>
        <w:t>9A.1.1</w:t>
      </w:r>
      <w:proofErr w:type="spellEnd"/>
      <w:r w:rsidRPr="007B0D2E">
        <w:t>.</w:t>
      </w:r>
    </w:p>
    <w:p w:rsidR="00A87987" w:rsidRDefault="00A87987" w:rsidP="00D71A3D">
      <w:pPr>
        <w:pStyle w:val="BodyText"/>
      </w:pPr>
      <w:r w:rsidRPr="00AD6AB8">
        <w:t>In 2008, 2</w:t>
      </w:r>
      <w:r>
        <w:t>8</w:t>
      </w:r>
      <w:r w:rsidRPr="00AD6AB8">
        <w:t xml:space="preserve"> per cent</w:t>
      </w:r>
      <w:r>
        <w:t xml:space="preserve"> of</w:t>
      </w:r>
      <w:r w:rsidRPr="00AD6AB8">
        <w:t xml:space="preserve"> Indigenous Australians lived in overcrowded housing</w:t>
      </w:r>
      <w:r>
        <w:t xml:space="preserve">, </w:t>
      </w:r>
      <w:r w:rsidRPr="00AD6AB8">
        <w:t xml:space="preserve">five times the rate for </w:t>
      </w:r>
      <w:r>
        <w:t>other</w:t>
      </w:r>
      <w:r w:rsidRPr="00AD6AB8">
        <w:t xml:space="preserve"> Australians (</w:t>
      </w:r>
      <w:r w:rsidR="002C7791" w:rsidRPr="00AD6AB8">
        <w:t xml:space="preserve">Figure </w:t>
      </w:r>
      <w:r w:rsidR="0000550A">
        <w:t>2.</w:t>
      </w:r>
      <w:r w:rsidRPr="00AD6AB8">
        <w:t>1</w:t>
      </w:r>
      <w:r w:rsidR="00855B9C">
        <w:t>3</w:t>
      </w:r>
      <w:r w:rsidRPr="00AD6AB8">
        <w:t>).</w:t>
      </w:r>
      <w:r>
        <w:t xml:space="preserve"> Overcrowding rates increased with remoteness, from 13 per cent in major cities to 58 per cent in very remote areas (</w:t>
      </w:r>
      <w:proofErr w:type="spellStart"/>
      <w:r>
        <w:t>SCRGSP</w:t>
      </w:r>
      <w:proofErr w:type="spellEnd"/>
      <w:r>
        <w:t xml:space="preserve"> </w:t>
      </w:r>
      <w:proofErr w:type="spellStart"/>
      <w:r>
        <w:t>2011b</w:t>
      </w:r>
      <w:proofErr w:type="spellEnd"/>
      <w:r>
        <w:t>, figure 9.1.2). There was no statistically significant change in the overcrowding rate between 2002 and 2008 (</w:t>
      </w:r>
      <w:proofErr w:type="spellStart"/>
      <w:r>
        <w:t>SCRGSP</w:t>
      </w:r>
      <w:proofErr w:type="spellEnd"/>
      <w:r>
        <w:t xml:space="preserve"> </w:t>
      </w:r>
      <w:proofErr w:type="spellStart"/>
      <w:r w:rsidRPr="00994AAE">
        <w:t>2011b</w:t>
      </w:r>
      <w:proofErr w:type="spellEnd"/>
      <w:r>
        <w:t>, figure 9.1.2).</w:t>
      </w:r>
    </w:p>
    <w:p w:rsidR="00A87987" w:rsidRDefault="00A87987" w:rsidP="00A87987">
      <w:pPr>
        <w:pStyle w:val="Heading4"/>
      </w:pPr>
      <w:r>
        <w:t>Substantiated child abuse and neglect rates continue to rise</w:t>
      </w:r>
    </w:p>
    <w:p w:rsidR="00A87987" w:rsidRPr="00A367DA" w:rsidRDefault="00A87987" w:rsidP="00D71A3D">
      <w:pPr>
        <w:pStyle w:val="BodyText"/>
      </w:pPr>
      <w:r>
        <w:t xml:space="preserve">No data exist on the actual </w:t>
      </w:r>
      <w:r w:rsidRPr="00F90406">
        <w:t xml:space="preserve">extent of abuse, neglect and harm to children </w:t>
      </w:r>
      <w:r>
        <w:t>with</w:t>
      </w:r>
      <w:r w:rsidRPr="00F90406">
        <w:t>in the family environment</w:t>
      </w:r>
      <w:r>
        <w:t xml:space="preserve">. The available data refer only to matters that have been notified to the authorities, and investigated and substantiated. Numbers and rates of </w:t>
      </w:r>
      <w:r>
        <w:lastRenderedPageBreak/>
        <w:t xml:space="preserve">substantiations are affected by the willingness of people to report incidents, government policies and practices (including variations in what constitutes substantiation), and the availability of services. </w:t>
      </w:r>
    </w:p>
    <w:p w:rsidR="00A87987" w:rsidRDefault="00A87987" w:rsidP="00D71A3D">
      <w:pPr>
        <w:pStyle w:val="FigureTitle"/>
      </w:pPr>
      <w:r>
        <w:t xml:space="preserve">Figure </w:t>
      </w:r>
      <w:r w:rsidR="00064343">
        <w:t>2.</w:t>
      </w:r>
      <w:r>
        <w:t>1</w:t>
      </w:r>
      <w:r w:rsidR="00855B9C">
        <w:rPr>
          <w:noProof/>
        </w:rPr>
        <w:t>4</w:t>
      </w:r>
      <w:r>
        <w:tab/>
        <w:t>Substantiated notifications of child abuse or neglect (time series)</w:t>
      </w:r>
      <w:r w:rsidRPr="00DC7881">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67025"/>
                  <wp:effectExtent l="0" t="0" r="0" b="9525"/>
                  <wp:docPr id="12" name="Picture 12" descr="Figure 2.14 Substantiated notifications of child abuse or neglect (time series). The chart shows the proportions of Indigenous and non-Indigenous children with substantiated notifications of child abuse and neglect annually from 1999-00 to 2009-10. Key results are highlighted in the paragraph below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A87987" w:rsidRDefault="00A87987" w:rsidP="00A87987">
      <w:pPr>
        <w:pStyle w:val="Note"/>
      </w:pPr>
      <w:r>
        <w:rPr>
          <w:rStyle w:val="NoteLabel"/>
        </w:rPr>
        <w:t>a </w:t>
      </w:r>
      <w:r>
        <w:t>See source table for definitions and notes</w:t>
      </w:r>
      <w:r w:rsidRPr="0030614A">
        <w:t>.</w:t>
      </w:r>
    </w:p>
    <w:p w:rsidR="00A87987" w:rsidRDefault="00A87987" w:rsidP="00A87987">
      <w:pPr>
        <w:pStyle w:val="Source"/>
      </w:pPr>
      <w:r>
        <w:rPr>
          <w:i/>
        </w:rPr>
        <w:t>Data source</w:t>
      </w:r>
      <w:r w:rsidR="002C7791">
        <w:rPr>
          <w:i/>
        </w:rPr>
        <w:t>s</w:t>
      </w:r>
      <w:r w:rsidRPr="00167F06">
        <w:t xml:space="preserve">: </w:t>
      </w:r>
      <w:proofErr w:type="spellStart"/>
      <w:r w:rsidRPr="00DC7881">
        <w:t>AIHW</w:t>
      </w:r>
      <w:proofErr w:type="spellEnd"/>
      <w:r w:rsidRPr="00DC7881">
        <w:t xml:space="preserve">, </w:t>
      </w:r>
      <w:r w:rsidR="00270CF6">
        <w:t xml:space="preserve">derived from </w:t>
      </w:r>
      <w:r w:rsidRPr="00721767">
        <w:rPr>
          <w:i/>
        </w:rPr>
        <w:t>Child Protection Notifications, Investigations and Substantiations</w:t>
      </w:r>
      <w:r w:rsidR="00A905DB">
        <w:rPr>
          <w:i/>
        </w:rPr>
        <w:t xml:space="preserve"> </w:t>
      </w:r>
      <w:r w:rsidRPr="00721767">
        <w:rPr>
          <w:i/>
        </w:rPr>
        <w:t>, Australia</w:t>
      </w:r>
      <w:r w:rsidRPr="00DC7881">
        <w:t xml:space="preserve"> data collection</w:t>
      </w:r>
      <w:r w:rsidR="00507B56">
        <w:t>, unpublished</w:t>
      </w:r>
      <w:r w:rsidRPr="00DC7881">
        <w:t xml:space="preserve">; </w:t>
      </w:r>
      <w:proofErr w:type="spellStart"/>
      <w:r>
        <w:t>SCRGSP</w:t>
      </w:r>
      <w:proofErr w:type="spellEnd"/>
      <w:r>
        <w:t xml:space="preserve"> (</w:t>
      </w:r>
      <w:proofErr w:type="spellStart"/>
      <w:r>
        <w:t>2011b</w:t>
      </w:r>
      <w:proofErr w:type="spellEnd"/>
      <w:r>
        <w:t xml:space="preserve">), </w:t>
      </w:r>
      <w:r w:rsidRPr="00DC7881">
        <w:t xml:space="preserve">table </w:t>
      </w:r>
      <w:proofErr w:type="spellStart"/>
      <w:r w:rsidRPr="00DC7881">
        <w:t>4A.10.</w:t>
      </w:r>
      <w:r>
        <w:t>2</w:t>
      </w:r>
      <w:proofErr w:type="spellEnd"/>
      <w:r w:rsidRPr="00DC7881">
        <w:t>.</w:t>
      </w:r>
    </w:p>
    <w:p w:rsidR="00A87987" w:rsidRDefault="00A87987" w:rsidP="00D71A3D">
      <w:pPr>
        <w:pStyle w:val="BodyText"/>
      </w:pPr>
      <w:r w:rsidRPr="00F90406">
        <w:t>In 2009</w:t>
      </w:r>
      <w:r w:rsidR="00270CF6">
        <w:noBreakHyphen/>
      </w:r>
      <w:r w:rsidRPr="00F90406">
        <w:t xml:space="preserve">10, Indigenous children were subject to substantiation at </w:t>
      </w:r>
      <w:r>
        <w:t xml:space="preserve">over seven </w:t>
      </w:r>
      <w:r w:rsidRPr="00F90406">
        <w:t xml:space="preserve">times the rate </w:t>
      </w:r>
      <w:r>
        <w:t>for</w:t>
      </w:r>
      <w:r w:rsidRPr="00F90406">
        <w:t xml:space="preserve"> </w:t>
      </w:r>
      <w:r>
        <w:t>other</w:t>
      </w:r>
      <w:r w:rsidRPr="00F90406">
        <w:t xml:space="preserve"> children</w:t>
      </w:r>
      <w:r>
        <w:t xml:space="preserve"> (</w:t>
      </w:r>
      <w:r w:rsidR="002C7791">
        <w:t xml:space="preserve">Figure </w:t>
      </w:r>
      <w:r w:rsidR="00064343">
        <w:t>2.</w:t>
      </w:r>
      <w:r>
        <w:t>1</w:t>
      </w:r>
      <w:r w:rsidR="00855B9C">
        <w:t>4</w:t>
      </w:r>
      <w:r>
        <w:t>). From 1999</w:t>
      </w:r>
      <w:r w:rsidR="00270CF6">
        <w:noBreakHyphen/>
      </w:r>
      <w:r>
        <w:t>2000</w:t>
      </w:r>
      <w:r w:rsidRPr="007B4D02">
        <w:t xml:space="preserve"> to 200</w:t>
      </w:r>
      <w:r>
        <w:t>9</w:t>
      </w:r>
      <w:r w:rsidR="00270CF6">
        <w:noBreakHyphen/>
      </w:r>
      <w:r>
        <w:t xml:space="preserve">10, </w:t>
      </w:r>
      <w:r w:rsidR="002C7791">
        <w:t>t</w:t>
      </w:r>
      <w:r w:rsidRPr="007B4D02">
        <w:t>he substantiation rate for Ind</w:t>
      </w:r>
      <w:r>
        <w:t xml:space="preserve">igenous children increased from 15 </w:t>
      </w:r>
      <w:r w:rsidRPr="00F80866">
        <w:t xml:space="preserve">per 1000 children </w:t>
      </w:r>
      <w:r>
        <w:t>in 1999</w:t>
      </w:r>
      <w:r w:rsidR="00270CF6">
        <w:noBreakHyphen/>
      </w:r>
      <w:r>
        <w:t>2000 to 37 per 1000 children in 2009</w:t>
      </w:r>
      <w:r w:rsidR="00270CF6">
        <w:noBreakHyphen/>
      </w:r>
      <w:r>
        <w:t>10. T</w:t>
      </w:r>
      <w:r w:rsidRPr="007B4D02">
        <w:t xml:space="preserve">he rate for </w:t>
      </w:r>
      <w:r>
        <w:t xml:space="preserve">other children increased from 4 to 5 per 1000 children over the same period. </w:t>
      </w:r>
      <w:r w:rsidRPr="00F90406">
        <w:t xml:space="preserve">It is possible that some of the increase </w:t>
      </w:r>
      <w:r>
        <w:t>for Indigenous children is</w:t>
      </w:r>
      <w:r w:rsidRPr="00F90406">
        <w:t xml:space="preserve"> due to improved child protection action, but some is likely to reflect real increases in child abuse and neglect, given little improvement in the social and economic circumstances of Indigenous people.</w:t>
      </w:r>
    </w:p>
    <w:p w:rsidR="00A87987" w:rsidRPr="00CC20B5" w:rsidRDefault="00A87987" w:rsidP="00D71A3D">
      <w:pPr>
        <w:pStyle w:val="FigureTitle"/>
      </w:pPr>
      <w:r w:rsidRPr="00CC20B5">
        <w:lastRenderedPageBreak/>
        <w:t xml:space="preserve">Figure </w:t>
      </w:r>
      <w:r w:rsidR="00064343">
        <w:t>2.</w:t>
      </w:r>
      <w:r>
        <w:t>1</w:t>
      </w:r>
      <w:r w:rsidR="00855B9C">
        <w:rPr>
          <w:noProof/>
        </w:rPr>
        <w:t>5</w:t>
      </w:r>
      <w:r w:rsidRPr="00CC20B5">
        <w:tab/>
      </w:r>
      <w:r w:rsidRPr="00C94B1F">
        <w:t>Substantiated notifications of child abuse or neglect</w:t>
      </w:r>
      <w:r>
        <w:t xml:space="preserve"> (by jurisdiction), 2009</w:t>
      </w:r>
      <w:r w:rsidR="00270CF6">
        <w:noBreakHyphen/>
      </w:r>
      <w:r>
        <w:t>10</w:t>
      </w:r>
      <w:r>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RPr="00B32599" w:rsidTr="00AB0424">
        <w:tc>
          <w:tcPr>
            <w:tcW w:w="8777" w:type="dxa"/>
          </w:tcPr>
          <w:p w:rsidR="00A87987" w:rsidRPr="00717249" w:rsidRDefault="00A87987" w:rsidP="00AB0424">
            <w:pPr>
              <w:pStyle w:val="Figure"/>
            </w:pPr>
            <w:r>
              <w:rPr>
                <w:noProof/>
              </w:rPr>
              <w:drawing>
                <wp:inline distT="0" distB="0" distL="0" distR="0">
                  <wp:extent cx="5391150" cy="2876550"/>
                  <wp:effectExtent l="0" t="0" r="0" b="0"/>
                  <wp:docPr id="13" name="Picture 13" descr="Figure 2.15 Substantiated notifications of child abuse or neglect (by jurisdiction), 2009 10. The chart shows the proportions of Indigenous and non-Indigenous children with substantiated notifications of child abuse and neglect by state/territory. Key results are highlighted in the paragraph below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A87987" w:rsidRPr="00381351" w:rsidRDefault="00A87987" w:rsidP="00D71A3D">
      <w:pPr>
        <w:pStyle w:val="Source"/>
      </w:pPr>
      <w:r w:rsidRPr="00381351">
        <w:rPr>
          <w:rStyle w:val="NoteLabel"/>
        </w:rPr>
        <w:t>a</w:t>
      </w:r>
      <w:r w:rsidRPr="00381351">
        <w:sym w:font="Symbol" w:char="F020"/>
      </w:r>
      <w:r w:rsidRPr="004F6422">
        <w:t xml:space="preserve"> </w:t>
      </w:r>
      <w:r>
        <w:t>See source table for definitions and notes</w:t>
      </w:r>
      <w:r w:rsidRPr="0030614A">
        <w:t>.</w:t>
      </w:r>
      <w:r w:rsidRPr="007E4962">
        <w:t xml:space="preserve"> </w:t>
      </w:r>
    </w:p>
    <w:p w:rsidR="00A87987" w:rsidRPr="00381351" w:rsidRDefault="00090901" w:rsidP="00D71A3D">
      <w:pPr>
        <w:pStyle w:val="Source"/>
      </w:pPr>
      <w:r>
        <w:rPr>
          <w:i/>
        </w:rPr>
        <w:t>Data s</w:t>
      </w:r>
      <w:r w:rsidR="00A87987" w:rsidRPr="00381351">
        <w:rPr>
          <w:i/>
        </w:rPr>
        <w:t>ource</w:t>
      </w:r>
      <w:r w:rsidR="002C7791">
        <w:rPr>
          <w:i/>
        </w:rPr>
        <w:t>s</w:t>
      </w:r>
      <w:r w:rsidR="00A87987" w:rsidRPr="007E732B">
        <w:t>:</w:t>
      </w:r>
      <w:r w:rsidR="00A87987" w:rsidRPr="00381351">
        <w:t xml:space="preserve"> </w:t>
      </w:r>
      <w:proofErr w:type="spellStart"/>
      <w:r w:rsidR="00A87987" w:rsidRPr="00381351">
        <w:t>AIHW</w:t>
      </w:r>
      <w:proofErr w:type="spellEnd"/>
      <w:r w:rsidR="00A87987">
        <w:t xml:space="preserve">, derived from </w:t>
      </w:r>
      <w:r w:rsidR="00A87987" w:rsidRPr="00721767">
        <w:rPr>
          <w:i/>
        </w:rPr>
        <w:t>Child Protection Notifications, Investigations and Substantiations, Australia</w:t>
      </w:r>
      <w:r w:rsidR="00A87987" w:rsidRPr="00381351">
        <w:t xml:space="preserve"> data collection</w:t>
      </w:r>
      <w:r w:rsidR="00B1549B">
        <w:t xml:space="preserve">, unpublished </w:t>
      </w:r>
      <w:r w:rsidR="00A87987" w:rsidRPr="00381351">
        <w:t xml:space="preserve">; </w:t>
      </w:r>
      <w:proofErr w:type="spellStart"/>
      <w:r w:rsidR="00A87987">
        <w:t>SCRGSP</w:t>
      </w:r>
      <w:proofErr w:type="spellEnd"/>
      <w:r w:rsidR="00A87987">
        <w:t xml:space="preserve"> (</w:t>
      </w:r>
      <w:proofErr w:type="spellStart"/>
      <w:r w:rsidR="00A87987">
        <w:t>2011b</w:t>
      </w:r>
      <w:proofErr w:type="spellEnd"/>
      <w:r w:rsidR="00A87987">
        <w:t xml:space="preserve">), </w:t>
      </w:r>
      <w:r w:rsidR="00A87987" w:rsidRPr="00381351">
        <w:t xml:space="preserve">table </w:t>
      </w:r>
      <w:proofErr w:type="spellStart"/>
      <w:r w:rsidR="00A87987" w:rsidRPr="00381351">
        <w:t>4A.10.</w:t>
      </w:r>
      <w:r w:rsidR="00A87987">
        <w:t>2</w:t>
      </w:r>
      <w:proofErr w:type="spellEnd"/>
      <w:r w:rsidR="00A87987" w:rsidRPr="00381351">
        <w:t>.</w:t>
      </w:r>
    </w:p>
    <w:p w:rsidR="00A87987" w:rsidRDefault="00A87987" w:rsidP="00D71A3D">
      <w:pPr>
        <w:pStyle w:val="BodyText"/>
      </w:pPr>
      <w:r>
        <w:t>T</w:t>
      </w:r>
      <w:r w:rsidRPr="005664C7">
        <w:t>he substantiation rate for Indigenous children was</w:t>
      </w:r>
      <w:r>
        <w:t xml:space="preserve"> </w:t>
      </w:r>
      <w:r w:rsidRPr="005664C7">
        <w:t xml:space="preserve">higher than the rate for </w:t>
      </w:r>
      <w:r>
        <w:t>other</w:t>
      </w:r>
      <w:r w:rsidRPr="005664C7">
        <w:t xml:space="preserve"> </w:t>
      </w:r>
      <w:r w:rsidRPr="00FB64FD">
        <w:t xml:space="preserve">children in all </w:t>
      </w:r>
      <w:r w:rsidR="00D72C9C">
        <w:t xml:space="preserve">States </w:t>
      </w:r>
      <w:r>
        <w:t xml:space="preserve">and </w:t>
      </w:r>
      <w:r w:rsidR="00D72C9C">
        <w:t xml:space="preserve">Territories </w:t>
      </w:r>
      <w:r w:rsidRPr="00FB64FD">
        <w:t>(</w:t>
      </w:r>
      <w:r w:rsidR="00D72C9C" w:rsidRPr="00FB64FD">
        <w:t>Figure </w:t>
      </w:r>
      <w:r w:rsidR="00064343">
        <w:t>2.</w:t>
      </w:r>
      <w:r>
        <w:t>1</w:t>
      </w:r>
      <w:r w:rsidR="00855B9C">
        <w:t>5</w:t>
      </w:r>
      <w:r w:rsidRPr="00FB64FD">
        <w:t>).</w:t>
      </w:r>
    </w:p>
    <w:p w:rsidR="00A87987" w:rsidRDefault="00A87987" w:rsidP="00D71A3D">
      <w:pPr>
        <w:pStyle w:val="Heading4"/>
      </w:pPr>
      <w:r>
        <w:t>Violence can undermine safe and supportive communities</w:t>
      </w:r>
    </w:p>
    <w:p w:rsidR="00A87987" w:rsidRPr="00FE75F8" w:rsidRDefault="00A87987" w:rsidP="00D71A3D">
      <w:pPr>
        <w:pStyle w:val="BodyText"/>
      </w:pPr>
      <w:r>
        <w:t xml:space="preserve">Social, economic and environmental factors — including unemployment, low income, housing overcrowding and alcohol and substance misuse — can all contribute to family and community violence. </w:t>
      </w:r>
      <w:r w:rsidRPr="00FE75F8">
        <w:t xml:space="preserve">A higher proportion of Indigenous </w:t>
      </w:r>
      <w:r>
        <w:t>adults</w:t>
      </w:r>
      <w:r w:rsidRPr="00FE75F8">
        <w:t xml:space="preserve"> </w:t>
      </w:r>
      <w:r>
        <w:t>(20 per cent in 2008) than other adults (11 per cent in 2006) reported in surveys that they had been victims of physical or threatened violence in the previous 12 months (</w:t>
      </w:r>
      <w:proofErr w:type="spellStart"/>
      <w:r>
        <w:t>SCRGSP</w:t>
      </w:r>
      <w:proofErr w:type="spellEnd"/>
      <w:r>
        <w:t xml:space="preserve"> </w:t>
      </w:r>
      <w:proofErr w:type="spellStart"/>
      <w:r>
        <w:t>2011b</w:t>
      </w:r>
      <w:proofErr w:type="spellEnd"/>
      <w:r>
        <w:t xml:space="preserve">, table </w:t>
      </w:r>
      <w:proofErr w:type="spellStart"/>
      <w:r>
        <w:t>4A.11.1</w:t>
      </w:r>
      <w:proofErr w:type="spellEnd"/>
      <w:r>
        <w:t>).</w:t>
      </w:r>
    </w:p>
    <w:p w:rsidR="00A87987" w:rsidRDefault="00A87987" w:rsidP="00D71A3D">
      <w:pPr>
        <w:pStyle w:val="FigureTitle"/>
      </w:pPr>
      <w:r w:rsidRPr="00D71A3D">
        <w:lastRenderedPageBreak/>
        <w:t xml:space="preserve">Figure </w:t>
      </w:r>
      <w:r w:rsidR="00064343">
        <w:t>2.</w:t>
      </w:r>
      <w:r w:rsidRPr="00D71A3D">
        <w:t>1</w:t>
      </w:r>
      <w:r w:rsidR="00855B9C">
        <w:t>6</w:t>
      </w:r>
      <w:r w:rsidRPr="00D71A3D">
        <w:tab/>
      </w:r>
      <w:r>
        <w:t xml:space="preserve">Hospitalisation </w:t>
      </w:r>
      <w:r w:rsidRPr="005F555A">
        <w:t>for f</w:t>
      </w:r>
      <w:r>
        <w:t>amily violence related assaults</w:t>
      </w:r>
      <w:r w:rsidRPr="0036724A">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76550"/>
                  <wp:effectExtent l="0" t="0" r="0" b="0"/>
                  <wp:docPr id="14" name="Picture 14" descr="Figure 2.16 Hospitalisation for family violence related assaults. The chart shows rates per 1000 population for Indigenous and other, by sex, annually for 2004-05 to 2008-09. Keyu results are highlighted in the paragraph below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A87987" w:rsidRPr="006F5264" w:rsidRDefault="00A87987" w:rsidP="00D71A3D">
      <w:pPr>
        <w:pStyle w:val="Source"/>
        <w:rPr>
          <w:rFonts w:cs="Arial"/>
          <w:szCs w:val="18"/>
        </w:rPr>
      </w:pPr>
      <w:r w:rsidRPr="006F5264">
        <w:rPr>
          <w:rStyle w:val="NoteLabel"/>
        </w:rPr>
        <w:t>a</w:t>
      </w:r>
      <w:r w:rsidRPr="006F5264">
        <w:sym w:font="Symbol" w:char="F020"/>
      </w:r>
      <w:r w:rsidRPr="005E1910">
        <w:t xml:space="preserve"> </w:t>
      </w:r>
      <w:r w:rsidRPr="002317AF">
        <w:t>NSW, Victoria, Queensland, WA, SA, and public hospitals in the NT</w:t>
      </w:r>
      <w:r>
        <w:t xml:space="preserve">. </w:t>
      </w:r>
      <w:r>
        <w:rPr>
          <w:rStyle w:val="NoteLabel"/>
        </w:rPr>
        <w:t xml:space="preserve">b </w:t>
      </w:r>
      <w:r w:rsidRPr="006F5264">
        <w:sym w:font="Symbol" w:char="F020"/>
      </w:r>
      <w:r>
        <w:t>See source table for definitions and notes</w:t>
      </w:r>
      <w:r w:rsidRPr="0030614A">
        <w:t>.</w:t>
      </w:r>
    </w:p>
    <w:p w:rsidR="00A87987" w:rsidRPr="006E7B61" w:rsidRDefault="00A87987" w:rsidP="00D71A3D">
      <w:pPr>
        <w:pStyle w:val="Source"/>
      </w:pPr>
      <w:r>
        <w:rPr>
          <w:i/>
        </w:rPr>
        <w:t>Data source</w:t>
      </w:r>
      <w:r w:rsidR="00D72C9C">
        <w:rPr>
          <w:i/>
        </w:rPr>
        <w:t>s</w:t>
      </w:r>
      <w:r w:rsidRPr="00167F06">
        <w:t xml:space="preserve">: </w:t>
      </w:r>
      <w:proofErr w:type="spellStart"/>
      <w:r w:rsidRPr="006E7B61">
        <w:t>AIHW</w:t>
      </w:r>
      <w:proofErr w:type="spellEnd"/>
      <w:r w:rsidR="009458FE">
        <w:t xml:space="preserve">, </w:t>
      </w:r>
      <w:r w:rsidRPr="006E7B61">
        <w:t>National Hospital M</w:t>
      </w:r>
      <w:r>
        <w:t>orbidity Database</w:t>
      </w:r>
      <w:r w:rsidR="009458FE">
        <w:t>, unpublished</w:t>
      </w:r>
      <w:r>
        <w:t xml:space="preserve">; </w:t>
      </w:r>
      <w:proofErr w:type="spellStart"/>
      <w:r>
        <w:t>SCRGSP</w:t>
      </w:r>
      <w:proofErr w:type="spellEnd"/>
      <w:r>
        <w:t xml:space="preserve"> (</w:t>
      </w:r>
      <w:proofErr w:type="spellStart"/>
      <w:r>
        <w:t>2011b</w:t>
      </w:r>
      <w:proofErr w:type="spellEnd"/>
      <w:r>
        <w:t xml:space="preserve">), table </w:t>
      </w:r>
      <w:proofErr w:type="spellStart"/>
      <w:r>
        <w:t>4A.11.6</w:t>
      </w:r>
      <w:proofErr w:type="spellEnd"/>
      <w:r>
        <w:t>.</w:t>
      </w:r>
    </w:p>
    <w:p w:rsidR="00A87987" w:rsidRDefault="00A87987" w:rsidP="00D71A3D">
      <w:pPr>
        <w:pStyle w:val="BodyText"/>
      </w:pPr>
      <w:r>
        <w:t>Between 2004</w:t>
      </w:r>
      <w:r w:rsidR="00A905DB">
        <w:noBreakHyphen/>
      </w:r>
      <w:r>
        <w:t>05 and 2008</w:t>
      </w:r>
      <w:r w:rsidR="00A905DB">
        <w:noBreakHyphen/>
      </w:r>
      <w:r>
        <w:t>09, the rate of hospitalisations for family violence related assault remained fairly constant for both Indigenous and other Australians. In 2008</w:t>
      </w:r>
      <w:r w:rsidR="00A905DB">
        <w:noBreakHyphen/>
      </w:r>
      <w:r>
        <w:t>09,</w:t>
      </w:r>
      <w:r w:rsidRPr="00132F1C">
        <w:t xml:space="preserve"> </w:t>
      </w:r>
      <w:r>
        <w:t>after adjusting for the different age structures of the Indigenous and other populations, Indigenous females were hospitalised for family violence assault at over 30 times the rate for other females (</w:t>
      </w:r>
      <w:r w:rsidR="00D72C9C">
        <w:t xml:space="preserve">Figure </w:t>
      </w:r>
      <w:r w:rsidR="00064343">
        <w:t>2.</w:t>
      </w:r>
      <w:r>
        <w:t>1</w:t>
      </w:r>
      <w:r w:rsidR="00855B9C">
        <w:t>6</w:t>
      </w:r>
      <w:r>
        <w:t>). Indigenous males were hospitalised for family violence assault at 25 times the rate for other males (</w:t>
      </w:r>
      <w:r w:rsidR="00D72C9C">
        <w:t>Figure </w:t>
      </w:r>
      <w:r w:rsidR="00064343">
        <w:t>2.</w:t>
      </w:r>
      <w:r>
        <w:t>1</w:t>
      </w:r>
      <w:r w:rsidR="00855B9C">
        <w:t>6</w:t>
      </w:r>
      <w:r>
        <w:t>).</w:t>
      </w:r>
    </w:p>
    <w:p w:rsidR="00A87987" w:rsidRDefault="00A87987" w:rsidP="00D71A3D">
      <w:pPr>
        <w:pStyle w:val="Heading4"/>
      </w:pPr>
      <w:r w:rsidRPr="002317AF">
        <w:t>Indigenous people are over-represented in the criminal justice system</w:t>
      </w:r>
    </w:p>
    <w:p w:rsidR="00A87987" w:rsidRDefault="00A87987" w:rsidP="00D71A3D">
      <w:pPr>
        <w:pStyle w:val="BodyText"/>
      </w:pPr>
      <w:r>
        <w:t>Indigenous people are over-represented in the criminal justice system, as both young people and adults. Poverty, unemployment, low levels of education, having a parent previously or currently in custody, and lack of access to social services are associated with high crime rates and high levels of imprisonment.</w:t>
      </w:r>
    </w:p>
    <w:p w:rsidR="00A87987" w:rsidRDefault="00A87987" w:rsidP="00D71A3D">
      <w:pPr>
        <w:pStyle w:val="FigureTitle"/>
      </w:pPr>
      <w:r>
        <w:lastRenderedPageBreak/>
        <w:t xml:space="preserve">Figure </w:t>
      </w:r>
      <w:r w:rsidR="00064343">
        <w:t>2.</w:t>
      </w:r>
      <w:r>
        <w:t>1</w:t>
      </w:r>
      <w:r w:rsidR="00855B9C">
        <w:rPr>
          <w:noProof/>
        </w:rPr>
        <w:t>7</w:t>
      </w:r>
      <w:r>
        <w:tab/>
        <w:t>Imprisonment rates, age standardised, per 100 000 adult males, Australia</w:t>
      </w:r>
      <w:r w:rsidRPr="00F25D16">
        <w:rPr>
          <w:rStyle w:val="NoteLabel"/>
          <w:b/>
        </w:rPr>
        <w:t>a, b</w:t>
      </w:r>
      <w:r>
        <w:rPr>
          <w:rStyle w:val="NoteLabel"/>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67025"/>
                  <wp:effectExtent l="0" t="0" r="0" b="9525"/>
                  <wp:docPr id="15" name="Picture 15" descr="Figure 2.17 Imprisonment rates, age standardised, per 100 000 adult males, Australia. The chart shows imprisonment rates for Indigenous and non-Indigenous males annually from 2000 to 2010. Key reuslts are highlighted in the paragraph below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A87987" w:rsidRPr="00F25D16" w:rsidRDefault="00A87987" w:rsidP="00D71A3D">
      <w:pPr>
        <w:pStyle w:val="Source"/>
      </w:pPr>
      <w:proofErr w:type="spellStart"/>
      <w:r>
        <w:rPr>
          <w:rStyle w:val="NoteLabel"/>
        </w:rPr>
        <w:t>a</w:t>
      </w:r>
      <w:proofErr w:type="spellEnd"/>
      <w:r>
        <w:sym w:font="Symbol" w:char="F020"/>
      </w:r>
      <w:r w:rsidRPr="002317AF">
        <w:t xml:space="preserve"> </w:t>
      </w:r>
      <w:r>
        <w:t>A</w:t>
      </w:r>
      <w:r w:rsidRPr="002317AF">
        <w:t>ge standardised</w:t>
      </w:r>
      <w:r w:rsidRPr="00F25D16">
        <w:t>.</w:t>
      </w:r>
      <w:r>
        <w:t xml:space="preserve"> </w:t>
      </w:r>
      <w:r>
        <w:rPr>
          <w:rStyle w:val="NoteLabel"/>
        </w:rPr>
        <w:t>b</w:t>
      </w:r>
      <w:r w:rsidRPr="006C5C0C">
        <w:rPr>
          <w:rStyle w:val="NoteLabel"/>
          <w:b w:val="0"/>
        </w:rPr>
        <w:t xml:space="preserve"> </w:t>
      </w:r>
      <w:r w:rsidRPr="006F5264">
        <w:sym w:font="Symbol" w:char="F020"/>
      </w:r>
      <w:r>
        <w:t>See source table for definitions and notes</w:t>
      </w:r>
      <w:r w:rsidRPr="0030614A">
        <w:t>.</w:t>
      </w:r>
    </w:p>
    <w:p w:rsidR="00A87987" w:rsidRPr="00F25D16" w:rsidRDefault="00A87987" w:rsidP="00D71A3D">
      <w:pPr>
        <w:pStyle w:val="Source"/>
      </w:pPr>
      <w:r>
        <w:rPr>
          <w:i/>
        </w:rPr>
        <w:t>Data source</w:t>
      </w:r>
      <w:r w:rsidR="00D72C9C">
        <w:rPr>
          <w:i/>
        </w:rPr>
        <w:t>s</w:t>
      </w:r>
      <w:r w:rsidRPr="00167F06">
        <w:t xml:space="preserve">: </w:t>
      </w:r>
      <w:r w:rsidRPr="00F25D16">
        <w:t>ABS</w:t>
      </w:r>
      <w:r w:rsidR="0097792A">
        <w:t xml:space="preserve"> </w:t>
      </w:r>
      <w:r>
        <w:t>(</w:t>
      </w:r>
      <w:r w:rsidRPr="00F25D16">
        <w:t>various years</w:t>
      </w:r>
      <w:r>
        <w:t>)</w:t>
      </w:r>
      <w:r w:rsidRPr="00F25D16">
        <w:t xml:space="preserve"> </w:t>
      </w:r>
      <w:r w:rsidRPr="00F25D16">
        <w:rPr>
          <w:i/>
        </w:rPr>
        <w:t>Prisoners in Australia</w:t>
      </w:r>
      <w:r w:rsidRPr="00F25D16">
        <w:t>, Cat. no. 4517.0</w:t>
      </w:r>
      <w:r>
        <w:t xml:space="preserve">; </w:t>
      </w:r>
      <w:proofErr w:type="spellStart"/>
      <w:r>
        <w:t>SCRGSP</w:t>
      </w:r>
      <w:proofErr w:type="spellEnd"/>
      <w:r>
        <w:t xml:space="preserve"> (</w:t>
      </w:r>
      <w:proofErr w:type="spellStart"/>
      <w:r>
        <w:t>2011b</w:t>
      </w:r>
      <w:proofErr w:type="spellEnd"/>
      <w:r>
        <w:t xml:space="preserve">), table </w:t>
      </w:r>
      <w:proofErr w:type="spellStart"/>
      <w:r>
        <w:t>4A.12.4</w:t>
      </w:r>
      <w:proofErr w:type="spellEnd"/>
      <w:r>
        <w:t xml:space="preserve">. </w:t>
      </w:r>
    </w:p>
    <w:p w:rsidR="00A87987" w:rsidRDefault="00A87987" w:rsidP="00D71A3D">
      <w:pPr>
        <w:pStyle w:val="BodyText"/>
      </w:pPr>
      <w:r>
        <w:t>After adjusting for differences in the age structure of the Indigenous and other populations, the national Indigenous imprisonment rate was 14 times the rate for other Australians in 2010. T</w:t>
      </w:r>
      <w:r w:rsidRPr="00AE093E">
        <w:t xml:space="preserve">he Indigenous imprisonment </w:t>
      </w:r>
      <w:r>
        <w:t xml:space="preserve">rate increased by over 50 per cent between 2000 and 2010, while the </w:t>
      </w:r>
      <w:r w:rsidRPr="00AE093E">
        <w:t xml:space="preserve">rate </w:t>
      </w:r>
      <w:r>
        <w:t xml:space="preserve">for other Australians </w:t>
      </w:r>
      <w:r w:rsidRPr="00AE093E">
        <w:t>only changed slightly</w:t>
      </w:r>
      <w:r>
        <w:t xml:space="preserve"> </w:t>
      </w:r>
      <w:r w:rsidRPr="00AE093E">
        <w:t>(</w:t>
      </w:r>
      <w:r w:rsidR="00D72C9C" w:rsidRPr="00AE093E">
        <w:t>Figure</w:t>
      </w:r>
      <w:r w:rsidR="00D72C9C">
        <w:t> </w:t>
      </w:r>
      <w:r w:rsidR="00064343">
        <w:t>2.</w:t>
      </w:r>
      <w:r>
        <w:t>1</w:t>
      </w:r>
      <w:r w:rsidR="00855B9C">
        <w:t>7</w:t>
      </w:r>
      <w:r>
        <w:t xml:space="preserve">). </w:t>
      </w:r>
    </w:p>
    <w:p w:rsidR="00A87987" w:rsidRDefault="00A87987" w:rsidP="00D71A3D">
      <w:pPr>
        <w:pStyle w:val="FigureTitle"/>
      </w:pPr>
      <w:r w:rsidRPr="00D71A3D">
        <w:lastRenderedPageBreak/>
        <w:t xml:space="preserve">Figure </w:t>
      </w:r>
      <w:r w:rsidR="00064343">
        <w:t>2.</w:t>
      </w:r>
      <w:r w:rsidRPr="00D71A3D">
        <w:t>1</w:t>
      </w:r>
      <w:r w:rsidR="00855B9C">
        <w:t>8</w:t>
      </w:r>
      <w:r w:rsidRPr="00D71A3D">
        <w:tab/>
      </w:r>
      <w:r>
        <w:t>Juvenile detention rates</w:t>
      </w:r>
      <w:r w:rsidRPr="00F25D16">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7987" w:rsidTr="00AB0424">
        <w:tc>
          <w:tcPr>
            <w:tcW w:w="8777" w:type="dxa"/>
          </w:tcPr>
          <w:p w:rsidR="00A87987" w:rsidRDefault="00A87987" w:rsidP="00AB0424">
            <w:pPr>
              <w:pStyle w:val="Figure"/>
            </w:pPr>
            <w:r>
              <w:rPr>
                <w:noProof/>
              </w:rPr>
              <w:drawing>
                <wp:inline distT="0" distB="0" distL="0" distR="0">
                  <wp:extent cx="5391150" cy="2867025"/>
                  <wp:effectExtent l="0" t="0" r="0" b="9525"/>
                  <wp:docPr id="16" name="Picture 16" descr="Figure 2.18 Juvenile detention rates. The chart shows Indigenous and non-Indigenous juvenile detention rates for males annually from 2001 to 2009. Key results from the chart are highlighted in the paragraph below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A87987" w:rsidRPr="00112887" w:rsidRDefault="00A87987" w:rsidP="00D71A3D">
      <w:pPr>
        <w:pStyle w:val="Source"/>
      </w:pPr>
      <w:r>
        <w:rPr>
          <w:rStyle w:val="NoteLabel"/>
        </w:rPr>
        <w:t>a</w:t>
      </w:r>
      <w:r>
        <w:sym w:font="Symbol" w:char="F020"/>
      </w:r>
      <w:r w:rsidRPr="006E3AFB">
        <w:t xml:space="preserve"> </w:t>
      </w:r>
      <w:r>
        <w:t>See source table for definitions and notes</w:t>
      </w:r>
      <w:r w:rsidRPr="0030614A">
        <w:t>.</w:t>
      </w:r>
    </w:p>
    <w:p w:rsidR="00A87987" w:rsidRPr="00112887" w:rsidRDefault="00A87987" w:rsidP="00D71A3D">
      <w:pPr>
        <w:pStyle w:val="Source"/>
      </w:pPr>
      <w:r>
        <w:rPr>
          <w:i/>
        </w:rPr>
        <w:t>Data source</w:t>
      </w:r>
      <w:r w:rsidR="00D72C9C">
        <w:rPr>
          <w:i/>
        </w:rPr>
        <w:t>s</w:t>
      </w:r>
      <w:r w:rsidRPr="00167F06">
        <w:t xml:space="preserve">: </w:t>
      </w:r>
      <w:r w:rsidRPr="00112887">
        <w:t>Richards</w:t>
      </w:r>
      <w:r>
        <w:t xml:space="preserve"> </w:t>
      </w:r>
      <w:r w:rsidRPr="00112887">
        <w:t xml:space="preserve">and Lyneham </w:t>
      </w:r>
      <w:r>
        <w:t>(</w:t>
      </w:r>
      <w:r w:rsidRPr="00112887">
        <w:t>2010</w:t>
      </w:r>
      <w:r>
        <w:t>)</w:t>
      </w:r>
      <w:r w:rsidR="00090901">
        <w:t xml:space="preserve"> </w:t>
      </w:r>
      <w:r w:rsidRPr="00112887">
        <w:t>unpublished</w:t>
      </w:r>
      <w:r>
        <w:t xml:space="preserve">; </w:t>
      </w:r>
      <w:proofErr w:type="spellStart"/>
      <w:r>
        <w:t>SCRGSP</w:t>
      </w:r>
      <w:proofErr w:type="spellEnd"/>
      <w:r>
        <w:t xml:space="preserve"> (</w:t>
      </w:r>
      <w:proofErr w:type="spellStart"/>
      <w:r>
        <w:t>2011b</w:t>
      </w:r>
      <w:proofErr w:type="spellEnd"/>
      <w:r>
        <w:t xml:space="preserve">), table </w:t>
      </w:r>
      <w:proofErr w:type="spellStart"/>
      <w:r>
        <w:t>4A.12.13</w:t>
      </w:r>
      <w:proofErr w:type="spellEnd"/>
      <w:r>
        <w:t>.</w:t>
      </w:r>
    </w:p>
    <w:p w:rsidR="00A87987" w:rsidRDefault="00A87987" w:rsidP="00D71A3D">
      <w:pPr>
        <w:pStyle w:val="BodyText"/>
      </w:pPr>
      <w:r w:rsidRPr="00FE75F8">
        <w:t>The early involvement of young people in the criminal justice system puts them at much higher risk of further involvement as adults.</w:t>
      </w:r>
      <w:r>
        <w:t xml:space="preserve"> The detention rate for </w:t>
      </w:r>
      <w:r w:rsidRPr="00E7319E">
        <w:t xml:space="preserve">Indigenous juveniles </w:t>
      </w:r>
      <w:r>
        <w:t xml:space="preserve">was </w:t>
      </w:r>
      <w:r w:rsidRPr="00E7319E">
        <w:t xml:space="preserve">22 times </w:t>
      </w:r>
      <w:r>
        <w:t>the rate for other</w:t>
      </w:r>
      <w:r w:rsidRPr="00E7319E">
        <w:t xml:space="preserve"> juveniles </w:t>
      </w:r>
      <w:r>
        <w:t>in 2009 (</w:t>
      </w:r>
      <w:r w:rsidR="00D72C9C">
        <w:t>Figure </w:t>
      </w:r>
      <w:r w:rsidR="00064343">
        <w:t>2.</w:t>
      </w:r>
      <w:r>
        <w:t>1</w:t>
      </w:r>
      <w:r w:rsidR="00855B9C">
        <w:t>8</w:t>
      </w:r>
      <w:r>
        <w:t>). Detention rates for Indigenous juveniles were relatively stable between 2003 and 2006, increased in 2007 and 2008, and then decreased to 365.0 per 100 000 young people in 2009. Small numbers of detainees can lead to fluctuations in rates from year to year even where changes in actual numbers are small.</w:t>
      </w:r>
    </w:p>
    <w:p w:rsidR="00A87987" w:rsidRDefault="00855B9C" w:rsidP="00D71A3D">
      <w:pPr>
        <w:pStyle w:val="Heading2"/>
      </w:pPr>
      <w:r>
        <w:t>2.6</w:t>
      </w:r>
      <w:r w:rsidR="00F13CBA">
        <w:tab/>
      </w:r>
      <w:r w:rsidR="00A87987">
        <w:t>Beyond outcome reporting</w:t>
      </w:r>
    </w:p>
    <w:p w:rsidR="00A87987" w:rsidRDefault="00A87987" w:rsidP="00D71A3D">
      <w:pPr>
        <w:pStyle w:val="BodyText"/>
      </w:pPr>
      <w:r>
        <w:t xml:space="preserve">The results presented in this paper (and which form the basis for major reports such as the OID report and the </w:t>
      </w:r>
      <w:proofErr w:type="spellStart"/>
      <w:r>
        <w:t>NIRA</w:t>
      </w:r>
      <w:proofErr w:type="spellEnd"/>
      <w:r>
        <w:t>) are only part of the information needed to assess policy and program effectiveness. Australia is on the way to developing an integrated performance reporting system, with increasing amounts of information available on:</w:t>
      </w:r>
    </w:p>
    <w:p w:rsidR="00A87987" w:rsidRPr="00D71A3D" w:rsidRDefault="00A87987" w:rsidP="00D71A3D">
      <w:pPr>
        <w:pStyle w:val="ListBullet"/>
      </w:pPr>
      <w:r>
        <w:t>outcom</w:t>
      </w:r>
      <w:r w:rsidRPr="00D71A3D">
        <w:t xml:space="preserve">es for Indigenous Australians — from the </w:t>
      </w:r>
      <w:proofErr w:type="spellStart"/>
      <w:r w:rsidRPr="00D71A3D">
        <w:t>OID</w:t>
      </w:r>
      <w:proofErr w:type="spellEnd"/>
      <w:r w:rsidRPr="00D71A3D">
        <w:t xml:space="preserve"> and </w:t>
      </w:r>
      <w:proofErr w:type="spellStart"/>
      <w:r w:rsidRPr="00D71A3D">
        <w:t>NIRA</w:t>
      </w:r>
      <w:proofErr w:type="spellEnd"/>
      <w:r w:rsidRPr="00D71A3D">
        <w:t xml:space="preserve"> reports</w:t>
      </w:r>
    </w:p>
    <w:p w:rsidR="00A87987" w:rsidRPr="00D71A3D" w:rsidRDefault="00A87987" w:rsidP="00D71A3D">
      <w:pPr>
        <w:pStyle w:val="ListBullet"/>
      </w:pPr>
      <w:r w:rsidRPr="00D71A3D">
        <w:t>service delivery and expenditure — from the Report on Government Services</w:t>
      </w:r>
      <w:r w:rsidR="00D72C9C">
        <w:t>:</w:t>
      </w:r>
      <w:r w:rsidRPr="00D71A3D">
        <w:t xml:space="preserve"> Indigenous Compendium and the Indigenous Expenditure Report</w:t>
      </w:r>
    </w:p>
    <w:p w:rsidR="00A87987" w:rsidRDefault="00A87987" w:rsidP="00D71A3D">
      <w:pPr>
        <w:pStyle w:val="ListBullet"/>
      </w:pPr>
      <w:r w:rsidRPr="00D71A3D">
        <w:t>progra</w:t>
      </w:r>
      <w:r>
        <w:t>m evaluations — compiled by the COAG Closing the Gap Clearinghouse.</w:t>
      </w:r>
    </w:p>
    <w:p w:rsidR="00A87987" w:rsidRPr="00F04D3D" w:rsidRDefault="00A87987" w:rsidP="00D71A3D">
      <w:pPr>
        <w:pStyle w:val="Heading3"/>
      </w:pPr>
      <w:r>
        <w:lastRenderedPageBreak/>
        <w:t>Program</w:t>
      </w:r>
      <w:r w:rsidRPr="00F04D3D">
        <w:t xml:space="preserve"> evaluation</w:t>
      </w:r>
    </w:p>
    <w:p w:rsidR="00A87987" w:rsidRDefault="00A87987" w:rsidP="00D71A3D">
      <w:pPr>
        <w:pStyle w:val="BodyText"/>
      </w:pPr>
      <w:r w:rsidRPr="00F04D3D">
        <w:t xml:space="preserve">The Closing the Gap Clearinghouse </w:t>
      </w:r>
      <w:r>
        <w:t xml:space="preserve">was established by COAG to create a </w:t>
      </w:r>
      <w:r w:rsidRPr="00F36C81">
        <w:t>clearinghouse for evidence-based research on overcoming disadvantage for Indigenous Australians</w:t>
      </w:r>
      <w:r>
        <w:t xml:space="preserve">. </w:t>
      </w:r>
      <w:r w:rsidRPr="00F36C81">
        <w:t xml:space="preserve">It is being delivered by the Australian Institute of Health and Welfare in collaboration with the Australian Institute of Family Studies. </w:t>
      </w:r>
      <w:r w:rsidRPr="00F04D3D">
        <w:t>(</w:t>
      </w:r>
      <w:proofErr w:type="spellStart"/>
      <w:r w:rsidRPr="00F04D3D">
        <w:t>AIHW</w:t>
      </w:r>
      <w:proofErr w:type="spellEnd"/>
      <w:r w:rsidRPr="00F04D3D">
        <w:t xml:space="preserve"> and </w:t>
      </w:r>
      <w:proofErr w:type="spellStart"/>
      <w:r w:rsidRPr="00F04D3D">
        <w:t>AIFS</w:t>
      </w:r>
      <w:proofErr w:type="spellEnd"/>
      <w:r w:rsidRPr="00F04D3D">
        <w:t xml:space="preserve"> 201</w:t>
      </w:r>
      <w:r>
        <w:t>2</w:t>
      </w:r>
      <w:r w:rsidRPr="00F04D3D">
        <w:t>)</w:t>
      </w:r>
      <w:r>
        <w:t xml:space="preserve">. </w:t>
      </w:r>
    </w:p>
    <w:p w:rsidR="00A87987" w:rsidRDefault="00A87987" w:rsidP="00D71A3D">
      <w:pPr>
        <w:pStyle w:val="BodyText"/>
      </w:pPr>
      <w:r>
        <w:t>The Clearinghouse</w:t>
      </w:r>
      <w:r w:rsidRPr="00F04D3D">
        <w:t xml:space="preserve"> is</w:t>
      </w:r>
      <w:r>
        <w:t xml:space="preserve"> becoming</w:t>
      </w:r>
      <w:r w:rsidRPr="00E47625">
        <w:t xml:space="preserve"> a valuable resource for policy makers and In</w:t>
      </w:r>
      <w:r>
        <w:t>digenous communities. However, it will only achieve its full potential if governments commit to both funding and publishing more evaluations and research.</w:t>
      </w:r>
    </w:p>
    <w:p w:rsidR="00A87987" w:rsidRDefault="00A87987" w:rsidP="00D71A3D">
      <w:pPr>
        <w:pStyle w:val="BodyText"/>
      </w:pPr>
      <w:r>
        <w:t xml:space="preserve">The </w:t>
      </w:r>
      <w:proofErr w:type="spellStart"/>
      <w:r>
        <w:t>OID</w:t>
      </w:r>
      <w:proofErr w:type="spellEnd"/>
      <w:r>
        <w:t xml:space="preserve"> report (</w:t>
      </w:r>
      <w:proofErr w:type="spellStart"/>
      <w:r>
        <w:t>SCRGSP</w:t>
      </w:r>
      <w:proofErr w:type="spellEnd"/>
      <w:r>
        <w:t xml:space="preserve"> </w:t>
      </w:r>
      <w:proofErr w:type="spellStart"/>
      <w:r>
        <w:t>2011b</w:t>
      </w:r>
      <w:proofErr w:type="spellEnd"/>
      <w:r>
        <w:t>), using analysis of case studies and extensive consultation with Indigenous Australians, governments and researchers, identified the following ‘success factors’ in successful programs (which overlap closely with those identified by the Clearinghouse (Closing the Gap Clearinghouse 2011</w:t>
      </w:r>
      <w:r w:rsidR="00D72C9C">
        <w:t>,</w:t>
      </w:r>
      <w:r>
        <w:t xml:space="preserve"> 2012)</w:t>
      </w:r>
      <w:r w:rsidR="00D72C9C">
        <w:t>)</w:t>
      </w:r>
      <w:r>
        <w:t>:</w:t>
      </w:r>
    </w:p>
    <w:p w:rsidR="00A87987" w:rsidRPr="00D71A3D" w:rsidRDefault="00A87987" w:rsidP="00D71A3D">
      <w:pPr>
        <w:pStyle w:val="ListBullet"/>
      </w:pPr>
      <w:r w:rsidRPr="00D71A3D">
        <w:t xml:space="preserve">cooperative approaches between Indigenous Australians and government — often with the </w:t>
      </w:r>
      <w:proofErr w:type="spellStart"/>
      <w:r w:rsidRPr="00D71A3D">
        <w:t>non-profit</w:t>
      </w:r>
      <w:proofErr w:type="spellEnd"/>
      <w:r w:rsidRPr="00D71A3D">
        <w:t xml:space="preserve"> and private sectors as well</w:t>
      </w:r>
    </w:p>
    <w:p w:rsidR="00A87987" w:rsidRPr="00D71A3D" w:rsidRDefault="00A87987" w:rsidP="00D71A3D">
      <w:pPr>
        <w:pStyle w:val="ListBullet"/>
      </w:pPr>
      <w:r w:rsidRPr="00D71A3D">
        <w:t>community involvement in program design and decision</w:t>
      </w:r>
      <w:r w:rsidR="00090901">
        <w:t>-</w:t>
      </w:r>
      <w:r w:rsidRPr="00D71A3D">
        <w:t>making — a ‘bottom</w:t>
      </w:r>
      <w:r w:rsidRPr="00D71A3D">
        <w:noBreakHyphen/>
        <w:t>up’ rather than ‘top</w:t>
      </w:r>
      <w:r w:rsidRPr="00D71A3D">
        <w:noBreakHyphen/>
        <w:t>down’ approach</w:t>
      </w:r>
    </w:p>
    <w:p w:rsidR="00A87987" w:rsidRPr="00D71A3D" w:rsidRDefault="00A87987" w:rsidP="00D71A3D">
      <w:pPr>
        <w:pStyle w:val="ListBullet"/>
      </w:pPr>
      <w:r w:rsidRPr="00D71A3D">
        <w:t>good governance — at organisation, community and government levels</w:t>
      </w:r>
    </w:p>
    <w:p w:rsidR="00A87987" w:rsidRPr="00D71A3D" w:rsidRDefault="00A87987" w:rsidP="00D71A3D">
      <w:pPr>
        <w:pStyle w:val="ListBullet"/>
      </w:pPr>
      <w:r w:rsidRPr="00D71A3D">
        <w:t>ongoing government support — including human, financial and physical resources.</w:t>
      </w:r>
    </w:p>
    <w:p w:rsidR="00A87987" w:rsidRPr="00045630" w:rsidRDefault="00A87987" w:rsidP="00D71A3D">
      <w:pPr>
        <w:pStyle w:val="BodyText"/>
      </w:pPr>
      <w:r w:rsidRPr="00045630">
        <w:t xml:space="preserve">These success factors are closely related to the six determinants of good governance </w:t>
      </w:r>
      <w:r>
        <w:t>discussed in the OID report</w:t>
      </w:r>
      <w:r w:rsidRPr="00045630">
        <w:t>:</w:t>
      </w:r>
      <w:r w:rsidRPr="00EA2DA2">
        <w:t xml:space="preserve"> </w:t>
      </w:r>
      <w:r w:rsidRPr="00A4614E">
        <w:t>governing institutions</w:t>
      </w:r>
      <w:r>
        <w:t>;</w:t>
      </w:r>
      <w:r w:rsidRPr="00EA2DA2">
        <w:t xml:space="preserve"> </w:t>
      </w:r>
      <w:r w:rsidRPr="00A4614E">
        <w:t>leadership</w:t>
      </w:r>
      <w:r>
        <w:t xml:space="preserve">; </w:t>
      </w:r>
      <w:r w:rsidRPr="00A4614E">
        <w:t>self-determination</w:t>
      </w:r>
      <w:r>
        <w:t xml:space="preserve">; </w:t>
      </w:r>
      <w:r w:rsidRPr="00A4614E">
        <w:t>capacity building</w:t>
      </w:r>
      <w:r>
        <w:t xml:space="preserve">; </w:t>
      </w:r>
      <w:r w:rsidRPr="00A4614E">
        <w:t>cultural match</w:t>
      </w:r>
      <w:r>
        <w:t>; and resources (</w:t>
      </w:r>
      <w:proofErr w:type="spellStart"/>
      <w:r>
        <w:t>SCRGSP</w:t>
      </w:r>
      <w:proofErr w:type="spellEnd"/>
      <w:r>
        <w:t xml:space="preserve"> </w:t>
      </w:r>
      <w:proofErr w:type="spellStart"/>
      <w:r>
        <w:t>2011b</w:t>
      </w:r>
      <w:proofErr w:type="spellEnd"/>
      <w:r>
        <w:t>). While these success factors emphasise the roles of government and Indigenous Australians, without direct involvement of the private sector there are limits to improvements in outcomes, particularly in areas such as employment and economic development. Reconciliation Australia (2012) outlined how a range of organisations both public and private have developed Reconciliation Action Plans and are contributing to improving economic and other outcomes for Indigenous Australians.</w:t>
      </w:r>
    </w:p>
    <w:p w:rsidR="00A87987" w:rsidRDefault="00855B9C" w:rsidP="00D71A3D">
      <w:pPr>
        <w:pStyle w:val="Heading2"/>
      </w:pPr>
      <w:r>
        <w:t>2.7</w:t>
      </w:r>
      <w:r w:rsidR="00F13CBA">
        <w:tab/>
      </w:r>
      <w:r w:rsidR="00A87987">
        <w:t>Conclusion</w:t>
      </w:r>
    </w:p>
    <w:p w:rsidR="00A87987" w:rsidRDefault="00A87987" w:rsidP="00D71A3D">
      <w:pPr>
        <w:pStyle w:val="BodyText"/>
      </w:pPr>
      <w:r>
        <w:t>The outcomes in this paper show that, although</w:t>
      </w:r>
      <w:r w:rsidRPr="00A86486">
        <w:t xml:space="preserve"> the majority of Indigenous </w:t>
      </w:r>
      <w:r>
        <w:t xml:space="preserve">Australians lead productive </w:t>
      </w:r>
      <w:r w:rsidRPr="00A86486">
        <w:t>lives, on average</w:t>
      </w:r>
      <w:r w:rsidR="009636B3">
        <w:t>,</w:t>
      </w:r>
      <w:r w:rsidRPr="00A86486">
        <w:t xml:space="preserve"> </w:t>
      </w:r>
      <w:r>
        <w:t xml:space="preserve">Indigenous Australians are significantly disadvantaged compared with other Australians across a wide range of socioeconomic indicators. However, the data also show that some outcomes for </w:t>
      </w:r>
      <w:r>
        <w:lastRenderedPageBreak/>
        <w:t xml:space="preserve">Indigenous Australians are improving, particularly in education and economic participation. </w:t>
      </w:r>
    </w:p>
    <w:p w:rsidR="00A87987" w:rsidRDefault="00A87987" w:rsidP="00D71A3D">
      <w:pPr>
        <w:pStyle w:val="BodyText"/>
      </w:pPr>
      <w:r>
        <w:t>Available case studies, evaluations and other research suggest that certain programs and policies can be successful in addressing aspects of Indigenous disadvantage. However, t</w:t>
      </w:r>
      <w:r w:rsidRPr="00F36C81">
        <w:t xml:space="preserve">here is an urgent need for more </w:t>
      </w:r>
      <w:r>
        <w:t xml:space="preserve">(and better) </w:t>
      </w:r>
      <w:r w:rsidRPr="00F36C81">
        <w:t>research and evaluation to identify successful Indigenous programs and the reasons for their success.</w:t>
      </w:r>
      <w:r>
        <w:t xml:space="preserve"> Both governments and Indigenous people need a better basis for learning about what works (and what does</w:t>
      </w:r>
      <w:r w:rsidR="00D72C9C">
        <w:t xml:space="preserve"> </w:t>
      </w:r>
      <w:r>
        <w:t>n</w:t>
      </w:r>
      <w:r w:rsidR="00D72C9C">
        <w:t>o</w:t>
      </w:r>
      <w:r>
        <w:t>t) if they are to apply those lessons more widely.</w:t>
      </w:r>
    </w:p>
    <w:p w:rsidR="00A87987" w:rsidRDefault="00A87987" w:rsidP="00C167C3">
      <w:pPr>
        <w:pStyle w:val="Heading2"/>
      </w:pPr>
      <w:r>
        <w:t>References</w:t>
      </w:r>
    </w:p>
    <w:p w:rsidR="00A87987" w:rsidRDefault="00A87987" w:rsidP="00A87987">
      <w:pPr>
        <w:pStyle w:val="Reference"/>
      </w:pPr>
      <w:r>
        <w:t>ABS (Australian Bureau of Statistics) 2008</w:t>
      </w:r>
      <w:r w:rsidRPr="001E2B2C">
        <w:t xml:space="preserve">, </w:t>
      </w:r>
      <w:r w:rsidRPr="001E2B2C">
        <w:rPr>
          <w:i/>
        </w:rPr>
        <w:t>Experimental Estimates of Aboriginal and Torres Strait Islander Australians, Jun</w:t>
      </w:r>
      <w:r>
        <w:rPr>
          <w:i/>
        </w:rPr>
        <w:t>e</w:t>
      </w:r>
      <w:r w:rsidRPr="001E2B2C">
        <w:rPr>
          <w:i/>
        </w:rPr>
        <w:t xml:space="preserve"> 2006</w:t>
      </w:r>
      <w:r w:rsidRPr="001E2B2C">
        <w:t>, Cat. no. 3238.0.55.001</w:t>
      </w:r>
      <w:r>
        <w:t>, Canberra.</w:t>
      </w:r>
    </w:p>
    <w:p w:rsidR="00A87987" w:rsidRDefault="00A87987" w:rsidP="00A87987">
      <w:pPr>
        <w:pStyle w:val="Reference"/>
      </w:pPr>
      <w:r>
        <w:t xml:space="preserve">—— </w:t>
      </w:r>
      <w:proofErr w:type="spellStart"/>
      <w:r>
        <w:t>2012a</w:t>
      </w:r>
      <w:proofErr w:type="spellEnd"/>
      <w:r>
        <w:t xml:space="preserve">, </w:t>
      </w:r>
      <w:r>
        <w:rPr>
          <w:i/>
        </w:rPr>
        <w:t>Australian Demographic Statistics March Quarter 2012</w:t>
      </w:r>
      <w:r>
        <w:t>, Cat. no. 3101.0, Canberra.</w:t>
      </w:r>
    </w:p>
    <w:p w:rsidR="00A87987" w:rsidRPr="00B3049E" w:rsidRDefault="00A87987" w:rsidP="00A87987">
      <w:pPr>
        <w:pStyle w:val="Reference"/>
      </w:pPr>
      <w:r>
        <w:t xml:space="preserve">—— </w:t>
      </w:r>
      <w:proofErr w:type="spellStart"/>
      <w:r>
        <w:t>2012b</w:t>
      </w:r>
      <w:proofErr w:type="spellEnd"/>
      <w:r>
        <w:t xml:space="preserve">, </w:t>
      </w:r>
      <w:r>
        <w:rPr>
          <w:i/>
        </w:rPr>
        <w:t>Schools Australia 2011</w:t>
      </w:r>
      <w:r>
        <w:t>, Cat. no. 422.10, Canberra.</w:t>
      </w:r>
    </w:p>
    <w:p w:rsidR="00A87987" w:rsidRDefault="00A87987" w:rsidP="00A87987">
      <w:pPr>
        <w:pStyle w:val="Reference"/>
      </w:pPr>
      <w:proofErr w:type="spellStart"/>
      <w:r>
        <w:t>AHRC</w:t>
      </w:r>
      <w:proofErr w:type="spellEnd"/>
      <w:r>
        <w:t xml:space="preserve"> (Australian Human Rights Commission) 2012, </w:t>
      </w:r>
      <w:r w:rsidRPr="008E3D36">
        <w:rPr>
          <w:i/>
        </w:rPr>
        <w:t>Close the Gap Campaign for Indigenous Health Equality</w:t>
      </w:r>
      <w:r>
        <w:t xml:space="preserve">, </w:t>
      </w:r>
      <w:r w:rsidRPr="00256B42">
        <w:t>http://</w:t>
      </w:r>
      <w:proofErr w:type="spellStart"/>
      <w:r w:rsidRPr="00256B42">
        <w:t>www.humanrights.gov.au</w:t>
      </w:r>
      <w:proofErr w:type="spellEnd"/>
      <w:r w:rsidRPr="00256B42">
        <w:t>/</w:t>
      </w:r>
      <w:proofErr w:type="spellStart"/>
      <w:r w:rsidRPr="00256B42">
        <w:t>social_justice</w:t>
      </w:r>
      <w:proofErr w:type="spellEnd"/>
      <w:r w:rsidRPr="00256B42">
        <w:t>/</w:t>
      </w:r>
      <w:r>
        <w:t xml:space="preserve"> </w:t>
      </w:r>
      <w:r w:rsidRPr="008E3D36">
        <w:t>health/index.html</w:t>
      </w:r>
      <w:r>
        <w:t>.</w:t>
      </w:r>
    </w:p>
    <w:p w:rsidR="00A87987" w:rsidRDefault="00A87987" w:rsidP="00A87987">
      <w:pPr>
        <w:pStyle w:val="Reference"/>
      </w:pPr>
      <w:proofErr w:type="spellStart"/>
      <w:r w:rsidRPr="00C071AA">
        <w:t>AIHW</w:t>
      </w:r>
      <w:proofErr w:type="spellEnd"/>
      <w:r w:rsidRPr="00C071AA">
        <w:t xml:space="preserve"> (Australian Institute of Health and Welfare) 2009, </w:t>
      </w:r>
      <w:r w:rsidRPr="00C071AA">
        <w:rPr>
          <w:i/>
        </w:rPr>
        <w:t>Aboriginal and Torres Strait Islander Health Performance Framework, 2008 Report: Detailed Analyses</w:t>
      </w:r>
      <w:r w:rsidRPr="00C071AA">
        <w:t xml:space="preserve">, Cat. no. </w:t>
      </w:r>
      <w:proofErr w:type="spellStart"/>
      <w:r w:rsidRPr="00C071AA">
        <w:t>IHW</w:t>
      </w:r>
      <w:proofErr w:type="spellEnd"/>
      <w:r w:rsidRPr="00C071AA">
        <w:t xml:space="preserve"> 22, Canberra. </w:t>
      </w:r>
    </w:p>
    <w:p w:rsidR="00A87987" w:rsidRDefault="00A87987" w:rsidP="00A87987">
      <w:pPr>
        <w:pStyle w:val="Reference"/>
      </w:pPr>
      <w:r>
        <w:t>——</w:t>
      </w:r>
      <w:r w:rsidRPr="008E1E5B">
        <w:t xml:space="preserve"> and </w:t>
      </w:r>
      <w:proofErr w:type="spellStart"/>
      <w:r w:rsidRPr="008E1E5B">
        <w:t>AIFS</w:t>
      </w:r>
      <w:proofErr w:type="spellEnd"/>
      <w:r w:rsidRPr="008E1E5B">
        <w:t xml:space="preserve"> (Australian Institute of Family Studies) 201</w:t>
      </w:r>
      <w:r>
        <w:t>2</w:t>
      </w:r>
      <w:r w:rsidRPr="008E1E5B">
        <w:t xml:space="preserve">, Closing the Gap Clearinghouse, </w:t>
      </w:r>
      <w:r w:rsidRPr="002B4A82">
        <w:t>http://</w:t>
      </w:r>
      <w:proofErr w:type="spellStart"/>
      <w:r w:rsidRPr="002B4A82">
        <w:t>www.aihw.gov.au</w:t>
      </w:r>
      <w:proofErr w:type="spellEnd"/>
      <w:r w:rsidRPr="002B4A82">
        <w:t>/</w:t>
      </w:r>
      <w:proofErr w:type="spellStart"/>
      <w:r w:rsidRPr="002B4A82">
        <w:t>closingthegap</w:t>
      </w:r>
      <w:proofErr w:type="spellEnd"/>
      <w:r w:rsidRPr="002B4A82">
        <w:t>/</w:t>
      </w:r>
      <w:r>
        <w:t xml:space="preserve"> </w:t>
      </w:r>
      <w:r w:rsidRPr="008E1E5B">
        <w:t>(accessed 2</w:t>
      </w:r>
      <w:r>
        <w:t>7</w:t>
      </w:r>
      <w:r w:rsidRPr="008E1E5B">
        <w:t xml:space="preserve"> </w:t>
      </w:r>
      <w:r>
        <w:t>September</w:t>
      </w:r>
      <w:r w:rsidRPr="008E1E5B">
        <w:t xml:space="preserve"> 201</w:t>
      </w:r>
      <w:r>
        <w:t>2</w:t>
      </w:r>
      <w:r w:rsidRPr="008E1E5B">
        <w:t>).</w:t>
      </w:r>
    </w:p>
    <w:p w:rsidR="00A87987" w:rsidRDefault="00A87987" w:rsidP="00A87987">
      <w:pPr>
        <w:pStyle w:val="Reference"/>
      </w:pPr>
      <w:r>
        <w:t>Closing the Gap Clearinghouse (</w:t>
      </w:r>
      <w:proofErr w:type="spellStart"/>
      <w:r>
        <w:t>AIHW</w:t>
      </w:r>
      <w:proofErr w:type="spellEnd"/>
      <w:r>
        <w:t xml:space="preserve">, </w:t>
      </w:r>
      <w:proofErr w:type="spellStart"/>
      <w:r>
        <w:t>AIFS</w:t>
      </w:r>
      <w:proofErr w:type="spellEnd"/>
      <w:r>
        <w:t xml:space="preserve">) 2011, </w:t>
      </w:r>
      <w:r>
        <w:rPr>
          <w:i/>
        </w:rPr>
        <w:t xml:space="preserve">What Works to Overcome Indigenous Disadvantage: Key </w:t>
      </w:r>
      <w:proofErr w:type="spellStart"/>
      <w:r>
        <w:rPr>
          <w:i/>
        </w:rPr>
        <w:t>Learnings</w:t>
      </w:r>
      <w:proofErr w:type="spellEnd"/>
      <w:r>
        <w:rPr>
          <w:i/>
        </w:rPr>
        <w:t xml:space="preserve"> and Gaps in the Evidence</w:t>
      </w:r>
      <w:r>
        <w:t xml:space="preserve">, produced for the Closing the Gap Clearinghouse, Canberra and Melbourne, </w:t>
      </w:r>
      <w:r w:rsidRPr="002B4A82">
        <w:t>http://www.aihw.gov.au/closingthegap/documents/annual_papers/what_works_to_overcome_disadvantage.pdf</w:t>
      </w:r>
      <w:r>
        <w:t xml:space="preserve"> (accessed 27 September 2012).</w:t>
      </w:r>
    </w:p>
    <w:p w:rsidR="00A87987" w:rsidRPr="00C60284" w:rsidRDefault="00A87987" w:rsidP="00A87987">
      <w:pPr>
        <w:pStyle w:val="Reference"/>
      </w:pPr>
      <w:r>
        <w:t xml:space="preserve">—— 2012, </w:t>
      </w:r>
      <w:r w:rsidRPr="00C60284">
        <w:rPr>
          <w:i/>
        </w:rPr>
        <w:t xml:space="preserve">What </w:t>
      </w:r>
      <w:r>
        <w:rPr>
          <w:i/>
        </w:rPr>
        <w:t>W</w:t>
      </w:r>
      <w:r w:rsidRPr="00C60284">
        <w:rPr>
          <w:i/>
        </w:rPr>
        <w:t xml:space="preserve">orks to </w:t>
      </w:r>
      <w:r>
        <w:rPr>
          <w:i/>
        </w:rPr>
        <w:t>O</w:t>
      </w:r>
      <w:r w:rsidRPr="00C60284">
        <w:rPr>
          <w:i/>
        </w:rPr>
        <w:t xml:space="preserve">vercome Indigenous </w:t>
      </w:r>
      <w:r>
        <w:rPr>
          <w:i/>
        </w:rPr>
        <w:t>D</w:t>
      </w:r>
      <w:r w:rsidRPr="00C60284">
        <w:rPr>
          <w:i/>
        </w:rPr>
        <w:t xml:space="preserve">isadvantage: </w:t>
      </w:r>
      <w:r>
        <w:rPr>
          <w:i/>
        </w:rPr>
        <w:t>K</w:t>
      </w:r>
      <w:r w:rsidRPr="00C60284">
        <w:rPr>
          <w:i/>
        </w:rPr>
        <w:t xml:space="preserve">ey </w:t>
      </w:r>
      <w:proofErr w:type="spellStart"/>
      <w:r>
        <w:rPr>
          <w:i/>
        </w:rPr>
        <w:t>L</w:t>
      </w:r>
      <w:r w:rsidRPr="00C60284">
        <w:rPr>
          <w:i/>
        </w:rPr>
        <w:t>earnings</w:t>
      </w:r>
      <w:proofErr w:type="spellEnd"/>
      <w:r w:rsidRPr="00C60284">
        <w:rPr>
          <w:i/>
        </w:rPr>
        <w:t xml:space="preserve"> and </w:t>
      </w:r>
      <w:r>
        <w:rPr>
          <w:i/>
        </w:rPr>
        <w:t>G</w:t>
      </w:r>
      <w:r w:rsidRPr="00C60284">
        <w:rPr>
          <w:i/>
        </w:rPr>
        <w:t>aps in the</w:t>
      </w:r>
      <w:r>
        <w:rPr>
          <w:i/>
        </w:rPr>
        <w:t xml:space="preserve"> E</w:t>
      </w:r>
      <w:r w:rsidRPr="00C60284">
        <w:rPr>
          <w:i/>
        </w:rPr>
        <w:t>vidence 2010</w:t>
      </w:r>
      <w:r w:rsidR="0097792A">
        <w:rPr>
          <w:i/>
        </w:rPr>
        <w:t>–</w:t>
      </w:r>
      <w:r w:rsidRPr="00C60284">
        <w:rPr>
          <w:i/>
        </w:rPr>
        <w:t>11</w:t>
      </w:r>
      <w:r w:rsidRPr="00C60284">
        <w:t>. Produced for the Closing the Gap Clearinghouse</w:t>
      </w:r>
      <w:r>
        <w:t>,</w:t>
      </w:r>
      <w:r w:rsidRPr="00C60284">
        <w:t xml:space="preserve"> Canberra</w:t>
      </w:r>
      <w:r>
        <w:t xml:space="preserve"> and Melbourne, </w:t>
      </w:r>
      <w:r w:rsidRPr="002B4A82">
        <w:t>http://</w:t>
      </w:r>
      <w:proofErr w:type="spellStart"/>
      <w:r w:rsidRPr="002B4A82">
        <w:t>www.aihw.gov.au</w:t>
      </w:r>
      <w:proofErr w:type="spellEnd"/>
      <w:r w:rsidRPr="002B4A82">
        <w:t>/</w:t>
      </w:r>
      <w:proofErr w:type="spellStart"/>
      <w:r w:rsidRPr="002B4A82">
        <w:t>closingthegap</w:t>
      </w:r>
      <w:proofErr w:type="spellEnd"/>
      <w:r w:rsidRPr="002B4A82">
        <w:t>/</w:t>
      </w:r>
      <w:r w:rsidRPr="002B4A82">
        <w:br/>
        <w:t>documents/annual_papers/what_works_to_overcome_disadvantage_2010-11.pdf</w:t>
      </w:r>
      <w:r>
        <w:t xml:space="preserve"> (accessed 27 September 2012).</w:t>
      </w:r>
    </w:p>
    <w:p w:rsidR="00A87987" w:rsidRDefault="00A87987" w:rsidP="00A87987">
      <w:pPr>
        <w:pStyle w:val="Reference"/>
      </w:pPr>
      <w:r>
        <w:lastRenderedPageBreak/>
        <w:t xml:space="preserve">COAG (Council of Australian Governments) 2011, </w:t>
      </w:r>
      <w:r>
        <w:rPr>
          <w:i/>
        </w:rPr>
        <w:t>National Indigenous Reform Agreement (Closing the Gap)</w:t>
      </w:r>
      <w:r>
        <w:t xml:space="preserve">, Canberra, </w:t>
      </w:r>
      <w:r w:rsidRPr="002B4A82">
        <w:t>http://www.federalfinancialrelations.gov.au/content/national_agreements/indigenous_reform/National_Indigenous_Reform_Agreement_from_13_Feb_11.pdf</w:t>
      </w:r>
      <w:r>
        <w:t xml:space="preserve"> (accessed 19 September 2012).</w:t>
      </w:r>
    </w:p>
    <w:p w:rsidR="00A87987" w:rsidRDefault="00A87987" w:rsidP="00A87987">
      <w:pPr>
        <w:pStyle w:val="Reference"/>
      </w:pPr>
      <w:r>
        <w:t xml:space="preserve">COAG Reform Council 2012, </w:t>
      </w:r>
      <w:r>
        <w:rPr>
          <w:i/>
        </w:rPr>
        <w:t>Indigenous Reform 2010</w:t>
      </w:r>
      <w:r w:rsidR="0097792A">
        <w:rPr>
          <w:i/>
        </w:rPr>
        <w:t>–</w:t>
      </w:r>
      <w:r>
        <w:rPr>
          <w:i/>
        </w:rPr>
        <w:t>11: Comparing Performance across Australia</w:t>
      </w:r>
      <w:r>
        <w:t xml:space="preserve">, Sydney, </w:t>
      </w:r>
      <w:r w:rsidRPr="002B4A82">
        <w:t>http://</w:t>
      </w:r>
      <w:proofErr w:type="spellStart"/>
      <w:r w:rsidRPr="002B4A82">
        <w:t>www.coagreformcouncil.gov.au</w:t>
      </w:r>
      <w:proofErr w:type="spellEnd"/>
      <w:r w:rsidRPr="002B4A82">
        <w:t>/reports/</w:t>
      </w:r>
      <w:proofErr w:type="spellStart"/>
      <w:r w:rsidRPr="002B4A82">
        <w:t>indigenous.cfm</w:t>
      </w:r>
      <w:proofErr w:type="spellEnd"/>
      <w:r>
        <w:t xml:space="preserve"> (accessed 19 September 2012).</w:t>
      </w:r>
    </w:p>
    <w:p w:rsidR="00A87987" w:rsidRPr="00001B8B" w:rsidRDefault="00A87987" w:rsidP="00A87987">
      <w:pPr>
        <w:pStyle w:val="Reference"/>
      </w:pPr>
      <w:r>
        <w:t xml:space="preserve">Reconciliation Australia 2012, </w:t>
      </w:r>
      <w:r>
        <w:rPr>
          <w:i/>
        </w:rPr>
        <w:t>Reconciliation Action Plan: Impact Measurement Report 2011</w:t>
      </w:r>
      <w:r>
        <w:t>, Canberra.</w:t>
      </w:r>
    </w:p>
    <w:p w:rsidR="00A87987" w:rsidRDefault="00A87987" w:rsidP="00C167C3">
      <w:pPr>
        <w:pStyle w:val="Reference"/>
      </w:pPr>
      <w:r w:rsidRPr="00B629E4">
        <w:t xml:space="preserve">Richards, K. and Lyneham, M. 2010, </w:t>
      </w:r>
      <w:r w:rsidRPr="004237DF">
        <w:rPr>
          <w:i/>
        </w:rPr>
        <w:t>Juveniles in Detention in Australia, 1981</w:t>
      </w:r>
      <w:r w:rsidR="0097792A">
        <w:t>–</w:t>
      </w:r>
      <w:r w:rsidRPr="004237DF">
        <w:rPr>
          <w:i/>
        </w:rPr>
        <w:t>2008</w:t>
      </w:r>
      <w:r w:rsidRPr="00B629E4">
        <w:t>, Monitoring Reports, Australian Institute of Criminology, Canberra.</w:t>
      </w:r>
    </w:p>
    <w:p w:rsidR="00A87987" w:rsidRDefault="00A87987" w:rsidP="00C167C3">
      <w:pPr>
        <w:pStyle w:val="Reference"/>
      </w:pPr>
      <w:proofErr w:type="spellStart"/>
      <w:r>
        <w:t>SCRGSP</w:t>
      </w:r>
      <w:proofErr w:type="spellEnd"/>
      <w:r>
        <w:t xml:space="preserve"> (Steering Committee for the Review of Government Service Provision) </w:t>
      </w:r>
      <w:proofErr w:type="spellStart"/>
      <w:r>
        <w:t>2011a</w:t>
      </w:r>
      <w:proofErr w:type="spellEnd"/>
      <w:r>
        <w:t xml:space="preserve">, </w:t>
      </w:r>
      <w:r w:rsidRPr="00BC1E45">
        <w:rPr>
          <w:i/>
        </w:rPr>
        <w:t>National Agreement Performance Information 2010</w:t>
      </w:r>
      <w:r w:rsidR="0097792A">
        <w:rPr>
          <w:i/>
        </w:rPr>
        <w:t>–</w:t>
      </w:r>
      <w:r w:rsidRPr="00BC1E45">
        <w:rPr>
          <w:i/>
        </w:rPr>
        <w:t>11: National Indigenous Reform</w:t>
      </w:r>
      <w:r>
        <w:rPr>
          <w:i/>
        </w:rPr>
        <w:t xml:space="preserve"> </w:t>
      </w:r>
      <w:r w:rsidRPr="00BC1E45">
        <w:rPr>
          <w:i/>
        </w:rPr>
        <w:t>Agreement</w:t>
      </w:r>
      <w:r>
        <w:t>, Productivity Commission, Canberra.</w:t>
      </w:r>
    </w:p>
    <w:p w:rsidR="00A87987" w:rsidRPr="00C269FD" w:rsidRDefault="00A87987" w:rsidP="00C167C3">
      <w:pPr>
        <w:pStyle w:val="Reference"/>
      </w:pPr>
      <w:r>
        <w:t xml:space="preserve">—— </w:t>
      </w:r>
      <w:proofErr w:type="spellStart"/>
      <w:r>
        <w:t>2011b</w:t>
      </w:r>
      <w:proofErr w:type="spellEnd"/>
      <w:r>
        <w:t xml:space="preserve">, </w:t>
      </w:r>
      <w:r>
        <w:rPr>
          <w:i/>
        </w:rPr>
        <w:t>Overcoming Indigenous Disadvantage: Key Indicators 2011</w:t>
      </w:r>
      <w:r>
        <w:t xml:space="preserve">, Productivity Commission, Canberra, </w:t>
      </w:r>
      <w:r w:rsidRPr="002B4A82">
        <w:t>http://www.pc.gov.au/</w:t>
      </w:r>
      <w:proofErr w:type="spellStart"/>
      <w:r w:rsidRPr="002B4A82">
        <w:t>gsp</w:t>
      </w:r>
      <w:proofErr w:type="spellEnd"/>
      <w:r w:rsidRPr="002B4A82">
        <w:t>/indigenous/key-indicators-2011</w:t>
      </w:r>
      <w:r>
        <w:t xml:space="preserve"> (accessed 20 September 2012). </w:t>
      </w:r>
    </w:p>
    <w:p w:rsidR="00A87987" w:rsidRPr="00986B10" w:rsidRDefault="00A87987" w:rsidP="00C167C3">
      <w:pPr>
        <w:pStyle w:val="Reference"/>
      </w:pPr>
      <w:r>
        <w:t xml:space="preserve">—— </w:t>
      </w:r>
      <w:proofErr w:type="spellStart"/>
      <w:r w:rsidRPr="00986B10">
        <w:t>2012a</w:t>
      </w:r>
      <w:proofErr w:type="spellEnd"/>
      <w:r w:rsidRPr="00986B10">
        <w:t xml:space="preserve">, </w:t>
      </w:r>
      <w:r w:rsidRPr="00986B10">
        <w:rPr>
          <w:i/>
        </w:rPr>
        <w:t>2012 Indigenous Expenditure Report</w:t>
      </w:r>
      <w:r w:rsidRPr="00986B10">
        <w:t>, Productivity Commission, Canberra, http://www.pc.gov.au/gsp/ier/indigenous-expenditure-2012/key-points (accessed 19 September 2012).</w:t>
      </w:r>
    </w:p>
    <w:p w:rsidR="00A87987" w:rsidRDefault="00A87987" w:rsidP="00C167C3">
      <w:pPr>
        <w:pStyle w:val="Reference"/>
      </w:pPr>
      <w:r w:rsidRPr="00986B10">
        <w:t xml:space="preserve">—— </w:t>
      </w:r>
      <w:proofErr w:type="spellStart"/>
      <w:r w:rsidR="00075937" w:rsidRPr="00986B10">
        <w:t>2012b</w:t>
      </w:r>
      <w:proofErr w:type="spellEnd"/>
      <w:r w:rsidRPr="00986B10">
        <w:t xml:space="preserve">, </w:t>
      </w:r>
      <w:r w:rsidRPr="00986B10">
        <w:rPr>
          <w:i/>
        </w:rPr>
        <w:t>Report</w:t>
      </w:r>
      <w:r>
        <w:rPr>
          <w:i/>
        </w:rPr>
        <w:t xml:space="preserve"> on Government Services 2012</w:t>
      </w:r>
      <w:r w:rsidRPr="008B0304">
        <w:rPr>
          <w:i/>
        </w:rPr>
        <w:t>: Indigenous Compendium</w:t>
      </w:r>
      <w:r>
        <w:rPr>
          <w:i/>
        </w:rPr>
        <w:t>,</w:t>
      </w:r>
      <w:r w:rsidRPr="008B0304">
        <w:t xml:space="preserve"> </w:t>
      </w:r>
      <w:r>
        <w:t xml:space="preserve">Productivity Commission, Canberra, </w:t>
      </w:r>
      <w:r w:rsidRPr="002B4A82">
        <w:t>http://www.pc.gov.au/</w:t>
      </w:r>
      <w:proofErr w:type="spellStart"/>
      <w:r w:rsidRPr="002B4A82">
        <w:t>gsp</w:t>
      </w:r>
      <w:proofErr w:type="spellEnd"/>
      <w:r w:rsidRPr="002B4A82">
        <w:t>/</w:t>
      </w:r>
      <w:proofErr w:type="spellStart"/>
      <w:r w:rsidRPr="002B4A82">
        <w:t>rogs</w:t>
      </w:r>
      <w:proofErr w:type="spellEnd"/>
      <w:r w:rsidRPr="002B4A82">
        <w:t>/indigenous-compendium-2012</w:t>
      </w:r>
      <w:r>
        <w:t xml:space="preserve"> (accessed 27 September 2012).</w:t>
      </w:r>
    </w:p>
    <w:p w:rsidR="009E1844" w:rsidRPr="00D347F8" w:rsidRDefault="009E1844" w:rsidP="00D347F8">
      <w:pPr>
        <w:pStyle w:val="BodyText"/>
      </w:pPr>
    </w:p>
    <w:p w:rsidR="00F056FC" w:rsidRDefault="00F056FC" w:rsidP="00120072">
      <w:pPr>
        <w:pStyle w:val="BodyText"/>
      </w:pPr>
    </w:p>
    <w:sectPr w:rsidR="00F056FC" w:rsidSect="00F92356">
      <w:headerReference w:type="even" r:id="rId32"/>
      <w:headerReference w:type="default" r:id="rId33"/>
      <w:footerReference w:type="even" r:id="rId34"/>
      <w:footerReference w:type="default" r:id="rId35"/>
      <w:pgSz w:w="11907" w:h="16840" w:code="9"/>
      <w:pgMar w:top="1985" w:right="1304" w:bottom="1418" w:left="1814" w:header="1701" w:footer="567" w:gutter="0"/>
      <w:pgNumType w:start="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BE3" w:rsidRDefault="00A13BE3">
      <w:r>
        <w:separator/>
      </w:r>
    </w:p>
  </w:endnote>
  <w:endnote w:type="continuationSeparator" w:id="0">
    <w:p w:rsidR="00A13BE3" w:rsidRDefault="00A13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13BE3">
      <w:trPr>
        <w:trHeight w:hRule="exact" w:val="740"/>
      </w:trPr>
      <w:tc>
        <w:tcPr>
          <w:tcW w:w="510" w:type="dxa"/>
          <w:tcBorders>
            <w:top w:val="single" w:sz="6" w:space="0" w:color="auto"/>
          </w:tcBorders>
        </w:tcPr>
        <w:p w:rsidR="00A13BE3" w:rsidRDefault="00A13BE3"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81751">
            <w:rPr>
              <w:rStyle w:val="PageNumber"/>
              <w:noProof/>
            </w:rPr>
            <w:t>32</w:t>
          </w:r>
          <w:r>
            <w:rPr>
              <w:rStyle w:val="PageNumber"/>
            </w:rPr>
            <w:fldChar w:fldCharType="end"/>
          </w:r>
        </w:p>
      </w:tc>
      <w:tc>
        <w:tcPr>
          <w:tcW w:w="1644" w:type="dxa"/>
          <w:tcBorders>
            <w:top w:val="single" w:sz="6" w:space="0" w:color="auto"/>
          </w:tcBorders>
        </w:tcPr>
        <w:p w:rsidR="00A13BE3" w:rsidRDefault="00781751" w:rsidP="0019293B">
          <w:pPr>
            <w:pStyle w:val="Footer"/>
          </w:pPr>
          <w:r>
            <w:fldChar w:fldCharType="begin"/>
          </w:r>
          <w:r>
            <w:instrText xml:space="preserve"> SUBJECT  \* MERGEFORMAT </w:instrText>
          </w:r>
          <w:r>
            <w:fldChar w:fldCharType="separate"/>
          </w:r>
          <w:r w:rsidR="00A70573">
            <w:t>Better Indigenous Policies: The Role of Evaluation</w:t>
          </w:r>
          <w:r>
            <w:fldChar w:fldCharType="end"/>
          </w:r>
        </w:p>
      </w:tc>
      <w:tc>
        <w:tcPr>
          <w:tcW w:w="6634" w:type="dxa"/>
        </w:tcPr>
        <w:p w:rsidR="00A13BE3" w:rsidRDefault="00A13BE3" w:rsidP="0019293B">
          <w:pPr>
            <w:pStyle w:val="Footer"/>
          </w:pPr>
        </w:p>
      </w:tc>
    </w:tr>
  </w:tbl>
  <w:p w:rsidR="00A13BE3" w:rsidRDefault="00A13BE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13BE3">
      <w:trPr>
        <w:trHeight w:hRule="exact" w:val="740"/>
      </w:trPr>
      <w:tc>
        <w:tcPr>
          <w:tcW w:w="6634" w:type="dxa"/>
        </w:tcPr>
        <w:p w:rsidR="00A13BE3" w:rsidRDefault="00A13BE3">
          <w:pPr>
            <w:pStyle w:val="Footer"/>
            <w:ind w:right="360" w:firstLine="360"/>
          </w:pPr>
        </w:p>
      </w:tc>
      <w:tc>
        <w:tcPr>
          <w:tcW w:w="1644" w:type="dxa"/>
          <w:tcBorders>
            <w:top w:val="single" w:sz="6" w:space="0" w:color="auto"/>
          </w:tcBorders>
        </w:tcPr>
        <w:p w:rsidR="00A13BE3" w:rsidRDefault="00781751">
          <w:pPr>
            <w:pStyle w:val="Footer"/>
          </w:pPr>
          <w:r>
            <w:fldChar w:fldCharType="begin"/>
          </w:r>
          <w:r>
            <w:instrText xml:space="preserve"> TITLE  \* MERGEFORMAT </w:instrText>
          </w:r>
          <w:r>
            <w:fldChar w:fldCharType="separate"/>
          </w:r>
          <w:r w:rsidR="00A70573">
            <w:t>Outcomes for Indigenous Australians</w:t>
          </w:r>
          <w:r>
            <w:fldChar w:fldCharType="end"/>
          </w:r>
        </w:p>
      </w:tc>
      <w:tc>
        <w:tcPr>
          <w:tcW w:w="510" w:type="dxa"/>
          <w:tcBorders>
            <w:top w:val="single" w:sz="6" w:space="0" w:color="auto"/>
          </w:tcBorders>
        </w:tcPr>
        <w:p w:rsidR="00A13BE3" w:rsidRDefault="00A13BE3">
          <w:pPr>
            <w:pStyle w:val="Footer"/>
            <w:jc w:val="right"/>
          </w:pPr>
          <w:r>
            <w:rPr>
              <w:rStyle w:val="PageNumber"/>
            </w:rPr>
            <w:fldChar w:fldCharType="begin"/>
          </w:r>
          <w:r>
            <w:rPr>
              <w:rStyle w:val="PageNumber"/>
            </w:rPr>
            <w:instrText xml:space="preserve">PAGE  </w:instrText>
          </w:r>
          <w:r>
            <w:rPr>
              <w:rStyle w:val="PageNumber"/>
            </w:rPr>
            <w:fldChar w:fldCharType="separate"/>
          </w:r>
          <w:r w:rsidR="00781751">
            <w:rPr>
              <w:rStyle w:val="PageNumber"/>
              <w:noProof/>
            </w:rPr>
            <w:t>33</w:t>
          </w:r>
          <w:r>
            <w:rPr>
              <w:rStyle w:val="PageNumber"/>
            </w:rPr>
            <w:fldChar w:fldCharType="end"/>
          </w:r>
        </w:p>
      </w:tc>
    </w:tr>
  </w:tbl>
  <w:p w:rsidR="00A13BE3" w:rsidRDefault="00A13BE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BE3" w:rsidRDefault="00A13BE3">
      <w:r>
        <w:separator/>
      </w:r>
    </w:p>
  </w:footnote>
  <w:footnote w:type="continuationSeparator" w:id="0">
    <w:p w:rsidR="00A13BE3" w:rsidRDefault="00A13BE3">
      <w:r>
        <w:continuationSeparator/>
      </w:r>
    </w:p>
  </w:footnote>
  <w:footnote w:id="1">
    <w:p w:rsidR="00A13BE3" w:rsidRPr="003A0772" w:rsidRDefault="00A13BE3" w:rsidP="003A0772">
      <w:pPr>
        <w:pStyle w:val="FootnoteText"/>
        <w:rPr>
          <w:lang w:val="en-US"/>
        </w:rPr>
      </w:pPr>
      <w:r>
        <w:rPr>
          <w:rStyle w:val="FootnoteReference"/>
        </w:rPr>
        <w:footnoteRef/>
      </w:r>
      <w:r>
        <w:tab/>
        <w:t>Commissioner, Productivity Commission and Convenor, Overcoming Indigenous Disadvantage Working Group and Indigenous Expenditure Report Working Group, Steering Committee for the Review of Government Service Provision.</w:t>
      </w:r>
    </w:p>
  </w:footnote>
  <w:footnote w:id="2">
    <w:p w:rsidR="00A13BE3" w:rsidRDefault="00A13BE3" w:rsidP="003A0772">
      <w:pPr>
        <w:pStyle w:val="FootnoteText"/>
      </w:pPr>
      <w:r>
        <w:rPr>
          <w:rStyle w:val="FootnoteReference"/>
        </w:rPr>
        <w:footnoteRef/>
      </w:r>
      <w:r>
        <w:tab/>
        <w:t>Separate population estimates for Aboriginal and Torres Strait Islander people for 2011 have not yet been published by the Australian Bureau of Statistics.</w:t>
      </w:r>
    </w:p>
  </w:footnote>
  <w:footnote w:id="3">
    <w:p w:rsidR="00A13BE3" w:rsidRDefault="00A13BE3" w:rsidP="00D347F8">
      <w:pPr>
        <w:pStyle w:val="FootnoteText"/>
      </w:pPr>
      <w:r>
        <w:rPr>
          <w:rStyle w:val="FootnoteReference"/>
        </w:rPr>
        <w:footnoteRef/>
      </w:r>
      <w:r>
        <w:tab/>
        <w:t>Population data by remoteness areas for 2011 are yet to be published by the Australian Bureau of Statistics.</w:t>
      </w:r>
    </w:p>
  </w:footnote>
  <w:footnote w:id="4">
    <w:p w:rsidR="00A13BE3" w:rsidRPr="00D12965" w:rsidRDefault="00A13BE3" w:rsidP="00A87987">
      <w:pPr>
        <w:pStyle w:val="FootnoteText"/>
      </w:pPr>
      <w:r>
        <w:rPr>
          <w:rStyle w:val="FootnoteReference"/>
        </w:rPr>
        <w:footnoteRef/>
      </w:r>
      <w:r>
        <w:tab/>
      </w:r>
      <w:r w:rsidRPr="00D12965">
        <w:t xml:space="preserve">The substance use questions in the 2008 </w:t>
      </w:r>
      <w:r>
        <w:t>National Aboriginal and Torres Strait Islander Social Survey (</w:t>
      </w:r>
      <w:proofErr w:type="spellStart"/>
      <w:r w:rsidRPr="00D12965">
        <w:t>NATSISS</w:t>
      </w:r>
      <w:proofErr w:type="spellEnd"/>
      <w:r>
        <w:t>)</w:t>
      </w:r>
      <w:r w:rsidRPr="00D12965">
        <w:t xml:space="preserve"> are comparable to those used in the 2002</w:t>
      </w:r>
      <w:r>
        <w:t> </w:t>
      </w:r>
      <w:proofErr w:type="spellStart"/>
      <w:r w:rsidRPr="00D12965">
        <w:t>NATSISS</w:t>
      </w:r>
      <w:proofErr w:type="spellEnd"/>
      <w:r w:rsidRPr="00D12965">
        <w:t xml:space="preserve">. However, when comparing </w:t>
      </w:r>
      <w:r>
        <w:t xml:space="preserve">data for </w:t>
      </w:r>
      <w:r w:rsidRPr="00D12965">
        <w:t>2002 and 2008 it should be noted that there were changes in the proportion of people who did not accept the substance use form</w:t>
      </w:r>
      <w:r>
        <w:t xml:space="preserve">, with the 2002 </w:t>
      </w:r>
      <w:proofErr w:type="spellStart"/>
      <w:r>
        <w:t>NATSISS</w:t>
      </w:r>
      <w:proofErr w:type="spellEnd"/>
      <w:r>
        <w:t xml:space="preserve"> having a </w:t>
      </w:r>
      <w:r w:rsidRPr="00D12965">
        <w:t>6</w:t>
      </w:r>
      <w:r>
        <w:t> </w:t>
      </w:r>
      <w:r w:rsidRPr="00D12965">
        <w:t>per</w:t>
      </w:r>
      <w:r>
        <w:t> </w:t>
      </w:r>
      <w:r w:rsidRPr="00D12965">
        <w:t>cent non</w:t>
      </w:r>
      <w:r>
        <w:noBreakHyphen/>
      </w:r>
      <w:r w:rsidRPr="00D12965">
        <w:t xml:space="preserve">response </w:t>
      </w:r>
      <w:r>
        <w:t xml:space="preserve">compared with </w:t>
      </w:r>
      <w:r w:rsidRPr="00D12965">
        <w:t>9</w:t>
      </w:r>
      <w:r>
        <w:t> </w:t>
      </w:r>
      <w:r w:rsidRPr="00D12965">
        <w:t>per</w:t>
      </w:r>
      <w:r>
        <w:t> </w:t>
      </w:r>
      <w:r w:rsidRPr="00D12965">
        <w:t>cent for the 2008</w:t>
      </w:r>
      <w:r>
        <w:t> </w:t>
      </w:r>
      <w:proofErr w:type="spellStart"/>
      <w:r w:rsidRPr="00D12965">
        <w:t>NATSISS</w:t>
      </w:r>
      <w:proofErr w:type="spellEnd"/>
      <w:r w:rsidRPr="00D12965">
        <w:t>.</w:t>
      </w:r>
    </w:p>
  </w:footnote>
  <w:footnote w:id="5">
    <w:p w:rsidR="00A13BE3" w:rsidRDefault="00A13BE3" w:rsidP="00A87987">
      <w:pPr>
        <w:pStyle w:val="FootnoteText"/>
      </w:pPr>
      <w:r>
        <w:rPr>
          <w:rStyle w:val="FootnoteReference"/>
        </w:rPr>
        <w:footnoteRef/>
      </w:r>
      <w:r>
        <w:tab/>
      </w:r>
      <w:r w:rsidRPr="00A134C5">
        <w:t>The apparent retention rate is the percentage of full</w:t>
      </w:r>
      <w:r>
        <w:t>-</w:t>
      </w:r>
      <w:r w:rsidRPr="00A134C5">
        <w:t>time students who continued to year</w:t>
      </w:r>
      <w:r>
        <w:t>s</w:t>
      </w:r>
      <w:r w:rsidRPr="00A134C5">
        <w:t xml:space="preserve"> 9, 10, 11 and 12 from respective cohort groups at the commencement of their secondary schooling </w:t>
      </w:r>
      <w:r>
        <w:t xml:space="preserve">(Year 7 or Year </w:t>
      </w:r>
      <w:r w:rsidRPr="00A134C5">
        <w:t>8</w:t>
      </w:r>
      <w:r>
        <w:t>, depending on the jurisdiction</w:t>
      </w:r>
      <w:r w:rsidRPr="00A134C5">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13BE3">
      <w:tc>
        <w:tcPr>
          <w:tcW w:w="2155" w:type="dxa"/>
          <w:tcBorders>
            <w:top w:val="single" w:sz="24" w:space="0" w:color="auto"/>
          </w:tcBorders>
        </w:tcPr>
        <w:p w:rsidR="00A13BE3" w:rsidRDefault="00A13BE3" w:rsidP="0019293B">
          <w:pPr>
            <w:pStyle w:val="HeaderEven"/>
          </w:pPr>
        </w:p>
      </w:tc>
      <w:tc>
        <w:tcPr>
          <w:tcW w:w="6634" w:type="dxa"/>
          <w:tcBorders>
            <w:top w:val="single" w:sz="6" w:space="0" w:color="auto"/>
          </w:tcBorders>
        </w:tcPr>
        <w:p w:rsidR="00A13BE3" w:rsidRDefault="00A13BE3" w:rsidP="0019293B">
          <w:pPr>
            <w:pStyle w:val="HeaderEven"/>
          </w:pPr>
        </w:p>
      </w:tc>
    </w:tr>
  </w:tbl>
  <w:p w:rsidR="00A13BE3" w:rsidRDefault="00A13BE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13BE3">
      <w:tc>
        <w:tcPr>
          <w:tcW w:w="6634" w:type="dxa"/>
          <w:tcBorders>
            <w:top w:val="single" w:sz="6" w:space="0" w:color="auto"/>
          </w:tcBorders>
        </w:tcPr>
        <w:p w:rsidR="00A13BE3" w:rsidRDefault="00A13BE3" w:rsidP="00E669E2">
          <w:pPr>
            <w:pStyle w:val="HeaderOdd"/>
          </w:pPr>
        </w:p>
      </w:tc>
      <w:tc>
        <w:tcPr>
          <w:tcW w:w="2155" w:type="dxa"/>
          <w:tcBorders>
            <w:top w:val="single" w:sz="24" w:space="0" w:color="auto"/>
          </w:tcBorders>
        </w:tcPr>
        <w:p w:rsidR="00A13BE3" w:rsidRDefault="00A13BE3" w:rsidP="00E669E2">
          <w:pPr>
            <w:pStyle w:val="HeaderOdd"/>
          </w:pPr>
        </w:p>
      </w:tc>
    </w:tr>
  </w:tbl>
  <w:p w:rsidR="00A13BE3" w:rsidRDefault="00A13BE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utcomes for Indigenous Australians"/>
    <w:docVar w:name="ShortReportTitle" w:val="Better Indigenous Policies: The Role of Evaluation"/>
  </w:docVars>
  <w:rsids>
    <w:rsidRoot w:val="00554B3C"/>
    <w:rsid w:val="00002782"/>
    <w:rsid w:val="0000550A"/>
    <w:rsid w:val="000073A9"/>
    <w:rsid w:val="0002219C"/>
    <w:rsid w:val="000227D5"/>
    <w:rsid w:val="000245AA"/>
    <w:rsid w:val="0003664B"/>
    <w:rsid w:val="0004111F"/>
    <w:rsid w:val="000412F4"/>
    <w:rsid w:val="000565B3"/>
    <w:rsid w:val="00061C1B"/>
    <w:rsid w:val="00064343"/>
    <w:rsid w:val="0007150B"/>
    <w:rsid w:val="00075937"/>
    <w:rsid w:val="00090901"/>
    <w:rsid w:val="000938F5"/>
    <w:rsid w:val="00096E55"/>
    <w:rsid w:val="000B601B"/>
    <w:rsid w:val="000C207E"/>
    <w:rsid w:val="000C4F55"/>
    <w:rsid w:val="000D11CE"/>
    <w:rsid w:val="000F0035"/>
    <w:rsid w:val="000F420B"/>
    <w:rsid w:val="00105E31"/>
    <w:rsid w:val="00110116"/>
    <w:rsid w:val="00120072"/>
    <w:rsid w:val="00126EB8"/>
    <w:rsid w:val="001274D4"/>
    <w:rsid w:val="001363AA"/>
    <w:rsid w:val="00176A2D"/>
    <w:rsid w:val="00183E82"/>
    <w:rsid w:val="00186ABD"/>
    <w:rsid w:val="001878BB"/>
    <w:rsid w:val="00191AE0"/>
    <w:rsid w:val="0019293B"/>
    <w:rsid w:val="001A6072"/>
    <w:rsid w:val="001C0865"/>
    <w:rsid w:val="001C3ABA"/>
    <w:rsid w:val="001E7BE8"/>
    <w:rsid w:val="001F0248"/>
    <w:rsid w:val="001F3EB3"/>
    <w:rsid w:val="001F4F86"/>
    <w:rsid w:val="00202C2C"/>
    <w:rsid w:val="002135AB"/>
    <w:rsid w:val="002144BE"/>
    <w:rsid w:val="00242279"/>
    <w:rsid w:val="00245C82"/>
    <w:rsid w:val="00256B42"/>
    <w:rsid w:val="00270CF6"/>
    <w:rsid w:val="00291B40"/>
    <w:rsid w:val="002B4008"/>
    <w:rsid w:val="002C7791"/>
    <w:rsid w:val="002D0E8E"/>
    <w:rsid w:val="00300F0C"/>
    <w:rsid w:val="00301189"/>
    <w:rsid w:val="00301EC7"/>
    <w:rsid w:val="00313270"/>
    <w:rsid w:val="00323E09"/>
    <w:rsid w:val="00333932"/>
    <w:rsid w:val="003518AA"/>
    <w:rsid w:val="00352165"/>
    <w:rsid w:val="00353182"/>
    <w:rsid w:val="003565D9"/>
    <w:rsid w:val="003602E1"/>
    <w:rsid w:val="0037026F"/>
    <w:rsid w:val="00371240"/>
    <w:rsid w:val="00374731"/>
    <w:rsid w:val="00376E59"/>
    <w:rsid w:val="003919F9"/>
    <w:rsid w:val="003A0772"/>
    <w:rsid w:val="003A6F3D"/>
    <w:rsid w:val="003C140C"/>
    <w:rsid w:val="003C38B5"/>
    <w:rsid w:val="003C5D99"/>
    <w:rsid w:val="003E2F59"/>
    <w:rsid w:val="003F0789"/>
    <w:rsid w:val="003F63DB"/>
    <w:rsid w:val="00401882"/>
    <w:rsid w:val="004100C8"/>
    <w:rsid w:val="00411DBD"/>
    <w:rsid w:val="00412ACE"/>
    <w:rsid w:val="0041586D"/>
    <w:rsid w:val="00431249"/>
    <w:rsid w:val="00434C19"/>
    <w:rsid w:val="00450810"/>
    <w:rsid w:val="004553B3"/>
    <w:rsid w:val="004652A2"/>
    <w:rsid w:val="00473C66"/>
    <w:rsid w:val="00477144"/>
    <w:rsid w:val="00491380"/>
    <w:rsid w:val="0049459F"/>
    <w:rsid w:val="004A38DD"/>
    <w:rsid w:val="004A416B"/>
    <w:rsid w:val="004B43AE"/>
    <w:rsid w:val="004C30ED"/>
    <w:rsid w:val="004D5675"/>
    <w:rsid w:val="00507B56"/>
    <w:rsid w:val="00523639"/>
    <w:rsid w:val="00531FE5"/>
    <w:rsid w:val="005402FA"/>
    <w:rsid w:val="00547C7F"/>
    <w:rsid w:val="005515BD"/>
    <w:rsid w:val="00554B3C"/>
    <w:rsid w:val="0055712F"/>
    <w:rsid w:val="00583C39"/>
    <w:rsid w:val="00587F28"/>
    <w:rsid w:val="005909CF"/>
    <w:rsid w:val="00591E71"/>
    <w:rsid w:val="005A0D41"/>
    <w:rsid w:val="005C3FA8"/>
    <w:rsid w:val="00605272"/>
    <w:rsid w:val="00605494"/>
    <w:rsid w:val="0060703C"/>
    <w:rsid w:val="00607BF1"/>
    <w:rsid w:val="00630D4D"/>
    <w:rsid w:val="00632A74"/>
    <w:rsid w:val="006A0D1A"/>
    <w:rsid w:val="006A4655"/>
    <w:rsid w:val="006A6DA4"/>
    <w:rsid w:val="006B2B3C"/>
    <w:rsid w:val="006C1D81"/>
    <w:rsid w:val="006C5C0C"/>
    <w:rsid w:val="006C7038"/>
    <w:rsid w:val="006E73EF"/>
    <w:rsid w:val="00714D4D"/>
    <w:rsid w:val="00756748"/>
    <w:rsid w:val="007604BB"/>
    <w:rsid w:val="007641AB"/>
    <w:rsid w:val="00781751"/>
    <w:rsid w:val="00785232"/>
    <w:rsid w:val="00793D8B"/>
    <w:rsid w:val="007A21EB"/>
    <w:rsid w:val="007B1A93"/>
    <w:rsid w:val="007C36C9"/>
    <w:rsid w:val="007D6401"/>
    <w:rsid w:val="007E01E4"/>
    <w:rsid w:val="007E6B7E"/>
    <w:rsid w:val="007F7107"/>
    <w:rsid w:val="00800D4C"/>
    <w:rsid w:val="0081030F"/>
    <w:rsid w:val="0082087D"/>
    <w:rsid w:val="0083491B"/>
    <w:rsid w:val="00835771"/>
    <w:rsid w:val="00841B0B"/>
    <w:rsid w:val="00842933"/>
    <w:rsid w:val="008445A5"/>
    <w:rsid w:val="00855B9C"/>
    <w:rsid w:val="0086082C"/>
    <w:rsid w:val="008617C8"/>
    <w:rsid w:val="00864ADC"/>
    <w:rsid w:val="00880153"/>
    <w:rsid w:val="00880F97"/>
    <w:rsid w:val="0088133A"/>
    <w:rsid w:val="0089285E"/>
    <w:rsid w:val="0089436C"/>
    <w:rsid w:val="008B3DD0"/>
    <w:rsid w:val="008D17FE"/>
    <w:rsid w:val="008D365C"/>
    <w:rsid w:val="008F20D1"/>
    <w:rsid w:val="009030BF"/>
    <w:rsid w:val="0091032F"/>
    <w:rsid w:val="00914368"/>
    <w:rsid w:val="00931076"/>
    <w:rsid w:val="009345D9"/>
    <w:rsid w:val="00934B15"/>
    <w:rsid w:val="00940C87"/>
    <w:rsid w:val="00942B62"/>
    <w:rsid w:val="009458FE"/>
    <w:rsid w:val="0095323B"/>
    <w:rsid w:val="00956A0C"/>
    <w:rsid w:val="00956BD9"/>
    <w:rsid w:val="00956FFB"/>
    <w:rsid w:val="00962489"/>
    <w:rsid w:val="009636B3"/>
    <w:rsid w:val="0097792A"/>
    <w:rsid w:val="00986B10"/>
    <w:rsid w:val="00990C2C"/>
    <w:rsid w:val="00991292"/>
    <w:rsid w:val="009A160A"/>
    <w:rsid w:val="009A1AF1"/>
    <w:rsid w:val="009E1844"/>
    <w:rsid w:val="009F0D1B"/>
    <w:rsid w:val="009F696D"/>
    <w:rsid w:val="009F6BC6"/>
    <w:rsid w:val="00A13BE3"/>
    <w:rsid w:val="00A17328"/>
    <w:rsid w:val="00A23A20"/>
    <w:rsid w:val="00A268B9"/>
    <w:rsid w:val="00A2703A"/>
    <w:rsid w:val="00A33DFF"/>
    <w:rsid w:val="00A35115"/>
    <w:rsid w:val="00A36D9A"/>
    <w:rsid w:val="00A554AB"/>
    <w:rsid w:val="00A57062"/>
    <w:rsid w:val="00A70573"/>
    <w:rsid w:val="00A73456"/>
    <w:rsid w:val="00A87987"/>
    <w:rsid w:val="00A905DB"/>
    <w:rsid w:val="00A92B53"/>
    <w:rsid w:val="00A94FA6"/>
    <w:rsid w:val="00A976B3"/>
    <w:rsid w:val="00AA49A0"/>
    <w:rsid w:val="00AA6710"/>
    <w:rsid w:val="00AB0424"/>
    <w:rsid w:val="00AB0681"/>
    <w:rsid w:val="00AB6EB6"/>
    <w:rsid w:val="00AD4D3C"/>
    <w:rsid w:val="00AD520B"/>
    <w:rsid w:val="00B1549B"/>
    <w:rsid w:val="00B425C3"/>
    <w:rsid w:val="00B440AD"/>
    <w:rsid w:val="00B53E7E"/>
    <w:rsid w:val="00B6342E"/>
    <w:rsid w:val="00B7113F"/>
    <w:rsid w:val="00BA6F5D"/>
    <w:rsid w:val="00BA73B6"/>
    <w:rsid w:val="00BA7E27"/>
    <w:rsid w:val="00BB2603"/>
    <w:rsid w:val="00BB4FCD"/>
    <w:rsid w:val="00BC04E9"/>
    <w:rsid w:val="00BD13EA"/>
    <w:rsid w:val="00BE3808"/>
    <w:rsid w:val="00C062E9"/>
    <w:rsid w:val="00C07B64"/>
    <w:rsid w:val="00C13721"/>
    <w:rsid w:val="00C14FE4"/>
    <w:rsid w:val="00C167C3"/>
    <w:rsid w:val="00C174BB"/>
    <w:rsid w:val="00C3066D"/>
    <w:rsid w:val="00C52416"/>
    <w:rsid w:val="00C543F4"/>
    <w:rsid w:val="00C6291C"/>
    <w:rsid w:val="00C633CB"/>
    <w:rsid w:val="00C736B7"/>
    <w:rsid w:val="00C76A58"/>
    <w:rsid w:val="00C81D4A"/>
    <w:rsid w:val="00C82392"/>
    <w:rsid w:val="00C8762C"/>
    <w:rsid w:val="00CA00F9"/>
    <w:rsid w:val="00CA2961"/>
    <w:rsid w:val="00CB50D7"/>
    <w:rsid w:val="00CB7177"/>
    <w:rsid w:val="00CC1998"/>
    <w:rsid w:val="00CC4946"/>
    <w:rsid w:val="00CC73DA"/>
    <w:rsid w:val="00CE3F6C"/>
    <w:rsid w:val="00D270A4"/>
    <w:rsid w:val="00D31FE9"/>
    <w:rsid w:val="00D347F8"/>
    <w:rsid w:val="00D34E1B"/>
    <w:rsid w:val="00D376BA"/>
    <w:rsid w:val="00D45634"/>
    <w:rsid w:val="00D5568A"/>
    <w:rsid w:val="00D63D73"/>
    <w:rsid w:val="00D64452"/>
    <w:rsid w:val="00D66E1E"/>
    <w:rsid w:val="00D71A3D"/>
    <w:rsid w:val="00D72C9C"/>
    <w:rsid w:val="00D75722"/>
    <w:rsid w:val="00D80CF5"/>
    <w:rsid w:val="00DA5BBA"/>
    <w:rsid w:val="00DB26D2"/>
    <w:rsid w:val="00DB67C9"/>
    <w:rsid w:val="00DC0C95"/>
    <w:rsid w:val="00DD6580"/>
    <w:rsid w:val="00E17C72"/>
    <w:rsid w:val="00E21FC6"/>
    <w:rsid w:val="00E431A9"/>
    <w:rsid w:val="00E55C0F"/>
    <w:rsid w:val="00E57A8D"/>
    <w:rsid w:val="00E669E2"/>
    <w:rsid w:val="00E76135"/>
    <w:rsid w:val="00E8099A"/>
    <w:rsid w:val="00E82F4F"/>
    <w:rsid w:val="00E91F8F"/>
    <w:rsid w:val="00EA153A"/>
    <w:rsid w:val="00EA531B"/>
    <w:rsid w:val="00EC103E"/>
    <w:rsid w:val="00EC2844"/>
    <w:rsid w:val="00EC5500"/>
    <w:rsid w:val="00ED3BAC"/>
    <w:rsid w:val="00EF6C6C"/>
    <w:rsid w:val="00F056FC"/>
    <w:rsid w:val="00F10476"/>
    <w:rsid w:val="00F135D8"/>
    <w:rsid w:val="00F13CBA"/>
    <w:rsid w:val="00F31299"/>
    <w:rsid w:val="00F32646"/>
    <w:rsid w:val="00F3534A"/>
    <w:rsid w:val="00F51609"/>
    <w:rsid w:val="00F52437"/>
    <w:rsid w:val="00F81006"/>
    <w:rsid w:val="00F85325"/>
    <w:rsid w:val="00F92356"/>
    <w:rsid w:val="00F9498D"/>
    <w:rsid w:val="00F95C2B"/>
    <w:rsid w:val="00FD22B1"/>
    <w:rsid w:val="00FE539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81751"/>
    <w:rPr>
      <w:sz w:val="26"/>
      <w:szCs w:val="24"/>
    </w:rPr>
  </w:style>
  <w:style w:type="paragraph" w:styleId="Heading1">
    <w:name w:val="heading 1"/>
    <w:basedOn w:val="BodyText"/>
    <w:next w:val="BodyText"/>
    <w:rsid w:val="0078175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8175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81751"/>
    <w:pPr>
      <w:spacing w:before="560" w:line="320" w:lineRule="exact"/>
      <w:ind w:left="0" w:firstLine="0"/>
      <w:outlineLvl w:val="2"/>
    </w:pPr>
    <w:rPr>
      <w:sz w:val="26"/>
    </w:rPr>
  </w:style>
  <w:style w:type="paragraph" w:styleId="Heading4">
    <w:name w:val="heading 4"/>
    <w:basedOn w:val="Heading3"/>
    <w:next w:val="BodyText"/>
    <w:qFormat/>
    <w:rsid w:val="00781751"/>
    <w:pPr>
      <w:spacing w:before="480"/>
      <w:outlineLvl w:val="3"/>
    </w:pPr>
    <w:rPr>
      <w:b w:val="0"/>
      <w:i/>
      <w:sz w:val="24"/>
    </w:rPr>
  </w:style>
  <w:style w:type="paragraph" w:styleId="Heading5">
    <w:name w:val="heading 5"/>
    <w:basedOn w:val="Heading4"/>
    <w:next w:val="BodyText"/>
    <w:qFormat/>
    <w:rsid w:val="00781751"/>
    <w:pPr>
      <w:outlineLvl w:val="4"/>
    </w:pPr>
    <w:rPr>
      <w:rFonts w:ascii="Times New Roman" w:hAnsi="Times New Roman"/>
      <w:sz w:val="26"/>
    </w:rPr>
  </w:style>
  <w:style w:type="paragraph" w:styleId="Heading6">
    <w:name w:val="heading 6"/>
    <w:basedOn w:val="BodyText"/>
    <w:next w:val="BodyText"/>
    <w:rsid w:val="00781751"/>
    <w:pPr>
      <w:spacing w:after="60"/>
      <w:jc w:val="left"/>
      <w:outlineLvl w:val="5"/>
    </w:pPr>
    <w:rPr>
      <w:i/>
      <w:sz w:val="22"/>
    </w:rPr>
  </w:style>
  <w:style w:type="paragraph" w:styleId="Heading7">
    <w:name w:val="heading 7"/>
    <w:basedOn w:val="BodyText"/>
    <w:next w:val="BodyText"/>
    <w:rsid w:val="00781751"/>
    <w:pPr>
      <w:spacing w:after="60" w:line="240" w:lineRule="auto"/>
      <w:jc w:val="left"/>
      <w:outlineLvl w:val="6"/>
    </w:pPr>
    <w:rPr>
      <w:rFonts w:ascii="Arial" w:hAnsi="Arial"/>
      <w:sz w:val="20"/>
    </w:rPr>
  </w:style>
  <w:style w:type="paragraph" w:styleId="Heading8">
    <w:name w:val="heading 8"/>
    <w:basedOn w:val="BodyText"/>
    <w:next w:val="BodyText"/>
    <w:rsid w:val="00781751"/>
    <w:pPr>
      <w:spacing w:after="60" w:line="240" w:lineRule="auto"/>
      <w:jc w:val="left"/>
      <w:outlineLvl w:val="7"/>
    </w:pPr>
    <w:rPr>
      <w:rFonts w:ascii="Arial" w:hAnsi="Arial"/>
      <w:i/>
      <w:sz w:val="20"/>
    </w:rPr>
  </w:style>
  <w:style w:type="paragraph" w:styleId="Heading9">
    <w:name w:val="heading 9"/>
    <w:basedOn w:val="BodyText"/>
    <w:next w:val="BodyText"/>
    <w:rsid w:val="0078175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817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1751"/>
  </w:style>
  <w:style w:type="paragraph" w:styleId="BodyText">
    <w:name w:val="Body Text"/>
    <w:qFormat/>
    <w:rsid w:val="00781751"/>
    <w:pPr>
      <w:spacing w:before="240" w:line="320" w:lineRule="atLeast"/>
      <w:jc w:val="both"/>
    </w:pPr>
    <w:rPr>
      <w:sz w:val="26"/>
    </w:rPr>
  </w:style>
  <w:style w:type="paragraph" w:styleId="Footer">
    <w:name w:val="footer"/>
    <w:basedOn w:val="BodyText"/>
    <w:semiHidden/>
    <w:rsid w:val="00781751"/>
    <w:pPr>
      <w:spacing w:before="80" w:line="200" w:lineRule="exact"/>
      <w:ind w:right="6"/>
      <w:jc w:val="left"/>
    </w:pPr>
    <w:rPr>
      <w:caps/>
      <w:spacing w:val="-4"/>
      <w:sz w:val="16"/>
    </w:rPr>
  </w:style>
  <w:style w:type="paragraph" w:customStyle="1" w:styleId="FooterEnd">
    <w:name w:val="Footer End"/>
    <w:basedOn w:val="Footer"/>
    <w:rsid w:val="00781751"/>
    <w:pPr>
      <w:spacing w:before="0" w:line="20" w:lineRule="exact"/>
    </w:pPr>
  </w:style>
  <w:style w:type="paragraph" w:styleId="Header">
    <w:name w:val="header"/>
    <w:basedOn w:val="BodyText"/>
    <w:rsid w:val="0078175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81751"/>
    <w:pPr>
      <w:spacing w:line="20" w:lineRule="exact"/>
    </w:pPr>
    <w:rPr>
      <w:sz w:val="16"/>
    </w:rPr>
  </w:style>
  <w:style w:type="paragraph" w:customStyle="1" w:styleId="HeaderEven">
    <w:name w:val="Header Even"/>
    <w:basedOn w:val="Header"/>
    <w:semiHidden/>
    <w:rsid w:val="00781751"/>
  </w:style>
  <w:style w:type="paragraph" w:customStyle="1" w:styleId="HeaderOdd">
    <w:name w:val="Header Odd"/>
    <w:basedOn w:val="Header"/>
    <w:semiHidden/>
    <w:rsid w:val="00781751"/>
  </w:style>
  <w:style w:type="character" w:styleId="PageNumber">
    <w:name w:val="page number"/>
    <w:basedOn w:val="DefaultParagraphFont"/>
    <w:rsid w:val="00781751"/>
    <w:rPr>
      <w:rFonts w:ascii="Arial" w:hAnsi="Arial"/>
      <w:b/>
      <w:sz w:val="16"/>
    </w:rPr>
  </w:style>
  <w:style w:type="paragraph" w:customStyle="1" w:styleId="Abbreviation">
    <w:name w:val="Abbreviation"/>
    <w:basedOn w:val="BodyText"/>
    <w:rsid w:val="00781751"/>
    <w:pPr>
      <w:spacing w:before="120"/>
      <w:ind w:left="2381" w:hanging="2381"/>
      <w:jc w:val="left"/>
    </w:pPr>
  </w:style>
  <w:style w:type="paragraph" w:customStyle="1" w:styleId="Box">
    <w:name w:val="Box"/>
    <w:basedOn w:val="BodyText"/>
    <w:link w:val="BoxChar"/>
    <w:qFormat/>
    <w:rsid w:val="00781751"/>
    <w:pPr>
      <w:keepNext/>
      <w:spacing w:before="120" w:line="280" w:lineRule="atLeast"/>
    </w:pPr>
    <w:rPr>
      <w:rFonts w:ascii="Arial" w:hAnsi="Arial"/>
      <w:sz w:val="22"/>
    </w:rPr>
  </w:style>
  <w:style w:type="paragraph" w:customStyle="1" w:styleId="BoxContinued">
    <w:name w:val="Box Continued"/>
    <w:basedOn w:val="BodyText"/>
    <w:next w:val="BodyText"/>
    <w:semiHidden/>
    <w:rsid w:val="00781751"/>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781751"/>
    <w:pPr>
      <w:keepNext/>
      <w:spacing w:before="200" w:line="280" w:lineRule="atLeast"/>
    </w:pPr>
    <w:rPr>
      <w:rFonts w:ascii="Arial" w:hAnsi="Arial"/>
      <w:b/>
      <w:sz w:val="22"/>
    </w:rPr>
  </w:style>
  <w:style w:type="paragraph" w:customStyle="1" w:styleId="BoxHeading2">
    <w:name w:val="Box Heading 2"/>
    <w:basedOn w:val="BoxHeading1"/>
    <w:next w:val="Normal"/>
    <w:rsid w:val="00781751"/>
    <w:rPr>
      <w:b w:val="0"/>
      <w:i/>
    </w:rPr>
  </w:style>
  <w:style w:type="paragraph" w:customStyle="1" w:styleId="BoxListBullet">
    <w:name w:val="Box List Bullet"/>
    <w:basedOn w:val="BodyText"/>
    <w:rsid w:val="00781751"/>
    <w:pPr>
      <w:keepNext/>
      <w:numPr>
        <w:numId w:val="1"/>
      </w:numPr>
      <w:spacing w:before="60" w:line="280" w:lineRule="atLeast"/>
    </w:pPr>
    <w:rPr>
      <w:rFonts w:ascii="Arial" w:hAnsi="Arial"/>
      <w:sz w:val="22"/>
    </w:rPr>
  </w:style>
  <w:style w:type="paragraph" w:customStyle="1" w:styleId="BoxListBullet2">
    <w:name w:val="Box List Bullet 2"/>
    <w:basedOn w:val="BodyText"/>
    <w:rsid w:val="00781751"/>
    <w:pPr>
      <w:keepNext/>
      <w:numPr>
        <w:numId w:val="2"/>
      </w:numPr>
      <w:spacing w:before="60" w:line="280" w:lineRule="atLeast"/>
    </w:pPr>
    <w:rPr>
      <w:rFonts w:ascii="Arial" w:hAnsi="Arial"/>
      <w:sz w:val="22"/>
    </w:rPr>
  </w:style>
  <w:style w:type="paragraph" w:customStyle="1" w:styleId="BoxListNumber">
    <w:name w:val="Box List Number"/>
    <w:basedOn w:val="BodyText"/>
    <w:rsid w:val="00781751"/>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781751"/>
    <w:pPr>
      <w:numPr>
        <w:ilvl w:val="1"/>
      </w:numPr>
    </w:pPr>
  </w:style>
  <w:style w:type="paragraph" w:customStyle="1" w:styleId="BoxQuote">
    <w:name w:val="Box Quote"/>
    <w:basedOn w:val="BodyText"/>
    <w:next w:val="Box"/>
    <w:rsid w:val="00781751"/>
    <w:pPr>
      <w:keepNext/>
      <w:spacing w:before="60" w:line="260" w:lineRule="exact"/>
      <w:ind w:left="284"/>
    </w:pPr>
    <w:rPr>
      <w:rFonts w:ascii="Arial" w:hAnsi="Arial"/>
      <w:sz w:val="20"/>
    </w:rPr>
  </w:style>
  <w:style w:type="paragraph" w:customStyle="1" w:styleId="Note">
    <w:name w:val="Note"/>
    <w:basedOn w:val="BodyText"/>
    <w:next w:val="BodyText"/>
    <w:link w:val="NoteChar"/>
    <w:rsid w:val="00781751"/>
    <w:pPr>
      <w:keepLines/>
      <w:spacing w:before="80" w:line="220" w:lineRule="exact"/>
    </w:pPr>
    <w:rPr>
      <w:rFonts w:ascii="Arial" w:hAnsi="Arial"/>
      <w:sz w:val="18"/>
    </w:rPr>
  </w:style>
  <w:style w:type="paragraph" w:customStyle="1" w:styleId="Source">
    <w:name w:val="Source"/>
    <w:basedOn w:val="Note"/>
    <w:next w:val="BodyText"/>
    <w:link w:val="SourceChar"/>
    <w:rsid w:val="00781751"/>
    <w:pPr>
      <w:spacing w:after="120"/>
    </w:pPr>
  </w:style>
  <w:style w:type="paragraph" w:customStyle="1" w:styleId="BoxSource">
    <w:name w:val="Box Source"/>
    <w:basedOn w:val="Source"/>
    <w:next w:val="BodyText"/>
    <w:rsid w:val="00781751"/>
    <w:pPr>
      <w:spacing w:before="180" w:after="0"/>
    </w:pPr>
  </w:style>
  <w:style w:type="paragraph" w:customStyle="1" w:styleId="BoxSpaceAbove">
    <w:name w:val="Box Space Above"/>
    <w:basedOn w:val="BodyText"/>
    <w:rsid w:val="00781751"/>
    <w:pPr>
      <w:keepNext/>
      <w:spacing w:before="360" w:line="80" w:lineRule="exact"/>
      <w:jc w:val="left"/>
    </w:pPr>
  </w:style>
  <w:style w:type="paragraph" w:styleId="Caption">
    <w:name w:val="caption"/>
    <w:basedOn w:val="Normal"/>
    <w:next w:val="BodyText"/>
    <w:rsid w:val="0078175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781751"/>
    <w:pPr>
      <w:spacing w:before="120" w:after="0"/>
      <w:ind w:left="1304" w:hanging="1304"/>
    </w:pPr>
    <w:rPr>
      <w:sz w:val="24"/>
    </w:rPr>
  </w:style>
  <w:style w:type="paragraph" w:customStyle="1" w:styleId="BoxSubtitle">
    <w:name w:val="Box Subtitle"/>
    <w:basedOn w:val="BoxTitle"/>
    <w:next w:val="Normal"/>
    <w:rsid w:val="00781751"/>
    <w:pPr>
      <w:spacing w:after="80" w:line="200" w:lineRule="exact"/>
      <w:ind w:firstLine="0"/>
    </w:pPr>
    <w:rPr>
      <w:b w:val="0"/>
      <w:sz w:val="20"/>
    </w:rPr>
  </w:style>
  <w:style w:type="paragraph" w:customStyle="1" w:styleId="Chapter">
    <w:name w:val="Chapter"/>
    <w:basedOn w:val="Heading1"/>
    <w:next w:val="BodyText"/>
    <w:semiHidden/>
    <w:rsid w:val="00781751"/>
    <w:pPr>
      <w:ind w:left="0" w:firstLine="0"/>
      <w:outlineLvl w:val="9"/>
    </w:pPr>
  </w:style>
  <w:style w:type="paragraph" w:customStyle="1" w:styleId="ChapterSummary">
    <w:name w:val="Chapter Summary"/>
    <w:basedOn w:val="BodyText"/>
    <w:rsid w:val="00781751"/>
    <w:pPr>
      <w:ind w:left="907"/>
    </w:pPr>
    <w:rPr>
      <w:rFonts w:ascii="Arial" w:hAnsi="Arial"/>
      <w:b/>
      <w:sz w:val="22"/>
    </w:rPr>
  </w:style>
  <w:style w:type="character" w:styleId="CommentReference">
    <w:name w:val="annotation reference"/>
    <w:basedOn w:val="DefaultParagraphFont"/>
    <w:semiHidden/>
    <w:rsid w:val="00781751"/>
    <w:rPr>
      <w:b/>
      <w:vanish/>
      <w:color w:val="FF00FF"/>
      <w:sz w:val="20"/>
    </w:rPr>
  </w:style>
  <w:style w:type="paragraph" w:styleId="CommentText">
    <w:name w:val="annotation text"/>
    <w:basedOn w:val="Normal"/>
    <w:link w:val="CommentTextChar"/>
    <w:semiHidden/>
    <w:rsid w:val="00781751"/>
    <w:pPr>
      <w:spacing w:before="120" w:line="240" w:lineRule="atLeast"/>
      <w:ind w:left="567" w:hanging="567"/>
    </w:pPr>
    <w:rPr>
      <w:sz w:val="20"/>
    </w:rPr>
  </w:style>
  <w:style w:type="paragraph" w:customStyle="1" w:styleId="Continued">
    <w:name w:val="Continued"/>
    <w:basedOn w:val="BoxContinued"/>
    <w:next w:val="BodyText"/>
    <w:link w:val="ContinuedChar"/>
    <w:rsid w:val="00781751"/>
  </w:style>
  <w:style w:type="character" w:customStyle="1" w:styleId="DocumentInfo">
    <w:name w:val="Document Info"/>
    <w:basedOn w:val="DefaultParagraphFont"/>
    <w:semiHidden/>
    <w:rsid w:val="00781751"/>
    <w:rPr>
      <w:rFonts w:ascii="Arial" w:hAnsi="Arial"/>
      <w:sz w:val="14"/>
    </w:rPr>
  </w:style>
  <w:style w:type="character" w:customStyle="1" w:styleId="DraftingNote">
    <w:name w:val="Drafting Note"/>
    <w:basedOn w:val="DefaultParagraphFont"/>
    <w:rsid w:val="00781751"/>
    <w:rPr>
      <w:b/>
      <w:color w:val="FF0000"/>
      <w:sz w:val="24"/>
      <w:u w:val="dotted"/>
    </w:rPr>
  </w:style>
  <w:style w:type="paragraph" w:customStyle="1" w:styleId="Figure">
    <w:name w:val="Figure"/>
    <w:basedOn w:val="BodyText"/>
    <w:link w:val="FigureChar"/>
    <w:rsid w:val="00781751"/>
    <w:pPr>
      <w:keepNext/>
      <w:spacing w:before="120" w:after="120" w:line="240" w:lineRule="atLeast"/>
      <w:jc w:val="center"/>
    </w:pPr>
  </w:style>
  <w:style w:type="paragraph" w:customStyle="1" w:styleId="FigureTitle">
    <w:name w:val="Figure Title"/>
    <w:basedOn w:val="Caption"/>
    <w:next w:val="Subtitle"/>
    <w:rsid w:val="00781751"/>
    <w:rPr>
      <w:sz w:val="24"/>
    </w:rPr>
  </w:style>
  <w:style w:type="paragraph" w:styleId="Subtitle">
    <w:name w:val="Subtitle"/>
    <w:basedOn w:val="Caption"/>
    <w:link w:val="SubtitleChar"/>
    <w:rsid w:val="00781751"/>
    <w:pPr>
      <w:spacing w:before="0" w:line="200" w:lineRule="exact"/>
      <w:ind w:firstLine="0"/>
    </w:pPr>
    <w:rPr>
      <w:b w:val="0"/>
      <w:sz w:val="20"/>
    </w:rPr>
  </w:style>
  <w:style w:type="paragraph" w:customStyle="1" w:styleId="Finding">
    <w:name w:val="Finding"/>
    <w:basedOn w:val="BodyText"/>
    <w:rsid w:val="00781751"/>
    <w:pPr>
      <w:keepLines/>
      <w:spacing w:before="180"/>
    </w:pPr>
    <w:rPr>
      <w:i/>
    </w:rPr>
  </w:style>
  <w:style w:type="paragraph" w:customStyle="1" w:styleId="FindingBullet">
    <w:name w:val="Finding Bullet"/>
    <w:basedOn w:val="Finding"/>
    <w:rsid w:val="00781751"/>
    <w:pPr>
      <w:numPr>
        <w:numId w:val="3"/>
      </w:numPr>
      <w:spacing w:before="80"/>
    </w:pPr>
  </w:style>
  <w:style w:type="paragraph" w:customStyle="1" w:styleId="FindingNoTitle">
    <w:name w:val="Finding NoTitle"/>
    <w:basedOn w:val="Finding"/>
    <w:rsid w:val="00781751"/>
    <w:pPr>
      <w:spacing w:before="240"/>
    </w:pPr>
  </w:style>
  <w:style w:type="paragraph" w:customStyle="1" w:styleId="RecTitle">
    <w:name w:val="Rec Title"/>
    <w:basedOn w:val="BodyText"/>
    <w:next w:val="Normal"/>
    <w:rsid w:val="00781751"/>
    <w:pPr>
      <w:keepNext/>
      <w:keepLines/>
    </w:pPr>
    <w:rPr>
      <w:caps/>
      <w:sz w:val="20"/>
    </w:rPr>
  </w:style>
  <w:style w:type="paragraph" w:customStyle="1" w:styleId="FindingTitle">
    <w:name w:val="Finding Title"/>
    <w:basedOn w:val="RecTitle"/>
    <w:next w:val="Finding"/>
    <w:rsid w:val="00781751"/>
    <w:pPr>
      <w:framePr w:wrap="notBeside" w:hAnchor="text"/>
    </w:pPr>
  </w:style>
  <w:style w:type="character" w:styleId="FootnoteReference">
    <w:name w:val="footnote reference"/>
    <w:basedOn w:val="DefaultParagraphFont"/>
    <w:semiHidden/>
    <w:rsid w:val="00781751"/>
    <w:rPr>
      <w:rFonts w:ascii="Times New Roman" w:hAnsi="Times New Roman"/>
      <w:position w:val="6"/>
      <w:sz w:val="22"/>
      <w:vertAlign w:val="baseline"/>
    </w:rPr>
  </w:style>
  <w:style w:type="paragraph" w:styleId="FootnoteText">
    <w:name w:val="footnote text"/>
    <w:basedOn w:val="BodyText"/>
    <w:rsid w:val="0078175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81751"/>
    <w:pPr>
      <w:spacing w:before="360" w:after="120"/>
    </w:pPr>
    <w:rPr>
      <w:rFonts w:ascii="Arial" w:hAnsi="Arial"/>
      <w:sz w:val="24"/>
    </w:rPr>
  </w:style>
  <w:style w:type="paragraph" w:customStyle="1" w:styleId="Jurisdictioncommentsbodytext">
    <w:name w:val="Jurisdiction comments body text"/>
    <w:rsid w:val="00781751"/>
    <w:pPr>
      <w:spacing w:after="140"/>
      <w:jc w:val="both"/>
    </w:pPr>
    <w:rPr>
      <w:rFonts w:ascii="Arial" w:hAnsi="Arial"/>
      <w:sz w:val="24"/>
      <w:lang w:eastAsia="en-US"/>
    </w:rPr>
  </w:style>
  <w:style w:type="paragraph" w:customStyle="1" w:styleId="Jurisdictioncommentsheading">
    <w:name w:val="Jurisdiction comments heading"/>
    <w:rsid w:val="0078175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81751"/>
    <w:pPr>
      <w:numPr>
        <w:numId w:val="4"/>
      </w:numPr>
      <w:spacing w:after="140"/>
      <w:jc w:val="both"/>
    </w:pPr>
    <w:rPr>
      <w:rFonts w:ascii="Arial" w:hAnsi="Arial"/>
      <w:sz w:val="24"/>
      <w:lang w:eastAsia="en-US"/>
    </w:rPr>
  </w:style>
  <w:style w:type="paragraph" w:styleId="ListBullet">
    <w:name w:val="List Bullet"/>
    <w:basedOn w:val="BodyText"/>
    <w:link w:val="ListBulletChar"/>
    <w:rsid w:val="00781751"/>
    <w:pPr>
      <w:numPr>
        <w:numId w:val="6"/>
      </w:numPr>
      <w:spacing w:before="120"/>
    </w:pPr>
  </w:style>
  <w:style w:type="paragraph" w:styleId="ListBullet2">
    <w:name w:val="List Bullet 2"/>
    <w:basedOn w:val="BodyText"/>
    <w:rsid w:val="00781751"/>
    <w:pPr>
      <w:numPr>
        <w:numId w:val="8"/>
      </w:numPr>
      <w:spacing w:before="120"/>
    </w:pPr>
  </w:style>
  <w:style w:type="paragraph" w:styleId="ListBullet3">
    <w:name w:val="List Bullet 3"/>
    <w:basedOn w:val="BodyText"/>
    <w:rsid w:val="00781751"/>
    <w:pPr>
      <w:numPr>
        <w:numId w:val="10"/>
      </w:numPr>
      <w:spacing w:before="120"/>
    </w:pPr>
  </w:style>
  <w:style w:type="paragraph" w:styleId="ListNumber">
    <w:name w:val="List Number"/>
    <w:basedOn w:val="BodyText"/>
    <w:rsid w:val="00781751"/>
    <w:pPr>
      <w:numPr>
        <w:numId w:val="32"/>
      </w:numPr>
      <w:spacing w:before="120"/>
    </w:pPr>
  </w:style>
  <w:style w:type="paragraph" w:styleId="ListNumber2">
    <w:name w:val="List Number 2"/>
    <w:basedOn w:val="ListNumber"/>
    <w:rsid w:val="00781751"/>
    <w:pPr>
      <w:numPr>
        <w:ilvl w:val="1"/>
      </w:numPr>
    </w:pPr>
  </w:style>
  <w:style w:type="paragraph" w:styleId="ListNumber3">
    <w:name w:val="List Number 3"/>
    <w:basedOn w:val="ListNumber2"/>
    <w:rsid w:val="00781751"/>
    <w:pPr>
      <w:numPr>
        <w:ilvl w:val="2"/>
      </w:numPr>
    </w:pPr>
  </w:style>
  <w:style w:type="character" w:customStyle="1" w:styleId="NoteLabel">
    <w:name w:val="Note Label"/>
    <w:basedOn w:val="DefaultParagraphFont"/>
    <w:rsid w:val="00781751"/>
    <w:rPr>
      <w:rFonts w:ascii="Arial" w:hAnsi="Arial"/>
      <w:b/>
      <w:position w:val="6"/>
      <w:sz w:val="18"/>
    </w:rPr>
  </w:style>
  <w:style w:type="paragraph" w:customStyle="1" w:styleId="PartDivider">
    <w:name w:val="Part Divider"/>
    <w:basedOn w:val="BodyText"/>
    <w:next w:val="BodyText"/>
    <w:semiHidden/>
    <w:rsid w:val="00781751"/>
    <w:pPr>
      <w:spacing w:before="0" w:line="40" w:lineRule="exact"/>
      <w:jc w:val="right"/>
    </w:pPr>
    <w:rPr>
      <w:smallCaps/>
      <w:sz w:val="16"/>
    </w:rPr>
  </w:style>
  <w:style w:type="paragraph" w:customStyle="1" w:styleId="PartNumber">
    <w:name w:val="Part Number"/>
    <w:basedOn w:val="BodyText"/>
    <w:next w:val="BodyText"/>
    <w:semiHidden/>
    <w:rsid w:val="00781751"/>
    <w:pPr>
      <w:spacing w:before="4000" w:line="320" w:lineRule="exact"/>
      <w:ind w:left="6634"/>
      <w:jc w:val="right"/>
    </w:pPr>
    <w:rPr>
      <w:smallCaps/>
      <w:spacing w:val="60"/>
      <w:sz w:val="32"/>
    </w:rPr>
  </w:style>
  <w:style w:type="paragraph" w:customStyle="1" w:styleId="PartTitle">
    <w:name w:val="Part Title"/>
    <w:basedOn w:val="BodyText"/>
    <w:semiHidden/>
    <w:rsid w:val="00781751"/>
    <w:pPr>
      <w:spacing w:before="160" w:after="1360" w:line="520" w:lineRule="exact"/>
      <w:ind w:right="2381"/>
      <w:jc w:val="right"/>
    </w:pPr>
    <w:rPr>
      <w:smallCaps/>
      <w:sz w:val="52"/>
    </w:rPr>
  </w:style>
  <w:style w:type="paragraph" w:styleId="Quote">
    <w:name w:val="Quote"/>
    <w:basedOn w:val="BodyText"/>
    <w:next w:val="BodyText"/>
    <w:link w:val="QuoteChar"/>
    <w:qFormat/>
    <w:rsid w:val="00781751"/>
    <w:pPr>
      <w:spacing w:before="120" w:line="280" w:lineRule="exact"/>
      <w:ind w:left="340"/>
    </w:pPr>
    <w:rPr>
      <w:sz w:val="24"/>
    </w:rPr>
  </w:style>
  <w:style w:type="paragraph" w:customStyle="1" w:styleId="QuoteBullet">
    <w:name w:val="Quote Bullet"/>
    <w:basedOn w:val="Quote"/>
    <w:rsid w:val="00781751"/>
    <w:pPr>
      <w:numPr>
        <w:numId w:val="14"/>
      </w:numPr>
    </w:pPr>
  </w:style>
  <w:style w:type="paragraph" w:customStyle="1" w:styleId="Rec">
    <w:name w:val="Rec"/>
    <w:basedOn w:val="BodyText"/>
    <w:rsid w:val="00781751"/>
    <w:pPr>
      <w:keepLines/>
      <w:spacing w:before="180"/>
    </w:pPr>
    <w:rPr>
      <w:b/>
      <w:i/>
    </w:rPr>
  </w:style>
  <w:style w:type="paragraph" w:customStyle="1" w:styleId="RecBullet">
    <w:name w:val="Rec Bullet"/>
    <w:basedOn w:val="Rec"/>
    <w:rsid w:val="00781751"/>
    <w:pPr>
      <w:numPr>
        <w:numId w:val="15"/>
      </w:numPr>
      <w:spacing w:before="80"/>
    </w:pPr>
  </w:style>
  <w:style w:type="paragraph" w:customStyle="1" w:styleId="RecB">
    <w:name w:val="RecB"/>
    <w:basedOn w:val="Normal"/>
    <w:semiHidden/>
    <w:rsid w:val="0078175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781751"/>
    <w:pPr>
      <w:numPr>
        <w:numId w:val="16"/>
      </w:numPr>
      <w:spacing w:before="80"/>
    </w:pPr>
  </w:style>
  <w:style w:type="paragraph" w:customStyle="1" w:styleId="RecBNoTitle">
    <w:name w:val="RecB NoTitle"/>
    <w:basedOn w:val="RecB"/>
    <w:semiHidden/>
    <w:rsid w:val="00781751"/>
    <w:pPr>
      <w:spacing w:before="240"/>
    </w:pPr>
  </w:style>
  <w:style w:type="paragraph" w:customStyle="1" w:styleId="Reference">
    <w:name w:val="Reference"/>
    <w:basedOn w:val="BodyText"/>
    <w:rsid w:val="00781751"/>
    <w:pPr>
      <w:spacing w:before="120"/>
      <w:ind w:left="340" w:hanging="340"/>
    </w:pPr>
  </w:style>
  <w:style w:type="paragraph" w:customStyle="1" w:styleId="SequenceInfo">
    <w:name w:val="Sequence Info"/>
    <w:basedOn w:val="BodyText"/>
    <w:semiHidden/>
    <w:rsid w:val="00781751"/>
    <w:rPr>
      <w:vanish/>
      <w:sz w:val="16"/>
    </w:rPr>
  </w:style>
  <w:style w:type="paragraph" w:customStyle="1" w:styleId="SideNote">
    <w:name w:val="Side Note"/>
    <w:basedOn w:val="BodyText"/>
    <w:next w:val="BodyText"/>
    <w:semiHidden/>
    <w:rsid w:val="0078175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81751"/>
    <w:pPr>
      <w:framePr w:wrap="around"/>
      <w:numPr>
        <w:numId w:val="17"/>
      </w:numPr>
      <w:tabs>
        <w:tab w:val="left" w:pos="227"/>
      </w:tabs>
    </w:pPr>
  </w:style>
  <w:style w:type="paragraph" w:customStyle="1" w:styleId="SideNoteGraphic">
    <w:name w:val="Side Note Graphic"/>
    <w:basedOn w:val="SideNote"/>
    <w:next w:val="BodyText"/>
    <w:semiHidden/>
    <w:rsid w:val="00781751"/>
    <w:pPr>
      <w:framePr w:wrap="around"/>
    </w:pPr>
  </w:style>
  <w:style w:type="paragraph" w:customStyle="1" w:styleId="TableBodyText">
    <w:name w:val="Table Body Text"/>
    <w:basedOn w:val="BodyText"/>
    <w:rsid w:val="0078175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81751"/>
    <w:pPr>
      <w:numPr>
        <w:numId w:val="18"/>
      </w:numPr>
      <w:jc w:val="left"/>
    </w:pPr>
  </w:style>
  <w:style w:type="paragraph" w:customStyle="1" w:styleId="TableColumnHeading">
    <w:name w:val="Table Column Heading"/>
    <w:basedOn w:val="TableBodyText"/>
    <w:rsid w:val="00781751"/>
    <w:pPr>
      <w:spacing w:before="80" w:after="80"/>
    </w:pPr>
    <w:rPr>
      <w:i/>
    </w:rPr>
  </w:style>
  <w:style w:type="paragraph" w:styleId="TOC2">
    <w:name w:val="toc 2"/>
    <w:basedOn w:val="BodyText"/>
    <w:semiHidden/>
    <w:rsid w:val="00781751"/>
    <w:pPr>
      <w:tabs>
        <w:tab w:val="right" w:pos="8789"/>
      </w:tabs>
      <w:ind w:left="510" w:right="851" w:hanging="510"/>
      <w:jc w:val="left"/>
    </w:pPr>
    <w:rPr>
      <w:b/>
    </w:rPr>
  </w:style>
  <w:style w:type="paragraph" w:styleId="TOC3">
    <w:name w:val="toc 3"/>
    <w:basedOn w:val="TOC2"/>
    <w:semiHidden/>
    <w:rsid w:val="00781751"/>
    <w:pPr>
      <w:spacing w:before="60"/>
      <w:ind w:left="1190" w:hanging="680"/>
    </w:pPr>
    <w:rPr>
      <w:b w:val="0"/>
    </w:rPr>
  </w:style>
  <w:style w:type="paragraph" w:styleId="TableofFigures">
    <w:name w:val="table of figures"/>
    <w:basedOn w:val="TOC3"/>
    <w:next w:val="BodyText"/>
    <w:semiHidden/>
    <w:rsid w:val="00781751"/>
    <w:pPr>
      <w:ind w:left="737" w:hanging="737"/>
    </w:pPr>
  </w:style>
  <w:style w:type="paragraph" w:customStyle="1" w:styleId="TableTitle">
    <w:name w:val="Table Title"/>
    <w:basedOn w:val="Caption"/>
    <w:next w:val="Subtitle"/>
    <w:rsid w:val="00781751"/>
    <w:rPr>
      <w:sz w:val="24"/>
    </w:rPr>
  </w:style>
  <w:style w:type="paragraph" w:customStyle="1" w:styleId="TableUnitsRow">
    <w:name w:val="Table Units Row"/>
    <w:basedOn w:val="TableBodyText"/>
    <w:rsid w:val="00781751"/>
    <w:pPr>
      <w:spacing w:before="80" w:after="80"/>
    </w:pPr>
  </w:style>
  <w:style w:type="paragraph" w:styleId="TOC1">
    <w:name w:val="toc 1"/>
    <w:basedOn w:val="Normal"/>
    <w:next w:val="TOC2"/>
    <w:semiHidden/>
    <w:rsid w:val="00781751"/>
    <w:pPr>
      <w:tabs>
        <w:tab w:val="right" w:pos="8789"/>
      </w:tabs>
      <w:spacing w:before="480" w:after="60" w:line="320" w:lineRule="exact"/>
      <w:ind w:left="1191" w:right="851" w:hanging="1191"/>
    </w:pPr>
    <w:rPr>
      <w:b/>
      <w:caps/>
    </w:rPr>
  </w:style>
  <w:style w:type="paragraph" w:styleId="TOC4">
    <w:name w:val="toc 4"/>
    <w:basedOn w:val="TOC3"/>
    <w:semiHidden/>
    <w:rsid w:val="00781751"/>
    <w:pPr>
      <w:ind w:left="1191" w:firstLine="0"/>
    </w:pPr>
  </w:style>
  <w:style w:type="paragraph" w:customStyle="1" w:styleId="RecBBullet2">
    <w:name w:val="RecB Bullet 2"/>
    <w:basedOn w:val="ListBullet2"/>
    <w:semiHidden/>
    <w:rsid w:val="00781751"/>
    <w:pPr>
      <w:pBdr>
        <w:left w:val="single" w:sz="24" w:space="29" w:color="C0C0C0"/>
      </w:pBdr>
    </w:pPr>
    <w:rPr>
      <w:b/>
      <w:i/>
    </w:rPr>
  </w:style>
  <w:style w:type="paragraph" w:styleId="BalloonText">
    <w:name w:val="Balloon Text"/>
    <w:basedOn w:val="Normal"/>
    <w:link w:val="BalloonTextChar"/>
    <w:rsid w:val="00781751"/>
    <w:rPr>
      <w:rFonts w:ascii="Tahoma" w:hAnsi="Tahoma" w:cs="Tahoma"/>
      <w:sz w:val="16"/>
      <w:szCs w:val="16"/>
    </w:rPr>
  </w:style>
  <w:style w:type="character" w:customStyle="1" w:styleId="BalloonTextChar">
    <w:name w:val="Balloon Text Char"/>
    <w:basedOn w:val="DefaultParagraphFont"/>
    <w:link w:val="BalloonText"/>
    <w:rsid w:val="00781751"/>
    <w:rPr>
      <w:rFonts w:ascii="Tahoma" w:hAnsi="Tahoma" w:cs="Tahoma"/>
      <w:sz w:val="16"/>
      <w:szCs w:val="16"/>
    </w:rPr>
  </w:style>
  <w:style w:type="character" w:customStyle="1" w:styleId="SubtitleChar">
    <w:name w:val="Subtitle Char"/>
    <w:basedOn w:val="DefaultParagraphFont"/>
    <w:link w:val="Subtitle"/>
    <w:rsid w:val="00781751"/>
    <w:rPr>
      <w:rFonts w:ascii="Arial" w:hAnsi="Arial"/>
      <w:szCs w:val="24"/>
    </w:rPr>
  </w:style>
  <w:style w:type="paragraph" w:customStyle="1" w:styleId="BoxListBullet3">
    <w:name w:val="Box List Bullet 3"/>
    <w:basedOn w:val="ListBullet3"/>
    <w:rsid w:val="00781751"/>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81751"/>
    <w:rPr>
      <w:i/>
      <w:iCs/>
    </w:rPr>
  </w:style>
  <w:style w:type="paragraph" w:customStyle="1" w:styleId="BoxQuoteBullet">
    <w:name w:val="Box Quote Bullet"/>
    <w:basedOn w:val="BoxQuote"/>
    <w:next w:val="Box"/>
    <w:rsid w:val="00781751"/>
    <w:pPr>
      <w:numPr>
        <w:numId w:val="45"/>
      </w:numPr>
      <w:ind w:left="568" w:hanging="284"/>
    </w:pPr>
  </w:style>
  <w:style w:type="paragraph" w:customStyle="1" w:styleId="InformationRequestBullet">
    <w:name w:val="Information Request Bullet"/>
    <w:basedOn w:val="ListBullet"/>
    <w:next w:val="BodyText"/>
    <w:rsid w:val="00781751"/>
    <w:pPr>
      <w:numPr>
        <w:numId w:val="46"/>
      </w:numPr>
      <w:ind w:left="340" w:hanging="340"/>
    </w:pPr>
    <w:rPr>
      <w:rFonts w:ascii="Arial" w:hAnsi="Arial"/>
      <w:i/>
      <w:sz w:val="24"/>
    </w:rPr>
  </w:style>
  <w:style w:type="paragraph" w:customStyle="1" w:styleId="BoxSpaceBelow">
    <w:name w:val="Box Space Below"/>
    <w:basedOn w:val="Box"/>
    <w:rsid w:val="00781751"/>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paragraph" w:customStyle="1" w:styleId="AbstractHeading">
    <w:name w:val="AbstractHeading"/>
    <w:basedOn w:val="AbstractText"/>
    <w:rsid w:val="003F63DB"/>
    <w:pPr>
      <w:spacing w:before="240"/>
    </w:pPr>
    <w:rPr>
      <w:b/>
    </w:rPr>
  </w:style>
  <w:style w:type="paragraph" w:customStyle="1" w:styleId="AbstractText">
    <w:name w:val="AbstractText"/>
    <w:basedOn w:val="Normal"/>
    <w:rsid w:val="003F63DB"/>
    <w:pPr>
      <w:spacing w:before="120" w:after="120" w:line="320" w:lineRule="atLeast"/>
      <w:ind w:left="907"/>
    </w:pPr>
    <w:rPr>
      <w:rFonts w:ascii="Arial" w:hAnsi="Arial"/>
      <w:sz w:val="22"/>
    </w:rPr>
  </w:style>
  <w:style w:type="character" w:customStyle="1" w:styleId="ListBulletChar">
    <w:name w:val="List Bullet Char"/>
    <w:link w:val="ListBullet"/>
    <w:rsid w:val="003A0772"/>
    <w:rPr>
      <w:sz w:val="26"/>
    </w:rPr>
  </w:style>
  <w:style w:type="paragraph" w:customStyle="1" w:styleId="BoxSpace">
    <w:name w:val="Box Space"/>
    <w:basedOn w:val="Normal"/>
    <w:rsid w:val="00D347F8"/>
    <w:pPr>
      <w:keepNext/>
      <w:spacing w:before="360" w:line="80" w:lineRule="exact"/>
    </w:pPr>
    <w:rPr>
      <w:szCs w:val="20"/>
    </w:rPr>
  </w:style>
  <w:style w:type="character" w:customStyle="1" w:styleId="BoxChar">
    <w:name w:val="Box Char"/>
    <w:link w:val="Box"/>
    <w:rsid w:val="00D347F8"/>
    <w:rPr>
      <w:rFonts w:ascii="Arial" w:hAnsi="Arial"/>
      <w:sz w:val="22"/>
    </w:rPr>
  </w:style>
  <w:style w:type="character" w:customStyle="1" w:styleId="BoxTitleChar">
    <w:name w:val="Box Title Char"/>
    <w:link w:val="BoxTitle"/>
    <w:rsid w:val="00D347F8"/>
    <w:rPr>
      <w:rFonts w:ascii="Arial" w:hAnsi="Arial"/>
      <w:b/>
      <w:sz w:val="24"/>
      <w:szCs w:val="24"/>
    </w:rPr>
  </w:style>
  <w:style w:type="character" w:customStyle="1" w:styleId="FigureChar">
    <w:name w:val="Figure Char"/>
    <w:basedOn w:val="DefaultParagraphFont"/>
    <w:link w:val="Figure"/>
    <w:rsid w:val="00D347F8"/>
    <w:rPr>
      <w:sz w:val="26"/>
    </w:rPr>
  </w:style>
  <w:style w:type="character" w:customStyle="1" w:styleId="ListBulletChar1">
    <w:name w:val="List Bullet Char1"/>
    <w:aliases w:val="List Bullet Char Char"/>
    <w:rsid w:val="00CE3F6C"/>
    <w:rPr>
      <w:sz w:val="26"/>
    </w:rPr>
  </w:style>
  <w:style w:type="character" w:customStyle="1" w:styleId="BoxHeading1Char">
    <w:name w:val="Box Heading 1 Char"/>
    <w:link w:val="BoxHeading1"/>
    <w:rsid w:val="00A87987"/>
    <w:rPr>
      <w:rFonts w:ascii="Arial" w:hAnsi="Arial"/>
      <w:b/>
      <w:sz w:val="22"/>
    </w:rPr>
  </w:style>
  <w:style w:type="table" w:styleId="TableGrid">
    <w:name w:val="Table Grid"/>
    <w:basedOn w:val="TableNormal"/>
    <w:rsid w:val="00A879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ourceChar">
    <w:name w:val="Source Char"/>
    <w:basedOn w:val="DefaultParagraphFont"/>
    <w:link w:val="Source"/>
    <w:rsid w:val="00A87987"/>
    <w:rPr>
      <w:rFonts w:ascii="Arial" w:hAnsi="Arial"/>
      <w:sz w:val="18"/>
    </w:rPr>
  </w:style>
  <w:style w:type="character" w:customStyle="1" w:styleId="NoteChar">
    <w:name w:val="Note Char"/>
    <w:basedOn w:val="DefaultParagraphFont"/>
    <w:link w:val="Note"/>
    <w:rsid w:val="00A87987"/>
    <w:rPr>
      <w:rFonts w:ascii="Arial" w:hAnsi="Arial"/>
      <w:sz w:val="18"/>
    </w:rPr>
  </w:style>
  <w:style w:type="character" w:customStyle="1" w:styleId="QuoteChar">
    <w:name w:val="Quote Char"/>
    <w:link w:val="Quote"/>
    <w:rsid w:val="00A87987"/>
    <w:rPr>
      <w:sz w:val="24"/>
    </w:rPr>
  </w:style>
  <w:style w:type="character" w:customStyle="1" w:styleId="ContinuedChar">
    <w:name w:val="Continued Char"/>
    <w:basedOn w:val="DefaultParagraphFont"/>
    <w:link w:val="Continued"/>
    <w:rsid w:val="00A87987"/>
    <w:rPr>
      <w:rFonts w:ascii="Arial" w:hAnsi="Arial"/>
      <w:sz w:val="18"/>
    </w:rPr>
  </w:style>
  <w:style w:type="character" w:styleId="Hyperlink">
    <w:name w:val="Hyperlink"/>
    <w:basedOn w:val="DefaultParagraphFont"/>
    <w:rsid w:val="00A87987"/>
    <w:rPr>
      <w:color w:val="0000FF"/>
      <w:u w:val="single"/>
    </w:rPr>
  </w:style>
  <w:style w:type="paragraph" w:styleId="CommentSubject">
    <w:name w:val="annotation subject"/>
    <w:basedOn w:val="CommentText"/>
    <w:next w:val="CommentText"/>
    <w:link w:val="CommentSubjectChar"/>
    <w:rsid w:val="00A8798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87987"/>
    <w:rPr>
      <w:szCs w:val="24"/>
    </w:rPr>
  </w:style>
  <w:style w:type="character" w:customStyle="1" w:styleId="CommentSubjectChar">
    <w:name w:val="Comment Subject Char"/>
    <w:basedOn w:val="CommentTextChar"/>
    <w:link w:val="CommentSubject"/>
    <w:rsid w:val="00A87987"/>
    <w:rPr>
      <w:b/>
      <w:bCs/>
      <w:szCs w:val="24"/>
    </w:rPr>
  </w:style>
  <w:style w:type="paragraph" w:styleId="DocumentMap">
    <w:name w:val="Document Map"/>
    <w:basedOn w:val="Normal"/>
    <w:link w:val="DocumentMapChar"/>
    <w:rsid w:val="000C4F55"/>
    <w:rPr>
      <w:rFonts w:ascii="Tahoma" w:hAnsi="Tahoma" w:cs="Tahoma"/>
      <w:sz w:val="16"/>
      <w:szCs w:val="16"/>
    </w:rPr>
  </w:style>
  <w:style w:type="character" w:customStyle="1" w:styleId="DocumentMapChar">
    <w:name w:val="Document Map Char"/>
    <w:basedOn w:val="DefaultParagraphFont"/>
    <w:link w:val="DocumentMap"/>
    <w:rsid w:val="000C4F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81751"/>
    <w:rPr>
      <w:sz w:val="26"/>
      <w:szCs w:val="24"/>
    </w:rPr>
  </w:style>
  <w:style w:type="paragraph" w:styleId="Heading1">
    <w:name w:val="heading 1"/>
    <w:basedOn w:val="BodyText"/>
    <w:next w:val="BodyText"/>
    <w:rsid w:val="0078175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8175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81751"/>
    <w:pPr>
      <w:spacing w:before="560" w:line="320" w:lineRule="exact"/>
      <w:ind w:left="0" w:firstLine="0"/>
      <w:outlineLvl w:val="2"/>
    </w:pPr>
    <w:rPr>
      <w:sz w:val="26"/>
    </w:rPr>
  </w:style>
  <w:style w:type="paragraph" w:styleId="Heading4">
    <w:name w:val="heading 4"/>
    <w:basedOn w:val="Heading3"/>
    <w:next w:val="BodyText"/>
    <w:qFormat/>
    <w:rsid w:val="00781751"/>
    <w:pPr>
      <w:spacing w:before="480"/>
      <w:outlineLvl w:val="3"/>
    </w:pPr>
    <w:rPr>
      <w:b w:val="0"/>
      <w:i/>
      <w:sz w:val="24"/>
    </w:rPr>
  </w:style>
  <w:style w:type="paragraph" w:styleId="Heading5">
    <w:name w:val="heading 5"/>
    <w:basedOn w:val="Heading4"/>
    <w:next w:val="BodyText"/>
    <w:qFormat/>
    <w:rsid w:val="00781751"/>
    <w:pPr>
      <w:outlineLvl w:val="4"/>
    </w:pPr>
    <w:rPr>
      <w:rFonts w:ascii="Times New Roman" w:hAnsi="Times New Roman"/>
      <w:sz w:val="26"/>
    </w:rPr>
  </w:style>
  <w:style w:type="paragraph" w:styleId="Heading6">
    <w:name w:val="heading 6"/>
    <w:basedOn w:val="BodyText"/>
    <w:next w:val="BodyText"/>
    <w:rsid w:val="00781751"/>
    <w:pPr>
      <w:spacing w:after="60"/>
      <w:jc w:val="left"/>
      <w:outlineLvl w:val="5"/>
    </w:pPr>
    <w:rPr>
      <w:i/>
      <w:sz w:val="22"/>
    </w:rPr>
  </w:style>
  <w:style w:type="paragraph" w:styleId="Heading7">
    <w:name w:val="heading 7"/>
    <w:basedOn w:val="BodyText"/>
    <w:next w:val="BodyText"/>
    <w:rsid w:val="00781751"/>
    <w:pPr>
      <w:spacing w:after="60" w:line="240" w:lineRule="auto"/>
      <w:jc w:val="left"/>
      <w:outlineLvl w:val="6"/>
    </w:pPr>
    <w:rPr>
      <w:rFonts w:ascii="Arial" w:hAnsi="Arial"/>
      <w:sz w:val="20"/>
    </w:rPr>
  </w:style>
  <w:style w:type="paragraph" w:styleId="Heading8">
    <w:name w:val="heading 8"/>
    <w:basedOn w:val="BodyText"/>
    <w:next w:val="BodyText"/>
    <w:rsid w:val="00781751"/>
    <w:pPr>
      <w:spacing w:after="60" w:line="240" w:lineRule="auto"/>
      <w:jc w:val="left"/>
      <w:outlineLvl w:val="7"/>
    </w:pPr>
    <w:rPr>
      <w:rFonts w:ascii="Arial" w:hAnsi="Arial"/>
      <w:i/>
      <w:sz w:val="20"/>
    </w:rPr>
  </w:style>
  <w:style w:type="paragraph" w:styleId="Heading9">
    <w:name w:val="heading 9"/>
    <w:basedOn w:val="BodyText"/>
    <w:next w:val="BodyText"/>
    <w:rsid w:val="0078175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817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1751"/>
  </w:style>
  <w:style w:type="paragraph" w:styleId="BodyText">
    <w:name w:val="Body Text"/>
    <w:qFormat/>
    <w:rsid w:val="00781751"/>
    <w:pPr>
      <w:spacing w:before="240" w:line="320" w:lineRule="atLeast"/>
      <w:jc w:val="both"/>
    </w:pPr>
    <w:rPr>
      <w:sz w:val="26"/>
    </w:rPr>
  </w:style>
  <w:style w:type="paragraph" w:styleId="Footer">
    <w:name w:val="footer"/>
    <w:basedOn w:val="BodyText"/>
    <w:semiHidden/>
    <w:rsid w:val="00781751"/>
    <w:pPr>
      <w:spacing w:before="80" w:line="200" w:lineRule="exact"/>
      <w:ind w:right="6"/>
      <w:jc w:val="left"/>
    </w:pPr>
    <w:rPr>
      <w:caps/>
      <w:spacing w:val="-4"/>
      <w:sz w:val="16"/>
    </w:rPr>
  </w:style>
  <w:style w:type="paragraph" w:customStyle="1" w:styleId="FooterEnd">
    <w:name w:val="Footer End"/>
    <w:basedOn w:val="Footer"/>
    <w:rsid w:val="00781751"/>
    <w:pPr>
      <w:spacing w:before="0" w:line="20" w:lineRule="exact"/>
    </w:pPr>
  </w:style>
  <w:style w:type="paragraph" w:styleId="Header">
    <w:name w:val="header"/>
    <w:basedOn w:val="BodyText"/>
    <w:rsid w:val="0078175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81751"/>
    <w:pPr>
      <w:spacing w:line="20" w:lineRule="exact"/>
    </w:pPr>
    <w:rPr>
      <w:sz w:val="16"/>
    </w:rPr>
  </w:style>
  <w:style w:type="paragraph" w:customStyle="1" w:styleId="HeaderEven">
    <w:name w:val="Header Even"/>
    <w:basedOn w:val="Header"/>
    <w:semiHidden/>
    <w:rsid w:val="00781751"/>
  </w:style>
  <w:style w:type="paragraph" w:customStyle="1" w:styleId="HeaderOdd">
    <w:name w:val="Header Odd"/>
    <w:basedOn w:val="Header"/>
    <w:semiHidden/>
    <w:rsid w:val="00781751"/>
  </w:style>
  <w:style w:type="character" w:styleId="PageNumber">
    <w:name w:val="page number"/>
    <w:basedOn w:val="DefaultParagraphFont"/>
    <w:rsid w:val="00781751"/>
    <w:rPr>
      <w:rFonts w:ascii="Arial" w:hAnsi="Arial"/>
      <w:b/>
      <w:sz w:val="16"/>
    </w:rPr>
  </w:style>
  <w:style w:type="paragraph" w:customStyle="1" w:styleId="Abbreviation">
    <w:name w:val="Abbreviation"/>
    <w:basedOn w:val="BodyText"/>
    <w:rsid w:val="00781751"/>
    <w:pPr>
      <w:spacing w:before="120"/>
      <w:ind w:left="2381" w:hanging="2381"/>
      <w:jc w:val="left"/>
    </w:pPr>
  </w:style>
  <w:style w:type="paragraph" w:customStyle="1" w:styleId="Box">
    <w:name w:val="Box"/>
    <w:basedOn w:val="BodyText"/>
    <w:link w:val="BoxChar"/>
    <w:qFormat/>
    <w:rsid w:val="00781751"/>
    <w:pPr>
      <w:keepNext/>
      <w:spacing w:before="120" w:line="280" w:lineRule="atLeast"/>
    </w:pPr>
    <w:rPr>
      <w:rFonts w:ascii="Arial" w:hAnsi="Arial"/>
      <w:sz w:val="22"/>
    </w:rPr>
  </w:style>
  <w:style w:type="paragraph" w:customStyle="1" w:styleId="BoxContinued">
    <w:name w:val="Box Continued"/>
    <w:basedOn w:val="BodyText"/>
    <w:next w:val="BodyText"/>
    <w:semiHidden/>
    <w:rsid w:val="00781751"/>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781751"/>
    <w:pPr>
      <w:keepNext/>
      <w:spacing w:before="200" w:line="280" w:lineRule="atLeast"/>
    </w:pPr>
    <w:rPr>
      <w:rFonts w:ascii="Arial" w:hAnsi="Arial"/>
      <w:b/>
      <w:sz w:val="22"/>
    </w:rPr>
  </w:style>
  <w:style w:type="paragraph" w:customStyle="1" w:styleId="BoxHeading2">
    <w:name w:val="Box Heading 2"/>
    <w:basedOn w:val="BoxHeading1"/>
    <w:next w:val="Normal"/>
    <w:rsid w:val="00781751"/>
    <w:rPr>
      <w:b w:val="0"/>
      <w:i/>
    </w:rPr>
  </w:style>
  <w:style w:type="paragraph" w:customStyle="1" w:styleId="BoxListBullet">
    <w:name w:val="Box List Bullet"/>
    <w:basedOn w:val="BodyText"/>
    <w:rsid w:val="00781751"/>
    <w:pPr>
      <w:keepNext/>
      <w:numPr>
        <w:numId w:val="1"/>
      </w:numPr>
      <w:spacing w:before="60" w:line="280" w:lineRule="atLeast"/>
    </w:pPr>
    <w:rPr>
      <w:rFonts w:ascii="Arial" w:hAnsi="Arial"/>
      <w:sz w:val="22"/>
    </w:rPr>
  </w:style>
  <w:style w:type="paragraph" w:customStyle="1" w:styleId="BoxListBullet2">
    <w:name w:val="Box List Bullet 2"/>
    <w:basedOn w:val="BodyText"/>
    <w:rsid w:val="00781751"/>
    <w:pPr>
      <w:keepNext/>
      <w:numPr>
        <w:numId w:val="2"/>
      </w:numPr>
      <w:spacing w:before="60" w:line="280" w:lineRule="atLeast"/>
    </w:pPr>
    <w:rPr>
      <w:rFonts w:ascii="Arial" w:hAnsi="Arial"/>
      <w:sz w:val="22"/>
    </w:rPr>
  </w:style>
  <w:style w:type="paragraph" w:customStyle="1" w:styleId="BoxListNumber">
    <w:name w:val="Box List Number"/>
    <w:basedOn w:val="BodyText"/>
    <w:rsid w:val="00781751"/>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781751"/>
    <w:pPr>
      <w:numPr>
        <w:ilvl w:val="1"/>
      </w:numPr>
    </w:pPr>
  </w:style>
  <w:style w:type="paragraph" w:customStyle="1" w:styleId="BoxQuote">
    <w:name w:val="Box Quote"/>
    <w:basedOn w:val="BodyText"/>
    <w:next w:val="Box"/>
    <w:rsid w:val="00781751"/>
    <w:pPr>
      <w:keepNext/>
      <w:spacing w:before="60" w:line="260" w:lineRule="exact"/>
      <w:ind w:left="284"/>
    </w:pPr>
    <w:rPr>
      <w:rFonts w:ascii="Arial" w:hAnsi="Arial"/>
      <w:sz w:val="20"/>
    </w:rPr>
  </w:style>
  <w:style w:type="paragraph" w:customStyle="1" w:styleId="Note">
    <w:name w:val="Note"/>
    <w:basedOn w:val="BodyText"/>
    <w:next w:val="BodyText"/>
    <w:link w:val="NoteChar"/>
    <w:rsid w:val="00781751"/>
    <w:pPr>
      <w:keepLines/>
      <w:spacing w:before="80" w:line="220" w:lineRule="exact"/>
    </w:pPr>
    <w:rPr>
      <w:rFonts w:ascii="Arial" w:hAnsi="Arial"/>
      <w:sz w:val="18"/>
    </w:rPr>
  </w:style>
  <w:style w:type="paragraph" w:customStyle="1" w:styleId="Source">
    <w:name w:val="Source"/>
    <w:basedOn w:val="Note"/>
    <w:next w:val="BodyText"/>
    <w:link w:val="SourceChar"/>
    <w:rsid w:val="00781751"/>
    <w:pPr>
      <w:spacing w:after="120"/>
    </w:pPr>
  </w:style>
  <w:style w:type="paragraph" w:customStyle="1" w:styleId="BoxSource">
    <w:name w:val="Box Source"/>
    <w:basedOn w:val="Source"/>
    <w:next w:val="BodyText"/>
    <w:rsid w:val="00781751"/>
    <w:pPr>
      <w:spacing w:before="180" w:after="0"/>
    </w:pPr>
  </w:style>
  <w:style w:type="paragraph" w:customStyle="1" w:styleId="BoxSpaceAbove">
    <w:name w:val="Box Space Above"/>
    <w:basedOn w:val="BodyText"/>
    <w:rsid w:val="00781751"/>
    <w:pPr>
      <w:keepNext/>
      <w:spacing w:before="360" w:line="80" w:lineRule="exact"/>
      <w:jc w:val="left"/>
    </w:pPr>
  </w:style>
  <w:style w:type="paragraph" w:styleId="Caption">
    <w:name w:val="caption"/>
    <w:basedOn w:val="Normal"/>
    <w:next w:val="BodyText"/>
    <w:rsid w:val="0078175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781751"/>
    <w:pPr>
      <w:spacing w:before="120" w:after="0"/>
      <w:ind w:left="1304" w:hanging="1304"/>
    </w:pPr>
    <w:rPr>
      <w:sz w:val="24"/>
    </w:rPr>
  </w:style>
  <w:style w:type="paragraph" w:customStyle="1" w:styleId="BoxSubtitle">
    <w:name w:val="Box Subtitle"/>
    <w:basedOn w:val="BoxTitle"/>
    <w:next w:val="Normal"/>
    <w:rsid w:val="00781751"/>
    <w:pPr>
      <w:spacing w:after="80" w:line="200" w:lineRule="exact"/>
      <w:ind w:firstLine="0"/>
    </w:pPr>
    <w:rPr>
      <w:b w:val="0"/>
      <w:sz w:val="20"/>
    </w:rPr>
  </w:style>
  <w:style w:type="paragraph" w:customStyle="1" w:styleId="Chapter">
    <w:name w:val="Chapter"/>
    <w:basedOn w:val="Heading1"/>
    <w:next w:val="BodyText"/>
    <w:semiHidden/>
    <w:rsid w:val="00781751"/>
    <w:pPr>
      <w:ind w:left="0" w:firstLine="0"/>
      <w:outlineLvl w:val="9"/>
    </w:pPr>
  </w:style>
  <w:style w:type="paragraph" w:customStyle="1" w:styleId="ChapterSummary">
    <w:name w:val="Chapter Summary"/>
    <w:basedOn w:val="BodyText"/>
    <w:rsid w:val="00781751"/>
    <w:pPr>
      <w:ind w:left="907"/>
    </w:pPr>
    <w:rPr>
      <w:rFonts w:ascii="Arial" w:hAnsi="Arial"/>
      <w:b/>
      <w:sz w:val="22"/>
    </w:rPr>
  </w:style>
  <w:style w:type="character" w:styleId="CommentReference">
    <w:name w:val="annotation reference"/>
    <w:basedOn w:val="DefaultParagraphFont"/>
    <w:semiHidden/>
    <w:rsid w:val="00781751"/>
    <w:rPr>
      <w:b/>
      <w:vanish/>
      <w:color w:val="FF00FF"/>
      <w:sz w:val="20"/>
    </w:rPr>
  </w:style>
  <w:style w:type="paragraph" w:styleId="CommentText">
    <w:name w:val="annotation text"/>
    <w:basedOn w:val="Normal"/>
    <w:link w:val="CommentTextChar"/>
    <w:semiHidden/>
    <w:rsid w:val="00781751"/>
    <w:pPr>
      <w:spacing w:before="120" w:line="240" w:lineRule="atLeast"/>
      <w:ind w:left="567" w:hanging="567"/>
    </w:pPr>
    <w:rPr>
      <w:sz w:val="20"/>
    </w:rPr>
  </w:style>
  <w:style w:type="paragraph" w:customStyle="1" w:styleId="Continued">
    <w:name w:val="Continued"/>
    <w:basedOn w:val="BoxContinued"/>
    <w:next w:val="BodyText"/>
    <w:link w:val="ContinuedChar"/>
    <w:rsid w:val="00781751"/>
  </w:style>
  <w:style w:type="character" w:customStyle="1" w:styleId="DocumentInfo">
    <w:name w:val="Document Info"/>
    <w:basedOn w:val="DefaultParagraphFont"/>
    <w:semiHidden/>
    <w:rsid w:val="00781751"/>
    <w:rPr>
      <w:rFonts w:ascii="Arial" w:hAnsi="Arial"/>
      <w:sz w:val="14"/>
    </w:rPr>
  </w:style>
  <w:style w:type="character" w:customStyle="1" w:styleId="DraftingNote">
    <w:name w:val="Drafting Note"/>
    <w:basedOn w:val="DefaultParagraphFont"/>
    <w:rsid w:val="00781751"/>
    <w:rPr>
      <w:b/>
      <w:color w:val="FF0000"/>
      <w:sz w:val="24"/>
      <w:u w:val="dotted"/>
    </w:rPr>
  </w:style>
  <w:style w:type="paragraph" w:customStyle="1" w:styleId="Figure">
    <w:name w:val="Figure"/>
    <w:basedOn w:val="BodyText"/>
    <w:link w:val="FigureChar"/>
    <w:rsid w:val="00781751"/>
    <w:pPr>
      <w:keepNext/>
      <w:spacing w:before="120" w:after="120" w:line="240" w:lineRule="atLeast"/>
      <w:jc w:val="center"/>
    </w:pPr>
  </w:style>
  <w:style w:type="paragraph" w:customStyle="1" w:styleId="FigureTitle">
    <w:name w:val="Figure Title"/>
    <w:basedOn w:val="Caption"/>
    <w:next w:val="Subtitle"/>
    <w:rsid w:val="00781751"/>
    <w:rPr>
      <w:sz w:val="24"/>
    </w:rPr>
  </w:style>
  <w:style w:type="paragraph" w:styleId="Subtitle">
    <w:name w:val="Subtitle"/>
    <w:basedOn w:val="Caption"/>
    <w:link w:val="SubtitleChar"/>
    <w:rsid w:val="00781751"/>
    <w:pPr>
      <w:spacing w:before="0" w:line="200" w:lineRule="exact"/>
      <w:ind w:firstLine="0"/>
    </w:pPr>
    <w:rPr>
      <w:b w:val="0"/>
      <w:sz w:val="20"/>
    </w:rPr>
  </w:style>
  <w:style w:type="paragraph" w:customStyle="1" w:styleId="Finding">
    <w:name w:val="Finding"/>
    <w:basedOn w:val="BodyText"/>
    <w:rsid w:val="00781751"/>
    <w:pPr>
      <w:keepLines/>
      <w:spacing w:before="180"/>
    </w:pPr>
    <w:rPr>
      <w:i/>
    </w:rPr>
  </w:style>
  <w:style w:type="paragraph" w:customStyle="1" w:styleId="FindingBullet">
    <w:name w:val="Finding Bullet"/>
    <w:basedOn w:val="Finding"/>
    <w:rsid w:val="00781751"/>
    <w:pPr>
      <w:numPr>
        <w:numId w:val="3"/>
      </w:numPr>
      <w:spacing w:before="80"/>
    </w:pPr>
  </w:style>
  <w:style w:type="paragraph" w:customStyle="1" w:styleId="FindingNoTitle">
    <w:name w:val="Finding NoTitle"/>
    <w:basedOn w:val="Finding"/>
    <w:rsid w:val="00781751"/>
    <w:pPr>
      <w:spacing w:before="240"/>
    </w:pPr>
  </w:style>
  <w:style w:type="paragraph" w:customStyle="1" w:styleId="RecTitle">
    <w:name w:val="Rec Title"/>
    <w:basedOn w:val="BodyText"/>
    <w:next w:val="Normal"/>
    <w:rsid w:val="00781751"/>
    <w:pPr>
      <w:keepNext/>
      <w:keepLines/>
    </w:pPr>
    <w:rPr>
      <w:caps/>
      <w:sz w:val="20"/>
    </w:rPr>
  </w:style>
  <w:style w:type="paragraph" w:customStyle="1" w:styleId="FindingTitle">
    <w:name w:val="Finding Title"/>
    <w:basedOn w:val="RecTitle"/>
    <w:next w:val="Finding"/>
    <w:rsid w:val="00781751"/>
    <w:pPr>
      <w:framePr w:wrap="notBeside" w:hAnchor="text"/>
    </w:pPr>
  </w:style>
  <w:style w:type="character" w:styleId="FootnoteReference">
    <w:name w:val="footnote reference"/>
    <w:basedOn w:val="DefaultParagraphFont"/>
    <w:semiHidden/>
    <w:rsid w:val="00781751"/>
    <w:rPr>
      <w:rFonts w:ascii="Times New Roman" w:hAnsi="Times New Roman"/>
      <w:position w:val="6"/>
      <w:sz w:val="22"/>
      <w:vertAlign w:val="baseline"/>
    </w:rPr>
  </w:style>
  <w:style w:type="paragraph" w:styleId="FootnoteText">
    <w:name w:val="footnote text"/>
    <w:basedOn w:val="BodyText"/>
    <w:rsid w:val="0078175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81751"/>
    <w:pPr>
      <w:spacing w:before="360" w:after="120"/>
    </w:pPr>
    <w:rPr>
      <w:rFonts w:ascii="Arial" w:hAnsi="Arial"/>
      <w:sz w:val="24"/>
    </w:rPr>
  </w:style>
  <w:style w:type="paragraph" w:customStyle="1" w:styleId="Jurisdictioncommentsbodytext">
    <w:name w:val="Jurisdiction comments body text"/>
    <w:rsid w:val="00781751"/>
    <w:pPr>
      <w:spacing w:after="140"/>
      <w:jc w:val="both"/>
    </w:pPr>
    <w:rPr>
      <w:rFonts w:ascii="Arial" w:hAnsi="Arial"/>
      <w:sz w:val="24"/>
      <w:lang w:eastAsia="en-US"/>
    </w:rPr>
  </w:style>
  <w:style w:type="paragraph" w:customStyle="1" w:styleId="Jurisdictioncommentsheading">
    <w:name w:val="Jurisdiction comments heading"/>
    <w:rsid w:val="0078175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81751"/>
    <w:pPr>
      <w:numPr>
        <w:numId w:val="4"/>
      </w:numPr>
      <w:spacing w:after="140"/>
      <w:jc w:val="both"/>
    </w:pPr>
    <w:rPr>
      <w:rFonts w:ascii="Arial" w:hAnsi="Arial"/>
      <w:sz w:val="24"/>
      <w:lang w:eastAsia="en-US"/>
    </w:rPr>
  </w:style>
  <w:style w:type="paragraph" w:styleId="ListBullet">
    <w:name w:val="List Bullet"/>
    <w:basedOn w:val="BodyText"/>
    <w:link w:val="ListBulletChar"/>
    <w:rsid w:val="00781751"/>
    <w:pPr>
      <w:numPr>
        <w:numId w:val="6"/>
      </w:numPr>
      <w:spacing w:before="120"/>
    </w:pPr>
  </w:style>
  <w:style w:type="paragraph" w:styleId="ListBullet2">
    <w:name w:val="List Bullet 2"/>
    <w:basedOn w:val="BodyText"/>
    <w:rsid w:val="00781751"/>
    <w:pPr>
      <w:numPr>
        <w:numId w:val="8"/>
      </w:numPr>
      <w:spacing w:before="120"/>
    </w:pPr>
  </w:style>
  <w:style w:type="paragraph" w:styleId="ListBullet3">
    <w:name w:val="List Bullet 3"/>
    <w:basedOn w:val="BodyText"/>
    <w:rsid w:val="00781751"/>
    <w:pPr>
      <w:numPr>
        <w:numId w:val="10"/>
      </w:numPr>
      <w:spacing w:before="120"/>
    </w:pPr>
  </w:style>
  <w:style w:type="paragraph" w:styleId="ListNumber">
    <w:name w:val="List Number"/>
    <w:basedOn w:val="BodyText"/>
    <w:rsid w:val="00781751"/>
    <w:pPr>
      <w:numPr>
        <w:numId w:val="32"/>
      </w:numPr>
      <w:spacing w:before="120"/>
    </w:pPr>
  </w:style>
  <w:style w:type="paragraph" w:styleId="ListNumber2">
    <w:name w:val="List Number 2"/>
    <w:basedOn w:val="ListNumber"/>
    <w:rsid w:val="00781751"/>
    <w:pPr>
      <w:numPr>
        <w:ilvl w:val="1"/>
      </w:numPr>
    </w:pPr>
  </w:style>
  <w:style w:type="paragraph" w:styleId="ListNumber3">
    <w:name w:val="List Number 3"/>
    <w:basedOn w:val="ListNumber2"/>
    <w:rsid w:val="00781751"/>
    <w:pPr>
      <w:numPr>
        <w:ilvl w:val="2"/>
      </w:numPr>
    </w:pPr>
  </w:style>
  <w:style w:type="character" w:customStyle="1" w:styleId="NoteLabel">
    <w:name w:val="Note Label"/>
    <w:basedOn w:val="DefaultParagraphFont"/>
    <w:rsid w:val="00781751"/>
    <w:rPr>
      <w:rFonts w:ascii="Arial" w:hAnsi="Arial"/>
      <w:b/>
      <w:position w:val="6"/>
      <w:sz w:val="18"/>
    </w:rPr>
  </w:style>
  <w:style w:type="paragraph" w:customStyle="1" w:styleId="PartDivider">
    <w:name w:val="Part Divider"/>
    <w:basedOn w:val="BodyText"/>
    <w:next w:val="BodyText"/>
    <w:semiHidden/>
    <w:rsid w:val="00781751"/>
    <w:pPr>
      <w:spacing w:before="0" w:line="40" w:lineRule="exact"/>
      <w:jc w:val="right"/>
    </w:pPr>
    <w:rPr>
      <w:smallCaps/>
      <w:sz w:val="16"/>
    </w:rPr>
  </w:style>
  <w:style w:type="paragraph" w:customStyle="1" w:styleId="PartNumber">
    <w:name w:val="Part Number"/>
    <w:basedOn w:val="BodyText"/>
    <w:next w:val="BodyText"/>
    <w:semiHidden/>
    <w:rsid w:val="00781751"/>
    <w:pPr>
      <w:spacing w:before="4000" w:line="320" w:lineRule="exact"/>
      <w:ind w:left="6634"/>
      <w:jc w:val="right"/>
    </w:pPr>
    <w:rPr>
      <w:smallCaps/>
      <w:spacing w:val="60"/>
      <w:sz w:val="32"/>
    </w:rPr>
  </w:style>
  <w:style w:type="paragraph" w:customStyle="1" w:styleId="PartTitle">
    <w:name w:val="Part Title"/>
    <w:basedOn w:val="BodyText"/>
    <w:semiHidden/>
    <w:rsid w:val="00781751"/>
    <w:pPr>
      <w:spacing w:before="160" w:after="1360" w:line="520" w:lineRule="exact"/>
      <w:ind w:right="2381"/>
      <w:jc w:val="right"/>
    </w:pPr>
    <w:rPr>
      <w:smallCaps/>
      <w:sz w:val="52"/>
    </w:rPr>
  </w:style>
  <w:style w:type="paragraph" w:styleId="Quote">
    <w:name w:val="Quote"/>
    <w:basedOn w:val="BodyText"/>
    <w:next w:val="BodyText"/>
    <w:link w:val="QuoteChar"/>
    <w:qFormat/>
    <w:rsid w:val="00781751"/>
    <w:pPr>
      <w:spacing w:before="120" w:line="280" w:lineRule="exact"/>
      <w:ind w:left="340"/>
    </w:pPr>
    <w:rPr>
      <w:sz w:val="24"/>
    </w:rPr>
  </w:style>
  <w:style w:type="paragraph" w:customStyle="1" w:styleId="QuoteBullet">
    <w:name w:val="Quote Bullet"/>
    <w:basedOn w:val="Quote"/>
    <w:rsid w:val="00781751"/>
    <w:pPr>
      <w:numPr>
        <w:numId w:val="14"/>
      </w:numPr>
    </w:pPr>
  </w:style>
  <w:style w:type="paragraph" w:customStyle="1" w:styleId="Rec">
    <w:name w:val="Rec"/>
    <w:basedOn w:val="BodyText"/>
    <w:rsid w:val="00781751"/>
    <w:pPr>
      <w:keepLines/>
      <w:spacing w:before="180"/>
    </w:pPr>
    <w:rPr>
      <w:b/>
      <w:i/>
    </w:rPr>
  </w:style>
  <w:style w:type="paragraph" w:customStyle="1" w:styleId="RecBullet">
    <w:name w:val="Rec Bullet"/>
    <w:basedOn w:val="Rec"/>
    <w:rsid w:val="00781751"/>
    <w:pPr>
      <w:numPr>
        <w:numId w:val="15"/>
      </w:numPr>
      <w:spacing w:before="80"/>
    </w:pPr>
  </w:style>
  <w:style w:type="paragraph" w:customStyle="1" w:styleId="RecB">
    <w:name w:val="RecB"/>
    <w:basedOn w:val="Normal"/>
    <w:semiHidden/>
    <w:rsid w:val="0078175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781751"/>
    <w:pPr>
      <w:numPr>
        <w:numId w:val="16"/>
      </w:numPr>
      <w:spacing w:before="80"/>
    </w:pPr>
  </w:style>
  <w:style w:type="paragraph" w:customStyle="1" w:styleId="RecBNoTitle">
    <w:name w:val="RecB NoTitle"/>
    <w:basedOn w:val="RecB"/>
    <w:semiHidden/>
    <w:rsid w:val="00781751"/>
    <w:pPr>
      <w:spacing w:before="240"/>
    </w:pPr>
  </w:style>
  <w:style w:type="paragraph" w:customStyle="1" w:styleId="Reference">
    <w:name w:val="Reference"/>
    <w:basedOn w:val="BodyText"/>
    <w:rsid w:val="00781751"/>
    <w:pPr>
      <w:spacing w:before="120"/>
      <w:ind w:left="340" w:hanging="340"/>
    </w:pPr>
  </w:style>
  <w:style w:type="paragraph" w:customStyle="1" w:styleId="SequenceInfo">
    <w:name w:val="Sequence Info"/>
    <w:basedOn w:val="BodyText"/>
    <w:semiHidden/>
    <w:rsid w:val="00781751"/>
    <w:rPr>
      <w:vanish/>
      <w:sz w:val="16"/>
    </w:rPr>
  </w:style>
  <w:style w:type="paragraph" w:customStyle="1" w:styleId="SideNote">
    <w:name w:val="Side Note"/>
    <w:basedOn w:val="BodyText"/>
    <w:next w:val="BodyText"/>
    <w:semiHidden/>
    <w:rsid w:val="0078175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81751"/>
    <w:pPr>
      <w:framePr w:wrap="around"/>
      <w:numPr>
        <w:numId w:val="17"/>
      </w:numPr>
      <w:tabs>
        <w:tab w:val="left" w:pos="227"/>
      </w:tabs>
    </w:pPr>
  </w:style>
  <w:style w:type="paragraph" w:customStyle="1" w:styleId="SideNoteGraphic">
    <w:name w:val="Side Note Graphic"/>
    <w:basedOn w:val="SideNote"/>
    <w:next w:val="BodyText"/>
    <w:semiHidden/>
    <w:rsid w:val="00781751"/>
    <w:pPr>
      <w:framePr w:wrap="around"/>
    </w:pPr>
  </w:style>
  <w:style w:type="paragraph" w:customStyle="1" w:styleId="TableBodyText">
    <w:name w:val="Table Body Text"/>
    <w:basedOn w:val="BodyText"/>
    <w:rsid w:val="0078175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81751"/>
    <w:pPr>
      <w:numPr>
        <w:numId w:val="18"/>
      </w:numPr>
      <w:jc w:val="left"/>
    </w:pPr>
  </w:style>
  <w:style w:type="paragraph" w:customStyle="1" w:styleId="TableColumnHeading">
    <w:name w:val="Table Column Heading"/>
    <w:basedOn w:val="TableBodyText"/>
    <w:rsid w:val="00781751"/>
    <w:pPr>
      <w:spacing w:before="80" w:after="80"/>
    </w:pPr>
    <w:rPr>
      <w:i/>
    </w:rPr>
  </w:style>
  <w:style w:type="paragraph" w:styleId="TOC2">
    <w:name w:val="toc 2"/>
    <w:basedOn w:val="BodyText"/>
    <w:semiHidden/>
    <w:rsid w:val="00781751"/>
    <w:pPr>
      <w:tabs>
        <w:tab w:val="right" w:pos="8789"/>
      </w:tabs>
      <w:ind w:left="510" w:right="851" w:hanging="510"/>
      <w:jc w:val="left"/>
    </w:pPr>
    <w:rPr>
      <w:b/>
    </w:rPr>
  </w:style>
  <w:style w:type="paragraph" w:styleId="TOC3">
    <w:name w:val="toc 3"/>
    <w:basedOn w:val="TOC2"/>
    <w:semiHidden/>
    <w:rsid w:val="00781751"/>
    <w:pPr>
      <w:spacing w:before="60"/>
      <w:ind w:left="1190" w:hanging="680"/>
    </w:pPr>
    <w:rPr>
      <w:b w:val="0"/>
    </w:rPr>
  </w:style>
  <w:style w:type="paragraph" w:styleId="TableofFigures">
    <w:name w:val="table of figures"/>
    <w:basedOn w:val="TOC3"/>
    <w:next w:val="BodyText"/>
    <w:semiHidden/>
    <w:rsid w:val="00781751"/>
    <w:pPr>
      <w:ind w:left="737" w:hanging="737"/>
    </w:pPr>
  </w:style>
  <w:style w:type="paragraph" w:customStyle="1" w:styleId="TableTitle">
    <w:name w:val="Table Title"/>
    <w:basedOn w:val="Caption"/>
    <w:next w:val="Subtitle"/>
    <w:rsid w:val="00781751"/>
    <w:rPr>
      <w:sz w:val="24"/>
    </w:rPr>
  </w:style>
  <w:style w:type="paragraph" w:customStyle="1" w:styleId="TableUnitsRow">
    <w:name w:val="Table Units Row"/>
    <w:basedOn w:val="TableBodyText"/>
    <w:rsid w:val="00781751"/>
    <w:pPr>
      <w:spacing w:before="80" w:after="80"/>
    </w:pPr>
  </w:style>
  <w:style w:type="paragraph" w:styleId="TOC1">
    <w:name w:val="toc 1"/>
    <w:basedOn w:val="Normal"/>
    <w:next w:val="TOC2"/>
    <w:semiHidden/>
    <w:rsid w:val="00781751"/>
    <w:pPr>
      <w:tabs>
        <w:tab w:val="right" w:pos="8789"/>
      </w:tabs>
      <w:spacing w:before="480" w:after="60" w:line="320" w:lineRule="exact"/>
      <w:ind w:left="1191" w:right="851" w:hanging="1191"/>
    </w:pPr>
    <w:rPr>
      <w:b/>
      <w:caps/>
    </w:rPr>
  </w:style>
  <w:style w:type="paragraph" w:styleId="TOC4">
    <w:name w:val="toc 4"/>
    <w:basedOn w:val="TOC3"/>
    <w:semiHidden/>
    <w:rsid w:val="00781751"/>
    <w:pPr>
      <w:ind w:left="1191" w:firstLine="0"/>
    </w:pPr>
  </w:style>
  <w:style w:type="paragraph" w:customStyle="1" w:styleId="RecBBullet2">
    <w:name w:val="RecB Bullet 2"/>
    <w:basedOn w:val="ListBullet2"/>
    <w:semiHidden/>
    <w:rsid w:val="00781751"/>
    <w:pPr>
      <w:pBdr>
        <w:left w:val="single" w:sz="24" w:space="29" w:color="C0C0C0"/>
      </w:pBdr>
    </w:pPr>
    <w:rPr>
      <w:b/>
      <w:i/>
    </w:rPr>
  </w:style>
  <w:style w:type="paragraph" w:styleId="BalloonText">
    <w:name w:val="Balloon Text"/>
    <w:basedOn w:val="Normal"/>
    <w:link w:val="BalloonTextChar"/>
    <w:rsid w:val="00781751"/>
    <w:rPr>
      <w:rFonts w:ascii="Tahoma" w:hAnsi="Tahoma" w:cs="Tahoma"/>
      <w:sz w:val="16"/>
      <w:szCs w:val="16"/>
    </w:rPr>
  </w:style>
  <w:style w:type="character" w:customStyle="1" w:styleId="BalloonTextChar">
    <w:name w:val="Balloon Text Char"/>
    <w:basedOn w:val="DefaultParagraphFont"/>
    <w:link w:val="BalloonText"/>
    <w:rsid w:val="00781751"/>
    <w:rPr>
      <w:rFonts w:ascii="Tahoma" w:hAnsi="Tahoma" w:cs="Tahoma"/>
      <w:sz w:val="16"/>
      <w:szCs w:val="16"/>
    </w:rPr>
  </w:style>
  <w:style w:type="character" w:customStyle="1" w:styleId="SubtitleChar">
    <w:name w:val="Subtitle Char"/>
    <w:basedOn w:val="DefaultParagraphFont"/>
    <w:link w:val="Subtitle"/>
    <w:rsid w:val="00781751"/>
    <w:rPr>
      <w:rFonts w:ascii="Arial" w:hAnsi="Arial"/>
      <w:szCs w:val="24"/>
    </w:rPr>
  </w:style>
  <w:style w:type="paragraph" w:customStyle="1" w:styleId="BoxListBullet3">
    <w:name w:val="Box List Bullet 3"/>
    <w:basedOn w:val="ListBullet3"/>
    <w:rsid w:val="00781751"/>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81751"/>
    <w:rPr>
      <w:i/>
      <w:iCs/>
    </w:rPr>
  </w:style>
  <w:style w:type="paragraph" w:customStyle="1" w:styleId="BoxQuoteBullet">
    <w:name w:val="Box Quote Bullet"/>
    <w:basedOn w:val="BoxQuote"/>
    <w:next w:val="Box"/>
    <w:rsid w:val="00781751"/>
    <w:pPr>
      <w:numPr>
        <w:numId w:val="45"/>
      </w:numPr>
      <w:ind w:left="568" w:hanging="284"/>
    </w:pPr>
  </w:style>
  <w:style w:type="paragraph" w:customStyle="1" w:styleId="InformationRequestBullet">
    <w:name w:val="Information Request Bullet"/>
    <w:basedOn w:val="ListBullet"/>
    <w:next w:val="BodyText"/>
    <w:rsid w:val="00781751"/>
    <w:pPr>
      <w:numPr>
        <w:numId w:val="46"/>
      </w:numPr>
      <w:ind w:left="340" w:hanging="340"/>
    </w:pPr>
    <w:rPr>
      <w:rFonts w:ascii="Arial" w:hAnsi="Arial"/>
      <w:i/>
      <w:sz w:val="24"/>
    </w:rPr>
  </w:style>
  <w:style w:type="paragraph" w:customStyle="1" w:styleId="BoxSpaceBelow">
    <w:name w:val="Box Space Below"/>
    <w:basedOn w:val="Box"/>
    <w:rsid w:val="00781751"/>
    <w:pPr>
      <w:keepNext w:val="0"/>
      <w:spacing w:before="60" w:after="60" w:line="80" w:lineRule="exact"/>
    </w:pPr>
    <w:rPr>
      <w:sz w:val="14"/>
    </w:rPr>
  </w:style>
  <w:style w:type="paragraph" w:customStyle="1" w:styleId="Author">
    <w:name w:val="Author"/>
    <w:basedOn w:val="Normal"/>
    <w:rsid w:val="008617C8"/>
    <w:rPr>
      <w:rFonts w:ascii="Arial" w:hAnsi="Arial"/>
      <w:b/>
      <w:sz w:val="28"/>
    </w:rPr>
  </w:style>
  <w:style w:type="paragraph" w:customStyle="1" w:styleId="AbstractHeading">
    <w:name w:val="AbstractHeading"/>
    <w:basedOn w:val="AbstractText"/>
    <w:rsid w:val="003F63DB"/>
    <w:pPr>
      <w:spacing w:before="240"/>
    </w:pPr>
    <w:rPr>
      <w:b/>
    </w:rPr>
  </w:style>
  <w:style w:type="paragraph" w:customStyle="1" w:styleId="AbstractText">
    <w:name w:val="AbstractText"/>
    <w:basedOn w:val="Normal"/>
    <w:rsid w:val="003F63DB"/>
    <w:pPr>
      <w:spacing w:before="120" w:after="120" w:line="320" w:lineRule="atLeast"/>
      <w:ind w:left="907"/>
    </w:pPr>
    <w:rPr>
      <w:rFonts w:ascii="Arial" w:hAnsi="Arial"/>
      <w:sz w:val="22"/>
    </w:rPr>
  </w:style>
  <w:style w:type="character" w:customStyle="1" w:styleId="ListBulletChar">
    <w:name w:val="List Bullet Char"/>
    <w:link w:val="ListBullet"/>
    <w:rsid w:val="003A0772"/>
    <w:rPr>
      <w:sz w:val="26"/>
    </w:rPr>
  </w:style>
  <w:style w:type="paragraph" w:customStyle="1" w:styleId="BoxSpace">
    <w:name w:val="Box Space"/>
    <w:basedOn w:val="Normal"/>
    <w:rsid w:val="00D347F8"/>
    <w:pPr>
      <w:keepNext/>
      <w:spacing w:before="360" w:line="80" w:lineRule="exact"/>
    </w:pPr>
    <w:rPr>
      <w:szCs w:val="20"/>
    </w:rPr>
  </w:style>
  <w:style w:type="character" w:customStyle="1" w:styleId="BoxChar">
    <w:name w:val="Box Char"/>
    <w:link w:val="Box"/>
    <w:rsid w:val="00D347F8"/>
    <w:rPr>
      <w:rFonts w:ascii="Arial" w:hAnsi="Arial"/>
      <w:sz w:val="22"/>
    </w:rPr>
  </w:style>
  <w:style w:type="character" w:customStyle="1" w:styleId="BoxTitleChar">
    <w:name w:val="Box Title Char"/>
    <w:link w:val="BoxTitle"/>
    <w:rsid w:val="00D347F8"/>
    <w:rPr>
      <w:rFonts w:ascii="Arial" w:hAnsi="Arial"/>
      <w:b/>
      <w:sz w:val="24"/>
      <w:szCs w:val="24"/>
    </w:rPr>
  </w:style>
  <w:style w:type="character" w:customStyle="1" w:styleId="FigureChar">
    <w:name w:val="Figure Char"/>
    <w:basedOn w:val="DefaultParagraphFont"/>
    <w:link w:val="Figure"/>
    <w:rsid w:val="00D347F8"/>
    <w:rPr>
      <w:sz w:val="26"/>
    </w:rPr>
  </w:style>
  <w:style w:type="character" w:customStyle="1" w:styleId="ListBulletChar1">
    <w:name w:val="List Bullet Char1"/>
    <w:aliases w:val="List Bullet Char Char"/>
    <w:rsid w:val="00CE3F6C"/>
    <w:rPr>
      <w:sz w:val="26"/>
    </w:rPr>
  </w:style>
  <w:style w:type="character" w:customStyle="1" w:styleId="BoxHeading1Char">
    <w:name w:val="Box Heading 1 Char"/>
    <w:link w:val="BoxHeading1"/>
    <w:rsid w:val="00A87987"/>
    <w:rPr>
      <w:rFonts w:ascii="Arial" w:hAnsi="Arial"/>
      <w:b/>
      <w:sz w:val="22"/>
    </w:rPr>
  </w:style>
  <w:style w:type="table" w:styleId="TableGrid">
    <w:name w:val="Table Grid"/>
    <w:basedOn w:val="TableNormal"/>
    <w:rsid w:val="00A879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ourceChar">
    <w:name w:val="Source Char"/>
    <w:basedOn w:val="DefaultParagraphFont"/>
    <w:link w:val="Source"/>
    <w:rsid w:val="00A87987"/>
    <w:rPr>
      <w:rFonts w:ascii="Arial" w:hAnsi="Arial"/>
      <w:sz w:val="18"/>
    </w:rPr>
  </w:style>
  <w:style w:type="character" w:customStyle="1" w:styleId="NoteChar">
    <w:name w:val="Note Char"/>
    <w:basedOn w:val="DefaultParagraphFont"/>
    <w:link w:val="Note"/>
    <w:rsid w:val="00A87987"/>
    <w:rPr>
      <w:rFonts w:ascii="Arial" w:hAnsi="Arial"/>
      <w:sz w:val="18"/>
    </w:rPr>
  </w:style>
  <w:style w:type="character" w:customStyle="1" w:styleId="QuoteChar">
    <w:name w:val="Quote Char"/>
    <w:link w:val="Quote"/>
    <w:rsid w:val="00A87987"/>
    <w:rPr>
      <w:sz w:val="24"/>
    </w:rPr>
  </w:style>
  <w:style w:type="character" w:customStyle="1" w:styleId="ContinuedChar">
    <w:name w:val="Continued Char"/>
    <w:basedOn w:val="DefaultParagraphFont"/>
    <w:link w:val="Continued"/>
    <w:rsid w:val="00A87987"/>
    <w:rPr>
      <w:rFonts w:ascii="Arial" w:hAnsi="Arial"/>
      <w:sz w:val="18"/>
    </w:rPr>
  </w:style>
  <w:style w:type="character" w:styleId="Hyperlink">
    <w:name w:val="Hyperlink"/>
    <w:basedOn w:val="DefaultParagraphFont"/>
    <w:rsid w:val="00A87987"/>
    <w:rPr>
      <w:color w:val="0000FF"/>
      <w:u w:val="single"/>
    </w:rPr>
  </w:style>
  <w:style w:type="paragraph" w:styleId="CommentSubject">
    <w:name w:val="annotation subject"/>
    <w:basedOn w:val="CommentText"/>
    <w:next w:val="CommentText"/>
    <w:link w:val="CommentSubjectChar"/>
    <w:rsid w:val="00A8798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87987"/>
    <w:rPr>
      <w:szCs w:val="24"/>
    </w:rPr>
  </w:style>
  <w:style w:type="character" w:customStyle="1" w:styleId="CommentSubjectChar">
    <w:name w:val="Comment Subject Char"/>
    <w:basedOn w:val="CommentTextChar"/>
    <w:link w:val="CommentSubject"/>
    <w:rsid w:val="00A87987"/>
    <w:rPr>
      <w:b/>
      <w:bCs/>
      <w:szCs w:val="24"/>
    </w:rPr>
  </w:style>
  <w:style w:type="paragraph" w:styleId="DocumentMap">
    <w:name w:val="Document Map"/>
    <w:basedOn w:val="Normal"/>
    <w:link w:val="DocumentMapChar"/>
    <w:rsid w:val="000C4F55"/>
    <w:rPr>
      <w:rFonts w:ascii="Tahoma" w:hAnsi="Tahoma" w:cs="Tahoma"/>
      <w:sz w:val="16"/>
      <w:szCs w:val="16"/>
    </w:rPr>
  </w:style>
  <w:style w:type="character" w:customStyle="1" w:styleId="DocumentMapChar">
    <w:name w:val="Document Map Char"/>
    <w:basedOn w:val="DefaultParagraphFont"/>
    <w:link w:val="DocumentMap"/>
    <w:rsid w:val="000C4F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chart" Target="charts/chart2.xml"/><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2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5.emf"/><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0.emf"/><Relationship Id="rId31" Type="http://schemas.openxmlformats.org/officeDocument/2006/relationships/image" Target="media/image2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PC%20Conference%202012\PC%20papers%20and%20presentations\Charts%20for%20RF%20roundtable%20paper.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mel_1\groups\PC%20Conference%202012\PC%20papers%20and%20presentations\Revised%20Charts%20for%20RF%20roundtable%20paper.xls"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spPr>
            <a:ln>
              <a:solidFill>
                <a:schemeClr val="tx1"/>
              </a:solidFill>
            </a:ln>
          </c:spPr>
          <c:dPt>
            <c:idx val="0"/>
            <c:bubble3D val="0"/>
            <c:spPr>
              <a:solidFill>
                <a:srgbClr val="333333"/>
              </a:solidFill>
              <a:ln>
                <a:solidFill>
                  <a:schemeClr val="tx1"/>
                </a:solidFill>
              </a:ln>
            </c:spPr>
          </c:dPt>
          <c:dPt>
            <c:idx val="1"/>
            <c:bubble3D val="0"/>
            <c:spPr>
              <a:pattFill prst="wdUpDiag">
                <a:fgClr>
                  <a:schemeClr val="tx1"/>
                </a:fgClr>
                <a:bgClr>
                  <a:schemeClr val="bg1"/>
                </a:bgClr>
              </a:pattFill>
              <a:ln>
                <a:solidFill>
                  <a:schemeClr val="tx1"/>
                </a:solidFill>
              </a:ln>
            </c:spPr>
          </c:dPt>
          <c:dPt>
            <c:idx val="2"/>
            <c:bubble3D val="0"/>
            <c:spPr>
              <a:solidFill>
                <a:schemeClr val="bg1">
                  <a:lumMod val="65000"/>
                </a:schemeClr>
              </a:solidFill>
              <a:ln>
                <a:solidFill>
                  <a:schemeClr val="tx1"/>
                </a:solidFill>
              </a:ln>
            </c:spPr>
          </c:dPt>
          <c:dPt>
            <c:idx val="3"/>
            <c:bubble3D val="0"/>
            <c:spPr>
              <a:pattFill prst="openDmnd">
                <a:fgClr>
                  <a:schemeClr val="tx1"/>
                </a:fgClr>
                <a:bgClr>
                  <a:schemeClr val="bg1"/>
                </a:bgClr>
              </a:pattFill>
              <a:ln>
                <a:solidFill>
                  <a:schemeClr val="tx1"/>
                </a:solidFill>
              </a:ln>
            </c:spPr>
          </c:dPt>
          <c:dLbls>
            <c:dLblPos val="outEnd"/>
            <c:showLegendKey val="0"/>
            <c:showVal val="0"/>
            <c:showCatName val="1"/>
            <c:showSerName val="0"/>
            <c:showPercent val="1"/>
            <c:showBubbleSize val="0"/>
            <c:separator> </c:separator>
            <c:showLeaderLines val="1"/>
          </c:dLbls>
          <c:cat>
            <c:strRef>
              <c:f>Snapshot!$B$4:$B$7</c:f>
              <c:strCache>
                <c:ptCount val="4"/>
                <c:pt idx="0">
                  <c:v>Improvement</c:v>
                </c:pt>
                <c:pt idx="1">
                  <c:v>No change</c:v>
                </c:pt>
                <c:pt idx="2">
                  <c:v>Deterioration</c:v>
                </c:pt>
                <c:pt idx="3">
                  <c:v>Can't tell</c:v>
                </c:pt>
              </c:strCache>
            </c:strRef>
          </c:cat>
          <c:val>
            <c:numRef>
              <c:f>Snapshot!$C$4:$C$7</c:f>
              <c:numCache>
                <c:formatCode>General</c:formatCode>
                <c:ptCount val="4"/>
                <c:pt idx="0">
                  <c:v>13</c:v>
                </c:pt>
                <c:pt idx="1">
                  <c:v>10</c:v>
                </c:pt>
                <c:pt idx="2">
                  <c:v>7</c:v>
                </c:pt>
                <c:pt idx="3">
                  <c:v>15</c:v>
                </c:pt>
              </c:numCache>
            </c:numRef>
          </c:val>
        </c:ser>
        <c:dLbls>
          <c:showLegendKey val="0"/>
          <c:showVal val="0"/>
          <c:showCatName val="0"/>
          <c:showSerName val="0"/>
          <c:showPercent val="0"/>
          <c:showBubbleSize val="0"/>
          <c:showLeaderLines val="1"/>
        </c:dLbls>
        <c:firstSliceAng val="0"/>
      </c:pieChart>
    </c:plotArea>
    <c:plotVisOnly val="1"/>
    <c:dispBlanksAs val="zero"/>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'HEALTH ISSUES DATA'!$B$9</c:f>
              <c:strCache>
                <c:ptCount val="1"/>
                <c:pt idx="0">
                  <c:v>Indigenous</c:v>
                </c:pt>
              </c:strCache>
            </c:strRef>
          </c:tx>
          <c:spPr>
            <a:solidFill>
              <a:schemeClr val="tx1"/>
            </a:solidFill>
          </c:spPr>
          <c:invertIfNegative val="0"/>
          <c:cat>
            <c:strRef>
              <c:f>('HEALTH ISSUES DATA'!$C$8:$D$8,'HEALTH ISSUES DATA'!$G$8:$H$8)</c:f>
              <c:strCache>
                <c:ptCount val="4"/>
                <c:pt idx="0">
                  <c:v>1998-2000</c:v>
                </c:pt>
                <c:pt idx="1">
                  <c:v>2006-2008</c:v>
                </c:pt>
                <c:pt idx="2">
                  <c:v>1991</c:v>
                </c:pt>
                <c:pt idx="3">
                  <c:v>2009</c:v>
                </c:pt>
              </c:strCache>
            </c:strRef>
          </c:cat>
          <c:val>
            <c:numRef>
              <c:f>'HEALTH ISSUES DATA'!$C$9:$F$9</c:f>
              <c:numCache>
                <c:formatCode>General</c:formatCode>
                <c:ptCount val="4"/>
                <c:pt idx="0">
                  <c:v>11.9</c:v>
                </c:pt>
                <c:pt idx="1">
                  <c:v>12.4</c:v>
                </c:pt>
              </c:numCache>
            </c:numRef>
          </c:val>
        </c:ser>
        <c:ser>
          <c:idx val="1"/>
          <c:order val="1"/>
          <c:tx>
            <c:strRef>
              <c:f>'HEALTH ISSUES DATA'!$B$10</c:f>
              <c:strCache>
                <c:ptCount val="1"/>
                <c:pt idx="0">
                  <c:v>Non-Indigenous</c:v>
                </c:pt>
              </c:strCache>
            </c:strRef>
          </c:tx>
          <c:spPr>
            <a:pattFill prst="wdUpDiag">
              <a:fgClr>
                <a:prstClr val="black"/>
              </a:fgClr>
              <a:bgClr>
                <a:schemeClr val="bg1"/>
              </a:bgClr>
            </a:pattFill>
            <a:ln>
              <a:solidFill>
                <a:schemeClr val="tx1"/>
              </a:solidFill>
            </a:ln>
          </c:spPr>
          <c:invertIfNegative val="0"/>
          <c:cat>
            <c:strRef>
              <c:f>('HEALTH ISSUES DATA'!$C$8:$D$8,'HEALTH ISSUES DATA'!$G$8:$H$8)</c:f>
              <c:strCache>
                <c:ptCount val="4"/>
                <c:pt idx="0">
                  <c:v>1998-2000</c:v>
                </c:pt>
                <c:pt idx="1">
                  <c:v>2006-2008</c:v>
                </c:pt>
                <c:pt idx="2">
                  <c:v>1991</c:v>
                </c:pt>
                <c:pt idx="3">
                  <c:v>2009</c:v>
                </c:pt>
              </c:strCache>
            </c:strRef>
          </c:cat>
          <c:val>
            <c:numRef>
              <c:f>'HEALTH ISSUES DATA'!$C$10:$F$10</c:f>
              <c:numCache>
                <c:formatCode>General</c:formatCode>
                <c:ptCount val="4"/>
                <c:pt idx="0">
                  <c:v>6</c:v>
                </c:pt>
                <c:pt idx="1">
                  <c:v>6</c:v>
                </c:pt>
              </c:numCache>
            </c:numRef>
          </c:val>
        </c:ser>
        <c:dLbls>
          <c:showLegendKey val="0"/>
          <c:showVal val="0"/>
          <c:showCatName val="0"/>
          <c:showSerName val="0"/>
          <c:showPercent val="0"/>
          <c:showBubbleSize val="0"/>
        </c:dLbls>
        <c:gapWidth val="150"/>
        <c:axId val="161819264"/>
        <c:axId val="161825536"/>
      </c:barChart>
      <c:barChart>
        <c:barDir val="col"/>
        <c:grouping val="clustered"/>
        <c:varyColors val="0"/>
        <c:ser>
          <c:idx val="2"/>
          <c:order val="2"/>
          <c:tx>
            <c:v/>
          </c:tx>
          <c:spPr>
            <a:solidFill>
              <a:schemeClr val="tx1"/>
            </a:solidFill>
          </c:spPr>
          <c:invertIfNegative val="0"/>
          <c:cat>
            <c:strRef>
              <c:f>('HEALTH ISSUES DATA'!$C$8:$D$8,'HEALTH ISSUES DATA'!$G$8:$H$8)</c:f>
              <c:strCache>
                <c:ptCount val="4"/>
                <c:pt idx="0">
                  <c:v>1998-2000</c:v>
                </c:pt>
                <c:pt idx="1">
                  <c:v>2006-2008</c:v>
                </c:pt>
                <c:pt idx="2">
                  <c:v>1991</c:v>
                </c:pt>
                <c:pt idx="3">
                  <c:v>2009</c:v>
                </c:pt>
              </c:strCache>
            </c:strRef>
          </c:cat>
          <c:val>
            <c:numRef>
              <c:f>'HEALTH ISSUES DATA'!$E$9:$H$9</c:f>
              <c:numCache>
                <c:formatCode>General</c:formatCode>
                <c:ptCount val="4"/>
                <c:pt idx="2">
                  <c:v>619</c:v>
                </c:pt>
                <c:pt idx="3">
                  <c:v>247.4</c:v>
                </c:pt>
              </c:numCache>
            </c:numRef>
          </c:val>
        </c:ser>
        <c:ser>
          <c:idx val="3"/>
          <c:order val="3"/>
          <c:tx>
            <c:v/>
          </c:tx>
          <c:spPr>
            <a:pattFill prst="wdUpDiag">
              <a:fgClr>
                <a:prstClr val="black"/>
              </a:fgClr>
              <a:bgClr>
                <a:schemeClr val="bg1"/>
              </a:bgClr>
            </a:pattFill>
            <a:ln>
              <a:solidFill>
                <a:schemeClr val="tx1"/>
              </a:solidFill>
            </a:ln>
          </c:spPr>
          <c:invertIfNegative val="0"/>
          <c:cat>
            <c:strRef>
              <c:f>('HEALTH ISSUES DATA'!$C$8:$D$8,'HEALTH ISSUES DATA'!$G$8:$H$8)</c:f>
              <c:strCache>
                <c:ptCount val="4"/>
                <c:pt idx="0">
                  <c:v>1998-2000</c:v>
                </c:pt>
                <c:pt idx="1">
                  <c:v>2006-2008</c:v>
                </c:pt>
                <c:pt idx="2">
                  <c:v>1991</c:v>
                </c:pt>
                <c:pt idx="3">
                  <c:v>2009</c:v>
                </c:pt>
              </c:strCache>
            </c:strRef>
          </c:cat>
          <c:val>
            <c:numRef>
              <c:f>'HEALTH ISSUES DATA'!$E$10:$H$10</c:f>
              <c:numCache>
                <c:formatCode>General</c:formatCode>
                <c:ptCount val="4"/>
                <c:pt idx="2">
                  <c:v>133.9</c:v>
                </c:pt>
                <c:pt idx="3">
                  <c:v>81.099999999999994</c:v>
                </c:pt>
              </c:numCache>
            </c:numRef>
          </c:val>
        </c:ser>
        <c:dLbls>
          <c:showLegendKey val="0"/>
          <c:showVal val="0"/>
          <c:showCatName val="0"/>
          <c:showSerName val="0"/>
          <c:showPercent val="0"/>
          <c:showBubbleSize val="0"/>
        </c:dLbls>
        <c:gapWidth val="150"/>
        <c:axId val="161827456"/>
        <c:axId val="161841536"/>
      </c:barChart>
      <c:catAx>
        <c:axId val="161819264"/>
        <c:scaling>
          <c:orientation val="minMax"/>
        </c:scaling>
        <c:delete val="0"/>
        <c:axPos val="b"/>
        <c:title>
          <c:tx>
            <c:rich>
              <a:bodyPr/>
              <a:lstStyle/>
              <a:p>
                <a:pPr>
                  <a:defRPr sz="1000" b="0" i="0" u="none" strike="noStrike" baseline="0">
                    <a:solidFill>
                      <a:srgbClr val="000000"/>
                    </a:solidFill>
                    <a:latin typeface="Arial"/>
                    <a:ea typeface="Arial"/>
                    <a:cs typeface="Arial"/>
                  </a:defRPr>
                </a:pPr>
                <a:endParaRPr lang="en-AU"/>
              </a:p>
            </c:rich>
          </c:tx>
          <c:layout/>
          <c:overlay val="0"/>
        </c:title>
        <c:numFmt formatCode="General" sourceLinked="1"/>
        <c:majorTickMark val="out"/>
        <c:minorTickMark val="none"/>
        <c:tickLblPos val="nextTo"/>
        <c:crossAx val="161825536"/>
        <c:crosses val="autoZero"/>
        <c:auto val="1"/>
        <c:lblAlgn val="ctr"/>
        <c:lblOffset val="100"/>
        <c:noMultiLvlLbl val="0"/>
      </c:catAx>
      <c:valAx>
        <c:axId val="161825536"/>
        <c:scaling>
          <c:orientation val="minMax"/>
          <c:max val="30"/>
        </c:scaling>
        <c:delete val="0"/>
        <c:axPos val="l"/>
        <c:majorGridlines/>
        <c:title>
          <c:tx>
            <c:rich>
              <a:bodyPr rot="-5400000" vert="horz"/>
              <a:lstStyle/>
              <a:p>
                <a:pPr>
                  <a:defRPr/>
                </a:pPr>
                <a:r>
                  <a:rPr lang="en-US"/>
                  <a:t>Per cent of live births</a:t>
                </a:r>
              </a:p>
            </c:rich>
          </c:tx>
          <c:layout/>
          <c:overlay val="0"/>
        </c:title>
        <c:numFmt formatCode="General" sourceLinked="1"/>
        <c:majorTickMark val="out"/>
        <c:minorTickMark val="none"/>
        <c:tickLblPos val="nextTo"/>
        <c:crossAx val="161819264"/>
        <c:crosses val="autoZero"/>
        <c:crossBetween val="between"/>
      </c:valAx>
      <c:catAx>
        <c:axId val="161827456"/>
        <c:scaling>
          <c:orientation val="minMax"/>
        </c:scaling>
        <c:delete val="1"/>
        <c:axPos val="b"/>
        <c:majorTickMark val="out"/>
        <c:minorTickMark val="none"/>
        <c:tickLblPos val="nextTo"/>
        <c:crossAx val="161841536"/>
        <c:crosses val="autoZero"/>
        <c:auto val="1"/>
        <c:lblAlgn val="ctr"/>
        <c:lblOffset val="100"/>
        <c:noMultiLvlLbl val="0"/>
      </c:catAx>
      <c:valAx>
        <c:axId val="161841536"/>
        <c:scaling>
          <c:orientation val="minMax"/>
        </c:scaling>
        <c:delete val="0"/>
        <c:axPos val="r"/>
        <c:title>
          <c:tx>
            <c:rich>
              <a:bodyPr rot="-5400000" vert="horz"/>
              <a:lstStyle/>
              <a:p>
                <a:pPr>
                  <a:defRPr/>
                </a:pPr>
                <a:r>
                  <a:rPr lang="en-US"/>
                  <a:t>Deaths per 100 000 children</a:t>
                </a:r>
                <a:r>
                  <a:rPr lang="en-US" baseline="0"/>
                  <a:t> aged 0-4 years</a:t>
                </a:r>
              </a:p>
            </c:rich>
          </c:tx>
          <c:layout/>
          <c:overlay val="0"/>
        </c:title>
        <c:numFmt formatCode="General" sourceLinked="1"/>
        <c:majorTickMark val="out"/>
        <c:minorTickMark val="none"/>
        <c:tickLblPos val="nextTo"/>
        <c:crossAx val="161827456"/>
        <c:crosses val="max"/>
        <c:crossBetween val="between"/>
      </c:valAx>
    </c:plotArea>
    <c:legend>
      <c:legendPos val="t"/>
      <c:layout>
        <c:manualLayout>
          <c:xMode val="edge"/>
          <c:yMode val="edge"/>
          <c:x val="0.3026782589676294"/>
          <c:y val="2.7777777777777842E-2"/>
          <c:w val="0.48353237095363111"/>
          <c:h val="8.371719160104997E-2"/>
        </c:manualLayout>
      </c:layout>
      <c:overlay val="0"/>
    </c:legend>
    <c:plotVisOnly val="1"/>
    <c:dispBlanksAs val="gap"/>
    <c:showDLblsOverMax val="0"/>
  </c:chart>
  <c:spPr>
    <a:ln>
      <a:noFill/>
    </a:ln>
  </c:spPr>
  <c:externalData r:id="rId2">
    <c:autoUpdate val="0"/>
  </c:externalData>
  <c:userShapes r:id="rId3"/>
</c:chartSpace>
</file>

<file path=word/drawings/_rels/drawing1.xml.rels><?xml version="1.0" encoding="UTF-8" standalone="yes"?>
<Relationships xmlns="http://schemas.openxmlformats.org/package/2006/relationships"><Relationship Id="rId1" Type="http://schemas.openxmlformats.org/officeDocument/2006/relationships/image" Target="../media/image9.png"/></Relationships>
</file>

<file path=word/drawings/drawing1.xml><?xml version="1.0" encoding="utf-8"?>
<c:userShapes xmlns:c="http://schemas.openxmlformats.org/drawingml/2006/chart">
  <cdr:relSizeAnchor xmlns:cdr="http://schemas.openxmlformats.org/drawingml/2006/chartDrawing">
    <cdr:from>
      <cdr:x>0.47708</cdr:x>
      <cdr:y>0.15972</cdr:y>
    </cdr:from>
    <cdr:to>
      <cdr:x>0.47917</cdr:x>
      <cdr:y>0.96181</cdr:y>
    </cdr:to>
    <cdr:sp macro="" textlink="">
      <cdr:nvSpPr>
        <cdr:cNvPr id="3" name="Straight Connector 2" descr="Figure 2.5 Young children’s health — birthweight and mortality. Chart shows Indigenous and non-Indigenous rates of low birthweight (1998-2000 and 2006-2008) and young child mortality (1991 and 2009). Key results are in the text below the chart."/>
        <cdr:cNvSpPr/>
      </cdr:nvSpPr>
      <cdr:spPr>
        <a:xfrm xmlns:a="http://schemas.openxmlformats.org/drawingml/2006/main" flipV="1">
          <a:off x="2181225" y="438150"/>
          <a:ext cx="9525" cy="2200275"/>
        </a:xfrm>
        <a:prstGeom xmlns:a="http://schemas.openxmlformats.org/drawingml/2006/main" prst="line">
          <a:avLst/>
        </a:prstGeom>
        <a:ln xmlns:a="http://schemas.openxmlformats.org/drawingml/2006/main" w="25400">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AU"/>
        </a:p>
      </cdr:txBody>
    </cdr:sp>
  </cdr:relSizeAnchor>
  <cdr:relSizeAnchor xmlns:cdr="http://schemas.openxmlformats.org/drawingml/2006/chartDrawing">
    <cdr:from>
      <cdr:x>0.19167</cdr:x>
      <cdr:y>0.88541</cdr:y>
    </cdr:from>
    <cdr:to>
      <cdr:x>0.425</cdr:x>
      <cdr:y>0.98263</cdr:y>
    </cdr:to>
    <cdr:sp macro="" textlink="">
      <cdr:nvSpPr>
        <cdr:cNvPr id="4" name="TextBox 3"/>
        <cdr:cNvSpPr txBox="1"/>
      </cdr:nvSpPr>
      <cdr:spPr>
        <a:xfrm xmlns:a="http://schemas.openxmlformats.org/drawingml/2006/main">
          <a:off x="876300" y="2428869"/>
          <a:ext cx="1066785" cy="2666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b="0"/>
            <a:t>Low</a:t>
          </a:r>
          <a:r>
            <a:rPr lang="en-AU" sz="1000" b="1"/>
            <a:t> </a:t>
          </a:r>
          <a:r>
            <a:rPr lang="en-AU" sz="1000" b="0" i="0" baseline="0"/>
            <a:t>birthweight</a:t>
          </a:r>
        </a:p>
      </cdr:txBody>
    </cdr:sp>
  </cdr:relSizeAnchor>
  <cdr:relSizeAnchor xmlns:cdr="http://schemas.openxmlformats.org/drawingml/2006/chartDrawing">
    <cdr:from>
      <cdr:x>0</cdr:x>
      <cdr:y>0</cdr:y>
    </cdr:from>
    <cdr:to>
      <cdr:x>0.00533</cdr:x>
      <cdr:y>0.00889</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cdr:x>
      <cdr:y>0</cdr:y>
    </cdr:from>
    <cdr:to>
      <cdr:x>0.00533</cdr:x>
      <cdr:y>0.00889</cdr:y>
    </cdr:to>
    <cdr:pic>
      <cdr:nvPicPr>
        <cdr:cNvPr id="6"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0.54375</cdr:x>
      <cdr:y>0.87847</cdr:y>
    </cdr:from>
    <cdr:to>
      <cdr:x>0.84583</cdr:x>
      <cdr:y>0.97569</cdr:y>
    </cdr:to>
    <cdr:sp macro="" textlink="">
      <cdr:nvSpPr>
        <cdr:cNvPr id="7" name="TextBox 6"/>
        <cdr:cNvSpPr txBox="1"/>
      </cdr:nvSpPr>
      <cdr:spPr>
        <a:xfrm xmlns:a="http://schemas.openxmlformats.org/drawingml/2006/main">
          <a:off x="2486024" y="2409825"/>
          <a:ext cx="1381125" cy="2667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baseline="0"/>
            <a:t>Young child mortality</a:t>
          </a:r>
        </a:p>
      </cdr:txBody>
    </cdr:sp>
  </cdr:relSizeAnchor>
  <cdr:relSizeAnchor xmlns:cdr="http://schemas.openxmlformats.org/drawingml/2006/chartDrawing">
    <cdr:from>
      <cdr:x>0.70229</cdr:x>
      <cdr:y>0.05531</cdr:y>
    </cdr:from>
    <cdr:to>
      <cdr:x>0.83562</cdr:x>
      <cdr:y>0.12128</cdr:y>
    </cdr:to>
    <cdr:sp macro="" textlink="">
      <cdr:nvSpPr>
        <cdr:cNvPr id="8" name="Rectangle 7"/>
        <cdr:cNvSpPr/>
      </cdr:nvSpPr>
      <cdr:spPr>
        <a:xfrm xmlns:a="http://schemas.openxmlformats.org/drawingml/2006/main">
          <a:off x="3558716" y="155413"/>
          <a:ext cx="675623" cy="185367"/>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AU"/>
        </a:p>
      </cdr:txBody>
    </cdr:sp>
  </cdr:relSizeAnchor>
  <cdr:relSizeAnchor xmlns:cdr="http://schemas.openxmlformats.org/drawingml/2006/chartDrawing">
    <cdr:from>
      <cdr:x>0</cdr:x>
      <cdr:y>0</cdr:y>
    </cdr:from>
    <cdr:to>
      <cdr:x>0.00533</cdr:x>
      <cdr:y>0.00889</cdr:y>
    </cdr:to>
    <cdr:pic>
      <cdr:nvPicPr>
        <cdr:cNvPr id="9"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66911-01D5-4601-8D7E-AA13DB106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41</TotalTime>
  <Pages>30</Pages>
  <Words>6153</Words>
  <Characters>36776</Characters>
  <Application>Microsoft Office Word</Application>
  <DocSecurity>0</DocSecurity>
  <Lines>306</Lines>
  <Paragraphs>85</Paragraphs>
  <ScaleCrop>false</ScaleCrop>
  <HeadingPairs>
    <vt:vector size="2" baseType="variant">
      <vt:variant>
        <vt:lpstr>Title</vt:lpstr>
      </vt:variant>
      <vt:variant>
        <vt:i4>1</vt:i4>
      </vt:variant>
    </vt:vector>
  </HeadingPairs>
  <TitlesOfParts>
    <vt:vector size="1" baseType="lpstr">
      <vt:lpstr>Outcomes for Indigenous Australians</vt:lpstr>
    </vt:vector>
  </TitlesOfParts>
  <Company>Productivity Commission</Company>
  <LinksUpToDate>false</LinksUpToDate>
  <CharactersWithSpaces>42844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Outcomes for Indigenous Australians</dc:title>
  <dc:subject>Better Indigenous Policies: The Role of Evaluation</dc:subject>
  <dc:creator>Productivity Commission</dc:creator>
  <dc:description>2.</dc:description>
  <cp:lastModifiedBy>Productivity Commission</cp:lastModifiedBy>
  <cp:revision>9</cp:revision>
  <cp:lastPrinted>2013-04-17T00:32:00Z</cp:lastPrinted>
  <dcterms:created xsi:type="dcterms:W3CDTF">2013-04-16T22:44:00Z</dcterms:created>
  <dcterms:modified xsi:type="dcterms:W3CDTF">2013-04-24T01:16:00Z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-1407226811</vt:i4>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