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327A7" w:rsidP="00912EBA">
      <w:pPr>
        <w:pStyle w:val="Chapter"/>
      </w:pPr>
      <w:bookmarkStart w:id="0" w:name="_GoBack"/>
      <w:bookmarkEnd w:id="0"/>
      <w:r>
        <w:t>3</w:t>
      </w:r>
      <w:r>
        <w:tab/>
      </w:r>
      <w:r w:rsidR="008F2DB2" w:rsidRPr="008F2DB2">
        <w:t>The Indigenous</w:t>
      </w:r>
      <w:r w:rsidR="008F2DB2">
        <w:t xml:space="preserve"> policy experience </w:t>
      </w:r>
      <w:r w:rsidR="00912EBA">
        <w:tab/>
      </w:r>
      <w:r w:rsidR="008F2DB2">
        <w:t>1960 to 2012</w:t>
      </w:r>
    </w:p>
    <w:p w:rsidR="008F2DB2" w:rsidRDefault="008F2DB2" w:rsidP="009421FC">
      <w:pPr>
        <w:pStyle w:val="Heading3"/>
      </w:pPr>
      <w:bookmarkStart w:id="1" w:name="begin"/>
      <w:bookmarkEnd w:id="1"/>
      <w:r>
        <w:t>Fred Chaney</w:t>
      </w:r>
      <w:r w:rsidR="002327A7">
        <w:rPr>
          <w:rStyle w:val="FootnoteReference"/>
        </w:rPr>
        <w:footnoteReference w:id="1"/>
      </w:r>
    </w:p>
    <w:p w:rsidR="00784885" w:rsidRDefault="00784885" w:rsidP="00784885">
      <w:pPr>
        <w:pStyle w:val="AbstractHeading"/>
      </w:pPr>
      <w:r>
        <w:t>Abstract</w:t>
      </w:r>
    </w:p>
    <w:p w:rsidR="00784885" w:rsidRDefault="00784885" w:rsidP="00284D2E">
      <w:pPr>
        <w:pStyle w:val="AbstractText"/>
        <w:jc w:val="both"/>
      </w:pPr>
      <w:r w:rsidRPr="00C925B2">
        <w:t xml:space="preserve">The Indigenous policy experience from 1960 to 2012 </w:t>
      </w:r>
      <w:r>
        <w:t xml:space="preserve">saw </w:t>
      </w:r>
      <w:r w:rsidRPr="00C925B2">
        <w:t xml:space="preserve">the de jure legal position of Indigenous people significantly changed for the better, </w:t>
      </w:r>
      <w:r>
        <w:t xml:space="preserve">while </w:t>
      </w:r>
      <w:r w:rsidRPr="00C925B2">
        <w:t>the role of government also changed and various purchaser</w:t>
      </w:r>
      <w:r w:rsidR="00F673CA">
        <w:t>–</w:t>
      </w:r>
      <w:r w:rsidRPr="00C925B2">
        <w:t>provider</w:t>
      </w:r>
      <w:r w:rsidR="00F673CA">
        <w:t xml:space="preserve"> </w:t>
      </w:r>
      <w:r w:rsidRPr="00C925B2">
        <w:t xml:space="preserve">models </w:t>
      </w:r>
      <w:r>
        <w:t xml:space="preserve">were </w:t>
      </w:r>
      <w:r w:rsidRPr="00C925B2">
        <w:t>used</w:t>
      </w:r>
      <w:r>
        <w:t xml:space="preserve"> to pursue policy objectives</w:t>
      </w:r>
      <w:r w:rsidRPr="00C925B2">
        <w:t>.</w:t>
      </w:r>
      <w:r>
        <w:t xml:space="preserve"> </w:t>
      </w:r>
    </w:p>
    <w:p w:rsidR="00784885" w:rsidRDefault="00784885" w:rsidP="00284D2E">
      <w:pPr>
        <w:pStyle w:val="AbstractText"/>
        <w:jc w:val="both"/>
      </w:pPr>
      <w:r w:rsidRPr="00C925B2">
        <w:t xml:space="preserve">In remote communities in particular the </w:t>
      </w:r>
      <w:r>
        <w:t>‘</w:t>
      </w:r>
      <w:r w:rsidRPr="00C925B2">
        <w:t>removal of the footprint of government</w:t>
      </w:r>
      <w:r>
        <w:t>’</w:t>
      </w:r>
      <w:r w:rsidR="00A40ED4">
        <w:t xml:space="preserve"> and the remoteness of policy</w:t>
      </w:r>
      <w:r w:rsidRPr="00C925B2">
        <w:t>makers resulted in outcomes well below what ha</w:t>
      </w:r>
      <w:r>
        <w:t>d</w:t>
      </w:r>
      <w:r w:rsidRPr="00C925B2">
        <w:t xml:space="preserve"> been hoped</w:t>
      </w:r>
      <w:r>
        <w:t xml:space="preserve"> for</w:t>
      </w:r>
      <w:r w:rsidRPr="00C925B2">
        <w:t>.</w:t>
      </w:r>
      <w:r>
        <w:t xml:space="preserve"> Interventions by metropolitan government and </w:t>
      </w:r>
      <w:r w:rsidRPr="00C925B2">
        <w:t xml:space="preserve">attempts to coordinate services </w:t>
      </w:r>
      <w:r>
        <w:t>had limited success. The e</w:t>
      </w:r>
      <w:r w:rsidRPr="00C925B2">
        <w:t xml:space="preserve">valuation of programs </w:t>
      </w:r>
      <w:r>
        <w:t xml:space="preserve">had </w:t>
      </w:r>
      <w:r w:rsidRPr="00C925B2">
        <w:t>limited value in overcoming the structural deficiencies of government</w:t>
      </w:r>
      <w:r>
        <w:t>,</w:t>
      </w:r>
      <w:r w:rsidRPr="00C925B2">
        <w:t xml:space="preserve"> which seem</w:t>
      </w:r>
      <w:r>
        <w:t>ed</w:t>
      </w:r>
      <w:r w:rsidRPr="00C925B2">
        <w:t xml:space="preserve"> unable to act in accordance with its own understanding of </w:t>
      </w:r>
      <w:r>
        <w:t>‘</w:t>
      </w:r>
      <w:r w:rsidRPr="00C925B2">
        <w:t>what works</w:t>
      </w:r>
      <w:r>
        <w:t>’</w:t>
      </w:r>
      <w:r w:rsidRPr="00C925B2">
        <w:t xml:space="preserve">. There </w:t>
      </w:r>
      <w:r>
        <w:t xml:space="preserve">was </w:t>
      </w:r>
      <w:r w:rsidRPr="00C925B2">
        <w:t>resistance to evaluatin</w:t>
      </w:r>
      <w:r>
        <w:t>g</w:t>
      </w:r>
      <w:r w:rsidRPr="00C925B2">
        <w:t xml:space="preserve"> how </w:t>
      </w:r>
      <w:r>
        <w:t xml:space="preserve">critical responsibilities were met by </w:t>
      </w:r>
      <w:r w:rsidRPr="00C925B2">
        <w:t xml:space="preserve">government </w:t>
      </w:r>
      <w:r>
        <w:t xml:space="preserve">or shifted to </w:t>
      </w:r>
      <w:r w:rsidRPr="00C925B2">
        <w:t>individuals</w:t>
      </w:r>
      <w:r>
        <w:t>,</w:t>
      </w:r>
      <w:r w:rsidRPr="00C925B2">
        <w:t xml:space="preserve"> families and </w:t>
      </w:r>
      <w:r>
        <w:t xml:space="preserve">service </w:t>
      </w:r>
      <w:r w:rsidRPr="00C925B2">
        <w:t>provider</w:t>
      </w:r>
      <w:r>
        <w:t>s</w:t>
      </w:r>
      <w:r w:rsidRPr="00C925B2">
        <w:t>.</w:t>
      </w:r>
      <w:r>
        <w:t xml:space="preserve"> </w:t>
      </w:r>
    </w:p>
    <w:p w:rsidR="00784885" w:rsidRDefault="00784885" w:rsidP="00284D2E">
      <w:pPr>
        <w:pStyle w:val="AbstractText"/>
        <w:jc w:val="both"/>
      </w:pPr>
      <w:r w:rsidRPr="00C925B2">
        <w:t>To quote Dillon</w:t>
      </w:r>
      <w:r>
        <w:t xml:space="preserve"> and Westbury</w:t>
      </w:r>
      <w:r w:rsidRPr="00C925B2">
        <w:t xml:space="preserve">, </w:t>
      </w:r>
      <w:r>
        <w:t>‘</w:t>
      </w:r>
      <w:r w:rsidRPr="00C925B2">
        <w:t>How is it that governments …</w:t>
      </w:r>
      <w:r>
        <w:t xml:space="preserve"> </w:t>
      </w:r>
      <w:r w:rsidRPr="00C925B2">
        <w:t>have allowed this level of systemic failure for so long</w:t>
      </w:r>
      <w:r>
        <w:t xml:space="preserve"> </w:t>
      </w:r>
      <w:r w:rsidRPr="00C925B2">
        <w:t>…</w:t>
      </w:r>
      <w:r>
        <w:t xml:space="preserve"> </w:t>
      </w:r>
      <w:r w:rsidRPr="00C925B2">
        <w:t>while promoting worn out policy approaches that have proved unworkable?</w:t>
      </w:r>
      <w:r>
        <w:t>’</w:t>
      </w:r>
      <w:r w:rsidRPr="00C925B2">
        <w:t xml:space="preserve"> (</w:t>
      </w:r>
      <w:r w:rsidRPr="00600E3A">
        <w:rPr>
          <w:i/>
        </w:rPr>
        <w:t>Beyond Humbug</w:t>
      </w:r>
      <w:r>
        <w:t>,</w:t>
      </w:r>
      <w:r w:rsidRPr="00C925B2">
        <w:t xml:space="preserve"> 2007)</w:t>
      </w:r>
    </w:p>
    <w:p w:rsidR="009E1844" w:rsidRDefault="002327A7" w:rsidP="008F2DB2">
      <w:pPr>
        <w:pStyle w:val="Heading2"/>
      </w:pPr>
      <w:r>
        <w:t>3.1</w:t>
      </w:r>
      <w:r>
        <w:tab/>
      </w:r>
      <w:r w:rsidR="008F2DB2" w:rsidRPr="008F2DB2">
        <w:t>The Indigenous policy experience 1960 to 2012</w:t>
      </w:r>
    </w:p>
    <w:p w:rsidR="008F2DB2" w:rsidRDefault="008F2DB2" w:rsidP="008F2DB2">
      <w:pPr>
        <w:pStyle w:val="BodyText"/>
      </w:pPr>
      <w:r>
        <w:t xml:space="preserve">A </w:t>
      </w:r>
      <w:r w:rsidR="00F93FD2">
        <w:t xml:space="preserve">20 </w:t>
      </w:r>
      <w:r w:rsidR="00052B18">
        <w:t xml:space="preserve">minute segment on a </w:t>
      </w:r>
      <w:r w:rsidR="00F93FD2">
        <w:t>52-</w:t>
      </w:r>
      <w:r>
        <w:t xml:space="preserve">year policy experience is a tall order. I have a broad sense of that period because I have been involved with Aboriginal people and their issues over the whole of that time. That involvement has, however, been in a range of roles — as a student, a lawyer, a politician and legislator, a </w:t>
      </w:r>
      <w:r w:rsidR="00F93FD2">
        <w:t>m</w:t>
      </w:r>
      <w:r>
        <w:t xml:space="preserve">inister, a researcher, a statutory officer, through a statutory corporation, and through involvement in NGOs. I remain involved because I know how much remains to be done if we are to do justice to Aboriginal and Torres Strait Islanders, many of whom remain the most socially and economically disadvantaged Australians. My involvement, however, </w:t>
      </w:r>
      <w:r>
        <w:lastRenderedPageBreak/>
        <w:t>has been more about assisting in doing things which seemed to need to be done, rather than the detached analysis in which many participants in this workshop excel. I acknowledge the contribution of scholars and analysts to my own understandings (for example</w:t>
      </w:r>
      <w:r w:rsidR="00F93FD2">
        <w:t>,</w:t>
      </w:r>
      <w:r>
        <w:t xml:space="preserve"> the work of John Taylor and many others in </w:t>
      </w:r>
      <w:r w:rsidR="00F93FD2">
        <w:t>the Centre for Aboriginal Economic Policy Research</w:t>
      </w:r>
      <w:r>
        <w:t>) and that of others actively involved over decades, who also have contributed by scholarship and analysis (for ex</w:t>
      </w:r>
      <w:r w:rsidR="00052B18">
        <w:t>ample</w:t>
      </w:r>
      <w:r w:rsidR="00F93FD2">
        <w:t>,</w:t>
      </w:r>
      <w:r w:rsidR="00052B18">
        <w:t xml:space="preserve"> Bill </w:t>
      </w:r>
      <w:proofErr w:type="spellStart"/>
      <w:r w:rsidR="00052B18">
        <w:t>Gray</w:t>
      </w:r>
      <w:proofErr w:type="spellEnd"/>
      <w:r w:rsidR="00052B18">
        <w:t xml:space="preserve">, Noel Pearson, </w:t>
      </w:r>
      <w:r>
        <w:t>Marcia Langton, Neil Westbury and Michael Dillon).</w:t>
      </w:r>
    </w:p>
    <w:p w:rsidR="008F2DB2" w:rsidRDefault="008F2DB2" w:rsidP="008F2DB2">
      <w:pPr>
        <w:pStyle w:val="BodyText"/>
      </w:pPr>
      <w:r>
        <w:t xml:space="preserve">It is impossible in the time available to comprehensively cover the complex policy and administrative changes </w:t>
      </w:r>
      <w:r w:rsidR="00121E19">
        <w:t xml:space="preserve">that </w:t>
      </w:r>
      <w:r>
        <w:t xml:space="preserve">have occurred. Given the subject matter of this workshop, my focus will be on the broad approaches to service delivery over that period. The passing references to important developments in the Indigenous rights area, such as </w:t>
      </w:r>
      <w:r w:rsidR="00F93FD2">
        <w:t>l</w:t>
      </w:r>
      <w:r>
        <w:t xml:space="preserve">and </w:t>
      </w:r>
      <w:r w:rsidR="00F93FD2">
        <w:t>r</w:t>
      </w:r>
      <w:r>
        <w:t xml:space="preserve">ights and native title, as well as major debates about </w:t>
      </w:r>
      <w:r w:rsidR="00F93FD2">
        <w:t>t</w:t>
      </w:r>
      <w:r>
        <w:t xml:space="preserve">reaty and </w:t>
      </w:r>
      <w:r w:rsidR="00F93FD2">
        <w:t>s</w:t>
      </w:r>
      <w:r>
        <w:t>overeignty</w:t>
      </w:r>
      <w:r w:rsidR="00F93FD2">
        <w:t>,</w:t>
      </w:r>
      <w:r>
        <w:t xml:space="preserve"> is not to suggest </w:t>
      </w:r>
      <w:r w:rsidR="00F93FD2">
        <w:t xml:space="preserve">that </w:t>
      </w:r>
      <w:r>
        <w:t xml:space="preserve">they are unimportant but that they do not directly go to the history of service delivery over that period. My own view is that the </w:t>
      </w:r>
      <w:r w:rsidR="00F93FD2">
        <w:t>Indigenous r</w:t>
      </w:r>
      <w:r>
        <w:t xml:space="preserve">ights issues are fundamentally important to the relationship between Australia and our first nations, and ultimately to outcomes. The High Court decision in </w:t>
      </w:r>
      <w:proofErr w:type="spellStart"/>
      <w:r w:rsidRPr="008F2DB2">
        <w:rPr>
          <w:i/>
        </w:rPr>
        <w:t>Mabo</w:t>
      </w:r>
      <w:proofErr w:type="spellEnd"/>
      <w:r>
        <w:t xml:space="preserve"> was the most significant shift in the balance of power between the settler society and Aboriginals and Torres Strait Islanders since 1788. That case has brought Aboriginal people to many tables, not as supplicants but as stakeholders. Importantly, it has also brought important economic players, particularly miners but other corporate interests as well, into the relationship. At their best, miners and other commercial entities have much to show government about evidence</w:t>
      </w:r>
      <w:r w:rsidR="00F93FD2">
        <w:t>-</w:t>
      </w:r>
      <w:r>
        <w:t>based approaches to policy and delivery, about the importance of and potential benefits from careful evaluation, about long</w:t>
      </w:r>
      <w:r w:rsidR="00F93FD2">
        <w:t>-</w:t>
      </w:r>
      <w:r>
        <w:t>term approaches to tackling wicked problems, about learning by doing and about genuinely working in respectful partnerships.</w:t>
      </w:r>
    </w:p>
    <w:p w:rsidR="008F2DB2" w:rsidRDefault="008F2DB2" w:rsidP="008F2DB2">
      <w:pPr>
        <w:pStyle w:val="BodyText"/>
      </w:pPr>
      <w:r>
        <w:t>Over the period since 1960, the past has become a foreign country. In our justified concern about present circumstances, we and, I think, Aboriginal people, often overlook where we have come from and what they have won.</w:t>
      </w:r>
    </w:p>
    <w:p w:rsidR="008F2DB2" w:rsidRDefault="008F2DB2" w:rsidP="008F2DB2">
      <w:pPr>
        <w:pStyle w:val="BodyText"/>
      </w:pPr>
      <w:r>
        <w:t xml:space="preserve">In 1960, Aboriginal people were mostly denied the vote, were not counted in the </w:t>
      </w:r>
      <w:r w:rsidR="00C16149">
        <w:t>Census</w:t>
      </w:r>
      <w:r>
        <w:t xml:space="preserve">, were still subject to extreme controls by bureaucrats, in some parts of Australia were confined to reserves or lived around our towns and cities in humpies and car bodies. Families were dismembered, not for reasons of welfare but for reasons of social engineering </w:t>
      </w:r>
      <w:r w:rsidR="00C16149">
        <w:t xml:space="preserve">that </w:t>
      </w:r>
      <w:r>
        <w:t>were fundamentally racist and wrong. The policy of assimilation was con</w:t>
      </w:r>
      <w:r w:rsidR="00516FBE">
        <w:t>temptuous of Aboriginal society;</w:t>
      </w:r>
      <w:r>
        <w:t xml:space="preserve"> Aboriginal people were sexually preyed on, were moved off their homes and lands without consultation or compensation whenever other interests wanted those lands, had little or no protection of their culturally significant sites and, to try to sum it up, must have been regarded as a subhuman species to justify their treatment.  </w:t>
      </w:r>
    </w:p>
    <w:p w:rsidR="00005528" w:rsidRDefault="008F2DB2" w:rsidP="008F2DB2">
      <w:pPr>
        <w:pStyle w:val="BodyText"/>
      </w:pPr>
      <w:r>
        <w:lastRenderedPageBreak/>
        <w:t xml:space="preserve">In our frequent despair at our failure over </w:t>
      </w:r>
      <w:r w:rsidR="00C16149">
        <w:t xml:space="preserve">50 </w:t>
      </w:r>
      <w:r>
        <w:t xml:space="preserve">years to get all the results </w:t>
      </w:r>
      <w:r w:rsidR="00C16149">
        <w:t xml:space="preserve">that </w:t>
      </w:r>
      <w:r>
        <w:t xml:space="preserve">Aboriginal people have asked for, and which governments often have wanted too, there has been much historical revisionism about the good old days before Whitlam, before self-management, before </w:t>
      </w:r>
      <w:proofErr w:type="spellStart"/>
      <w:r>
        <w:t>ATSIC</w:t>
      </w:r>
      <w:proofErr w:type="spellEnd"/>
      <w:r>
        <w:t xml:space="preserve">, before the do-gooders and socialists and indeed communists messed it up. I did not witness all of what were supposed to be the good old days, but what I did see was not good at all. When in 1960 I visited the reserves in the </w:t>
      </w:r>
      <w:r w:rsidR="00C6095C">
        <w:t>s</w:t>
      </w:r>
      <w:r>
        <w:t>outh-</w:t>
      </w:r>
      <w:r w:rsidR="00C6095C">
        <w:t>w</w:t>
      </w:r>
      <w:r>
        <w:t xml:space="preserve">est of Western Australia and the fringe camps around Perth, and when I saw a film of Papunya at the time the great art movement of the desert was taking off in the early </w:t>
      </w:r>
      <w:proofErr w:type="spellStart"/>
      <w:r>
        <w:t>1970s</w:t>
      </w:r>
      <w:proofErr w:type="spellEnd"/>
      <w:r>
        <w:t>, I saw the most degrading physical living conditions. There were few if any Aboriginal professionals</w:t>
      </w:r>
      <w:r w:rsidR="00C6095C">
        <w:t>.</w:t>
      </w:r>
      <w:r>
        <w:t xml:space="preserve"> Aboriginal people were not generally prominent</w:t>
      </w:r>
      <w:r w:rsidR="00C6095C">
        <w:t>,</w:t>
      </w:r>
      <w:r>
        <w:t xml:space="preserve"> whether in the arts, academia or sport, and they operated on the fringe of the economy. Overt racism was politically correct. In all those respects</w:t>
      </w:r>
      <w:r w:rsidR="00C6095C">
        <w:t>,</w:t>
      </w:r>
      <w:r>
        <w:t xml:space="preserve"> changes have been gradual but in a positive direction.</w:t>
      </w:r>
    </w:p>
    <w:p w:rsidR="008F2DB2" w:rsidRDefault="008F2DB2" w:rsidP="008F2DB2">
      <w:pPr>
        <w:pStyle w:val="BodyText"/>
      </w:pPr>
      <w:r>
        <w:t xml:space="preserve">When I visited the community of Carnarvon in 1979, people still were living in abandoned car bodies, as Aboriginal people lived in </w:t>
      </w:r>
      <w:r w:rsidR="00F673CA">
        <w:t>creek beds</w:t>
      </w:r>
      <w:r>
        <w:t xml:space="preserve"> and on rubbish dumps around the country. Now, mostly, Aboriginal people live in houses — albeit often overcrowded houses. And as for the pastoral idyll the revisionists talk about, yes there were some pastoralists with great relationships with the traditional owners of their leases living in bush camps near the homestead. But other traditional owners lived in squalor. </w:t>
      </w:r>
      <w:r w:rsidR="00C6095C">
        <w:t>‘</w:t>
      </w:r>
      <w:r>
        <w:t>They are like family</w:t>
      </w:r>
      <w:r w:rsidR="00C6095C">
        <w:t>’</w:t>
      </w:r>
      <w:r>
        <w:t xml:space="preserve">, I often was told by more positive pastoralists. But when a property was sold, that part of the family was usually left behind, even where there were children whose half brothers and sisters were leaving. And </w:t>
      </w:r>
      <w:r w:rsidR="00C34FA7">
        <w:t xml:space="preserve">after the equal wage case led to many traditional owners no longer working on cattle stations, </w:t>
      </w:r>
      <w:r>
        <w:t xml:space="preserve">few pastoralists </w:t>
      </w:r>
      <w:r w:rsidR="00C34FA7">
        <w:t>provided excised living areas for traditional owners (</w:t>
      </w:r>
      <w:r>
        <w:t>as the Emanuel family at Christmas Creek station in the Kimberley</w:t>
      </w:r>
      <w:r w:rsidR="00C34FA7" w:rsidRPr="00C34FA7">
        <w:t xml:space="preserve"> </w:t>
      </w:r>
      <w:r w:rsidR="00C34FA7">
        <w:t>did)</w:t>
      </w:r>
      <w:r>
        <w:t>.</w:t>
      </w:r>
    </w:p>
    <w:p w:rsidR="008F2DB2" w:rsidRDefault="008F2DB2" w:rsidP="008F2DB2">
      <w:pPr>
        <w:pStyle w:val="BodyText"/>
      </w:pPr>
      <w:r>
        <w:t>What has happened since 1960 is a succession of policy initiatives with successes and failures, often intermingled.</w:t>
      </w:r>
    </w:p>
    <w:p w:rsidR="008F2DB2" w:rsidRDefault="008F2DB2" w:rsidP="008F2DB2">
      <w:pPr>
        <w:pStyle w:val="BodyText"/>
      </w:pPr>
      <w:r>
        <w:t>The first change was the securing of a basic democratic right, the right to vote, in 1962</w:t>
      </w:r>
      <w:r w:rsidR="00C34FA7">
        <w:t>,</w:t>
      </w:r>
      <w:r>
        <w:t xml:space="preserve"> through Commonwealth legislation following a </w:t>
      </w:r>
      <w:r w:rsidR="00C6095C">
        <w:t>p</w:t>
      </w:r>
      <w:r>
        <w:t xml:space="preserve">arliamentary </w:t>
      </w:r>
      <w:r w:rsidR="00C6095C">
        <w:t>c</w:t>
      </w:r>
      <w:r>
        <w:t>ommittee enquiry.</w:t>
      </w:r>
    </w:p>
    <w:p w:rsidR="008F2DB2" w:rsidRDefault="008F2DB2" w:rsidP="008F2DB2">
      <w:pPr>
        <w:pStyle w:val="BodyText"/>
      </w:pPr>
      <w:r>
        <w:t>Then</w:t>
      </w:r>
      <w:r w:rsidR="00C34FA7">
        <w:t>,</w:t>
      </w:r>
      <w:r>
        <w:t xml:space="preserve"> after an excellent Aboriginal and </w:t>
      </w:r>
      <w:r w:rsidR="00C34FA7">
        <w:t xml:space="preserve">Torres Strait </w:t>
      </w:r>
      <w:r>
        <w:t>Islander led campaign</w:t>
      </w:r>
      <w:r w:rsidR="00C34FA7">
        <w:t>,</w:t>
      </w:r>
      <w:r>
        <w:t xml:space="preserve"> 90</w:t>
      </w:r>
      <w:r w:rsidR="00C34FA7">
        <w:t xml:space="preserve"> per cent</w:t>
      </w:r>
      <w:r>
        <w:t xml:space="preserve"> of Australians voted </w:t>
      </w:r>
      <w:r w:rsidR="00E40E2F">
        <w:t>‘</w:t>
      </w:r>
      <w:r>
        <w:t>yes</w:t>
      </w:r>
      <w:r w:rsidR="00E40E2F">
        <w:t>’</w:t>
      </w:r>
      <w:r>
        <w:t xml:space="preserve"> in the 1967 referendum to remove the provision that Aboriginal people were not to be counted in the </w:t>
      </w:r>
      <w:r w:rsidR="00C6095C">
        <w:t>Census</w:t>
      </w:r>
      <w:r w:rsidR="00C34FA7">
        <w:t>,</w:t>
      </w:r>
      <w:r>
        <w:t xml:space="preserve"> and to </w:t>
      </w:r>
      <w:r w:rsidR="00C34FA7">
        <w:t>give</w:t>
      </w:r>
      <w:r>
        <w:t xml:space="preserve"> the Commonwealth </w:t>
      </w:r>
      <w:r w:rsidR="00C34FA7">
        <w:t xml:space="preserve">power </w:t>
      </w:r>
      <w:r>
        <w:t xml:space="preserve">to legislate </w:t>
      </w:r>
      <w:r w:rsidR="00C34FA7">
        <w:t xml:space="preserve">with respect to Aboriginal people. </w:t>
      </w:r>
      <w:r>
        <w:t>This was an unprecedented level of support for a referendum</w:t>
      </w:r>
      <w:r w:rsidR="00C34FA7">
        <w:t>,</w:t>
      </w:r>
      <w:r>
        <w:t xml:space="preserve"> and its significance is as much symbolic as real</w:t>
      </w:r>
      <w:r w:rsidR="00C34FA7">
        <w:t xml:space="preserve"> — </w:t>
      </w:r>
      <w:r>
        <w:t xml:space="preserve">it is widely credited among Aboriginal people I have met with admission to </w:t>
      </w:r>
      <w:r w:rsidR="00C34FA7">
        <w:t xml:space="preserve">full </w:t>
      </w:r>
      <w:r>
        <w:t>citizenship.</w:t>
      </w:r>
    </w:p>
    <w:p w:rsidR="008F2DB2" w:rsidRDefault="008F2DB2" w:rsidP="008F2DB2">
      <w:pPr>
        <w:pStyle w:val="BodyText"/>
      </w:pPr>
      <w:r>
        <w:lastRenderedPageBreak/>
        <w:t>In 1964</w:t>
      </w:r>
      <w:r w:rsidR="00C34FA7">
        <w:t>,</w:t>
      </w:r>
      <w:r>
        <w:t xml:space="preserve"> the North Australia</w:t>
      </w:r>
      <w:r w:rsidR="00ED10D2">
        <w:t>n</w:t>
      </w:r>
      <w:r>
        <w:t xml:space="preserve"> Workers </w:t>
      </w:r>
      <w:r w:rsidR="00C34FA7">
        <w:t>U</w:t>
      </w:r>
      <w:r>
        <w:t>nion began the campaign for equal wages fo</w:t>
      </w:r>
      <w:r w:rsidR="00C34FA7">
        <w:t xml:space="preserve">r Aboriginal pastoral workers. </w:t>
      </w:r>
      <w:r>
        <w:t>The Conciliation and Arbitration Commission heard the case</w:t>
      </w:r>
      <w:r w:rsidR="00C34FA7">
        <w:t>,</w:t>
      </w:r>
      <w:r>
        <w:t xml:space="preserve"> and its ruling on equal wages came into force </w:t>
      </w:r>
      <w:r w:rsidR="00C34FA7">
        <w:t xml:space="preserve">in 1968. </w:t>
      </w:r>
      <w:r w:rsidR="00E40E2F">
        <w:t xml:space="preserve">The (probably) unintended </w:t>
      </w:r>
      <w:r>
        <w:t>cons</w:t>
      </w:r>
      <w:r w:rsidR="00C34FA7">
        <w:t>equences of that decision (</w:t>
      </w:r>
      <w:r>
        <w:t>the ejection of many communities from their traditional lands and their subsequent social and economic degradation in desert towns</w:t>
      </w:r>
      <w:r w:rsidR="00C34FA7">
        <w:t>), le</w:t>
      </w:r>
      <w:r>
        <w:t xml:space="preserve">d to the later </w:t>
      </w:r>
      <w:r w:rsidR="00C34FA7">
        <w:t xml:space="preserve">government </w:t>
      </w:r>
      <w:r>
        <w:t>decisions to purchase leases to enable th</w:t>
      </w:r>
      <w:r w:rsidR="00C34FA7">
        <w:t xml:space="preserve">e return of people to country. </w:t>
      </w:r>
      <w:r>
        <w:t xml:space="preserve">Current enthusiasts for emptying the </w:t>
      </w:r>
      <w:r w:rsidR="00C6095C">
        <w:t>‘</w:t>
      </w:r>
      <w:r>
        <w:t>cultural ghettoes</w:t>
      </w:r>
      <w:r w:rsidR="00C6095C">
        <w:t>’</w:t>
      </w:r>
      <w:r>
        <w:t xml:space="preserve"> of the remote communities might usefully answer the question </w:t>
      </w:r>
      <w:r w:rsidR="00C6095C">
        <w:t>‘</w:t>
      </w:r>
      <w:r>
        <w:t xml:space="preserve">where </w:t>
      </w:r>
      <w:r w:rsidR="00C34FA7">
        <w:t>should these people</w:t>
      </w:r>
      <w:r>
        <w:t xml:space="preserve"> go</w:t>
      </w:r>
      <w:r w:rsidR="00C34FA7">
        <w:t>,</w:t>
      </w:r>
      <w:r>
        <w:t xml:space="preserve"> to do what?</w:t>
      </w:r>
      <w:r w:rsidR="00C6095C">
        <w:t>’</w:t>
      </w:r>
    </w:p>
    <w:p w:rsidR="008F2DB2" w:rsidRDefault="008F2DB2" w:rsidP="008F2DB2">
      <w:pPr>
        <w:pStyle w:val="BodyText"/>
      </w:pPr>
      <w:r>
        <w:t xml:space="preserve">Aboriginal </w:t>
      </w:r>
      <w:r w:rsidR="00C34FA7">
        <w:t>a</w:t>
      </w:r>
      <w:r>
        <w:t>ffairs policy became more complex and contentious after 1967</w:t>
      </w:r>
      <w:r w:rsidR="00C34FA7">
        <w:t>,</w:t>
      </w:r>
      <w:r>
        <w:t xml:space="preserve"> with the emergenc</w:t>
      </w:r>
      <w:r w:rsidR="00C34FA7">
        <w:t xml:space="preserve">e of the Land Rights movement. </w:t>
      </w:r>
      <w:r>
        <w:t>This was a claim for rights peculiar to Aboriginal people and roused mi</w:t>
      </w:r>
      <w:r w:rsidR="00C34FA7">
        <w:t>sgiving in the breasts of many.</w:t>
      </w:r>
      <w:r w:rsidR="00E40E2F">
        <w:t xml:space="preserve"> ‘</w:t>
      </w:r>
      <w:r>
        <w:t>We are all equal and Aboriginals should not ha</w:t>
      </w:r>
      <w:r w:rsidR="00E40E2F">
        <w:t>ve special rights’ was the negative argument</w:t>
      </w:r>
      <w:r w:rsidR="00FD2D6C">
        <w:t>;</w:t>
      </w:r>
      <w:r w:rsidR="00E40E2F">
        <w:t xml:space="preserve"> ‘</w:t>
      </w:r>
      <w:r w:rsidR="00005528">
        <w:t xml:space="preserve">They </w:t>
      </w:r>
      <w:r>
        <w:t>should not have</w:t>
      </w:r>
      <w:r w:rsidR="00E40E2F">
        <w:t xml:space="preserve"> what we can’t have’</w:t>
      </w:r>
      <w:r w:rsidR="00C34FA7">
        <w:t xml:space="preserve">. </w:t>
      </w:r>
      <w:r>
        <w:t>This argument was particularly strongly articulated by people who</w:t>
      </w:r>
      <w:r w:rsidR="00C34FA7">
        <w:t>,</w:t>
      </w:r>
      <w:r>
        <w:t xml:space="preserve"> in the past</w:t>
      </w:r>
      <w:r w:rsidR="00C34FA7">
        <w:t>,</w:t>
      </w:r>
      <w:r>
        <w:t xml:space="preserve"> had been unconcerne</w:t>
      </w:r>
      <w:r w:rsidR="00C34FA7">
        <w:t xml:space="preserve">d about Aboriginal inequality. </w:t>
      </w:r>
      <w:r>
        <w:t>Queensland and Western Australia were particularly strident about this issue.</w:t>
      </w:r>
    </w:p>
    <w:p w:rsidR="008F2DB2" w:rsidRDefault="008F2DB2" w:rsidP="008F2DB2">
      <w:pPr>
        <w:pStyle w:val="BodyText"/>
      </w:pPr>
      <w:r>
        <w:t xml:space="preserve">The failed Gove </w:t>
      </w:r>
      <w:r w:rsidR="00FD2D6C">
        <w:t>l</w:t>
      </w:r>
      <w:r>
        <w:t xml:space="preserve">and </w:t>
      </w:r>
      <w:r w:rsidR="00FD2D6C">
        <w:t xml:space="preserve">rights </w:t>
      </w:r>
      <w:r>
        <w:t>case in 1971 put to bed for the time being the use of the courts t</w:t>
      </w:r>
      <w:r w:rsidR="00C34FA7">
        <w:t>o assert native rights to land.</w:t>
      </w:r>
      <w:r>
        <w:t xml:space="preserve"> The careful judgment of </w:t>
      </w:r>
      <w:r w:rsidR="00C34FA7">
        <w:t xml:space="preserve">Justice </w:t>
      </w:r>
      <w:r>
        <w:t>Blackburn</w:t>
      </w:r>
      <w:r w:rsidR="00C34FA7">
        <w:t xml:space="preserve">, </w:t>
      </w:r>
      <w:r>
        <w:t>however</w:t>
      </w:r>
      <w:r w:rsidR="00C34FA7">
        <w:t>,</w:t>
      </w:r>
      <w:r>
        <w:t xml:space="preserve"> articulated the basis of rights to land under Aboriginal law</w:t>
      </w:r>
      <w:r w:rsidR="00C34FA7">
        <w:t>,</w:t>
      </w:r>
      <w:r>
        <w:t xml:space="preserve"> which he described as a government of laws and not of m</w:t>
      </w:r>
      <w:r w:rsidR="00C34FA7">
        <w:t>en.</w:t>
      </w:r>
      <w:r>
        <w:t xml:space="preserve"> His judgment articulated what needed to be delivered politically</w:t>
      </w:r>
      <w:r w:rsidR="00C34FA7">
        <w:t>,</w:t>
      </w:r>
      <w:r>
        <w:t xml:space="preserve"> as judicial precedent was thought at that time to preclude common law recognition</w:t>
      </w:r>
      <w:r w:rsidR="00C34FA7">
        <w:t xml:space="preserve"> of Aboriginal land rights</w:t>
      </w:r>
      <w:r>
        <w:t xml:space="preserve">. </w:t>
      </w:r>
    </w:p>
    <w:p w:rsidR="008F2DB2" w:rsidRDefault="008F2DB2" w:rsidP="008F2DB2">
      <w:pPr>
        <w:pStyle w:val="BodyText"/>
      </w:pPr>
      <w:r>
        <w:t xml:space="preserve">Until </w:t>
      </w:r>
      <w:r w:rsidR="002B0731">
        <w:t xml:space="preserve">the </w:t>
      </w:r>
      <w:proofErr w:type="spellStart"/>
      <w:r w:rsidR="002B0731">
        <w:t>1970s</w:t>
      </w:r>
      <w:proofErr w:type="spellEnd"/>
      <w:r w:rsidR="002B0731">
        <w:t>, much</w:t>
      </w:r>
      <w:r>
        <w:t xml:space="preserve"> policy was based on the idea that Aboriginal Australians would gradually be absorbed into the gene</w:t>
      </w:r>
      <w:r w:rsidR="00415418">
        <w:t>ral population,</w:t>
      </w:r>
      <w:r>
        <w:t xml:space="preserve"> although there was little interest in attending to the social and economic barriers to full participation in Australian society.</w:t>
      </w:r>
    </w:p>
    <w:p w:rsidR="008F2DB2" w:rsidRDefault="008F2DB2" w:rsidP="008F2DB2">
      <w:pPr>
        <w:pStyle w:val="BodyText"/>
      </w:pPr>
      <w:r>
        <w:t>In tracing this history</w:t>
      </w:r>
      <w:r w:rsidR="002B0731">
        <w:t>,</w:t>
      </w:r>
      <w:r>
        <w:t xml:space="preserve"> it is worth noting that </w:t>
      </w:r>
      <w:r w:rsidR="002B0731">
        <w:t>‘</w:t>
      </w:r>
      <w:r>
        <w:t>post-assimilation</w:t>
      </w:r>
      <w:r w:rsidR="002B0731">
        <w:t>’</w:t>
      </w:r>
      <w:r>
        <w:t xml:space="preserve"> policy did not begin with Whitlam. Prime Minister McMahon’s Australia Day speech in 1972 stepped away fr</w:t>
      </w:r>
      <w:r w:rsidR="002B0731">
        <w:t xml:space="preserve">om the policy of assimilation. </w:t>
      </w:r>
      <w:r>
        <w:t xml:space="preserve">The </w:t>
      </w:r>
      <w:r w:rsidR="00FD2D6C">
        <w:t xml:space="preserve">Budget </w:t>
      </w:r>
      <w:r>
        <w:t xml:space="preserve">speech in 1972 of the first Commonwealth Minister for Aboriginal Affairs, Peter </w:t>
      </w:r>
      <w:proofErr w:type="spellStart"/>
      <w:r>
        <w:t>Howson</w:t>
      </w:r>
      <w:proofErr w:type="spellEnd"/>
      <w:r>
        <w:t>, describe</w:t>
      </w:r>
      <w:r w:rsidR="00005528">
        <w:t>d</w:t>
      </w:r>
      <w:r>
        <w:t xml:space="preserve"> provision </w:t>
      </w:r>
      <w:r w:rsidR="002B0731">
        <w:t xml:space="preserve">for the first time </w:t>
      </w:r>
      <w:r>
        <w:t xml:space="preserve">of </w:t>
      </w:r>
      <w:r w:rsidR="00FD2D6C">
        <w:t>f</w:t>
      </w:r>
      <w:r>
        <w:t>ederal funds for land purchase, cultural organi</w:t>
      </w:r>
      <w:r w:rsidR="00FD2D6C">
        <w:t>s</w:t>
      </w:r>
      <w:r>
        <w:t>ations and Aborigina</w:t>
      </w:r>
      <w:r w:rsidR="002B0731">
        <w:t>l medical and legal services.</w:t>
      </w:r>
      <w:r w:rsidR="007D2579">
        <w:rPr>
          <w:rStyle w:val="FootnoteReference"/>
        </w:rPr>
        <w:footnoteReference w:id="2"/>
      </w:r>
      <w:r w:rsidR="002B0731">
        <w:t xml:space="preserve"> </w:t>
      </w:r>
      <w:r>
        <w:t>Under the i</w:t>
      </w:r>
      <w:r w:rsidR="002B0731">
        <w:t xml:space="preserve">nfluence of government advisers including </w:t>
      </w:r>
      <w:r>
        <w:t>Nugget Co</w:t>
      </w:r>
      <w:r w:rsidR="00ED10D2">
        <w:t>o</w:t>
      </w:r>
      <w:r>
        <w:t xml:space="preserve">mbs, Professor </w:t>
      </w:r>
      <w:proofErr w:type="spellStart"/>
      <w:r>
        <w:t>Stanner</w:t>
      </w:r>
      <w:proofErr w:type="spellEnd"/>
      <w:r>
        <w:t xml:space="preserve"> and Barr</w:t>
      </w:r>
      <w:r w:rsidR="00ED10D2">
        <w:t>ie</w:t>
      </w:r>
      <w:r>
        <w:t xml:space="preserve"> Dexter, new policy </w:t>
      </w:r>
      <w:r>
        <w:lastRenderedPageBreak/>
        <w:t>approaches saw active Aboriginal participation as essential to improving Aboriginal circumstances</w:t>
      </w:r>
      <w:r w:rsidR="002B0731">
        <w:t xml:space="preserve">. </w:t>
      </w:r>
      <w:r>
        <w:t xml:space="preserve">We now </w:t>
      </w:r>
      <w:r w:rsidR="002B0731">
        <w:t xml:space="preserve">have </w:t>
      </w:r>
      <w:r>
        <w:t xml:space="preserve">had 40 </w:t>
      </w:r>
      <w:proofErr w:type="spellStart"/>
      <w:r>
        <w:t>years experience</w:t>
      </w:r>
      <w:proofErr w:type="spellEnd"/>
      <w:r>
        <w:t xml:space="preserve"> of admittedly spasmodic application of that idea</w:t>
      </w:r>
      <w:r w:rsidR="002B0731">
        <w:t>,</w:t>
      </w:r>
      <w:r>
        <w:t xml:space="preserve"> and have learn</w:t>
      </w:r>
      <w:r w:rsidR="002B0731">
        <w:t xml:space="preserve">ed a lot about its importance. </w:t>
      </w:r>
      <w:r>
        <w:t>We seem to have been less successful in learning how to apply our knowledge</w:t>
      </w:r>
      <w:r w:rsidR="00FD2D6C">
        <w:t>;</w:t>
      </w:r>
      <w:r>
        <w:t xml:space="preserve"> a matter </w:t>
      </w:r>
      <w:r w:rsidR="001C15CC">
        <w:t xml:space="preserve">that </w:t>
      </w:r>
      <w:r>
        <w:t xml:space="preserve">should be of central concern to this workshop. </w:t>
      </w:r>
    </w:p>
    <w:p w:rsidR="008F2DB2" w:rsidRDefault="002B0731" w:rsidP="008F2DB2">
      <w:pPr>
        <w:pStyle w:val="BodyText"/>
      </w:pPr>
      <w:r>
        <w:t>In most areas of social policy, t</w:t>
      </w:r>
      <w:r w:rsidR="008F2DB2">
        <w:t>he Whitlam period was a time of frantic policymaking</w:t>
      </w:r>
      <w:r>
        <w:t>,</w:t>
      </w:r>
      <w:r w:rsidR="008F2DB2">
        <w:t xml:space="preserve"> with enthusiasm more evident tha</w:t>
      </w:r>
      <w:r>
        <w:t xml:space="preserve">n competent administration. </w:t>
      </w:r>
      <w:r w:rsidR="008F2DB2">
        <w:t xml:space="preserve">There were three Aboriginal </w:t>
      </w:r>
      <w:r w:rsidR="00005528">
        <w:t>a</w:t>
      </w:r>
      <w:r w:rsidR="008F2DB2">
        <w:t>ff</w:t>
      </w:r>
      <w:r>
        <w:t xml:space="preserve">airs </w:t>
      </w:r>
      <w:r w:rsidR="00FD2D6C">
        <w:t>m</w:t>
      </w:r>
      <w:r>
        <w:t xml:space="preserve">inisters in three years. </w:t>
      </w:r>
      <w:r w:rsidR="008F2DB2">
        <w:t xml:space="preserve">The idea that Aboriginal people should be given responsibility for their own affairs was accompanied by what Dillon and Westbury described as </w:t>
      </w:r>
      <w:r w:rsidR="00C6095C">
        <w:t>‘</w:t>
      </w:r>
      <w:r w:rsidR="008F2DB2">
        <w:t>the removal of the footprint of government</w:t>
      </w:r>
      <w:r w:rsidR="00C6095C">
        <w:t>’</w:t>
      </w:r>
      <w:r>
        <w:t xml:space="preserve"> (</w:t>
      </w:r>
      <w:r w:rsidR="00C612D3">
        <w:t>2007,</w:t>
      </w:r>
      <w:r>
        <w:t xml:space="preserve"> p</w:t>
      </w:r>
      <w:r w:rsidR="007D2579">
        <w:t>. </w:t>
      </w:r>
      <w:proofErr w:type="spellStart"/>
      <w:r>
        <w:t>208ff</w:t>
      </w:r>
      <w:proofErr w:type="spellEnd"/>
      <w:r w:rsidR="00FD2D6C">
        <w:t>.</w:t>
      </w:r>
      <w:r>
        <w:t>).</w:t>
      </w:r>
      <w:r w:rsidR="008F2DB2">
        <w:t xml:space="preserve"> As has been the case ever since </w:t>
      </w:r>
      <w:r>
        <w:t>(</w:t>
      </w:r>
      <w:r w:rsidR="008F2DB2">
        <w:t>to greater and lesser degrees</w:t>
      </w:r>
      <w:r>
        <w:t>)</w:t>
      </w:r>
      <w:r w:rsidR="008F2DB2">
        <w:t xml:space="preserve"> the gap between good intentions and execution was wide.</w:t>
      </w:r>
    </w:p>
    <w:p w:rsidR="008F2DB2" w:rsidRDefault="008F2DB2" w:rsidP="008F2DB2">
      <w:pPr>
        <w:pStyle w:val="BodyText"/>
      </w:pPr>
      <w:r>
        <w:t xml:space="preserve">Two achievements of the Whitlam period </w:t>
      </w:r>
      <w:r w:rsidR="002B0731">
        <w:t xml:space="preserve">stand out as having </w:t>
      </w:r>
      <w:r>
        <w:t>long</w:t>
      </w:r>
      <w:r w:rsidR="001C15CC">
        <w:t>-</w:t>
      </w:r>
      <w:r>
        <w:t>term impact</w:t>
      </w:r>
      <w:r w:rsidR="002B0731">
        <w:t xml:space="preserve"> — </w:t>
      </w:r>
      <w:r>
        <w:t xml:space="preserve">the passage of the </w:t>
      </w:r>
      <w:r w:rsidRPr="002B0731">
        <w:rPr>
          <w:i/>
        </w:rPr>
        <w:t>Racial Discrimination Act 1975</w:t>
      </w:r>
      <w:r>
        <w:t xml:space="preserve"> and the introduction of </w:t>
      </w:r>
      <w:r w:rsidR="002B0731">
        <w:t>l</w:t>
      </w:r>
      <w:r>
        <w:t xml:space="preserve">and </w:t>
      </w:r>
      <w:r w:rsidR="002B0731">
        <w:t>r</w:t>
      </w:r>
      <w:r>
        <w:t xml:space="preserve">ights legislation for the Northern Territory. </w:t>
      </w:r>
    </w:p>
    <w:p w:rsidR="008F2DB2" w:rsidRDefault="008F2DB2" w:rsidP="008F2DB2">
      <w:pPr>
        <w:pStyle w:val="BodyText"/>
      </w:pPr>
      <w:r>
        <w:t>Whitlam appointed the Woodward Commission in 1973 to advise</w:t>
      </w:r>
      <w:r w:rsidR="002B0731">
        <w:t>,</w:t>
      </w:r>
      <w:r>
        <w:t xml:space="preserve"> not on the desirability of </w:t>
      </w:r>
      <w:r w:rsidR="002B0731">
        <w:t>l</w:t>
      </w:r>
      <w:r>
        <w:t xml:space="preserve">and </w:t>
      </w:r>
      <w:r w:rsidR="002B0731">
        <w:t>r</w:t>
      </w:r>
      <w:r>
        <w:t>ights in the Northern Territory</w:t>
      </w:r>
      <w:r w:rsidR="002B0731">
        <w:t>,</w:t>
      </w:r>
      <w:r>
        <w:t xml:space="preserve"> but on how to grant </w:t>
      </w:r>
      <w:r w:rsidR="002B0731">
        <w:t xml:space="preserve">them. </w:t>
      </w:r>
      <w:r>
        <w:t>Two reports later</w:t>
      </w:r>
      <w:r w:rsidR="002B0731">
        <w:t>,</w:t>
      </w:r>
      <w:r>
        <w:t xml:space="preserve"> the Government and the Opposition endorsed the Woodward approach, and Whitlam introduced legislation in 1975. The legislation was still in the Parliament at the time of the dismissal but was reintroduced by Fraser with some limited changes but with a wider </w:t>
      </w:r>
      <w:r w:rsidR="002B0731">
        <w:t>reach over the pastoral estate.</w:t>
      </w:r>
      <w:r>
        <w:t xml:space="preserve"> It was passed in 1976</w:t>
      </w:r>
      <w:r w:rsidR="002B0731">
        <w:t>,</w:t>
      </w:r>
      <w:r>
        <w:t xml:space="preserve"> and about half the N</w:t>
      </w:r>
      <w:r w:rsidR="00261B40">
        <w:t xml:space="preserve">orthern </w:t>
      </w:r>
      <w:r>
        <w:t>T</w:t>
      </w:r>
      <w:r w:rsidR="00261B40">
        <w:t>erritory</w:t>
      </w:r>
      <w:r>
        <w:t xml:space="preserve"> is now </w:t>
      </w:r>
      <w:r w:rsidR="002B0731">
        <w:t xml:space="preserve">held by Aboriginal people </w:t>
      </w:r>
      <w:r>
        <w:t>under perpetual inalienable freehold title.</w:t>
      </w:r>
    </w:p>
    <w:p w:rsidR="008F2DB2" w:rsidRDefault="00C654E4" w:rsidP="008F2DB2">
      <w:pPr>
        <w:pStyle w:val="BodyText"/>
      </w:pPr>
      <w:r>
        <w:t>D</w:t>
      </w:r>
      <w:r w:rsidR="008F2DB2">
        <w:t xml:space="preserve">iscontinuities of policy are </w:t>
      </w:r>
      <w:r>
        <w:t xml:space="preserve">often </w:t>
      </w:r>
      <w:r w:rsidR="008F2DB2">
        <w:t>a contributing cause of failure</w:t>
      </w:r>
      <w:r>
        <w:t xml:space="preserve">. However, </w:t>
      </w:r>
      <w:r w:rsidR="008F2DB2">
        <w:t xml:space="preserve">there were substantial continuities of Aboriginal </w:t>
      </w:r>
      <w:r w:rsidR="00261B40">
        <w:t>a</w:t>
      </w:r>
      <w:r w:rsidR="008F2DB2">
        <w:t>ffairs policy at the Commonw</w:t>
      </w:r>
      <w:r>
        <w:t xml:space="preserve">ealth level from 1972 to 1983. </w:t>
      </w:r>
      <w:r w:rsidR="008F2DB2">
        <w:t>Whatever the skirmishes politically</w:t>
      </w:r>
      <w:r>
        <w:t>,</w:t>
      </w:r>
      <w:r w:rsidR="008F2DB2">
        <w:t xml:space="preserve"> there was bipartisan support for funding Aboriginal corporations to deliver policies across a range of areas, such as health, legal services, </w:t>
      </w:r>
      <w:r w:rsidR="0002032B">
        <w:t>children’s</w:t>
      </w:r>
      <w:r w:rsidR="008F2DB2">
        <w:t xml:space="preserve"> services, land purchase for social</w:t>
      </w:r>
      <w:r>
        <w:t>,</w:t>
      </w:r>
      <w:r w:rsidR="008F2DB2">
        <w:t xml:space="preserve"> cultural and economic purposes, and encouraging States to legislate for </w:t>
      </w:r>
      <w:r w:rsidR="00261B40">
        <w:t>l</w:t>
      </w:r>
      <w:r w:rsidR="008F2DB2">
        <w:t xml:space="preserve">and </w:t>
      </w:r>
      <w:r w:rsidR="00261B40">
        <w:t>r</w:t>
      </w:r>
      <w:r w:rsidR="008F2DB2">
        <w:t>ights within t</w:t>
      </w:r>
      <w:r>
        <w:t xml:space="preserve">heir respective jurisdictions. </w:t>
      </w:r>
      <w:r w:rsidR="008F2DB2">
        <w:t>There were</w:t>
      </w:r>
      <w:r>
        <w:t>,</w:t>
      </w:r>
      <w:r w:rsidR="008F2DB2">
        <w:t xml:space="preserve"> however</w:t>
      </w:r>
      <w:r>
        <w:t>,</w:t>
      </w:r>
      <w:r w:rsidR="008F2DB2">
        <w:t xml:space="preserve"> very different approaches in some States</w:t>
      </w:r>
      <w:r>
        <w:t>,</w:t>
      </w:r>
      <w:r w:rsidR="008F2DB2">
        <w:t xml:space="preserve"> with oppos</w:t>
      </w:r>
      <w:r w:rsidR="0002032B">
        <w:t>ition to notions of self-</w:t>
      </w:r>
      <w:r w:rsidR="008F2DB2">
        <w:t xml:space="preserve">management </w:t>
      </w:r>
      <w:r>
        <w:t>(</w:t>
      </w:r>
      <w:r w:rsidR="008F2DB2">
        <w:t xml:space="preserve">as </w:t>
      </w:r>
      <w:r>
        <w:t>opposed to</w:t>
      </w:r>
      <w:r w:rsidR="008F2DB2">
        <w:t xml:space="preserve"> approaches based on bureaucratic controls</w:t>
      </w:r>
      <w:r>
        <w:t>)</w:t>
      </w:r>
      <w:r w:rsidR="008F2DB2">
        <w:t xml:space="preserve"> and violent opposition to </w:t>
      </w:r>
      <w:r>
        <w:t>l</w:t>
      </w:r>
      <w:r w:rsidR="008F2DB2">
        <w:t xml:space="preserve">and </w:t>
      </w:r>
      <w:r>
        <w:t>r</w:t>
      </w:r>
      <w:r w:rsidR="008F2DB2">
        <w:t>ights in Que</w:t>
      </w:r>
      <w:r>
        <w:t xml:space="preserve">ensland and Western Australia. </w:t>
      </w:r>
      <w:r w:rsidR="008F2DB2">
        <w:t>There was also a view in some States that anything to do with Aboriginals was the responsibility of the Commonwealth</w:t>
      </w:r>
      <w:r>
        <w:t>;</w:t>
      </w:r>
      <w:r w:rsidR="008F2DB2">
        <w:t xml:space="preserve"> for example</w:t>
      </w:r>
      <w:r>
        <w:t>,</w:t>
      </w:r>
      <w:r w:rsidR="008F2DB2">
        <w:t xml:space="preserve"> </w:t>
      </w:r>
      <w:r w:rsidR="001C15CC">
        <w:t xml:space="preserve">Aboriginal housing in </w:t>
      </w:r>
      <w:r w:rsidR="008F2DB2">
        <w:t>Victoria</w:t>
      </w:r>
      <w:r>
        <w:t xml:space="preserve">. </w:t>
      </w:r>
      <w:r w:rsidR="008F2DB2">
        <w:t>This was notwithstanding the Commonwealth position that Aboriginal</w:t>
      </w:r>
      <w:r>
        <w:t xml:space="preserve"> Australian</w:t>
      </w:r>
      <w:r w:rsidR="008F2DB2">
        <w:t>s had normal citizenship</w:t>
      </w:r>
      <w:r>
        <w:t xml:space="preserve"> entitlements from the States. </w:t>
      </w:r>
      <w:r w:rsidR="008F2DB2">
        <w:t>From time to time</w:t>
      </w:r>
      <w:r>
        <w:t>,</w:t>
      </w:r>
      <w:r w:rsidR="008F2DB2">
        <w:t xml:space="preserve"> the Commonwealth asserted its position by making </w:t>
      </w:r>
      <w:r w:rsidR="00261B40">
        <w:t>s</w:t>
      </w:r>
      <w:r w:rsidR="008F2DB2">
        <w:t xml:space="preserve">tate grants subject to conditions </w:t>
      </w:r>
      <w:r w:rsidR="008F2DB2">
        <w:lastRenderedPageBreak/>
        <w:t xml:space="preserve">requiring a fixed proportion of expenditure to be directed to </w:t>
      </w:r>
      <w:r>
        <w:t xml:space="preserve">services for </w:t>
      </w:r>
      <w:r w:rsidR="008F2DB2">
        <w:t>Aboriginal people.</w:t>
      </w:r>
    </w:p>
    <w:p w:rsidR="008F2DB2" w:rsidRDefault="008F2DB2" w:rsidP="008F2DB2">
      <w:pPr>
        <w:pStyle w:val="BodyText"/>
      </w:pPr>
      <w:r>
        <w:t>During this period</w:t>
      </w:r>
      <w:r w:rsidR="00C654E4">
        <w:t>,</w:t>
      </w:r>
      <w:r>
        <w:t xml:space="preserve"> the Commonwealth also supported a number of representative structures to provide a national Aboriginal voice</w:t>
      </w:r>
      <w:r w:rsidR="00C654E4">
        <w:t>; for example</w:t>
      </w:r>
      <w:r>
        <w:t xml:space="preserve">, Whitlam </w:t>
      </w:r>
      <w:r w:rsidR="00C654E4">
        <w:t xml:space="preserve">with </w:t>
      </w:r>
      <w:r>
        <w:t xml:space="preserve">the </w:t>
      </w:r>
      <w:r w:rsidR="00C654E4">
        <w:t>National Aboriginal Consultative Committee and</w:t>
      </w:r>
      <w:r>
        <w:t xml:space="preserve"> Fraser </w:t>
      </w:r>
      <w:r w:rsidR="00C654E4">
        <w:t xml:space="preserve">with </w:t>
      </w:r>
      <w:r>
        <w:t xml:space="preserve">the </w:t>
      </w:r>
      <w:r w:rsidR="00C654E4">
        <w:t>National Aboriginal Conference</w:t>
      </w:r>
      <w:r>
        <w:t>. Neither of these bodies ha</w:t>
      </w:r>
      <w:r w:rsidR="00C654E4">
        <w:t>d</w:t>
      </w:r>
      <w:r>
        <w:t xml:space="preserve"> executive functions and were subject to criticism on various grounds</w:t>
      </w:r>
      <w:r w:rsidR="00C654E4">
        <w:t>,</w:t>
      </w:r>
      <w:r>
        <w:t xml:space="preserve"> although my personal experience as a </w:t>
      </w:r>
      <w:r w:rsidR="00C374D9">
        <w:t>m</w:t>
      </w:r>
      <w:r>
        <w:t xml:space="preserve">inister was that they held the Government and the </w:t>
      </w:r>
      <w:r w:rsidR="00C374D9">
        <w:t>m</w:t>
      </w:r>
      <w:r>
        <w:t>inister to account in the court of public opinion to good effect</w:t>
      </w:r>
      <w:r w:rsidR="00C654E4">
        <w:t>,</w:t>
      </w:r>
      <w:r>
        <w:t xml:space="preserve"> and I found their counsel and advice invaluable </w:t>
      </w:r>
      <w:r w:rsidR="00C654E4">
        <w:t xml:space="preserve">— </w:t>
      </w:r>
      <w:r>
        <w:t xml:space="preserve">even though they went international in their complaints about our failings as a </w:t>
      </w:r>
      <w:r w:rsidR="00C374D9">
        <w:t>g</w:t>
      </w:r>
      <w:r>
        <w:t xml:space="preserve">overnment.  </w:t>
      </w:r>
    </w:p>
    <w:p w:rsidR="008F2DB2" w:rsidRDefault="008F2DB2" w:rsidP="008F2DB2">
      <w:pPr>
        <w:pStyle w:val="BodyText"/>
      </w:pPr>
      <w:r>
        <w:t>In 1977</w:t>
      </w:r>
      <w:r w:rsidR="00C654E4">
        <w:t>,</w:t>
      </w:r>
      <w:r>
        <w:t xml:space="preserve"> the C</w:t>
      </w:r>
      <w:r w:rsidR="00C654E4">
        <w:t>ommunity Development Employment (</w:t>
      </w:r>
      <w:proofErr w:type="spellStart"/>
      <w:r w:rsidR="00C654E4">
        <w:t>C</w:t>
      </w:r>
      <w:r>
        <w:t>DEP</w:t>
      </w:r>
      <w:proofErr w:type="spellEnd"/>
      <w:r w:rsidR="00C654E4">
        <w:t>)</w:t>
      </w:r>
      <w:r>
        <w:t xml:space="preserve"> scheme was introduced by Ian Viner as a response to Aboriginal concerns that welfare payments wer</w:t>
      </w:r>
      <w:r w:rsidR="00C654E4">
        <w:t>e causing social dysfunction. (N</w:t>
      </w:r>
      <w:r>
        <w:t>ote that this is the same as more recent concerns expressed by Noel Pearson about the corrosive effects of welfare on Aboriginal communities</w:t>
      </w:r>
      <w:r w:rsidR="00C654E4">
        <w:t>.</w:t>
      </w:r>
      <w:r>
        <w:t xml:space="preserve">) It was intended as a </w:t>
      </w:r>
      <w:r w:rsidR="00C654E4">
        <w:t>‘</w:t>
      </w:r>
      <w:r>
        <w:t>work for the dole</w:t>
      </w:r>
      <w:r w:rsidR="00C654E4">
        <w:t>’</w:t>
      </w:r>
      <w:r>
        <w:t xml:space="preserve"> equivalent</w:t>
      </w:r>
      <w:r w:rsidR="00C654E4">
        <w:t>,</w:t>
      </w:r>
      <w:r>
        <w:t xml:space="preserve"> with additional funds being provided for administration</w:t>
      </w:r>
      <w:r w:rsidR="00C654E4">
        <w:t xml:space="preserve"> and some plant and equipment. </w:t>
      </w:r>
      <w:r>
        <w:t>It has continued in one form or another to the present day</w:t>
      </w:r>
      <w:r w:rsidR="00C654E4">
        <w:t>,</w:t>
      </w:r>
      <w:r>
        <w:t xml:space="preserve"> with frequent reviews</w:t>
      </w:r>
      <w:r w:rsidR="00C654E4">
        <w:t>. (R</w:t>
      </w:r>
      <w:r>
        <w:t xml:space="preserve">ecent decisions to end </w:t>
      </w:r>
      <w:proofErr w:type="spellStart"/>
      <w:r w:rsidR="00C654E4">
        <w:t>CDEP</w:t>
      </w:r>
      <w:proofErr w:type="spellEnd"/>
      <w:r w:rsidR="00C654E4">
        <w:t xml:space="preserve"> have in turn been </w:t>
      </w:r>
      <w:r>
        <w:t>reviewed.</w:t>
      </w:r>
      <w:r w:rsidR="00C654E4">
        <w:t>)</w:t>
      </w:r>
      <w:r>
        <w:t xml:space="preserve"> In some communities (</w:t>
      </w:r>
      <w:r w:rsidR="00C654E4">
        <w:t>for example,</w:t>
      </w:r>
      <w:r>
        <w:t xml:space="preserve"> the </w:t>
      </w:r>
      <w:proofErr w:type="spellStart"/>
      <w:r>
        <w:t>Ngaanyatjarra</w:t>
      </w:r>
      <w:proofErr w:type="spellEnd"/>
      <w:r>
        <w:t xml:space="preserve"> communities in Western Australia) </w:t>
      </w:r>
      <w:proofErr w:type="spellStart"/>
      <w:r>
        <w:t>CDEP</w:t>
      </w:r>
      <w:proofErr w:type="spellEnd"/>
      <w:r>
        <w:t xml:space="preserve"> has been an essential part of maintaining functioning communities.</w:t>
      </w:r>
    </w:p>
    <w:p w:rsidR="008F2DB2" w:rsidRDefault="008F2DB2" w:rsidP="008F2DB2">
      <w:pPr>
        <w:pStyle w:val="BodyText"/>
      </w:pPr>
      <w:r>
        <w:t xml:space="preserve">The setting up of the Aboriginal Development Commission in 1981 was a further step in enlarging Aboriginal control of program delivery. The </w:t>
      </w:r>
      <w:r w:rsidR="00C374D9">
        <w:t xml:space="preserve">Development </w:t>
      </w:r>
      <w:r>
        <w:t>Commission assumed responsibility for some of the programs previously administered by the Department of Aboriginal Affai</w:t>
      </w:r>
      <w:r w:rsidR="00C654E4">
        <w:t>rs. It was controlled by an all-</w:t>
      </w:r>
      <w:r>
        <w:t>Aboriginal board</w:t>
      </w:r>
      <w:r w:rsidR="00C654E4">
        <w:t>,</w:t>
      </w:r>
      <w:r>
        <w:t xml:space="preserve"> and had a high degree of freedom from government direction and control.</w:t>
      </w:r>
    </w:p>
    <w:p w:rsidR="008F2DB2" w:rsidRDefault="008F2DB2" w:rsidP="008F2DB2">
      <w:pPr>
        <w:pStyle w:val="BodyText"/>
      </w:pPr>
      <w:r>
        <w:t>Th</w:t>
      </w:r>
      <w:r w:rsidR="007D2579">
        <w:t>is</w:t>
      </w:r>
      <w:r>
        <w:t xml:space="preserve"> broad bipartisanship was lost in 1983</w:t>
      </w:r>
      <w:r w:rsidR="00C654E4">
        <w:t>,</w:t>
      </w:r>
      <w:r>
        <w:t xml:space="preserve"> </w:t>
      </w:r>
      <w:r w:rsidR="00C654E4">
        <w:t xml:space="preserve">when </w:t>
      </w:r>
      <w:proofErr w:type="spellStart"/>
      <w:r>
        <w:t>Labor</w:t>
      </w:r>
      <w:proofErr w:type="spellEnd"/>
      <w:r>
        <w:t xml:space="preserve"> adopted a policy </w:t>
      </w:r>
      <w:r w:rsidR="00C654E4">
        <w:t>of</w:t>
      </w:r>
      <w:r>
        <w:t xml:space="preserve"> national </w:t>
      </w:r>
      <w:r w:rsidR="00C654E4">
        <w:t>l</w:t>
      </w:r>
      <w:r>
        <w:t xml:space="preserve">and </w:t>
      </w:r>
      <w:r w:rsidR="00C654E4">
        <w:t>r</w:t>
      </w:r>
      <w:r>
        <w:t xml:space="preserve">ights, </w:t>
      </w:r>
      <w:r w:rsidR="00C654E4">
        <w:t>using</w:t>
      </w:r>
      <w:r>
        <w:t xml:space="preserve"> Commonwealth </w:t>
      </w:r>
      <w:r w:rsidR="00120FDF" w:rsidRPr="00120FDF">
        <w:t xml:space="preserve">constitutional </w:t>
      </w:r>
      <w:r>
        <w:t xml:space="preserve">power to require the adoption of </w:t>
      </w:r>
      <w:r w:rsidR="00C654E4">
        <w:t>l</w:t>
      </w:r>
      <w:r>
        <w:t xml:space="preserve">and </w:t>
      </w:r>
      <w:r w:rsidR="00C654E4">
        <w:t>r</w:t>
      </w:r>
      <w:r>
        <w:t xml:space="preserve">ights across the States. This was a bridge too far for the Liberal and National parties. Although there had been confrontations between the Commonwealth and States during the Fraser </w:t>
      </w:r>
      <w:r w:rsidR="00C374D9">
        <w:t xml:space="preserve">Government </w:t>
      </w:r>
      <w:r>
        <w:t>(</w:t>
      </w:r>
      <w:r w:rsidR="00120FDF">
        <w:t xml:space="preserve">for example, </w:t>
      </w:r>
      <w:r>
        <w:t xml:space="preserve">Aurukun and Mornington Island </w:t>
      </w:r>
      <w:r w:rsidR="00C654E4">
        <w:t xml:space="preserve">in Queensland and </w:t>
      </w:r>
      <w:r w:rsidR="00120FDF">
        <w:t>Noonkanbah in Western Australia</w:t>
      </w:r>
      <w:r>
        <w:t>) the basic commitment to federalism</w:t>
      </w:r>
      <w:r w:rsidR="00120FDF">
        <w:t>,</w:t>
      </w:r>
      <w:r>
        <w:t xml:space="preserve"> as well as the politics of confronting popular </w:t>
      </w:r>
      <w:r w:rsidR="00D8604F">
        <w:t>s</w:t>
      </w:r>
      <w:r>
        <w:t>tate leaders</w:t>
      </w:r>
      <w:r w:rsidR="00120FDF">
        <w:t>,</w:t>
      </w:r>
      <w:r>
        <w:t xml:space="preserve"> </w:t>
      </w:r>
      <w:r w:rsidR="00120FDF">
        <w:t xml:space="preserve">had </w:t>
      </w:r>
      <w:r>
        <w:t xml:space="preserve">prevented the use of Commonwealth constitutional power to override the States. Although the Hawke Government policy for national land rights came to nothing </w:t>
      </w:r>
      <w:r w:rsidR="00120FDF">
        <w:t>after</w:t>
      </w:r>
      <w:r>
        <w:t xml:space="preserve"> commitment to the policy collapsed in the face of opposition from a </w:t>
      </w:r>
      <w:proofErr w:type="spellStart"/>
      <w:r>
        <w:t>Labor</w:t>
      </w:r>
      <w:proofErr w:type="spellEnd"/>
      <w:r>
        <w:t xml:space="preserve"> </w:t>
      </w:r>
      <w:r>
        <w:lastRenderedPageBreak/>
        <w:t>State government (Burke</w:t>
      </w:r>
      <w:r w:rsidR="00120FDF">
        <w:t xml:space="preserve"> in Western Australia</w:t>
      </w:r>
      <w:r>
        <w:t>) and the mining industry</w:t>
      </w:r>
      <w:r w:rsidR="00120FDF">
        <w:t>,</w:t>
      </w:r>
      <w:r>
        <w:t xml:space="preserve"> subsequent policy developments during the </w:t>
      </w:r>
      <w:proofErr w:type="spellStart"/>
      <w:r>
        <w:t>1980s</w:t>
      </w:r>
      <w:proofErr w:type="spellEnd"/>
      <w:r>
        <w:t xml:space="preserve"> saw other policy differences emerge.</w:t>
      </w:r>
    </w:p>
    <w:p w:rsidR="008F2DB2" w:rsidRDefault="008F2DB2" w:rsidP="008F2DB2">
      <w:pPr>
        <w:pStyle w:val="BodyText"/>
      </w:pPr>
      <w:r>
        <w:t xml:space="preserve">The establishment of </w:t>
      </w:r>
      <w:r w:rsidR="00120FDF">
        <w:t xml:space="preserve">the </w:t>
      </w:r>
      <w:r w:rsidR="00120FDF" w:rsidRPr="00120FDF">
        <w:t xml:space="preserve">Aboriginal and Torres Strait Islander Commission </w:t>
      </w:r>
      <w:r w:rsidR="00120FDF">
        <w:t>(</w:t>
      </w:r>
      <w:proofErr w:type="spellStart"/>
      <w:r>
        <w:t>ATSIC</w:t>
      </w:r>
      <w:proofErr w:type="spellEnd"/>
      <w:r w:rsidR="00120FDF">
        <w:t>)</w:t>
      </w:r>
      <w:r>
        <w:t xml:space="preserve"> in 1990 was intended as a larger step toward Aboriginal responsibility for both advice to </w:t>
      </w:r>
      <w:r w:rsidRPr="004666EB">
        <w:t>Govern</w:t>
      </w:r>
      <w:r w:rsidR="004D713E" w:rsidRPr="004666EB">
        <w:t xml:space="preserve">ment on </w:t>
      </w:r>
      <w:r w:rsidR="004D713E" w:rsidRPr="004666EB">
        <w:rPr>
          <w:szCs w:val="24"/>
        </w:rPr>
        <w:t>policy, and pr</w:t>
      </w:r>
      <w:r w:rsidR="004D713E" w:rsidRPr="004666EB">
        <w:t>ogram delivery.</w:t>
      </w:r>
      <w:r w:rsidR="00120FDF" w:rsidRPr="004666EB">
        <w:t xml:space="preserve"> A</w:t>
      </w:r>
      <w:r w:rsidR="00120FDF">
        <w:t xml:space="preserve">n elected national board with an appointed chair had policy and administrative functions. Elected regional councils had representative, funding, and service delivery obligations. </w:t>
      </w:r>
      <w:r>
        <w:t xml:space="preserve">The </w:t>
      </w:r>
      <w:r w:rsidR="00120FDF">
        <w:t>Commonwealth G</w:t>
      </w:r>
      <w:r>
        <w:t xml:space="preserve">overnment would look to </w:t>
      </w:r>
      <w:proofErr w:type="spellStart"/>
      <w:r w:rsidR="00120FDF">
        <w:t>ATSIC</w:t>
      </w:r>
      <w:proofErr w:type="spellEnd"/>
      <w:r>
        <w:t xml:space="preserve"> for policy advice</w:t>
      </w:r>
      <w:r w:rsidR="00120FDF">
        <w:t xml:space="preserve"> and</w:t>
      </w:r>
      <w:r>
        <w:t xml:space="preserve"> Aboriginal organi</w:t>
      </w:r>
      <w:r w:rsidR="004016EA">
        <w:t>s</w:t>
      </w:r>
      <w:r>
        <w:t xml:space="preserve">ations would look to it for funding. </w:t>
      </w:r>
      <w:r w:rsidR="00120FDF">
        <w:t>The</w:t>
      </w:r>
      <w:r>
        <w:t xml:space="preserve"> establishment </w:t>
      </w:r>
      <w:r w:rsidR="00120FDF">
        <w:t xml:space="preserve">of </w:t>
      </w:r>
      <w:proofErr w:type="spellStart"/>
      <w:r w:rsidR="00120FDF">
        <w:t>ATSIC</w:t>
      </w:r>
      <w:proofErr w:type="spellEnd"/>
      <w:r w:rsidR="00120FDF">
        <w:t xml:space="preserve"> </w:t>
      </w:r>
      <w:r>
        <w:t>was opposed by the Opposition and by the A</w:t>
      </w:r>
      <w:r w:rsidR="00120FDF">
        <w:t>boriginal Development Commission (A</w:t>
      </w:r>
      <w:r>
        <w:t>DC</w:t>
      </w:r>
      <w:r w:rsidR="00120FDF">
        <w:t>)</w:t>
      </w:r>
      <w:r>
        <w:t xml:space="preserve"> but it was legislated for in 1989 wit</w:t>
      </w:r>
      <w:r w:rsidR="00120FDF">
        <w:t xml:space="preserve">h Australian Democrat support. </w:t>
      </w:r>
      <w:r>
        <w:t>It survived until 2004 when</w:t>
      </w:r>
      <w:r w:rsidR="00120FDF">
        <w:t>,</w:t>
      </w:r>
      <w:r>
        <w:t xml:space="preserve"> after a series of allegations and scandals at national </w:t>
      </w:r>
      <w:r w:rsidR="004016EA">
        <w:t>b</w:t>
      </w:r>
      <w:r>
        <w:t>oard level</w:t>
      </w:r>
      <w:r w:rsidR="00120FDF">
        <w:t>,</w:t>
      </w:r>
      <w:r>
        <w:t xml:space="preserve"> the </w:t>
      </w:r>
      <w:proofErr w:type="spellStart"/>
      <w:r>
        <w:t>Labor</w:t>
      </w:r>
      <w:proofErr w:type="spellEnd"/>
      <w:r>
        <w:t xml:space="preserve"> Opposition indicated it would be replaced and the Howard Government took the opportunity to announce its abolition and the return of responsibility for</w:t>
      </w:r>
      <w:r w:rsidR="00120FDF">
        <w:t xml:space="preserve"> programs to line departments. </w:t>
      </w:r>
      <w:r>
        <w:t>In practice</w:t>
      </w:r>
      <w:r w:rsidR="00120FDF">
        <w:t>,</w:t>
      </w:r>
      <w:r>
        <w:t xml:space="preserve"> the regional structures of </w:t>
      </w:r>
      <w:proofErr w:type="spellStart"/>
      <w:r>
        <w:t>ATSIC</w:t>
      </w:r>
      <w:proofErr w:type="spellEnd"/>
      <w:r>
        <w:t xml:space="preserve"> worked well in many regions</w:t>
      </w:r>
      <w:r w:rsidR="00120FDF">
        <w:t>,</w:t>
      </w:r>
      <w:r>
        <w:t xml:space="preserve"> su</w:t>
      </w:r>
      <w:r w:rsidR="00120FDF">
        <w:t xml:space="preserve">ch as </w:t>
      </w:r>
      <w:proofErr w:type="spellStart"/>
      <w:r w:rsidR="00120FDF">
        <w:t>Murdi</w:t>
      </w:r>
      <w:proofErr w:type="spellEnd"/>
      <w:r w:rsidR="00120FDF">
        <w:t xml:space="preserve"> </w:t>
      </w:r>
      <w:proofErr w:type="spellStart"/>
      <w:r w:rsidR="00120FDF">
        <w:t>Pa</w:t>
      </w:r>
      <w:r w:rsidR="004016EA">
        <w:t>a</w:t>
      </w:r>
      <w:r w:rsidR="00120FDF">
        <w:t>ki</w:t>
      </w:r>
      <w:proofErr w:type="spellEnd"/>
      <w:r w:rsidR="00120FDF">
        <w:t xml:space="preserve"> and Shepparton, but were lost along with the national body.</w:t>
      </w:r>
    </w:p>
    <w:p w:rsidR="008F2DB2" w:rsidRDefault="008F2DB2" w:rsidP="008F2DB2">
      <w:pPr>
        <w:pStyle w:val="BodyText"/>
      </w:pPr>
      <w:r>
        <w:t xml:space="preserve">For the purpose of this </w:t>
      </w:r>
      <w:r w:rsidR="00120FDF">
        <w:t>roundtable,</w:t>
      </w:r>
      <w:r>
        <w:t xml:space="preserve"> perhaps the most relevant developments over </w:t>
      </w:r>
      <w:r w:rsidR="00E00668">
        <w:t xml:space="preserve">the past </w:t>
      </w:r>
      <w:r>
        <w:t>50 years are that</w:t>
      </w:r>
      <w:r w:rsidR="00E00668">
        <w:t>,</w:t>
      </w:r>
      <w:r>
        <w:t xml:space="preserve"> until 1972</w:t>
      </w:r>
      <w:r w:rsidR="00E00668">
        <w:t>,</w:t>
      </w:r>
      <w:r>
        <w:t xml:space="preserve"> program delivery was a responsibility of the n</w:t>
      </w:r>
      <w:r w:rsidR="00E00668">
        <w:t xml:space="preserve">ormal agencies of governments. </w:t>
      </w:r>
      <w:r>
        <w:t>Starting in 1972</w:t>
      </w:r>
      <w:r w:rsidR="00E00668">
        <w:t>,</w:t>
      </w:r>
      <w:r>
        <w:t xml:space="preserve"> responsibility was shifted to funded Aboriginal</w:t>
      </w:r>
      <w:r w:rsidR="004016EA">
        <w:t>-</w:t>
      </w:r>
      <w:r>
        <w:t>controlled organi</w:t>
      </w:r>
      <w:r w:rsidR="004016EA">
        <w:t>s</w:t>
      </w:r>
      <w:r>
        <w:t>ations</w:t>
      </w:r>
      <w:r w:rsidR="00E00668">
        <w:t>,</w:t>
      </w:r>
      <w:r>
        <w:t xml:space="preserve"> incorporated in the main under Aboriginal</w:t>
      </w:r>
      <w:r w:rsidR="004016EA">
        <w:t>-</w:t>
      </w:r>
      <w:r>
        <w:t>specific legislation</w:t>
      </w:r>
      <w:r w:rsidR="00E00668">
        <w:t xml:space="preserve">. This involved </w:t>
      </w:r>
      <w:r>
        <w:t>the funding of thousands of organi</w:t>
      </w:r>
      <w:r w:rsidR="004016EA">
        <w:t>s</w:t>
      </w:r>
      <w:r>
        <w:t xml:space="preserve">ations </w:t>
      </w:r>
      <w:r w:rsidR="003F480E">
        <w:t xml:space="preserve">annually </w:t>
      </w:r>
      <w:r>
        <w:t>across communities in remote</w:t>
      </w:r>
      <w:r w:rsidR="00E00668">
        <w:t>,</w:t>
      </w:r>
      <w:r>
        <w:t xml:space="preserve"> regional and urban communities. Line agencies retained </w:t>
      </w:r>
      <w:r w:rsidR="00E00668">
        <w:t>(</w:t>
      </w:r>
      <w:r>
        <w:t>or</w:t>
      </w:r>
      <w:r w:rsidR="00E00668">
        <w:t xml:space="preserve"> over time</w:t>
      </w:r>
      <w:r>
        <w:t xml:space="preserve"> regained</w:t>
      </w:r>
      <w:r w:rsidR="00E00668">
        <w:t>)</w:t>
      </w:r>
      <w:r>
        <w:t xml:space="preserve"> responsibility in some areas </w:t>
      </w:r>
      <w:r w:rsidR="00E00668">
        <w:t>(h</w:t>
      </w:r>
      <w:r>
        <w:t>ealth in particular</w:t>
      </w:r>
      <w:r w:rsidR="00E00668">
        <w:t>)</w:t>
      </w:r>
      <w:r>
        <w:t xml:space="preserve"> but also delivered services by funding Abori</w:t>
      </w:r>
      <w:r w:rsidR="00E00668">
        <w:t>ginal</w:t>
      </w:r>
      <w:r w:rsidR="003F480E">
        <w:t>-</w:t>
      </w:r>
      <w:r w:rsidR="00E00668">
        <w:t xml:space="preserve">controlled organisations. </w:t>
      </w:r>
      <w:r>
        <w:t xml:space="preserve">Post </w:t>
      </w:r>
      <w:proofErr w:type="spellStart"/>
      <w:r>
        <w:t>ATSIC</w:t>
      </w:r>
      <w:proofErr w:type="spellEnd"/>
      <w:r w:rsidR="00E00668">
        <w:t>,</w:t>
      </w:r>
      <w:r>
        <w:t xml:space="preserve"> line agencies resumed responsibility but</w:t>
      </w:r>
      <w:r w:rsidR="00E00668">
        <w:t>,</w:t>
      </w:r>
      <w:r>
        <w:t xml:space="preserve"> in line with current public service procedures</w:t>
      </w:r>
      <w:r w:rsidR="00E00668">
        <w:t>,</w:t>
      </w:r>
      <w:r>
        <w:t xml:space="preserve"> </w:t>
      </w:r>
      <w:r w:rsidR="00E00668">
        <w:t>often used purchaser</w:t>
      </w:r>
      <w:r w:rsidR="004016EA">
        <w:t>–</w:t>
      </w:r>
      <w:r>
        <w:t xml:space="preserve">provider models </w:t>
      </w:r>
      <w:r w:rsidR="00E00668">
        <w:t xml:space="preserve">with Aboriginal organisations (with departments </w:t>
      </w:r>
      <w:r>
        <w:t>acting as contract administrators rather than service deliverers</w:t>
      </w:r>
      <w:r w:rsidR="00E00668">
        <w:t>)</w:t>
      </w:r>
      <w:r>
        <w:t xml:space="preserve">. </w:t>
      </w:r>
    </w:p>
    <w:p w:rsidR="00E00668" w:rsidRDefault="008F2DB2" w:rsidP="008F2DB2">
      <w:pPr>
        <w:pStyle w:val="BodyText"/>
      </w:pPr>
      <w:r w:rsidRPr="003F480E">
        <w:t>Unsurprisingly</w:t>
      </w:r>
      <w:r w:rsidR="00E00668" w:rsidRPr="003F480E">
        <w:t>,</w:t>
      </w:r>
      <w:r w:rsidRPr="003F480E">
        <w:t xml:space="preserve"> th</w:t>
      </w:r>
      <w:r>
        <w:t xml:space="preserve">ere have been regular concerns about failures in </w:t>
      </w:r>
      <w:r w:rsidR="00E00668">
        <w:t>Aboriginal</w:t>
      </w:r>
      <w:r w:rsidR="006D783A">
        <w:noBreakHyphen/>
      </w:r>
      <w:r w:rsidR="00E00668">
        <w:t xml:space="preserve">controlled </w:t>
      </w:r>
      <w:r>
        <w:t>service delivery organisations</w:t>
      </w:r>
      <w:r w:rsidR="00E00668">
        <w:t>,</w:t>
      </w:r>
      <w:r>
        <w:t xml:space="preserve"> including complaints of maladministration, nepotism, and sometimes corruption.</w:t>
      </w:r>
      <w:r w:rsidR="00E00668">
        <w:t xml:space="preserve"> Such well-</w:t>
      </w:r>
      <w:r>
        <w:t xml:space="preserve">publicised problems </w:t>
      </w:r>
      <w:r w:rsidR="00E00668">
        <w:t>became</w:t>
      </w:r>
      <w:r>
        <w:t xml:space="preserve"> the public and political face of </w:t>
      </w:r>
      <w:proofErr w:type="spellStart"/>
      <w:r>
        <w:t>ATSIC</w:t>
      </w:r>
      <w:proofErr w:type="spellEnd"/>
      <w:r>
        <w:t xml:space="preserve"> and Aboriginal pr</w:t>
      </w:r>
      <w:r w:rsidR="00E00668">
        <w:t xml:space="preserve">ograms over that whole period. </w:t>
      </w:r>
      <w:r>
        <w:t>This is a problem in its own right</w:t>
      </w:r>
      <w:r w:rsidR="00E00668">
        <w:t xml:space="preserve"> — </w:t>
      </w:r>
      <w:r>
        <w:t>the failures of the few drowni</w:t>
      </w:r>
      <w:r w:rsidR="00E00668">
        <w:t>ng out the efforts of the rest. If even 10 per cent</w:t>
      </w:r>
      <w:r w:rsidR="00E40E2F">
        <w:t xml:space="preserve"> of funded organis</w:t>
      </w:r>
      <w:r>
        <w:t>ations were defective (and given the statistics for small business failure in the general community</w:t>
      </w:r>
      <w:r w:rsidR="00E00668">
        <w:t>,</w:t>
      </w:r>
      <w:r>
        <w:t xml:space="preserve"> 10</w:t>
      </w:r>
      <w:r w:rsidR="00E00668">
        <w:t xml:space="preserve"> per cent</w:t>
      </w:r>
      <w:r>
        <w:t xml:space="preserve"> failure would be a very good outcome) that </w:t>
      </w:r>
      <w:r w:rsidR="00E00668">
        <w:t>would result in</w:t>
      </w:r>
      <w:r>
        <w:t xml:space="preserve"> a </w:t>
      </w:r>
      <w:r w:rsidR="00E00668">
        <w:t>‘</w:t>
      </w:r>
      <w:r>
        <w:t>scandal</w:t>
      </w:r>
      <w:r w:rsidR="00E00668">
        <w:t>’</w:t>
      </w:r>
      <w:r>
        <w:t xml:space="preserve"> per working day </w:t>
      </w:r>
      <w:r w:rsidR="00E00668">
        <w:t xml:space="preserve">for the media to report and </w:t>
      </w:r>
      <w:r>
        <w:t xml:space="preserve">for </w:t>
      </w:r>
      <w:proofErr w:type="spellStart"/>
      <w:r>
        <w:t>ATSIC</w:t>
      </w:r>
      <w:proofErr w:type="spellEnd"/>
      <w:r>
        <w:t xml:space="preserve">, the </w:t>
      </w:r>
      <w:r w:rsidR="003F480E">
        <w:t>m</w:t>
      </w:r>
      <w:r>
        <w:t>inister and the Government</w:t>
      </w:r>
      <w:r w:rsidR="00E00668">
        <w:t xml:space="preserve"> to respond to</w:t>
      </w:r>
      <w:r>
        <w:t>.</w:t>
      </w:r>
    </w:p>
    <w:p w:rsidR="008F2DB2" w:rsidRDefault="008F2DB2" w:rsidP="008F2DB2">
      <w:pPr>
        <w:pStyle w:val="BodyText"/>
      </w:pPr>
      <w:r>
        <w:lastRenderedPageBreak/>
        <w:t xml:space="preserve">The emphasis in the </w:t>
      </w:r>
      <w:proofErr w:type="spellStart"/>
      <w:r>
        <w:t>A</w:t>
      </w:r>
      <w:r w:rsidR="00E00668">
        <w:t>TSIC</w:t>
      </w:r>
      <w:proofErr w:type="spellEnd"/>
      <w:r w:rsidR="00E00668">
        <w:t xml:space="preserve"> legislation was on audit of Aboriginal organisations. </w:t>
      </w:r>
      <w:r>
        <w:t>There were layers of audit</w:t>
      </w:r>
      <w:r w:rsidR="00E00668">
        <w:t xml:space="preserve"> which, from </w:t>
      </w:r>
      <w:r>
        <w:t>my observation</w:t>
      </w:r>
      <w:r w:rsidR="00E00668">
        <w:t>, were</w:t>
      </w:r>
      <w:r>
        <w:t xml:space="preserve"> used less as learning experience</w:t>
      </w:r>
      <w:r w:rsidR="00E00668">
        <w:t>s</w:t>
      </w:r>
      <w:r>
        <w:t xml:space="preserve"> than as </w:t>
      </w:r>
      <w:r w:rsidR="00E00668">
        <w:t>the</w:t>
      </w:r>
      <w:r>
        <w:t xml:space="preserve"> basis for </w:t>
      </w:r>
      <w:r w:rsidR="00E00668">
        <w:t>punishment and defunding</w:t>
      </w:r>
      <w:r>
        <w:t>. Similarly</w:t>
      </w:r>
      <w:r w:rsidR="00E00668">
        <w:t>,</w:t>
      </w:r>
      <w:r>
        <w:t xml:space="preserve"> the administration of the Office of the Registrar of Aboriginal Corporations was</w:t>
      </w:r>
      <w:r w:rsidR="00E00668">
        <w:t>,</w:t>
      </w:r>
      <w:r>
        <w:t xml:space="preserve"> for a substantial period</w:t>
      </w:r>
      <w:r w:rsidR="00E00668">
        <w:t>,</w:t>
      </w:r>
      <w:r>
        <w:t xml:space="preserve"> in the audit and punish mode </w:t>
      </w:r>
      <w:r w:rsidR="00E00668">
        <w:t>(</w:t>
      </w:r>
      <w:r>
        <w:t>although more r</w:t>
      </w:r>
      <w:r w:rsidR="00E00668">
        <w:t xml:space="preserve">ecent </w:t>
      </w:r>
      <w:r w:rsidR="003F480E">
        <w:t>r</w:t>
      </w:r>
      <w:r w:rsidR="00E00668">
        <w:t>egistrars have adopted capacity</w:t>
      </w:r>
      <w:r w:rsidR="003F480E">
        <w:t>-</w:t>
      </w:r>
      <w:r w:rsidR="00E00668">
        <w:t>building approaches based around learning by doing and</w:t>
      </w:r>
      <w:r>
        <w:t xml:space="preserve"> learning from mistakes.</w:t>
      </w:r>
    </w:p>
    <w:p w:rsidR="008F2DB2" w:rsidRDefault="008F2DB2" w:rsidP="008F2DB2">
      <w:pPr>
        <w:pStyle w:val="BodyText"/>
      </w:pPr>
      <w:r>
        <w:t xml:space="preserve">What </w:t>
      </w:r>
      <w:r w:rsidR="00E00668">
        <w:t xml:space="preserve">have we learned over 50 years? </w:t>
      </w:r>
      <w:r>
        <w:t>In my view</w:t>
      </w:r>
      <w:r w:rsidR="00E00668">
        <w:t>,</w:t>
      </w:r>
      <w:r>
        <w:t xml:space="preserve"> a lot</w:t>
      </w:r>
      <w:r w:rsidR="00E00668">
        <w:t>,</w:t>
      </w:r>
      <w:r>
        <w:t xml:space="preserve"> with academic</w:t>
      </w:r>
      <w:r w:rsidR="00E00668">
        <w:t>s</w:t>
      </w:r>
      <w:r>
        <w:t>, bureaucrat</w:t>
      </w:r>
      <w:r w:rsidR="00E00668">
        <w:t>s</w:t>
      </w:r>
      <w:r>
        <w:t xml:space="preserve"> and the </w:t>
      </w:r>
      <w:r w:rsidR="00C612D3">
        <w:t xml:space="preserve">Steering Committee for the Review of Government Service Provision (with the Productivity Commission as secretariat) </w:t>
      </w:r>
      <w:r>
        <w:t>finding a lot of c</w:t>
      </w:r>
      <w:r w:rsidR="00E00668">
        <w:t xml:space="preserve">ommon ground about what works. </w:t>
      </w:r>
      <w:r>
        <w:t xml:space="preserve">What I believe this </w:t>
      </w:r>
      <w:r w:rsidR="00E00668">
        <w:t>roundtable</w:t>
      </w:r>
      <w:r>
        <w:t xml:space="preserve"> should take from </w:t>
      </w:r>
      <w:r w:rsidR="00E00668">
        <w:t>the</w:t>
      </w:r>
      <w:r>
        <w:t xml:space="preserve"> past </w:t>
      </w:r>
      <w:r w:rsidR="00E00668">
        <w:t xml:space="preserve">50 years </w:t>
      </w:r>
      <w:r>
        <w:t>is that the failure of funding agencies</w:t>
      </w:r>
      <w:r w:rsidR="00E00668" w:rsidRPr="00E00668">
        <w:t xml:space="preserve"> </w:t>
      </w:r>
      <w:r w:rsidR="00CE0D31">
        <w:t xml:space="preserve">(whether the ADC, </w:t>
      </w:r>
      <w:proofErr w:type="spellStart"/>
      <w:r w:rsidR="00CE0D31">
        <w:t>ATSIC</w:t>
      </w:r>
      <w:proofErr w:type="spellEnd"/>
      <w:r w:rsidR="00CE0D31">
        <w:t xml:space="preserve"> or line departments) </w:t>
      </w:r>
      <w:r w:rsidR="00E00668">
        <w:t>to apply what has been learned</w:t>
      </w:r>
      <w:r w:rsidR="00CE0D31">
        <w:t xml:space="preserve"> </w:t>
      </w:r>
      <w:r>
        <w:t xml:space="preserve">is a larger issue than the issue of </w:t>
      </w:r>
      <w:r w:rsidR="003F480E">
        <w:t xml:space="preserve">the </w:t>
      </w:r>
      <w:r>
        <w:t>evaluation of the provide</w:t>
      </w:r>
      <w:r w:rsidR="00CE0D31">
        <w:t xml:space="preserve">rs and their program delivery. </w:t>
      </w:r>
      <w:r>
        <w:t xml:space="preserve">We need much more critical evaluation of how we go about the purchase </w:t>
      </w:r>
      <w:r w:rsidR="00CE0D31">
        <w:t xml:space="preserve">of services, </w:t>
      </w:r>
      <w:r>
        <w:t xml:space="preserve">as well as </w:t>
      </w:r>
      <w:r w:rsidR="003F480E">
        <w:t xml:space="preserve">evaluation of </w:t>
      </w:r>
      <w:r>
        <w:t>the provider.</w:t>
      </w:r>
    </w:p>
    <w:p w:rsidR="00C612D3" w:rsidRDefault="007D2579" w:rsidP="004A54BA">
      <w:pPr>
        <w:pStyle w:val="BodyText"/>
        <w:keepNext/>
      </w:pPr>
      <w:r>
        <w:t xml:space="preserve">As </w:t>
      </w:r>
      <w:r w:rsidR="006D783A">
        <w:t xml:space="preserve">Dillon and </w:t>
      </w:r>
      <w:r>
        <w:t>Westbury pointed out in 2007</w:t>
      </w:r>
      <w:r w:rsidR="00C612D3">
        <w:t>:</w:t>
      </w:r>
    </w:p>
    <w:p w:rsidR="007D2579" w:rsidRDefault="007D2579" w:rsidP="00C612D3">
      <w:pPr>
        <w:pStyle w:val="Quote"/>
      </w:pPr>
      <w:r>
        <w:t>What has not been recognised (at least within government) has been the extent to which government funding arrangements have reinforced community and organisational dysfunction</w:t>
      </w:r>
      <w:r w:rsidR="00C612D3">
        <w:t>.</w:t>
      </w:r>
      <w:r>
        <w:t xml:space="preserve"> (</w:t>
      </w:r>
      <w:r w:rsidR="00C612D3">
        <w:t>p. </w:t>
      </w:r>
      <w:r>
        <w:t>191)</w:t>
      </w:r>
    </w:p>
    <w:p w:rsidR="007D2579" w:rsidRDefault="007D2579" w:rsidP="007D2579">
      <w:pPr>
        <w:pStyle w:val="BodyText"/>
      </w:pPr>
      <w:r>
        <w:t xml:space="preserve">The </w:t>
      </w:r>
      <w:r w:rsidR="00C612D3" w:rsidRPr="00C612D3">
        <w:t xml:space="preserve">Steering Committee for the Review of Government Service Provision </w:t>
      </w:r>
      <w:r w:rsidR="00480E54">
        <w:t>(</w:t>
      </w:r>
      <w:proofErr w:type="spellStart"/>
      <w:r w:rsidR="00480E54">
        <w:t>SCRGSP</w:t>
      </w:r>
      <w:proofErr w:type="spellEnd"/>
      <w:r w:rsidR="00480E54">
        <w:t xml:space="preserve">) </w:t>
      </w:r>
      <w:r>
        <w:t>sets out in its reports the preconditions for success</w:t>
      </w:r>
      <w:r w:rsidR="00C612D3" w:rsidRPr="00C612D3">
        <w:t xml:space="preserve"> </w:t>
      </w:r>
      <w:r w:rsidR="00C612D3">
        <w:t>(and observes that the lack of these factors can often contribute to program failures)</w:t>
      </w:r>
      <w:r>
        <w:t>:</w:t>
      </w:r>
    </w:p>
    <w:p w:rsidR="007D2579" w:rsidRDefault="007D2579" w:rsidP="00C612D3">
      <w:pPr>
        <w:pStyle w:val="QuoteBullet"/>
      </w:pPr>
      <w:r>
        <w:t xml:space="preserve">Cooperative approaches between Indigenous people and government – often with the </w:t>
      </w:r>
      <w:proofErr w:type="spellStart"/>
      <w:r>
        <w:t>non-profit</w:t>
      </w:r>
      <w:proofErr w:type="spellEnd"/>
      <w:r>
        <w:t xml:space="preserve"> and private sectors as well.</w:t>
      </w:r>
    </w:p>
    <w:p w:rsidR="007D2579" w:rsidRDefault="007D2579" w:rsidP="00C612D3">
      <w:pPr>
        <w:pStyle w:val="QuoteBullet"/>
      </w:pPr>
      <w:r>
        <w:t>Community involvement in program design and decision making – a ‘bottom up’ rather than ‘top down’ approach.</w:t>
      </w:r>
    </w:p>
    <w:p w:rsidR="007D2579" w:rsidRDefault="007D2579" w:rsidP="00C612D3">
      <w:pPr>
        <w:pStyle w:val="QuoteBullet"/>
      </w:pPr>
      <w:r>
        <w:t>Good governance – at organisation, community and government levels.</w:t>
      </w:r>
    </w:p>
    <w:p w:rsidR="007D2579" w:rsidRDefault="007D2579" w:rsidP="00C612D3">
      <w:pPr>
        <w:pStyle w:val="QuoteBullet"/>
      </w:pPr>
      <w:r>
        <w:t>Ongoing government support – including human, financial and physical resources</w:t>
      </w:r>
      <w:r w:rsidR="00E40E2F">
        <w:t>.</w:t>
      </w:r>
      <w:r w:rsidR="00C612D3">
        <w:t xml:space="preserve"> (</w:t>
      </w:r>
      <w:proofErr w:type="spellStart"/>
      <w:r w:rsidR="00C612D3">
        <w:t>SCRGSP</w:t>
      </w:r>
      <w:proofErr w:type="spellEnd"/>
      <w:r w:rsidR="00C612D3">
        <w:t xml:space="preserve"> 2011 and previous)</w:t>
      </w:r>
    </w:p>
    <w:p w:rsidR="007D2579" w:rsidRDefault="007D2579" w:rsidP="007D2579">
      <w:pPr>
        <w:pStyle w:val="BodyText"/>
      </w:pPr>
      <w:r>
        <w:t xml:space="preserve">I think </w:t>
      </w:r>
      <w:r w:rsidR="00480E54">
        <w:t xml:space="preserve">that </w:t>
      </w:r>
      <w:r>
        <w:t>there are few</w:t>
      </w:r>
      <w:r w:rsidR="00041277">
        <w:t>,</w:t>
      </w:r>
      <w:r>
        <w:t xml:space="preserve"> if any</w:t>
      </w:r>
      <w:r w:rsidR="00041277">
        <w:t>,</w:t>
      </w:r>
      <w:r>
        <w:t xml:space="preserve"> authorities </w:t>
      </w:r>
      <w:r w:rsidR="00480E54">
        <w:t xml:space="preserve">who </w:t>
      </w:r>
      <w:r>
        <w:t xml:space="preserve">would challenge that analysis. Wicked problems, </w:t>
      </w:r>
      <w:r w:rsidR="00041277">
        <w:t>multi-</w:t>
      </w:r>
      <w:proofErr w:type="spellStart"/>
      <w:r w:rsidR="00041277">
        <w:t>factoral</w:t>
      </w:r>
      <w:proofErr w:type="spellEnd"/>
      <w:r w:rsidR="00041277">
        <w:t xml:space="preserve"> </w:t>
      </w:r>
      <w:r>
        <w:t>problems affecting people</w:t>
      </w:r>
      <w:r w:rsidR="00041277">
        <w:t xml:space="preserve">, </w:t>
      </w:r>
      <w:r>
        <w:t>such as health</w:t>
      </w:r>
      <w:r w:rsidR="00041277">
        <w:t>,</w:t>
      </w:r>
      <w:r>
        <w:t xml:space="preserve"> education and employment, do not admit to solutions </w:t>
      </w:r>
      <w:r w:rsidR="00041277">
        <w:t>that</w:t>
      </w:r>
      <w:r>
        <w:t xml:space="preserve"> do not involve those for whom the program i</w:t>
      </w:r>
      <w:r w:rsidR="00041277">
        <w:t>s established.</w:t>
      </w:r>
      <w:r>
        <w:t xml:space="preserve"> </w:t>
      </w:r>
      <w:r w:rsidR="00041277">
        <w:t xml:space="preserve">However, </w:t>
      </w:r>
      <w:r>
        <w:t xml:space="preserve">I do not know any Indigenous communities or individuals who would claim that their experience of dealing with government has been in line with those preconditions. </w:t>
      </w:r>
    </w:p>
    <w:p w:rsidR="007D2579" w:rsidRDefault="007D2579" w:rsidP="007D2579">
      <w:pPr>
        <w:pStyle w:val="BodyText"/>
      </w:pPr>
      <w:r>
        <w:lastRenderedPageBreak/>
        <w:t>The Commonwealth has acknowledged the interconnectedness of the problems it seeks to address</w:t>
      </w:r>
      <w:r w:rsidR="00041277">
        <w:t>,</w:t>
      </w:r>
      <w:r>
        <w:t xml:space="preserve"> and concluded </w:t>
      </w:r>
      <w:r w:rsidR="00041277">
        <w:t xml:space="preserve">that </w:t>
      </w:r>
      <w:r>
        <w:t>whole</w:t>
      </w:r>
      <w:r w:rsidR="003F480E">
        <w:t>-</w:t>
      </w:r>
      <w:r>
        <w:t>of</w:t>
      </w:r>
      <w:r w:rsidR="003F480E">
        <w:t>-</w:t>
      </w:r>
      <w:r>
        <w:t>gover</w:t>
      </w:r>
      <w:r w:rsidR="00041277">
        <w:t xml:space="preserve">nment approaches are required. </w:t>
      </w:r>
      <w:r>
        <w:t xml:space="preserve">Two Management Advisory Committees have described the changes in organisation and processes that </w:t>
      </w:r>
      <w:r w:rsidR="00041277">
        <w:t>are</w:t>
      </w:r>
      <w:r>
        <w:t xml:space="preserve"> essential if whole-of-government </w:t>
      </w:r>
      <w:r w:rsidR="00B0123E">
        <w:t xml:space="preserve">is to work. </w:t>
      </w:r>
      <w:r>
        <w:t>Th</w:t>
      </w:r>
      <w:r w:rsidR="00B0123E">
        <w:t>e changes</w:t>
      </w:r>
      <w:r>
        <w:t xml:space="preserve"> included five basic imperatives:</w:t>
      </w:r>
    </w:p>
    <w:p w:rsidR="007D2579" w:rsidRDefault="00B0123E" w:rsidP="00B0123E">
      <w:pPr>
        <w:pStyle w:val="ListBullet"/>
      </w:pPr>
      <w:r>
        <w:t>s</w:t>
      </w:r>
      <w:r w:rsidR="007D2579">
        <w:t>ubstantial initial cross-agency</w:t>
      </w:r>
      <w:r w:rsidR="006D783A">
        <w:t xml:space="preserve"> – </w:t>
      </w:r>
      <w:r w:rsidR="007D2579">
        <w:t>stakeholder agreement about t</w:t>
      </w:r>
      <w:r>
        <w:t>he broad purposes to be pursued</w:t>
      </w:r>
    </w:p>
    <w:p w:rsidR="007D2579" w:rsidRDefault="00B0123E" w:rsidP="00B0123E">
      <w:pPr>
        <w:pStyle w:val="ListBullet"/>
      </w:pPr>
      <w:r>
        <w:t>u</w:t>
      </w:r>
      <w:r w:rsidR="007D2579">
        <w:t>se of the outcomes budget framework to pool resources and to create approp</w:t>
      </w:r>
      <w:r>
        <w:t>riate accountability frameworks</w:t>
      </w:r>
    </w:p>
    <w:p w:rsidR="007D2579" w:rsidRDefault="00B0123E" w:rsidP="00B0123E">
      <w:pPr>
        <w:pStyle w:val="ListBullet"/>
      </w:pPr>
      <w:r>
        <w:t>l</w:t>
      </w:r>
      <w:r w:rsidR="007D2579">
        <w:t>ead-agency staff empowered with sufficient authority to manage whole-of-government settings and to lead the e</w:t>
      </w:r>
      <w:r>
        <w:t>ngagement of local stakeholders</w:t>
      </w:r>
      <w:r w:rsidR="00883240">
        <w:t xml:space="preserve"> </w:t>
      </w:r>
    </w:p>
    <w:p w:rsidR="007D2579" w:rsidRDefault="00B0123E" w:rsidP="00B0123E">
      <w:pPr>
        <w:pStyle w:val="ListBullet"/>
      </w:pPr>
      <w:r>
        <w:t>e</w:t>
      </w:r>
      <w:r w:rsidR="007D2579">
        <w:t>mpowering these same managers to engage with rel</w:t>
      </w:r>
      <w:r>
        <w:t>evant individuals and interests</w:t>
      </w:r>
    </w:p>
    <w:p w:rsidR="007D2579" w:rsidRDefault="007D2579" w:rsidP="00B0123E">
      <w:pPr>
        <w:pStyle w:val="ListBullet"/>
      </w:pPr>
      <w:r>
        <w:t>ensure the individuals engaged in th</w:t>
      </w:r>
      <w:r w:rsidR="003F480E">
        <w:t>o</w:t>
      </w:r>
      <w:r>
        <w:t>se latter roles have the appropriate networking, collaboration and entrepreneurial skills.</w:t>
      </w:r>
    </w:p>
    <w:p w:rsidR="00B0123E" w:rsidRDefault="007D2579" w:rsidP="007D2579">
      <w:pPr>
        <w:pStyle w:val="BodyText"/>
      </w:pPr>
      <w:r>
        <w:t>Note that this is an internal high level Commonwealth assessment</w:t>
      </w:r>
      <w:r w:rsidR="00B0123E">
        <w:t>,</w:t>
      </w:r>
      <w:r>
        <w:t xml:space="preserve"> not </w:t>
      </w:r>
      <w:r w:rsidR="003F480E">
        <w:t xml:space="preserve">that of </w:t>
      </w:r>
      <w:r>
        <w:t>some external critic</w:t>
      </w:r>
      <w:r w:rsidR="00B0123E">
        <w:t>. T</w:t>
      </w:r>
      <w:r>
        <w:t>hese are the people with ad</w:t>
      </w:r>
      <w:r w:rsidR="00B0123E">
        <w:t xml:space="preserve">ministrative skin in the game. </w:t>
      </w:r>
      <w:r>
        <w:t>In my view</w:t>
      </w:r>
      <w:r w:rsidR="00B0123E">
        <w:t>,</w:t>
      </w:r>
      <w:r>
        <w:t xml:space="preserve"> these</w:t>
      </w:r>
      <w:r w:rsidR="00B0123E">
        <w:t xml:space="preserve"> imperatives are not ever met. </w:t>
      </w:r>
    </w:p>
    <w:p w:rsidR="007D2579" w:rsidRDefault="007D2579" w:rsidP="007D2579">
      <w:pPr>
        <w:pStyle w:val="BodyText"/>
      </w:pPr>
      <w:r>
        <w:t xml:space="preserve">More detailed and authoritative academic and bureaucratic views on the failure of whole-of-government initiatives are set out in the supporting material to the </w:t>
      </w:r>
      <w:r w:rsidRPr="00B0123E">
        <w:rPr>
          <w:i/>
        </w:rPr>
        <w:t>Fixing the Hole in Australia’s Heartland</w:t>
      </w:r>
      <w:r>
        <w:t xml:space="preserve"> </w:t>
      </w:r>
      <w:r w:rsidR="00B0123E">
        <w:t xml:space="preserve">report by </w:t>
      </w:r>
      <w:proofErr w:type="spellStart"/>
      <w:r w:rsidR="00B0123E">
        <w:t>remoteFOCUS</w:t>
      </w:r>
      <w:proofErr w:type="spellEnd"/>
      <w:r w:rsidR="009240B2">
        <w:t xml:space="preserve"> at Desert Knowledge Australia</w:t>
      </w:r>
      <w:r w:rsidR="00B0123E">
        <w:t xml:space="preserve"> (</w:t>
      </w:r>
      <w:r w:rsidR="009240B2" w:rsidRPr="009240B2">
        <w:t>Walker, Porter and Marsh 2012</w:t>
      </w:r>
      <w:r w:rsidR="00B0123E">
        <w:t>, p. </w:t>
      </w:r>
      <w:proofErr w:type="spellStart"/>
      <w:r w:rsidR="00B0123E">
        <w:t>57</w:t>
      </w:r>
      <w:r w:rsidR="009240B2">
        <w:t>ff</w:t>
      </w:r>
      <w:proofErr w:type="spellEnd"/>
      <w:r w:rsidR="003F480E">
        <w:t>.</w:t>
      </w:r>
      <w:r w:rsidR="009240B2">
        <w:t>)</w:t>
      </w:r>
      <w:r>
        <w:t>.</w:t>
      </w:r>
    </w:p>
    <w:p w:rsidR="007D2579" w:rsidRDefault="002327A7" w:rsidP="009240B2">
      <w:pPr>
        <w:pStyle w:val="Heading2"/>
      </w:pPr>
      <w:r>
        <w:t>3.2</w:t>
      </w:r>
      <w:r>
        <w:tab/>
      </w:r>
      <w:r w:rsidR="009240B2">
        <w:t>The purpose of evaluation</w:t>
      </w:r>
    </w:p>
    <w:p w:rsidR="007D2579" w:rsidRDefault="007D2579" w:rsidP="007D2579">
      <w:pPr>
        <w:pStyle w:val="BodyText"/>
      </w:pPr>
      <w:r>
        <w:t>The idea that we should evaluat</w:t>
      </w:r>
      <w:r w:rsidR="009240B2">
        <w:t xml:space="preserve">e programs is incontestable. </w:t>
      </w:r>
      <w:r>
        <w:t xml:space="preserve">But the purpose of evaluation </w:t>
      </w:r>
      <w:r w:rsidR="003F480E">
        <w:t xml:space="preserve">and </w:t>
      </w:r>
      <w:r w:rsidR="009240B2">
        <w:t xml:space="preserve">how best to go about </w:t>
      </w:r>
      <w:r w:rsidR="00480E54">
        <w:t xml:space="preserve">evaluation </w:t>
      </w:r>
      <w:r w:rsidR="003F480E">
        <w:t>are significant</w:t>
      </w:r>
      <w:r w:rsidR="009240B2">
        <w:t>.</w:t>
      </w:r>
      <w:r>
        <w:t xml:space="preserve"> Is evaluation par</w:t>
      </w:r>
      <w:r w:rsidR="009240B2">
        <w:t>t of an audit</w:t>
      </w:r>
      <w:r w:rsidR="003F480E">
        <w:t>–</w:t>
      </w:r>
      <w:r w:rsidR="009240B2">
        <w:t xml:space="preserve">punish process? </w:t>
      </w:r>
      <w:r>
        <w:t>Is it a learning tool</w:t>
      </w:r>
      <w:r w:rsidR="009240B2">
        <w:t>,</w:t>
      </w:r>
      <w:r>
        <w:t xml:space="preserve"> where evalua</w:t>
      </w:r>
      <w:r w:rsidR="009240B2">
        <w:t xml:space="preserve">tion allows learning by doing? </w:t>
      </w:r>
      <w:r>
        <w:t>Is a favourable evaluation an aid to maintaining funding or just an academic exercise keeping someone,</w:t>
      </w:r>
      <w:r w:rsidR="009240B2">
        <w:t xml:space="preserve"> the evaluator, in a nice job? </w:t>
      </w:r>
      <w:r>
        <w:t xml:space="preserve">Should we evaluate the performance and approach of purchasers </w:t>
      </w:r>
      <w:r w:rsidR="009240B2">
        <w:t>in the same way</w:t>
      </w:r>
      <w:r>
        <w:t xml:space="preserve"> </w:t>
      </w:r>
      <w:r w:rsidR="003F480E">
        <w:t xml:space="preserve">that </w:t>
      </w:r>
      <w:r>
        <w:t>we evaluate providers</w:t>
      </w:r>
      <w:r w:rsidR="009240B2">
        <w:t>,</w:t>
      </w:r>
      <w:r>
        <w:t xml:space="preserve"> given that providers are often asked to operate under circumstances </w:t>
      </w:r>
      <w:r w:rsidR="003F480E">
        <w:t xml:space="preserve">that </w:t>
      </w:r>
      <w:r>
        <w:t>are inappropriate to the task?</w:t>
      </w:r>
    </w:p>
    <w:p w:rsidR="007D2579" w:rsidRDefault="007D2579" w:rsidP="007D2579">
      <w:pPr>
        <w:pStyle w:val="BodyText"/>
      </w:pPr>
      <w:r>
        <w:t xml:space="preserve">I ask these questions because I have seen examples of what seem to me </w:t>
      </w:r>
      <w:r w:rsidR="003F480E">
        <w:t xml:space="preserve">to be </w:t>
      </w:r>
      <w:r>
        <w:t>flawed or non</w:t>
      </w:r>
      <w:r w:rsidR="009240B2">
        <w:noBreakHyphen/>
      </w:r>
      <w:r>
        <w:t>rigorous evaluations</w:t>
      </w:r>
      <w:r w:rsidR="009240B2">
        <w:t>,</w:t>
      </w:r>
      <w:r>
        <w:t xml:space="preserve"> where I have concluded that the motivation of</w:t>
      </w:r>
      <w:r w:rsidR="009240B2">
        <w:t xml:space="preserve"> the evaluator is to avoid hard-</w:t>
      </w:r>
      <w:r>
        <w:t>working people</w:t>
      </w:r>
      <w:r w:rsidR="009240B2">
        <w:t>,</w:t>
      </w:r>
      <w:r>
        <w:t xml:space="preserve"> working in difficult circumstances on </w:t>
      </w:r>
      <w:r>
        <w:lastRenderedPageBreak/>
        <w:t>difficult (wicked) problems</w:t>
      </w:r>
      <w:r w:rsidR="009240B2">
        <w:t>, being de-funded by well-</w:t>
      </w:r>
      <w:r>
        <w:t xml:space="preserve">remunerated people sitting in lordly judgment behind their computers </w:t>
      </w:r>
      <w:r w:rsidR="009240B2">
        <w:t>in</w:t>
      </w:r>
      <w:r>
        <w:t xml:space="preserve"> the comfort of</w:t>
      </w:r>
      <w:r w:rsidR="009240B2">
        <w:t xml:space="preserve"> their air</w:t>
      </w:r>
      <w:r w:rsidR="005318C3">
        <w:t>-</w:t>
      </w:r>
      <w:r w:rsidR="009240B2">
        <w:t>conditioned offices.</w:t>
      </w:r>
      <w:r w:rsidR="00E40E2F">
        <w:t xml:space="preserve"> Many evaluators may be </w:t>
      </w:r>
      <w:r>
        <w:t>reluctant to see a year, perhaps years, of labour against the odds rewarded by the click of a computer button removing a progr</w:t>
      </w:r>
      <w:r w:rsidR="00E330C1">
        <w:t xml:space="preserve">am from further consideration. </w:t>
      </w:r>
      <w:r>
        <w:t>In addition</w:t>
      </w:r>
      <w:r w:rsidR="009240B2">
        <w:t>,</w:t>
      </w:r>
      <w:r>
        <w:t xml:space="preserve"> funding may well be removed from programs</w:t>
      </w:r>
      <w:r w:rsidR="009240B2">
        <w:t xml:space="preserve"> that have been</w:t>
      </w:r>
      <w:r>
        <w:t xml:space="preserve"> evaluated as </w:t>
      </w:r>
      <w:r w:rsidR="009240B2">
        <w:t xml:space="preserve">very successful. </w:t>
      </w:r>
      <w:r>
        <w:t>So why should providers cooperate with evaluators when it is all a time</w:t>
      </w:r>
      <w:r w:rsidR="003F480E">
        <w:t>-</w:t>
      </w:r>
      <w:r>
        <w:t>consuming game of no benefit to the provider?</w:t>
      </w:r>
    </w:p>
    <w:p w:rsidR="007D2579" w:rsidRDefault="007D2579" w:rsidP="007D2579">
      <w:pPr>
        <w:pStyle w:val="BodyText"/>
      </w:pPr>
      <w:r>
        <w:t>Evaluation of purchasers and their approaches does occur</w:t>
      </w:r>
      <w:r w:rsidR="00E330C1">
        <w:t xml:space="preserve">; for example, </w:t>
      </w:r>
      <w:r>
        <w:t xml:space="preserve">Bill </w:t>
      </w:r>
      <w:proofErr w:type="spellStart"/>
      <w:r>
        <w:t>Gray’s</w:t>
      </w:r>
      <w:proofErr w:type="spellEnd"/>
      <w:r>
        <w:t xml:space="preserve"> evaluation of the effectiveness of the Secretaries Group in the COAG trials</w:t>
      </w:r>
      <w:r w:rsidR="005318C3">
        <w:t>;</w:t>
      </w:r>
      <w:r>
        <w:t xml:space="preserve"> Peter Yu’s evaluation of the </w:t>
      </w:r>
      <w:r w:rsidR="00E330C1">
        <w:t>Northern Territory I</w:t>
      </w:r>
      <w:r>
        <w:t>ntervention</w:t>
      </w:r>
      <w:r w:rsidR="005318C3">
        <w:t>;</w:t>
      </w:r>
      <w:r>
        <w:t xml:space="preserve"> </w:t>
      </w:r>
      <w:r w:rsidR="005318C3">
        <w:t xml:space="preserve">the </w:t>
      </w:r>
      <w:r>
        <w:t>measurement of school attendances post the intervention</w:t>
      </w:r>
      <w:r w:rsidR="00883240">
        <w:t>;</w:t>
      </w:r>
      <w:r>
        <w:t xml:space="preserve"> and </w:t>
      </w:r>
      <w:r w:rsidR="005318C3">
        <w:t xml:space="preserve">the </w:t>
      </w:r>
      <w:r>
        <w:t>ev</w:t>
      </w:r>
      <w:r w:rsidR="00E330C1">
        <w:t>aluation of income management. But h</w:t>
      </w:r>
      <w:r>
        <w:t xml:space="preserve">ow are those evaluations used? </w:t>
      </w:r>
    </w:p>
    <w:p w:rsidR="00743683" w:rsidRDefault="00743683" w:rsidP="007D2579">
      <w:pPr>
        <w:pStyle w:val="BodyText"/>
      </w:pPr>
      <w:r>
        <w:t>A</w:t>
      </w:r>
      <w:r w:rsidR="007D2579">
        <w:t xml:space="preserve"> recent report</w:t>
      </w:r>
      <w:r>
        <w:t xml:space="preserve"> on income management</w:t>
      </w:r>
      <w:r w:rsidR="003D296F">
        <w:t>,</w:t>
      </w:r>
      <w:r w:rsidR="007D2579">
        <w:t xml:space="preserve"> </w:t>
      </w:r>
      <w:r>
        <w:rPr>
          <w:i/>
        </w:rPr>
        <w:t>Evidence–Free Policy Making?</w:t>
      </w:r>
      <w:r w:rsidR="007D2579" w:rsidRPr="00743683">
        <w:rPr>
          <w:i/>
        </w:rPr>
        <w:t xml:space="preserve"> The Case of Income Management</w:t>
      </w:r>
      <w:r w:rsidR="003D296F">
        <w:t>,</w:t>
      </w:r>
      <w:r>
        <w:rPr>
          <w:i/>
        </w:rPr>
        <w:t xml:space="preserve"> </w:t>
      </w:r>
      <w:r w:rsidR="007D2579">
        <w:t>concluded that</w:t>
      </w:r>
      <w:r>
        <w:t>:</w:t>
      </w:r>
    </w:p>
    <w:p w:rsidR="007D2579" w:rsidRDefault="007D2579" w:rsidP="00743683">
      <w:pPr>
        <w:pStyle w:val="Quote"/>
      </w:pPr>
      <w:r>
        <w:t xml:space="preserve">Despite government claims managements of </w:t>
      </w:r>
      <w:r w:rsidR="00743683">
        <w:t>‘</w:t>
      </w:r>
      <w:r>
        <w:t>evidence</w:t>
      </w:r>
      <w:r w:rsidR="00743683">
        <w:t>’</w:t>
      </w:r>
      <w:r>
        <w:t xml:space="preserve"> for the benefits of the new program, its own evaluation </w:t>
      </w:r>
      <w:r w:rsidR="005318C3">
        <w:t xml:space="preserve">proposal </w:t>
      </w:r>
      <w:r>
        <w:t>makes it cl</w:t>
      </w:r>
      <w:r w:rsidR="00743683">
        <w:t>ear the evidence is not there. (Cox 2011, p. 85)</w:t>
      </w:r>
    </w:p>
    <w:p w:rsidR="00743683" w:rsidRDefault="007D2579" w:rsidP="007D2579">
      <w:pPr>
        <w:pStyle w:val="BodyText"/>
      </w:pPr>
      <w:r>
        <w:t>The same report quotes with approval Gary Banks</w:t>
      </w:r>
      <w:r w:rsidR="00743683">
        <w:t>:</w:t>
      </w:r>
    </w:p>
    <w:p w:rsidR="007D2579" w:rsidRDefault="00094A04" w:rsidP="00743683">
      <w:pPr>
        <w:pStyle w:val="Quote"/>
      </w:pPr>
      <w:r>
        <w:t xml:space="preserve">It </w:t>
      </w:r>
      <w:r w:rsidR="007D2579">
        <w:t>will be clear … that policy decisions will typically be influenced by much more than objective e</w:t>
      </w:r>
      <w:r>
        <w:t xml:space="preserve">vidence, or rational analysis. </w:t>
      </w:r>
      <w:r w:rsidR="007D2579">
        <w:t>Values, interests, personalities, timing,</w:t>
      </w:r>
      <w:r>
        <w:t xml:space="preserve"> circumstance and happenstance — in short democracy —</w:t>
      </w:r>
      <w:r w:rsidR="007D2579">
        <w:t xml:space="preserve"> determine what actually happens. (</w:t>
      </w:r>
      <w:r>
        <w:t>Banks 2009, quoted in Cox 2011, p. 3)</w:t>
      </w:r>
    </w:p>
    <w:p w:rsidR="008E046B" w:rsidRDefault="007D2579" w:rsidP="007D2579">
      <w:pPr>
        <w:pStyle w:val="BodyText"/>
      </w:pPr>
      <w:r>
        <w:t xml:space="preserve">The positive examples of evaluation which come to my mind relate to </w:t>
      </w:r>
      <w:r w:rsidR="008E046B">
        <w:t>c</w:t>
      </w:r>
      <w:r>
        <w:t>orporations rather than government.</w:t>
      </w:r>
      <w:r w:rsidR="008E046B">
        <w:t xml:space="preserve"> </w:t>
      </w:r>
      <w:r>
        <w:t>I sit on the board o</w:t>
      </w:r>
      <w:r w:rsidR="008E046B">
        <w:t>f</w:t>
      </w:r>
      <w:r>
        <w:t xml:space="preserve"> a provider which works in government schools</w:t>
      </w:r>
      <w:r w:rsidR="008E046B">
        <w:t>,</w:t>
      </w:r>
      <w:r>
        <w:t xml:space="preserve"> but with external funding coming from the </w:t>
      </w:r>
      <w:r w:rsidR="008E046B">
        <w:t xml:space="preserve">private sector, mainly miners. </w:t>
      </w:r>
      <w:r>
        <w:t>We are regularly indep</w:t>
      </w:r>
      <w:r w:rsidR="008E046B">
        <w:t>endently evaluated and have non-</w:t>
      </w:r>
      <w:r>
        <w:t>government funding relationships exte</w:t>
      </w:r>
      <w:r w:rsidR="008E046B">
        <w:t xml:space="preserve">nding over more than 15 years. </w:t>
      </w:r>
      <w:r>
        <w:t>Our funders are in</w:t>
      </w:r>
      <w:r w:rsidR="008E046B">
        <w:t xml:space="preserve">terested in learning as we go. </w:t>
      </w:r>
      <w:r>
        <w:t xml:space="preserve">They participate in </w:t>
      </w:r>
      <w:r w:rsidR="00480E54">
        <w:t xml:space="preserve">the </w:t>
      </w:r>
      <w:r>
        <w:t>management of each individual project and</w:t>
      </w:r>
      <w:r w:rsidR="008E046B">
        <w:t>,</w:t>
      </w:r>
      <w:r>
        <w:t xml:space="preserve"> so far</w:t>
      </w:r>
      <w:r w:rsidR="008E046B">
        <w:t>,</w:t>
      </w:r>
      <w:r>
        <w:t xml:space="preserve"> have extended their support as we</w:t>
      </w:r>
      <w:r w:rsidR="008E046B">
        <w:t xml:space="preserve"> learn from what we are doing. </w:t>
      </w:r>
      <w:r>
        <w:t>For example</w:t>
      </w:r>
      <w:r w:rsidR="008E046B">
        <w:t>,</w:t>
      </w:r>
      <w:r>
        <w:t xml:space="preserve"> we have regularly achieved the objective we share with </w:t>
      </w:r>
      <w:r w:rsidR="008E046B">
        <w:t>funders</w:t>
      </w:r>
      <w:r>
        <w:t xml:space="preserve">, the school, parents and students, of having Aboriginal children achieve </w:t>
      </w:r>
      <w:r w:rsidR="003D296F">
        <w:t xml:space="preserve">Year </w:t>
      </w:r>
      <w:r>
        <w:t>12</w:t>
      </w:r>
      <w:r w:rsidR="008E046B">
        <w:t xml:space="preserve"> —</w:t>
      </w:r>
      <w:r>
        <w:t xml:space="preserve"> </w:t>
      </w:r>
      <w:r w:rsidRPr="008E046B">
        <w:rPr>
          <w:i/>
        </w:rPr>
        <w:t>achieve</w:t>
      </w:r>
      <w:r>
        <w:t xml:space="preserve">, not just attend, graduate able to go to </w:t>
      </w:r>
      <w:r w:rsidR="00480E54">
        <w:t>u</w:t>
      </w:r>
      <w:r>
        <w:t>niversit</w:t>
      </w:r>
      <w:r w:rsidR="008E046B">
        <w:t xml:space="preserve">y or into trades or good jobs. </w:t>
      </w:r>
      <w:r>
        <w:t xml:space="preserve">Two of our funders looked at the qualifications of our school </w:t>
      </w:r>
      <w:proofErr w:type="spellStart"/>
      <w:r>
        <w:t>leavers</w:t>
      </w:r>
      <w:proofErr w:type="spellEnd"/>
      <w:r>
        <w:t xml:space="preserve"> in their projects and wanted to improve the </w:t>
      </w:r>
      <w:r w:rsidR="00883240">
        <w:t>maths–</w:t>
      </w:r>
      <w:r>
        <w:t>science outcomes</w:t>
      </w:r>
      <w:r w:rsidR="008E046B">
        <w:t>. S</w:t>
      </w:r>
      <w:r>
        <w:t>o we have been encouraged to do maths</w:t>
      </w:r>
      <w:r w:rsidR="00480E54">
        <w:t>–</w:t>
      </w:r>
      <w:r>
        <w:t>science enrichmen</w:t>
      </w:r>
      <w:r w:rsidR="008E046B">
        <w:t xml:space="preserve">t in relevant primary schools. </w:t>
      </w:r>
      <w:r>
        <w:t xml:space="preserve">This sort of evaluation </w:t>
      </w:r>
      <w:r w:rsidR="008E046B">
        <w:t xml:space="preserve">leading to action makes sense. </w:t>
      </w:r>
    </w:p>
    <w:p w:rsidR="007D2579" w:rsidRDefault="007D2579" w:rsidP="007D2579">
      <w:pPr>
        <w:pStyle w:val="BodyText"/>
      </w:pPr>
      <w:r>
        <w:lastRenderedPageBreak/>
        <w:t>One funder</w:t>
      </w:r>
      <w:r w:rsidR="008E046B">
        <w:t>,</w:t>
      </w:r>
      <w:r>
        <w:t xml:space="preserve"> after about </w:t>
      </w:r>
      <w:r w:rsidR="008E046B">
        <w:t>seven</w:t>
      </w:r>
      <w:r>
        <w:t xml:space="preserve"> years of support</w:t>
      </w:r>
      <w:r w:rsidR="008E046B">
        <w:t>,</w:t>
      </w:r>
      <w:r>
        <w:t xml:space="preserve"> did an independent evaluation checking the education/employment/inco</w:t>
      </w:r>
      <w:r w:rsidR="008E046B">
        <w:t xml:space="preserve">me situation of our graduates. </w:t>
      </w:r>
      <w:r>
        <w:t>The results were excellent</w:t>
      </w:r>
      <w:r w:rsidR="008E046B">
        <w:t>,</w:t>
      </w:r>
      <w:r>
        <w:t xml:space="preserve"> so their response was to double the si</w:t>
      </w:r>
      <w:r w:rsidR="008E046B">
        <w:t xml:space="preserve">ze of that particular project. </w:t>
      </w:r>
      <w:r>
        <w:t>That’s evaluation with a positive purpose.</w:t>
      </w:r>
      <w:r w:rsidR="008E046B">
        <w:t xml:space="preserve"> </w:t>
      </w:r>
      <w:r>
        <w:t>In a session with that funder</w:t>
      </w:r>
      <w:r w:rsidR="008E046B">
        <w:t>,</w:t>
      </w:r>
      <w:r>
        <w:t xml:space="preserve"> we were advised </w:t>
      </w:r>
      <w:r w:rsidR="00883240">
        <w:t xml:space="preserve">that </w:t>
      </w:r>
      <w:r>
        <w:t xml:space="preserve">they had evaluated all their </w:t>
      </w:r>
      <w:r w:rsidR="00480E54">
        <w:t xml:space="preserve">20 </w:t>
      </w:r>
      <w:r>
        <w:t>or so Aboriginal</w:t>
      </w:r>
      <w:r w:rsidR="00480E54">
        <w:t>-</w:t>
      </w:r>
      <w:r>
        <w:t>related projects and had identifie</w:t>
      </w:r>
      <w:r w:rsidR="008E046B">
        <w:t xml:space="preserve">d which produced best results. </w:t>
      </w:r>
      <w:r>
        <w:t>Perhaps unsurprisingly</w:t>
      </w:r>
      <w:r w:rsidR="008E046B">
        <w:t>,</w:t>
      </w:r>
      <w:r>
        <w:t xml:space="preserve"> the successful projects (including ours) involved significant per capita </w:t>
      </w:r>
      <w:r w:rsidR="008E046B">
        <w:t xml:space="preserve">investment. </w:t>
      </w:r>
      <w:r>
        <w:t xml:space="preserve">They talked of a </w:t>
      </w:r>
      <w:r w:rsidR="00480E54">
        <w:t>20-</w:t>
      </w:r>
      <w:r>
        <w:t>year time frame and the links betwee</w:t>
      </w:r>
      <w:r w:rsidR="008E046B">
        <w:t>n early childhood programs, pre</w:t>
      </w:r>
      <w:r>
        <w:t xml:space="preserve">school programs, </w:t>
      </w:r>
      <w:r w:rsidR="008E046B">
        <w:t>school</w:t>
      </w:r>
      <w:r w:rsidR="00BF2724">
        <w:t>-</w:t>
      </w:r>
      <w:r w:rsidR="008E046B">
        <w:t>to</w:t>
      </w:r>
      <w:r w:rsidR="00BF2724">
        <w:t>-</w:t>
      </w:r>
      <w:r w:rsidR="008E046B">
        <w:t xml:space="preserve">work programs and employment programs. </w:t>
      </w:r>
      <w:r>
        <w:t xml:space="preserve">An evaluation of their approach </w:t>
      </w:r>
      <w:r w:rsidR="008E046B">
        <w:t>compared to</w:t>
      </w:r>
      <w:r>
        <w:t xml:space="preserve"> the approach of government funders of service de</w:t>
      </w:r>
      <w:r w:rsidR="008E046B">
        <w:t xml:space="preserve">liverers would be instructive. </w:t>
      </w:r>
      <w:r>
        <w:t>Going into a particularly difficult remote community</w:t>
      </w:r>
      <w:r w:rsidR="008E046B">
        <w:t>,</w:t>
      </w:r>
      <w:r>
        <w:t xml:space="preserve"> they have built a substantial workshop to industry standards, employed an independent community developer to work with the community and offered us </w:t>
      </w:r>
      <w:r w:rsidR="00480E54">
        <w:t>10-</w:t>
      </w:r>
      <w:r>
        <w:t>year funding if we can find premises to work on education in that community.</w:t>
      </w:r>
      <w:r w:rsidR="008E046B">
        <w:t xml:space="preserve"> </w:t>
      </w:r>
      <w:r>
        <w:t>Government is not like that to deal with.</w:t>
      </w:r>
    </w:p>
    <w:p w:rsidR="007D2579" w:rsidRDefault="007D2579" w:rsidP="007D2579">
      <w:pPr>
        <w:pStyle w:val="BodyText"/>
      </w:pPr>
      <w:r>
        <w:t xml:space="preserve">I think </w:t>
      </w:r>
      <w:r w:rsidR="00480E54">
        <w:t xml:space="preserve">that </w:t>
      </w:r>
      <w:r>
        <w:t>some of the problem lies in the myths of new public service management as it is applied to remote areas and</w:t>
      </w:r>
      <w:r w:rsidR="008E046B">
        <w:t>,</w:t>
      </w:r>
      <w:r>
        <w:t xml:space="preserve"> perhaps</w:t>
      </w:r>
      <w:r w:rsidR="008E046B">
        <w:t>,</w:t>
      </w:r>
      <w:r>
        <w:t xml:space="preserve"> to wicked problems generally</w:t>
      </w:r>
      <w:r w:rsidR="008E046B">
        <w:t>.</w:t>
      </w:r>
      <w:r>
        <w:t xml:space="preserve"> </w:t>
      </w:r>
      <w:r w:rsidR="008E046B">
        <w:t xml:space="preserve">The theory </w:t>
      </w:r>
      <w:r>
        <w:t>presuppose</w:t>
      </w:r>
      <w:r w:rsidR="008E046B">
        <w:t>s</w:t>
      </w:r>
      <w:r>
        <w:t xml:space="preserve"> a market able to deliver outcomes set by distant bureaucrats</w:t>
      </w:r>
      <w:r w:rsidR="008E046B">
        <w:t>,</w:t>
      </w:r>
      <w:r>
        <w:t xml:space="preserve"> who are able to cont</w:t>
      </w:r>
      <w:r w:rsidR="008E046B">
        <w:t>r</w:t>
      </w:r>
      <w:r>
        <w:t>act out their responsib</w:t>
      </w:r>
      <w:r w:rsidR="008E046B">
        <w:t xml:space="preserve">ility to achieve good results. </w:t>
      </w:r>
      <w:r>
        <w:t>Miners</w:t>
      </w:r>
      <w:r w:rsidR="00480E54">
        <w:t>,</w:t>
      </w:r>
      <w:r>
        <w:t xml:space="preserve"> with their experience of project management</w:t>
      </w:r>
      <w:r w:rsidR="00480E54">
        <w:t>,</w:t>
      </w:r>
      <w:r>
        <w:t xml:space="preserve"> better understand taking responsibility for managing towards a long</w:t>
      </w:r>
      <w:r w:rsidR="00480E54">
        <w:t>-</w:t>
      </w:r>
      <w:r>
        <w:t>term outcome, dealing with complexit</w:t>
      </w:r>
      <w:r w:rsidR="008E046B">
        <w:t xml:space="preserve">ies and problem as they arise. </w:t>
      </w:r>
      <w:r>
        <w:t>You learn from mistakes, stop doing</w:t>
      </w:r>
      <w:r w:rsidR="008E046B">
        <w:t xml:space="preserve"> things </w:t>
      </w:r>
      <w:r w:rsidR="00BF2724">
        <w:t xml:space="preserve">that </w:t>
      </w:r>
      <w:r w:rsidR="008E046B">
        <w:t xml:space="preserve">are unproductive and </w:t>
      </w:r>
      <w:r>
        <w:t>act</w:t>
      </w:r>
      <w:r w:rsidR="008E046B">
        <w:t xml:space="preserve">ively look for what will work. </w:t>
      </w:r>
      <w:r>
        <w:t>You do what needs to be done to achieve the objective.</w:t>
      </w:r>
    </w:p>
    <w:p w:rsidR="007D2579" w:rsidRDefault="008E046B" w:rsidP="007D2579">
      <w:pPr>
        <w:pStyle w:val="BodyText"/>
      </w:pPr>
      <w:r>
        <w:t xml:space="preserve">In contrast, how does government seem to me? </w:t>
      </w:r>
      <w:r w:rsidR="007D2579">
        <w:t>One</w:t>
      </w:r>
      <w:r w:rsidR="006B3A37">
        <w:t>-</w:t>
      </w:r>
      <w:r w:rsidR="007D2579">
        <w:t xml:space="preserve">year funding with no continuity guaranteed, onerous and hence costly reporting requirements, frequent policy changes, lengthy negotiations about working to shared objectives </w:t>
      </w:r>
      <w:r>
        <w:t>that</w:t>
      </w:r>
      <w:r w:rsidR="007D2579">
        <w:t xml:space="preserve"> are dropped without apology or explanation because priorit</w:t>
      </w:r>
      <w:r>
        <w:t xml:space="preserve">ies or policies have changed. </w:t>
      </w:r>
      <w:r w:rsidR="007D2579">
        <w:t>Agreemen</w:t>
      </w:r>
      <w:r>
        <w:t xml:space="preserve">ts are made and then not honoured. </w:t>
      </w:r>
      <w:r w:rsidR="007D2579">
        <w:t>Two and a half years ago I attended a high</w:t>
      </w:r>
      <w:r w:rsidR="006B3A37">
        <w:t>-</w:t>
      </w:r>
      <w:r w:rsidR="007D2579">
        <w:t>level meeting in a remote community</w:t>
      </w:r>
      <w:r>
        <w:t>,</w:t>
      </w:r>
      <w:r w:rsidR="007D2579">
        <w:t xml:space="preserve"> with officials from a number of </w:t>
      </w:r>
      <w:r>
        <w:t>d</w:t>
      </w:r>
      <w:r w:rsidR="007D2579">
        <w:t>epartments</w:t>
      </w:r>
      <w:r>
        <w:t>,</w:t>
      </w:r>
      <w:r w:rsidR="007D2579">
        <w:t xml:space="preserve"> to discuss (since failed) policy changes being imposed against the will of the communities involved</w:t>
      </w:r>
      <w:r>
        <w:t xml:space="preserve">. </w:t>
      </w:r>
      <w:r w:rsidR="007D2579">
        <w:t>The communities expressly agreed with the broad policy objectives of promoting training leading to employment</w:t>
      </w:r>
      <w:r>
        <w:t>,</w:t>
      </w:r>
      <w:r w:rsidR="007D2579">
        <w:t xml:space="preserve"> but argued that the changes the Commonwealth was</w:t>
      </w:r>
      <w:r>
        <w:t xml:space="preserve"> implementing would not work. </w:t>
      </w:r>
      <w:r w:rsidR="007D2579">
        <w:t xml:space="preserve">The most senior person present, a deputy secretary, contributed nothing and seemed to think that whatever the problem </w:t>
      </w:r>
      <w:r>
        <w:t xml:space="preserve">was, it was not his. </w:t>
      </w:r>
      <w:r w:rsidR="007D2579">
        <w:t xml:space="preserve">Bad policy decisions had to be made </w:t>
      </w:r>
      <w:r>
        <w:t xml:space="preserve">to </w:t>
      </w:r>
      <w:r w:rsidR="007D2579">
        <w:t xml:space="preserve">work by people living in some of the </w:t>
      </w:r>
      <w:r>
        <w:t xml:space="preserve">most </w:t>
      </w:r>
      <w:r w:rsidR="007817D2">
        <w:t>difficult</w:t>
      </w:r>
      <w:r>
        <w:t xml:space="preserve"> circumstances in Australia. </w:t>
      </w:r>
      <w:r w:rsidR="007D2579">
        <w:t>The negative outcomes over the next two years were as predicted by the community and</w:t>
      </w:r>
      <w:r w:rsidR="00C4124D">
        <w:t>,</w:t>
      </w:r>
      <w:r w:rsidR="007D2579">
        <w:t xml:space="preserve"> </w:t>
      </w:r>
      <w:r w:rsidR="00C4124D">
        <w:t>over</w:t>
      </w:r>
      <w:r w:rsidR="007D2579">
        <w:t xml:space="preserve"> the course of that time</w:t>
      </w:r>
      <w:r w:rsidR="00C4124D">
        <w:t>,</w:t>
      </w:r>
      <w:r w:rsidR="007D2579">
        <w:t xml:space="preserve"> it became clear that the external agencies contracted by the Commonwealth had not understood and hence not implemented important </w:t>
      </w:r>
      <w:r w:rsidR="007D2579">
        <w:lastRenderedPageBreak/>
        <w:t>elements of the program. Now there are high</w:t>
      </w:r>
      <w:r w:rsidR="006B3A37">
        <w:t>-</w:t>
      </w:r>
      <w:r w:rsidR="007D2579">
        <w:t xml:space="preserve">level meetings trying to find an approach </w:t>
      </w:r>
      <w:r w:rsidR="00BF2724">
        <w:t xml:space="preserve">that </w:t>
      </w:r>
      <w:r w:rsidR="007D2579">
        <w:t>will work in a practical way</w:t>
      </w:r>
      <w:r w:rsidR="00C4124D">
        <w:t xml:space="preserve">, although </w:t>
      </w:r>
      <w:r w:rsidR="007D2579">
        <w:t>the legislative framework inhibits practical implementation.</w:t>
      </w:r>
    </w:p>
    <w:p w:rsidR="007D2579" w:rsidRDefault="007D2579" w:rsidP="007D2579">
      <w:pPr>
        <w:pStyle w:val="BodyText"/>
      </w:pPr>
      <w:r>
        <w:t>By chance</w:t>
      </w:r>
      <w:r w:rsidR="00C4124D">
        <w:t>,</w:t>
      </w:r>
      <w:r>
        <w:t xml:space="preserve"> I was in one of the associated communities a week before the changes were to be implemented</w:t>
      </w:r>
      <w:r w:rsidR="00C4124D">
        <w:t>,</w:t>
      </w:r>
      <w:r>
        <w:t xml:space="preserve"> when three public servants from three relevant agencies arrived </w:t>
      </w:r>
      <w:r w:rsidR="00C4124D">
        <w:t xml:space="preserve">to explain what was to happen. In fact, the public servants </w:t>
      </w:r>
      <w:r>
        <w:t>misinformed the audience abo</w:t>
      </w:r>
      <w:r w:rsidR="00C4124D">
        <w:t>ut the pending changes. T</w:t>
      </w:r>
      <w:r>
        <w:t xml:space="preserve">his was </w:t>
      </w:r>
      <w:r w:rsidR="00C4124D">
        <w:t xml:space="preserve">probably </w:t>
      </w:r>
      <w:r>
        <w:t>incompetence rather than malice but I am sure the reporting back by this flying squad would have claimed they had met with the communities they visited and informed them of the changes.</w:t>
      </w:r>
    </w:p>
    <w:p w:rsidR="007D2579" w:rsidRDefault="007D2579" w:rsidP="007D2579">
      <w:pPr>
        <w:pStyle w:val="BodyText"/>
      </w:pPr>
      <w:r>
        <w:t>Clearly</w:t>
      </w:r>
      <w:r w:rsidR="00C4124D">
        <w:t>,</w:t>
      </w:r>
      <w:r>
        <w:t xml:space="preserve"> I am not Indigenous but</w:t>
      </w:r>
      <w:r w:rsidR="00C4124D">
        <w:t>,</w:t>
      </w:r>
      <w:r>
        <w:t xml:space="preserve"> from what I have observed</w:t>
      </w:r>
      <w:r w:rsidR="00C4124D">
        <w:t>,</w:t>
      </w:r>
      <w:r>
        <w:t xml:space="preserve"> whatever the policy intentions</w:t>
      </w:r>
      <w:r w:rsidR="006B3A37">
        <w:t>,</w:t>
      </w:r>
      <w:r>
        <w:t xml:space="preserve"> the system is broken</w:t>
      </w:r>
      <w:r w:rsidR="00C4124D">
        <w:t>. W</w:t>
      </w:r>
      <w:r>
        <w:t>ithout systemic change the idea that we can do better through e</w:t>
      </w:r>
      <w:r w:rsidR="00C4124D">
        <w:t xml:space="preserve">valuation I think is a vanity. </w:t>
      </w:r>
      <w:r>
        <w:t xml:space="preserve">My plea </w:t>
      </w:r>
      <w:r w:rsidR="00C4124D">
        <w:t xml:space="preserve">is </w:t>
      </w:r>
      <w:r>
        <w:t xml:space="preserve">to evaluate the systemic barriers </w:t>
      </w:r>
      <w:r w:rsidR="00C4124D">
        <w:t xml:space="preserve">that prevent the kind of </w:t>
      </w:r>
      <w:r>
        <w:t>effective engagemen</w:t>
      </w:r>
      <w:r w:rsidR="00C4124D">
        <w:t xml:space="preserve">t identified by the Steering Committee and </w:t>
      </w:r>
      <w:r w:rsidR="006B3A37">
        <w:t xml:space="preserve">the </w:t>
      </w:r>
      <w:r w:rsidR="00C4124D" w:rsidRPr="00C4124D">
        <w:t xml:space="preserve">Management Advisory Committees </w:t>
      </w:r>
      <w:r w:rsidR="00C4124D">
        <w:t xml:space="preserve">previously mentioned. </w:t>
      </w:r>
      <w:r w:rsidR="006B3A37">
        <w:t xml:space="preserve">A </w:t>
      </w:r>
      <w:r>
        <w:t xml:space="preserve">lot of Aboriginal people </w:t>
      </w:r>
      <w:r w:rsidR="006B3A37">
        <w:t xml:space="preserve">are alienated and disengaged </w:t>
      </w:r>
      <w:r>
        <w:t xml:space="preserve">because of their experiences of dealing with governments.  </w:t>
      </w:r>
    </w:p>
    <w:p w:rsidR="007D2579" w:rsidRDefault="007D2579" w:rsidP="007D2579">
      <w:pPr>
        <w:pStyle w:val="BodyText"/>
      </w:pPr>
      <w:r>
        <w:t xml:space="preserve">My sense about this </w:t>
      </w:r>
      <w:r w:rsidR="007975A4">
        <w:t>roundtable</w:t>
      </w:r>
      <w:r>
        <w:t xml:space="preserve"> is that there is a real risk that it will be another futile effo</w:t>
      </w:r>
      <w:r w:rsidR="007975A4">
        <w:t xml:space="preserve">rt. </w:t>
      </w:r>
      <w:r>
        <w:t>I say that because there are so many reports and assessments of A</w:t>
      </w:r>
      <w:r w:rsidR="007975A4">
        <w:t xml:space="preserve">boriginal policy and programs. </w:t>
      </w:r>
      <w:r>
        <w:t>There is now an accepted wisdom about what works</w:t>
      </w:r>
      <w:r w:rsidR="007975A4">
        <w:t>,</w:t>
      </w:r>
      <w:r>
        <w:t xml:space="preserve"> but repeating the words seems to make no difference to how governm</w:t>
      </w:r>
      <w:r w:rsidR="007975A4">
        <w:t xml:space="preserve">ents and bureaucracies behave. </w:t>
      </w:r>
      <w:r>
        <w:t xml:space="preserve">The </w:t>
      </w:r>
      <w:r w:rsidR="007975A4">
        <w:t xml:space="preserve">National Partnership Agreement on </w:t>
      </w:r>
      <w:r>
        <w:t xml:space="preserve">Remote Service </w:t>
      </w:r>
      <w:r w:rsidR="007975A4">
        <w:t>Delivery s</w:t>
      </w:r>
      <w:r>
        <w:t xml:space="preserve">ets out how things should be done </w:t>
      </w:r>
      <w:r w:rsidR="007975A4">
        <w:t xml:space="preserve">— </w:t>
      </w:r>
      <w:r>
        <w:t>but that is not how they are done. In any event</w:t>
      </w:r>
      <w:r w:rsidR="007975A4">
        <w:t>,</w:t>
      </w:r>
      <w:r>
        <w:t xml:space="preserve"> what about the much larger group of communities </w:t>
      </w:r>
      <w:r w:rsidR="00BF2724">
        <w:t xml:space="preserve">that </w:t>
      </w:r>
      <w:r>
        <w:t xml:space="preserve">are not part of </w:t>
      </w:r>
      <w:r w:rsidR="007975A4">
        <w:t xml:space="preserve">that agreement? How are they dealt with? </w:t>
      </w:r>
      <w:r>
        <w:t xml:space="preserve">The system under which we operate is </w:t>
      </w:r>
      <w:r w:rsidR="007975A4">
        <w:t xml:space="preserve">broken, </w:t>
      </w:r>
      <w:r>
        <w:t xml:space="preserve">and it is </w:t>
      </w:r>
      <w:r w:rsidR="007975A4">
        <w:t>the broken system that</w:t>
      </w:r>
      <w:r>
        <w:t xml:space="preserve"> we should be evaluating.</w:t>
      </w:r>
    </w:p>
    <w:p w:rsidR="007D2579" w:rsidRDefault="002327A7" w:rsidP="00B81315">
      <w:pPr>
        <w:pStyle w:val="Heading2"/>
      </w:pPr>
      <w:r>
        <w:t>3.3</w:t>
      </w:r>
      <w:r>
        <w:tab/>
      </w:r>
      <w:r w:rsidR="007D2579">
        <w:t>Is the system workable?</w:t>
      </w:r>
    </w:p>
    <w:p w:rsidR="007D2579" w:rsidRDefault="007D2579" w:rsidP="007D2579">
      <w:pPr>
        <w:pStyle w:val="BodyText"/>
      </w:pPr>
      <w:r>
        <w:t>Of course</w:t>
      </w:r>
      <w:r w:rsidR="00C536C3">
        <w:t>,</w:t>
      </w:r>
      <w:r>
        <w:t xml:space="preserve"> evaluation should be central to</w:t>
      </w:r>
      <w:r w:rsidR="00C536C3">
        <w:t xml:space="preserve"> how policies are implemented. In 1988, </w:t>
      </w:r>
      <w:r w:rsidR="006B3A37">
        <w:t xml:space="preserve">in </w:t>
      </w:r>
      <w:r w:rsidR="003C323D" w:rsidRPr="00CD5AFA">
        <w:rPr>
          <w:i/>
        </w:rPr>
        <w:t>Shades of Darkness</w:t>
      </w:r>
      <w:r w:rsidR="006B3A37">
        <w:t xml:space="preserve">, </w:t>
      </w:r>
      <w:r>
        <w:t xml:space="preserve">Paul </w:t>
      </w:r>
      <w:proofErr w:type="spellStart"/>
      <w:r>
        <w:t>Hasluck</w:t>
      </w:r>
      <w:proofErr w:type="spellEnd"/>
      <w:r>
        <w:t xml:space="preserve"> captured how a rational system dealing with wicked problems might operate:</w:t>
      </w:r>
    </w:p>
    <w:p w:rsidR="00D83775" w:rsidRDefault="007D2579" w:rsidP="00C536C3">
      <w:pPr>
        <w:pStyle w:val="Quote"/>
      </w:pPr>
      <w:r>
        <w:t>…</w:t>
      </w:r>
      <w:r w:rsidR="00C536C3">
        <w:t xml:space="preserve"> </w:t>
      </w:r>
      <w:r>
        <w:t>my personal belief, as in other fields of government, is that policy is shaped and developed best when it is the outcome of p</w:t>
      </w:r>
      <w:r w:rsidR="00C536C3">
        <w:t xml:space="preserve">ractice rather than of theory. </w:t>
      </w:r>
      <w:r>
        <w:t>The purpose behind a policy is achieved through agencies of government working on a situ</w:t>
      </w:r>
      <w:r w:rsidR="00C536C3">
        <w:t xml:space="preserve">ation and problems that arise. </w:t>
      </w:r>
      <w:r>
        <w:t>I wanted my officers to see a policy of assimilation as an ideal and as the ultimate purpose of their work but not t</w:t>
      </w:r>
      <w:r w:rsidR="00C536C3">
        <w:t xml:space="preserve">o bind themselves to a theory. </w:t>
      </w:r>
      <w:r>
        <w:t>Let the policy take shape and let the administrative measures be chosen through decisions an</w:t>
      </w:r>
      <w:r w:rsidR="00C536C3">
        <w:t xml:space="preserve">d actions on successive tasks. </w:t>
      </w:r>
      <w:r>
        <w:t>The results wo</w:t>
      </w:r>
      <w:r w:rsidR="00C536C3">
        <w:t xml:space="preserve">uld be observed at each stage. </w:t>
      </w:r>
    </w:p>
    <w:p w:rsidR="007D2579" w:rsidRDefault="007D2579" w:rsidP="00C536C3">
      <w:pPr>
        <w:pStyle w:val="Quote"/>
      </w:pPr>
      <w:r>
        <w:lastRenderedPageBreak/>
        <w:t>The process of assimilation would be one of progressive change and we would need to watch the change and make adjustments in plans and methods to sui</w:t>
      </w:r>
      <w:r w:rsidR="00C536C3">
        <w:t xml:space="preserve">t the situations that emerged. </w:t>
      </w:r>
      <w:r>
        <w:t>We should be concerned with what happened to peopl</w:t>
      </w:r>
      <w:r w:rsidR="00C536C3">
        <w:t>e rather than with any theory. (</w:t>
      </w:r>
      <w:proofErr w:type="spellStart"/>
      <w:r w:rsidR="00C536C3">
        <w:t>Hasluck</w:t>
      </w:r>
      <w:proofErr w:type="spellEnd"/>
      <w:r w:rsidR="00C536C3">
        <w:t xml:space="preserve"> 1988)</w:t>
      </w:r>
    </w:p>
    <w:p w:rsidR="007D2579" w:rsidRDefault="007D2579" w:rsidP="007D2579">
      <w:pPr>
        <w:pStyle w:val="BodyText"/>
      </w:pPr>
      <w:r>
        <w:t xml:space="preserve">The formal policy is no longer assimilation </w:t>
      </w:r>
      <w:r w:rsidR="00D83775">
        <w:t xml:space="preserve">— </w:t>
      </w:r>
      <w:r>
        <w:t>but that is not the point of the quotation. Delete the word assimilation and apply it to any policy. It is the approach that</w:t>
      </w:r>
      <w:r w:rsidR="00D83775">
        <w:t xml:space="preserve"> is relevant to this workshop. </w:t>
      </w:r>
      <w:r>
        <w:t>This approach presupposes a constant capacity for evaluation during a lengthy process</w:t>
      </w:r>
      <w:r w:rsidR="00D83775">
        <w:t>. I</w:t>
      </w:r>
      <w:r>
        <w:t>t presupposes an ideal which you work towards flexibly</w:t>
      </w:r>
      <w:r w:rsidR="00D83775">
        <w:t>,</w:t>
      </w:r>
      <w:r>
        <w:t xml:space="preserve"> and a high degree of lo</w:t>
      </w:r>
      <w:r w:rsidR="00D83775">
        <w:t xml:space="preserve">cal knowledge and variability. </w:t>
      </w:r>
      <w:r>
        <w:t xml:space="preserve">As </w:t>
      </w:r>
      <w:proofErr w:type="spellStart"/>
      <w:r>
        <w:t>Hasluck</w:t>
      </w:r>
      <w:proofErr w:type="spellEnd"/>
      <w:r>
        <w:t xml:space="preserve"> said </w:t>
      </w:r>
      <w:r w:rsidR="00D83775">
        <w:t>‘</w:t>
      </w:r>
      <w:r>
        <w:t>the applicability of the p</w:t>
      </w:r>
      <w:r w:rsidR="00D83775">
        <w:t>olicy to Aborigines was uneven</w:t>
      </w:r>
      <w:r w:rsidR="00E40E2F">
        <w:t>’</w:t>
      </w:r>
      <w:r w:rsidR="00D83775">
        <w:t>.</w:t>
      </w:r>
      <w:r>
        <w:t xml:space="preserve"> The rigidity of national policy</w:t>
      </w:r>
      <w:r w:rsidR="00D83775">
        <w:t>,</w:t>
      </w:r>
      <w:r>
        <w:t xml:space="preserve"> legal and administrative frameworks, </w:t>
      </w:r>
      <w:r w:rsidR="00D83775">
        <w:t xml:space="preserve">and </w:t>
      </w:r>
      <w:r>
        <w:t>the lack</w:t>
      </w:r>
      <w:r w:rsidR="00D83775">
        <w:t xml:space="preserve"> of locally knowledgeable staff, </w:t>
      </w:r>
      <w:r>
        <w:t xml:space="preserve">make </w:t>
      </w:r>
      <w:r w:rsidR="00D83775">
        <w:t xml:space="preserve">an iterative </w:t>
      </w:r>
      <w:r>
        <w:t>learning by doing</w:t>
      </w:r>
      <w:r w:rsidR="00D83775">
        <w:t xml:space="preserve"> approach impossible. </w:t>
      </w:r>
      <w:r>
        <w:t xml:space="preserve">We are light years away from the pragmatic approach to administration of policy suggested by </w:t>
      </w:r>
      <w:proofErr w:type="spellStart"/>
      <w:r>
        <w:t>Hasluck</w:t>
      </w:r>
      <w:proofErr w:type="spellEnd"/>
      <w:r>
        <w:t xml:space="preserve">.  </w:t>
      </w:r>
    </w:p>
    <w:p w:rsidR="007D2579" w:rsidRDefault="007D2579" w:rsidP="007D2579">
      <w:pPr>
        <w:pStyle w:val="BodyText"/>
      </w:pPr>
      <w:r>
        <w:t>In fact</w:t>
      </w:r>
      <w:r w:rsidR="00D83775">
        <w:t>,</w:t>
      </w:r>
      <w:r>
        <w:t xml:space="preserve"> we have fallen back, lacking clarity in current policy objectives</w:t>
      </w:r>
      <w:r w:rsidR="00D83775">
        <w:t xml:space="preserve"> — </w:t>
      </w:r>
      <w:r>
        <w:t>are they for assimilation or for recognition of Aboriginal people having the right to cultura</w:t>
      </w:r>
      <w:r w:rsidR="00D83775">
        <w:t xml:space="preserve">l difference and preservation? This matters. </w:t>
      </w:r>
      <w:r>
        <w:t xml:space="preserve">As a senior Aboriginal leader put it to me, </w:t>
      </w:r>
      <w:r w:rsidR="00D83775">
        <w:t xml:space="preserve">some Aboriginal </w:t>
      </w:r>
      <w:r>
        <w:t>parents resist education because they don’t want their children to stop being blac</w:t>
      </w:r>
      <w:r w:rsidR="00D83775">
        <w:t xml:space="preserve">kfellas. </w:t>
      </w:r>
      <w:r>
        <w:t>The impliedly assimilationist tone of much policy debate is a barrier to achieving the educational and employment objectives we all, Aboriginals included, have.</w:t>
      </w:r>
    </w:p>
    <w:p w:rsidR="007D2579" w:rsidRDefault="007D2579" w:rsidP="007D2579">
      <w:pPr>
        <w:pStyle w:val="BodyText"/>
      </w:pPr>
      <w:r>
        <w:t>The Commonwealth has a Coordinator</w:t>
      </w:r>
      <w:r w:rsidR="00295A3D">
        <w:t>-</w:t>
      </w:r>
      <w:r>
        <w:t>General f</w:t>
      </w:r>
      <w:r w:rsidR="00D83775">
        <w:t xml:space="preserve">or Remote Indigenous Services, Brian Gleeson. </w:t>
      </w:r>
      <w:r>
        <w:t xml:space="preserve">His role is to report to the relevant </w:t>
      </w:r>
      <w:r w:rsidR="00295A3D">
        <w:t>m</w:t>
      </w:r>
      <w:r>
        <w:t>inister o</w:t>
      </w:r>
      <w:r w:rsidR="00D83775">
        <w:t xml:space="preserve">n the development and delivery </w:t>
      </w:r>
      <w:r>
        <w:t>of governm</w:t>
      </w:r>
      <w:r w:rsidR="00D83775">
        <w:t>ent services and facilities</w:t>
      </w:r>
      <w:r w:rsidR="00295A3D">
        <w:t>, including improvements to the coordination and delivery of such services,</w:t>
      </w:r>
      <w:r w:rsidR="00D83775">
        <w:t xml:space="preserve"> in 29 </w:t>
      </w:r>
      <w:r>
        <w:t xml:space="preserve">specified remote communities. </w:t>
      </w:r>
      <w:r w:rsidR="00D83775">
        <w:t>At a conference on evaluating complex policy initiatives, the Coordinator</w:t>
      </w:r>
      <w:r w:rsidR="00295A3D">
        <w:t>-</w:t>
      </w:r>
      <w:r w:rsidR="00D83775">
        <w:t xml:space="preserve">General listed </w:t>
      </w:r>
      <w:r w:rsidR="00295A3D">
        <w:t>10</w:t>
      </w:r>
      <w:r w:rsidR="00D83775">
        <w:t xml:space="preserve"> barriers to effective evaluation of</w:t>
      </w:r>
      <w:r>
        <w:t xml:space="preserve"> the National Partnership Agreement on Remote Service Delivery:</w:t>
      </w:r>
    </w:p>
    <w:p w:rsidR="007D2579" w:rsidRDefault="00D83775" w:rsidP="00D83775">
      <w:pPr>
        <w:pStyle w:val="ListBullet"/>
      </w:pPr>
      <w:r>
        <w:t>f</w:t>
      </w:r>
      <w:r w:rsidR="007D2579">
        <w:t xml:space="preserve">uzzy program logic </w:t>
      </w:r>
      <w:r>
        <w:t>and</w:t>
      </w:r>
      <w:r w:rsidR="007D2579">
        <w:t xml:space="preserve"> diffuse objectives</w:t>
      </w:r>
    </w:p>
    <w:p w:rsidR="007D2579" w:rsidRDefault="00D83775" w:rsidP="00D83775">
      <w:pPr>
        <w:pStyle w:val="ListBullet"/>
      </w:pPr>
      <w:r>
        <w:t>the difficult</w:t>
      </w:r>
      <w:r w:rsidR="007D2579">
        <w:t xml:space="preserve"> concept of the comparison community</w:t>
      </w:r>
    </w:p>
    <w:p w:rsidR="007D2579" w:rsidRDefault="00D83775" w:rsidP="00D83775">
      <w:pPr>
        <w:pStyle w:val="ListBullet"/>
      </w:pPr>
      <w:r>
        <w:t>l</w:t>
      </w:r>
      <w:r w:rsidR="007D2579">
        <w:t>ack of minimum service standards against which to measure progress</w:t>
      </w:r>
    </w:p>
    <w:p w:rsidR="007D2579" w:rsidRDefault="00D83775" w:rsidP="00D83775">
      <w:pPr>
        <w:pStyle w:val="ListBullet"/>
      </w:pPr>
      <w:r>
        <w:t>l</w:t>
      </w:r>
      <w:r w:rsidR="007D2579">
        <w:t>ack of place</w:t>
      </w:r>
      <w:r w:rsidR="00295A3D">
        <w:t>-</w:t>
      </w:r>
      <w:r w:rsidR="007D2579">
        <w:t>based data and ability to share data (privacy considerations)</w:t>
      </w:r>
    </w:p>
    <w:p w:rsidR="007D2579" w:rsidRDefault="00D83775" w:rsidP="00D83775">
      <w:pPr>
        <w:pStyle w:val="ListBullet"/>
      </w:pPr>
      <w:r>
        <w:t>l</w:t>
      </w:r>
      <w:r w:rsidR="007D2579">
        <w:t xml:space="preserve">ack of performance measures in </w:t>
      </w:r>
      <w:r w:rsidR="00BF2724">
        <w:t>l</w:t>
      </w:r>
      <w:r w:rsidR="007D2579">
        <w:t xml:space="preserve">ocal </w:t>
      </w:r>
      <w:r w:rsidR="00BF2724">
        <w:t>i</w:t>
      </w:r>
      <w:r w:rsidR="007D2579">
        <w:t xml:space="preserve">mplementation </w:t>
      </w:r>
      <w:r w:rsidR="00BF2724">
        <w:t>p</w:t>
      </w:r>
      <w:r w:rsidR="007D2579">
        <w:t>lans</w:t>
      </w:r>
    </w:p>
    <w:p w:rsidR="007D2579" w:rsidRDefault="00D83775" w:rsidP="00D83775">
      <w:pPr>
        <w:pStyle w:val="ListBullet"/>
      </w:pPr>
      <w:r>
        <w:t>d</w:t>
      </w:r>
      <w:r w:rsidR="007D2579">
        <w:t>iffusion of responsibility and lack of leadership authority</w:t>
      </w:r>
    </w:p>
    <w:p w:rsidR="007D2579" w:rsidRDefault="00D83775" w:rsidP="00D83775">
      <w:pPr>
        <w:pStyle w:val="ListBullet"/>
      </w:pPr>
      <w:r>
        <w:t>m</w:t>
      </w:r>
      <w:r w:rsidR="007D2579">
        <w:t xml:space="preserve">ultiple levels of action </w:t>
      </w:r>
      <w:r>
        <w:t>—</w:t>
      </w:r>
      <w:r w:rsidR="007D2579">
        <w:t xml:space="preserve"> across governments, between </w:t>
      </w:r>
      <w:r>
        <w:t>governments, at community level</w:t>
      </w:r>
    </w:p>
    <w:p w:rsidR="007D2579" w:rsidRDefault="00D83775" w:rsidP="00D83775">
      <w:pPr>
        <w:pStyle w:val="ListBullet"/>
      </w:pPr>
      <w:r>
        <w:lastRenderedPageBreak/>
        <w:t>m</w:t>
      </w:r>
      <w:r w:rsidR="007D2579">
        <w:t xml:space="preserve">ultiple objectives </w:t>
      </w:r>
      <w:r>
        <w:t>—</w:t>
      </w:r>
      <w:r w:rsidR="007D2579">
        <w:t xml:space="preserve"> new ways of working, improving service systems, improving outcomes</w:t>
      </w:r>
    </w:p>
    <w:p w:rsidR="007D2579" w:rsidRDefault="00D83775" w:rsidP="00D83775">
      <w:pPr>
        <w:pStyle w:val="ListBullet"/>
      </w:pPr>
      <w:r>
        <w:t>d</w:t>
      </w:r>
      <w:r w:rsidR="007D2579">
        <w:t>ifficulty in measuri</w:t>
      </w:r>
      <w:r>
        <w:t>ng improvements i</w:t>
      </w:r>
      <w:r w:rsidR="007D2579">
        <w:t>n social outcomes over the short term</w:t>
      </w:r>
    </w:p>
    <w:p w:rsidR="007D2579" w:rsidRDefault="00CD5AFA" w:rsidP="00D83775">
      <w:pPr>
        <w:pStyle w:val="ListBullet"/>
      </w:pPr>
      <w:r>
        <w:t>l</w:t>
      </w:r>
      <w:r w:rsidR="007D2579">
        <w:t xml:space="preserve">ocal </w:t>
      </w:r>
      <w:r w:rsidR="00BF2724">
        <w:t>i</w:t>
      </w:r>
      <w:r w:rsidR="007D2579">
        <w:t xml:space="preserve">mplementation </w:t>
      </w:r>
      <w:r w:rsidR="00BF2724">
        <w:t>p</w:t>
      </w:r>
      <w:r w:rsidR="007D2579">
        <w:t xml:space="preserve">lans </w:t>
      </w:r>
      <w:r w:rsidR="00D83775">
        <w:t>that include in excess of 3</w:t>
      </w:r>
      <w:r w:rsidR="0071597D">
        <w:t>000 actions nationally (Gleeson 2012).</w:t>
      </w:r>
    </w:p>
    <w:p w:rsidR="007D2579" w:rsidRDefault="007D2579" w:rsidP="007D2579">
      <w:pPr>
        <w:pStyle w:val="BodyText"/>
      </w:pPr>
      <w:r>
        <w:t>The lessons he drew included using local expertise where possible and building in accountability to the community as well a</w:t>
      </w:r>
      <w:r w:rsidR="00D83775">
        <w:t xml:space="preserve">s governments. In addition to his </w:t>
      </w:r>
      <w:r>
        <w:t>formal presentation</w:t>
      </w:r>
      <w:r w:rsidR="00D83775">
        <w:t>,</w:t>
      </w:r>
      <w:r>
        <w:t xml:space="preserve"> available on the website</w:t>
      </w:r>
      <w:r w:rsidR="00D83775">
        <w:t>,</w:t>
      </w:r>
      <w:r>
        <w:t xml:space="preserve"> his reported oral comments less diplomatically described his task as </w:t>
      </w:r>
      <w:r w:rsidR="00D83775">
        <w:t>‘</w:t>
      </w:r>
      <w:r>
        <w:t>impossible</w:t>
      </w:r>
      <w:r w:rsidR="00D83775">
        <w:t>’. The setting of 3</w:t>
      </w:r>
      <w:r>
        <w:t>000 act</w:t>
      </w:r>
      <w:r w:rsidR="00D83775">
        <w:t xml:space="preserve">ions was an impossible number. </w:t>
      </w:r>
      <w:r>
        <w:t xml:space="preserve">He is quoted as saying </w:t>
      </w:r>
      <w:r w:rsidR="0071597D">
        <w:t>‘I mapped out in all the 29 </w:t>
      </w:r>
      <w:r>
        <w:t xml:space="preserve">communities every single service </w:t>
      </w:r>
      <w:r w:rsidR="0071597D">
        <w:t>—</w:t>
      </w:r>
      <w:r>
        <w:t xml:space="preserve"> whether it’s access to police, childcare facility, cr</w:t>
      </w:r>
      <w:r w:rsidR="0071597D">
        <w:t xml:space="preserve">èche, down to a swimming pool. </w:t>
      </w:r>
      <w:r>
        <w:t>And I tell you what, a lot of</w:t>
      </w:r>
      <w:r w:rsidR="0071597D">
        <w:t xml:space="preserve"> crosses compared to the ticks</w:t>
      </w:r>
      <w:r w:rsidR="00295A3D">
        <w:t>’</w:t>
      </w:r>
      <w:r w:rsidR="0071597D">
        <w:t>.</w:t>
      </w:r>
    </w:p>
    <w:p w:rsidR="007D2579" w:rsidRDefault="007D2579" w:rsidP="007D2579">
      <w:pPr>
        <w:pStyle w:val="BodyText"/>
      </w:pPr>
      <w:r>
        <w:t>Recently</w:t>
      </w:r>
      <w:r w:rsidR="008C15FE">
        <w:t xml:space="preserve"> abolished</w:t>
      </w:r>
      <w:r>
        <w:t xml:space="preserve">, the Northern Territory equivalent </w:t>
      </w:r>
      <w:r w:rsidR="00295A3D">
        <w:t xml:space="preserve">of </w:t>
      </w:r>
      <w:r w:rsidR="0071597D">
        <w:t>the Coordinator</w:t>
      </w:r>
      <w:r w:rsidR="00121E19">
        <w:noBreakHyphen/>
      </w:r>
      <w:r w:rsidR="008C15FE">
        <w:t>G</w:t>
      </w:r>
      <w:r w:rsidR="0071597D">
        <w:t>eneral reported to her government</w:t>
      </w:r>
      <w:r w:rsidR="008C15FE">
        <w:t xml:space="preserve"> in late 2012</w:t>
      </w:r>
      <w:r w:rsidR="0071597D">
        <w:t xml:space="preserve">. </w:t>
      </w:r>
      <w:r w:rsidR="008C15FE">
        <w:t>Her</w:t>
      </w:r>
      <w:r>
        <w:t xml:space="preserve"> report demand</w:t>
      </w:r>
      <w:r w:rsidR="008C15FE">
        <w:t>ed</w:t>
      </w:r>
      <w:r>
        <w:t xml:space="preserve"> </w:t>
      </w:r>
      <w:r w:rsidR="008C15FE">
        <w:t xml:space="preserve">that </w:t>
      </w:r>
      <w:r>
        <w:t>greater priority be given to a rigorous review and evaluation of programs but also dr</w:t>
      </w:r>
      <w:r w:rsidR="008C15FE">
        <w:t>e</w:t>
      </w:r>
      <w:r>
        <w:t xml:space="preserve">w attention to the failure to take into account the cultural context and needs of Aboriginal towns and communities, the failure to counteract entrenched structural racism and exclusionary practices </w:t>
      </w:r>
      <w:r w:rsidR="008C15FE">
        <w:t xml:space="preserve">affecting </w:t>
      </w:r>
      <w:r>
        <w:t xml:space="preserve">the provision and delivery of services, the fragmentation of funding, investment in repair rather than prevention, the marginalisation of Aboriginal people in </w:t>
      </w:r>
      <w:proofErr w:type="spellStart"/>
      <w:r>
        <w:t>decisionmaking</w:t>
      </w:r>
      <w:proofErr w:type="spellEnd"/>
      <w:r>
        <w:t xml:space="preserve"> </w:t>
      </w:r>
      <w:proofErr w:type="spellStart"/>
      <w:r>
        <w:t>etc</w:t>
      </w:r>
      <w:proofErr w:type="spellEnd"/>
      <w:r>
        <w:t xml:space="preserve"> </w:t>
      </w:r>
      <w:proofErr w:type="spellStart"/>
      <w:r>
        <w:t>etc</w:t>
      </w:r>
      <w:proofErr w:type="spellEnd"/>
      <w:r>
        <w:t xml:space="preserve"> </w:t>
      </w:r>
      <w:proofErr w:type="spellStart"/>
      <w:r>
        <w:t>etc</w:t>
      </w:r>
      <w:proofErr w:type="spellEnd"/>
      <w:r w:rsidR="0056214B">
        <w:t xml:space="preserve"> (</w:t>
      </w:r>
      <w:proofErr w:type="spellStart"/>
      <w:r w:rsidR="0056214B">
        <w:t>Havnen</w:t>
      </w:r>
      <w:proofErr w:type="spellEnd"/>
      <w:r w:rsidR="0056214B">
        <w:t xml:space="preserve"> 2012)</w:t>
      </w:r>
      <w:r>
        <w:t>. The list of her concer</w:t>
      </w:r>
      <w:r w:rsidR="0056214B">
        <w:t>ns is too long to include here.</w:t>
      </w:r>
      <w:r>
        <w:t xml:space="preserve"> Her (in my view entirely valid) concerns dwarf the issue of evaluation of individual programs.</w:t>
      </w:r>
    </w:p>
    <w:p w:rsidR="007D2579" w:rsidRDefault="007D2579" w:rsidP="007D2579">
      <w:pPr>
        <w:pStyle w:val="BodyText"/>
      </w:pPr>
      <w:r>
        <w:t>These comments relate largely to the issues confronting programs in remote communities, the communities where the stati</w:t>
      </w:r>
      <w:r w:rsidR="0056214B">
        <w:t xml:space="preserve">stics are generally the worst. </w:t>
      </w:r>
      <w:r>
        <w:t>They reflect a view that the system of government, the governance of governments, is a barrier to achieving government and community objectives</w:t>
      </w:r>
      <w:r w:rsidR="0056214B">
        <w:t>,</w:t>
      </w:r>
      <w:r>
        <w:t xml:space="preserve"> and </w:t>
      </w:r>
      <w:r w:rsidR="0056214B">
        <w:t xml:space="preserve">is in need of fundamental reform. </w:t>
      </w:r>
      <w:r>
        <w:t>These issues are canvassed in much more detail in the</w:t>
      </w:r>
      <w:r w:rsidR="0056214B">
        <w:t xml:space="preserve"> report previously referred to</w:t>
      </w:r>
      <w:r w:rsidR="00295A3D">
        <w:t>,</w:t>
      </w:r>
      <w:r w:rsidR="0056214B">
        <w:t xml:space="preserve"> </w:t>
      </w:r>
      <w:r w:rsidRPr="0056214B">
        <w:rPr>
          <w:i/>
        </w:rPr>
        <w:t>Fixing the</w:t>
      </w:r>
      <w:r w:rsidR="0056214B" w:rsidRPr="0056214B">
        <w:rPr>
          <w:i/>
        </w:rPr>
        <w:t xml:space="preserve"> Hole in Australia’s Heartland</w:t>
      </w:r>
      <w:r w:rsidR="0056214B">
        <w:t xml:space="preserve"> (Walker</w:t>
      </w:r>
      <w:r w:rsidR="0056214B" w:rsidRPr="0056214B">
        <w:t>, Porter and Marsh 2012</w:t>
      </w:r>
      <w:r w:rsidR="0056214B">
        <w:t>).</w:t>
      </w:r>
      <w:r>
        <w:t xml:space="preserve"> I commend it to this </w:t>
      </w:r>
      <w:r w:rsidR="0056214B">
        <w:t>roundtable’s</w:t>
      </w:r>
      <w:r>
        <w:t xml:space="preserve"> participants.</w:t>
      </w:r>
    </w:p>
    <w:p w:rsidR="007D2579" w:rsidRDefault="0056214B" w:rsidP="007D2579">
      <w:pPr>
        <w:pStyle w:val="BodyText"/>
      </w:pPr>
      <w:r w:rsidRPr="0056214B">
        <w:rPr>
          <w:i/>
        </w:rPr>
        <w:t>Fixing the Hole in Australia’s Heartland</w:t>
      </w:r>
      <w:r w:rsidR="007D2579">
        <w:t xml:space="preserve"> is not a report on Aboriginal policy</w:t>
      </w:r>
      <w:r>
        <w:t>,</w:t>
      </w:r>
      <w:r w:rsidR="007D2579">
        <w:t xml:space="preserve"> programs and administration</w:t>
      </w:r>
      <w:r>
        <w:t>,</w:t>
      </w:r>
      <w:r w:rsidR="007D2579">
        <w:t xml:space="preserve"> b</w:t>
      </w:r>
      <w:r>
        <w:t xml:space="preserve">ut on how government operates. </w:t>
      </w:r>
      <w:r w:rsidR="007D2579">
        <w:t>Had it focused on Aboriginal issues</w:t>
      </w:r>
      <w:r>
        <w:t>,</w:t>
      </w:r>
      <w:r w:rsidR="007D2579">
        <w:t xml:space="preserve"> that would have obscured the role of gove</w:t>
      </w:r>
      <w:r>
        <w:t xml:space="preserve">rnment in causing dysfunction. </w:t>
      </w:r>
      <w:r w:rsidR="007D2579">
        <w:t xml:space="preserve">But the analysis is particularly important to Aboriginal communities because of the </w:t>
      </w:r>
      <w:r>
        <w:t xml:space="preserve">role government plays in those communities. </w:t>
      </w:r>
      <w:r w:rsidR="007D2579">
        <w:t xml:space="preserve">Trying to centrally manage programs across the wide variety of circumstances in remote Australia is correctly described by Brian Gleeson as </w:t>
      </w:r>
      <w:r w:rsidR="00365CCE">
        <w:t>‘</w:t>
      </w:r>
      <w:r w:rsidR="007D2579">
        <w:t>impossible</w:t>
      </w:r>
      <w:r w:rsidR="00365CCE">
        <w:t>’</w:t>
      </w:r>
      <w:r w:rsidR="007D2579">
        <w:t>.</w:t>
      </w:r>
    </w:p>
    <w:p w:rsidR="007D2579" w:rsidRDefault="007D2579" w:rsidP="007D2579">
      <w:pPr>
        <w:pStyle w:val="BodyText"/>
      </w:pPr>
      <w:r>
        <w:lastRenderedPageBreak/>
        <w:t xml:space="preserve">When I read the </w:t>
      </w:r>
      <w:r w:rsidR="0056214B">
        <w:t>‘</w:t>
      </w:r>
      <w:r>
        <w:t>Stronger Futures</w:t>
      </w:r>
      <w:r w:rsidR="0056214B">
        <w:t>’</w:t>
      </w:r>
      <w:r>
        <w:t xml:space="preserve"> legislation recently supported in the Parliament by </w:t>
      </w:r>
      <w:r w:rsidR="0056214B">
        <w:t xml:space="preserve">both the </w:t>
      </w:r>
      <w:r>
        <w:t xml:space="preserve">Government and </w:t>
      </w:r>
      <w:r w:rsidR="0056214B">
        <w:t xml:space="preserve">the Opposition, </w:t>
      </w:r>
      <w:r>
        <w:t>I could identify the good intentions but thought the approach worthy of the failed Soviet Union. The endless opportunities for bureaucrats at all levels to intervene in the lives of Aboriginal peopl</w:t>
      </w:r>
      <w:r w:rsidR="0056214B">
        <w:t xml:space="preserve">e provide a chilling prospect. </w:t>
      </w:r>
      <w:r>
        <w:t>Can the Commonwealth, whoever is in government, claim to have the stable</w:t>
      </w:r>
      <w:r w:rsidR="0056214B">
        <w:t>,</w:t>
      </w:r>
      <w:r>
        <w:t xml:space="preserve"> skilled</w:t>
      </w:r>
      <w:r w:rsidR="0056214B">
        <w:t>,</w:t>
      </w:r>
      <w:r>
        <w:t xml:space="preserve"> local bureaucratic capacity to deliver over a </w:t>
      </w:r>
      <w:r w:rsidR="00C95948">
        <w:t>10-</w:t>
      </w:r>
      <w:r>
        <w:t xml:space="preserve">year term, to work as </w:t>
      </w:r>
      <w:proofErr w:type="spellStart"/>
      <w:r>
        <w:t>Hasluck</w:t>
      </w:r>
      <w:proofErr w:type="spellEnd"/>
      <w:r>
        <w:t xml:space="preserve"> su</w:t>
      </w:r>
      <w:r w:rsidR="0056214B">
        <w:t xml:space="preserve">ggested? </w:t>
      </w:r>
      <w:r>
        <w:t xml:space="preserve">The one capacity we can be sure </w:t>
      </w:r>
      <w:r w:rsidR="0056214B">
        <w:t>government</w:t>
      </w:r>
      <w:r>
        <w:t xml:space="preserve"> has and will have is the capacity to </w:t>
      </w:r>
      <w:r w:rsidR="0056214B">
        <w:t>‘</w:t>
      </w:r>
      <w:r>
        <w:t>breach</w:t>
      </w:r>
      <w:r w:rsidR="0056214B">
        <w:t>’ individuals for non-compliance</w:t>
      </w:r>
      <w:r>
        <w:t xml:space="preserve"> whe</w:t>
      </w:r>
      <w:r w:rsidR="0056214B">
        <w:t xml:space="preserve">n the helping activities fail. </w:t>
      </w:r>
      <w:r>
        <w:t xml:space="preserve">All that requires is the press of a computer key. </w:t>
      </w:r>
    </w:p>
    <w:p w:rsidR="007D2579" w:rsidRDefault="007D2579" w:rsidP="007D2579">
      <w:pPr>
        <w:pStyle w:val="BodyText"/>
      </w:pPr>
      <w:r>
        <w:t>Any succ</w:t>
      </w:r>
      <w:r w:rsidR="0056214B">
        <w:t>essful approach has to be local —</w:t>
      </w:r>
      <w:r>
        <w:t xml:space="preserve"> suited to local circumstances and reali</w:t>
      </w:r>
      <w:r w:rsidR="0056214B">
        <w:t xml:space="preserve">ties. </w:t>
      </w:r>
      <w:r>
        <w:t xml:space="preserve">It has to start where the people </w:t>
      </w:r>
      <w:r w:rsidR="0056214B">
        <w:t xml:space="preserve">are if they are to be engaged. </w:t>
      </w:r>
      <w:r>
        <w:t>As Noel Pearson has sagely observed</w:t>
      </w:r>
      <w:r w:rsidR="0056214B">
        <w:t>,</w:t>
      </w:r>
      <w:r>
        <w:t xml:space="preserve"> things have to be done in the right order</w:t>
      </w:r>
      <w:r w:rsidR="0056214B">
        <w:t>,</w:t>
      </w:r>
      <w:r>
        <w:t xml:space="preserve"> as circumstances require</w:t>
      </w:r>
      <w:r w:rsidR="0056214B">
        <w:t xml:space="preserve"> —</w:t>
      </w:r>
      <w:r>
        <w:t xml:space="preserve"> another reason why approaches will be </w:t>
      </w:r>
      <w:r w:rsidR="0056214B">
        <w:t xml:space="preserve">different from place to place. To be successful, an approach </w:t>
      </w:r>
      <w:r>
        <w:t>has to be supporte</w:t>
      </w:r>
      <w:r w:rsidR="0056214B">
        <w:t xml:space="preserve">d by all levels of government. </w:t>
      </w:r>
      <w:r>
        <w:t>If</w:t>
      </w:r>
      <w:r w:rsidR="0056214B">
        <w:t>,</w:t>
      </w:r>
      <w:r>
        <w:t xml:space="preserve"> as at present</w:t>
      </w:r>
      <w:r w:rsidR="0056214B">
        <w:t>,</w:t>
      </w:r>
      <w:r>
        <w:t xml:space="preserve"> there is intergovernmental tension and rivalry</w:t>
      </w:r>
      <w:r w:rsidR="0056214B">
        <w:t>,</w:t>
      </w:r>
      <w:r>
        <w:t xml:space="preserve"> the game is lost. The approach has to have a legal framework </w:t>
      </w:r>
      <w:r w:rsidR="0056214B">
        <w:t>that</w:t>
      </w:r>
      <w:r>
        <w:t xml:space="preserve"> allows sufficient flexibi</w:t>
      </w:r>
      <w:r w:rsidR="0056214B">
        <w:t xml:space="preserve">lity to do what has to be done to </w:t>
      </w:r>
      <w:r>
        <w:t>involve the people concerned in the design and delivery of programs</w:t>
      </w:r>
      <w:r w:rsidR="0056214B">
        <w:t>,</w:t>
      </w:r>
      <w:r>
        <w:t xml:space="preserve"> which in turn </w:t>
      </w:r>
      <w:r w:rsidR="0056214B">
        <w:t xml:space="preserve">must </w:t>
      </w:r>
      <w:r>
        <w:t xml:space="preserve">take into account cultural </w:t>
      </w:r>
      <w:r w:rsidR="00F650B6">
        <w:t xml:space="preserve">perspectives. </w:t>
      </w:r>
      <w:r>
        <w:t xml:space="preserve">There has to be local capacity to manage towards agreed objectives and to deploy available resources accordingly. There has to be acceptance that mistakes will be made and </w:t>
      </w:r>
      <w:r w:rsidR="00C95948">
        <w:t xml:space="preserve">that they </w:t>
      </w:r>
      <w:r>
        <w:t>will be</w:t>
      </w:r>
      <w:r w:rsidR="00F650B6">
        <w:t xml:space="preserve"> used as learning experiences. </w:t>
      </w:r>
      <w:r>
        <w:t xml:space="preserve">There </w:t>
      </w:r>
      <w:r w:rsidR="00F650B6">
        <w:t>has to be local accountability.</w:t>
      </w:r>
      <w:r>
        <w:t xml:space="preserve"> Government has to use employment rather than welfare approaches. We are a long way from meeting those conditions.</w:t>
      </w:r>
      <w:r w:rsidR="00F650B6">
        <w:t xml:space="preserve"> </w:t>
      </w:r>
    </w:p>
    <w:p w:rsidR="007D2579" w:rsidRDefault="007D2579" w:rsidP="007D2579">
      <w:pPr>
        <w:pStyle w:val="BodyText"/>
      </w:pPr>
      <w:r>
        <w:t xml:space="preserve">To again quote </w:t>
      </w:r>
      <w:r w:rsidR="00121E19">
        <w:t xml:space="preserve">Dillon and </w:t>
      </w:r>
      <w:r>
        <w:t>Westbury:</w:t>
      </w:r>
    </w:p>
    <w:p w:rsidR="00F056FC" w:rsidRDefault="007D2579" w:rsidP="007D2579">
      <w:pPr>
        <w:pStyle w:val="Quote"/>
      </w:pPr>
      <w:r>
        <w:t>How is it that governments at all levels, and of all political persuasions, have allowed this level of systemic failure for so long? Why is it that governments have found it easier to ignore systemic failure, while promoting worn out policy approaches that have proved unworkable? (200</w:t>
      </w:r>
      <w:r w:rsidR="00C612D3">
        <w:t>7</w:t>
      </w:r>
      <w:r>
        <w:t>, p. 192)</w:t>
      </w:r>
    </w:p>
    <w:p w:rsidR="007D2579" w:rsidRDefault="007D2579" w:rsidP="007D2579">
      <w:pPr>
        <w:pStyle w:val="Heading2"/>
      </w:pPr>
      <w:r>
        <w:t>References</w:t>
      </w:r>
    </w:p>
    <w:p w:rsidR="00743683" w:rsidRDefault="00743683" w:rsidP="00743683">
      <w:pPr>
        <w:pStyle w:val="Reference"/>
      </w:pPr>
      <w:r>
        <w:t>Banks</w:t>
      </w:r>
      <w:r w:rsidR="00B97600">
        <w:t>,</w:t>
      </w:r>
      <w:r>
        <w:t xml:space="preserve"> G</w:t>
      </w:r>
      <w:r w:rsidR="00B97600">
        <w:t>.</w:t>
      </w:r>
      <w:r>
        <w:t xml:space="preserve"> 2009, </w:t>
      </w:r>
      <w:r w:rsidR="00B97600">
        <w:t>‘</w:t>
      </w:r>
      <w:r w:rsidRPr="00B97600">
        <w:t>Evidence-based policy-making: What is it? How do we get it?</w:t>
      </w:r>
      <w:r w:rsidR="00B97600" w:rsidRPr="00B97600">
        <w:t>’</w:t>
      </w:r>
      <w:r w:rsidRPr="00B97600">
        <w:t>,</w:t>
      </w:r>
      <w:r w:rsidRPr="00743683">
        <w:t xml:space="preserve"> </w:t>
      </w:r>
      <w:proofErr w:type="spellStart"/>
      <w:r w:rsidRPr="00A408B9">
        <w:rPr>
          <w:i/>
        </w:rPr>
        <w:t>ANZSO</w:t>
      </w:r>
      <w:r w:rsidR="00A408B9" w:rsidRPr="00A408B9">
        <w:rPr>
          <w:i/>
        </w:rPr>
        <w:t>G</w:t>
      </w:r>
      <w:proofErr w:type="spellEnd"/>
      <w:r w:rsidR="00A408B9" w:rsidRPr="00A408B9">
        <w:rPr>
          <w:i/>
        </w:rPr>
        <w:t>/</w:t>
      </w:r>
      <w:proofErr w:type="spellStart"/>
      <w:r w:rsidR="00A408B9" w:rsidRPr="00A408B9">
        <w:rPr>
          <w:i/>
        </w:rPr>
        <w:t>ANU</w:t>
      </w:r>
      <w:proofErr w:type="spellEnd"/>
      <w:r w:rsidR="00A408B9" w:rsidRPr="00A408B9">
        <w:rPr>
          <w:i/>
        </w:rPr>
        <w:t xml:space="preserve"> Public Lecture Series</w:t>
      </w:r>
      <w:r w:rsidRPr="00A408B9">
        <w:rPr>
          <w:i/>
        </w:rPr>
        <w:t>, Canberra, 4 February</w:t>
      </w:r>
      <w:r w:rsidR="00A408B9" w:rsidRPr="00A408B9">
        <w:rPr>
          <w:i/>
        </w:rPr>
        <w:t xml:space="preserve"> 2009</w:t>
      </w:r>
      <w:r w:rsidR="008E046B">
        <w:t>, Productivity Commission, Canberra.</w:t>
      </w:r>
    </w:p>
    <w:p w:rsidR="00743683" w:rsidRDefault="00743683" w:rsidP="00743683">
      <w:pPr>
        <w:pStyle w:val="Reference"/>
      </w:pPr>
      <w:r>
        <w:t>Cox</w:t>
      </w:r>
      <w:r w:rsidR="00B97600">
        <w:t>,</w:t>
      </w:r>
      <w:r>
        <w:t xml:space="preserve"> E</w:t>
      </w:r>
      <w:r w:rsidR="00B97600">
        <w:t>.</w:t>
      </w:r>
      <w:r>
        <w:t xml:space="preserve"> 2011, </w:t>
      </w:r>
      <w:r w:rsidR="00B97600">
        <w:t>‘Evidence-free policy making? The case of income m</w:t>
      </w:r>
      <w:r w:rsidR="003C323D" w:rsidRPr="00CD5AFA">
        <w:t>anagement</w:t>
      </w:r>
      <w:r w:rsidR="00B97600">
        <w:t>’</w:t>
      </w:r>
      <w:r>
        <w:t xml:space="preserve">, </w:t>
      </w:r>
      <w:r w:rsidRPr="00B97600">
        <w:rPr>
          <w:i/>
        </w:rPr>
        <w:t>Journal of Indigenous Policy</w:t>
      </w:r>
      <w:r w:rsidR="00B97600">
        <w:t xml:space="preserve">, no. </w:t>
      </w:r>
      <w:r>
        <w:t>12, September 2011, Sydney University Press.</w:t>
      </w:r>
    </w:p>
    <w:p w:rsidR="007D2579" w:rsidRDefault="007D2579" w:rsidP="007D2579">
      <w:pPr>
        <w:pStyle w:val="Reference"/>
      </w:pPr>
      <w:r w:rsidRPr="007D2579">
        <w:t>Dillon</w:t>
      </w:r>
      <w:r>
        <w:t>,</w:t>
      </w:r>
      <w:r w:rsidRPr="007D2579">
        <w:t xml:space="preserve"> </w:t>
      </w:r>
      <w:r w:rsidR="009240B2">
        <w:t>M</w:t>
      </w:r>
      <w:r w:rsidR="00A408B9">
        <w:t>.</w:t>
      </w:r>
      <w:r w:rsidR="009240B2">
        <w:t>C</w:t>
      </w:r>
      <w:r w:rsidR="00A408B9">
        <w:t>.</w:t>
      </w:r>
      <w:r>
        <w:t xml:space="preserve"> </w:t>
      </w:r>
      <w:r w:rsidRPr="007D2579">
        <w:t>and Westbury</w:t>
      </w:r>
      <w:r>
        <w:t>, N</w:t>
      </w:r>
      <w:r w:rsidR="00A408B9">
        <w:t>.</w:t>
      </w:r>
      <w:r w:rsidR="009240B2">
        <w:t>D</w:t>
      </w:r>
      <w:r w:rsidR="00A408B9">
        <w:t>.</w:t>
      </w:r>
      <w:r>
        <w:t xml:space="preserve"> 200</w:t>
      </w:r>
      <w:r w:rsidR="00C612D3">
        <w:t>7</w:t>
      </w:r>
      <w:r>
        <w:t xml:space="preserve">, </w:t>
      </w:r>
      <w:r w:rsidRPr="00C612D3">
        <w:rPr>
          <w:i/>
        </w:rPr>
        <w:t>Beyond Humbug: Transforming Government Engagement with Indigenous Australia</w:t>
      </w:r>
      <w:r>
        <w:t xml:space="preserve">, </w:t>
      </w:r>
      <w:r w:rsidR="00C612D3" w:rsidRPr="00C612D3">
        <w:t xml:space="preserve">Seaview Press, </w:t>
      </w:r>
      <w:r w:rsidR="00C612D3">
        <w:t>West Lakes, South Australia.</w:t>
      </w:r>
    </w:p>
    <w:p w:rsidR="0071597D" w:rsidRDefault="0071597D" w:rsidP="009240B2">
      <w:pPr>
        <w:pStyle w:val="Reference"/>
      </w:pPr>
      <w:r>
        <w:lastRenderedPageBreak/>
        <w:t>Gleeson</w:t>
      </w:r>
      <w:r w:rsidR="00121E19">
        <w:t>,</w:t>
      </w:r>
      <w:r>
        <w:t xml:space="preserve"> B</w:t>
      </w:r>
      <w:r w:rsidR="00A408B9">
        <w:t>.</w:t>
      </w:r>
      <w:r>
        <w:t xml:space="preserve"> 2012, </w:t>
      </w:r>
      <w:r w:rsidR="00A408B9">
        <w:t>‘Evaluating complex policy i</w:t>
      </w:r>
      <w:r w:rsidRPr="00A408B9">
        <w:t>nitiatives — Is the National Partnership Agreem</w:t>
      </w:r>
      <w:r w:rsidR="00A408B9">
        <w:t>ent on Remote Service Delivery d</w:t>
      </w:r>
      <w:r w:rsidRPr="00A408B9">
        <w:t>elivering?</w:t>
      </w:r>
      <w:r w:rsidR="00A408B9">
        <w:t>’</w:t>
      </w:r>
      <w:r>
        <w:t xml:space="preserve">, </w:t>
      </w:r>
      <w:r w:rsidRPr="00A408B9">
        <w:rPr>
          <w:i/>
        </w:rPr>
        <w:t>Australian Evaluation Society Conference, Adelaide,</w:t>
      </w:r>
      <w:r>
        <w:t xml:space="preserve"> </w:t>
      </w:r>
      <w:r w:rsidRPr="0071597D">
        <w:t>http://</w:t>
      </w:r>
      <w:proofErr w:type="spellStart"/>
      <w:r w:rsidRPr="0071597D">
        <w:t>www.cgris.gov.au</w:t>
      </w:r>
      <w:proofErr w:type="spellEnd"/>
      <w:r w:rsidRPr="0071597D">
        <w:t>/site/</w:t>
      </w:r>
      <w:proofErr w:type="spellStart"/>
      <w:r w:rsidRPr="0071597D">
        <w:t>presentations.asp</w:t>
      </w:r>
      <w:proofErr w:type="spellEnd"/>
      <w:r>
        <w:t>.</w:t>
      </w:r>
    </w:p>
    <w:p w:rsidR="006B3A37" w:rsidRDefault="006B3A37" w:rsidP="009240B2">
      <w:pPr>
        <w:pStyle w:val="Reference"/>
      </w:pPr>
      <w:proofErr w:type="spellStart"/>
      <w:r>
        <w:t>Hasluck</w:t>
      </w:r>
      <w:proofErr w:type="spellEnd"/>
      <w:r>
        <w:t xml:space="preserve">, P. 1988, </w:t>
      </w:r>
      <w:r w:rsidR="003C323D" w:rsidRPr="00CD5AFA">
        <w:rPr>
          <w:i/>
        </w:rPr>
        <w:t>Shades of Darkness: Aboriginal Affairs, 1925–1965</w:t>
      </w:r>
      <w:r>
        <w:t xml:space="preserve">, Melbourne University Press.  </w:t>
      </w:r>
    </w:p>
    <w:p w:rsidR="0056214B" w:rsidRDefault="0056214B" w:rsidP="009240B2">
      <w:pPr>
        <w:pStyle w:val="Reference"/>
      </w:pPr>
      <w:proofErr w:type="spellStart"/>
      <w:r>
        <w:t>Havnen</w:t>
      </w:r>
      <w:proofErr w:type="spellEnd"/>
      <w:r w:rsidR="00121E19">
        <w:t>,</w:t>
      </w:r>
      <w:r>
        <w:t xml:space="preserve"> O</w:t>
      </w:r>
      <w:r w:rsidR="00A408B9">
        <w:t>.</w:t>
      </w:r>
      <w:r>
        <w:t xml:space="preserve"> 2012, </w:t>
      </w:r>
      <w:r w:rsidRPr="0056214B">
        <w:rPr>
          <w:i/>
        </w:rPr>
        <w:t>Office of the Northern Territory Coordinator-General for Remote Services Report, June 2011 to August 2012</w:t>
      </w:r>
      <w:r>
        <w:t xml:space="preserve">, Northern Territory Government, NT, </w:t>
      </w:r>
      <w:r w:rsidRPr="0056214B">
        <w:t>http://</w:t>
      </w:r>
      <w:proofErr w:type="spellStart"/>
      <w:r w:rsidRPr="0056214B">
        <w:t>www.territorystories.nt.gov.au</w:t>
      </w:r>
      <w:proofErr w:type="spellEnd"/>
      <w:r w:rsidRPr="0056214B">
        <w:t>/handle/10070/241806</w:t>
      </w:r>
      <w:r>
        <w:t>.</w:t>
      </w:r>
    </w:p>
    <w:p w:rsidR="00C612D3" w:rsidRDefault="00C612D3" w:rsidP="007D2579">
      <w:pPr>
        <w:pStyle w:val="Reference"/>
      </w:pPr>
      <w:proofErr w:type="spellStart"/>
      <w:r>
        <w:t>SCRGSP</w:t>
      </w:r>
      <w:proofErr w:type="spellEnd"/>
      <w:r>
        <w:t xml:space="preserve"> (Steering </w:t>
      </w:r>
      <w:r w:rsidRPr="00C612D3">
        <w:t>Committee for the Review of Government Service Provision</w:t>
      </w:r>
      <w:r>
        <w:t xml:space="preserve">) 2011, </w:t>
      </w:r>
      <w:r w:rsidRPr="00C612D3">
        <w:rPr>
          <w:i/>
        </w:rPr>
        <w:t>Overcoming Indigenous Disadvantage: Key Indicators</w:t>
      </w:r>
      <w:r>
        <w:t>, Productivity Commission, Canberra.</w:t>
      </w:r>
    </w:p>
    <w:p w:rsidR="00A408B9" w:rsidRDefault="00A408B9" w:rsidP="00A408B9">
      <w:pPr>
        <w:pStyle w:val="Reference"/>
      </w:pPr>
      <w:r>
        <w:t xml:space="preserve">Walker, </w:t>
      </w:r>
      <w:proofErr w:type="spellStart"/>
      <w:r>
        <w:t>B.W</w:t>
      </w:r>
      <w:proofErr w:type="spellEnd"/>
      <w:r>
        <w:t xml:space="preserve">., Porter, </w:t>
      </w:r>
      <w:proofErr w:type="spellStart"/>
      <w:r>
        <w:t>D.J</w:t>
      </w:r>
      <w:proofErr w:type="spellEnd"/>
      <w:r>
        <w:t xml:space="preserve">. and Marsh, I. 2012, </w:t>
      </w:r>
      <w:r w:rsidRPr="009240B2">
        <w:rPr>
          <w:i/>
        </w:rPr>
        <w:t>Fixing the Hole in Australia’s Heartland: How Government needs to work in remote Australia</w:t>
      </w:r>
      <w:r>
        <w:t>, Desert Knowledge Australia, Alice Springs.</w:t>
      </w:r>
    </w:p>
    <w:p w:rsidR="00A408B9" w:rsidRPr="007D2579" w:rsidRDefault="00A408B9" w:rsidP="00C95948">
      <w:pPr>
        <w:pStyle w:val="Reference"/>
      </w:pPr>
    </w:p>
    <w:sectPr w:rsidR="00A408B9" w:rsidRPr="007D2579" w:rsidSect="00B91A88">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5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1FC" w:rsidRDefault="009421FC">
      <w:r>
        <w:separator/>
      </w:r>
    </w:p>
  </w:endnote>
  <w:endnote w:type="continuationSeparator" w:id="0">
    <w:p w:rsidR="009421FC" w:rsidRDefault="00942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421FC">
      <w:trPr>
        <w:trHeight w:hRule="exact" w:val="740"/>
      </w:trPr>
      <w:tc>
        <w:tcPr>
          <w:tcW w:w="510" w:type="dxa"/>
          <w:tcBorders>
            <w:top w:val="single" w:sz="6" w:space="0" w:color="auto"/>
          </w:tcBorders>
        </w:tcPr>
        <w:p w:rsidR="009421FC" w:rsidRDefault="009421F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A4986">
            <w:rPr>
              <w:rStyle w:val="PageNumber"/>
              <w:noProof/>
            </w:rPr>
            <w:t>66</w:t>
          </w:r>
          <w:r>
            <w:rPr>
              <w:rStyle w:val="PageNumber"/>
            </w:rPr>
            <w:fldChar w:fldCharType="end"/>
          </w:r>
        </w:p>
      </w:tc>
      <w:tc>
        <w:tcPr>
          <w:tcW w:w="1644" w:type="dxa"/>
          <w:tcBorders>
            <w:top w:val="single" w:sz="6" w:space="0" w:color="auto"/>
          </w:tcBorders>
        </w:tcPr>
        <w:p w:rsidR="009421FC" w:rsidRDefault="00284D2E" w:rsidP="0019293B">
          <w:pPr>
            <w:pStyle w:val="Footer"/>
          </w:pPr>
          <w:fldSimple w:instr=" SUBJECT  \* MERGEFORMAT ">
            <w:r w:rsidR="00912EBA">
              <w:t>Better Indigenous Policies: The Role of Evaluation</w:t>
            </w:r>
          </w:fldSimple>
        </w:p>
      </w:tc>
      <w:tc>
        <w:tcPr>
          <w:tcW w:w="6634" w:type="dxa"/>
        </w:tcPr>
        <w:p w:rsidR="009421FC" w:rsidRDefault="009421FC" w:rsidP="0019293B">
          <w:pPr>
            <w:pStyle w:val="Footer"/>
          </w:pPr>
        </w:p>
      </w:tc>
    </w:tr>
  </w:tbl>
  <w:p w:rsidR="009421FC" w:rsidRDefault="009421F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421FC">
      <w:trPr>
        <w:trHeight w:hRule="exact" w:val="740"/>
      </w:trPr>
      <w:tc>
        <w:tcPr>
          <w:tcW w:w="6634" w:type="dxa"/>
        </w:tcPr>
        <w:p w:rsidR="009421FC" w:rsidRDefault="009421FC">
          <w:pPr>
            <w:pStyle w:val="Footer"/>
            <w:ind w:right="360" w:firstLine="360"/>
          </w:pPr>
        </w:p>
      </w:tc>
      <w:tc>
        <w:tcPr>
          <w:tcW w:w="1644" w:type="dxa"/>
          <w:tcBorders>
            <w:top w:val="single" w:sz="6" w:space="0" w:color="auto"/>
          </w:tcBorders>
        </w:tcPr>
        <w:p w:rsidR="009421FC" w:rsidRDefault="00284D2E">
          <w:pPr>
            <w:pStyle w:val="Footer"/>
          </w:pPr>
          <w:fldSimple w:instr=" TITLE  \* MERGEFORMAT ">
            <w:r w:rsidR="00912EBA">
              <w:t xml:space="preserve">The Indigenous Policy Experience </w:t>
            </w:r>
          </w:fldSimple>
        </w:p>
      </w:tc>
      <w:tc>
        <w:tcPr>
          <w:tcW w:w="510" w:type="dxa"/>
          <w:tcBorders>
            <w:top w:val="single" w:sz="6" w:space="0" w:color="auto"/>
          </w:tcBorders>
        </w:tcPr>
        <w:p w:rsidR="009421FC" w:rsidRDefault="009421FC">
          <w:pPr>
            <w:pStyle w:val="Footer"/>
            <w:jc w:val="right"/>
          </w:pPr>
          <w:r>
            <w:rPr>
              <w:rStyle w:val="PageNumber"/>
            </w:rPr>
            <w:fldChar w:fldCharType="begin"/>
          </w:r>
          <w:r>
            <w:rPr>
              <w:rStyle w:val="PageNumber"/>
            </w:rPr>
            <w:instrText xml:space="preserve">PAGE  </w:instrText>
          </w:r>
          <w:r>
            <w:rPr>
              <w:rStyle w:val="PageNumber"/>
            </w:rPr>
            <w:fldChar w:fldCharType="separate"/>
          </w:r>
          <w:r w:rsidR="004A4986">
            <w:rPr>
              <w:rStyle w:val="PageNumber"/>
              <w:noProof/>
            </w:rPr>
            <w:t>51</w:t>
          </w:r>
          <w:r>
            <w:rPr>
              <w:rStyle w:val="PageNumber"/>
            </w:rPr>
            <w:fldChar w:fldCharType="end"/>
          </w:r>
        </w:p>
      </w:tc>
    </w:tr>
  </w:tbl>
  <w:p w:rsidR="009421FC" w:rsidRDefault="009421F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88" w:rsidRDefault="00B91A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1FC" w:rsidRDefault="009421FC">
      <w:r>
        <w:separator/>
      </w:r>
    </w:p>
  </w:footnote>
  <w:footnote w:type="continuationSeparator" w:id="0">
    <w:p w:rsidR="009421FC" w:rsidRDefault="009421FC">
      <w:r>
        <w:continuationSeparator/>
      </w:r>
    </w:p>
  </w:footnote>
  <w:footnote w:id="1">
    <w:p w:rsidR="009421FC" w:rsidRDefault="009421FC" w:rsidP="002327A7">
      <w:pPr>
        <w:pStyle w:val="FootnoteText"/>
      </w:pPr>
      <w:r>
        <w:rPr>
          <w:rStyle w:val="FootnoteReference"/>
        </w:rPr>
        <w:footnoteRef/>
      </w:r>
      <w:r>
        <w:t xml:space="preserve"> Chair, Desert Knowledge Australia; Board member, Reconciliation Australia.</w:t>
      </w:r>
    </w:p>
  </w:footnote>
  <w:footnote w:id="2">
    <w:p w:rsidR="009421FC" w:rsidRDefault="009421FC" w:rsidP="009421FC">
      <w:pPr>
        <w:pStyle w:val="FootnoteText"/>
        <w:tabs>
          <w:tab w:val="clear" w:pos="284"/>
        </w:tabs>
      </w:pPr>
      <w:r>
        <w:rPr>
          <w:rStyle w:val="FootnoteReference"/>
        </w:rPr>
        <w:footnoteRef/>
      </w:r>
      <w:r>
        <w:t xml:space="preserve"> He later became a prominent critic of these policies. </w:t>
      </w:r>
      <w:r w:rsidRPr="006E5DD5">
        <w:t>In a classic case of revisionism</w:t>
      </w:r>
      <w:r>
        <w:t>,</w:t>
      </w:r>
      <w:r w:rsidRPr="006E5DD5">
        <w:t xml:space="preserve"> when in a public exchange I pointed out that he was in fact the father of the new approach to Aboriginal </w:t>
      </w:r>
      <w:r>
        <w:t>a</w:t>
      </w:r>
      <w:r w:rsidRPr="006E5DD5">
        <w:t>ffairs policy</w:t>
      </w:r>
      <w:r>
        <w:t>,</w:t>
      </w:r>
      <w:r w:rsidRPr="006E5DD5">
        <w:t xml:space="preserve"> he countered that he had disagreed with what he had done as </w:t>
      </w:r>
      <w:r>
        <w:t>m</w:t>
      </w:r>
      <w:r w:rsidRPr="006E5DD5">
        <w:t>inister, apparently forced into these poli</w:t>
      </w:r>
      <w:r>
        <w:t>cies by the prime minister.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421FC">
      <w:tc>
        <w:tcPr>
          <w:tcW w:w="2155" w:type="dxa"/>
          <w:tcBorders>
            <w:top w:val="single" w:sz="24" w:space="0" w:color="auto"/>
          </w:tcBorders>
        </w:tcPr>
        <w:p w:rsidR="009421FC" w:rsidRDefault="009421FC" w:rsidP="0019293B">
          <w:pPr>
            <w:pStyle w:val="HeaderEven"/>
          </w:pPr>
        </w:p>
      </w:tc>
      <w:tc>
        <w:tcPr>
          <w:tcW w:w="6634" w:type="dxa"/>
          <w:tcBorders>
            <w:top w:val="single" w:sz="6" w:space="0" w:color="auto"/>
          </w:tcBorders>
        </w:tcPr>
        <w:p w:rsidR="009421FC" w:rsidRDefault="009421FC" w:rsidP="0019293B">
          <w:pPr>
            <w:pStyle w:val="HeaderEven"/>
          </w:pPr>
        </w:p>
      </w:tc>
    </w:tr>
  </w:tbl>
  <w:p w:rsidR="009421FC" w:rsidRDefault="009421F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421FC">
      <w:tc>
        <w:tcPr>
          <w:tcW w:w="6634" w:type="dxa"/>
          <w:tcBorders>
            <w:top w:val="single" w:sz="6" w:space="0" w:color="auto"/>
          </w:tcBorders>
        </w:tcPr>
        <w:p w:rsidR="009421FC" w:rsidRDefault="009421FC" w:rsidP="00E669E2">
          <w:pPr>
            <w:pStyle w:val="HeaderOdd"/>
          </w:pPr>
        </w:p>
      </w:tc>
      <w:tc>
        <w:tcPr>
          <w:tcW w:w="2155" w:type="dxa"/>
          <w:tcBorders>
            <w:top w:val="single" w:sz="24" w:space="0" w:color="auto"/>
          </w:tcBorders>
        </w:tcPr>
        <w:p w:rsidR="009421FC" w:rsidRDefault="009421FC" w:rsidP="00E669E2">
          <w:pPr>
            <w:pStyle w:val="HeaderOdd"/>
          </w:pPr>
        </w:p>
      </w:tc>
    </w:tr>
  </w:tbl>
  <w:p w:rsidR="009421FC" w:rsidRDefault="009421FC"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A88" w:rsidRDefault="00B91A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he Indigenous Policy Experience "/>
    <w:docVar w:name="ShortReportTitle" w:val="Better Indigenous Policies: The Role of Evaluation"/>
  </w:docVars>
  <w:rsids>
    <w:rsidRoot w:val="008F2DB2"/>
    <w:rsid w:val="000012A1"/>
    <w:rsid w:val="00005528"/>
    <w:rsid w:val="0002032B"/>
    <w:rsid w:val="000227D5"/>
    <w:rsid w:val="000245AA"/>
    <w:rsid w:val="0003664B"/>
    <w:rsid w:val="0004111F"/>
    <w:rsid w:val="00041277"/>
    <w:rsid w:val="00052B18"/>
    <w:rsid w:val="000565B3"/>
    <w:rsid w:val="0007150B"/>
    <w:rsid w:val="00083CC1"/>
    <w:rsid w:val="000938F5"/>
    <w:rsid w:val="00094A04"/>
    <w:rsid w:val="00096E55"/>
    <w:rsid w:val="000B601B"/>
    <w:rsid w:val="000C207E"/>
    <w:rsid w:val="000F0035"/>
    <w:rsid w:val="000F420B"/>
    <w:rsid w:val="00106CA5"/>
    <w:rsid w:val="00110116"/>
    <w:rsid w:val="00120072"/>
    <w:rsid w:val="00120FDF"/>
    <w:rsid w:val="00121E19"/>
    <w:rsid w:val="00126EB8"/>
    <w:rsid w:val="001274D4"/>
    <w:rsid w:val="001363AA"/>
    <w:rsid w:val="001529C0"/>
    <w:rsid w:val="00183E82"/>
    <w:rsid w:val="001878BB"/>
    <w:rsid w:val="00191AE0"/>
    <w:rsid w:val="0019293B"/>
    <w:rsid w:val="00193854"/>
    <w:rsid w:val="001C0865"/>
    <w:rsid w:val="001C15CC"/>
    <w:rsid w:val="001C3ABA"/>
    <w:rsid w:val="001E7BE8"/>
    <w:rsid w:val="001F0248"/>
    <w:rsid w:val="001F3EB3"/>
    <w:rsid w:val="001F4F86"/>
    <w:rsid w:val="00202C2C"/>
    <w:rsid w:val="002135AB"/>
    <w:rsid w:val="002144BE"/>
    <w:rsid w:val="002162AC"/>
    <w:rsid w:val="002327A7"/>
    <w:rsid w:val="00242279"/>
    <w:rsid w:val="00245C82"/>
    <w:rsid w:val="00261B40"/>
    <w:rsid w:val="00266DA7"/>
    <w:rsid w:val="00284D2E"/>
    <w:rsid w:val="00291B40"/>
    <w:rsid w:val="00295A3D"/>
    <w:rsid w:val="002B0731"/>
    <w:rsid w:val="002B4008"/>
    <w:rsid w:val="002D0E8E"/>
    <w:rsid w:val="00301189"/>
    <w:rsid w:val="00323E09"/>
    <w:rsid w:val="00333932"/>
    <w:rsid w:val="003518AA"/>
    <w:rsid w:val="00352165"/>
    <w:rsid w:val="00353182"/>
    <w:rsid w:val="003565D9"/>
    <w:rsid w:val="003602E1"/>
    <w:rsid w:val="00365CCE"/>
    <w:rsid w:val="0037026F"/>
    <w:rsid w:val="00371240"/>
    <w:rsid w:val="00374731"/>
    <w:rsid w:val="00376E59"/>
    <w:rsid w:val="003919F9"/>
    <w:rsid w:val="003C323D"/>
    <w:rsid w:val="003C38B5"/>
    <w:rsid w:val="003C5D99"/>
    <w:rsid w:val="003D296F"/>
    <w:rsid w:val="003E2F59"/>
    <w:rsid w:val="003F0789"/>
    <w:rsid w:val="003F480E"/>
    <w:rsid w:val="004016EA"/>
    <w:rsid w:val="00401882"/>
    <w:rsid w:val="004100C8"/>
    <w:rsid w:val="00411DBD"/>
    <w:rsid w:val="00412ACE"/>
    <w:rsid w:val="00415418"/>
    <w:rsid w:val="00431249"/>
    <w:rsid w:val="00434C19"/>
    <w:rsid w:val="00450810"/>
    <w:rsid w:val="004666EB"/>
    <w:rsid w:val="00476B4B"/>
    <w:rsid w:val="00477144"/>
    <w:rsid w:val="00480E54"/>
    <w:rsid w:val="004836DE"/>
    <w:rsid w:val="00491380"/>
    <w:rsid w:val="0049459F"/>
    <w:rsid w:val="004A38DD"/>
    <w:rsid w:val="004A4986"/>
    <w:rsid w:val="004A54BA"/>
    <w:rsid w:val="004B43AE"/>
    <w:rsid w:val="004C30ED"/>
    <w:rsid w:val="004D0591"/>
    <w:rsid w:val="004D5675"/>
    <w:rsid w:val="004D713E"/>
    <w:rsid w:val="00516FBE"/>
    <w:rsid w:val="00523639"/>
    <w:rsid w:val="005318C3"/>
    <w:rsid w:val="00531FE5"/>
    <w:rsid w:val="005402FA"/>
    <w:rsid w:val="0056214B"/>
    <w:rsid w:val="00583C39"/>
    <w:rsid w:val="00587F28"/>
    <w:rsid w:val="005909CF"/>
    <w:rsid w:val="00591E71"/>
    <w:rsid w:val="005A0D41"/>
    <w:rsid w:val="00607BF1"/>
    <w:rsid w:val="00630D4D"/>
    <w:rsid w:val="00632A74"/>
    <w:rsid w:val="006A4655"/>
    <w:rsid w:val="006B2B3C"/>
    <w:rsid w:val="006B3A37"/>
    <w:rsid w:val="006C1D81"/>
    <w:rsid w:val="006C7038"/>
    <w:rsid w:val="006D783A"/>
    <w:rsid w:val="006E5DD5"/>
    <w:rsid w:val="006E73EF"/>
    <w:rsid w:val="00714D4D"/>
    <w:rsid w:val="0071597D"/>
    <w:rsid w:val="00743683"/>
    <w:rsid w:val="007604BB"/>
    <w:rsid w:val="007817D2"/>
    <w:rsid w:val="00784885"/>
    <w:rsid w:val="00785232"/>
    <w:rsid w:val="007975A4"/>
    <w:rsid w:val="007A21EB"/>
    <w:rsid w:val="007B1A93"/>
    <w:rsid w:val="007C36C9"/>
    <w:rsid w:val="007D2579"/>
    <w:rsid w:val="007D6401"/>
    <w:rsid w:val="007E01E4"/>
    <w:rsid w:val="007E3C99"/>
    <w:rsid w:val="007F7107"/>
    <w:rsid w:val="00800D4C"/>
    <w:rsid w:val="0081030F"/>
    <w:rsid w:val="0082087D"/>
    <w:rsid w:val="00835771"/>
    <w:rsid w:val="00842933"/>
    <w:rsid w:val="0086082C"/>
    <w:rsid w:val="00864ADC"/>
    <w:rsid w:val="00880153"/>
    <w:rsid w:val="00880F97"/>
    <w:rsid w:val="0088133A"/>
    <w:rsid w:val="00883240"/>
    <w:rsid w:val="0089285E"/>
    <w:rsid w:val="0089436C"/>
    <w:rsid w:val="008C15FE"/>
    <w:rsid w:val="008D365C"/>
    <w:rsid w:val="008E046B"/>
    <w:rsid w:val="008F2DB2"/>
    <w:rsid w:val="009030BF"/>
    <w:rsid w:val="0091032F"/>
    <w:rsid w:val="00912EBA"/>
    <w:rsid w:val="00914368"/>
    <w:rsid w:val="009240B2"/>
    <w:rsid w:val="00931076"/>
    <w:rsid w:val="009345D9"/>
    <w:rsid w:val="00934B15"/>
    <w:rsid w:val="00940C87"/>
    <w:rsid w:val="009421FC"/>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408B9"/>
    <w:rsid w:val="00A40ED4"/>
    <w:rsid w:val="00A554AB"/>
    <w:rsid w:val="00A57062"/>
    <w:rsid w:val="00A92B53"/>
    <w:rsid w:val="00A94FA6"/>
    <w:rsid w:val="00AA49A0"/>
    <w:rsid w:val="00AA6710"/>
    <w:rsid w:val="00AB0681"/>
    <w:rsid w:val="00AD520B"/>
    <w:rsid w:val="00B0123E"/>
    <w:rsid w:val="00B04B90"/>
    <w:rsid w:val="00B278F4"/>
    <w:rsid w:val="00B425C3"/>
    <w:rsid w:val="00B440AD"/>
    <w:rsid w:val="00B479BB"/>
    <w:rsid w:val="00B53E7E"/>
    <w:rsid w:val="00B6342E"/>
    <w:rsid w:val="00B7113F"/>
    <w:rsid w:val="00B81315"/>
    <w:rsid w:val="00B91A88"/>
    <w:rsid w:val="00B97600"/>
    <w:rsid w:val="00BA73B6"/>
    <w:rsid w:val="00BA7E27"/>
    <w:rsid w:val="00BB2603"/>
    <w:rsid w:val="00BB4FCD"/>
    <w:rsid w:val="00BC04E9"/>
    <w:rsid w:val="00BD13EA"/>
    <w:rsid w:val="00BE3808"/>
    <w:rsid w:val="00BF2724"/>
    <w:rsid w:val="00BF7C99"/>
    <w:rsid w:val="00C03E5E"/>
    <w:rsid w:val="00C062E9"/>
    <w:rsid w:val="00C07B64"/>
    <w:rsid w:val="00C13721"/>
    <w:rsid w:val="00C14FE4"/>
    <w:rsid w:val="00C16149"/>
    <w:rsid w:val="00C3066D"/>
    <w:rsid w:val="00C34FA7"/>
    <w:rsid w:val="00C374D9"/>
    <w:rsid w:val="00C4124D"/>
    <w:rsid w:val="00C52416"/>
    <w:rsid w:val="00C536C3"/>
    <w:rsid w:val="00C543F4"/>
    <w:rsid w:val="00C6095C"/>
    <w:rsid w:val="00C612D3"/>
    <w:rsid w:val="00C6291C"/>
    <w:rsid w:val="00C633CB"/>
    <w:rsid w:val="00C654E4"/>
    <w:rsid w:val="00C736B7"/>
    <w:rsid w:val="00C81D4A"/>
    <w:rsid w:val="00C8762C"/>
    <w:rsid w:val="00C95948"/>
    <w:rsid w:val="00CA00F9"/>
    <w:rsid w:val="00CA2961"/>
    <w:rsid w:val="00CB50D7"/>
    <w:rsid w:val="00CB7177"/>
    <w:rsid w:val="00CC1998"/>
    <w:rsid w:val="00CC4946"/>
    <w:rsid w:val="00CD5AFA"/>
    <w:rsid w:val="00CE0D31"/>
    <w:rsid w:val="00D270A4"/>
    <w:rsid w:val="00D31FE9"/>
    <w:rsid w:val="00D34E1B"/>
    <w:rsid w:val="00D376BA"/>
    <w:rsid w:val="00D45634"/>
    <w:rsid w:val="00D5568A"/>
    <w:rsid w:val="00D63D73"/>
    <w:rsid w:val="00D64452"/>
    <w:rsid w:val="00D66E1E"/>
    <w:rsid w:val="00D75722"/>
    <w:rsid w:val="00D80CF5"/>
    <w:rsid w:val="00D83775"/>
    <w:rsid w:val="00D8604F"/>
    <w:rsid w:val="00DA5BBA"/>
    <w:rsid w:val="00DB26D2"/>
    <w:rsid w:val="00DB67C9"/>
    <w:rsid w:val="00DC0C95"/>
    <w:rsid w:val="00DD6580"/>
    <w:rsid w:val="00E00668"/>
    <w:rsid w:val="00E17C72"/>
    <w:rsid w:val="00E21FC6"/>
    <w:rsid w:val="00E330C1"/>
    <w:rsid w:val="00E40E2F"/>
    <w:rsid w:val="00E431A9"/>
    <w:rsid w:val="00E669E2"/>
    <w:rsid w:val="00E76135"/>
    <w:rsid w:val="00E82F4F"/>
    <w:rsid w:val="00E95329"/>
    <w:rsid w:val="00EC2844"/>
    <w:rsid w:val="00EC5500"/>
    <w:rsid w:val="00ED10D2"/>
    <w:rsid w:val="00ED18F8"/>
    <w:rsid w:val="00EF6C6C"/>
    <w:rsid w:val="00F056FC"/>
    <w:rsid w:val="00F10476"/>
    <w:rsid w:val="00F135D8"/>
    <w:rsid w:val="00F31299"/>
    <w:rsid w:val="00F3534A"/>
    <w:rsid w:val="00F41100"/>
    <w:rsid w:val="00F41C42"/>
    <w:rsid w:val="00F51609"/>
    <w:rsid w:val="00F650B6"/>
    <w:rsid w:val="00F673CA"/>
    <w:rsid w:val="00F81006"/>
    <w:rsid w:val="00F85325"/>
    <w:rsid w:val="00F93FD2"/>
    <w:rsid w:val="00FD22B1"/>
    <w:rsid w:val="00FD2D6C"/>
    <w:rsid w:val="00FE53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A4986"/>
    <w:rPr>
      <w:sz w:val="26"/>
      <w:szCs w:val="24"/>
    </w:rPr>
  </w:style>
  <w:style w:type="paragraph" w:styleId="Heading1">
    <w:name w:val="heading 1"/>
    <w:basedOn w:val="BodyText"/>
    <w:next w:val="BodyText"/>
    <w:rsid w:val="004A498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A498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A4986"/>
    <w:pPr>
      <w:spacing w:before="560" w:line="320" w:lineRule="exact"/>
      <w:ind w:left="0" w:firstLine="0"/>
      <w:outlineLvl w:val="2"/>
    </w:pPr>
    <w:rPr>
      <w:sz w:val="26"/>
    </w:rPr>
  </w:style>
  <w:style w:type="paragraph" w:styleId="Heading4">
    <w:name w:val="heading 4"/>
    <w:basedOn w:val="Heading3"/>
    <w:next w:val="BodyText"/>
    <w:qFormat/>
    <w:rsid w:val="004A4986"/>
    <w:pPr>
      <w:spacing w:before="480"/>
      <w:outlineLvl w:val="3"/>
    </w:pPr>
    <w:rPr>
      <w:b w:val="0"/>
      <w:i/>
      <w:sz w:val="24"/>
    </w:rPr>
  </w:style>
  <w:style w:type="paragraph" w:styleId="Heading5">
    <w:name w:val="heading 5"/>
    <w:basedOn w:val="Heading4"/>
    <w:next w:val="BodyText"/>
    <w:qFormat/>
    <w:rsid w:val="004A4986"/>
    <w:pPr>
      <w:outlineLvl w:val="4"/>
    </w:pPr>
    <w:rPr>
      <w:rFonts w:ascii="Times New Roman" w:hAnsi="Times New Roman"/>
      <w:sz w:val="26"/>
    </w:rPr>
  </w:style>
  <w:style w:type="paragraph" w:styleId="Heading6">
    <w:name w:val="heading 6"/>
    <w:basedOn w:val="BodyText"/>
    <w:next w:val="BodyText"/>
    <w:rsid w:val="004A4986"/>
    <w:pPr>
      <w:spacing w:after="60"/>
      <w:jc w:val="left"/>
      <w:outlineLvl w:val="5"/>
    </w:pPr>
    <w:rPr>
      <w:i/>
      <w:sz w:val="22"/>
    </w:rPr>
  </w:style>
  <w:style w:type="paragraph" w:styleId="Heading7">
    <w:name w:val="heading 7"/>
    <w:basedOn w:val="BodyText"/>
    <w:next w:val="BodyText"/>
    <w:rsid w:val="004A4986"/>
    <w:pPr>
      <w:spacing w:after="60" w:line="240" w:lineRule="auto"/>
      <w:jc w:val="left"/>
      <w:outlineLvl w:val="6"/>
    </w:pPr>
    <w:rPr>
      <w:rFonts w:ascii="Arial" w:hAnsi="Arial"/>
      <w:sz w:val="20"/>
    </w:rPr>
  </w:style>
  <w:style w:type="paragraph" w:styleId="Heading8">
    <w:name w:val="heading 8"/>
    <w:basedOn w:val="BodyText"/>
    <w:next w:val="BodyText"/>
    <w:rsid w:val="004A4986"/>
    <w:pPr>
      <w:spacing w:after="60" w:line="240" w:lineRule="auto"/>
      <w:jc w:val="left"/>
      <w:outlineLvl w:val="7"/>
    </w:pPr>
    <w:rPr>
      <w:rFonts w:ascii="Arial" w:hAnsi="Arial"/>
      <w:i/>
      <w:sz w:val="20"/>
    </w:rPr>
  </w:style>
  <w:style w:type="paragraph" w:styleId="Heading9">
    <w:name w:val="heading 9"/>
    <w:basedOn w:val="BodyText"/>
    <w:next w:val="BodyText"/>
    <w:rsid w:val="004A498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A49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4986"/>
  </w:style>
  <w:style w:type="paragraph" w:styleId="BodyText">
    <w:name w:val="Body Text"/>
    <w:link w:val="BodyTextChar"/>
    <w:qFormat/>
    <w:rsid w:val="004A4986"/>
    <w:pPr>
      <w:spacing w:before="240" w:line="320" w:lineRule="atLeast"/>
      <w:jc w:val="both"/>
    </w:pPr>
    <w:rPr>
      <w:sz w:val="26"/>
    </w:rPr>
  </w:style>
  <w:style w:type="paragraph" w:styleId="Footer">
    <w:name w:val="footer"/>
    <w:basedOn w:val="BodyText"/>
    <w:semiHidden/>
    <w:rsid w:val="004A4986"/>
    <w:pPr>
      <w:spacing w:before="80" w:line="200" w:lineRule="exact"/>
      <w:ind w:right="6"/>
      <w:jc w:val="left"/>
    </w:pPr>
    <w:rPr>
      <w:caps/>
      <w:spacing w:val="-4"/>
      <w:sz w:val="16"/>
    </w:rPr>
  </w:style>
  <w:style w:type="paragraph" w:customStyle="1" w:styleId="FooterEnd">
    <w:name w:val="Footer End"/>
    <w:basedOn w:val="Footer"/>
    <w:rsid w:val="004A4986"/>
    <w:pPr>
      <w:spacing w:before="0" w:line="20" w:lineRule="exact"/>
    </w:pPr>
  </w:style>
  <w:style w:type="paragraph" w:styleId="Header">
    <w:name w:val="header"/>
    <w:basedOn w:val="BodyText"/>
    <w:rsid w:val="004A498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A4986"/>
    <w:pPr>
      <w:spacing w:line="20" w:lineRule="exact"/>
    </w:pPr>
    <w:rPr>
      <w:sz w:val="16"/>
    </w:rPr>
  </w:style>
  <w:style w:type="paragraph" w:customStyle="1" w:styleId="HeaderEven">
    <w:name w:val="Header Even"/>
    <w:basedOn w:val="Header"/>
    <w:semiHidden/>
    <w:rsid w:val="004A4986"/>
  </w:style>
  <w:style w:type="paragraph" w:customStyle="1" w:styleId="HeaderOdd">
    <w:name w:val="Header Odd"/>
    <w:basedOn w:val="Header"/>
    <w:semiHidden/>
    <w:rsid w:val="004A4986"/>
  </w:style>
  <w:style w:type="character" w:styleId="PageNumber">
    <w:name w:val="page number"/>
    <w:basedOn w:val="DefaultParagraphFont"/>
    <w:rsid w:val="004A4986"/>
    <w:rPr>
      <w:rFonts w:ascii="Arial" w:hAnsi="Arial"/>
      <w:b/>
      <w:sz w:val="16"/>
    </w:rPr>
  </w:style>
  <w:style w:type="paragraph" w:customStyle="1" w:styleId="Abbreviation">
    <w:name w:val="Abbreviation"/>
    <w:basedOn w:val="BodyText"/>
    <w:rsid w:val="004A4986"/>
    <w:pPr>
      <w:spacing w:before="120"/>
      <w:ind w:left="2381" w:hanging="2381"/>
      <w:jc w:val="left"/>
    </w:pPr>
  </w:style>
  <w:style w:type="paragraph" w:customStyle="1" w:styleId="Box">
    <w:name w:val="Box"/>
    <w:basedOn w:val="BodyText"/>
    <w:qFormat/>
    <w:rsid w:val="004A4986"/>
    <w:pPr>
      <w:keepNext/>
      <w:spacing w:before="120" w:line="280" w:lineRule="atLeast"/>
    </w:pPr>
    <w:rPr>
      <w:rFonts w:ascii="Arial" w:hAnsi="Arial"/>
      <w:sz w:val="22"/>
    </w:rPr>
  </w:style>
  <w:style w:type="paragraph" w:customStyle="1" w:styleId="BoxContinued">
    <w:name w:val="Box Continued"/>
    <w:basedOn w:val="BodyText"/>
    <w:next w:val="BodyText"/>
    <w:semiHidden/>
    <w:rsid w:val="004A4986"/>
    <w:pPr>
      <w:spacing w:before="180" w:line="220" w:lineRule="exact"/>
      <w:jc w:val="right"/>
    </w:pPr>
    <w:rPr>
      <w:rFonts w:ascii="Arial" w:hAnsi="Arial"/>
      <w:sz w:val="18"/>
    </w:rPr>
  </w:style>
  <w:style w:type="paragraph" w:customStyle="1" w:styleId="BoxHeading1">
    <w:name w:val="Box Heading 1"/>
    <w:basedOn w:val="BodyText"/>
    <w:next w:val="Box"/>
    <w:rsid w:val="004A4986"/>
    <w:pPr>
      <w:keepNext/>
      <w:spacing w:before="200" w:line="280" w:lineRule="atLeast"/>
    </w:pPr>
    <w:rPr>
      <w:rFonts w:ascii="Arial" w:hAnsi="Arial"/>
      <w:b/>
      <w:sz w:val="22"/>
    </w:rPr>
  </w:style>
  <w:style w:type="paragraph" w:customStyle="1" w:styleId="BoxHeading2">
    <w:name w:val="Box Heading 2"/>
    <w:basedOn w:val="BoxHeading1"/>
    <w:next w:val="Normal"/>
    <w:rsid w:val="004A4986"/>
    <w:rPr>
      <w:b w:val="0"/>
      <w:i/>
    </w:rPr>
  </w:style>
  <w:style w:type="paragraph" w:customStyle="1" w:styleId="BoxListBullet">
    <w:name w:val="Box List Bullet"/>
    <w:basedOn w:val="BodyText"/>
    <w:rsid w:val="004A4986"/>
    <w:pPr>
      <w:keepNext/>
      <w:numPr>
        <w:numId w:val="1"/>
      </w:numPr>
      <w:spacing w:before="60" w:line="280" w:lineRule="atLeast"/>
    </w:pPr>
    <w:rPr>
      <w:rFonts w:ascii="Arial" w:hAnsi="Arial"/>
      <w:sz w:val="22"/>
    </w:rPr>
  </w:style>
  <w:style w:type="paragraph" w:customStyle="1" w:styleId="BoxListBullet2">
    <w:name w:val="Box List Bullet 2"/>
    <w:basedOn w:val="BodyText"/>
    <w:rsid w:val="004A4986"/>
    <w:pPr>
      <w:keepNext/>
      <w:numPr>
        <w:numId w:val="2"/>
      </w:numPr>
      <w:spacing w:before="60" w:line="280" w:lineRule="atLeast"/>
    </w:pPr>
    <w:rPr>
      <w:rFonts w:ascii="Arial" w:hAnsi="Arial"/>
      <w:sz w:val="22"/>
    </w:rPr>
  </w:style>
  <w:style w:type="paragraph" w:customStyle="1" w:styleId="BoxListNumber">
    <w:name w:val="Box List Number"/>
    <w:basedOn w:val="BodyText"/>
    <w:rsid w:val="004A4986"/>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4A4986"/>
    <w:pPr>
      <w:numPr>
        <w:ilvl w:val="1"/>
      </w:numPr>
    </w:pPr>
  </w:style>
  <w:style w:type="paragraph" w:customStyle="1" w:styleId="BoxQuote">
    <w:name w:val="Box Quote"/>
    <w:basedOn w:val="BodyText"/>
    <w:next w:val="Box"/>
    <w:rsid w:val="004A4986"/>
    <w:pPr>
      <w:keepNext/>
      <w:spacing w:before="60" w:line="260" w:lineRule="exact"/>
      <w:ind w:left="284"/>
    </w:pPr>
    <w:rPr>
      <w:rFonts w:ascii="Arial" w:hAnsi="Arial"/>
      <w:sz w:val="20"/>
    </w:rPr>
  </w:style>
  <w:style w:type="paragraph" w:customStyle="1" w:styleId="Note">
    <w:name w:val="Note"/>
    <w:basedOn w:val="BodyText"/>
    <w:next w:val="BodyText"/>
    <w:rsid w:val="004A4986"/>
    <w:pPr>
      <w:keepLines/>
      <w:spacing w:before="80" w:line="220" w:lineRule="exact"/>
    </w:pPr>
    <w:rPr>
      <w:rFonts w:ascii="Arial" w:hAnsi="Arial"/>
      <w:sz w:val="18"/>
    </w:rPr>
  </w:style>
  <w:style w:type="paragraph" w:customStyle="1" w:styleId="Source">
    <w:name w:val="Source"/>
    <w:basedOn w:val="Note"/>
    <w:next w:val="BodyText"/>
    <w:rsid w:val="004A4986"/>
    <w:pPr>
      <w:spacing w:after="120"/>
    </w:pPr>
  </w:style>
  <w:style w:type="paragraph" w:customStyle="1" w:styleId="BoxSource">
    <w:name w:val="Box Source"/>
    <w:basedOn w:val="Source"/>
    <w:next w:val="BodyText"/>
    <w:rsid w:val="004A4986"/>
    <w:pPr>
      <w:spacing w:before="180" w:after="0"/>
    </w:pPr>
  </w:style>
  <w:style w:type="paragraph" w:customStyle="1" w:styleId="BoxSpaceAbove">
    <w:name w:val="Box Space Above"/>
    <w:basedOn w:val="BodyText"/>
    <w:rsid w:val="004A4986"/>
    <w:pPr>
      <w:keepNext/>
      <w:spacing w:before="360" w:line="80" w:lineRule="exact"/>
      <w:jc w:val="left"/>
    </w:pPr>
  </w:style>
  <w:style w:type="paragraph" w:styleId="Caption">
    <w:name w:val="caption"/>
    <w:basedOn w:val="Normal"/>
    <w:next w:val="BodyText"/>
    <w:rsid w:val="004A498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A4986"/>
    <w:pPr>
      <w:spacing w:before="120" w:after="0"/>
      <w:ind w:left="1304" w:hanging="1304"/>
    </w:pPr>
    <w:rPr>
      <w:sz w:val="24"/>
    </w:rPr>
  </w:style>
  <w:style w:type="paragraph" w:customStyle="1" w:styleId="BoxSubtitle">
    <w:name w:val="Box Subtitle"/>
    <w:basedOn w:val="BoxTitle"/>
    <w:next w:val="Normal"/>
    <w:rsid w:val="004A4986"/>
    <w:pPr>
      <w:spacing w:after="80" w:line="200" w:lineRule="exact"/>
      <w:ind w:firstLine="0"/>
    </w:pPr>
    <w:rPr>
      <w:b w:val="0"/>
      <w:sz w:val="20"/>
    </w:rPr>
  </w:style>
  <w:style w:type="paragraph" w:customStyle="1" w:styleId="Chapter">
    <w:name w:val="Chapter"/>
    <w:basedOn w:val="Heading1"/>
    <w:next w:val="BodyText"/>
    <w:semiHidden/>
    <w:rsid w:val="004A4986"/>
    <w:pPr>
      <w:ind w:left="0" w:firstLine="0"/>
      <w:outlineLvl w:val="9"/>
    </w:pPr>
  </w:style>
  <w:style w:type="paragraph" w:customStyle="1" w:styleId="ChapterSummary">
    <w:name w:val="Chapter Summary"/>
    <w:basedOn w:val="BodyText"/>
    <w:rsid w:val="004A4986"/>
    <w:pPr>
      <w:ind w:left="907"/>
    </w:pPr>
    <w:rPr>
      <w:rFonts w:ascii="Arial" w:hAnsi="Arial"/>
      <w:b/>
      <w:sz w:val="22"/>
    </w:rPr>
  </w:style>
  <w:style w:type="character" w:styleId="CommentReference">
    <w:name w:val="annotation reference"/>
    <w:basedOn w:val="DefaultParagraphFont"/>
    <w:semiHidden/>
    <w:rsid w:val="004A4986"/>
    <w:rPr>
      <w:b/>
      <w:vanish/>
      <w:color w:val="FF00FF"/>
      <w:sz w:val="20"/>
    </w:rPr>
  </w:style>
  <w:style w:type="paragraph" w:styleId="CommentText">
    <w:name w:val="annotation text"/>
    <w:basedOn w:val="Normal"/>
    <w:link w:val="CommentTextChar"/>
    <w:semiHidden/>
    <w:rsid w:val="004A4986"/>
    <w:pPr>
      <w:spacing w:before="120" w:line="240" w:lineRule="atLeast"/>
      <w:ind w:left="567" w:hanging="567"/>
    </w:pPr>
    <w:rPr>
      <w:sz w:val="20"/>
    </w:rPr>
  </w:style>
  <w:style w:type="paragraph" w:customStyle="1" w:styleId="Continued">
    <w:name w:val="Continued"/>
    <w:basedOn w:val="BoxContinued"/>
    <w:next w:val="BodyText"/>
    <w:rsid w:val="004A4986"/>
  </w:style>
  <w:style w:type="character" w:customStyle="1" w:styleId="DocumentInfo">
    <w:name w:val="Document Info"/>
    <w:basedOn w:val="DefaultParagraphFont"/>
    <w:semiHidden/>
    <w:rsid w:val="004A4986"/>
    <w:rPr>
      <w:rFonts w:ascii="Arial" w:hAnsi="Arial"/>
      <w:sz w:val="14"/>
    </w:rPr>
  </w:style>
  <w:style w:type="character" w:customStyle="1" w:styleId="DraftingNote">
    <w:name w:val="Drafting Note"/>
    <w:basedOn w:val="DefaultParagraphFont"/>
    <w:rsid w:val="004A4986"/>
    <w:rPr>
      <w:b/>
      <w:color w:val="FF0000"/>
      <w:sz w:val="24"/>
      <w:u w:val="dotted"/>
    </w:rPr>
  </w:style>
  <w:style w:type="paragraph" w:customStyle="1" w:styleId="Figure">
    <w:name w:val="Figure"/>
    <w:basedOn w:val="BodyText"/>
    <w:rsid w:val="004A4986"/>
    <w:pPr>
      <w:keepNext/>
      <w:spacing w:before="120" w:after="120" w:line="240" w:lineRule="atLeast"/>
      <w:jc w:val="center"/>
    </w:pPr>
  </w:style>
  <w:style w:type="paragraph" w:customStyle="1" w:styleId="FigureTitle">
    <w:name w:val="Figure Title"/>
    <w:basedOn w:val="Caption"/>
    <w:next w:val="Subtitle"/>
    <w:rsid w:val="004A4986"/>
    <w:rPr>
      <w:sz w:val="24"/>
    </w:rPr>
  </w:style>
  <w:style w:type="paragraph" w:styleId="Subtitle">
    <w:name w:val="Subtitle"/>
    <w:basedOn w:val="Caption"/>
    <w:link w:val="SubtitleChar"/>
    <w:rsid w:val="004A4986"/>
    <w:pPr>
      <w:spacing w:before="0" w:line="200" w:lineRule="exact"/>
      <w:ind w:firstLine="0"/>
    </w:pPr>
    <w:rPr>
      <w:b w:val="0"/>
      <w:sz w:val="20"/>
    </w:rPr>
  </w:style>
  <w:style w:type="paragraph" w:customStyle="1" w:styleId="Finding">
    <w:name w:val="Finding"/>
    <w:basedOn w:val="BodyText"/>
    <w:rsid w:val="004A4986"/>
    <w:pPr>
      <w:keepLines/>
      <w:spacing w:before="180"/>
    </w:pPr>
    <w:rPr>
      <w:i/>
    </w:rPr>
  </w:style>
  <w:style w:type="paragraph" w:customStyle="1" w:styleId="FindingBullet">
    <w:name w:val="Finding Bullet"/>
    <w:basedOn w:val="Finding"/>
    <w:rsid w:val="004A4986"/>
    <w:pPr>
      <w:numPr>
        <w:numId w:val="3"/>
      </w:numPr>
      <w:spacing w:before="80"/>
    </w:pPr>
  </w:style>
  <w:style w:type="paragraph" w:customStyle="1" w:styleId="FindingNoTitle">
    <w:name w:val="Finding NoTitle"/>
    <w:basedOn w:val="Finding"/>
    <w:semiHidden/>
    <w:rsid w:val="004A4986"/>
    <w:pPr>
      <w:spacing w:before="240"/>
    </w:pPr>
  </w:style>
  <w:style w:type="paragraph" w:customStyle="1" w:styleId="RecTitle">
    <w:name w:val="Rec Title"/>
    <w:basedOn w:val="BodyText"/>
    <w:next w:val="Normal"/>
    <w:rsid w:val="004A4986"/>
    <w:pPr>
      <w:keepNext/>
      <w:keepLines/>
    </w:pPr>
    <w:rPr>
      <w:caps/>
      <w:sz w:val="20"/>
    </w:rPr>
  </w:style>
  <w:style w:type="paragraph" w:customStyle="1" w:styleId="FindingTitle">
    <w:name w:val="Finding Title"/>
    <w:basedOn w:val="RecTitle"/>
    <w:next w:val="Finding"/>
    <w:rsid w:val="004A4986"/>
    <w:pPr>
      <w:framePr w:wrap="notBeside" w:hAnchor="text"/>
    </w:pPr>
  </w:style>
  <w:style w:type="character" w:styleId="FootnoteReference">
    <w:name w:val="footnote reference"/>
    <w:basedOn w:val="DefaultParagraphFont"/>
    <w:semiHidden/>
    <w:rsid w:val="004A4986"/>
    <w:rPr>
      <w:rFonts w:ascii="Times New Roman" w:hAnsi="Times New Roman"/>
      <w:position w:val="6"/>
      <w:sz w:val="22"/>
      <w:vertAlign w:val="baseline"/>
    </w:rPr>
  </w:style>
  <w:style w:type="paragraph" w:styleId="FootnoteText">
    <w:name w:val="footnote text"/>
    <w:basedOn w:val="BodyText"/>
    <w:rsid w:val="004A498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A4986"/>
    <w:pPr>
      <w:spacing w:before="360" w:after="120"/>
    </w:pPr>
    <w:rPr>
      <w:rFonts w:ascii="Arial" w:hAnsi="Arial"/>
      <w:sz w:val="24"/>
    </w:rPr>
  </w:style>
  <w:style w:type="paragraph" w:customStyle="1" w:styleId="Jurisdictioncommentsbodytext">
    <w:name w:val="Jurisdiction comments body text"/>
    <w:rsid w:val="004A4986"/>
    <w:pPr>
      <w:spacing w:after="140"/>
      <w:jc w:val="both"/>
    </w:pPr>
    <w:rPr>
      <w:rFonts w:ascii="Arial" w:hAnsi="Arial"/>
      <w:sz w:val="24"/>
      <w:lang w:eastAsia="en-US"/>
    </w:rPr>
  </w:style>
  <w:style w:type="paragraph" w:customStyle="1" w:styleId="Jurisdictioncommentsheading">
    <w:name w:val="Jurisdiction comments heading"/>
    <w:rsid w:val="004A498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A4986"/>
    <w:pPr>
      <w:numPr>
        <w:numId w:val="4"/>
      </w:numPr>
      <w:spacing w:after="140"/>
      <w:jc w:val="both"/>
    </w:pPr>
    <w:rPr>
      <w:rFonts w:ascii="Arial" w:hAnsi="Arial"/>
      <w:sz w:val="24"/>
      <w:lang w:eastAsia="en-US"/>
    </w:rPr>
  </w:style>
  <w:style w:type="paragraph" w:styleId="ListBullet">
    <w:name w:val="List Bullet"/>
    <w:basedOn w:val="BodyText"/>
    <w:rsid w:val="004A4986"/>
    <w:pPr>
      <w:numPr>
        <w:numId w:val="6"/>
      </w:numPr>
      <w:spacing w:before="120"/>
    </w:pPr>
  </w:style>
  <w:style w:type="paragraph" w:styleId="ListBullet2">
    <w:name w:val="List Bullet 2"/>
    <w:basedOn w:val="BodyText"/>
    <w:rsid w:val="004A4986"/>
    <w:pPr>
      <w:numPr>
        <w:numId w:val="8"/>
      </w:numPr>
      <w:spacing w:before="120"/>
    </w:pPr>
  </w:style>
  <w:style w:type="paragraph" w:styleId="ListBullet3">
    <w:name w:val="List Bullet 3"/>
    <w:basedOn w:val="BodyText"/>
    <w:rsid w:val="004A4986"/>
    <w:pPr>
      <w:numPr>
        <w:numId w:val="10"/>
      </w:numPr>
      <w:spacing w:before="120"/>
    </w:pPr>
  </w:style>
  <w:style w:type="paragraph" w:styleId="ListNumber">
    <w:name w:val="List Number"/>
    <w:basedOn w:val="BodyText"/>
    <w:rsid w:val="004A4986"/>
    <w:pPr>
      <w:numPr>
        <w:numId w:val="32"/>
      </w:numPr>
      <w:spacing w:before="120"/>
    </w:pPr>
  </w:style>
  <w:style w:type="paragraph" w:styleId="ListNumber2">
    <w:name w:val="List Number 2"/>
    <w:basedOn w:val="ListNumber"/>
    <w:rsid w:val="004A4986"/>
    <w:pPr>
      <w:numPr>
        <w:ilvl w:val="1"/>
      </w:numPr>
    </w:pPr>
  </w:style>
  <w:style w:type="paragraph" w:styleId="ListNumber3">
    <w:name w:val="List Number 3"/>
    <w:basedOn w:val="ListNumber2"/>
    <w:rsid w:val="004A4986"/>
    <w:pPr>
      <w:numPr>
        <w:ilvl w:val="2"/>
      </w:numPr>
    </w:pPr>
  </w:style>
  <w:style w:type="character" w:customStyle="1" w:styleId="NoteLabel">
    <w:name w:val="Note Label"/>
    <w:basedOn w:val="DefaultParagraphFont"/>
    <w:rsid w:val="004A4986"/>
    <w:rPr>
      <w:rFonts w:ascii="Arial" w:hAnsi="Arial"/>
      <w:b/>
      <w:position w:val="6"/>
      <w:sz w:val="18"/>
    </w:rPr>
  </w:style>
  <w:style w:type="paragraph" w:customStyle="1" w:styleId="PartDivider">
    <w:name w:val="Part Divider"/>
    <w:basedOn w:val="BodyText"/>
    <w:next w:val="BodyText"/>
    <w:semiHidden/>
    <w:rsid w:val="004A4986"/>
    <w:pPr>
      <w:spacing w:before="0" w:line="40" w:lineRule="exact"/>
      <w:jc w:val="right"/>
    </w:pPr>
    <w:rPr>
      <w:smallCaps/>
      <w:sz w:val="16"/>
    </w:rPr>
  </w:style>
  <w:style w:type="paragraph" w:customStyle="1" w:styleId="PartNumber">
    <w:name w:val="Part Number"/>
    <w:basedOn w:val="BodyText"/>
    <w:next w:val="BodyText"/>
    <w:semiHidden/>
    <w:rsid w:val="004A4986"/>
    <w:pPr>
      <w:spacing w:before="4000" w:line="320" w:lineRule="exact"/>
      <w:ind w:left="6634"/>
      <w:jc w:val="right"/>
    </w:pPr>
    <w:rPr>
      <w:smallCaps/>
      <w:spacing w:val="60"/>
      <w:sz w:val="32"/>
    </w:rPr>
  </w:style>
  <w:style w:type="paragraph" w:customStyle="1" w:styleId="PartTitle">
    <w:name w:val="Part Title"/>
    <w:basedOn w:val="BodyText"/>
    <w:semiHidden/>
    <w:rsid w:val="004A4986"/>
    <w:pPr>
      <w:spacing w:before="160" w:after="1360" w:line="520" w:lineRule="exact"/>
      <w:ind w:right="2381"/>
      <w:jc w:val="right"/>
    </w:pPr>
    <w:rPr>
      <w:smallCaps/>
      <w:sz w:val="52"/>
    </w:rPr>
  </w:style>
  <w:style w:type="paragraph" w:styleId="Quote">
    <w:name w:val="Quote"/>
    <w:basedOn w:val="BodyText"/>
    <w:next w:val="BodyText"/>
    <w:qFormat/>
    <w:rsid w:val="004A4986"/>
    <w:pPr>
      <w:spacing w:before="120" w:line="280" w:lineRule="exact"/>
      <w:ind w:left="340"/>
    </w:pPr>
    <w:rPr>
      <w:sz w:val="24"/>
    </w:rPr>
  </w:style>
  <w:style w:type="paragraph" w:customStyle="1" w:styleId="QuoteBullet">
    <w:name w:val="Quote Bullet"/>
    <w:basedOn w:val="Quote"/>
    <w:rsid w:val="004A4986"/>
    <w:pPr>
      <w:numPr>
        <w:numId w:val="14"/>
      </w:numPr>
    </w:pPr>
  </w:style>
  <w:style w:type="paragraph" w:customStyle="1" w:styleId="Rec">
    <w:name w:val="Rec"/>
    <w:basedOn w:val="BodyText"/>
    <w:rsid w:val="004A4986"/>
    <w:pPr>
      <w:keepLines/>
      <w:spacing w:before="180"/>
    </w:pPr>
    <w:rPr>
      <w:b/>
      <w:i/>
    </w:rPr>
  </w:style>
  <w:style w:type="paragraph" w:customStyle="1" w:styleId="RecBullet">
    <w:name w:val="Rec Bullet"/>
    <w:basedOn w:val="Rec"/>
    <w:rsid w:val="004A4986"/>
    <w:pPr>
      <w:numPr>
        <w:numId w:val="15"/>
      </w:numPr>
      <w:spacing w:before="80"/>
    </w:pPr>
  </w:style>
  <w:style w:type="paragraph" w:customStyle="1" w:styleId="RecB">
    <w:name w:val="RecB"/>
    <w:basedOn w:val="Normal"/>
    <w:semiHidden/>
    <w:rsid w:val="004A498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A4986"/>
    <w:pPr>
      <w:numPr>
        <w:numId w:val="16"/>
      </w:numPr>
      <w:spacing w:before="80"/>
    </w:pPr>
  </w:style>
  <w:style w:type="paragraph" w:customStyle="1" w:styleId="RecBNoTitle">
    <w:name w:val="RecB NoTitle"/>
    <w:basedOn w:val="RecB"/>
    <w:semiHidden/>
    <w:rsid w:val="004A4986"/>
    <w:pPr>
      <w:spacing w:before="240"/>
    </w:pPr>
  </w:style>
  <w:style w:type="paragraph" w:customStyle="1" w:styleId="Reference">
    <w:name w:val="Reference"/>
    <w:basedOn w:val="BodyText"/>
    <w:rsid w:val="004A4986"/>
    <w:pPr>
      <w:spacing w:before="120"/>
      <w:ind w:left="340" w:hanging="340"/>
    </w:pPr>
  </w:style>
  <w:style w:type="paragraph" w:customStyle="1" w:styleId="SequenceInfo">
    <w:name w:val="Sequence Info"/>
    <w:basedOn w:val="BodyText"/>
    <w:semiHidden/>
    <w:rsid w:val="004A4986"/>
    <w:rPr>
      <w:vanish/>
      <w:sz w:val="16"/>
    </w:rPr>
  </w:style>
  <w:style w:type="paragraph" w:customStyle="1" w:styleId="SideNote">
    <w:name w:val="Side Note"/>
    <w:basedOn w:val="BodyText"/>
    <w:next w:val="BodyText"/>
    <w:semiHidden/>
    <w:rsid w:val="004A498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A4986"/>
    <w:pPr>
      <w:framePr w:wrap="around"/>
      <w:numPr>
        <w:numId w:val="17"/>
      </w:numPr>
      <w:tabs>
        <w:tab w:val="left" w:pos="227"/>
      </w:tabs>
    </w:pPr>
  </w:style>
  <w:style w:type="paragraph" w:customStyle="1" w:styleId="SideNoteGraphic">
    <w:name w:val="Side Note Graphic"/>
    <w:basedOn w:val="SideNote"/>
    <w:next w:val="BodyText"/>
    <w:semiHidden/>
    <w:rsid w:val="004A4986"/>
    <w:pPr>
      <w:framePr w:wrap="around"/>
    </w:pPr>
  </w:style>
  <w:style w:type="paragraph" w:customStyle="1" w:styleId="TableBodyText">
    <w:name w:val="Table Body Text"/>
    <w:basedOn w:val="BodyText"/>
    <w:rsid w:val="004A498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A4986"/>
    <w:pPr>
      <w:numPr>
        <w:numId w:val="18"/>
      </w:numPr>
      <w:jc w:val="left"/>
    </w:pPr>
  </w:style>
  <w:style w:type="paragraph" w:customStyle="1" w:styleId="TableColumnHeading">
    <w:name w:val="Table Column Heading"/>
    <w:basedOn w:val="TableBodyText"/>
    <w:rsid w:val="004A4986"/>
    <w:pPr>
      <w:spacing w:before="80" w:after="80"/>
    </w:pPr>
    <w:rPr>
      <w:i/>
    </w:rPr>
  </w:style>
  <w:style w:type="paragraph" w:styleId="TOC2">
    <w:name w:val="toc 2"/>
    <w:basedOn w:val="BodyText"/>
    <w:semiHidden/>
    <w:rsid w:val="004A4986"/>
    <w:pPr>
      <w:tabs>
        <w:tab w:val="right" w:pos="8789"/>
      </w:tabs>
      <w:ind w:left="510" w:right="851" w:hanging="510"/>
      <w:jc w:val="left"/>
    </w:pPr>
    <w:rPr>
      <w:b/>
    </w:rPr>
  </w:style>
  <w:style w:type="paragraph" w:styleId="TOC3">
    <w:name w:val="toc 3"/>
    <w:basedOn w:val="TOC2"/>
    <w:semiHidden/>
    <w:rsid w:val="004A4986"/>
    <w:pPr>
      <w:spacing w:before="60"/>
      <w:ind w:left="1190" w:hanging="680"/>
    </w:pPr>
    <w:rPr>
      <w:b w:val="0"/>
    </w:rPr>
  </w:style>
  <w:style w:type="paragraph" w:styleId="TableofFigures">
    <w:name w:val="table of figures"/>
    <w:basedOn w:val="TOC3"/>
    <w:next w:val="BodyText"/>
    <w:semiHidden/>
    <w:rsid w:val="004A4986"/>
    <w:pPr>
      <w:ind w:left="737" w:hanging="737"/>
    </w:pPr>
  </w:style>
  <w:style w:type="paragraph" w:customStyle="1" w:styleId="TableTitle">
    <w:name w:val="Table Title"/>
    <w:basedOn w:val="Caption"/>
    <w:next w:val="Subtitle"/>
    <w:rsid w:val="004A4986"/>
    <w:rPr>
      <w:sz w:val="24"/>
    </w:rPr>
  </w:style>
  <w:style w:type="paragraph" w:customStyle="1" w:styleId="TableUnitsRow">
    <w:name w:val="Table Units Row"/>
    <w:basedOn w:val="TableBodyText"/>
    <w:rsid w:val="004A4986"/>
    <w:pPr>
      <w:spacing w:before="80" w:after="80"/>
    </w:pPr>
  </w:style>
  <w:style w:type="paragraph" w:styleId="TOC1">
    <w:name w:val="toc 1"/>
    <w:basedOn w:val="Normal"/>
    <w:next w:val="TOC2"/>
    <w:semiHidden/>
    <w:rsid w:val="004A4986"/>
    <w:pPr>
      <w:tabs>
        <w:tab w:val="right" w:pos="8789"/>
      </w:tabs>
      <w:spacing w:before="480" w:after="60" w:line="320" w:lineRule="exact"/>
      <w:ind w:left="1191" w:right="851" w:hanging="1191"/>
    </w:pPr>
    <w:rPr>
      <w:b/>
      <w:caps/>
    </w:rPr>
  </w:style>
  <w:style w:type="paragraph" w:styleId="TOC4">
    <w:name w:val="toc 4"/>
    <w:basedOn w:val="TOC3"/>
    <w:semiHidden/>
    <w:rsid w:val="004A4986"/>
    <w:pPr>
      <w:ind w:left="1191" w:firstLine="0"/>
    </w:pPr>
  </w:style>
  <w:style w:type="paragraph" w:customStyle="1" w:styleId="RecBBullet2">
    <w:name w:val="RecB Bullet 2"/>
    <w:basedOn w:val="ListBullet2"/>
    <w:semiHidden/>
    <w:rsid w:val="004A4986"/>
    <w:pPr>
      <w:pBdr>
        <w:left w:val="single" w:sz="24" w:space="29" w:color="C0C0C0"/>
      </w:pBdr>
    </w:pPr>
    <w:rPr>
      <w:b/>
      <w:i/>
    </w:rPr>
  </w:style>
  <w:style w:type="paragraph" w:styleId="BalloonText">
    <w:name w:val="Balloon Text"/>
    <w:basedOn w:val="Normal"/>
    <w:link w:val="BalloonTextChar"/>
    <w:rsid w:val="004A4986"/>
    <w:rPr>
      <w:rFonts w:ascii="Tahoma" w:hAnsi="Tahoma" w:cs="Tahoma"/>
      <w:sz w:val="16"/>
      <w:szCs w:val="16"/>
    </w:rPr>
  </w:style>
  <w:style w:type="character" w:customStyle="1" w:styleId="BalloonTextChar">
    <w:name w:val="Balloon Text Char"/>
    <w:basedOn w:val="DefaultParagraphFont"/>
    <w:link w:val="BalloonText"/>
    <w:rsid w:val="004A4986"/>
    <w:rPr>
      <w:rFonts w:ascii="Tahoma" w:hAnsi="Tahoma" w:cs="Tahoma"/>
      <w:sz w:val="16"/>
      <w:szCs w:val="16"/>
    </w:rPr>
  </w:style>
  <w:style w:type="character" w:customStyle="1" w:styleId="SubtitleChar">
    <w:name w:val="Subtitle Char"/>
    <w:basedOn w:val="DefaultParagraphFont"/>
    <w:link w:val="Subtitle"/>
    <w:rsid w:val="004A4986"/>
    <w:rPr>
      <w:rFonts w:ascii="Arial" w:hAnsi="Arial"/>
      <w:szCs w:val="24"/>
    </w:rPr>
  </w:style>
  <w:style w:type="paragraph" w:customStyle="1" w:styleId="BoxListBullet3">
    <w:name w:val="Box List Bullet 3"/>
    <w:basedOn w:val="ListBullet3"/>
    <w:rsid w:val="004A4986"/>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A4986"/>
    <w:rPr>
      <w:i/>
      <w:iCs/>
    </w:rPr>
  </w:style>
  <w:style w:type="paragraph" w:customStyle="1" w:styleId="BoxQuoteBullet">
    <w:name w:val="Box Quote Bullet"/>
    <w:basedOn w:val="BoxQuote"/>
    <w:next w:val="Box"/>
    <w:rsid w:val="004A4986"/>
    <w:pPr>
      <w:numPr>
        <w:numId w:val="45"/>
      </w:numPr>
      <w:ind w:left="568" w:hanging="284"/>
    </w:pPr>
  </w:style>
  <w:style w:type="paragraph" w:customStyle="1" w:styleId="InformationRequestBullet">
    <w:name w:val="Information Request Bullet"/>
    <w:basedOn w:val="ListBullet"/>
    <w:next w:val="BodyText"/>
    <w:rsid w:val="004A4986"/>
    <w:pPr>
      <w:numPr>
        <w:numId w:val="46"/>
      </w:numPr>
      <w:ind w:left="340" w:hanging="340"/>
    </w:pPr>
    <w:rPr>
      <w:rFonts w:ascii="Arial" w:hAnsi="Arial"/>
      <w:i/>
      <w:sz w:val="24"/>
    </w:rPr>
  </w:style>
  <w:style w:type="paragraph" w:customStyle="1" w:styleId="BoxSpaceBelow">
    <w:name w:val="Box Space Below"/>
    <w:basedOn w:val="Box"/>
    <w:rsid w:val="004A4986"/>
    <w:pPr>
      <w:keepNext w:val="0"/>
      <w:spacing w:before="60" w:after="60" w:line="80" w:lineRule="exact"/>
    </w:pPr>
    <w:rPr>
      <w:sz w:val="14"/>
    </w:rPr>
  </w:style>
  <w:style w:type="paragraph" w:customStyle="1" w:styleId="Author">
    <w:name w:val="Author"/>
    <w:basedOn w:val="Normal"/>
    <w:rsid w:val="00E40E2F"/>
    <w:rPr>
      <w:rFonts w:ascii="Arial" w:hAnsi="Arial"/>
      <w:b/>
      <w:sz w:val="28"/>
    </w:rPr>
  </w:style>
  <w:style w:type="paragraph" w:customStyle="1" w:styleId="AbstractHeading">
    <w:name w:val="AbstractHeading"/>
    <w:basedOn w:val="AbstractText"/>
    <w:rsid w:val="00E40E2F"/>
    <w:pPr>
      <w:spacing w:before="240"/>
    </w:pPr>
    <w:rPr>
      <w:b/>
    </w:rPr>
  </w:style>
  <w:style w:type="paragraph" w:customStyle="1" w:styleId="AbstractText">
    <w:name w:val="AbstractText"/>
    <w:basedOn w:val="Normal"/>
    <w:rsid w:val="00E40E2F"/>
    <w:pPr>
      <w:spacing w:before="120" w:after="120" w:line="320" w:lineRule="atLeast"/>
      <w:ind w:left="907"/>
    </w:pPr>
    <w:rPr>
      <w:rFonts w:ascii="Arial" w:hAnsi="Arial"/>
      <w:sz w:val="22"/>
    </w:rPr>
  </w:style>
  <w:style w:type="paragraph" w:styleId="CommentSubject">
    <w:name w:val="annotation subject"/>
    <w:basedOn w:val="CommentText"/>
    <w:next w:val="CommentText"/>
    <w:link w:val="CommentSubjectChar"/>
    <w:rsid w:val="005318C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318C3"/>
    <w:rPr>
      <w:szCs w:val="24"/>
    </w:rPr>
  </w:style>
  <w:style w:type="character" w:customStyle="1" w:styleId="CommentSubjectChar">
    <w:name w:val="Comment Subject Char"/>
    <w:basedOn w:val="CommentTextChar"/>
    <w:link w:val="CommentSubject"/>
    <w:rsid w:val="005318C3"/>
    <w:rPr>
      <w:szCs w:val="24"/>
    </w:rPr>
  </w:style>
  <w:style w:type="character" w:customStyle="1" w:styleId="BodyTextChar">
    <w:name w:val="Body Text Char"/>
    <w:basedOn w:val="DefaultParagraphFont"/>
    <w:link w:val="BodyText"/>
    <w:rsid w:val="00784885"/>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A4986"/>
    <w:rPr>
      <w:sz w:val="26"/>
      <w:szCs w:val="24"/>
    </w:rPr>
  </w:style>
  <w:style w:type="paragraph" w:styleId="Heading1">
    <w:name w:val="heading 1"/>
    <w:basedOn w:val="BodyText"/>
    <w:next w:val="BodyText"/>
    <w:rsid w:val="004A498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A498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A4986"/>
    <w:pPr>
      <w:spacing w:before="560" w:line="320" w:lineRule="exact"/>
      <w:ind w:left="0" w:firstLine="0"/>
      <w:outlineLvl w:val="2"/>
    </w:pPr>
    <w:rPr>
      <w:sz w:val="26"/>
    </w:rPr>
  </w:style>
  <w:style w:type="paragraph" w:styleId="Heading4">
    <w:name w:val="heading 4"/>
    <w:basedOn w:val="Heading3"/>
    <w:next w:val="BodyText"/>
    <w:qFormat/>
    <w:rsid w:val="004A4986"/>
    <w:pPr>
      <w:spacing w:before="480"/>
      <w:outlineLvl w:val="3"/>
    </w:pPr>
    <w:rPr>
      <w:b w:val="0"/>
      <w:i/>
      <w:sz w:val="24"/>
    </w:rPr>
  </w:style>
  <w:style w:type="paragraph" w:styleId="Heading5">
    <w:name w:val="heading 5"/>
    <w:basedOn w:val="Heading4"/>
    <w:next w:val="BodyText"/>
    <w:qFormat/>
    <w:rsid w:val="004A4986"/>
    <w:pPr>
      <w:outlineLvl w:val="4"/>
    </w:pPr>
    <w:rPr>
      <w:rFonts w:ascii="Times New Roman" w:hAnsi="Times New Roman"/>
      <w:sz w:val="26"/>
    </w:rPr>
  </w:style>
  <w:style w:type="paragraph" w:styleId="Heading6">
    <w:name w:val="heading 6"/>
    <w:basedOn w:val="BodyText"/>
    <w:next w:val="BodyText"/>
    <w:rsid w:val="004A4986"/>
    <w:pPr>
      <w:spacing w:after="60"/>
      <w:jc w:val="left"/>
      <w:outlineLvl w:val="5"/>
    </w:pPr>
    <w:rPr>
      <w:i/>
      <w:sz w:val="22"/>
    </w:rPr>
  </w:style>
  <w:style w:type="paragraph" w:styleId="Heading7">
    <w:name w:val="heading 7"/>
    <w:basedOn w:val="BodyText"/>
    <w:next w:val="BodyText"/>
    <w:rsid w:val="004A4986"/>
    <w:pPr>
      <w:spacing w:after="60" w:line="240" w:lineRule="auto"/>
      <w:jc w:val="left"/>
      <w:outlineLvl w:val="6"/>
    </w:pPr>
    <w:rPr>
      <w:rFonts w:ascii="Arial" w:hAnsi="Arial"/>
      <w:sz w:val="20"/>
    </w:rPr>
  </w:style>
  <w:style w:type="paragraph" w:styleId="Heading8">
    <w:name w:val="heading 8"/>
    <w:basedOn w:val="BodyText"/>
    <w:next w:val="BodyText"/>
    <w:rsid w:val="004A4986"/>
    <w:pPr>
      <w:spacing w:after="60" w:line="240" w:lineRule="auto"/>
      <w:jc w:val="left"/>
      <w:outlineLvl w:val="7"/>
    </w:pPr>
    <w:rPr>
      <w:rFonts w:ascii="Arial" w:hAnsi="Arial"/>
      <w:i/>
      <w:sz w:val="20"/>
    </w:rPr>
  </w:style>
  <w:style w:type="paragraph" w:styleId="Heading9">
    <w:name w:val="heading 9"/>
    <w:basedOn w:val="BodyText"/>
    <w:next w:val="BodyText"/>
    <w:rsid w:val="004A498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A49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4986"/>
  </w:style>
  <w:style w:type="paragraph" w:styleId="BodyText">
    <w:name w:val="Body Text"/>
    <w:link w:val="BodyTextChar"/>
    <w:qFormat/>
    <w:rsid w:val="004A4986"/>
    <w:pPr>
      <w:spacing w:before="240" w:line="320" w:lineRule="atLeast"/>
      <w:jc w:val="both"/>
    </w:pPr>
    <w:rPr>
      <w:sz w:val="26"/>
    </w:rPr>
  </w:style>
  <w:style w:type="paragraph" w:styleId="Footer">
    <w:name w:val="footer"/>
    <w:basedOn w:val="BodyText"/>
    <w:semiHidden/>
    <w:rsid w:val="004A4986"/>
    <w:pPr>
      <w:spacing w:before="80" w:line="200" w:lineRule="exact"/>
      <w:ind w:right="6"/>
      <w:jc w:val="left"/>
    </w:pPr>
    <w:rPr>
      <w:caps/>
      <w:spacing w:val="-4"/>
      <w:sz w:val="16"/>
    </w:rPr>
  </w:style>
  <w:style w:type="paragraph" w:customStyle="1" w:styleId="FooterEnd">
    <w:name w:val="Footer End"/>
    <w:basedOn w:val="Footer"/>
    <w:rsid w:val="004A4986"/>
    <w:pPr>
      <w:spacing w:before="0" w:line="20" w:lineRule="exact"/>
    </w:pPr>
  </w:style>
  <w:style w:type="paragraph" w:styleId="Header">
    <w:name w:val="header"/>
    <w:basedOn w:val="BodyText"/>
    <w:rsid w:val="004A498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A4986"/>
    <w:pPr>
      <w:spacing w:line="20" w:lineRule="exact"/>
    </w:pPr>
    <w:rPr>
      <w:sz w:val="16"/>
    </w:rPr>
  </w:style>
  <w:style w:type="paragraph" w:customStyle="1" w:styleId="HeaderEven">
    <w:name w:val="Header Even"/>
    <w:basedOn w:val="Header"/>
    <w:semiHidden/>
    <w:rsid w:val="004A4986"/>
  </w:style>
  <w:style w:type="paragraph" w:customStyle="1" w:styleId="HeaderOdd">
    <w:name w:val="Header Odd"/>
    <w:basedOn w:val="Header"/>
    <w:semiHidden/>
    <w:rsid w:val="004A4986"/>
  </w:style>
  <w:style w:type="character" w:styleId="PageNumber">
    <w:name w:val="page number"/>
    <w:basedOn w:val="DefaultParagraphFont"/>
    <w:rsid w:val="004A4986"/>
    <w:rPr>
      <w:rFonts w:ascii="Arial" w:hAnsi="Arial"/>
      <w:b/>
      <w:sz w:val="16"/>
    </w:rPr>
  </w:style>
  <w:style w:type="paragraph" w:customStyle="1" w:styleId="Abbreviation">
    <w:name w:val="Abbreviation"/>
    <w:basedOn w:val="BodyText"/>
    <w:rsid w:val="004A4986"/>
    <w:pPr>
      <w:spacing w:before="120"/>
      <w:ind w:left="2381" w:hanging="2381"/>
      <w:jc w:val="left"/>
    </w:pPr>
  </w:style>
  <w:style w:type="paragraph" w:customStyle="1" w:styleId="Box">
    <w:name w:val="Box"/>
    <w:basedOn w:val="BodyText"/>
    <w:qFormat/>
    <w:rsid w:val="004A4986"/>
    <w:pPr>
      <w:keepNext/>
      <w:spacing w:before="120" w:line="280" w:lineRule="atLeast"/>
    </w:pPr>
    <w:rPr>
      <w:rFonts w:ascii="Arial" w:hAnsi="Arial"/>
      <w:sz w:val="22"/>
    </w:rPr>
  </w:style>
  <w:style w:type="paragraph" w:customStyle="1" w:styleId="BoxContinued">
    <w:name w:val="Box Continued"/>
    <w:basedOn w:val="BodyText"/>
    <w:next w:val="BodyText"/>
    <w:semiHidden/>
    <w:rsid w:val="004A4986"/>
    <w:pPr>
      <w:spacing w:before="180" w:line="220" w:lineRule="exact"/>
      <w:jc w:val="right"/>
    </w:pPr>
    <w:rPr>
      <w:rFonts w:ascii="Arial" w:hAnsi="Arial"/>
      <w:sz w:val="18"/>
    </w:rPr>
  </w:style>
  <w:style w:type="paragraph" w:customStyle="1" w:styleId="BoxHeading1">
    <w:name w:val="Box Heading 1"/>
    <w:basedOn w:val="BodyText"/>
    <w:next w:val="Box"/>
    <w:rsid w:val="004A4986"/>
    <w:pPr>
      <w:keepNext/>
      <w:spacing w:before="200" w:line="280" w:lineRule="atLeast"/>
    </w:pPr>
    <w:rPr>
      <w:rFonts w:ascii="Arial" w:hAnsi="Arial"/>
      <w:b/>
      <w:sz w:val="22"/>
    </w:rPr>
  </w:style>
  <w:style w:type="paragraph" w:customStyle="1" w:styleId="BoxHeading2">
    <w:name w:val="Box Heading 2"/>
    <w:basedOn w:val="BoxHeading1"/>
    <w:next w:val="Normal"/>
    <w:rsid w:val="004A4986"/>
    <w:rPr>
      <w:b w:val="0"/>
      <w:i/>
    </w:rPr>
  </w:style>
  <w:style w:type="paragraph" w:customStyle="1" w:styleId="BoxListBullet">
    <w:name w:val="Box List Bullet"/>
    <w:basedOn w:val="BodyText"/>
    <w:rsid w:val="004A4986"/>
    <w:pPr>
      <w:keepNext/>
      <w:numPr>
        <w:numId w:val="1"/>
      </w:numPr>
      <w:spacing w:before="60" w:line="280" w:lineRule="atLeast"/>
    </w:pPr>
    <w:rPr>
      <w:rFonts w:ascii="Arial" w:hAnsi="Arial"/>
      <w:sz w:val="22"/>
    </w:rPr>
  </w:style>
  <w:style w:type="paragraph" w:customStyle="1" w:styleId="BoxListBullet2">
    <w:name w:val="Box List Bullet 2"/>
    <w:basedOn w:val="BodyText"/>
    <w:rsid w:val="004A4986"/>
    <w:pPr>
      <w:keepNext/>
      <w:numPr>
        <w:numId w:val="2"/>
      </w:numPr>
      <w:spacing w:before="60" w:line="280" w:lineRule="atLeast"/>
    </w:pPr>
    <w:rPr>
      <w:rFonts w:ascii="Arial" w:hAnsi="Arial"/>
      <w:sz w:val="22"/>
    </w:rPr>
  </w:style>
  <w:style w:type="paragraph" w:customStyle="1" w:styleId="BoxListNumber">
    <w:name w:val="Box List Number"/>
    <w:basedOn w:val="BodyText"/>
    <w:rsid w:val="004A4986"/>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4A4986"/>
    <w:pPr>
      <w:numPr>
        <w:ilvl w:val="1"/>
      </w:numPr>
    </w:pPr>
  </w:style>
  <w:style w:type="paragraph" w:customStyle="1" w:styleId="BoxQuote">
    <w:name w:val="Box Quote"/>
    <w:basedOn w:val="BodyText"/>
    <w:next w:val="Box"/>
    <w:rsid w:val="004A4986"/>
    <w:pPr>
      <w:keepNext/>
      <w:spacing w:before="60" w:line="260" w:lineRule="exact"/>
      <w:ind w:left="284"/>
    </w:pPr>
    <w:rPr>
      <w:rFonts w:ascii="Arial" w:hAnsi="Arial"/>
      <w:sz w:val="20"/>
    </w:rPr>
  </w:style>
  <w:style w:type="paragraph" w:customStyle="1" w:styleId="Note">
    <w:name w:val="Note"/>
    <w:basedOn w:val="BodyText"/>
    <w:next w:val="BodyText"/>
    <w:rsid w:val="004A4986"/>
    <w:pPr>
      <w:keepLines/>
      <w:spacing w:before="80" w:line="220" w:lineRule="exact"/>
    </w:pPr>
    <w:rPr>
      <w:rFonts w:ascii="Arial" w:hAnsi="Arial"/>
      <w:sz w:val="18"/>
    </w:rPr>
  </w:style>
  <w:style w:type="paragraph" w:customStyle="1" w:styleId="Source">
    <w:name w:val="Source"/>
    <w:basedOn w:val="Note"/>
    <w:next w:val="BodyText"/>
    <w:rsid w:val="004A4986"/>
    <w:pPr>
      <w:spacing w:after="120"/>
    </w:pPr>
  </w:style>
  <w:style w:type="paragraph" w:customStyle="1" w:styleId="BoxSource">
    <w:name w:val="Box Source"/>
    <w:basedOn w:val="Source"/>
    <w:next w:val="BodyText"/>
    <w:rsid w:val="004A4986"/>
    <w:pPr>
      <w:spacing w:before="180" w:after="0"/>
    </w:pPr>
  </w:style>
  <w:style w:type="paragraph" w:customStyle="1" w:styleId="BoxSpaceAbove">
    <w:name w:val="Box Space Above"/>
    <w:basedOn w:val="BodyText"/>
    <w:rsid w:val="004A4986"/>
    <w:pPr>
      <w:keepNext/>
      <w:spacing w:before="360" w:line="80" w:lineRule="exact"/>
      <w:jc w:val="left"/>
    </w:pPr>
  </w:style>
  <w:style w:type="paragraph" w:styleId="Caption">
    <w:name w:val="caption"/>
    <w:basedOn w:val="Normal"/>
    <w:next w:val="BodyText"/>
    <w:rsid w:val="004A498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4A4986"/>
    <w:pPr>
      <w:spacing w:before="120" w:after="0"/>
      <w:ind w:left="1304" w:hanging="1304"/>
    </w:pPr>
    <w:rPr>
      <w:sz w:val="24"/>
    </w:rPr>
  </w:style>
  <w:style w:type="paragraph" w:customStyle="1" w:styleId="BoxSubtitle">
    <w:name w:val="Box Subtitle"/>
    <w:basedOn w:val="BoxTitle"/>
    <w:next w:val="Normal"/>
    <w:rsid w:val="004A4986"/>
    <w:pPr>
      <w:spacing w:after="80" w:line="200" w:lineRule="exact"/>
      <w:ind w:firstLine="0"/>
    </w:pPr>
    <w:rPr>
      <w:b w:val="0"/>
      <w:sz w:val="20"/>
    </w:rPr>
  </w:style>
  <w:style w:type="paragraph" w:customStyle="1" w:styleId="Chapter">
    <w:name w:val="Chapter"/>
    <w:basedOn w:val="Heading1"/>
    <w:next w:val="BodyText"/>
    <w:semiHidden/>
    <w:rsid w:val="004A4986"/>
    <w:pPr>
      <w:ind w:left="0" w:firstLine="0"/>
      <w:outlineLvl w:val="9"/>
    </w:pPr>
  </w:style>
  <w:style w:type="paragraph" w:customStyle="1" w:styleId="ChapterSummary">
    <w:name w:val="Chapter Summary"/>
    <w:basedOn w:val="BodyText"/>
    <w:rsid w:val="004A4986"/>
    <w:pPr>
      <w:ind w:left="907"/>
    </w:pPr>
    <w:rPr>
      <w:rFonts w:ascii="Arial" w:hAnsi="Arial"/>
      <w:b/>
      <w:sz w:val="22"/>
    </w:rPr>
  </w:style>
  <w:style w:type="character" w:styleId="CommentReference">
    <w:name w:val="annotation reference"/>
    <w:basedOn w:val="DefaultParagraphFont"/>
    <w:semiHidden/>
    <w:rsid w:val="004A4986"/>
    <w:rPr>
      <w:b/>
      <w:vanish/>
      <w:color w:val="FF00FF"/>
      <w:sz w:val="20"/>
    </w:rPr>
  </w:style>
  <w:style w:type="paragraph" w:styleId="CommentText">
    <w:name w:val="annotation text"/>
    <w:basedOn w:val="Normal"/>
    <w:link w:val="CommentTextChar"/>
    <w:semiHidden/>
    <w:rsid w:val="004A4986"/>
    <w:pPr>
      <w:spacing w:before="120" w:line="240" w:lineRule="atLeast"/>
      <w:ind w:left="567" w:hanging="567"/>
    </w:pPr>
    <w:rPr>
      <w:sz w:val="20"/>
    </w:rPr>
  </w:style>
  <w:style w:type="paragraph" w:customStyle="1" w:styleId="Continued">
    <w:name w:val="Continued"/>
    <w:basedOn w:val="BoxContinued"/>
    <w:next w:val="BodyText"/>
    <w:rsid w:val="004A4986"/>
  </w:style>
  <w:style w:type="character" w:customStyle="1" w:styleId="DocumentInfo">
    <w:name w:val="Document Info"/>
    <w:basedOn w:val="DefaultParagraphFont"/>
    <w:semiHidden/>
    <w:rsid w:val="004A4986"/>
    <w:rPr>
      <w:rFonts w:ascii="Arial" w:hAnsi="Arial"/>
      <w:sz w:val="14"/>
    </w:rPr>
  </w:style>
  <w:style w:type="character" w:customStyle="1" w:styleId="DraftingNote">
    <w:name w:val="Drafting Note"/>
    <w:basedOn w:val="DefaultParagraphFont"/>
    <w:rsid w:val="004A4986"/>
    <w:rPr>
      <w:b/>
      <w:color w:val="FF0000"/>
      <w:sz w:val="24"/>
      <w:u w:val="dotted"/>
    </w:rPr>
  </w:style>
  <w:style w:type="paragraph" w:customStyle="1" w:styleId="Figure">
    <w:name w:val="Figure"/>
    <w:basedOn w:val="BodyText"/>
    <w:rsid w:val="004A4986"/>
    <w:pPr>
      <w:keepNext/>
      <w:spacing w:before="120" w:after="120" w:line="240" w:lineRule="atLeast"/>
      <w:jc w:val="center"/>
    </w:pPr>
  </w:style>
  <w:style w:type="paragraph" w:customStyle="1" w:styleId="FigureTitle">
    <w:name w:val="Figure Title"/>
    <w:basedOn w:val="Caption"/>
    <w:next w:val="Subtitle"/>
    <w:rsid w:val="004A4986"/>
    <w:rPr>
      <w:sz w:val="24"/>
    </w:rPr>
  </w:style>
  <w:style w:type="paragraph" w:styleId="Subtitle">
    <w:name w:val="Subtitle"/>
    <w:basedOn w:val="Caption"/>
    <w:link w:val="SubtitleChar"/>
    <w:rsid w:val="004A4986"/>
    <w:pPr>
      <w:spacing w:before="0" w:line="200" w:lineRule="exact"/>
      <w:ind w:firstLine="0"/>
    </w:pPr>
    <w:rPr>
      <w:b w:val="0"/>
      <w:sz w:val="20"/>
    </w:rPr>
  </w:style>
  <w:style w:type="paragraph" w:customStyle="1" w:styleId="Finding">
    <w:name w:val="Finding"/>
    <w:basedOn w:val="BodyText"/>
    <w:rsid w:val="004A4986"/>
    <w:pPr>
      <w:keepLines/>
      <w:spacing w:before="180"/>
    </w:pPr>
    <w:rPr>
      <w:i/>
    </w:rPr>
  </w:style>
  <w:style w:type="paragraph" w:customStyle="1" w:styleId="FindingBullet">
    <w:name w:val="Finding Bullet"/>
    <w:basedOn w:val="Finding"/>
    <w:rsid w:val="004A4986"/>
    <w:pPr>
      <w:numPr>
        <w:numId w:val="3"/>
      </w:numPr>
      <w:spacing w:before="80"/>
    </w:pPr>
  </w:style>
  <w:style w:type="paragraph" w:customStyle="1" w:styleId="FindingNoTitle">
    <w:name w:val="Finding NoTitle"/>
    <w:basedOn w:val="Finding"/>
    <w:semiHidden/>
    <w:rsid w:val="004A4986"/>
    <w:pPr>
      <w:spacing w:before="240"/>
    </w:pPr>
  </w:style>
  <w:style w:type="paragraph" w:customStyle="1" w:styleId="RecTitle">
    <w:name w:val="Rec Title"/>
    <w:basedOn w:val="BodyText"/>
    <w:next w:val="Normal"/>
    <w:rsid w:val="004A4986"/>
    <w:pPr>
      <w:keepNext/>
      <w:keepLines/>
    </w:pPr>
    <w:rPr>
      <w:caps/>
      <w:sz w:val="20"/>
    </w:rPr>
  </w:style>
  <w:style w:type="paragraph" w:customStyle="1" w:styleId="FindingTitle">
    <w:name w:val="Finding Title"/>
    <w:basedOn w:val="RecTitle"/>
    <w:next w:val="Finding"/>
    <w:rsid w:val="004A4986"/>
    <w:pPr>
      <w:framePr w:wrap="notBeside" w:hAnchor="text"/>
    </w:pPr>
  </w:style>
  <w:style w:type="character" w:styleId="FootnoteReference">
    <w:name w:val="footnote reference"/>
    <w:basedOn w:val="DefaultParagraphFont"/>
    <w:semiHidden/>
    <w:rsid w:val="004A4986"/>
    <w:rPr>
      <w:rFonts w:ascii="Times New Roman" w:hAnsi="Times New Roman"/>
      <w:position w:val="6"/>
      <w:sz w:val="22"/>
      <w:vertAlign w:val="baseline"/>
    </w:rPr>
  </w:style>
  <w:style w:type="paragraph" w:styleId="FootnoteText">
    <w:name w:val="footnote text"/>
    <w:basedOn w:val="BodyText"/>
    <w:rsid w:val="004A498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A4986"/>
    <w:pPr>
      <w:spacing w:before="360" w:after="120"/>
    </w:pPr>
    <w:rPr>
      <w:rFonts w:ascii="Arial" w:hAnsi="Arial"/>
      <w:sz w:val="24"/>
    </w:rPr>
  </w:style>
  <w:style w:type="paragraph" w:customStyle="1" w:styleId="Jurisdictioncommentsbodytext">
    <w:name w:val="Jurisdiction comments body text"/>
    <w:rsid w:val="004A4986"/>
    <w:pPr>
      <w:spacing w:after="140"/>
      <w:jc w:val="both"/>
    </w:pPr>
    <w:rPr>
      <w:rFonts w:ascii="Arial" w:hAnsi="Arial"/>
      <w:sz w:val="24"/>
      <w:lang w:eastAsia="en-US"/>
    </w:rPr>
  </w:style>
  <w:style w:type="paragraph" w:customStyle="1" w:styleId="Jurisdictioncommentsheading">
    <w:name w:val="Jurisdiction comments heading"/>
    <w:rsid w:val="004A498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A4986"/>
    <w:pPr>
      <w:numPr>
        <w:numId w:val="4"/>
      </w:numPr>
      <w:spacing w:after="140"/>
      <w:jc w:val="both"/>
    </w:pPr>
    <w:rPr>
      <w:rFonts w:ascii="Arial" w:hAnsi="Arial"/>
      <w:sz w:val="24"/>
      <w:lang w:eastAsia="en-US"/>
    </w:rPr>
  </w:style>
  <w:style w:type="paragraph" w:styleId="ListBullet">
    <w:name w:val="List Bullet"/>
    <w:basedOn w:val="BodyText"/>
    <w:rsid w:val="004A4986"/>
    <w:pPr>
      <w:numPr>
        <w:numId w:val="6"/>
      </w:numPr>
      <w:spacing w:before="120"/>
    </w:pPr>
  </w:style>
  <w:style w:type="paragraph" w:styleId="ListBullet2">
    <w:name w:val="List Bullet 2"/>
    <w:basedOn w:val="BodyText"/>
    <w:rsid w:val="004A4986"/>
    <w:pPr>
      <w:numPr>
        <w:numId w:val="8"/>
      </w:numPr>
      <w:spacing w:before="120"/>
    </w:pPr>
  </w:style>
  <w:style w:type="paragraph" w:styleId="ListBullet3">
    <w:name w:val="List Bullet 3"/>
    <w:basedOn w:val="BodyText"/>
    <w:rsid w:val="004A4986"/>
    <w:pPr>
      <w:numPr>
        <w:numId w:val="10"/>
      </w:numPr>
      <w:spacing w:before="120"/>
    </w:pPr>
  </w:style>
  <w:style w:type="paragraph" w:styleId="ListNumber">
    <w:name w:val="List Number"/>
    <w:basedOn w:val="BodyText"/>
    <w:rsid w:val="004A4986"/>
    <w:pPr>
      <w:numPr>
        <w:numId w:val="32"/>
      </w:numPr>
      <w:spacing w:before="120"/>
    </w:pPr>
  </w:style>
  <w:style w:type="paragraph" w:styleId="ListNumber2">
    <w:name w:val="List Number 2"/>
    <w:basedOn w:val="ListNumber"/>
    <w:rsid w:val="004A4986"/>
    <w:pPr>
      <w:numPr>
        <w:ilvl w:val="1"/>
      </w:numPr>
    </w:pPr>
  </w:style>
  <w:style w:type="paragraph" w:styleId="ListNumber3">
    <w:name w:val="List Number 3"/>
    <w:basedOn w:val="ListNumber2"/>
    <w:rsid w:val="004A4986"/>
    <w:pPr>
      <w:numPr>
        <w:ilvl w:val="2"/>
      </w:numPr>
    </w:pPr>
  </w:style>
  <w:style w:type="character" w:customStyle="1" w:styleId="NoteLabel">
    <w:name w:val="Note Label"/>
    <w:basedOn w:val="DefaultParagraphFont"/>
    <w:rsid w:val="004A4986"/>
    <w:rPr>
      <w:rFonts w:ascii="Arial" w:hAnsi="Arial"/>
      <w:b/>
      <w:position w:val="6"/>
      <w:sz w:val="18"/>
    </w:rPr>
  </w:style>
  <w:style w:type="paragraph" w:customStyle="1" w:styleId="PartDivider">
    <w:name w:val="Part Divider"/>
    <w:basedOn w:val="BodyText"/>
    <w:next w:val="BodyText"/>
    <w:semiHidden/>
    <w:rsid w:val="004A4986"/>
    <w:pPr>
      <w:spacing w:before="0" w:line="40" w:lineRule="exact"/>
      <w:jc w:val="right"/>
    </w:pPr>
    <w:rPr>
      <w:smallCaps/>
      <w:sz w:val="16"/>
    </w:rPr>
  </w:style>
  <w:style w:type="paragraph" w:customStyle="1" w:styleId="PartNumber">
    <w:name w:val="Part Number"/>
    <w:basedOn w:val="BodyText"/>
    <w:next w:val="BodyText"/>
    <w:semiHidden/>
    <w:rsid w:val="004A4986"/>
    <w:pPr>
      <w:spacing w:before="4000" w:line="320" w:lineRule="exact"/>
      <w:ind w:left="6634"/>
      <w:jc w:val="right"/>
    </w:pPr>
    <w:rPr>
      <w:smallCaps/>
      <w:spacing w:val="60"/>
      <w:sz w:val="32"/>
    </w:rPr>
  </w:style>
  <w:style w:type="paragraph" w:customStyle="1" w:styleId="PartTitle">
    <w:name w:val="Part Title"/>
    <w:basedOn w:val="BodyText"/>
    <w:semiHidden/>
    <w:rsid w:val="004A4986"/>
    <w:pPr>
      <w:spacing w:before="160" w:after="1360" w:line="520" w:lineRule="exact"/>
      <w:ind w:right="2381"/>
      <w:jc w:val="right"/>
    </w:pPr>
    <w:rPr>
      <w:smallCaps/>
      <w:sz w:val="52"/>
    </w:rPr>
  </w:style>
  <w:style w:type="paragraph" w:styleId="Quote">
    <w:name w:val="Quote"/>
    <w:basedOn w:val="BodyText"/>
    <w:next w:val="BodyText"/>
    <w:qFormat/>
    <w:rsid w:val="004A4986"/>
    <w:pPr>
      <w:spacing w:before="120" w:line="280" w:lineRule="exact"/>
      <w:ind w:left="340"/>
    </w:pPr>
    <w:rPr>
      <w:sz w:val="24"/>
    </w:rPr>
  </w:style>
  <w:style w:type="paragraph" w:customStyle="1" w:styleId="QuoteBullet">
    <w:name w:val="Quote Bullet"/>
    <w:basedOn w:val="Quote"/>
    <w:rsid w:val="004A4986"/>
    <w:pPr>
      <w:numPr>
        <w:numId w:val="14"/>
      </w:numPr>
    </w:pPr>
  </w:style>
  <w:style w:type="paragraph" w:customStyle="1" w:styleId="Rec">
    <w:name w:val="Rec"/>
    <w:basedOn w:val="BodyText"/>
    <w:rsid w:val="004A4986"/>
    <w:pPr>
      <w:keepLines/>
      <w:spacing w:before="180"/>
    </w:pPr>
    <w:rPr>
      <w:b/>
      <w:i/>
    </w:rPr>
  </w:style>
  <w:style w:type="paragraph" w:customStyle="1" w:styleId="RecBullet">
    <w:name w:val="Rec Bullet"/>
    <w:basedOn w:val="Rec"/>
    <w:rsid w:val="004A4986"/>
    <w:pPr>
      <w:numPr>
        <w:numId w:val="15"/>
      </w:numPr>
      <w:spacing w:before="80"/>
    </w:pPr>
  </w:style>
  <w:style w:type="paragraph" w:customStyle="1" w:styleId="RecB">
    <w:name w:val="RecB"/>
    <w:basedOn w:val="Normal"/>
    <w:semiHidden/>
    <w:rsid w:val="004A498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A4986"/>
    <w:pPr>
      <w:numPr>
        <w:numId w:val="16"/>
      </w:numPr>
      <w:spacing w:before="80"/>
    </w:pPr>
  </w:style>
  <w:style w:type="paragraph" w:customStyle="1" w:styleId="RecBNoTitle">
    <w:name w:val="RecB NoTitle"/>
    <w:basedOn w:val="RecB"/>
    <w:semiHidden/>
    <w:rsid w:val="004A4986"/>
    <w:pPr>
      <w:spacing w:before="240"/>
    </w:pPr>
  </w:style>
  <w:style w:type="paragraph" w:customStyle="1" w:styleId="Reference">
    <w:name w:val="Reference"/>
    <w:basedOn w:val="BodyText"/>
    <w:rsid w:val="004A4986"/>
    <w:pPr>
      <w:spacing w:before="120"/>
      <w:ind w:left="340" w:hanging="340"/>
    </w:pPr>
  </w:style>
  <w:style w:type="paragraph" w:customStyle="1" w:styleId="SequenceInfo">
    <w:name w:val="Sequence Info"/>
    <w:basedOn w:val="BodyText"/>
    <w:semiHidden/>
    <w:rsid w:val="004A4986"/>
    <w:rPr>
      <w:vanish/>
      <w:sz w:val="16"/>
    </w:rPr>
  </w:style>
  <w:style w:type="paragraph" w:customStyle="1" w:styleId="SideNote">
    <w:name w:val="Side Note"/>
    <w:basedOn w:val="BodyText"/>
    <w:next w:val="BodyText"/>
    <w:semiHidden/>
    <w:rsid w:val="004A498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A4986"/>
    <w:pPr>
      <w:framePr w:wrap="around"/>
      <w:numPr>
        <w:numId w:val="17"/>
      </w:numPr>
      <w:tabs>
        <w:tab w:val="left" w:pos="227"/>
      </w:tabs>
    </w:pPr>
  </w:style>
  <w:style w:type="paragraph" w:customStyle="1" w:styleId="SideNoteGraphic">
    <w:name w:val="Side Note Graphic"/>
    <w:basedOn w:val="SideNote"/>
    <w:next w:val="BodyText"/>
    <w:semiHidden/>
    <w:rsid w:val="004A4986"/>
    <w:pPr>
      <w:framePr w:wrap="around"/>
    </w:pPr>
  </w:style>
  <w:style w:type="paragraph" w:customStyle="1" w:styleId="TableBodyText">
    <w:name w:val="Table Body Text"/>
    <w:basedOn w:val="BodyText"/>
    <w:rsid w:val="004A498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A4986"/>
    <w:pPr>
      <w:numPr>
        <w:numId w:val="18"/>
      </w:numPr>
      <w:jc w:val="left"/>
    </w:pPr>
  </w:style>
  <w:style w:type="paragraph" w:customStyle="1" w:styleId="TableColumnHeading">
    <w:name w:val="Table Column Heading"/>
    <w:basedOn w:val="TableBodyText"/>
    <w:rsid w:val="004A4986"/>
    <w:pPr>
      <w:spacing w:before="80" w:after="80"/>
    </w:pPr>
    <w:rPr>
      <w:i/>
    </w:rPr>
  </w:style>
  <w:style w:type="paragraph" w:styleId="TOC2">
    <w:name w:val="toc 2"/>
    <w:basedOn w:val="BodyText"/>
    <w:semiHidden/>
    <w:rsid w:val="004A4986"/>
    <w:pPr>
      <w:tabs>
        <w:tab w:val="right" w:pos="8789"/>
      </w:tabs>
      <w:ind w:left="510" w:right="851" w:hanging="510"/>
      <w:jc w:val="left"/>
    </w:pPr>
    <w:rPr>
      <w:b/>
    </w:rPr>
  </w:style>
  <w:style w:type="paragraph" w:styleId="TOC3">
    <w:name w:val="toc 3"/>
    <w:basedOn w:val="TOC2"/>
    <w:semiHidden/>
    <w:rsid w:val="004A4986"/>
    <w:pPr>
      <w:spacing w:before="60"/>
      <w:ind w:left="1190" w:hanging="680"/>
    </w:pPr>
    <w:rPr>
      <w:b w:val="0"/>
    </w:rPr>
  </w:style>
  <w:style w:type="paragraph" w:styleId="TableofFigures">
    <w:name w:val="table of figures"/>
    <w:basedOn w:val="TOC3"/>
    <w:next w:val="BodyText"/>
    <w:semiHidden/>
    <w:rsid w:val="004A4986"/>
    <w:pPr>
      <w:ind w:left="737" w:hanging="737"/>
    </w:pPr>
  </w:style>
  <w:style w:type="paragraph" w:customStyle="1" w:styleId="TableTitle">
    <w:name w:val="Table Title"/>
    <w:basedOn w:val="Caption"/>
    <w:next w:val="Subtitle"/>
    <w:rsid w:val="004A4986"/>
    <w:rPr>
      <w:sz w:val="24"/>
    </w:rPr>
  </w:style>
  <w:style w:type="paragraph" w:customStyle="1" w:styleId="TableUnitsRow">
    <w:name w:val="Table Units Row"/>
    <w:basedOn w:val="TableBodyText"/>
    <w:rsid w:val="004A4986"/>
    <w:pPr>
      <w:spacing w:before="80" w:after="80"/>
    </w:pPr>
  </w:style>
  <w:style w:type="paragraph" w:styleId="TOC1">
    <w:name w:val="toc 1"/>
    <w:basedOn w:val="Normal"/>
    <w:next w:val="TOC2"/>
    <w:semiHidden/>
    <w:rsid w:val="004A4986"/>
    <w:pPr>
      <w:tabs>
        <w:tab w:val="right" w:pos="8789"/>
      </w:tabs>
      <w:spacing w:before="480" w:after="60" w:line="320" w:lineRule="exact"/>
      <w:ind w:left="1191" w:right="851" w:hanging="1191"/>
    </w:pPr>
    <w:rPr>
      <w:b/>
      <w:caps/>
    </w:rPr>
  </w:style>
  <w:style w:type="paragraph" w:styleId="TOC4">
    <w:name w:val="toc 4"/>
    <w:basedOn w:val="TOC3"/>
    <w:semiHidden/>
    <w:rsid w:val="004A4986"/>
    <w:pPr>
      <w:ind w:left="1191" w:firstLine="0"/>
    </w:pPr>
  </w:style>
  <w:style w:type="paragraph" w:customStyle="1" w:styleId="RecBBullet2">
    <w:name w:val="RecB Bullet 2"/>
    <w:basedOn w:val="ListBullet2"/>
    <w:semiHidden/>
    <w:rsid w:val="004A4986"/>
    <w:pPr>
      <w:pBdr>
        <w:left w:val="single" w:sz="24" w:space="29" w:color="C0C0C0"/>
      </w:pBdr>
    </w:pPr>
    <w:rPr>
      <w:b/>
      <w:i/>
    </w:rPr>
  </w:style>
  <w:style w:type="paragraph" w:styleId="BalloonText">
    <w:name w:val="Balloon Text"/>
    <w:basedOn w:val="Normal"/>
    <w:link w:val="BalloonTextChar"/>
    <w:rsid w:val="004A4986"/>
    <w:rPr>
      <w:rFonts w:ascii="Tahoma" w:hAnsi="Tahoma" w:cs="Tahoma"/>
      <w:sz w:val="16"/>
      <w:szCs w:val="16"/>
    </w:rPr>
  </w:style>
  <w:style w:type="character" w:customStyle="1" w:styleId="BalloonTextChar">
    <w:name w:val="Balloon Text Char"/>
    <w:basedOn w:val="DefaultParagraphFont"/>
    <w:link w:val="BalloonText"/>
    <w:rsid w:val="004A4986"/>
    <w:rPr>
      <w:rFonts w:ascii="Tahoma" w:hAnsi="Tahoma" w:cs="Tahoma"/>
      <w:sz w:val="16"/>
      <w:szCs w:val="16"/>
    </w:rPr>
  </w:style>
  <w:style w:type="character" w:customStyle="1" w:styleId="SubtitleChar">
    <w:name w:val="Subtitle Char"/>
    <w:basedOn w:val="DefaultParagraphFont"/>
    <w:link w:val="Subtitle"/>
    <w:rsid w:val="004A4986"/>
    <w:rPr>
      <w:rFonts w:ascii="Arial" w:hAnsi="Arial"/>
      <w:szCs w:val="24"/>
    </w:rPr>
  </w:style>
  <w:style w:type="paragraph" w:customStyle="1" w:styleId="BoxListBullet3">
    <w:name w:val="Box List Bullet 3"/>
    <w:basedOn w:val="ListBullet3"/>
    <w:rsid w:val="004A4986"/>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A4986"/>
    <w:rPr>
      <w:i/>
      <w:iCs/>
    </w:rPr>
  </w:style>
  <w:style w:type="paragraph" w:customStyle="1" w:styleId="BoxQuoteBullet">
    <w:name w:val="Box Quote Bullet"/>
    <w:basedOn w:val="BoxQuote"/>
    <w:next w:val="Box"/>
    <w:rsid w:val="004A4986"/>
    <w:pPr>
      <w:numPr>
        <w:numId w:val="45"/>
      </w:numPr>
      <w:ind w:left="568" w:hanging="284"/>
    </w:pPr>
  </w:style>
  <w:style w:type="paragraph" w:customStyle="1" w:styleId="InformationRequestBullet">
    <w:name w:val="Information Request Bullet"/>
    <w:basedOn w:val="ListBullet"/>
    <w:next w:val="BodyText"/>
    <w:rsid w:val="004A4986"/>
    <w:pPr>
      <w:numPr>
        <w:numId w:val="46"/>
      </w:numPr>
      <w:ind w:left="340" w:hanging="340"/>
    </w:pPr>
    <w:rPr>
      <w:rFonts w:ascii="Arial" w:hAnsi="Arial"/>
      <w:i/>
      <w:sz w:val="24"/>
    </w:rPr>
  </w:style>
  <w:style w:type="paragraph" w:customStyle="1" w:styleId="BoxSpaceBelow">
    <w:name w:val="Box Space Below"/>
    <w:basedOn w:val="Box"/>
    <w:rsid w:val="004A4986"/>
    <w:pPr>
      <w:keepNext w:val="0"/>
      <w:spacing w:before="60" w:after="60" w:line="80" w:lineRule="exact"/>
    </w:pPr>
    <w:rPr>
      <w:sz w:val="14"/>
    </w:rPr>
  </w:style>
  <w:style w:type="paragraph" w:customStyle="1" w:styleId="Author">
    <w:name w:val="Author"/>
    <w:basedOn w:val="Normal"/>
    <w:rsid w:val="00E40E2F"/>
    <w:rPr>
      <w:rFonts w:ascii="Arial" w:hAnsi="Arial"/>
      <w:b/>
      <w:sz w:val="28"/>
    </w:rPr>
  </w:style>
  <w:style w:type="paragraph" w:customStyle="1" w:styleId="AbstractHeading">
    <w:name w:val="AbstractHeading"/>
    <w:basedOn w:val="AbstractText"/>
    <w:rsid w:val="00E40E2F"/>
    <w:pPr>
      <w:spacing w:before="240"/>
    </w:pPr>
    <w:rPr>
      <w:b/>
    </w:rPr>
  </w:style>
  <w:style w:type="paragraph" w:customStyle="1" w:styleId="AbstractText">
    <w:name w:val="AbstractText"/>
    <w:basedOn w:val="Normal"/>
    <w:rsid w:val="00E40E2F"/>
    <w:pPr>
      <w:spacing w:before="120" w:after="120" w:line="320" w:lineRule="atLeast"/>
      <w:ind w:left="907"/>
    </w:pPr>
    <w:rPr>
      <w:rFonts w:ascii="Arial" w:hAnsi="Arial"/>
      <w:sz w:val="22"/>
    </w:rPr>
  </w:style>
  <w:style w:type="paragraph" w:styleId="CommentSubject">
    <w:name w:val="annotation subject"/>
    <w:basedOn w:val="CommentText"/>
    <w:next w:val="CommentText"/>
    <w:link w:val="CommentSubjectChar"/>
    <w:rsid w:val="005318C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318C3"/>
    <w:rPr>
      <w:szCs w:val="24"/>
    </w:rPr>
  </w:style>
  <w:style w:type="character" w:customStyle="1" w:styleId="CommentSubjectChar">
    <w:name w:val="Comment Subject Char"/>
    <w:basedOn w:val="CommentTextChar"/>
    <w:link w:val="CommentSubject"/>
    <w:rsid w:val="005318C3"/>
    <w:rPr>
      <w:szCs w:val="24"/>
    </w:rPr>
  </w:style>
  <w:style w:type="character" w:customStyle="1" w:styleId="BodyTextChar">
    <w:name w:val="Body Text Char"/>
    <w:basedOn w:val="DefaultParagraphFont"/>
    <w:link w:val="BodyText"/>
    <w:rsid w:val="00784885"/>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435391">
      <w:bodyDiv w:val="1"/>
      <w:marLeft w:val="0"/>
      <w:marRight w:val="0"/>
      <w:marTop w:val="0"/>
      <w:marBottom w:val="0"/>
      <w:divBdr>
        <w:top w:val="none" w:sz="0" w:space="0" w:color="auto"/>
        <w:left w:val="none" w:sz="0" w:space="0" w:color="auto"/>
        <w:bottom w:val="none" w:sz="0" w:space="0" w:color="auto"/>
        <w:right w:val="none" w:sz="0" w:space="0" w:color="auto"/>
      </w:divBdr>
      <w:divsChild>
        <w:div w:id="876894304">
          <w:marLeft w:val="2925"/>
          <w:marRight w:val="0"/>
          <w:marTop w:val="0"/>
          <w:marBottom w:val="0"/>
          <w:divBdr>
            <w:top w:val="none" w:sz="0" w:space="0" w:color="auto"/>
            <w:left w:val="none" w:sz="0" w:space="0" w:color="auto"/>
            <w:bottom w:val="none" w:sz="0" w:space="0" w:color="auto"/>
            <w:right w:val="none" w:sz="0" w:space="0" w:color="auto"/>
          </w:divBdr>
          <w:divsChild>
            <w:div w:id="710344955">
              <w:marLeft w:val="0"/>
              <w:marRight w:val="0"/>
              <w:marTop w:val="0"/>
              <w:marBottom w:val="0"/>
              <w:divBdr>
                <w:top w:val="none" w:sz="0" w:space="0" w:color="auto"/>
                <w:left w:val="none" w:sz="0" w:space="0" w:color="auto"/>
                <w:bottom w:val="none" w:sz="0" w:space="0" w:color="auto"/>
                <w:right w:val="none" w:sz="0" w:space="0" w:color="auto"/>
              </w:divBdr>
              <w:divsChild>
                <w:div w:id="9900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983FB-F750-4E5E-BE16-2BB803BFA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134</TotalTime>
  <Pages>16</Pages>
  <Words>6260</Words>
  <Characters>34530</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The Indigenous Policy Experience </vt:lpstr>
    </vt:vector>
  </TitlesOfParts>
  <Company>Productivity Commission</Company>
  <LinksUpToDate>false</LinksUpToDate>
  <CharactersWithSpaces>40709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Indigenous Policy Experience </dc:title>
  <dc:subject>Better Indigenous Policies: The Role of Evaluation</dc:subject>
  <dc:creator>Productivity Commission</dc:creator>
  <cp:keywords/>
  <dc:description>1.</dc:description>
  <cp:lastModifiedBy>Productivity Commission</cp:lastModifiedBy>
  <cp:revision>13</cp:revision>
  <cp:lastPrinted>2013-04-10T03:48:00Z</cp:lastPrinted>
  <dcterms:created xsi:type="dcterms:W3CDTF">2013-03-21T01:46:00Z</dcterms:created>
  <dcterms:modified xsi:type="dcterms:W3CDTF">2013-04-24T01:21:00Z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1247265128</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