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9E5" w:rsidRPr="009674D2" w:rsidRDefault="00B037B6" w:rsidP="004059E5">
      <w:pPr>
        <w:pStyle w:val="Heading1"/>
      </w:pPr>
      <w:bookmarkStart w:id="0" w:name="ChapterNumber"/>
      <w:bookmarkStart w:id="1" w:name="_GoBack"/>
      <w:bookmarkEnd w:id="1"/>
      <w:r>
        <w:t>8</w:t>
      </w:r>
      <w:bookmarkEnd w:id="0"/>
      <w:r w:rsidR="00531FE5" w:rsidRPr="009674D2">
        <w:tab/>
      </w:r>
      <w:r w:rsidR="004059E5" w:rsidRPr="009674D2">
        <w:t>Data for better Indigenous policy evaluation: achievements, constraints and opportunities</w:t>
      </w:r>
    </w:p>
    <w:p w:rsidR="004059E5" w:rsidRPr="009674D2" w:rsidRDefault="004059E5" w:rsidP="00545AE6">
      <w:pPr>
        <w:pStyle w:val="Author"/>
      </w:pPr>
      <w:bookmarkStart w:id="2" w:name="begin"/>
      <w:bookmarkEnd w:id="2"/>
      <w:r w:rsidRPr="00545AE6">
        <w:t>John Taylor</w:t>
      </w:r>
      <w:r w:rsidR="009674D2" w:rsidRPr="009674D2">
        <w:rPr>
          <w:rStyle w:val="FootnoteReference"/>
        </w:rPr>
        <w:footnoteReference w:id="1"/>
      </w:r>
    </w:p>
    <w:p w:rsidR="00B53CEE" w:rsidRPr="004172A0" w:rsidRDefault="00B53CEE" w:rsidP="00B53CEE">
      <w:pPr>
        <w:pStyle w:val="AbstractHeading"/>
      </w:pPr>
      <w:r w:rsidRPr="004172A0">
        <w:t>Abstract</w:t>
      </w:r>
    </w:p>
    <w:p w:rsidR="004059E5" w:rsidRPr="009674D2" w:rsidRDefault="004059E5" w:rsidP="00F02DF6">
      <w:pPr>
        <w:pStyle w:val="AbstractText"/>
        <w:jc w:val="both"/>
        <w:rPr>
          <w:lang w:eastAsia="en-US"/>
        </w:rPr>
      </w:pPr>
      <w:r w:rsidRPr="009674D2">
        <w:rPr>
          <w:lang w:eastAsia="en-US"/>
        </w:rPr>
        <w:t xml:space="preserve">Since the 1990s the range and volume of data </w:t>
      </w:r>
      <w:r w:rsidR="004C4F29">
        <w:rPr>
          <w:lang w:eastAsia="en-US"/>
        </w:rPr>
        <w:t xml:space="preserve">on the Indigenous population </w:t>
      </w:r>
      <w:r w:rsidRPr="009674D2">
        <w:rPr>
          <w:lang w:eastAsia="en-US"/>
        </w:rPr>
        <w:t>available to policy</w:t>
      </w:r>
      <w:r w:rsidR="003A4E8B">
        <w:rPr>
          <w:lang w:eastAsia="en-US"/>
        </w:rPr>
        <w:t>-</w:t>
      </w:r>
      <w:r w:rsidRPr="009674D2">
        <w:rPr>
          <w:lang w:eastAsia="en-US"/>
        </w:rPr>
        <w:t xml:space="preserve">makers have grown substantially. These data now inform the evaluation of progress on all aspects of the Closing the Gap agenda via a comprehensive and integrated reporting framework. The resulting demography has been highly productive and increasingly well resourced although issues of data quality and methodological inexactitude continue to limit utility. There is also is a growing gap between available statistics and the needs of Indigenous incorporated groups </w:t>
      </w:r>
      <w:r w:rsidRPr="006A206B">
        <w:rPr>
          <w:lang w:eastAsia="en-US"/>
        </w:rPr>
        <w:t>for information</w:t>
      </w:r>
      <w:r w:rsidRPr="009674D2">
        <w:rPr>
          <w:lang w:eastAsia="en-US"/>
        </w:rPr>
        <w:t xml:space="preserve">. This paper examines select ongoing difficulties with data for Indigenous policy, where appropriate (possible) it makes suggestions for improvement, and it finishes by raising questions about the proper conduct of data collection by governments in the aftermath of the United Nations Declaration on the Rights of Indigenous Peoples. </w:t>
      </w:r>
    </w:p>
    <w:p w:rsidR="00B53CEE" w:rsidRDefault="00B53CEE" w:rsidP="00B53CEE">
      <w:pPr>
        <w:pStyle w:val="Heading2"/>
      </w:pPr>
      <w:r>
        <w:t>8.1</w:t>
      </w:r>
      <w:r>
        <w:tab/>
        <w:t>Introduction</w:t>
      </w:r>
    </w:p>
    <w:p w:rsidR="004059E5" w:rsidRPr="009674D2" w:rsidRDefault="004059E5" w:rsidP="00941A76">
      <w:pPr>
        <w:pStyle w:val="BodyText"/>
      </w:pPr>
      <w:r w:rsidRPr="009674D2">
        <w:t xml:space="preserve">Some years ago, I contributed to a United Nations </w:t>
      </w:r>
      <w:r w:rsidR="00BA25DA">
        <w:t xml:space="preserve">(UN) </w:t>
      </w:r>
      <w:r w:rsidRPr="009674D2">
        <w:t>workshop in Ottawa</w:t>
      </w:r>
      <w:r w:rsidR="00BA25DA">
        <w:t>,</w:t>
      </w:r>
      <w:r w:rsidRPr="009674D2">
        <w:t xml:space="preserve"> on </w:t>
      </w:r>
      <w:r w:rsidRPr="009674D2">
        <w:rPr>
          <w:i/>
        </w:rPr>
        <w:t>Indigenous Peoples and Indicators of Wellbeing</w:t>
      </w:r>
      <w:r w:rsidRPr="009674D2">
        <w:t>. The aim was to address concerns raised by Permanent Forum members that the UN’s Millennium Development Goals (MDGs) and Human Development Index (HDI) failed to fully incorporate Indigenous people’s concerns, interests and interpretations of wellbeing, development and progress</w:t>
      </w:r>
      <w:r w:rsidR="00B257E0">
        <w:t xml:space="preserve"> </w:t>
      </w:r>
      <w:r w:rsidRPr="009674D2">
        <w:t>—</w:t>
      </w:r>
      <w:r w:rsidR="00B257E0">
        <w:t xml:space="preserve"> </w:t>
      </w:r>
      <w:r w:rsidRPr="009674D2">
        <w:t>indeed, that they could often work to their detriment. The outcome was a series of forceful statements about a need to develop more rights-based indicators in order to ensure that issues of interest to Indigenous peoples</w:t>
      </w:r>
      <w:r w:rsidR="004C4F29">
        <w:t>,</w:t>
      </w:r>
      <w:r w:rsidRPr="009674D2">
        <w:t xml:space="preserve"> such as control over land and resources, equal participation in </w:t>
      </w:r>
      <w:r w:rsidRPr="009674D2">
        <w:lastRenderedPageBreak/>
        <w:t>decision</w:t>
      </w:r>
      <w:r w:rsidR="003A4E8B">
        <w:noBreakHyphen/>
      </w:r>
      <w:r w:rsidRPr="009674D2">
        <w:t>making, preservation of culture and control over development processes</w:t>
      </w:r>
      <w:r w:rsidR="004C4F29">
        <w:t>,</w:t>
      </w:r>
      <w:r w:rsidRPr="009674D2">
        <w:t xml:space="preserve"> were able to find expression in line with the free, prior and informed consent provisions of international human rights instruments (United Nations 2006).</w:t>
      </w:r>
    </w:p>
    <w:p w:rsidR="004059E5" w:rsidRPr="009674D2" w:rsidRDefault="004059E5" w:rsidP="00941A76">
      <w:pPr>
        <w:pStyle w:val="BodyText"/>
        <w:rPr>
          <w:lang w:eastAsia="en-US"/>
        </w:rPr>
      </w:pPr>
      <w:r w:rsidRPr="009674D2">
        <w:t xml:space="preserve">In a subsequent paper (Taylor 2008) I reviewed </w:t>
      </w:r>
      <w:r w:rsidRPr="009674D2">
        <w:rPr>
          <w:lang w:eastAsia="en-US"/>
        </w:rPr>
        <w:t xml:space="preserve">the concepts and indicators of the Overcoming Indigenous Disadvantage (OID) framework (SCRGSP 2011) noting that they overlapped substantially with the socioeconomic components of the MDG and HDI frameworks. I also observed that the structure of the OID framework involving </w:t>
      </w:r>
      <w:r w:rsidR="004C4F29">
        <w:rPr>
          <w:lang w:eastAsia="en-US"/>
        </w:rPr>
        <w:t>h</w:t>
      </w:r>
      <w:r w:rsidRPr="009674D2">
        <w:rPr>
          <w:lang w:eastAsia="en-US"/>
        </w:rPr>
        <w:t xml:space="preserve">eadline </w:t>
      </w:r>
      <w:r w:rsidR="004C4F29">
        <w:rPr>
          <w:lang w:eastAsia="en-US"/>
        </w:rPr>
        <w:t>i</w:t>
      </w:r>
      <w:r w:rsidRPr="009674D2">
        <w:rPr>
          <w:lang w:eastAsia="en-US"/>
        </w:rPr>
        <w:t xml:space="preserve">ndicators leading to detailed </w:t>
      </w:r>
      <w:r w:rsidR="004C4F29">
        <w:rPr>
          <w:lang w:eastAsia="en-US"/>
        </w:rPr>
        <w:t>s</w:t>
      </w:r>
      <w:r w:rsidRPr="009674D2">
        <w:rPr>
          <w:lang w:eastAsia="en-US"/>
        </w:rPr>
        <w:t xml:space="preserve">trategic </w:t>
      </w:r>
      <w:r w:rsidR="004C4F29">
        <w:rPr>
          <w:lang w:eastAsia="en-US"/>
        </w:rPr>
        <w:t>c</w:t>
      </w:r>
      <w:r w:rsidRPr="009674D2">
        <w:rPr>
          <w:lang w:eastAsia="en-US"/>
        </w:rPr>
        <w:t xml:space="preserve">hange </w:t>
      </w:r>
      <w:r w:rsidR="004C4F29">
        <w:rPr>
          <w:lang w:eastAsia="en-US"/>
        </w:rPr>
        <w:t>i</w:t>
      </w:r>
      <w:r w:rsidRPr="009674D2">
        <w:rPr>
          <w:lang w:eastAsia="en-US"/>
        </w:rPr>
        <w:t>ndicators was consistent with the Danish International Development Agency (DANIDA) toolkit for including Indigenous peoples in sector program support as part of an information pyramid that, at the lower levels, provided disaggregated indicators and described interrelationships with underlying problems (DANIDA 2004</w:t>
      </w:r>
      <w:r w:rsidR="007028E3">
        <w:rPr>
          <w:lang w:eastAsia="en-US"/>
        </w:rPr>
        <w:t>,</w:t>
      </w:r>
      <w:r w:rsidRPr="009674D2">
        <w:rPr>
          <w:lang w:eastAsia="en-US"/>
        </w:rPr>
        <w:t xml:space="preserve"> </w:t>
      </w:r>
      <w:r w:rsidR="007028E3">
        <w:rPr>
          <w:lang w:eastAsia="en-US"/>
        </w:rPr>
        <w:t xml:space="preserve">p. </w:t>
      </w:r>
      <w:r w:rsidRPr="009674D2">
        <w:rPr>
          <w:lang w:eastAsia="en-US"/>
        </w:rPr>
        <w:t xml:space="preserve">16). To this extent, I concluded that the Australian reporting framework on Indigenous progress represented international best practice. And yet, as noted, the view of the </w:t>
      </w:r>
      <w:r w:rsidR="004C4F29" w:rsidRPr="004C4F29">
        <w:rPr>
          <w:lang w:eastAsia="en-US"/>
        </w:rPr>
        <w:t xml:space="preserve">United Nations Permanent Forum on Indigenous Issues </w:t>
      </w:r>
      <w:r w:rsidRPr="009674D2">
        <w:rPr>
          <w:lang w:eastAsia="en-US"/>
        </w:rPr>
        <w:t>is that the MDGs (and by implication frameworks such as the OID) do not capture many of the criteria that Indigenous peoples consider of relevance to them. By focusing solely on gaps with mainstream majority populations, they implicitly downplay the significance and relevance of unique Indigenous priorities and world</w:t>
      </w:r>
      <w:r w:rsidR="004C4F29">
        <w:rPr>
          <w:lang w:eastAsia="en-US"/>
        </w:rPr>
        <w:t xml:space="preserve"> </w:t>
      </w:r>
      <w:r w:rsidRPr="009674D2">
        <w:rPr>
          <w:lang w:eastAsia="en-US"/>
        </w:rPr>
        <w:t xml:space="preserve">views. </w:t>
      </w:r>
    </w:p>
    <w:p w:rsidR="004059E5" w:rsidRPr="009674D2" w:rsidRDefault="004059E5" w:rsidP="00941A76">
      <w:pPr>
        <w:pStyle w:val="BodyText"/>
        <w:rPr>
          <w:lang w:eastAsia="en-US"/>
        </w:rPr>
      </w:pPr>
      <w:r w:rsidRPr="009674D2">
        <w:rPr>
          <w:lang w:eastAsia="en-US"/>
        </w:rPr>
        <w:t>As a shortcoming in public policy, Tim Rowse (2012</w:t>
      </w:r>
      <w:r w:rsidR="007028E3">
        <w:rPr>
          <w:lang w:eastAsia="en-US"/>
        </w:rPr>
        <w:t>,</w:t>
      </w:r>
      <w:r w:rsidRPr="009674D2">
        <w:rPr>
          <w:lang w:eastAsia="en-US"/>
        </w:rPr>
        <w:t xml:space="preserve"> </w:t>
      </w:r>
      <w:r w:rsidR="007028E3">
        <w:rPr>
          <w:lang w:eastAsia="en-US"/>
        </w:rPr>
        <w:t xml:space="preserve">pp. </w:t>
      </w:r>
      <w:r w:rsidRPr="009674D2">
        <w:rPr>
          <w:lang w:eastAsia="en-US"/>
        </w:rPr>
        <w:t>196</w:t>
      </w:r>
      <w:r w:rsidR="00941A76">
        <w:rPr>
          <w:lang w:eastAsia="en-US"/>
        </w:rPr>
        <w:t>–</w:t>
      </w:r>
      <w:r w:rsidRPr="009674D2">
        <w:rPr>
          <w:lang w:eastAsia="en-US"/>
        </w:rPr>
        <w:t xml:space="preserve">7) has grappled with this issue in a recent series of essays on </w:t>
      </w:r>
      <w:r w:rsidR="00FA514A">
        <w:rPr>
          <w:lang w:eastAsia="en-US"/>
        </w:rPr>
        <w:t>‘</w:t>
      </w:r>
      <w:r w:rsidR="00013719" w:rsidRPr="003A4E8B">
        <w:rPr>
          <w:lang w:eastAsia="en-US"/>
        </w:rPr>
        <w:t>Rethinking Social Justice</w:t>
      </w:r>
      <w:r w:rsidR="00FA514A">
        <w:rPr>
          <w:lang w:eastAsia="en-US"/>
        </w:rPr>
        <w:t>’</w:t>
      </w:r>
      <w:r w:rsidRPr="009674D2">
        <w:rPr>
          <w:lang w:eastAsia="en-US"/>
        </w:rPr>
        <w:t>. He argues that current policy is so fixated on equality of outcome that it fails to consider how to allow Indigenous peoples a choice in their mode of engagement with the wider society. Furthermore, he notes that in their delineation of policy-relevant evidence government agencies rarely share responsibility for data collection with those that they monitor and that this has consequences for the quality and effectiveness of policy-making (Rowse 2012</w:t>
      </w:r>
      <w:r w:rsidR="007028E3">
        <w:rPr>
          <w:lang w:eastAsia="en-US"/>
        </w:rPr>
        <w:t>,</w:t>
      </w:r>
      <w:r w:rsidRPr="009674D2">
        <w:rPr>
          <w:lang w:eastAsia="en-US"/>
        </w:rPr>
        <w:t xml:space="preserve"> </w:t>
      </w:r>
      <w:r w:rsidR="007028E3">
        <w:rPr>
          <w:lang w:eastAsia="en-US"/>
        </w:rPr>
        <w:t xml:space="preserve">p. </w:t>
      </w:r>
      <w:r w:rsidRPr="009674D2">
        <w:rPr>
          <w:lang w:eastAsia="en-US"/>
        </w:rPr>
        <w:t xml:space="preserve">196). Oddly enough, while the </w:t>
      </w:r>
      <w:r w:rsidR="00BA25DA">
        <w:t>Council of Australian Governments (</w:t>
      </w:r>
      <w:r w:rsidRPr="009674D2">
        <w:rPr>
          <w:lang w:eastAsia="en-US"/>
        </w:rPr>
        <w:t>COAG</w:t>
      </w:r>
      <w:r w:rsidR="00BA25DA">
        <w:rPr>
          <w:lang w:eastAsia="en-US"/>
        </w:rPr>
        <w:t>)</w:t>
      </w:r>
      <w:r w:rsidRPr="009674D2">
        <w:rPr>
          <w:lang w:eastAsia="en-US"/>
        </w:rPr>
        <w:t xml:space="preserve"> </w:t>
      </w:r>
      <w:r w:rsidR="006A206B">
        <w:rPr>
          <w:lang w:eastAsia="en-US"/>
        </w:rPr>
        <w:t xml:space="preserve">National </w:t>
      </w:r>
      <w:r w:rsidRPr="009674D2">
        <w:rPr>
          <w:lang w:eastAsia="en-US"/>
        </w:rPr>
        <w:t xml:space="preserve">Indigenous Reform Agreement states that ‘effective engagement with Indigenous communities is critical to ensuring that Indigenous people’s needs and aspirations are built into the planning and implementation of initiatives agreed by COAG’, it comes with no means of measuring achievement in this space (in contrast to other elements of the </w:t>
      </w:r>
      <w:r w:rsidR="006A206B">
        <w:rPr>
          <w:lang w:eastAsia="en-US"/>
        </w:rPr>
        <w:t>a</w:t>
      </w:r>
      <w:r w:rsidRPr="009674D2">
        <w:rPr>
          <w:lang w:eastAsia="en-US"/>
        </w:rPr>
        <w:t>greement) let alone with any clear definition of what is to be understood by the term ‘effective’ (Rowse 2012</w:t>
      </w:r>
      <w:r w:rsidR="007028E3">
        <w:rPr>
          <w:lang w:eastAsia="en-US"/>
        </w:rPr>
        <w:t>,</w:t>
      </w:r>
      <w:r w:rsidRPr="009674D2">
        <w:rPr>
          <w:lang w:eastAsia="en-US"/>
        </w:rPr>
        <w:t xml:space="preserve"> </w:t>
      </w:r>
      <w:r w:rsidR="007028E3">
        <w:rPr>
          <w:lang w:eastAsia="en-US"/>
        </w:rPr>
        <w:t xml:space="preserve">p. </w:t>
      </w:r>
      <w:r w:rsidRPr="009674D2">
        <w:rPr>
          <w:lang w:eastAsia="en-US"/>
        </w:rPr>
        <w:t>198). As a portrayal of the Closing the Gap paradigm and its assemblage of evidentiary data Rowse invokes the image of a benign Cyclops capable of thinking and rep</w:t>
      </w:r>
      <w:r w:rsidR="002051E4">
        <w:rPr>
          <w:lang w:eastAsia="en-US"/>
        </w:rPr>
        <w:t>orting on certain forms of well</w:t>
      </w:r>
      <w:r w:rsidRPr="009674D2">
        <w:rPr>
          <w:lang w:eastAsia="en-US"/>
        </w:rPr>
        <w:t>being but blind to others (2012</w:t>
      </w:r>
      <w:r w:rsidR="007028E3">
        <w:rPr>
          <w:lang w:eastAsia="en-US"/>
        </w:rPr>
        <w:t>,</w:t>
      </w:r>
      <w:r w:rsidRPr="009674D2">
        <w:rPr>
          <w:lang w:eastAsia="en-US"/>
        </w:rPr>
        <w:t xml:space="preserve"> </w:t>
      </w:r>
      <w:r w:rsidR="007028E3">
        <w:rPr>
          <w:lang w:eastAsia="en-US"/>
        </w:rPr>
        <w:t xml:space="preserve">p. </w:t>
      </w:r>
      <w:r w:rsidRPr="009674D2">
        <w:rPr>
          <w:lang w:eastAsia="en-US"/>
        </w:rPr>
        <w:t>198). To the extent that this is a reasonable portrayal, current practice can be said to limit the scope of policy development in ways that are sub</w:t>
      </w:r>
      <w:r w:rsidR="003A4E8B">
        <w:rPr>
          <w:lang w:eastAsia="en-US"/>
        </w:rPr>
        <w:t>-</w:t>
      </w:r>
      <w:r w:rsidRPr="009674D2">
        <w:rPr>
          <w:lang w:eastAsia="en-US"/>
        </w:rPr>
        <w:t xml:space="preserve">optimal, even detrimental, from Indigenous perspectives. In my view, part </w:t>
      </w:r>
      <w:r w:rsidRPr="009674D2">
        <w:rPr>
          <w:lang w:eastAsia="en-US"/>
        </w:rPr>
        <w:lastRenderedPageBreak/>
        <w:t xml:space="preserve">of the problem arises from the construction of Australian postcolonial demography as an instrument of public policy. </w:t>
      </w:r>
    </w:p>
    <w:p w:rsidR="004059E5" w:rsidRPr="009674D2" w:rsidRDefault="004059E5" w:rsidP="00941A76">
      <w:pPr>
        <w:pStyle w:val="BodyText"/>
        <w:rPr>
          <w:lang w:eastAsia="en-US"/>
        </w:rPr>
      </w:pPr>
      <w:r w:rsidRPr="009674D2">
        <w:t>The origins and implications of postcolonial demography are detailed elsewhere (Taylor 2009, 2010</w:t>
      </w:r>
      <w:r w:rsidR="00EE6E6F">
        <w:t>;</w:t>
      </w:r>
      <w:r w:rsidRPr="009674D2">
        <w:t xml:space="preserve"> Rowse and Smith 2010). Briefly, this refers to the period following the 1967 Referendum when the </w:t>
      </w:r>
      <w:r w:rsidRPr="009674D2">
        <w:rPr>
          <w:lang w:eastAsia="en-US"/>
        </w:rPr>
        <w:t>interest of the then Commonwealth Bureau of Census and Statistics to ensure a full enumeration of the Australian population coincided with a perceived wish of Indigenous people to continue to be identified in the census but without ‘distinctions of descent’ (Rowse and Smith 2010). The result was a self-identified race question in the 1971 Census that ever since (with modification to replace ‘race’ with ‘origin’) has produced the population binary</w:t>
      </w:r>
      <w:r w:rsidR="00B257E0">
        <w:rPr>
          <w:lang w:eastAsia="en-US"/>
        </w:rPr>
        <w:t xml:space="preserve"> </w:t>
      </w:r>
      <w:r w:rsidRPr="009674D2">
        <w:rPr>
          <w:lang w:eastAsia="en-US"/>
        </w:rPr>
        <w:t>—</w:t>
      </w:r>
      <w:r w:rsidR="00B257E0">
        <w:rPr>
          <w:lang w:eastAsia="en-US"/>
        </w:rPr>
        <w:t xml:space="preserve"> </w:t>
      </w:r>
      <w:r w:rsidRPr="009674D2">
        <w:rPr>
          <w:lang w:eastAsia="en-US"/>
        </w:rPr>
        <w:t>Indigenous</w:t>
      </w:r>
      <w:r w:rsidR="00EE6E6F">
        <w:rPr>
          <w:lang w:eastAsia="en-US"/>
        </w:rPr>
        <w:t xml:space="preserve"> – </w:t>
      </w:r>
      <w:r w:rsidRPr="009674D2">
        <w:rPr>
          <w:lang w:eastAsia="en-US"/>
        </w:rPr>
        <w:t>non-Indigenous</w:t>
      </w:r>
      <w:r w:rsidR="00B257E0">
        <w:rPr>
          <w:lang w:eastAsia="en-US"/>
        </w:rPr>
        <w:t xml:space="preserve"> </w:t>
      </w:r>
      <w:r w:rsidRPr="009674D2">
        <w:rPr>
          <w:lang w:eastAsia="en-US"/>
        </w:rPr>
        <w:t>—</w:t>
      </w:r>
      <w:r w:rsidR="00B257E0">
        <w:rPr>
          <w:lang w:eastAsia="en-US"/>
        </w:rPr>
        <w:t xml:space="preserve"> </w:t>
      </w:r>
      <w:r w:rsidRPr="009674D2">
        <w:rPr>
          <w:lang w:eastAsia="en-US"/>
        </w:rPr>
        <w:t>as the basis for data collection and associated development and evaluation of social justice policy. The resulting demography has been highly productive and increasingly well resourced although issues of data quality and methodological inexactitude continue to hinder progress while there also is a growing gap between available statistics and the needs of Indigenous incorporated groups for information. In this paper, I take selective stock of this demography and consider its utility for policy development</w:t>
      </w:r>
      <w:r w:rsidR="00B257E0">
        <w:rPr>
          <w:lang w:eastAsia="en-US"/>
        </w:rPr>
        <w:t xml:space="preserve"> </w:t>
      </w:r>
      <w:r w:rsidRPr="009674D2">
        <w:rPr>
          <w:lang w:eastAsia="en-US"/>
        </w:rPr>
        <w:t>—</w:t>
      </w:r>
      <w:r w:rsidR="00B257E0">
        <w:rPr>
          <w:lang w:eastAsia="en-US"/>
        </w:rPr>
        <w:t xml:space="preserve"> </w:t>
      </w:r>
      <w:r w:rsidRPr="009674D2">
        <w:rPr>
          <w:lang w:eastAsia="en-US"/>
        </w:rPr>
        <w:t xml:space="preserve">what are its achievements, what are its weaknesses and what might be done differently to produce better Indigenous policies? </w:t>
      </w:r>
    </w:p>
    <w:p w:rsidR="004059E5" w:rsidRPr="009674D2" w:rsidRDefault="009674D2" w:rsidP="009674D2">
      <w:pPr>
        <w:pStyle w:val="Heading2"/>
        <w:rPr>
          <w:lang w:eastAsia="en-US"/>
        </w:rPr>
      </w:pPr>
      <w:r>
        <w:rPr>
          <w:lang w:eastAsia="en-US"/>
        </w:rPr>
        <w:t>8</w:t>
      </w:r>
      <w:r w:rsidR="005E6057">
        <w:rPr>
          <w:lang w:eastAsia="en-US"/>
        </w:rPr>
        <w:t>.2</w:t>
      </w:r>
      <w:r w:rsidRPr="009674D2">
        <w:rPr>
          <w:lang w:eastAsia="en-US"/>
        </w:rPr>
        <w:tab/>
      </w:r>
      <w:r w:rsidR="004059E5" w:rsidRPr="009674D2">
        <w:rPr>
          <w:lang w:eastAsia="en-US"/>
        </w:rPr>
        <w:t>Achievements</w:t>
      </w:r>
    </w:p>
    <w:p w:rsidR="004059E5" w:rsidRPr="009674D2" w:rsidRDefault="004059E5" w:rsidP="00941A76">
      <w:pPr>
        <w:pStyle w:val="BodyText"/>
        <w:rPr>
          <w:lang w:eastAsia="en-US"/>
        </w:rPr>
      </w:pPr>
      <w:r w:rsidRPr="009674D2">
        <w:rPr>
          <w:lang w:eastAsia="en-US"/>
        </w:rPr>
        <w:t>The main achievement has been the expansion and standardi</w:t>
      </w:r>
      <w:r w:rsidR="00FD032A">
        <w:rPr>
          <w:lang w:eastAsia="en-US"/>
        </w:rPr>
        <w:t>s</w:t>
      </w:r>
      <w:r w:rsidRPr="009674D2">
        <w:rPr>
          <w:lang w:eastAsia="en-US"/>
        </w:rPr>
        <w:t xml:space="preserve">ation of data collection and output systems. Since the adoption in the 1990s of the standard self-reported Indigenous status question in all official statistical collections (including administrative collections and all official household surveys) as well as a much-expanded Indigenous-specific survey and census program (ABS 2007), there is no doubt that the range of data on Indigenous population is now extensive and provides relevant input to just about all aspects of the Closing the Gap agenda. </w:t>
      </w:r>
    </w:p>
    <w:p w:rsidR="004059E5" w:rsidRPr="009674D2" w:rsidRDefault="004059E5" w:rsidP="00941A76">
      <w:pPr>
        <w:pStyle w:val="BodyText"/>
        <w:rPr>
          <w:lang w:eastAsia="en-US"/>
        </w:rPr>
      </w:pPr>
      <w:r w:rsidRPr="009674D2">
        <w:rPr>
          <w:lang w:eastAsia="en-US"/>
        </w:rPr>
        <w:t>Furthermore, methods for improving the quality of data are under constant development</w:t>
      </w:r>
      <w:r w:rsidR="00295CAF">
        <w:rPr>
          <w:lang w:eastAsia="en-US"/>
        </w:rPr>
        <w:t>,</w:t>
      </w:r>
      <w:r w:rsidRPr="009674D2">
        <w:rPr>
          <w:lang w:eastAsia="en-US"/>
        </w:rPr>
        <w:t xml:space="preserve"> with the latest initiatives found in longitudinal survey work and data linkage projects. The </w:t>
      </w:r>
      <w:r w:rsidR="00EE6E6F">
        <w:rPr>
          <w:lang w:eastAsia="en-US"/>
        </w:rPr>
        <w:t>Australian Bureau of Statistics (</w:t>
      </w:r>
      <w:r w:rsidRPr="009674D2">
        <w:rPr>
          <w:lang w:eastAsia="en-US"/>
        </w:rPr>
        <w:t>ABS</w:t>
      </w:r>
      <w:r w:rsidR="00EE6E6F">
        <w:rPr>
          <w:lang w:eastAsia="en-US"/>
        </w:rPr>
        <w:t>)</w:t>
      </w:r>
      <w:r w:rsidRPr="009674D2">
        <w:rPr>
          <w:lang w:eastAsia="en-US"/>
        </w:rPr>
        <w:t xml:space="preserve"> has expert working groups on Indigenous statistics and the Closing the Gap Clearinghouse scrutini</w:t>
      </w:r>
      <w:r w:rsidR="00FD032A">
        <w:rPr>
          <w:lang w:eastAsia="en-US"/>
        </w:rPr>
        <w:t>s</w:t>
      </w:r>
      <w:r w:rsidRPr="009674D2">
        <w:rPr>
          <w:lang w:eastAsia="en-US"/>
        </w:rPr>
        <w:t>es each of the headline indicators for hard evidence of what works and what does</w:t>
      </w:r>
      <w:r w:rsidR="006A206B">
        <w:rPr>
          <w:lang w:eastAsia="en-US"/>
        </w:rPr>
        <w:t xml:space="preserve"> </w:t>
      </w:r>
      <w:r w:rsidRPr="009674D2">
        <w:rPr>
          <w:lang w:eastAsia="en-US"/>
        </w:rPr>
        <w:t>n</w:t>
      </w:r>
      <w:r w:rsidR="006A206B">
        <w:rPr>
          <w:lang w:eastAsia="en-US"/>
        </w:rPr>
        <w:t>o</w:t>
      </w:r>
      <w:r w:rsidRPr="009674D2">
        <w:rPr>
          <w:lang w:eastAsia="en-US"/>
        </w:rPr>
        <w:t xml:space="preserve">t </w:t>
      </w:r>
      <w:r w:rsidR="006A206B">
        <w:rPr>
          <w:lang w:eastAsia="en-US"/>
        </w:rPr>
        <w:t xml:space="preserve">work </w:t>
      </w:r>
      <w:r w:rsidRPr="009674D2">
        <w:rPr>
          <w:lang w:eastAsia="en-US"/>
        </w:rPr>
        <w:t>policy and program</w:t>
      </w:r>
      <w:r w:rsidR="006A206B">
        <w:rPr>
          <w:lang w:eastAsia="en-US"/>
        </w:rPr>
        <w:t xml:space="preserve"> </w:t>
      </w:r>
      <w:r w:rsidRPr="009674D2">
        <w:rPr>
          <w:lang w:eastAsia="en-US"/>
        </w:rPr>
        <w:t xml:space="preserve">wise. At the output end, the Productivity Commission’s </w:t>
      </w:r>
      <w:r w:rsidRPr="009674D2">
        <w:rPr>
          <w:i/>
          <w:lang w:eastAsia="en-US"/>
        </w:rPr>
        <w:t>Overcoming Indigenous Disadvantage</w:t>
      </w:r>
      <w:r w:rsidRPr="009674D2">
        <w:rPr>
          <w:lang w:eastAsia="en-US"/>
        </w:rPr>
        <w:t xml:space="preserve"> report, the </w:t>
      </w:r>
      <w:r w:rsidRPr="009674D2">
        <w:rPr>
          <w:i/>
          <w:lang w:eastAsia="en-US"/>
        </w:rPr>
        <w:t>Review of Government Services Indigenous Compendium</w:t>
      </w:r>
      <w:r w:rsidRPr="009674D2">
        <w:rPr>
          <w:lang w:eastAsia="en-US"/>
        </w:rPr>
        <w:t xml:space="preserve"> and the </w:t>
      </w:r>
      <w:r w:rsidRPr="009674D2">
        <w:rPr>
          <w:i/>
          <w:lang w:eastAsia="en-US"/>
        </w:rPr>
        <w:t>Indigenous Expenditure Report</w:t>
      </w:r>
      <w:r w:rsidRPr="009674D2">
        <w:rPr>
          <w:lang w:eastAsia="en-US"/>
        </w:rPr>
        <w:t xml:space="preserve"> and the joint ABS</w:t>
      </w:r>
      <w:r w:rsidR="006A206B">
        <w:rPr>
          <w:lang w:eastAsia="en-US"/>
        </w:rPr>
        <w:t>–</w:t>
      </w:r>
      <w:r w:rsidRPr="009674D2">
        <w:rPr>
          <w:lang w:eastAsia="en-US"/>
        </w:rPr>
        <w:t xml:space="preserve">AIHW report on the </w:t>
      </w:r>
      <w:r w:rsidRPr="009674D2">
        <w:rPr>
          <w:i/>
          <w:lang w:eastAsia="en-US"/>
        </w:rPr>
        <w:t>Health and Welfare of Australia’s Aboriginal and Torres Strait Islander Peoples</w:t>
      </w:r>
      <w:r w:rsidRPr="009674D2">
        <w:rPr>
          <w:lang w:eastAsia="en-US"/>
        </w:rPr>
        <w:t xml:space="preserve"> all provide regular summary profiles of social and economic </w:t>
      </w:r>
      <w:r w:rsidRPr="009674D2">
        <w:rPr>
          <w:lang w:eastAsia="en-US"/>
        </w:rPr>
        <w:lastRenderedPageBreak/>
        <w:t>conditions, mostly at jurisdictional level. Behind all of this lies substantive other data output such as from the National Aboriginal and Torres Strait Islander Social Survey, the National Aboriginal and Torres Strait Islander Health Survey and the Longitudinal Survey of Indigenous Children. With this data infrastructure in place there is now a compelling need to sustain it as the primary input to evaluating policy progress. However, there are some inherent flaws in these data and I review these below along with suggestions for improvement or new directions where appropriate.</w:t>
      </w:r>
    </w:p>
    <w:p w:rsidR="004059E5" w:rsidRPr="009674D2" w:rsidRDefault="005E6057" w:rsidP="009674D2">
      <w:pPr>
        <w:pStyle w:val="Heading2"/>
      </w:pPr>
      <w:r>
        <w:t>8.3</w:t>
      </w:r>
      <w:r w:rsidR="009674D2" w:rsidRPr="009674D2">
        <w:tab/>
      </w:r>
      <w:r w:rsidR="004059E5" w:rsidRPr="009674D2">
        <w:t>Census volat</w:t>
      </w:r>
      <w:r w:rsidR="009674D2" w:rsidRPr="009674D2">
        <w:t>ility</w:t>
      </w:r>
    </w:p>
    <w:p w:rsidR="004059E5" w:rsidRPr="009674D2" w:rsidRDefault="004059E5" w:rsidP="00941A76">
      <w:pPr>
        <w:pStyle w:val="BodyText"/>
        <w:rPr>
          <w:rFonts w:eastAsia="MS Mincho"/>
        </w:rPr>
      </w:pPr>
      <w:r w:rsidRPr="009674D2">
        <w:rPr>
          <w:lang w:eastAsia="en-US"/>
        </w:rPr>
        <w:t>Since 1971, the number of individuals identifying as Indigenous in the census has increased by almost 300</w:t>
      </w:r>
      <w:r w:rsidR="008D50F2">
        <w:rPr>
          <w:lang w:eastAsia="en-US"/>
        </w:rPr>
        <w:t xml:space="preserve"> per cent</w:t>
      </w:r>
      <w:r w:rsidRPr="009674D2">
        <w:rPr>
          <w:lang w:eastAsia="en-US"/>
        </w:rPr>
        <w:t>. At an average annual growth rate of 4</w:t>
      </w:r>
      <w:r w:rsidR="008D50F2">
        <w:rPr>
          <w:lang w:eastAsia="en-US"/>
        </w:rPr>
        <w:t xml:space="preserve"> per cent</w:t>
      </w:r>
      <w:r w:rsidRPr="009674D2">
        <w:rPr>
          <w:lang w:eastAsia="en-US"/>
        </w:rPr>
        <w:t xml:space="preserve"> this is beyond the bounds of natural increase. Also of note has been frequent and substantial variation around this average as well as differential growth by age group. The official (ABS) view has been to attribute this variability to a changing propensity of individuals to identify as Indigenous (Ross 1999). A counter</w:t>
      </w:r>
      <w:r w:rsidR="008D50F2">
        <w:rPr>
          <w:lang w:eastAsia="en-US"/>
        </w:rPr>
        <w:t xml:space="preserve"> </w:t>
      </w:r>
      <w:r w:rsidRPr="009674D2">
        <w:rPr>
          <w:lang w:eastAsia="en-US"/>
        </w:rPr>
        <w:t xml:space="preserve">view is that it reflects variable census coverage (Gray 2002). The first suggests behavioural change while the latter alludes more to administrative factors. Either way, it </w:t>
      </w:r>
      <w:r w:rsidRPr="009674D2">
        <w:rPr>
          <w:rFonts w:eastAsia="MS Mincho"/>
        </w:rPr>
        <w:t xml:space="preserve">presents a number of dilemmas for evaluation. </w:t>
      </w:r>
    </w:p>
    <w:p w:rsidR="004059E5" w:rsidRPr="009674D2" w:rsidRDefault="004059E5" w:rsidP="00941A76">
      <w:pPr>
        <w:pStyle w:val="BodyText"/>
        <w:rPr>
          <w:rFonts w:eastAsia="MS Mincho"/>
        </w:rPr>
      </w:pPr>
      <w:r w:rsidRPr="009674D2">
        <w:rPr>
          <w:rFonts w:eastAsia="MS Mincho"/>
        </w:rPr>
        <w:t>First, it raises questions about the comparability of social indicators over time. One option here is to adjust base</w:t>
      </w:r>
      <w:r w:rsidR="008D50F2">
        <w:rPr>
          <w:rFonts w:eastAsia="MS Mincho"/>
        </w:rPr>
        <w:t>-</w:t>
      </w:r>
      <w:r w:rsidRPr="009674D2">
        <w:rPr>
          <w:rFonts w:eastAsia="MS Mincho"/>
        </w:rPr>
        <w:t>year indicators to the level of newly</w:t>
      </w:r>
      <w:r w:rsidR="008D50F2">
        <w:rPr>
          <w:rFonts w:eastAsia="MS Mincho"/>
        </w:rPr>
        <w:t xml:space="preserve"> </w:t>
      </w:r>
      <w:r w:rsidRPr="009674D2">
        <w:rPr>
          <w:rFonts w:eastAsia="MS Mincho"/>
        </w:rPr>
        <w:t>revealed populations using reverse survival techniques (Taylor and Bell 1998); another is to treat census cross-sectional data as panel data by grouping individuals into cohorts and treating the averages within these cohorts as individual observations (Hunter and Gray 1998). However, where there is a large error of census closure, for example across much of urban Australia (Taylor and Biddle 2010), it is not clear whether aggregate change in population characteristics involves an alteration in the circumstances of the original population or whether it merely reflects the particular features of individuals appearing in the population for the first time. All that can be noted is different aggregate s</w:t>
      </w:r>
      <w:r w:rsidR="008D50F2">
        <w:rPr>
          <w:rFonts w:eastAsia="MS Mincho"/>
        </w:rPr>
        <w:t>tatus in respect of ‘different’</w:t>
      </w:r>
      <w:r w:rsidRPr="009674D2">
        <w:rPr>
          <w:rFonts w:eastAsia="MS Mincho"/>
        </w:rPr>
        <w:t xml:space="preserve"> populations. However, from 2013 there is an opportunity for more stable analysis of trends using the </w:t>
      </w:r>
      <w:r w:rsidRPr="009674D2">
        <w:t>5</w:t>
      </w:r>
      <w:r w:rsidR="008D50F2">
        <w:t xml:space="preserve"> per cent</w:t>
      </w:r>
      <w:r w:rsidRPr="009674D2">
        <w:t xml:space="preserve"> Statistical Longitudinal Census Database that will bring together data from the 2006 Census with data from the 20</w:t>
      </w:r>
      <w:r w:rsidR="008D50F2">
        <w:t>11 Census and future c</w:t>
      </w:r>
      <w:r w:rsidRPr="009674D2">
        <w:t xml:space="preserve">ensuses. As Indigenous status is not deployed as a linking variable, this also provides an opportunity to examine characteristics associated with reported change in Indigenous status thereby providing much needed insight into unexplained growth in the Indigenous population. </w:t>
      </w:r>
    </w:p>
    <w:p w:rsidR="004059E5" w:rsidRPr="009674D2" w:rsidRDefault="004059E5" w:rsidP="00941A76">
      <w:pPr>
        <w:pStyle w:val="BodyText"/>
      </w:pPr>
      <w:r w:rsidRPr="009674D2">
        <w:rPr>
          <w:rFonts w:eastAsia="MS Mincho"/>
        </w:rPr>
        <w:t xml:space="preserve">Second, it creates an ever-shifting population base against which rates of events (such as hospitalisation or school enrolments) have to be calibrated. Given that most </w:t>
      </w:r>
      <w:r w:rsidRPr="009674D2">
        <w:rPr>
          <w:rFonts w:eastAsia="MS Mincho"/>
        </w:rPr>
        <w:lastRenderedPageBreak/>
        <w:t xml:space="preserve">indicators of policy interest are rate or ratio measures, questions arise regarding their utility for cross-sectional and trend analysis when the denominators used to measure change in social indicators can vary so much between census counts and where these may differ in unknown ways from numerator data drawn from other sources such as administrative collections. </w:t>
      </w:r>
      <w:r w:rsidRPr="009674D2">
        <w:t xml:space="preserve">The main problem here is that high and stable Indigenous identification in administrative collections has yet to be achieved with resulting discrepancies between census-based population estimates and administrative data. This is particularly, but not exclusively, so in the southern and eastern States and in major towns and cities. </w:t>
      </w:r>
    </w:p>
    <w:p w:rsidR="004059E5" w:rsidRDefault="004059E5" w:rsidP="00941A76">
      <w:pPr>
        <w:pStyle w:val="BodyText"/>
        <w:rPr>
          <w:rFonts w:eastAsia="MS Mincho"/>
        </w:rPr>
      </w:pPr>
      <w:r w:rsidRPr="009674D2">
        <w:rPr>
          <w:rFonts w:eastAsia="MS Mincho"/>
        </w:rPr>
        <w:t xml:space="preserve">Finally, it undermines the robustness of population projections. The reason for this is indicated by Table </w:t>
      </w:r>
      <w:r w:rsidR="00240CCF">
        <w:rPr>
          <w:rFonts w:eastAsia="MS Mincho"/>
        </w:rPr>
        <w:t>8.</w:t>
      </w:r>
      <w:r w:rsidRPr="009674D2">
        <w:rPr>
          <w:rFonts w:eastAsia="MS Mincho"/>
        </w:rPr>
        <w:t xml:space="preserve">1 that shows the ratios of projected Indigenous populations to actual census year estimates from 1986 onwards. </w:t>
      </w:r>
    </w:p>
    <w:p w:rsidR="007B51AE" w:rsidRPr="009674D2" w:rsidRDefault="007B51AE" w:rsidP="007B51AE">
      <w:pPr>
        <w:pStyle w:val="TableTitle"/>
      </w:pPr>
      <w:r w:rsidRPr="009674D2">
        <w:t xml:space="preserve">Table </w:t>
      </w:r>
      <w:r>
        <w:t>8.</w:t>
      </w:r>
      <w:r w:rsidRPr="009674D2">
        <w:t>1</w:t>
      </w:r>
      <w:r w:rsidRPr="009674D2">
        <w:tab/>
        <w:t>Forecast accuracy: ratios of national Indigenous population projections to observed census-based estimates</w:t>
      </w:r>
      <w:r>
        <w:t>,</w:t>
      </w:r>
      <w:r w:rsidRPr="009674D2">
        <w:t xml:space="preserve"> 1991</w:t>
      </w:r>
      <w:r>
        <w:t>–</w:t>
      </w:r>
      <w:r w:rsidRPr="009674D2">
        <w:t>2011</w:t>
      </w:r>
    </w:p>
    <w:tbl>
      <w:tblPr>
        <w:tblW w:w="5000" w:type="pct"/>
        <w:tblBorders>
          <w:top w:val="single" w:sz="4" w:space="0" w:color="000000"/>
          <w:bottom w:val="single" w:sz="4" w:space="0" w:color="000000"/>
        </w:tblBorders>
        <w:tblLayout w:type="fixed"/>
        <w:tblCellMar>
          <w:left w:w="115" w:type="dxa"/>
          <w:right w:w="115" w:type="dxa"/>
        </w:tblCellMar>
        <w:tblLook w:val="00A0" w:firstRow="1" w:lastRow="0" w:firstColumn="1" w:lastColumn="0" w:noHBand="0" w:noVBand="0"/>
      </w:tblPr>
      <w:tblGrid>
        <w:gridCol w:w="4239"/>
        <w:gridCol w:w="956"/>
        <w:gridCol w:w="956"/>
        <w:gridCol w:w="956"/>
        <w:gridCol w:w="956"/>
        <w:gridCol w:w="956"/>
      </w:tblGrid>
      <w:tr w:rsidR="007B51AE" w:rsidRPr="009674D2" w:rsidTr="006E17E2">
        <w:trPr>
          <w:cantSplit/>
        </w:trPr>
        <w:tc>
          <w:tcPr>
            <w:tcW w:w="4239" w:type="dxa"/>
            <w:tcBorders>
              <w:bottom w:val="nil"/>
            </w:tcBorders>
          </w:tcPr>
          <w:p w:rsidR="007B51AE" w:rsidRPr="009674D2" w:rsidRDefault="007B51AE" w:rsidP="006E17E2">
            <w:pPr>
              <w:pStyle w:val="TableColumnHeading"/>
            </w:pPr>
          </w:p>
        </w:tc>
        <w:tc>
          <w:tcPr>
            <w:tcW w:w="4780" w:type="dxa"/>
            <w:gridSpan w:val="5"/>
            <w:tcBorders>
              <w:top w:val="single" w:sz="4" w:space="0" w:color="000000"/>
              <w:bottom w:val="single" w:sz="4" w:space="0" w:color="000000"/>
            </w:tcBorders>
          </w:tcPr>
          <w:p w:rsidR="007B51AE" w:rsidRPr="009674D2" w:rsidRDefault="007B51AE" w:rsidP="006E17E2">
            <w:pPr>
              <w:pStyle w:val="TableColumnHeading"/>
              <w:jc w:val="center"/>
            </w:pPr>
            <w:r w:rsidRPr="009674D2">
              <w:t>Ratio of projection to actual year estimate</w:t>
            </w:r>
          </w:p>
        </w:tc>
      </w:tr>
      <w:tr w:rsidR="007B51AE" w:rsidRPr="009674D2" w:rsidTr="006E17E2">
        <w:trPr>
          <w:cantSplit/>
        </w:trPr>
        <w:tc>
          <w:tcPr>
            <w:tcW w:w="4239" w:type="dxa"/>
            <w:tcBorders>
              <w:top w:val="nil"/>
              <w:bottom w:val="single" w:sz="4" w:space="0" w:color="000000"/>
            </w:tcBorders>
          </w:tcPr>
          <w:p w:rsidR="007B51AE" w:rsidRPr="009674D2" w:rsidRDefault="007B51AE" w:rsidP="006E17E2">
            <w:pPr>
              <w:pStyle w:val="TableColumnHeading"/>
              <w:jc w:val="left"/>
            </w:pPr>
            <w:r w:rsidRPr="009674D2">
              <w:t>Projection source and base year</w:t>
            </w:r>
          </w:p>
        </w:tc>
        <w:tc>
          <w:tcPr>
            <w:tcW w:w="956" w:type="dxa"/>
            <w:tcBorders>
              <w:top w:val="single" w:sz="4" w:space="0" w:color="000000"/>
              <w:bottom w:val="single" w:sz="4" w:space="0" w:color="000000"/>
            </w:tcBorders>
          </w:tcPr>
          <w:p w:rsidR="007B51AE" w:rsidRPr="009674D2" w:rsidRDefault="007B51AE" w:rsidP="006E17E2">
            <w:pPr>
              <w:pStyle w:val="TableColumnHeading"/>
            </w:pPr>
            <w:r w:rsidRPr="009674D2">
              <w:t>1991</w:t>
            </w:r>
          </w:p>
        </w:tc>
        <w:tc>
          <w:tcPr>
            <w:tcW w:w="956" w:type="dxa"/>
            <w:tcBorders>
              <w:top w:val="single" w:sz="4" w:space="0" w:color="000000"/>
              <w:bottom w:val="single" w:sz="4" w:space="0" w:color="000000"/>
            </w:tcBorders>
          </w:tcPr>
          <w:p w:rsidR="007B51AE" w:rsidRPr="009674D2" w:rsidRDefault="007B51AE" w:rsidP="006E17E2">
            <w:pPr>
              <w:pStyle w:val="TableColumnHeading"/>
            </w:pPr>
            <w:r w:rsidRPr="009674D2">
              <w:t>1996</w:t>
            </w:r>
          </w:p>
        </w:tc>
        <w:tc>
          <w:tcPr>
            <w:tcW w:w="956" w:type="dxa"/>
            <w:tcBorders>
              <w:top w:val="single" w:sz="4" w:space="0" w:color="000000"/>
              <w:bottom w:val="single" w:sz="4" w:space="0" w:color="000000"/>
            </w:tcBorders>
          </w:tcPr>
          <w:p w:rsidR="007B51AE" w:rsidRPr="009674D2" w:rsidRDefault="007B51AE" w:rsidP="006E17E2">
            <w:pPr>
              <w:pStyle w:val="TableColumnHeading"/>
            </w:pPr>
            <w:r w:rsidRPr="009674D2">
              <w:t>2001</w:t>
            </w:r>
          </w:p>
        </w:tc>
        <w:tc>
          <w:tcPr>
            <w:tcW w:w="956" w:type="dxa"/>
            <w:tcBorders>
              <w:top w:val="single" w:sz="4" w:space="0" w:color="000000"/>
              <w:bottom w:val="single" w:sz="4" w:space="0" w:color="000000"/>
            </w:tcBorders>
          </w:tcPr>
          <w:p w:rsidR="007B51AE" w:rsidRPr="009674D2" w:rsidRDefault="007B51AE" w:rsidP="006E17E2">
            <w:pPr>
              <w:pStyle w:val="TableColumnHeading"/>
            </w:pPr>
            <w:r w:rsidRPr="009674D2">
              <w:t>2006</w:t>
            </w:r>
          </w:p>
        </w:tc>
        <w:tc>
          <w:tcPr>
            <w:tcW w:w="956" w:type="dxa"/>
            <w:tcBorders>
              <w:top w:val="single" w:sz="4" w:space="0" w:color="000000"/>
              <w:bottom w:val="single" w:sz="4" w:space="0" w:color="000000"/>
            </w:tcBorders>
          </w:tcPr>
          <w:p w:rsidR="007B51AE" w:rsidRPr="009674D2" w:rsidRDefault="007B51AE" w:rsidP="006E17E2">
            <w:pPr>
              <w:pStyle w:val="TableColumnHeading"/>
            </w:pPr>
            <w:r w:rsidRPr="009674D2">
              <w:t>2011</w:t>
            </w:r>
          </w:p>
        </w:tc>
      </w:tr>
      <w:tr w:rsidR="007B51AE" w:rsidRPr="009674D2" w:rsidTr="006E17E2">
        <w:trPr>
          <w:cantSplit/>
        </w:trPr>
        <w:tc>
          <w:tcPr>
            <w:tcW w:w="4239" w:type="dxa"/>
            <w:tcBorders>
              <w:top w:val="single" w:sz="4" w:space="0" w:color="000000"/>
            </w:tcBorders>
          </w:tcPr>
          <w:p w:rsidR="007B51AE" w:rsidRPr="009674D2" w:rsidRDefault="007B51AE" w:rsidP="006E17E2">
            <w:pPr>
              <w:pStyle w:val="TableBodyText"/>
              <w:jc w:val="left"/>
            </w:pPr>
            <w:r w:rsidRPr="009674D2">
              <w:t>Gray &amp; Tesfaghiorghis (1986 based)</w:t>
            </w:r>
          </w:p>
        </w:tc>
        <w:tc>
          <w:tcPr>
            <w:tcW w:w="956" w:type="dxa"/>
            <w:tcBorders>
              <w:top w:val="single" w:sz="4" w:space="0" w:color="000000"/>
            </w:tcBorders>
          </w:tcPr>
          <w:p w:rsidR="007B51AE" w:rsidRPr="009674D2" w:rsidRDefault="007B51AE" w:rsidP="006E17E2">
            <w:pPr>
              <w:pStyle w:val="TableUnitsRow"/>
            </w:pPr>
            <w:r w:rsidRPr="009674D2">
              <w:t>0.72</w:t>
            </w:r>
          </w:p>
        </w:tc>
        <w:tc>
          <w:tcPr>
            <w:tcW w:w="956" w:type="dxa"/>
            <w:tcBorders>
              <w:top w:val="single" w:sz="4" w:space="0" w:color="000000"/>
            </w:tcBorders>
          </w:tcPr>
          <w:p w:rsidR="007B51AE" w:rsidRPr="009674D2" w:rsidRDefault="007B51AE" w:rsidP="006E17E2">
            <w:pPr>
              <w:pStyle w:val="TableUnitsRow"/>
            </w:pPr>
            <w:r w:rsidRPr="009674D2">
              <w:t>0.71</w:t>
            </w:r>
          </w:p>
        </w:tc>
        <w:tc>
          <w:tcPr>
            <w:tcW w:w="956" w:type="dxa"/>
            <w:tcBorders>
              <w:top w:val="single" w:sz="4" w:space="0" w:color="000000"/>
            </w:tcBorders>
          </w:tcPr>
          <w:p w:rsidR="007B51AE" w:rsidRPr="009674D2" w:rsidRDefault="007B51AE" w:rsidP="006E17E2">
            <w:pPr>
              <w:pStyle w:val="TableUnitsRow"/>
            </w:pPr>
            <w:r w:rsidRPr="009674D2">
              <w:t>0.66</w:t>
            </w:r>
          </w:p>
        </w:tc>
        <w:tc>
          <w:tcPr>
            <w:tcW w:w="956" w:type="dxa"/>
            <w:tcBorders>
              <w:top w:val="single" w:sz="4" w:space="0" w:color="000000"/>
            </w:tcBorders>
          </w:tcPr>
          <w:p w:rsidR="007B51AE" w:rsidRPr="009674D2" w:rsidRDefault="007B51AE" w:rsidP="006E17E2">
            <w:pPr>
              <w:pStyle w:val="TableUnitsRow"/>
            </w:pPr>
          </w:p>
        </w:tc>
        <w:tc>
          <w:tcPr>
            <w:tcW w:w="956" w:type="dxa"/>
            <w:tcBorders>
              <w:top w:val="single" w:sz="4" w:space="0" w:color="000000"/>
            </w:tcBorders>
          </w:tcPr>
          <w:p w:rsidR="007B51AE" w:rsidRPr="009674D2" w:rsidRDefault="007B51AE" w:rsidP="006E17E2">
            <w:pPr>
              <w:pStyle w:val="TableUnitsRow"/>
            </w:pPr>
          </w:p>
        </w:tc>
      </w:tr>
      <w:tr w:rsidR="007B51AE" w:rsidRPr="009674D2" w:rsidTr="006E17E2">
        <w:trPr>
          <w:cantSplit/>
        </w:trPr>
        <w:tc>
          <w:tcPr>
            <w:tcW w:w="4239" w:type="dxa"/>
          </w:tcPr>
          <w:p w:rsidR="007B51AE" w:rsidRPr="009674D2" w:rsidRDefault="007B51AE" w:rsidP="006E17E2">
            <w:pPr>
              <w:pStyle w:val="TableBodyText"/>
              <w:jc w:val="left"/>
            </w:pPr>
            <w:r w:rsidRPr="009674D2">
              <w:t>ABS low series (1996 based)</w:t>
            </w: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r w:rsidRPr="009674D2">
              <w:t>0.93</w:t>
            </w:r>
          </w:p>
        </w:tc>
        <w:tc>
          <w:tcPr>
            <w:tcW w:w="956" w:type="dxa"/>
          </w:tcPr>
          <w:p w:rsidR="007B51AE" w:rsidRPr="009674D2" w:rsidRDefault="007B51AE" w:rsidP="006E17E2">
            <w:pPr>
              <w:pStyle w:val="TableUnitsRow"/>
            </w:pPr>
            <w:r w:rsidRPr="009674D2">
              <w:t>0.91</w:t>
            </w:r>
          </w:p>
        </w:tc>
        <w:tc>
          <w:tcPr>
            <w:tcW w:w="956" w:type="dxa"/>
          </w:tcPr>
          <w:p w:rsidR="007B51AE" w:rsidRPr="009674D2" w:rsidRDefault="007B51AE" w:rsidP="006E17E2">
            <w:pPr>
              <w:pStyle w:val="TableUnitsRow"/>
            </w:pPr>
          </w:p>
        </w:tc>
      </w:tr>
      <w:tr w:rsidR="007B51AE" w:rsidRPr="009674D2" w:rsidTr="006E17E2">
        <w:trPr>
          <w:cantSplit/>
        </w:trPr>
        <w:tc>
          <w:tcPr>
            <w:tcW w:w="4239" w:type="dxa"/>
          </w:tcPr>
          <w:p w:rsidR="007B51AE" w:rsidRPr="009674D2" w:rsidRDefault="007B51AE" w:rsidP="006E17E2">
            <w:pPr>
              <w:pStyle w:val="TableBodyText"/>
              <w:jc w:val="left"/>
            </w:pPr>
            <w:r w:rsidRPr="009674D2">
              <w:t>ABS high series (1996 based)</w:t>
            </w: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r w:rsidRPr="009674D2">
              <w:t>1.10</w:t>
            </w:r>
          </w:p>
        </w:tc>
        <w:tc>
          <w:tcPr>
            <w:tcW w:w="956" w:type="dxa"/>
          </w:tcPr>
          <w:p w:rsidR="007B51AE" w:rsidRPr="009674D2" w:rsidRDefault="007B51AE" w:rsidP="006E17E2">
            <w:pPr>
              <w:pStyle w:val="TableUnitsRow"/>
            </w:pPr>
            <w:r w:rsidRPr="009674D2">
              <w:t>1.26</w:t>
            </w:r>
          </w:p>
        </w:tc>
        <w:tc>
          <w:tcPr>
            <w:tcW w:w="956" w:type="dxa"/>
          </w:tcPr>
          <w:p w:rsidR="007B51AE" w:rsidRPr="009674D2" w:rsidRDefault="007B51AE" w:rsidP="006E17E2">
            <w:pPr>
              <w:pStyle w:val="TableUnitsRow"/>
            </w:pPr>
          </w:p>
        </w:tc>
      </w:tr>
      <w:tr w:rsidR="007B51AE" w:rsidRPr="009674D2" w:rsidTr="006E17E2">
        <w:trPr>
          <w:cantSplit/>
        </w:trPr>
        <w:tc>
          <w:tcPr>
            <w:tcW w:w="4239" w:type="dxa"/>
          </w:tcPr>
          <w:p w:rsidR="007B51AE" w:rsidRPr="009674D2" w:rsidRDefault="007B51AE" w:rsidP="006E17E2">
            <w:pPr>
              <w:pStyle w:val="TableBodyText"/>
              <w:jc w:val="left"/>
            </w:pPr>
            <w:r w:rsidRPr="009674D2">
              <w:t>ABS low series (2001 based)</w:t>
            </w: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r w:rsidRPr="009674D2">
              <w:t>0.97</w:t>
            </w:r>
          </w:p>
        </w:tc>
        <w:tc>
          <w:tcPr>
            <w:tcW w:w="956" w:type="dxa"/>
          </w:tcPr>
          <w:p w:rsidR="007B51AE" w:rsidRPr="009674D2" w:rsidRDefault="007B51AE" w:rsidP="006E17E2">
            <w:pPr>
              <w:pStyle w:val="TableUnitsRow"/>
            </w:pPr>
          </w:p>
        </w:tc>
      </w:tr>
      <w:tr w:rsidR="007B51AE" w:rsidRPr="009674D2" w:rsidTr="006E17E2">
        <w:trPr>
          <w:cantSplit/>
        </w:trPr>
        <w:tc>
          <w:tcPr>
            <w:tcW w:w="4239" w:type="dxa"/>
          </w:tcPr>
          <w:p w:rsidR="007B51AE" w:rsidRPr="009674D2" w:rsidRDefault="007B51AE" w:rsidP="006E17E2">
            <w:pPr>
              <w:pStyle w:val="TableBodyText"/>
              <w:jc w:val="left"/>
            </w:pPr>
            <w:r w:rsidRPr="009674D2">
              <w:t>ABS high series (2001 based)</w:t>
            </w: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r w:rsidRPr="009674D2">
              <w:t>1.05</w:t>
            </w:r>
          </w:p>
        </w:tc>
        <w:tc>
          <w:tcPr>
            <w:tcW w:w="956" w:type="dxa"/>
          </w:tcPr>
          <w:p w:rsidR="007B51AE" w:rsidRPr="009674D2" w:rsidRDefault="007B51AE" w:rsidP="006E17E2">
            <w:pPr>
              <w:pStyle w:val="TableUnitsRow"/>
            </w:pPr>
          </w:p>
        </w:tc>
      </w:tr>
      <w:tr w:rsidR="007B51AE" w:rsidRPr="009674D2" w:rsidTr="006E17E2">
        <w:trPr>
          <w:cantSplit/>
        </w:trPr>
        <w:tc>
          <w:tcPr>
            <w:tcW w:w="4239" w:type="dxa"/>
          </w:tcPr>
          <w:p w:rsidR="007B51AE" w:rsidRPr="009674D2" w:rsidRDefault="007B51AE" w:rsidP="006E17E2">
            <w:pPr>
              <w:pStyle w:val="TableBodyText"/>
              <w:jc w:val="left"/>
            </w:pPr>
            <w:r w:rsidRPr="009674D2">
              <w:t>ABS low series (2006 based)</w:t>
            </w: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r w:rsidRPr="009674D2">
              <w:t>0.87</w:t>
            </w:r>
          </w:p>
        </w:tc>
      </w:tr>
      <w:tr w:rsidR="007B51AE" w:rsidRPr="009674D2" w:rsidTr="006E17E2">
        <w:trPr>
          <w:cantSplit/>
        </w:trPr>
        <w:tc>
          <w:tcPr>
            <w:tcW w:w="4239" w:type="dxa"/>
          </w:tcPr>
          <w:p w:rsidR="007B51AE" w:rsidRPr="009674D2" w:rsidRDefault="007B51AE" w:rsidP="006E17E2">
            <w:pPr>
              <w:pStyle w:val="TableBodyText"/>
              <w:jc w:val="left"/>
            </w:pPr>
            <w:r w:rsidRPr="009674D2">
              <w:t>ABS high series (2006 based)</w:t>
            </w: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p>
        </w:tc>
        <w:tc>
          <w:tcPr>
            <w:tcW w:w="956" w:type="dxa"/>
          </w:tcPr>
          <w:p w:rsidR="007B51AE" w:rsidRPr="009674D2" w:rsidRDefault="007B51AE" w:rsidP="006E17E2">
            <w:pPr>
              <w:pStyle w:val="TableUnitsRow"/>
            </w:pPr>
            <w:r w:rsidRPr="009674D2">
              <w:t>0.87</w:t>
            </w:r>
          </w:p>
        </w:tc>
      </w:tr>
    </w:tbl>
    <w:p w:rsidR="007B51AE" w:rsidRPr="009674D2" w:rsidRDefault="007B51AE" w:rsidP="007B51AE">
      <w:pPr>
        <w:pStyle w:val="Source"/>
      </w:pPr>
      <w:r w:rsidRPr="003A4E8B">
        <w:rPr>
          <w:i/>
        </w:rPr>
        <w:t>Source</w:t>
      </w:r>
      <w:r w:rsidRPr="009674D2">
        <w:t>: Gray &amp; Tesfaghiorghis 1991 and ABS various</w:t>
      </w:r>
      <w:r>
        <w:t>.</w:t>
      </w:r>
    </w:p>
    <w:p w:rsidR="004059E5" w:rsidRDefault="004059E5" w:rsidP="00941A76">
      <w:pPr>
        <w:pStyle w:val="BodyText"/>
      </w:pPr>
      <w:r w:rsidRPr="009674D2">
        <w:t xml:space="preserve">Over the years, projections of the Indigenous population have been one of the more useful products of postcolonial demography especially in determining macro-policy settings. They have been used to stimulate employment policy (Taylor and Hunter, 1998), in regional needs assessment for service delivery (Taylor, 2004), and in driving home the fiscal opportunity-cost message that business as usual in Indigenous affairs is not a rational option due to the weight of population momentum (Taylor, 1997). Over time, it had been hoped that the accuracy of projections would improve but as we have seen the (inherent) instability in census counts undermines this. Nonetheless, projection of Indigenous numbers remains a vital aid to policy development not least because of a capacity to model future age distribution and plan for its consequences (Biddle and Taylor 2012) and there are methods available for refining cohort-component techniques to more accurately </w:t>
      </w:r>
      <w:r w:rsidRPr="009674D2">
        <w:lastRenderedPageBreak/>
        <w:t xml:space="preserve">reflect Indigenous demographic processes and determinants. Colleagues at the ANU and University of Queensland are currently working on these. </w:t>
      </w:r>
    </w:p>
    <w:p w:rsidR="00245C28" w:rsidRPr="009674D2" w:rsidRDefault="00245C28" w:rsidP="00245C28">
      <w:pPr>
        <w:pStyle w:val="Heading2"/>
        <w:rPr>
          <w:lang w:eastAsia="en-US"/>
        </w:rPr>
      </w:pPr>
      <w:r>
        <w:rPr>
          <w:lang w:eastAsia="en-US"/>
        </w:rPr>
        <w:t>8.4</w:t>
      </w:r>
      <w:r w:rsidRPr="009674D2">
        <w:rPr>
          <w:lang w:eastAsia="en-US"/>
        </w:rPr>
        <w:tab/>
        <w:t>Population estimates</w:t>
      </w:r>
      <w:r>
        <w:rPr>
          <w:lang w:eastAsia="en-US"/>
        </w:rPr>
        <w:t xml:space="preserve"> — </w:t>
      </w:r>
      <w:r w:rsidRPr="009674D2">
        <w:rPr>
          <w:lang w:eastAsia="en-US"/>
        </w:rPr>
        <w:t>fit for purpose?</w:t>
      </w:r>
    </w:p>
    <w:p w:rsidR="00245C28" w:rsidRDefault="00245C28" w:rsidP="00245C28">
      <w:pPr>
        <w:pStyle w:val="BodyText"/>
        <w:rPr>
          <w:lang w:eastAsia="en-US"/>
        </w:rPr>
      </w:pPr>
      <w:r w:rsidRPr="009674D2">
        <w:rPr>
          <w:lang w:eastAsia="en-US"/>
        </w:rPr>
        <w:t>The idea of generating population statistics that are fit for purpose is considered a central role of the ABS (The Australian Statistician</w:t>
      </w:r>
      <w:r>
        <w:rPr>
          <w:lang w:eastAsia="en-US"/>
        </w:rPr>
        <w:t xml:space="preserve"> </w:t>
      </w:r>
      <w:r w:rsidRPr="009674D2">
        <w:rPr>
          <w:lang w:eastAsia="en-US"/>
        </w:rPr>
        <w:t>2005). Clearly, then, in releasing Indigenous population estimates there is an implicit understanding on the part of the ABS that they are ‘fit for purpose’. But are they?</w:t>
      </w:r>
    </w:p>
    <w:p w:rsidR="004059E5" w:rsidRPr="009674D2" w:rsidRDefault="00036741" w:rsidP="00941A76">
      <w:pPr>
        <w:pStyle w:val="BodyText"/>
        <w:rPr>
          <w:lang w:eastAsia="en-US"/>
        </w:rPr>
      </w:pPr>
      <w:r w:rsidRPr="009674D2">
        <w:rPr>
          <w:lang w:eastAsia="en-US"/>
        </w:rPr>
        <w:t>The answer to this question is contingent</w:t>
      </w:r>
      <w:r>
        <w:rPr>
          <w:lang w:eastAsia="en-US"/>
        </w:rPr>
        <w:t xml:space="preserve"> — </w:t>
      </w:r>
      <w:r w:rsidRPr="009674D2">
        <w:rPr>
          <w:lang w:eastAsia="en-US"/>
        </w:rPr>
        <w:t>if the aim is to establish relativities by comparing jurisdictional populations across Australia then the ABS method of estimation is not only appropriate, it is essential in the sense that such comparison</w:t>
      </w:r>
      <w:r>
        <w:rPr>
          <w:lang w:eastAsia="en-US"/>
        </w:rPr>
        <w:t xml:space="preserve"> </w:t>
      </w:r>
      <w:r w:rsidRPr="009674D2">
        <w:rPr>
          <w:lang w:eastAsia="en-US"/>
        </w:rPr>
        <w:t>requires the application of a consistent methodology where the estimated parts sum</w:t>
      </w:r>
      <w:r>
        <w:rPr>
          <w:lang w:eastAsia="en-US"/>
        </w:rPr>
        <w:t xml:space="preserve"> </w:t>
      </w:r>
      <w:r w:rsidRPr="009674D2">
        <w:rPr>
          <w:lang w:eastAsia="en-US"/>
        </w:rPr>
        <w:t>to the whole. To that extent, the overall exercise of fiscal equalisation is probably</w:t>
      </w:r>
      <w:r w:rsidR="007B3F9E">
        <w:rPr>
          <w:lang w:eastAsia="en-US"/>
        </w:rPr>
        <w:t xml:space="preserve"> </w:t>
      </w:r>
      <w:r w:rsidR="004059E5" w:rsidRPr="009674D2">
        <w:rPr>
          <w:lang w:eastAsia="en-US"/>
        </w:rPr>
        <w:t>vindicated. If, however, the aim is to determine local levels of need, for example, in terms of service delivery or workforce planning and for local government grants distribution, then current methods are questionable. Significantly, this is often the level at which Indigenous sociality is constructed, a point we shall return to later.</w:t>
      </w:r>
    </w:p>
    <w:p w:rsidR="004059E5" w:rsidRPr="009674D2" w:rsidRDefault="004059E5" w:rsidP="00941A76">
      <w:pPr>
        <w:pStyle w:val="BodyText"/>
        <w:rPr>
          <w:lang w:eastAsia="en-US"/>
        </w:rPr>
      </w:pPr>
      <w:r w:rsidRPr="009674D2">
        <w:rPr>
          <w:lang w:eastAsia="en-US"/>
        </w:rPr>
        <w:t>For one thing, the calculation of small area level Indigenous estimates using a top–down pro</w:t>
      </w:r>
      <w:r w:rsidR="0004073F">
        <w:rPr>
          <w:lang w:eastAsia="en-US"/>
        </w:rPr>
        <w:t>-</w:t>
      </w:r>
      <w:r w:rsidRPr="009674D2">
        <w:rPr>
          <w:lang w:eastAsia="en-US"/>
        </w:rPr>
        <w:t>rata distribution of undercount parameters that are derived for much higher</w:t>
      </w:r>
      <w:r w:rsidR="0004073F">
        <w:rPr>
          <w:lang w:eastAsia="en-US"/>
        </w:rPr>
        <w:t xml:space="preserve"> </w:t>
      </w:r>
      <w:r w:rsidRPr="009674D2">
        <w:rPr>
          <w:lang w:eastAsia="en-US"/>
        </w:rPr>
        <w:t>level geographies does not necessarily provide good estimates at every reduction in scale. Ideally, population mode</w:t>
      </w:r>
      <w:r w:rsidR="0004073F">
        <w:rPr>
          <w:lang w:eastAsia="en-US"/>
        </w:rPr>
        <w:t>l</w:t>
      </w:r>
      <w:r w:rsidRPr="009674D2">
        <w:rPr>
          <w:lang w:eastAsia="en-US"/>
        </w:rPr>
        <w:t>ling should (also) be conducted at the level it is intended to be used (e.g. at shire level). Also</w:t>
      </w:r>
      <w:r w:rsidR="00034AC7">
        <w:rPr>
          <w:lang w:eastAsia="en-US"/>
        </w:rPr>
        <w:t>,</w:t>
      </w:r>
      <w:r w:rsidRPr="009674D2">
        <w:rPr>
          <w:lang w:eastAsia="en-US"/>
        </w:rPr>
        <w:t xml:space="preserve"> ideally, this should involve the application of local data and intelligence on components of population change. The top–down nature of existing estimation methodology which generates small area estimates from large area parameters is effectively the opposite of this ideal approach.</w:t>
      </w:r>
    </w:p>
    <w:p w:rsidR="004059E5" w:rsidRPr="009674D2" w:rsidRDefault="004059E5" w:rsidP="00941A76">
      <w:pPr>
        <w:pStyle w:val="BodyText"/>
        <w:rPr>
          <w:lang w:eastAsia="en-US"/>
        </w:rPr>
      </w:pPr>
      <w:r w:rsidRPr="009674D2">
        <w:rPr>
          <w:lang w:eastAsia="en-US"/>
        </w:rPr>
        <w:t xml:space="preserve">A second, and related, point is </w:t>
      </w:r>
      <w:r w:rsidR="00013719" w:rsidRPr="003A4E8B">
        <w:rPr>
          <w:lang w:eastAsia="en-US"/>
        </w:rPr>
        <w:t xml:space="preserve">that </w:t>
      </w:r>
      <w:r w:rsidR="00013719" w:rsidRPr="003A4E8B">
        <w:rPr>
          <w:i/>
          <w:lang w:eastAsia="en-US"/>
        </w:rPr>
        <w:t>standard errors</w:t>
      </w:r>
      <w:r w:rsidR="00013719" w:rsidRPr="003A4E8B">
        <w:rPr>
          <w:lang w:eastAsia="en-US"/>
        </w:rPr>
        <w:t xml:space="preserve"> for</w:t>
      </w:r>
      <w:r w:rsidRPr="009674D2">
        <w:rPr>
          <w:lang w:eastAsia="en-US"/>
        </w:rPr>
        <w:t xml:space="preserve"> small area level population estimates have not been made available to date and so we have no measure of their reliability. In short, because of the nature of the methodology applied, small area Indigenous estimates appear ill-suited for local/regional needs assessment. Even applying state-level standard errors, they emerge as crude ballpark figures that are difficult to interpret over time. Ultimately, the main route to better Indigenous estimates is via improved enumeration. While significant additional resources were provided to the ABS for the 2011 Census to achieve this, (surprisingly) the </w:t>
      </w:r>
      <w:r w:rsidR="003A4E8B">
        <w:rPr>
          <w:lang w:eastAsia="en-US"/>
        </w:rPr>
        <w:t>Post Enumeration Survey</w:t>
      </w:r>
      <w:r w:rsidRPr="009674D2">
        <w:rPr>
          <w:lang w:eastAsia="en-US"/>
        </w:rPr>
        <w:t xml:space="preserve"> estimate of net undercount was still very substantial. </w:t>
      </w:r>
    </w:p>
    <w:p w:rsidR="004059E5" w:rsidRPr="009674D2" w:rsidRDefault="005E6057" w:rsidP="009674D2">
      <w:pPr>
        <w:pStyle w:val="Heading2"/>
      </w:pPr>
      <w:r>
        <w:lastRenderedPageBreak/>
        <w:t>8.5</w:t>
      </w:r>
      <w:r w:rsidR="009674D2">
        <w:tab/>
      </w:r>
      <w:r w:rsidR="004059E5" w:rsidRPr="009674D2">
        <w:t>Mobility and service populations</w:t>
      </w:r>
    </w:p>
    <w:p w:rsidR="004059E5" w:rsidRPr="009674D2" w:rsidRDefault="004059E5" w:rsidP="00941A76">
      <w:pPr>
        <w:pStyle w:val="BodyText"/>
        <w:rPr>
          <w:lang w:eastAsia="en-US"/>
        </w:rPr>
      </w:pPr>
      <w:r w:rsidRPr="009674D2">
        <w:rPr>
          <w:lang w:eastAsia="en-US"/>
        </w:rPr>
        <w:t xml:space="preserve">Census data indicate that Indigenous people are more frequently mobile than the rest of the population over the short term. Ethnographic studies support this finding but they also tell us that formal instruments for measuring mobility are likely to grossly understate the extent of this difference. Much movement is irregular, unpredictable and takes place on back roads, out of sight and out of mind (Taylor 2010). While administrative processes may pick up elements of such movement (for example, Centrelink change of address information) there is an unnerving sense of being inadequately informed. This has several consequences for policy. </w:t>
      </w:r>
    </w:p>
    <w:p w:rsidR="004059E5" w:rsidRPr="009674D2" w:rsidRDefault="004059E5" w:rsidP="00941A76">
      <w:pPr>
        <w:pStyle w:val="BodyText"/>
        <w:rPr>
          <w:lang w:eastAsia="en-US"/>
        </w:rPr>
      </w:pPr>
      <w:r w:rsidRPr="009674D2">
        <w:rPr>
          <w:lang w:eastAsia="en-US"/>
        </w:rPr>
        <w:t>First of all, it undermines the accurate measurement of population at individual locations, especially in terms of usual resident numbers. Second, it means that it is difficult to assess the impact of place-based initiatives (such as improvements in housing) on individuals and families since the intended beneficiaries are not necessarily in situ. Finally, it raises questions regarding causality in terms of rates of participation, especially in remote areas. For example, are rates of school attendance low because children are mobile, or are children mobile because they do not attend school (Taylor 2012)</w:t>
      </w:r>
      <w:r w:rsidR="0004073F">
        <w:rPr>
          <w:lang w:eastAsia="en-US"/>
        </w:rPr>
        <w:t>?</w:t>
      </w:r>
      <w:r w:rsidRPr="009674D2">
        <w:rPr>
          <w:lang w:eastAsia="en-US"/>
        </w:rPr>
        <w:t xml:space="preserve"> </w:t>
      </w:r>
    </w:p>
    <w:p w:rsidR="004059E5" w:rsidRPr="009674D2" w:rsidRDefault="004059E5" w:rsidP="00941A76">
      <w:pPr>
        <w:pStyle w:val="BodyText"/>
        <w:rPr>
          <w:lang w:eastAsia="en-US"/>
        </w:rPr>
      </w:pPr>
      <w:r w:rsidRPr="009674D2">
        <w:rPr>
          <w:lang w:eastAsia="en-US"/>
        </w:rPr>
        <w:t>One way to incorporate the fact of mobility into policy development is to identify and utili</w:t>
      </w:r>
      <w:r w:rsidR="00FD032A">
        <w:rPr>
          <w:lang w:eastAsia="en-US"/>
        </w:rPr>
        <w:t>s</w:t>
      </w:r>
      <w:r w:rsidRPr="009674D2">
        <w:rPr>
          <w:lang w:eastAsia="en-US"/>
        </w:rPr>
        <w:t>e service populations as the primary target group</w:t>
      </w:r>
      <w:r w:rsidR="00B257E0">
        <w:rPr>
          <w:lang w:eastAsia="en-US"/>
        </w:rPr>
        <w:t xml:space="preserve"> </w:t>
      </w:r>
      <w:r w:rsidRPr="009674D2">
        <w:rPr>
          <w:lang w:eastAsia="en-US"/>
        </w:rPr>
        <w:t>—</w:t>
      </w:r>
      <w:r w:rsidR="00B257E0">
        <w:rPr>
          <w:lang w:eastAsia="en-US"/>
        </w:rPr>
        <w:t xml:space="preserve"> </w:t>
      </w:r>
      <w:r w:rsidRPr="009674D2">
        <w:rPr>
          <w:lang w:eastAsia="en-US"/>
        </w:rPr>
        <w:t>the hub and spokes model of Northern Territory growth towns provides a practical example of this. However, much more needs to be done to identify service population catchments, not least because these will vary for different services. A major constraint here remains lack of access to geo-coded administrative data sets (often State and Territory controlled). While there are GIS techniques available to process such data, the mechanisms to make use of them are not.</w:t>
      </w:r>
    </w:p>
    <w:p w:rsidR="004059E5" w:rsidRPr="009674D2" w:rsidRDefault="004059E5" w:rsidP="00941A76">
      <w:pPr>
        <w:pStyle w:val="BodyText"/>
        <w:rPr>
          <w:lang w:eastAsia="en-US"/>
        </w:rPr>
      </w:pPr>
      <w:r w:rsidRPr="009674D2">
        <w:rPr>
          <w:lang w:eastAsia="en-US"/>
        </w:rPr>
        <w:t xml:space="preserve">All of this raises fundamental issues of access and equity with regard to the provision of services. For example, if the residence pattern of many Indigenous people is best described as bi-local or even multi-local (Taylor 1998; Taylor and Bell 2004), in which location are services legitimately claimed? Alternatively, should services be replicated to cater for frequent movement between places? If urban areas are net recipients of temporary sojourners from rural areas (as they are), should urban services be augmented to compensate for additional loads? Although this does occur to some extent through the provision of facilities such as hostel accommodation, what of the pressure on housing in town camps and suburban areas that frequently host visitors? At the very least, in planning for service provision, recognition needs to be given to the role that central places fulfil on behalf of adjacent hinterlands. Estimations of population in these catchments can be achieved </w:t>
      </w:r>
      <w:r w:rsidRPr="009674D2">
        <w:rPr>
          <w:lang w:eastAsia="en-US"/>
        </w:rPr>
        <w:lastRenderedPageBreak/>
        <w:t>using administrative data as long as these are made available</w:t>
      </w:r>
      <w:r w:rsidR="0004073F">
        <w:rPr>
          <w:lang w:eastAsia="en-US"/>
        </w:rPr>
        <w:t>;</w:t>
      </w:r>
      <w:r w:rsidRPr="009674D2">
        <w:rPr>
          <w:lang w:eastAsia="en-US"/>
        </w:rPr>
        <w:t xml:space="preserve"> so too can spatio-temporal flows if geo-coded unit record data are accessible. </w:t>
      </w:r>
    </w:p>
    <w:p w:rsidR="004059E5" w:rsidRPr="009674D2" w:rsidRDefault="005E6057" w:rsidP="009674D2">
      <w:pPr>
        <w:pStyle w:val="Heading2"/>
      </w:pPr>
      <w:r>
        <w:t>8.6</w:t>
      </w:r>
      <w:r w:rsidR="009674D2">
        <w:tab/>
      </w:r>
      <w:r w:rsidR="004059E5" w:rsidRPr="009674D2">
        <w:t>Which population, which indicators?</w:t>
      </w:r>
    </w:p>
    <w:p w:rsidR="004059E5" w:rsidRPr="009674D2" w:rsidRDefault="004059E5" w:rsidP="00941A76">
      <w:pPr>
        <w:pStyle w:val="BodyText"/>
        <w:rPr>
          <w:lang w:eastAsia="en-US"/>
        </w:rPr>
      </w:pPr>
      <w:r w:rsidRPr="009674D2">
        <w:rPr>
          <w:lang w:eastAsia="en-US"/>
        </w:rPr>
        <w:t>A significant irony is emerging in regard to the collection of social statistics on Indigenous peoples. As we have seen, at no time has there been such a volume and range of data on something called ‘the Indigenous population’ and yet there remains a dearth of information on the various sociocultural entities that make up that population. As a consequence, in matters that are crucial to the interests of variously constituted Indigenous polities, we are increasingly information rich but invariably knowledge poor. So much so, in fact, that one prominent Aboriginal leader was compelled to observe at a recent conference on the National Aboriginal and Torres Strait Islander Social Survey:</w:t>
      </w:r>
    </w:p>
    <w:p w:rsidR="004059E5" w:rsidRPr="009674D2" w:rsidRDefault="004059E5" w:rsidP="009674D2">
      <w:pPr>
        <w:pStyle w:val="Quote"/>
        <w:rPr>
          <w:lang w:eastAsia="en-US"/>
        </w:rPr>
      </w:pPr>
      <w:r w:rsidRPr="009674D2">
        <w:rPr>
          <w:lang w:eastAsia="en-US"/>
        </w:rPr>
        <w:t xml:space="preserve">The view I have about data is a long way from the current paradigm where data is collected on Indigenous society by governments for their purposes, not to support the objectives that Indigenous people want to determine. I share a pervasive Indigenous aversion to the way data is collected by governments, academics or professional researchers on or about Aboriginal people </w:t>
      </w:r>
      <w:r w:rsidR="00FD032A">
        <w:rPr>
          <w:lang w:eastAsia="en-US"/>
        </w:rPr>
        <w:t xml:space="preserve">… </w:t>
      </w:r>
      <w:r w:rsidRPr="009674D2">
        <w:rPr>
          <w:lang w:eastAsia="en-US"/>
        </w:rPr>
        <w:t>despite the wealth of empirical data dished up by countless inquiries, Royal Commissions and research projects over many decades about the social and economic condition of Aboriginal society, little practical benefit seems to come from all this data. Th[e] categories are constructed in the imagination of the Australian nation state. They are not geographic, social or cultural spaces that have relevance to Aboriginal people</w:t>
      </w:r>
      <w:r w:rsidR="00941A76">
        <w:rPr>
          <w:lang w:eastAsia="en-US"/>
        </w:rPr>
        <w:t>.</w:t>
      </w:r>
      <w:r w:rsidRPr="009674D2">
        <w:rPr>
          <w:lang w:eastAsia="en-US"/>
        </w:rPr>
        <w:t xml:space="preserve"> </w:t>
      </w:r>
      <w:r w:rsidR="00941A76">
        <w:rPr>
          <w:lang w:eastAsia="en-US"/>
        </w:rPr>
        <w:t>(Yu 2011)</w:t>
      </w:r>
    </w:p>
    <w:p w:rsidR="004059E5" w:rsidRPr="009674D2" w:rsidRDefault="004059E5" w:rsidP="00941A76">
      <w:pPr>
        <w:pStyle w:val="BodyText"/>
      </w:pPr>
      <w:r w:rsidRPr="009674D2">
        <w:t xml:space="preserve">Invariably, census, survey and administrative data are only available according to statistical units based on ABS geographic classifications such as the Australian Standard Geographic Classification and the Australian Indigenous Geographic Classification. These rarely, if at all, coincide with the distribution of populations linked by cognatic descent and proprietary rights. Consequently, formal statistical geographies are unlikely to provide for demographies of Indigenous polities that have rights and interests in particular places (Sutton 2003; Tehan </w:t>
      </w:r>
      <w:r w:rsidRPr="00281460">
        <w:rPr>
          <w:i/>
        </w:rPr>
        <w:t>et al</w:t>
      </w:r>
      <w:r w:rsidRPr="009674D2">
        <w:t>. 2006</w:t>
      </w:r>
      <w:r w:rsidR="007028E3">
        <w:t>,</w:t>
      </w:r>
      <w:r w:rsidRPr="009674D2">
        <w:t xml:space="preserve"> </w:t>
      </w:r>
      <w:r w:rsidR="007028E3">
        <w:t xml:space="preserve">p. </w:t>
      </w:r>
      <w:r w:rsidRPr="009674D2">
        <w:t xml:space="preserve">3), although innovation in the use of mesh blocks should provide more flexibility here. </w:t>
      </w:r>
    </w:p>
    <w:p w:rsidR="004059E5" w:rsidRPr="009674D2" w:rsidRDefault="004059E5" w:rsidP="00941A76">
      <w:pPr>
        <w:pStyle w:val="BodyText"/>
      </w:pPr>
      <w:r w:rsidRPr="009674D2">
        <w:t>In many ways the issue at stake presents an important reflection on the distinction between the officially</w:t>
      </w:r>
      <w:r w:rsidR="0004073F">
        <w:t xml:space="preserve"> </w:t>
      </w:r>
      <w:r w:rsidRPr="009674D2">
        <w:t>identified Indigenous ‘population’, on the one hand, and Indigenous ‘peoples’ on the other (Taylor 2009; Rowse 2012). The demography of officially</w:t>
      </w:r>
      <w:r w:rsidR="0004073F">
        <w:t xml:space="preserve"> </w:t>
      </w:r>
      <w:r w:rsidRPr="009674D2">
        <w:t>identified Indigenous populations is best suited to the provision of citizen rights. What it does not provide for are Indigenous interests in inherent and proprietary rights, in particular over land. Approximately 41</w:t>
      </w:r>
      <w:r w:rsidR="008D50F2">
        <w:t xml:space="preserve"> per cent</w:t>
      </w:r>
      <w:r w:rsidRPr="009674D2">
        <w:t xml:space="preserve"> of the Australian continent is currently held under some form of Indigenous land tenure whilst a further 31</w:t>
      </w:r>
      <w:r w:rsidR="008D50F2">
        <w:t xml:space="preserve"> per cent</w:t>
      </w:r>
      <w:r w:rsidRPr="009674D2">
        <w:t xml:space="preserve"> has passed the registration test for Native Title. In 2011, </w:t>
      </w:r>
      <w:r w:rsidRPr="009674D2">
        <w:lastRenderedPageBreak/>
        <w:t>these areas incorporated up to 45</w:t>
      </w:r>
      <w:r w:rsidR="008D50F2">
        <w:t xml:space="preserve"> per cent</w:t>
      </w:r>
      <w:r w:rsidRPr="009674D2">
        <w:t xml:space="preserve"> of the Indigenous population. These figures are inevitably vague since, remarkably, there remains no reliable single real</w:t>
      </w:r>
      <w:r w:rsidR="0082216D">
        <w:t>-</w:t>
      </w:r>
      <w:r w:rsidRPr="009674D2">
        <w:t>time national authoritative database that can indicate the quantum of land held under Indigenous title or that is subject to some form of legal Indigenous special interest. The fact of Indigenous interest in land is undeniable</w:t>
      </w:r>
      <w:r w:rsidR="00B257E0">
        <w:t xml:space="preserve"> </w:t>
      </w:r>
      <w:r w:rsidRPr="009674D2">
        <w:t>—</w:t>
      </w:r>
      <w:r w:rsidR="00B257E0">
        <w:t xml:space="preserve"> </w:t>
      </w:r>
      <w:r w:rsidRPr="009674D2">
        <w:t xml:space="preserve">in the 2008 </w:t>
      </w:r>
      <w:r w:rsidR="00DA68B4" w:rsidRPr="00DA68B4">
        <w:t>National Aboriginal and Torres Strait Islander Social Survey</w:t>
      </w:r>
      <w:r w:rsidR="00DA68B4">
        <w:t xml:space="preserve"> (</w:t>
      </w:r>
      <w:r w:rsidRPr="009674D2">
        <w:t>NATSISS</w:t>
      </w:r>
      <w:r w:rsidR="00DA68B4">
        <w:t>)</w:t>
      </w:r>
      <w:r w:rsidRPr="009674D2">
        <w:t xml:space="preserve">, for example, two-thirds (62 per cent) of the Indigenous population indicated that they identified with a clan or language group and as many as three quarters (74 per cent) recognised an area as their homeland or traditional country. </w:t>
      </w:r>
    </w:p>
    <w:p w:rsidR="004059E5" w:rsidRPr="009674D2" w:rsidRDefault="004059E5" w:rsidP="00941A76">
      <w:pPr>
        <w:pStyle w:val="BodyText"/>
      </w:pPr>
      <w:r w:rsidRPr="009674D2">
        <w:t>Across much of the continent, then, there is a growing discrepancy between the best-intentioned of statistical output frameworks and the actual needs of Indigenous land</w:t>
      </w:r>
      <w:r w:rsidR="00281460">
        <w:t>-</w:t>
      </w:r>
      <w:r w:rsidRPr="009674D2">
        <w:t>holding groups for an ethnographically</w:t>
      </w:r>
      <w:r w:rsidR="00DA68B4">
        <w:t xml:space="preserve"> </w:t>
      </w:r>
      <w:r w:rsidRPr="009674D2">
        <w:t>informed demography suited to their needs for managing the Indigenous estate and its associated constituencies. While a demography of Indigenous ‘population’ may be well suited to the provision of citizen rights, what it does not provide for are Indigenous interests in inherent and proprietary rights manifest in the many forms of native title settlement and agreement that form the major structural element of public life in contemporary Indigenous society. These structures provide the means by which Indigenous peoples express collective identities and seek to negotiate for their needs and aspirations</w:t>
      </w:r>
      <w:r w:rsidR="00DA68B4">
        <w:t>,</w:t>
      </w:r>
      <w:r w:rsidRPr="009674D2">
        <w:t xml:space="preserve"> including fundamental issues of recognition, inclusion and economic opportunity (Tehan </w:t>
      </w:r>
      <w:r w:rsidRPr="00281460">
        <w:rPr>
          <w:i/>
        </w:rPr>
        <w:t>et al</w:t>
      </w:r>
      <w:r w:rsidRPr="009674D2">
        <w:t>. 2006</w:t>
      </w:r>
      <w:r w:rsidR="0082216D">
        <w:t>, p.</w:t>
      </w:r>
      <w:r w:rsidRPr="009674D2">
        <w:t xml:space="preserve"> 3) and yet we have no data mechanisms to inform or evaluate them. This void is slowly being filled by Indigenous groups themselves and a recent household survey conducted by and for Yawuru Native Title holders in Broome provides an excellent example (Taylor </w:t>
      </w:r>
      <w:r w:rsidRPr="00281460">
        <w:rPr>
          <w:i/>
        </w:rPr>
        <w:t>et al</w:t>
      </w:r>
      <w:r w:rsidRPr="009674D2">
        <w:t xml:space="preserve">. 2012). </w:t>
      </w:r>
    </w:p>
    <w:p w:rsidR="004059E5" w:rsidRPr="009674D2" w:rsidRDefault="004059E5" w:rsidP="00941A76">
      <w:pPr>
        <w:pStyle w:val="BodyText"/>
        <w:rPr>
          <w:lang w:eastAsia="en-US"/>
        </w:rPr>
      </w:pPr>
      <w:r w:rsidRPr="009674D2">
        <w:rPr>
          <w:lang w:eastAsia="en-US"/>
        </w:rPr>
        <w:t>The fact is, groups such as the Yawuru are now institutional players and they increasingly demand information based on how they themselves view their social and economic world and how they see opportunities and constraints towards the achievement of goals that they define. What they seek from government is just a reminder of gaps in outcomes but also support for capacity building in their compilation and use of customised data as a means of promoting their full and effective participation in local governance and development planning. In the post-land rights</w:t>
      </w:r>
      <w:r w:rsidR="00DA68B4">
        <w:rPr>
          <w:lang w:eastAsia="en-US"/>
        </w:rPr>
        <w:t xml:space="preserve"> – </w:t>
      </w:r>
      <w:r w:rsidRPr="009674D2">
        <w:rPr>
          <w:lang w:eastAsia="en-US"/>
        </w:rPr>
        <w:t>native title era, Indigenous organisations have responsibilities to their own constituents and they require unique data resources to fulfil them.</w:t>
      </w:r>
    </w:p>
    <w:p w:rsidR="004059E5" w:rsidRPr="009674D2" w:rsidRDefault="004059E5" w:rsidP="00BA25DA">
      <w:pPr>
        <w:pStyle w:val="BodyText"/>
        <w:rPr>
          <w:lang w:eastAsia="en-US"/>
        </w:rPr>
      </w:pPr>
      <w:r w:rsidRPr="009674D2">
        <w:rPr>
          <w:lang w:eastAsia="en-US"/>
        </w:rPr>
        <w:t xml:space="preserve">Significantly, such aspirations are now codified as rights in the </w:t>
      </w:r>
      <w:r w:rsidR="00013719" w:rsidRPr="00281460">
        <w:rPr>
          <w:i/>
          <w:iCs/>
          <w:lang w:eastAsia="en-US"/>
        </w:rPr>
        <w:t>United Nations Declaration on the Rights of Indigenous Peoples</w:t>
      </w:r>
      <w:r w:rsidRPr="009674D2">
        <w:rPr>
          <w:lang w:eastAsia="en-US"/>
        </w:rPr>
        <w:t xml:space="preserve"> and it is not surprising that Indigenous peoples and signatory governments around the world have started to contemplate what exactly their endorsement of the Declaration might mean for the usual practice of government business. Discussion at the UN on this matter continues to focus around Article 42 of the Declaration and the so-called </w:t>
      </w:r>
      <w:r w:rsidRPr="009674D2">
        <w:rPr>
          <w:lang w:eastAsia="en-US"/>
        </w:rPr>
        <w:lastRenderedPageBreak/>
        <w:t>‘implementation gap’, where even good intentions by states in the form of legislative and administrative initiatives fail to facilitate the enjoyment of rights (Malezer 2009). I would argue that this extends to the what, how and why of information gathering.</w:t>
      </w:r>
    </w:p>
    <w:p w:rsidR="004059E5" w:rsidRPr="009674D2" w:rsidRDefault="004059E5" w:rsidP="00941A76">
      <w:pPr>
        <w:pStyle w:val="BodyText"/>
      </w:pPr>
      <w:r w:rsidRPr="009674D2">
        <w:t xml:space="preserve">In this regard, it is worth noting that from 1990 to 2005 there were some formal checks and balances on government activity in </w:t>
      </w:r>
      <w:r w:rsidR="00BA25DA">
        <w:t xml:space="preserve">the </w:t>
      </w:r>
      <w:r w:rsidRPr="009674D2">
        <w:t>area of Indigenous data collection. As a national and regional representative organi</w:t>
      </w:r>
      <w:r w:rsidR="00FD032A">
        <w:t>s</w:t>
      </w:r>
      <w:r w:rsidRPr="009674D2">
        <w:t xml:space="preserve">ation, </w:t>
      </w:r>
      <w:r w:rsidR="00BA25DA">
        <w:t>the Aboriginal and Torres Strait Islander Commission (</w:t>
      </w:r>
      <w:r w:rsidRPr="009674D2">
        <w:t>ATSIC</w:t>
      </w:r>
      <w:r w:rsidR="00BA25DA">
        <w:t>)</w:t>
      </w:r>
      <w:r w:rsidRPr="009674D2">
        <w:t xml:space="preserve"> had at least some statutory role in vetting and influencing the Indigenous data collection and analysis activities of the ABS and other government agencies. Thus, the abolition of ATSIC in 2004 involved the extinguishment of an important representative validating environment for statistical data collection and dissemination. With this now gone, the question arises as to who governments should</w:t>
      </w:r>
      <w:r w:rsidR="00BA25DA">
        <w:t xml:space="preserve"> and </w:t>
      </w:r>
      <w:r w:rsidRPr="009674D2">
        <w:t>could engage with in order to ensure Indigenous input and legitimi</w:t>
      </w:r>
      <w:r w:rsidR="00FD032A">
        <w:t>s</w:t>
      </w:r>
      <w:r w:rsidRPr="009674D2">
        <w:t xml:space="preserve">ation for its reporting framework. I am aware that the Productivity Commission consults with ‘Indigenous people’ in preparing its OID </w:t>
      </w:r>
      <w:r w:rsidR="00BA25DA">
        <w:t>r</w:t>
      </w:r>
      <w:r w:rsidRPr="009674D2">
        <w:t>eport, although precisely with who and how is less clear. I am also aware that COAG seeks legitimi</w:t>
      </w:r>
      <w:r w:rsidR="00FD032A">
        <w:t>s</w:t>
      </w:r>
      <w:r w:rsidRPr="009674D2">
        <w:t xml:space="preserve">ation and a method for what it is calling participatory data collection at some Remote Service Delivery sites. It is true also that the ABS has Indigenous Engagement Officers and Local Engagement Officers and the </w:t>
      </w:r>
      <w:r w:rsidR="00EE6E6F">
        <w:t>Longitudinal Study of Indigenous Children</w:t>
      </w:r>
      <w:r w:rsidRPr="009674D2">
        <w:t xml:space="preserve">, NATSISS and similar surveys all have Indigenous expert advice. What is less clear is whether all of this satisfies the intent of the </w:t>
      </w:r>
      <w:r w:rsidR="00EE6E6F">
        <w:t xml:space="preserve">UN </w:t>
      </w:r>
      <w:r w:rsidRPr="009674D2">
        <w:t>Declaration that claims to point the way to better Indigenous policies.</w:t>
      </w:r>
    </w:p>
    <w:p w:rsidR="004059E5" w:rsidRPr="009674D2" w:rsidRDefault="004059E5" w:rsidP="009674D2">
      <w:pPr>
        <w:pStyle w:val="Heading2"/>
      </w:pPr>
      <w:r w:rsidRPr="009674D2">
        <w:t>References</w:t>
      </w:r>
    </w:p>
    <w:p w:rsidR="004059E5" w:rsidRPr="009674D2" w:rsidRDefault="00E32E78" w:rsidP="004059E5">
      <w:pPr>
        <w:pStyle w:val="Reference"/>
        <w:rPr>
          <w:i/>
          <w:iCs/>
          <w:lang w:eastAsia="en-US"/>
        </w:rPr>
      </w:pPr>
      <w:r>
        <w:rPr>
          <w:lang w:eastAsia="en-US"/>
        </w:rPr>
        <w:t>ABS (</w:t>
      </w:r>
      <w:r w:rsidR="004059E5" w:rsidRPr="009674D2">
        <w:rPr>
          <w:lang w:eastAsia="en-US"/>
        </w:rPr>
        <w:t>Australian Bureau of Statistics) 2007</w:t>
      </w:r>
      <w:r w:rsidR="00EE6E6F">
        <w:rPr>
          <w:lang w:eastAsia="en-US"/>
        </w:rPr>
        <w:t>,</w:t>
      </w:r>
      <w:r w:rsidR="004059E5" w:rsidRPr="009674D2">
        <w:rPr>
          <w:lang w:eastAsia="en-US"/>
        </w:rPr>
        <w:t xml:space="preserve"> </w:t>
      </w:r>
      <w:r w:rsidR="004059E5" w:rsidRPr="009674D2">
        <w:rPr>
          <w:i/>
          <w:iCs/>
          <w:lang w:eastAsia="en-US"/>
        </w:rPr>
        <w:t>ABS Directions in Aboriginal and Torres Strait Islander Statistics</w:t>
      </w:r>
      <w:r w:rsidR="004059E5" w:rsidRPr="009674D2">
        <w:rPr>
          <w:lang w:eastAsia="en-US"/>
        </w:rPr>
        <w:t xml:space="preserve">, Cat </w:t>
      </w:r>
      <w:r w:rsidR="00EE6E6F">
        <w:rPr>
          <w:lang w:eastAsia="en-US"/>
        </w:rPr>
        <w:t>n</w:t>
      </w:r>
      <w:r w:rsidR="004059E5" w:rsidRPr="009674D2">
        <w:rPr>
          <w:lang w:eastAsia="en-US"/>
        </w:rPr>
        <w:t>o.</w:t>
      </w:r>
      <w:r w:rsidR="004059E5" w:rsidRPr="009674D2">
        <w:rPr>
          <w:i/>
          <w:iCs/>
          <w:lang w:eastAsia="en-US"/>
        </w:rPr>
        <w:t xml:space="preserve"> </w:t>
      </w:r>
      <w:r w:rsidR="004059E5" w:rsidRPr="009674D2">
        <w:rPr>
          <w:lang w:eastAsia="en-US"/>
        </w:rPr>
        <w:t>4700.0, ABS, Canberra.</w:t>
      </w:r>
    </w:p>
    <w:p w:rsidR="00295CAF" w:rsidRDefault="00295CAF" w:rsidP="004059E5">
      <w:pPr>
        <w:pStyle w:val="Reference"/>
      </w:pPr>
      <w:r w:rsidRPr="009674D2">
        <w:rPr>
          <w:lang w:eastAsia="en-US"/>
        </w:rPr>
        <w:t xml:space="preserve">The Australian Statistician </w:t>
      </w:r>
      <w:r>
        <w:rPr>
          <w:lang w:eastAsia="en-US"/>
        </w:rPr>
        <w:t xml:space="preserve">2005, address to </w:t>
      </w:r>
      <w:r w:rsidRPr="009674D2">
        <w:rPr>
          <w:lang w:eastAsia="en-US"/>
        </w:rPr>
        <w:t xml:space="preserve">National Press Club, </w:t>
      </w:r>
      <w:r>
        <w:rPr>
          <w:lang w:eastAsia="en-US"/>
        </w:rPr>
        <w:t xml:space="preserve">Canberra, </w:t>
      </w:r>
      <w:r w:rsidRPr="009674D2">
        <w:rPr>
          <w:lang w:eastAsia="en-US"/>
        </w:rPr>
        <w:t>9 March 2005</w:t>
      </w:r>
      <w:r>
        <w:rPr>
          <w:lang w:eastAsia="en-US"/>
        </w:rPr>
        <w:t>.</w:t>
      </w:r>
    </w:p>
    <w:p w:rsidR="004059E5" w:rsidRPr="009674D2" w:rsidRDefault="004059E5" w:rsidP="004059E5">
      <w:pPr>
        <w:pStyle w:val="Reference"/>
      </w:pPr>
      <w:r w:rsidRPr="009674D2">
        <w:t>Biddle, N. and Taylor, J. 2012</w:t>
      </w:r>
      <w:r w:rsidR="00BA4E89">
        <w:t>,</w:t>
      </w:r>
      <w:r w:rsidRPr="009674D2">
        <w:t xml:space="preserve"> ‘Demographic consequences of the “Closing the Gap” Indigenous policy in Australia’, </w:t>
      </w:r>
      <w:r w:rsidRPr="009674D2">
        <w:rPr>
          <w:i/>
        </w:rPr>
        <w:t>Population Research and Policy Review</w:t>
      </w:r>
      <w:r w:rsidRPr="009674D2">
        <w:t xml:space="preserve">, </w:t>
      </w:r>
      <w:r w:rsidR="00BA4E89">
        <w:t xml:space="preserve">vol. </w:t>
      </w:r>
      <w:r w:rsidRPr="009674D2">
        <w:t>31</w:t>
      </w:r>
      <w:r w:rsidR="00663BF6">
        <w:t>,</w:t>
      </w:r>
      <w:r w:rsidRPr="009674D2">
        <w:t xml:space="preserve"> </w:t>
      </w:r>
      <w:r w:rsidR="00BA4E89">
        <w:t xml:space="preserve">no. </w:t>
      </w:r>
      <w:r w:rsidRPr="009674D2">
        <w:t>4</w:t>
      </w:r>
      <w:r w:rsidR="00BA4E89">
        <w:t>,</w:t>
      </w:r>
      <w:r w:rsidRPr="009674D2">
        <w:t xml:space="preserve"> </w:t>
      </w:r>
      <w:r w:rsidR="00663BF6">
        <w:t xml:space="preserve">pp. </w:t>
      </w:r>
      <w:r w:rsidRPr="009674D2">
        <w:t>571–85.</w:t>
      </w:r>
    </w:p>
    <w:p w:rsidR="004059E5" w:rsidRPr="009674D2" w:rsidRDefault="00E32E78" w:rsidP="004059E5">
      <w:pPr>
        <w:pStyle w:val="Reference"/>
        <w:rPr>
          <w:lang w:eastAsia="en-US"/>
        </w:rPr>
      </w:pPr>
      <w:r>
        <w:rPr>
          <w:lang w:eastAsia="en-US"/>
        </w:rPr>
        <w:t>DANIDA (</w:t>
      </w:r>
      <w:r w:rsidR="004059E5" w:rsidRPr="009674D2">
        <w:rPr>
          <w:lang w:eastAsia="en-US"/>
        </w:rPr>
        <w:t>Danish International Development Agency) 2004</w:t>
      </w:r>
      <w:r w:rsidR="00BA4E89">
        <w:rPr>
          <w:lang w:eastAsia="en-US"/>
        </w:rPr>
        <w:t>,</w:t>
      </w:r>
      <w:r w:rsidR="004059E5" w:rsidRPr="009674D2">
        <w:rPr>
          <w:lang w:eastAsia="en-US"/>
        </w:rPr>
        <w:t xml:space="preserve"> </w:t>
      </w:r>
      <w:r w:rsidR="004059E5" w:rsidRPr="009674D2">
        <w:rPr>
          <w:i/>
          <w:lang w:eastAsia="en-US"/>
        </w:rPr>
        <w:t>Tool Kit: Best Practices for Including Indigenous Peoples in Sector Programme Support</w:t>
      </w:r>
      <w:r w:rsidR="004059E5" w:rsidRPr="009674D2">
        <w:rPr>
          <w:lang w:eastAsia="en-US"/>
        </w:rPr>
        <w:t>, Royal Danish Ministry of Foreign Affairs, Copenhagen.</w:t>
      </w:r>
    </w:p>
    <w:p w:rsidR="004059E5" w:rsidRPr="009674D2" w:rsidRDefault="004059E5" w:rsidP="004059E5">
      <w:pPr>
        <w:pStyle w:val="Reference"/>
      </w:pPr>
      <w:r w:rsidRPr="009674D2">
        <w:t>Gray, A. 2002</w:t>
      </w:r>
      <w:r w:rsidR="00BA4E89">
        <w:t>,</w:t>
      </w:r>
      <w:r w:rsidRPr="009674D2">
        <w:t xml:space="preserve"> ‘The future history of Aboriginal families’, in G. Briscoe and L. Smith (eds),</w:t>
      </w:r>
      <w:r w:rsidRPr="009674D2">
        <w:rPr>
          <w:i/>
        </w:rPr>
        <w:t xml:space="preserve"> The Aboriginal Population Revisited: 70,000 Years to the Present</w:t>
      </w:r>
      <w:r w:rsidRPr="009674D2">
        <w:t xml:space="preserve">, Aboriginal History Monograph </w:t>
      </w:r>
      <w:r w:rsidR="00E32E78">
        <w:t>n</w:t>
      </w:r>
      <w:r w:rsidRPr="009674D2">
        <w:t>o. 10, Aboriginal History Inc., Canberra.</w:t>
      </w:r>
    </w:p>
    <w:p w:rsidR="004059E5" w:rsidRPr="009674D2" w:rsidRDefault="00281460" w:rsidP="004059E5">
      <w:pPr>
        <w:pStyle w:val="Reference"/>
        <w:rPr>
          <w:lang w:eastAsia="en-US"/>
        </w:rPr>
      </w:pPr>
      <w:r>
        <w:rPr>
          <w:lang w:eastAsia="en-US"/>
        </w:rPr>
        <w:lastRenderedPageBreak/>
        <w:t>——</w:t>
      </w:r>
      <w:r w:rsidR="004059E5" w:rsidRPr="009674D2">
        <w:rPr>
          <w:lang w:eastAsia="en-US"/>
        </w:rPr>
        <w:t xml:space="preserve"> and Tesfaghiorghis, H. 1991</w:t>
      </w:r>
      <w:r w:rsidR="00BA4E89">
        <w:rPr>
          <w:lang w:eastAsia="en-US"/>
        </w:rPr>
        <w:t>,</w:t>
      </w:r>
      <w:r w:rsidR="004059E5" w:rsidRPr="009674D2">
        <w:rPr>
          <w:lang w:eastAsia="en-US"/>
        </w:rPr>
        <w:t xml:space="preserve"> </w:t>
      </w:r>
      <w:r w:rsidR="00663BF6">
        <w:rPr>
          <w:lang w:eastAsia="en-US"/>
        </w:rPr>
        <w:t>‘</w:t>
      </w:r>
      <w:r w:rsidR="004059E5" w:rsidRPr="009674D2">
        <w:rPr>
          <w:lang w:eastAsia="en-US"/>
        </w:rPr>
        <w:t>Social indicators of the Aboriginal population of Australia</w:t>
      </w:r>
      <w:r w:rsidR="00663BF6">
        <w:rPr>
          <w:lang w:eastAsia="en-US"/>
        </w:rPr>
        <w:t>’,</w:t>
      </w:r>
      <w:r w:rsidR="004059E5" w:rsidRPr="009674D2">
        <w:rPr>
          <w:lang w:eastAsia="en-US"/>
        </w:rPr>
        <w:t xml:space="preserve"> </w:t>
      </w:r>
      <w:r w:rsidR="004059E5" w:rsidRPr="009674D2">
        <w:rPr>
          <w:i/>
          <w:iCs/>
          <w:lang w:eastAsia="en-US"/>
        </w:rPr>
        <w:t>CAEPR Discussion</w:t>
      </w:r>
      <w:r w:rsidR="004059E5" w:rsidRPr="009674D2">
        <w:rPr>
          <w:lang w:eastAsia="en-US"/>
        </w:rPr>
        <w:t xml:space="preserve"> </w:t>
      </w:r>
      <w:r w:rsidR="004059E5" w:rsidRPr="009674D2">
        <w:rPr>
          <w:i/>
          <w:iCs/>
          <w:lang w:eastAsia="en-US"/>
        </w:rPr>
        <w:t xml:space="preserve">Paper </w:t>
      </w:r>
      <w:r w:rsidR="00E32E78">
        <w:rPr>
          <w:i/>
          <w:iCs/>
          <w:lang w:eastAsia="en-US"/>
        </w:rPr>
        <w:t>n</w:t>
      </w:r>
      <w:r w:rsidR="004059E5" w:rsidRPr="009674D2">
        <w:rPr>
          <w:i/>
          <w:iCs/>
          <w:lang w:eastAsia="en-US"/>
        </w:rPr>
        <w:t>o. 18</w:t>
      </w:r>
      <w:r w:rsidR="004059E5" w:rsidRPr="009674D2">
        <w:rPr>
          <w:lang w:eastAsia="en-US"/>
        </w:rPr>
        <w:t xml:space="preserve">, </w:t>
      </w:r>
      <w:r w:rsidR="00746B2D">
        <w:rPr>
          <w:lang w:eastAsia="en-US"/>
        </w:rPr>
        <w:t>Centre for Aboriginal Economic Policy Research (</w:t>
      </w:r>
      <w:r w:rsidR="004059E5" w:rsidRPr="009674D2">
        <w:rPr>
          <w:lang w:eastAsia="en-US"/>
        </w:rPr>
        <w:t>CAEPR</w:t>
      </w:r>
      <w:r w:rsidR="00746B2D">
        <w:rPr>
          <w:lang w:eastAsia="en-US"/>
        </w:rPr>
        <w:t>)</w:t>
      </w:r>
      <w:r w:rsidR="004059E5" w:rsidRPr="009674D2">
        <w:rPr>
          <w:lang w:eastAsia="en-US"/>
        </w:rPr>
        <w:t>, ANU, Canberra</w:t>
      </w:r>
      <w:r w:rsidR="00746B2D">
        <w:rPr>
          <w:lang w:eastAsia="en-US"/>
        </w:rPr>
        <w:t>.</w:t>
      </w:r>
    </w:p>
    <w:p w:rsidR="004059E5" w:rsidRPr="009674D2" w:rsidRDefault="004059E5" w:rsidP="004059E5">
      <w:pPr>
        <w:pStyle w:val="Reference"/>
      </w:pPr>
      <w:r w:rsidRPr="009674D2">
        <w:t>Hunter, B. and Gray, M. 1998</w:t>
      </w:r>
      <w:r w:rsidR="00746B2D">
        <w:t>,</w:t>
      </w:r>
      <w:r w:rsidRPr="009674D2">
        <w:t xml:space="preserve"> ‘The relative labour force status of Indigenous people 1986</w:t>
      </w:r>
      <w:r w:rsidR="00941A76">
        <w:t>–</w:t>
      </w:r>
      <w:r w:rsidRPr="009674D2">
        <w:t xml:space="preserve">1996: a cohort analysis’, </w:t>
      </w:r>
      <w:r w:rsidRPr="009674D2">
        <w:rPr>
          <w:i/>
        </w:rPr>
        <w:t xml:space="preserve">CAEPR Discussion Paper </w:t>
      </w:r>
      <w:r w:rsidR="00E32E78">
        <w:rPr>
          <w:i/>
        </w:rPr>
        <w:t>n</w:t>
      </w:r>
      <w:r w:rsidRPr="009674D2">
        <w:rPr>
          <w:i/>
        </w:rPr>
        <w:t>o. 164</w:t>
      </w:r>
      <w:r w:rsidRPr="009674D2">
        <w:t xml:space="preserve">, </w:t>
      </w:r>
      <w:r w:rsidR="00746B2D">
        <w:t>CAEPR</w:t>
      </w:r>
      <w:r w:rsidRPr="009674D2">
        <w:t xml:space="preserve">, </w:t>
      </w:r>
      <w:r w:rsidR="00746B2D">
        <w:t>ANU</w:t>
      </w:r>
      <w:r w:rsidRPr="009674D2">
        <w:t>, Canberra.</w:t>
      </w:r>
    </w:p>
    <w:p w:rsidR="00281460" w:rsidRDefault="00281460" w:rsidP="004059E5">
      <w:pPr>
        <w:pStyle w:val="Reference"/>
      </w:pPr>
      <w:r w:rsidRPr="009674D2">
        <w:t>Malezer, L. 2009</w:t>
      </w:r>
      <w:r>
        <w:t>,</w:t>
      </w:r>
      <w:r w:rsidRPr="009674D2">
        <w:t xml:space="preserve"> Dialogue with States regarding respect for and application of the UN Declaration and follow up on its effectiveness, paper presented at the </w:t>
      </w:r>
      <w:r w:rsidRPr="009674D2">
        <w:rPr>
          <w:i/>
        </w:rPr>
        <w:t>International expert group meeting on the role of the United Nations Permanent Forum on Indigenous Issues in the implementation of article 42 of the United Nations Declaration on the Rights of Indigenous Peoples</w:t>
      </w:r>
      <w:r w:rsidRPr="009674D2">
        <w:t>, United Nations, Department of Economic and Social Affairs, New York</w:t>
      </w:r>
      <w:r>
        <w:t>, 14–16 January</w:t>
      </w:r>
      <w:r w:rsidRPr="009674D2">
        <w:t>.</w:t>
      </w:r>
    </w:p>
    <w:p w:rsidR="004059E5" w:rsidRPr="009674D2" w:rsidRDefault="004059E5" w:rsidP="004059E5">
      <w:pPr>
        <w:pStyle w:val="Reference"/>
      </w:pPr>
      <w:r w:rsidRPr="009674D2">
        <w:rPr>
          <w:lang w:eastAsia="en-US"/>
        </w:rPr>
        <w:t>Ross, K. 1999</w:t>
      </w:r>
      <w:r w:rsidR="00746B2D">
        <w:rPr>
          <w:lang w:eastAsia="en-US"/>
        </w:rPr>
        <w:t>,</w:t>
      </w:r>
      <w:r w:rsidRPr="009674D2">
        <w:rPr>
          <w:lang w:eastAsia="en-US"/>
        </w:rPr>
        <w:t xml:space="preserve"> </w:t>
      </w:r>
      <w:r w:rsidRPr="009674D2">
        <w:rPr>
          <w:i/>
          <w:lang w:eastAsia="en-US"/>
        </w:rPr>
        <w:t>Population Issues, Indigenous Australians</w:t>
      </w:r>
      <w:r w:rsidRPr="009674D2">
        <w:rPr>
          <w:lang w:eastAsia="en-US"/>
        </w:rPr>
        <w:t xml:space="preserve">, Cat. </w:t>
      </w:r>
      <w:r w:rsidR="00E32E78">
        <w:rPr>
          <w:lang w:eastAsia="en-US"/>
        </w:rPr>
        <w:t>n</w:t>
      </w:r>
      <w:r w:rsidRPr="009674D2">
        <w:rPr>
          <w:lang w:eastAsia="en-US"/>
        </w:rPr>
        <w:t>o. 4708.0, ABS, Canberra.</w:t>
      </w:r>
    </w:p>
    <w:p w:rsidR="004059E5" w:rsidRPr="009674D2" w:rsidRDefault="004059E5" w:rsidP="004059E5">
      <w:pPr>
        <w:pStyle w:val="Reference"/>
      </w:pPr>
      <w:r w:rsidRPr="009674D2">
        <w:t>Rowse, T. 2012</w:t>
      </w:r>
      <w:r w:rsidR="00E32E78">
        <w:t>,</w:t>
      </w:r>
      <w:r w:rsidRPr="009674D2">
        <w:t xml:space="preserve"> </w:t>
      </w:r>
      <w:r w:rsidRPr="009674D2">
        <w:rPr>
          <w:i/>
        </w:rPr>
        <w:t>Rethinking Social Justice: From ‘Peoples’ to ‘Populations’</w:t>
      </w:r>
      <w:r w:rsidRPr="009674D2">
        <w:t>, Aboriginal Studies Press, Canberra.</w:t>
      </w:r>
    </w:p>
    <w:p w:rsidR="004059E5" w:rsidRPr="009674D2" w:rsidRDefault="004059E5" w:rsidP="004059E5">
      <w:pPr>
        <w:pStyle w:val="Reference"/>
        <w:rPr>
          <w:lang w:eastAsia="en-US"/>
        </w:rPr>
      </w:pPr>
      <w:r w:rsidRPr="009674D2">
        <w:rPr>
          <w:lang w:eastAsia="en-US"/>
        </w:rPr>
        <w:t>Rowse T</w:t>
      </w:r>
      <w:r w:rsidR="00E32E78">
        <w:rPr>
          <w:lang w:eastAsia="en-US"/>
        </w:rPr>
        <w:t>.</w:t>
      </w:r>
      <w:r w:rsidRPr="009674D2">
        <w:rPr>
          <w:lang w:eastAsia="en-US"/>
        </w:rPr>
        <w:t xml:space="preserve"> and Smith, L. 2010</w:t>
      </w:r>
      <w:r w:rsidR="00E32E78">
        <w:rPr>
          <w:lang w:eastAsia="en-US"/>
        </w:rPr>
        <w:t>,</w:t>
      </w:r>
      <w:r w:rsidRPr="009674D2">
        <w:rPr>
          <w:lang w:eastAsia="en-US"/>
        </w:rPr>
        <w:t xml:space="preserve"> ‘The </w:t>
      </w:r>
      <w:r w:rsidR="00663BF6">
        <w:rPr>
          <w:lang w:eastAsia="en-US"/>
        </w:rPr>
        <w:t>l</w:t>
      </w:r>
      <w:r w:rsidRPr="009674D2">
        <w:rPr>
          <w:lang w:eastAsia="en-US"/>
        </w:rPr>
        <w:t>imits of “</w:t>
      </w:r>
      <w:r w:rsidR="00663BF6">
        <w:rPr>
          <w:lang w:eastAsia="en-US"/>
        </w:rPr>
        <w:t>e</w:t>
      </w:r>
      <w:r w:rsidRPr="009674D2">
        <w:rPr>
          <w:lang w:eastAsia="en-US"/>
        </w:rPr>
        <w:t xml:space="preserve">limination” in the </w:t>
      </w:r>
      <w:r w:rsidR="00663BF6">
        <w:rPr>
          <w:lang w:eastAsia="en-US"/>
        </w:rPr>
        <w:t>p</w:t>
      </w:r>
      <w:r w:rsidRPr="009674D2">
        <w:rPr>
          <w:lang w:eastAsia="en-US"/>
        </w:rPr>
        <w:t xml:space="preserve">olitics of </w:t>
      </w:r>
      <w:r w:rsidR="00663BF6">
        <w:rPr>
          <w:lang w:eastAsia="en-US"/>
        </w:rPr>
        <w:t>p</w:t>
      </w:r>
      <w:r w:rsidRPr="009674D2">
        <w:rPr>
          <w:lang w:eastAsia="en-US"/>
        </w:rPr>
        <w:t>opulation’</w:t>
      </w:r>
      <w:r w:rsidR="00DC04B2">
        <w:rPr>
          <w:lang w:eastAsia="en-US"/>
        </w:rPr>
        <w:t>,</w:t>
      </w:r>
      <w:r w:rsidRPr="009674D2">
        <w:rPr>
          <w:lang w:eastAsia="en-US"/>
        </w:rPr>
        <w:t xml:space="preserve"> </w:t>
      </w:r>
      <w:r w:rsidRPr="009674D2">
        <w:rPr>
          <w:rFonts w:eastAsia="ACaslonPro-Italic"/>
          <w:i/>
          <w:iCs/>
          <w:lang w:eastAsia="en-US"/>
        </w:rPr>
        <w:t xml:space="preserve">Australian Historical Studies, </w:t>
      </w:r>
      <w:r w:rsidR="00E32E78">
        <w:rPr>
          <w:rFonts w:eastAsia="ACaslonPro-Italic"/>
          <w:iCs/>
          <w:lang w:eastAsia="en-US"/>
        </w:rPr>
        <w:t xml:space="preserve">vol. </w:t>
      </w:r>
      <w:r w:rsidRPr="009674D2">
        <w:rPr>
          <w:lang w:eastAsia="en-US"/>
        </w:rPr>
        <w:t>41</w:t>
      </w:r>
      <w:r w:rsidR="00DC04B2">
        <w:rPr>
          <w:lang w:eastAsia="en-US"/>
        </w:rPr>
        <w:t>,</w:t>
      </w:r>
      <w:r w:rsidRPr="009674D2">
        <w:rPr>
          <w:lang w:eastAsia="en-US"/>
        </w:rPr>
        <w:t xml:space="preserve"> </w:t>
      </w:r>
      <w:r w:rsidR="00E32E78">
        <w:rPr>
          <w:lang w:eastAsia="en-US"/>
        </w:rPr>
        <w:t xml:space="preserve">no. </w:t>
      </w:r>
      <w:r w:rsidRPr="009674D2">
        <w:rPr>
          <w:lang w:eastAsia="en-US"/>
        </w:rPr>
        <w:t>1</w:t>
      </w:r>
      <w:r w:rsidR="00DC04B2">
        <w:rPr>
          <w:lang w:eastAsia="en-US"/>
        </w:rPr>
        <w:t>,</w:t>
      </w:r>
      <w:r w:rsidRPr="009674D2">
        <w:rPr>
          <w:lang w:eastAsia="en-US"/>
        </w:rPr>
        <w:t xml:space="preserve"> </w:t>
      </w:r>
      <w:r w:rsidR="00E32E78">
        <w:rPr>
          <w:lang w:eastAsia="en-US"/>
        </w:rPr>
        <w:t xml:space="preserve">pp. </w:t>
      </w:r>
      <w:r w:rsidRPr="009674D2">
        <w:rPr>
          <w:lang w:eastAsia="en-US"/>
        </w:rPr>
        <w:t>90</w:t>
      </w:r>
      <w:r w:rsidR="00941A76">
        <w:t>–</w:t>
      </w:r>
      <w:r w:rsidRPr="009674D2">
        <w:rPr>
          <w:lang w:eastAsia="en-US"/>
        </w:rPr>
        <w:t>106.</w:t>
      </w:r>
    </w:p>
    <w:p w:rsidR="004059E5" w:rsidRPr="009674D2" w:rsidRDefault="004059E5" w:rsidP="004059E5">
      <w:pPr>
        <w:pStyle w:val="Reference"/>
      </w:pPr>
      <w:r w:rsidRPr="009674D2">
        <w:t>SCRGSP (Steering Committee for the Review of Government Service Provision) 2011</w:t>
      </w:r>
      <w:r w:rsidR="00DC04B2">
        <w:t>,</w:t>
      </w:r>
      <w:r w:rsidRPr="009674D2">
        <w:t xml:space="preserve"> </w:t>
      </w:r>
      <w:r w:rsidRPr="009674D2">
        <w:rPr>
          <w:i/>
        </w:rPr>
        <w:t>Overcoming Indigenous Disadvantage: Key Indicators 2011</w:t>
      </w:r>
      <w:r w:rsidRPr="009674D2">
        <w:t>, Productivity Commission, Canberra.</w:t>
      </w:r>
    </w:p>
    <w:p w:rsidR="004059E5" w:rsidRPr="009674D2" w:rsidRDefault="004059E5" w:rsidP="004059E5">
      <w:pPr>
        <w:pStyle w:val="Reference"/>
        <w:rPr>
          <w:i/>
          <w:iCs/>
          <w:lang w:eastAsia="en-US"/>
        </w:rPr>
      </w:pPr>
      <w:r w:rsidRPr="009674D2">
        <w:rPr>
          <w:lang w:eastAsia="en-US"/>
        </w:rPr>
        <w:t>Sutton, P. 2003</w:t>
      </w:r>
      <w:r w:rsidR="00DC04B2">
        <w:rPr>
          <w:lang w:eastAsia="en-US"/>
        </w:rPr>
        <w:t>,</w:t>
      </w:r>
      <w:r w:rsidRPr="009674D2">
        <w:rPr>
          <w:lang w:eastAsia="en-US"/>
        </w:rPr>
        <w:t xml:space="preserve"> </w:t>
      </w:r>
      <w:r w:rsidRPr="009674D2">
        <w:rPr>
          <w:i/>
          <w:iCs/>
          <w:lang w:eastAsia="en-US"/>
        </w:rPr>
        <w:t>Native Title in Australia: An Ethnographic Perspective</w:t>
      </w:r>
      <w:r w:rsidR="00DC04B2">
        <w:rPr>
          <w:lang w:eastAsia="en-US"/>
        </w:rPr>
        <w:t>,</w:t>
      </w:r>
      <w:r w:rsidRPr="009674D2">
        <w:rPr>
          <w:lang w:eastAsia="en-US"/>
        </w:rPr>
        <w:t xml:space="preserve"> Cambridge University Press, Cambridge.</w:t>
      </w:r>
    </w:p>
    <w:p w:rsidR="004059E5" w:rsidRPr="009674D2" w:rsidRDefault="004059E5" w:rsidP="004059E5">
      <w:pPr>
        <w:pStyle w:val="Reference"/>
      </w:pPr>
      <w:r w:rsidRPr="009674D2">
        <w:t>Taylor, J. 1997</w:t>
      </w:r>
      <w:r w:rsidR="00DC04B2">
        <w:t>,</w:t>
      </w:r>
      <w:r w:rsidRPr="009674D2">
        <w:t xml:space="preserve"> ‘The opportunity costs of future Indigenous labour force status’, </w:t>
      </w:r>
      <w:r w:rsidRPr="009674D2">
        <w:rPr>
          <w:i/>
        </w:rPr>
        <w:t xml:space="preserve">CAEPR Discussion Paper </w:t>
      </w:r>
      <w:r w:rsidR="00DC04B2">
        <w:rPr>
          <w:i/>
        </w:rPr>
        <w:t>n</w:t>
      </w:r>
      <w:r w:rsidRPr="009674D2">
        <w:rPr>
          <w:i/>
        </w:rPr>
        <w:t>o. 128</w:t>
      </w:r>
      <w:r w:rsidRPr="009674D2">
        <w:t xml:space="preserve">, </w:t>
      </w:r>
      <w:r w:rsidR="00DC04B2">
        <w:t>CAEPR</w:t>
      </w:r>
      <w:r w:rsidRPr="009674D2">
        <w:t xml:space="preserve">, </w:t>
      </w:r>
      <w:r w:rsidR="00DC04B2">
        <w:t>ANU</w:t>
      </w:r>
      <w:r w:rsidRPr="009674D2">
        <w:t>, Canberra.</w:t>
      </w:r>
    </w:p>
    <w:p w:rsidR="004059E5" w:rsidRPr="009674D2" w:rsidRDefault="00281460" w:rsidP="004059E5">
      <w:pPr>
        <w:pStyle w:val="Reference"/>
      </w:pPr>
      <w:r>
        <w:t>——</w:t>
      </w:r>
      <w:r w:rsidR="004059E5" w:rsidRPr="009674D2">
        <w:t xml:space="preserve"> 1998</w:t>
      </w:r>
      <w:r w:rsidR="00DC04B2">
        <w:t>,</w:t>
      </w:r>
      <w:r w:rsidR="004059E5" w:rsidRPr="009674D2">
        <w:t xml:space="preserve"> ‘Measuring short-term population mobility among Indigenous Australians: Options and implications’, </w:t>
      </w:r>
      <w:r w:rsidR="004059E5" w:rsidRPr="009674D2">
        <w:rPr>
          <w:i/>
        </w:rPr>
        <w:t>Australian Geographer</w:t>
      </w:r>
      <w:r w:rsidR="004059E5" w:rsidRPr="009674D2">
        <w:t xml:space="preserve">, </w:t>
      </w:r>
      <w:r w:rsidR="00DC04B2">
        <w:t xml:space="preserve">vol. </w:t>
      </w:r>
      <w:r w:rsidR="004059E5" w:rsidRPr="009674D2">
        <w:t>29</w:t>
      </w:r>
      <w:r w:rsidR="00DC04B2">
        <w:t>, no</w:t>
      </w:r>
      <w:r w:rsidR="00663BF6">
        <w:t>.</w:t>
      </w:r>
      <w:r w:rsidR="004059E5" w:rsidRPr="009674D2">
        <w:t xml:space="preserve"> 1</w:t>
      </w:r>
      <w:r w:rsidR="00DC04B2">
        <w:t>,</w:t>
      </w:r>
      <w:r w:rsidR="004059E5" w:rsidRPr="009674D2">
        <w:t xml:space="preserve"> </w:t>
      </w:r>
      <w:r w:rsidR="00DC04B2">
        <w:t xml:space="preserve">pp. </w:t>
      </w:r>
      <w:r w:rsidR="004059E5" w:rsidRPr="009674D2">
        <w:t>125–37.</w:t>
      </w:r>
    </w:p>
    <w:p w:rsidR="004059E5" w:rsidRPr="009674D2" w:rsidRDefault="00281460" w:rsidP="004059E5">
      <w:pPr>
        <w:pStyle w:val="Reference"/>
      </w:pPr>
      <w:r>
        <w:t>——</w:t>
      </w:r>
      <w:r w:rsidR="004059E5" w:rsidRPr="009674D2">
        <w:t xml:space="preserve"> 2004</w:t>
      </w:r>
      <w:r w:rsidR="00DC04B2">
        <w:t>,</w:t>
      </w:r>
      <w:r w:rsidR="004059E5" w:rsidRPr="009674D2">
        <w:t xml:space="preserve"> </w:t>
      </w:r>
      <w:r w:rsidR="004059E5" w:rsidRPr="009674D2">
        <w:rPr>
          <w:i/>
        </w:rPr>
        <w:t>Social Indicators for Aboriginal Governance: Insights from the Thamarrurr Region, Northern Territory</w:t>
      </w:r>
      <w:r w:rsidR="004059E5" w:rsidRPr="009674D2">
        <w:t>, ANU E Press, Canberra.</w:t>
      </w:r>
    </w:p>
    <w:p w:rsidR="004059E5" w:rsidRPr="009674D2" w:rsidRDefault="00281460" w:rsidP="004059E5">
      <w:pPr>
        <w:pStyle w:val="Reference"/>
      </w:pPr>
      <w:r>
        <w:t>——</w:t>
      </w:r>
      <w:r w:rsidR="004059E5" w:rsidRPr="009674D2">
        <w:t xml:space="preserve"> 2008</w:t>
      </w:r>
      <w:r w:rsidR="00DC04B2">
        <w:t>,</w:t>
      </w:r>
      <w:r w:rsidR="004059E5" w:rsidRPr="009674D2">
        <w:t xml:space="preserve"> ‘Indigenous peoples and indicators of well-being: Australian perspectives on United Nations global frameworks’, </w:t>
      </w:r>
      <w:r w:rsidR="004059E5" w:rsidRPr="009674D2">
        <w:rPr>
          <w:i/>
        </w:rPr>
        <w:t>Social Indicators Research</w:t>
      </w:r>
      <w:r w:rsidR="004059E5" w:rsidRPr="009674D2">
        <w:t xml:space="preserve">, </w:t>
      </w:r>
      <w:r w:rsidR="00DC04B2">
        <w:t xml:space="preserve">no. </w:t>
      </w:r>
      <w:r w:rsidR="004059E5" w:rsidRPr="009674D2">
        <w:t>87</w:t>
      </w:r>
      <w:r w:rsidR="00DC04B2">
        <w:t>,</w:t>
      </w:r>
      <w:r w:rsidR="004059E5" w:rsidRPr="009674D2">
        <w:t xml:space="preserve"> </w:t>
      </w:r>
      <w:r w:rsidR="00DC04B2">
        <w:t xml:space="preserve">pp. </w:t>
      </w:r>
      <w:r w:rsidR="004059E5" w:rsidRPr="009674D2">
        <w:t>111–26.</w:t>
      </w:r>
    </w:p>
    <w:p w:rsidR="004059E5" w:rsidRPr="009674D2" w:rsidRDefault="00281460" w:rsidP="004059E5">
      <w:pPr>
        <w:pStyle w:val="Reference"/>
      </w:pPr>
      <w:r>
        <w:t>——</w:t>
      </w:r>
      <w:r w:rsidR="004059E5" w:rsidRPr="009674D2">
        <w:t xml:space="preserve"> 2009</w:t>
      </w:r>
      <w:r w:rsidR="00DC04B2">
        <w:t>,</w:t>
      </w:r>
      <w:r w:rsidR="004059E5" w:rsidRPr="009674D2">
        <w:t xml:space="preserve"> ‘Indigenous demography and public policy in Australia: Population or peoples?’, </w:t>
      </w:r>
      <w:r w:rsidR="004059E5" w:rsidRPr="009674D2">
        <w:rPr>
          <w:i/>
        </w:rPr>
        <w:t>Journal of Population Research</w:t>
      </w:r>
      <w:r w:rsidR="004059E5" w:rsidRPr="009674D2">
        <w:t xml:space="preserve">, </w:t>
      </w:r>
      <w:r w:rsidR="00DC04B2">
        <w:t xml:space="preserve">no. </w:t>
      </w:r>
      <w:r w:rsidR="004059E5" w:rsidRPr="009674D2">
        <w:t>26</w:t>
      </w:r>
      <w:r w:rsidR="00DC04B2">
        <w:t>, pp.</w:t>
      </w:r>
      <w:r w:rsidR="004059E5" w:rsidRPr="009674D2">
        <w:t xml:space="preserve"> 115–30.</w:t>
      </w:r>
    </w:p>
    <w:p w:rsidR="004059E5" w:rsidRPr="009674D2" w:rsidRDefault="00281460" w:rsidP="004059E5">
      <w:pPr>
        <w:pStyle w:val="Reference"/>
      </w:pPr>
      <w:r>
        <w:lastRenderedPageBreak/>
        <w:t>——</w:t>
      </w:r>
      <w:r w:rsidR="004059E5" w:rsidRPr="009674D2">
        <w:t xml:space="preserve"> 2010</w:t>
      </w:r>
      <w:r w:rsidR="00DC04B2">
        <w:t>,</w:t>
      </w:r>
      <w:r w:rsidR="004059E5" w:rsidRPr="009674D2">
        <w:t xml:space="preserve"> ‘Beyond the Pale: Measures of mobility in post-colonial Australia’, </w:t>
      </w:r>
      <w:r w:rsidR="004059E5" w:rsidRPr="009674D2">
        <w:rPr>
          <w:i/>
        </w:rPr>
        <w:t>Law Text Culture</w:t>
      </w:r>
      <w:r w:rsidR="004059E5" w:rsidRPr="009674D2">
        <w:t xml:space="preserve">, </w:t>
      </w:r>
      <w:r w:rsidR="00DC04B2">
        <w:t xml:space="preserve">no. </w:t>
      </w:r>
      <w:r w:rsidR="004059E5" w:rsidRPr="009674D2">
        <w:t>15</w:t>
      </w:r>
      <w:r w:rsidR="00DC04B2">
        <w:t>, pp.</w:t>
      </w:r>
      <w:r w:rsidR="004059E5" w:rsidRPr="009674D2">
        <w:t xml:space="preserve"> 72–99.</w:t>
      </w:r>
    </w:p>
    <w:p w:rsidR="004059E5" w:rsidRPr="009674D2" w:rsidRDefault="00281460" w:rsidP="004059E5">
      <w:pPr>
        <w:pStyle w:val="Reference"/>
      </w:pPr>
      <w:r>
        <w:t>——</w:t>
      </w:r>
      <w:r w:rsidR="004059E5" w:rsidRPr="009674D2">
        <w:t xml:space="preserve"> 2011</w:t>
      </w:r>
      <w:r w:rsidR="00DC04B2">
        <w:t>,</w:t>
      </w:r>
      <w:r w:rsidR="004059E5" w:rsidRPr="009674D2">
        <w:t xml:space="preserve"> ‘Postcolonial transformation of the Australian Indigenous population’, </w:t>
      </w:r>
      <w:r w:rsidR="004059E5" w:rsidRPr="009674D2">
        <w:rPr>
          <w:i/>
        </w:rPr>
        <w:t>Geographical Research</w:t>
      </w:r>
      <w:r w:rsidR="004059E5" w:rsidRPr="009674D2">
        <w:t xml:space="preserve">, </w:t>
      </w:r>
      <w:r w:rsidR="00DC04B2">
        <w:t xml:space="preserve">vol. </w:t>
      </w:r>
      <w:r w:rsidR="004059E5" w:rsidRPr="009674D2">
        <w:t>49</w:t>
      </w:r>
      <w:r w:rsidR="00DC04B2">
        <w:t>, no.</w:t>
      </w:r>
      <w:r w:rsidR="004059E5" w:rsidRPr="009674D2">
        <w:t xml:space="preserve"> 3</w:t>
      </w:r>
      <w:r w:rsidR="00DC04B2">
        <w:t>, pp.</w:t>
      </w:r>
      <w:r w:rsidR="004059E5" w:rsidRPr="009674D2">
        <w:t xml:space="preserve"> 286–300.</w:t>
      </w:r>
    </w:p>
    <w:p w:rsidR="004059E5" w:rsidRPr="009674D2" w:rsidRDefault="00281460" w:rsidP="004059E5">
      <w:pPr>
        <w:pStyle w:val="Reference"/>
      </w:pPr>
      <w:r>
        <w:t>——</w:t>
      </w:r>
      <w:r w:rsidR="004059E5" w:rsidRPr="009674D2">
        <w:t xml:space="preserve"> 2012</w:t>
      </w:r>
      <w:r w:rsidR="00DC04B2">
        <w:t>,</w:t>
      </w:r>
      <w:r w:rsidR="004059E5" w:rsidRPr="009674D2">
        <w:t xml:space="preserve"> ‘Indigenous mobility and school attendance in remote Australia: Cause or effect?’, </w:t>
      </w:r>
      <w:r w:rsidR="004059E5" w:rsidRPr="009674D2">
        <w:rPr>
          <w:i/>
        </w:rPr>
        <w:t>International Journal of Educational Research</w:t>
      </w:r>
      <w:r w:rsidR="004059E5" w:rsidRPr="009674D2">
        <w:t xml:space="preserve">, </w:t>
      </w:r>
      <w:r w:rsidR="00DC04B2">
        <w:t xml:space="preserve">no. </w:t>
      </w:r>
      <w:r w:rsidR="004059E5" w:rsidRPr="009674D2">
        <w:t>54</w:t>
      </w:r>
      <w:r w:rsidR="00DC04B2">
        <w:t>, pp.</w:t>
      </w:r>
      <w:r w:rsidR="004059E5" w:rsidRPr="009674D2">
        <w:t xml:space="preserve"> 31</w:t>
      </w:r>
      <w:r w:rsidR="00941A76">
        <w:t>–</w:t>
      </w:r>
      <w:r w:rsidR="004059E5" w:rsidRPr="009674D2">
        <w:t>40.</w:t>
      </w:r>
    </w:p>
    <w:p w:rsidR="004059E5" w:rsidRPr="009674D2" w:rsidRDefault="00281460" w:rsidP="004059E5">
      <w:pPr>
        <w:pStyle w:val="Reference"/>
      </w:pPr>
      <w:r>
        <w:t>——</w:t>
      </w:r>
      <w:r w:rsidR="004059E5" w:rsidRPr="009674D2">
        <w:t xml:space="preserve"> and Bell, M. 1998</w:t>
      </w:r>
      <w:r w:rsidR="00DC04B2">
        <w:t>,</w:t>
      </w:r>
      <w:r w:rsidR="004059E5" w:rsidRPr="009674D2">
        <w:t xml:space="preserve"> ‘Making sense of census data: A components analysis of employment change among indigenous Australians’, </w:t>
      </w:r>
      <w:r w:rsidR="004059E5" w:rsidRPr="009674D2">
        <w:rPr>
          <w:i/>
        </w:rPr>
        <w:t>Journal of the Australian Population Association</w:t>
      </w:r>
      <w:r w:rsidR="004059E5" w:rsidRPr="009674D2">
        <w:t xml:space="preserve">, </w:t>
      </w:r>
      <w:r w:rsidR="00DC04B2">
        <w:t xml:space="preserve">vol. </w:t>
      </w:r>
      <w:r w:rsidR="004059E5" w:rsidRPr="009674D2">
        <w:t>15</w:t>
      </w:r>
      <w:r w:rsidR="00DC04B2">
        <w:t>, no.</w:t>
      </w:r>
      <w:r w:rsidR="004059E5" w:rsidRPr="009674D2">
        <w:t xml:space="preserve"> 1</w:t>
      </w:r>
      <w:r w:rsidR="00DC04B2">
        <w:t>,</w:t>
      </w:r>
      <w:r w:rsidR="004059E5" w:rsidRPr="009674D2">
        <w:t xml:space="preserve"> </w:t>
      </w:r>
      <w:r w:rsidR="00DC04B2">
        <w:t xml:space="preserve">pp. </w:t>
      </w:r>
      <w:r w:rsidR="004059E5" w:rsidRPr="009674D2">
        <w:t>35–51.</w:t>
      </w:r>
    </w:p>
    <w:p w:rsidR="004059E5" w:rsidRPr="009674D2" w:rsidRDefault="00281460" w:rsidP="004059E5">
      <w:pPr>
        <w:pStyle w:val="Reference"/>
      </w:pPr>
      <w:r>
        <w:t>—— ——</w:t>
      </w:r>
      <w:r w:rsidR="004059E5" w:rsidRPr="009674D2">
        <w:t xml:space="preserve"> 2004</w:t>
      </w:r>
      <w:r w:rsidR="00DC04B2">
        <w:t>,</w:t>
      </w:r>
      <w:r w:rsidR="004059E5" w:rsidRPr="009674D2">
        <w:t xml:space="preserve"> ‘Continuity and change in Indigenous Australian population mobility’, in J. Taylor and M. Bell (eds), </w:t>
      </w:r>
      <w:r w:rsidR="004059E5" w:rsidRPr="009674D2">
        <w:rPr>
          <w:i/>
        </w:rPr>
        <w:t>Population Mobility and Indigenous Peoples in Australasia and North America</w:t>
      </w:r>
      <w:r w:rsidR="004059E5" w:rsidRPr="009674D2">
        <w:t>, Routledge, London and</w:t>
      </w:r>
      <w:r w:rsidR="004059E5" w:rsidRPr="009674D2">
        <w:br/>
        <w:t>New York.</w:t>
      </w:r>
    </w:p>
    <w:p w:rsidR="004059E5" w:rsidRPr="009674D2" w:rsidRDefault="00281460" w:rsidP="004059E5">
      <w:pPr>
        <w:pStyle w:val="Reference"/>
      </w:pPr>
      <w:r>
        <w:t>——</w:t>
      </w:r>
      <w:r w:rsidR="004059E5" w:rsidRPr="009674D2">
        <w:t xml:space="preserve"> and Biddle, N. 2010</w:t>
      </w:r>
      <w:r w:rsidR="00DC04B2">
        <w:t>,</w:t>
      </w:r>
      <w:r w:rsidR="004059E5" w:rsidRPr="009674D2">
        <w:t xml:space="preserve"> ‘Estimating the accuracy of geographic variation in Indigenous population counts’, </w:t>
      </w:r>
      <w:r w:rsidR="00013719" w:rsidRPr="00281460">
        <w:rPr>
          <w:i/>
        </w:rPr>
        <w:t>Australian Geographer</w:t>
      </w:r>
      <w:r w:rsidR="004059E5" w:rsidRPr="009674D2">
        <w:t xml:space="preserve">, </w:t>
      </w:r>
      <w:r w:rsidR="00DC04B2">
        <w:t xml:space="preserve">vol. </w:t>
      </w:r>
      <w:r w:rsidR="004059E5" w:rsidRPr="009674D2">
        <w:t xml:space="preserve">41 </w:t>
      </w:r>
      <w:r w:rsidR="00DC04B2">
        <w:t xml:space="preserve">no. </w:t>
      </w:r>
      <w:r w:rsidR="004059E5" w:rsidRPr="009674D2">
        <w:t>4</w:t>
      </w:r>
      <w:r w:rsidR="00DC04B2">
        <w:t xml:space="preserve">, </w:t>
      </w:r>
      <w:r>
        <w:br/>
      </w:r>
      <w:r w:rsidR="00DC04B2">
        <w:t xml:space="preserve">pp. </w:t>
      </w:r>
      <w:r w:rsidR="004059E5" w:rsidRPr="009674D2">
        <w:t>469–84.</w:t>
      </w:r>
    </w:p>
    <w:p w:rsidR="004059E5" w:rsidRPr="009674D2" w:rsidRDefault="00281460" w:rsidP="004059E5">
      <w:pPr>
        <w:pStyle w:val="Reference"/>
      </w:pPr>
      <w:r>
        <w:t>——</w:t>
      </w:r>
      <w:r w:rsidR="004059E5" w:rsidRPr="009674D2">
        <w:t>, Doran, B., Parriman, M. and Yu, E. 2012</w:t>
      </w:r>
      <w:r w:rsidR="00DC04B2">
        <w:t>,</w:t>
      </w:r>
      <w:r w:rsidR="004059E5" w:rsidRPr="009674D2">
        <w:t xml:space="preserve"> ‘Statistics for community governance: the Yawuru Indigenous Population Survey of Broome’</w:t>
      </w:r>
      <w:r w:rsidR="00034AC7">
        <w:t>,</w:t>
      </w:r>
      <w:r w:rsidR="004059E5" w:rsidRPr="009674D2">
        <w:t xml:space="preserve"> </w:t>
      </w:r>
      <w:r w:rsidR="004059E5" w:rsidRPr="009674D2">
        <w:rPr>
          <w:i/>
          <w:iCs/>
        </w:rPr>
        <w:t xml:space="preserve">CAEPR Working Paper </w:t>
      </w:r>
      <w:r w:rsidR="005A2D24">
        <w:rPr>
          <w:i/>
          <w:iCs/>
        </w:rPr>
        <w:t>n</w:t>
      </w:r>
      <w:r w:rsidR="004059E5" w:rsidRPr="009674D2">
        <w:rPr>
          <w:i/>
          <w:iCs/>
        </w:rPr>
        <w:t>o. 82</w:t>
      </w:r>
      <w:r w:rsidR="004059E5" w:rsidRPr="009674D2">
        <w:t xml:space="preserve">, </w:t>
      </w:r>
      <w:r w:rsidR="005A2D24">
        <w:t>CAEPR</w:t>
      </w:r>
      <w:r w:rsidR="004059E5" w:rsidRPr="009674D2">
        <w:t xml:space="preserve">, </w:t>
      </w:r>
      <w:r w:rsidR="005A2D24">
        <w:t>ANU</w:t>
      </w:r>
      <w:r w:rsidR="004059E5" w:rsidRPr="009674D2">
        <w:t xml:space="preserve">, Canberra. </w:t>
      </w:r>
    </w:p>
    <w:p w:rsidR="004059E5" w:rsidRPr="009674D2" w:rsidRDefault="00281460" w:rsidP="004059E5">
      <w:pPr>
        <w:pStyle w:val="Reference"/>
      </w:pPr>
      <w:r>
        <w:t>——</w:t>
      </w:r>
      <w:r w:rsidR="004059E5" w:rsidRPr="009674D2">
        <w:t xml:space="preserve"> and Hunter, B. 1998</w:t>
      </w:r>
      <w:r w:rsidR="005A2D24">
        <w:t>,</w:t>
      </w:r>
      <w:r w:rsidR="004059E5" w:rsidRPr="009674D2">
        <w:t xml:space="preserve"> </w:t>
      </w:r>
      <w:r w:rsidR="004059E5" w:rsidRPr="009674D2">
        <w:rPr>
          <w:i/>
        </w:rPr>
        <w:t>The Job Still Ahead: Economic Costs of Continuing Indigenous Employment Disparity</w:t>
      </w:r>
      <w:r w:rsidR="004059E5" w:rsidRPr="009674D2">
        <w:t xml:space="preserve">, Office of Public Affairs, Aboriginal and Torres Strait Islander Commission, Canberra. </w:t>
      </w:r>
    </w:p>
    <w:p w:rsidR="004059E5" w:rsidRPr="009674D2" w:rsidRDefault="004059E5" w:rsidP="004059E5">
      <w:pPr>
        <w:pStyle w:val="Reference"/>
        <w:rPr>
          <w:lang w:eastAsia="en-US"/>
        </w:rPr>
      </w:pPr>
      <w:r w:rsidRPr="009674D2">
        <w:rPr>
          <w:lang w:eastAsia="en-US"/>
        </w:rPr>
        <w:t>Tehan, M., Palmer, L., Langton, M. and Mazel, O. 2006</w:t>
      </w:r>
      <w:r w:rsidR="005A2D24">
        <w:rPr>
          <w:lang w:eastAsia="en-US"/>
        </w:rPr>
        <w:t>,</w:t>
      </w:r>
      <w:r w:rsidRPr="009674D2">
        <w:rPr>
          <w:lang w:eastAsia="en-US"/>
        </w:rPr>
        <w:t xml:space="preserve"> </w:t>
      </w:r>
      <w:r w:rsidR="005A2D24">
        <w:rPr>
          <w:lang w:eastAsia="en-US"/>
        </w:rPr>
        <w:t>‘</w:t>
      </w:r>
      <w:r w:rsidRPr="009674D2">
        <w:rPr>
          <w:lang w:eastAsia="en-US"/>
        </w:rPr>
        <w:t>Sharing land and resources: modern agreements and treaties with Indigenous people in settler states</w:t>
      </w:r>
      <w:r w:rsidR="005A2D24">
        <w:rPr>
          <w:lang w:eastAsia="en-US"/>
        </w:rPr>
        <w:t>’,</w:t>
      </w:r>
      <w:r w:rsidRPr="009674D2">
        <w:rPr>
          <w:lang w:eastAsia="en-US"/>
        </w:rPr>
        <w:t xml:space="preserve"> </w:t>
      </w:r>
      <w:r w:rsidR="005A2D24">
        <w:rPr>
          <w:lang w:eastAsia="en-US"/>
        </w:rPr>
        <w:t>i</w:t>
      </w:r>
      <w:r w:rsidRPr="009674D2">
        <w:rPr>
          <w:lang w:eastAsia="en-US"/>
        </w:rPr>
        <w:t>n Langton, M.,</w:t>
      </w:r>
      <w:r w:rsidR="00FD032A">
        <w:rPr>
          <w:lang w:eastAsia="en-US"/>
        </w:rPr>
        <w:t xml:space="preserve"> </w:t>
      </w:r>
      <w:r w:rsidRPr="009674D2">
        <w:rPr>
          <w:lang w:eastAsia="en-US"/>
        </w:rPr>
        <w:t xml:space="preserve">Mazel, O., Palmer, L., Shain, L.K. and Tehan, M. (eds) </w:t>
      </w:r>
      <w:r w:rsidRPr="009674D2">
        <w:rPr>
          <w:i/>
          <w:iCs/>
          <w:lang w:eastAsia="en-US"/>
        </w:rPr>
        <w:t>Settling With Indigenous People</w:t>
      </w:r>
      <w:r w:rsidR="005A2D24">
        <w:rPr>
          <w:lang w:eastAsia="en-US"/>
        </w:rPr>
        <w:t>,</w:t>
      </w:r>
      <w:r w:rsidRPr="009674D2">
        <w:rPr>
          <w:lang w:eastAsia="en-US"/>
        </w:rPr>
        <w:t xml:space="preserve"> The Federation Press, Sydney.</w:t>
      </w:r>
    </w:p>
    <w:p w:rsidR="004059E5" w:rsidRPr="009674D2" w:rsidRDefault="004059E5" w:rsidP="004059E5">
      <w:pPr>
        <w:pStyle w:val="Reference"/>
      </w:pPr>
      <w:r w:rsidRPr="009674D2">
        <w:t>United Nations 2006</w:t>
      </w:r>
      <w:r w:rsidR="005A2D24">
        <w:t>,</w:t>
      </w:r>
      <w:r w:rsidRPr="009674D2">
        <w:t xml:space="preserve"> </w:t>
      </w:r>
      <w:r w:rsidRPr="009674D2">
        <w:rPr>
          <w:i/>
        </w:rPr>
        <w:t>Report of the Meeting on Indigenous Peoples and Indicators of Well Being</w:t>
      </w:r>
      <w:r w:rsidRPr="009674D2">
        <w:t>, E/C.19/2006/CRP.3, Ottawa, 22</w:t>
      </w:r>
      <w:r w:rsidR="00941A76">
        <w:t>–</w:t>
      </w:r>
      <w:r w:rsidRPr="009674D2">
        <w:t>23 March 2006.</w:t>
      </w:r>
    </w:p>
    <w:p w:rsidR="004059E5" w:rsidRPr="009674D2" w:rsidRDefault="004059E5" w:rsidP="004059E5">
      <w:pPr>
        <w:pStyle w:val="Reference"/>
      </w:pPr>
      <w:r w:rsidRPr="009674D2">
        <w:t>Yu, P. 2011</w:t>
      </w:r>
      <w:r w:rsidR="005A2D24">
        <w:t>,</w:t>
      </w:r>
      <w:r w:rsidRPr="009674D2">
        <w:t xml:space="preserve"> </w:t>
      </w:r>
      <w:r w:rsidR="00663BF6">
        <w:t>‘</w:t>
      </w:r>
      <w:r w:rsidRPr="009674D2">
        <w:t>The power of data in Aboriginal hands</w:t>
      </w:r>
      <w:r w:rsidR="00663BF6">
        <w:t>’</w:t>
      </w:r>
      <w:r w:rsidRPr="009674D2">
        <w:t xml:space="preserve">, paper presented at the Conference </w:t>
      </w:r>
      <w:r w:rsidRPr="009674D2">
        <w:rPr>
          <w:i/>
          <w:iCs/>
        </w:rPr>
        <w:t>Social Science Perspectives on the 2008 National Aboriginal and Torres Strait Islander Social Survey,</w:t>
      </w:r>
      <w:r w:rsidRPr="009674D2">
        <w:t xml:space="preserve"> April 12, </w:t>
      </w:r>
      <w:r w:rsidR="005A2D24">
        <w:t>ANU</w:t>
      </w:r>
      <w:r w:rsidRPr="009674D2">
        <w:t>, Canberra, Australia.</w:t>
      </w:r>
    </w:p>
    <w:p w:rsidR="00F056FC" w:rsidRPr="009674D2" w:rsidRDefault="00F056FC" w:rsidP="00120072">
      <w:pPr>
        <w:pStyle w:val="BodyText"/>
      </w:pPr>
    </w:p>
    <w:sectPr w:rsidR="00F056FC" w:rsidRPr="009674D2" w:rsidSect="006B29F3">
      <w:headerReference w:type="even" r:id="rId9"/>
      <w:headerReference w:type="default" r:id="rId10"/>
      <w:footerReference w:type="even" r:id="rId11"/>
      <w:footerReference w:type="default" r:id="rId12"/>
      <w:pgSz w:w="11907" w:h="16840" w:code="9"/>
      <w:pgMar w:top="1985" w:right="1304" w:bottom="1418" w:left="1814" w:header="1701" w:footer="567" w:gutter="0"/>
      <w:pgNumType w:start="11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E8B" w:rsidRDefault="003A4E8B">
      <w:r>
        <w:separator/>
      </w:r>
    </w:p>
  </w:endnote>
  <w:endnote w:type="continuationSeparator" w:id="0">
    <w:p w:rsidR="003A4E8B" w:rsidRDefault="003A4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CaslonPro-Italic">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A4E8B">
      <w:trPr>
        <w:trHeight w:hRule="exact" w:val="740"/>
      </w:trPr>
      <w:tc>
        <w:tcPr>
          <w:tcW w:w="510" w:type="dxa"/>
          <w:tcBorders>
            <w:top w:val="single" w:sz="6" w:space="0" w:color="auto"/>
          </w:tcBorders>
        </w:tcPr>
        <w:p w:rsidR="003A4E8B" w:rsidRDefault="003A4E8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D17A1">
            <w:rPr>
              <w:rStyle w:val="PageNumber"/>
              <w:noProof/>
            </w:rPr>
            <w:t>130</w:t>
          </w:r>
          <w:r>
            <w:rPr>
              <w:rStyle w:val="PageNumber"/>
            </w:rPr>
            <w:fldChar w:fldCharType="end"/>
          </w:r>
        </w:p>
      </w:tc>
      <w:tc>
        <w:tcPr>
          <w:tcW w:w="1644" w:type="dxa"/>
          <w:tcBorders>
            <w:top w:val="single" w:sz="6" w:space="0" w:color="auto"/>
          </w:tcBorders>
        </w:tcPr>
        <w:p w:rsidR="003A4E8B" w:rsidRDefault="00FD17A1" w:rsidP="0019293B">
          <w:pPr>
            <w:pStyle w:val="Footer"/>
          </w:pPr>
          <w:r>
            <w:fldChar w:fldCharType="begin"/>
          </w:r>
          <w:r>
            <w:instrText xml:space="preserve"> SUBJECT  \* MERGEFORMAT </w:instrText>
          </w:r>
          <w:r>
            <w:fldChar w:fldCharType="separate"/>
          </w:r>
          <w:r w:rsidR="00DD1E52">
            <w:t>Better Indigenous Policies: The Role of Evaluation</w:t>
          </w:r>
          <w:r>
            <w:fldChar w:fldCharType="end"/>
          </w:r>
        </w:p>
      </w:tc>
      <w:tc>
        <w:tcPr>
          <w:tcW w:w="6634" w:type="dxa"/>
        </w:tcPr>
        <w:p w:rsidR="003A4E8B" w:rsidRDefault="003A4E8B" w:rsidP="0019293B">
          <w:pPr>
            <w:pStyle w:val="Footer"/>
          </w:pPr>
        </w:p>
      </w:tc>
    </w:tr>
  </w:tbl>
  <w:p w:rsidR="003A4E8B" w:rsidRDefault="003A4E8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A4E8B">
      <w:trPr>
        <w:trHeight w:hRule="exact" w:val="740"/>
      </w:trPr>
      <w:tc>
        <w:tcPr>
          <w:tcW w:w="6634" w:type="dxa"/>
        </w:tcPr>
        <w:p w:rsidR="003A4E8B" w:rsidRDefault="003A4E8B">
          <w:pPr>
            <w:pStyle w:val="Footer"/>
            <w:ind w:right="360" w:firstLine="360"/>
          </w:pPr>
        </w:p>
      </w:tc>
      <w:tc>
        <w:tcPr>
          <w:tcW w:w="1644" w:type="dxa"/>
          <w:tcBorders>
            <w:top w:val="single" w:sz="6" w:space="0" w:color="auto"/>
          </w:tcBorders>
        </w:tcPr>
        <w:p w:rsidR="003A4E8B" w:rsidRDefault="00FD17A1">
          <w:pPr>
            <w:pStyle w:val="Footer"/>
          </w:pPr>
          <w:r>
            <w:fldChar w:fldCharType="begin"/>
          </w:r>
          <w:r>
            <w:instrText xml:space="preserve"> TITLE  \* MERGEFORMAT </w:instrText>
          </w:r>
          <w:r>
            <w:fldChar w:fldCharType="separate"/>
          </w:r>
          <w:r w:rsidR="00DD1E52">
            <w:t>Data for Better Indigenous Policy evaluation</w:t>
          </w:r>
          <w:r>
            <w:fldChar w:fldCharType="end"/>
          </w:r>
        </w:p>
      </w:tc>
      <w:tc>
        <w:tcPr>
          <w:tcW w:w="510" w:type="dxa"/>
          <w:tcBorders>
            <w:top w:val="single" w:sz="6" w:space="0" w:color="auto"/>
          </w:tcBorders>
        </w:tcPr>
        <w:p w:rsidR="003A4E8B" w:rsidRDefault="003A4E8B">
          <w:pPr>
            <w:pStyle w:val="Footer"/>
            <w:jc w:val="right"/>
          </w:pPr>
          <w:r>
            <w:rPr>
              <w:rStyle w:val="PageNumber"/>
            </w:rPr>
            <w:fldChar w:fldCharType="begin"/>
          </w:r>
          <w:r>
            <w:rPr>
              <w:rStyle w:val="PageNumber"/>
            </w:rPr>
            <w:instrText xml:space="preserve">PAGE  </w:instrText>
          </w:r>
          <w:r>
            <w:rPr>
              <w:rStyle w:val="PageNumber"/>
            </w:rPr>
            <w:fldChar w:fldCharType="separate"/>
          </w:r>
          <w:r w:rsidR="00FD17A1">
            <w:rPr>
              <w:rStyle w:val="PageNumber"/>
              <w:noProof/>
            </w:rPr>
            <w:t>119</w:t>
          </w:r>
          <w:r>
            <w:rPr>
              <w:rStyle w:val="PageNumber"/>
            </w:rPr>
            <w:fldChar w:fldCharType="end"/>
          </w:r>
        </w:p>
      </w:tc>
    </w:tr>
  </w:tbl>
  <w:p w:rsidR="003A4E8B" w:rsidRDefault="003A4E8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E8B" w:rsidRDefault="003A4E8B">
      <w:r>
        <w:separator/>
      </w:r>
    </w:p>
  </w:footnote>
  <w:footnote w:type="continuationSeparator" w:id="0">
    <w:p w:rsidR="003A4E8B" w:rsidRDefault="003A4E8B">
      <w:r>
        <w:continuationSeparator/>
      </w:r>
    </w:p>
  </w:footnote>
  <w:footnote w:id="1">
    <w:p w:rsidR="003A4E8B" w:rsidRPr="009674D2" w:rsidRDefault="003A4E8B" w:rsidP="009674D2">
      <w:pPr>
        <w:pStyle w:val="FootnoteText"/>
      </w:pPr>
      <w:r>
        <w:rPr>
          <w:rStyle w:val="FootnoteReference"/>
        </w:rPr>
        <w:footnoteRef/>
      </w:r>
      <w:r>
        <w:tab/>
      </w:r>
      <w:r w:rsidR="0040384D">
        <w:t>Professor</w:t>
      </w:r>
      <w:r w:rsidR="00276FBF">
        <w:t xml:space="preserve"> and Director</w:t>
      </w:r>
      <w:r w:rsidR="0040384D">
        <w:t xml:space="preserve">, </w:t>
      </w:r>
      <w:r w:rsidRPr="003552E1">
        <w:t>Centre for Aboriginal Economic Policy Research</w:t>
      </w:r>
      <w:r>
        <w:t xml:space="preserve">, </w:t>
      </w:r>
      <w:r w:rsidRPr="003552E1">
        <w:t>Australian National University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A4E8B">
      <w:tc>
        <w:tcPr>
          <w:tcW w:w="2155" w:type="dxa"/>
          <w:tcBorders>
            <w:top w:val="single" w:sz="24" w:space="0" w:color="auto"/>
          </w:tcBorders>
        </w:tcPr>
        <w:p w:rsidR="003A4E8B" w:rsidRDefault="003A4E8B" w:rsidP="0019293B">
          <w:pPr>
            <w:pStyle w:val="HeaderEven"/>
          </w:pPr>
        </w:p>
      </w:tc>
      <w:tc>
        <w:tcPr>
          <w:tcW w:w="6634" w:type="dxa"/>
          <w:tcBorders>
            <w:top w:val="single" w:sz="6" w:space="0" w:color="auto"/>
          </w:tcBorders>
        </w:tcPr>
        <w:p w:rsidR="003A4E8B" w:rsidRDefault="003A4E8B" w:rsidP="0019293B">
          <w:pPr>
            <w:pStyle w:val="HeaderEven"/>
          </w:pPr>
        </w:p>
      </w:tc>
    </w:tr>
  </w:tbl>
  <w:p w:rsidR="003A4E8B" w:rsidRDefault="003A4E8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A4E8B">
      <w:tc>
        <w:tcPr>
          <w:tcW w:w="6634" w:type="dxa"/>
          <w:tcBorders>
            <w:top w:val="single" w:sz="6" w:space="0" w:color="auto"/>
          </w:tcBorders>
        </w:tcPr>
        <w:p w:rsidR="003A4E8B" w:rsidRDefault="003A4E8B" w:rsidP="00E669E2">
          <w:pPr>
            <w:pStyle w:val="HeaderOdd"/>
          </w:pPr>
        </w:p>
      </w:tc>
      <w:tc>
        <w:tcPr>
          <w:tcW w:w="2155" w:type="dxa"/>
          <w:tcBorders>
            <w:top w:val="single" w:sz="24" w:space="0" w:color="auto"/>
          </w:tcBorders>
        </w:tcPr>
        <w:p w:rsidR="003A4E8B" w:rsidRDefault="003A4E8B" w:rsidP="00E669E2">
          <w:pPr>
            <w:pStyle w:val="HeaderOdd"/>
          </w:pPr>
        </w:p>
      </w:tc>
    </w:tr>
  </w:tbl>
  <w:p w:rsidR="003A4E8B" w:rsidRDefault="003A4E8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ttachedTemplate r:id="rId1"/>
  <w:linkStyle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lickAndTypeStyle w:val="BodyText"/>
  <w:evenAndOddHeaders/>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Data for Better Indigenous Policy evaluation"/>
    <w:docVar w:name="ShortReportTitle" w:val="Better Indigenous Policies: The Role of Evaluation"/>
  </w:docVars>
  <w:rsids>
    <w:rsidRoot w:val="004059E5"/>
    <w:rsid w:val="00013719"/>
    <w:rsid w:val="000227D5"/>
    <w:rsid w:val="000245AA"/>
    <w:rsid w:val="00034AC7"/>
    <w:rsid w:val="0003664B"/>
    <w:rsid w:val="00036741"/>
    <w:rsid w:val="0004073F"/>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40B38"/>
    <w:rsid w:val="00173FE6"/>
    <w:rsid w:val="00183E82"/>
    <w:rsid w:val="001878BB"/>
    <w:rsid w:val="00191AE0"/>
    <w:rsid w:val="0019293B"/>
    <w:rsid w:val="001A34DC"/>
    <w:rsid w:val="001B11B4"/>
    <w:rsid w:val="001C0865"/>
    <w:rsid w:val="001C3ABA"/>
    <w:rsid w:val="001E7BE8"/>
    <w:rsid w:val="001F0248"/>
    <w:rsid w:val="001F3EB3"/>
    <w:rsid w:val="001F4F86"/>
    <w:rsid w:val="00202C2C"/>
    <w:rsid w:val="002051E4"/>
    <w:rsid w:val="002135AB"/>
    <w:rsid w:val="002144BE"/>
    <w:rsid w:val="002266A0"/>
    <w:rsid w:val="002359F2"/>
    <w:rsid w:val="00240CCF"/>
    <w:rsid w:val="00242279"/>
    <w:rsid w:val="00245C28"/>
    <w:rsid w:val="00245C82"/>
    <w:rsid w:val="00276718"/>
    <w:rsid w:val="00276FBF"/>
    <w:rsid w:val="00277A97"/>
    <w:rsid w:val="00281460"/>
    <w:rsid w:val="00291B40"/>
    <w:rsid w:val="00295CAF"/>
    <w:rsid w:val="002B4008"/>
    <w:rsid w:val="002D0E8E"/>
    <w:rsid w:val="00301189"/>
    <w:rsid w:val="00302EAD"/>
    <w:rsid w:val="00323E09"/>
    <w:rsid w:val="00333932"/>
    <w:rsid w:val="003518AA"/>
    <w:rsid w:val="00352165"/>
    <w:rsid w:val="00353182"/>
    <w:rsid w:val="00354A6C"/>
    <w:rsid w:val="003565D9"/>
    <w:rsid w:val="003602E1"/>
    <w:rsid w:val="0037026F"/>
    <w:rsid w:val="00371240"/>
    <w:rsid w:val="00374731"/>
    <w:rsid w:val="00376E59"/>
    <w:rsid w:val="003919F9"/>
    <w:rsid w:val="003A4E8B"/>
    <w:rsid w:val="003C38B5"/>
    <w:rsid w:val="003C5D99"/>
    <w:rsid w:val="003E2F59"/>
    <w:rsid w:val="003F0789"/>
    <w:rsid w:val="00401882"/>
    <w:rsid w:val="0040384D"/>
    <w:rsid w:val="004059E5"/>
    <w:rsid w:val="004100C8"/>
    <w:rsid w:val="00411DBD"/>
    <w:rsid w:val="00412ACE"/>
    <w:rsid w:val="00431249"/>
    <w:rsid w:val="00434C19"/>
    <w:rsid w:val="00450810"/>
    <w:rsid w:val="00473C66"/>
    <w:rsid w:val="00477144"/>
    <w:rsid w:val="00491380"/>
    <w:rsid w:val="0049459F"/>
    <w:rsid w:val="004A38DD"/>
    <w:rsid w:val="004B43AE"/>
    <w:rsid w:val="004C30ED"/>
    <w:rsid w:val="004C4F29"/>
    <w:rsid w:val="004D5675"/>
    <w:rsid w:val="00523639"/>
    <w:rsid w:val="00531FE5"/>
    <w:rsid w:val="005402FA"/>
    <w:rsid w:val="00545AE6"/>
    <w:rsid w:val="00583C39"/>
    <w:rsid w:val="00587F28"/>
    <w:rsid w:val="005909CF"/>
    <w:rsid w:val="00591E71"/>
    <w:rsid w:val="005A0D41"/>
    <w:rsid w:val="005A2D24"/>
    <w:rsid w:val="005E6057"/>
    <w:rsid w:val="00607BF1"/>
    <w:rsid w:val="00630D4D"/>
    <w:rsid w:val="00632A74"/>
    <w:rsid w:val="00663BF6"/>
    <w:rsid w:val="006A0D1A"/>
    <w:rsid w:val="006A206B"/>
    <w:rsid w:val="006A4655"/>
    <w:rsid w:val="006B29F3"/>
    <w:rsid w:val="006B2B3C"/>
    <w:rsid w:val="006B5A10"/>
    <w:rsid w:val="006C1D81"/>
    <w:rsid w:val="006C6D69"/>
    <w:rsid w:val="006C7038"/>
    <w:rsid w:val="006E73EF"/>
    <w:rsid w:val="007028E3"/>
    <w:rsid w:val="00714D4D"/>
    <w:rsid w:val="00746B2D"/>
    <w:rsid w:val="007604BB"/>
    <w:rsid w:val="00761A3F"/>
    <w:rsid w:val="00785232"/>
    <w:rsid w:val="007853ED"/>
    <w:rsid w:val="007A21EB"/>
    <w:rsid w:val="007B1A93"/>
    <w:rsid w:val="007B3F9E"/>
    <w:rsid w:val="007B51AE"/>
    <w:rsid w:val="007C36C9"/>
    <w:rsid w:val="007D6401"/>
    <w:rsid w:val="007E01E4"/>
    <w:rsid w:val="007F7107"/>
    <w:rsid w:val="00800D4C"/>
    <w:rsid w:val="0081030F"/>
    <w:rsid w:val="0082087D"/>
    <w:rsid w:val="0082216D"/>
    <w:rsid w:val="00835771"/>
    <w:rsid w:val="00840730"/>
    <w:rsid w:val="00842933"/>
    <w:rsid w:val="00850241"/>
    <w:rsid w:val="0086082C"/>
    <w:rsid w:val="00861A48"/>
    <w:rsid w:val="00864ADC"/>
    <w:rsid w:val="00873A66"/>
    <w:rsid w:val="00880153"/>
    <w:rsid w:val="00880F97"/>
    <w:rsid w:val="0088133A"/>
    <w:rsid w:val="0089285E"/>
    <w:rsid w:val="0089436C"/>
    <w:rsid w:val="008953FF"/>
    <w:rsid w:val="008A6665"/>
    <w:rsid w:val="008D365C"/>
    <w:rsid w:val="008D50F2"/>
    <w:rsid w:val="009030BF"/>
    <w:rsid w:val="0091032F"/>
    <w:rsid w:val="00914368"/>
    <w:rsid w:val="00931076"/>
    <w:rsid w:val="009345D9"/>
    <w:rsid w:val="00934B15"/>
    <w:rsid w:val="00940C87"/>
    <w:rsid w:val="00941A76"/>
    <w:rsid w:val="00942B62"/>
    <w:rsid w:val="0095323B"/>
    <w:rsid w:val="00956A0C"/>
    <w:rsid w:val="00956BD9"/>
    <w:rsid w:val="009603A9"/>
    <w:rsid w:val="00962489"/>
    <w:rsid w:val="009674D2"/>
    <w:rsid w:val="00990C2C"/>
    <w:rsid w:val="00991315"/>
    <w:rsid w:val="009E1844"/>
    <w:rsid w:val="009F0D1B"/>
    <w:rsid w:val="009F696D"/>
    <w:rsid w:val="009F6BC6"/>
    <w:rsid w:val="00A17328"/>
    <w:rsid w:val="00A21A02"/>
    <w:rsid w:val="00A229F7"/>
    <w:rsid w:val="00A23A20"/>
    <w:rsid w:val="00A268B9"/>
    <w:rsid w:val="00A2703A"/>
    <w:rsid w:val="00A33DFF"/>
    <w:rsid w:val="00A35115"/>
    <w:rsid w:val="00A36D9A"/>
    <w:rsid w:val="00A46C33"/>
    <w:rsid w:val="00A554AB"/>
    <w:rsid w:val="00A57062"/>
    <w:rsid w:val="00A92B53"/>
    <w:rsid w:val="00A94FA6"/>
    <w:rsid w:val="00AA49A0"/>
    <w:rsid w:val="00AA6710"/>
    <w:rsid w:val="00AB0681"/>
    <w:rsid w:val="00AD520B"/>
    <w:rsid w:val="00B037B6"/>
    <w:rsid w:val="00B257E0"/>
    <w:rsid w:val="00B425C3"/>
    <w:rsid w:val="00B440AD"/>
    <w:rsid w:val="00B53CEE"/>
    <w:rsid w:val="00B53E7E"/>
    <w:rsid w:val="00B6342E"/>
    <w:rsid w:val="00B7113F"/>
    <w:rsid w:val="00BA25DA"/>
    <w:rsid w:val="00BA4E89"/>
    <w:rsid w:val="00BA73B6"/>
    <w:rsid w:val="00BA7E27"/>
    <w:rsid w:val="00BB2603"/>
    <w:rsid w:val="00BB4FCD"/>
    <w:rsid w:val="00BC04E9"/>
    <w:rsid w:val="00BD13EA"/>
    <w:rsid w:val="00BD55CC"/>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895"/>
    <w:rsid w:val="00CC4946"/>
    <w:rsid w:val="00D1710A"/>
    <w:rsid w:val="00D270A4"/>
    <w:rsid w:val="00D30109"/>
    <w:rsid w:val="00D31FE9"/>
    <w:rsid w:val="00D34E1B"/>
    <w:rsid w:val="00D376BA"/>
    <w:rsid w:val="00D45634"/>
    <w:rsid w:val="00D5568A"/>
    <w:rsid w:val="00D63D73"/>
    <w:rsid w:val="00D64452"/>
    <w:rsid w:val="00D66E1E"/>
    <w:rsid w:val="00D75722"/>
    <w:rsid w:val="00D80CF5"/>
    <w:rsid w:val="00DA5BBA"/>
    <w:rsid w:val="00DA68B4"/>
    <w:rsid w:val="00DB26D2"/>
    <w:rsid w:val="00DB67C9"/>
    <w:rsid w:val="00DC04B2"/>
    <w:rsid w:val="00DC0C95"/>
    <w:rsid w:val="00DD1E52"/>
    <w:rsid w:val="00DD6580"/>
    <w:rsid w:val="00E17C72"/>
    <w:rsid w:val="00E209E8"/>
    <w:rsid w:val="00E21FC6"/>
    <w:rsid w:val="00E32E78"/>
    <w:rsid w:val="00E431A9"/>
    <w:rsid w:val="00E669E2"/>
    <w:rsid w:val="00E76135"/>
    <w:rsid w:val="00E82F4F"/>
    <w:rsid w:val="00E90479"/>
    <w:rsid w:val="00E92581"/>
    <w:rsid w:val="00EC2844"/>
    <w:rsid w:val="00EC5500"/>
    <w:rsid w:val="00EE6E6F"/>
    <w:rsid w:val="00EF6C6C"/>
    <w:rsid w:val="00F02DF6"/>
    <w:rsid w:val="00F056FC"/>
    <w:rsid w:val="00F10476"/>
    <w:rsid w:val="00F135D8"/>
    <w:rsid w:val="00F31299"/>
    <w:rsid w:val="00F3534A"/>
    <w:rsid w:val="00F51609"/>
    <w:rsid w:val="00F81006"/>
    <w:rsid w:val="00F85325"/>
    <w:rsid w:val="00FA514A"/>
    <w:rsid w:val="00FD032A"/>
    <w:rsid w:val="00FD17A1"/>
    <w:rsid w:val="00FD22B1"/>
    <w:rsid w:val="00FE539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D17A1"/>
    <w:rPr>
      <w:sz w:val="26"/>
      <w:szCs w:val="24"/>
    </w:rPr>
  </w:style>
  <w:style w:type="paragraph" w:styleId="Heading1">
    <w:name w:val="heading 1"/>
    <w:basedOn w:val="BodyText"/>
    <w:next w:val="BodyText"/>
    <w:rsid w:val="00FD17A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D17A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D17A1"/>
    <w:pPr>
      <w:spacing w:before="560" w:line="320" w:lineRule="exact"/>
      <w:ind w:left="0" w:firstLine="0"/>
      <w:outlineLvl w:val="2"/>
    </w:pPr>
    <w:rPr>
      <w:sz w:val="26"/>
    </w:rPr>
  </w:style>
  <w:style w:type="paragraph" w:styleId="Heading4">
    <w:name w:val="heading 4"/>
    <w:basedOn w:val="Heading3"/>
    <w:next w:val="BodyText"/>
    <w:qFormat/>
    <w:rsid w:val="00FD17A1"/>
    <w:pPr>
      <w:spacing w:before="480"/>
      <w:outlineLvl w:val="3"/>
    </w:pPr>
    <w:rPr>
      <w:b w:val="0"/>
      <w:i/>
      <w:sz w:val="24"/>
    </w:rPr>
  </w:style>
  <w:style w:type="paragraph" w:styleId="Heading5">
    <w:name w:val="heading 5"/>
    <w:basedOn w:val="Heading4"/>
    <w:next w:val="BodyText"/>
    <w:qFormat/>
    <w:rsid w:val="00FD17A1"/>
    <w:pPr>
      <w:outlineLvl w:val="4"/>
    </w:pPr>
    <w:rPr>
      <w:rFonts w:ascii="Times New Roman" w:hAnsi="Times New Roman"/>
      <w:sz w:val="26"/>
    </w:rPr>
  </w:style>
  <w:style w:type="paragraph" w:styleId="Heading6">
    <w:name w:val="heading 6"/>
    <w:basedOn w:val="BodyText"/>
    <w:next w:val="BodyText"/>
    <w:rsid w:val="00FD17A1"/>
    <w:pPr>
      <w:spacing w:after="60"/>
      <w:jc w:val="left"/>
      <w:outlineLvl w:val="5"/>
    </w:pPr>
    <w:rPr>
      <w:i/>
      <w:sz w:val="22"/>
    </w:rPr>
  </w:style>
  <w:style w:type="paragraph" w:styleId="Heading7">
    <w:name w:val="heading 7"/>
    <w:basedOn w:val="BodyText"/>
    <w:next w:val="BodyText"/>
    <w:rsid w:val="00FD17A1"/>
    <w:pPr>
      <w:spacing w:after="60" w:line="240" w:lineRule="auto"/>
      <w:jc w:val="left"/>
      <w:outlineLvl w:val="6"/>
    </w:pPr>
    <w:rPr>
      <w:rFonts w:ascii="Arial" w:hAnsi="Arial"/>
      <w:sz w:val="20"/>
    </w:rPr>
  </w:style>
  <w:style w:type="paragraph" w:styleId="Heading8">
    <w:name w:val="heading 8"/>
    <w:basedOn w:val="BodyText"/>
    <w:next w:val="BodyText"/>
    <w:rsid w:val="00FD17A1"/>
    <w:pPr>
      <w:spacing w:after="60" w:line="240" w:lineRule="auto"/>
      <w:jc w:val="left"/>
      <w:outlineLvl w:val="7"/>
    </w:pPr>
    <w:rPr>
      <w:rFonts w:ascii="Arial" w:hAnsi="Arial"/>
      <w:i/>
      <w:sz w:val="20"/>
    </w:rPr>
  </w:style>
  <w:style w:type="paragraph" w:styleId="Heading9">
    <w:name w:val="heading 9"/>
    <w:basedOn w:val="BodyText"/>
    <w:next w:val="BodyText"/>
    <w:rsid w:val="00FD17A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D17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17A1"/>
  </w:style>
  <w:style w:type="paragraph" w:styleId="BodyText">
    <w:name w:val="Body Text"/>
    <w:qFormat/>
    <w:rsid w:val="00FD17A1"/>
    <w:pPr>
      <w:spacing w:before="240" w:line="320" w:lineRule="atLeast"/>
      <w:jc w:val="both"/>
    </w:pPr>
    <w:rPr>
      <w:sz w:val="26"/>
    </w:rPr>
  </w:style>
  <w:style w:type="paragraph" w:styleId="Footer">
    <w:name w:val="footer"/>
    <w:basedOn w:val="BodyText"/>
    <w:semiHidden/>
    <w:rsid w:val="00FD17A1"/>
    <w:pPr>
      <w:spacing w:before="80" w:line="200" w:lineRule="exact"/>
      <w:ind w:right="6"/>
      <w:jc w:val="left"/>
    </w:pPr>
    <w:rPr>
      <w:caps/>
      <w:spacing w:val="-4"/>
      <w:sz w:val="16"/>
    </w:rPr>
  </w:style>
  <w:style w:type="paragraph" w:customStyle="1" w:styleId="FooterEnd">
    <w:name w:val="Footer End"/>
    <w:basedOn w:val="Footer"/>
    <w:rsid w:val="00FD17A1"/>
    <w:pPr>
      <w:spacing w:before="0" w:line="20" w:lineRule="exact"/>
    </w:pPr>
  </w:style>
  <w:style w:type="paragraph" w:styleId="Header">
    <w:name w:val="header"/>
    <w:basedOn w:val="BodyText"/>
    <w:rsid w:val="00FD17A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D17A1"/>
    <w:pPr>
      <w:spacing w:line="20" w:lineRule="exact"/>
    </w:pPr>
    <w:rPr>
      <w:sz w:val="16"/>
    </w:rPr>
  </w:style>
  <w:style w:type="paragraph" w:customStyle="1" w:styleId="HeaderEven">
    <w:name w:val="Header Even"/>
    <w:basedOn w:val="Header"/>
    <w:semiHidden/>
    <w:rsid w:val="00FD17A1"/>
  </w:style>
  <w:style w:type="paragraph" w:customStyle="1" w:styleId="HeaderOdd">
    <w:name w:val="Header Odd"/>
    <w:basedOn w:val="Header"/>
    <w:semiHidden/>
    <w:rsid w:val="00FD17A1"/>
  </w:style>
  <w:style w:type="character" w:styleId="PageNumber">
    <w:name w:val="page number"/>
    <w:basedOn w:val="DefaultParagraphFont"/>
    <w:rsid w:val="00FD17A1"/>
    <w:rPr>
      <w:rFonts w:ascii="Arial" w:hAnsi="Arial"/>
      <w:b/>
      <w:sz w:val="16"/>
    </w:rPr>
  </w:style>
  <w:style w:type="paragraph" w:customStyle="1" w:styleId="Abbreviation">
    <w:name w:val="Abbreviation"/>
    <w:basedOn w:val="BodyText"/>
    <w:rsid w:val="00FD17A1"/>
    <w:pPr>
      <w:spacing w:before="120"/>
      <w:ind w:left="2381" w:hanging="2381"/>
      <w:jc w:val="left"/>
    </w:pPr>
  </w:style>
  <w:style w:type="paragraph" w:customStyle="1" w:styleId="Box">
    <w:name w:val="Box"/>
    <w:basedOn w:val="BodyText"/>
    <w:qFormat/>
    <w:rsid w:val="00FD17A1"/>
    <w:pPr>
      <w:keepNext/>
      <w:spacing w:before="120" w:line="280" w:lineRule="atLeast"/>
    </w:pPr>
    <w:rPr>
      <w:rFonts w:ascii="Arial" w:hAnsi="Arial"/>
      <w:sz w:val="22"/>
    </w:rPr>
  </w:style>
  <w:style w:type="paragraph" w:customStyle="1" w:styleId="BoxContinued">
    <w:name w:val="Box Continued"/>
    <w:basedOn w:val="BodyText"/>
    <w:next w:val="BodyText"/>
    <w:semiHidden/>
    <w:rsid w:val="00FD17A1"/>
    <w:pPr>
      <w:spacing w:before="180" w:line="220" w:lineRule="exact"/>
      <w:jc w:val="right"/>
    </w:pPr>
    <w:rPr>
      <w:rFonts w:ascii="Arial" w:hAnsi="Arial"/>
      <w:sz w:val="18"/>
    </w:rPr>
  </w:style>
  <w:style w:type="paragraph" w:customStyle="1" w:styleId="BoxHeading1">
    <w:name w:val="Box Heading 1"/>
    <w:basedOn w:val="BodyText"/>
    <w:next w:val="Box"/>
    <w:rsid w:val="00FD17A1"/>
    <w:pPr>
      <w:keepNext/>
      <w:spacing w:before="200" w:line="280" w:lineRule="atLeast"/>
    </w:pPr>
    <w:rPr>
      <w:rFonts w:ascii="Arial" w:hAnsi="Arial"/>
      <w:b/>
      <w:sz w:val="22"/>
    </w:rPr>
  </w:style>
  <w:style w:type="paragraph" w:customStyle="1" w:styleId="BoxHeading2">
    <w:name w:val="Box Heading 2"/>
    <w:basedOn w:val="BoxHeading1"/>
    <w:next w:val="Normal"/>
    <w:rsid w:val="00FD17A1"/>
    <w:rPr>
      <w:b w:val="0"/>
      <w:i/>
    </w:rPr>
  </w:style>
  <w:style w:type="paragraph" w:customStyle="1" w:styleId="BoxListBullet">
    <w:name w:val="Box List Bullet"/>
    <w:basedOn w:val="BodyText"/>
    <w:rsid w:val="00FD17A1"/>
    <w:pPr>
      <w:keepNext/>
      <w:numPr>
        <w:numId w:val="1"/>
      </w:numPr>
      <w:spacing w:before="60" w:line="280" w:lineRule="atLeast"/>
    </w:pPr>
    <w:rPr>
      <w:rFonts w:ascii="Arial" w:hAnsi="Arial"/>
      <w:sz w:val="22"/>
    </w:rPr>
  </w:style>
  <w:style w:type="paragraph" w:customStyle="1" w:styleId="BoxListBullet2">
    <w:name w:val="Box List Bullet 2"/>
    <w:basedOn w:val="BodyText"/>
    <w:rsid w:val="00FD17A1"/>
    <w:pPr>
      <w:keepNext/>
      <w:numPr>
        <w:numId w:val="2"/>
      </w:numPr>
      <w:spacing w:before="60" w:line="280" w:lineRule="atLeast"/>
    </w:pPr>
    <w:rPr>
      <w:rFonts w:ascii="Arial" w:hAnsi="Arial"/>
      <w:sz w:val="22"/>
    </w:rPr>
  </w:style>
  <w:style w:type="paragraph" w:customStyle="1" w:styleId="BoxListNumber">
    <w:name w:val="Box List Number"/>
    <w:basedOn w:val="BodyText"/>
    <w:rsid w:val="00FD17A1"/>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FD17A1"/>
    <w:pPr>
      <w:numPr>
        <w:ilvl w:val="1"/>
      </w:numPr>
    </w:pPr>
  </w:style>
  <w:style w:type="paragraph" w:customStyle="1" w:styleId="BoxQuote">
    <w:name w:val="Box Quote"/>
    <w:basedOn w:val="BodyText"/>
    <w:next w:val="Box"/>
    <w:rsid w:val="00FD17A1"/>
    <w:pPr>
      <w:keepNext/>
      <w:spacing w:before="60" w:line="260" w:lineRule="exact"/>
      <w:ind w:left="284"/>
    </w:pPr>
    <w:rPr>
      <w:rFonts w:ascii="Arial" w:hAnsi="Arial"/>
      <w:sz w:val="20"/>
    </w:rPr>
  </w:style>
  <w:style w:type="paragraph" w:customStyle="1" w:styleId="Note">
    <w:name w:val="Note"/>
    <w:basedOn w:val="BodyText"/>
    <w:next w:val="BodyText"/>
    <w:rsid w:val="00FD17A1"/>
    <w:pPr>
      <w:keepLines/>
      <w:spacing w:before="80" w:line="220" w:lineRule="exact"/>
    </w:pPr>
    <w:rPr>
      <w:rFonts w:ascii="Arial" w:hAnsi="Arial"/>
      <w:sz w:val="18"/>
    </w:rPr>
  </w:style>
  <w:style w:type="paragraph" w:customStyle="1" w:styleId="Source">
    <w:name w:val="Source"/>
    <w:basedOn w:val="Note"/>
    <w:next w:val="BodyText"/>
    <w:rsid w:val="00FD17A1"/>
    <w:pPr>
      <w:spacing w:after="120"/>
    </w:pPr>
  </w:style>
  <w:style w:type="paragraph" w:customStyle="1" w:styleId="BoxSource">
    <w:name w:val="Box Source"/>
    <w:basedOn w:val="Source"/>
    <w:next w:val="BodyText"/>
    <w:rsid w:val="00FD17A1"/>
    <w:pPr>
      <w:spacing w:before="180" w:after="0"/>
    </w:pPr>
  </w:style>
  <w:style w:type="paragraph" w:customStyle="1" w:styleId="BoxSpaceAbove">
    <w:name w:val="Box Space Above"/>
    <w:basedOn w:val="BodyText"/>
    <w:rsid w:val="00FD17A1"/>
    <w:pPr>
      <w:keepNext/>
      <w:spacing w:before="360" w:line="80" w:lineRule="exact"/>
      <w:jc w:val="left"/>
    </w:pPr>
  </w:style>
  <w:style w:type="paragraph" w:styleId="Caption">
    <w:name w:val="caption"/>
    <w:basedOn w:val="Normal"/>
    <w:next w:val="BodyText"/>
    <w:rsid w:val="00FD17A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D17A1"/>
    <w:pPr>
      <w:spacing w:before="120" w:after="0"/>
      <w:ind w:left="1304" w:hanging="1304"/>
    </w:pPr>
    <w:rPr>
      <w:sz w:val="24"/>
    </w:rPr>
  </w:style>
  <w:style w:type="paragraph" w:customStyle="1" w:styleId="BoxSubtitle">
    <w:name w:val="Box Subtitle"/>
    <w:basedOn w:val="BoxTitle"/>
    <w:next w:val="Normal"/>
    <w:rsid w:val="00FD17A1"/>
    <w:pPr>
      <w:spacing w:after="80" w:line="200" w:lineRule="exact"/>
      <w:ind w:firstLine="0"/>
    </w:pPr>
    <w:rPr>
      <w:b w:val="0"/>
      <w:sz w:val="20"/>
    </w:rPr>
  </w:style>
  <w:style w:type="paragraph" w:customStyle="1" w:styleId="Chapter">
    <w:name w:val="Chapter"/>
    <w:basedOn w:val="Heading1"/>
    <w:next w:val="BodyText"/>
    <w:semiHidden/>
    <w:rsid w:val="00FD17A1"/>
    <w:pPr>
      <w:ind w:left="0" w:firstLine="0"/>
      <w:outlineLvl w:val="9"/>
    </w:pPr>
  </w:style>
  <w:style w:type="paragraph" w:customStyle="1" w:styleId="ChapterSummary">
    <w:name w:val="Chapter Summary"/>
    <w:basedOn w:val="BodyText"/>
    <w:rsid w:val="00FD17A1"/>
    <w:pPr>
      <w:ind w:left="907"/>
    </w:pPr>
    <w:rPr>
      <w:rFonts w:ascii="Arial" w:hAnsi="Arial"/>
      <w:b/>
      <w:sz w:val="22"/>
    </w:rPr>
  </w:style>
  <w:style w:type="character" w:styleId="CommentReference">
    <w:name w:val="annotation reference"/>
    <w:basedOn w:val="DefaultParagraphFont"/>
    <w:semiHidden/>
    <w:rsid w:val="00FD17A1"/>
    <w:rPr>
      <w:b/>
      <w:vanish/>
      <w:color w:val="FF00FF"/>
      <w:sz w:val="20"/>
    </w:rPr>
  </w:style>
  <w:style w:type="paragraph" w:styleId="CommentText">
    <w:name w:val="annotation text"/>
    <w:basedOn w:val="Normal"/>
    <w:link w:val="CommentTextChar"/>
    <w:semiHidden/>
    <w:rsid w:val="00FD17A1"/>
    <w:pPr>
      <w:spacing w:before="120" w:line="240" w:lineRule="atLeast"/>
      <w:ind w:left="567" w:hanging="567"/>
    </w:pPr>
    <w:rPr>
      <w:sz w:val="20"/>
    </w:rPr>
  </w:style>
  <w:style w:type="paragraph" w:customStyle="1" w:styleId="Continued">
    <w:name w:val="Continued"/>
    <w:basedOn w:val="BoxContinued"/>
    <w:next w:val="BodyText"/>
    <w:rsid w:val="00FD17A1"/>
  </w:style>
  <w:style w:type="character" w:customStyle="1" w:styleId="DocumentInfo">
    <w:name w:val="Document Info"/>
    <w:basedOn w:val="DefaultParagraphFont"/>
    <w:semiHidden/>
    <w:rsid w:val="00FD17A1"/>
    <w:rPr>
      <w:rFonts w:ascii="Arial" w:hAnsi="Arial"/>
      <w:sz w:val="14"/>
    </w:rPr>
  </w:style>
  <w:style w:type="character" w:customStyle="1" w:styleId="DraftingNote">
    <w:name w:val="Drafting Note"/>
    <w:basedOn w:val="DefaultParagraphFont"/>
    <w:rsid w:val="00FD17A1"/>
    <w:rPr>
      <w:b/>
      <w:color w:val="FF0000"/>
      <w:sz w:val="24"/>
      <w:u w:val="dotted"/>
    </w:rPr>
  </w:style>
  <w:style w:type="paragraph" w:customStyle="1" w:styleId="Figure">
    <w:name w:val="Figure"/>
    <w:basedOn w:val="BodyText"/>
    <w:rsid w:val="00FD17A1"/>
    <w:pPr>
      <w:keepNext/>
      <w:spacing w:before="120" w:after="120" w:line="240" w:lineRule="atLeast"/>
      <w:jc w:val="center"/>
    </w:pPr>
  </w:style>
  <w:style w:type="paragraph" w:customStyle="1" w:styleId="FigureTitle">
    <w:name w:val="Figure Title"/>
    <w:basedOn w:val="Caption"/>
    <w:next w:val="Subtitle"/>
    <w:rsid w:val="00FD17A1"/>
    <w:rPr>
      <w:sz w:val="24"/>
    </w:rPr>
  </w:style>
  <w:style w:type="paragraph" w:styleId="Subtitle">
    <w:name w:val="Subtitle"/>
    <w:basedOn w:val="Caption"/>
    <w:link w:val="SubtitleChar"/>
    <w:rsid w:val="00FD17A1"/>
    <w:pPr>
      <w:spacing w:before="0" w:line="200" w:lineRule="exact"/>
      <w:ind w:firstLine="0"/>
    </w:pPr>
    <w:rPr>
      <w:b w:val="0"/>
      <w:sz w:val="20"/>
    </w:rPr>
  </w:style>
  <w:style w:type="paragraph" w:customStyle="1" w:styleId="Finding">
    <w:name w:val="Finding"/>
    <w:basedOn w:val="BodyText"/>
    <w:rsid w:val="00FD17A1"/>
    <w:pPr>
      <w:keepLines/>
      <w:spacing w:before="180"/>
    </w:pPr>
    <w:rPr>
      <w:i/>
    </w:rPr>
  </w:style>
  <w:style w:type="paragraph" w:customStyle="1" w:styleId="FindingBullet">
    <w:name w:val="Finding Bullet"/>
    <w:basedOn w:val="Finding"/>
    <w:rsid w:val="00FD17A1"/>
    <w:pPr>
      <w:numPr>
        <w:numId w:val="3"/>
      </w:numPr>
      <w:spacing w:before="80"/>
    </w:pPr>
  </w:style>
  <w:style w:type="paragraph" w:customStyle="1" w:styleId="FindingNoTitle">
    <w:name w:val="Finding NoTitle"/>
    <w:basedOn w:val="Finding"/>
    <w:semiHidden/>
    <w:rsid w:val="00FD17A1"/>
    <w:pPr>
      <w:spacing w:before="240"/>
    </w:pPr>
  </w:style>
  <w:style w:type="paragraph" w:customStyle="1" w:styleId="RecTitle">
    <w:name w:val="Rec Title"/>
    <w:basedOn w:val="BodyText"/>
    <w:next w:val="Normal"/>
    <w:rsid w:val="00FD17A1"/>
    <w:pPr>
      <w:keepNext/>
      <w:keepLines/>
    </w:pPr>
    <w:rPr>
      <w:caps/>
      <w:sz w:val="20"/>
    </w:rPr>
  </w:style>
  <w:style w:type="paragraph" w:customStyle="1" w:styleId="FindingTitle">
    <w:name w:val="Finding Title"/>
    <w:basedOn w:val="RecTitle"/>
    <w:next w:val="Finding"/>
    <w:rsid w:val="00FD17A1"/>
    <w:pPr>
      <w:framePr w:wrap="notBeside" w:hAnchor="text"/>
    </w:pPr>
  </w:style>
  <w:style w:type="character" w:styleId="FootnoteReference">
    <w:name w:val="footnote reference"/>
    <w:basedOn w:val="DefaultParagraphFont"/>
    <w:semiHidden/>
    <w:rsid w:val="00FD17A1"/>
    <w:rPr>
      <w:rFonts w:ascii="Times New Roman" w:hAnsi="Times New Roman"/>
      <w:position w:val="6"/>
      <w:sz w:val="22"/>
      <w:vertAlign w:val="baseline"/>
    </w:rPr>
  </w:style>
  <w:style w:type="paragraph" w:styleId="FootnoteText">
    <w:name w:val="footnote text"/>
    <w:basedOn w:val="BodyText"/>
    <w:rsid w:val="00FD17A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FD17A1"/>
    <w:pPr>
      <w:spacing w:before="360" w:after="120"/>
    </w:pPr>
    <w:rPr>
      <w:rFonts w:ascii="Arial" w:hAnsi="Arial"/>
      <w:sz w:val="24"/>
    </w:rPr>
  </w:style>
  <w:style w:type="paragraph" w:customStyle="1" w:styleId="Jurisdictioncommentsbodytext">
    <w:name w:val="Jurisdiction comments body text"/>
    <w:rsid w:val="00FD17A1"/>
    <w:pPr>
      <w:spacing w:after="140"/>
      <w:jc w:val="both"/>
    </w:pPr>
    <w:rPr>
      <w:rFonts w:ascii="Arial" w:hAnsi="Arial"/>
      <w:sz w:val="24"/>
      <w:lang w:eastAsia="en-US"/>
    </w:rPr>
  </w:style>
  <w:style w:type="paragraph" w:customStyle="1" w:styleId="Jurisdictioncommentsheading">
    <w:name w:val="Jurisdiction comments heading"/>
    <w:rsid w:val="00FD17A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D17A1"/>
    <w:pPr>
      <w:numPr>
        <w:numId w:val="4"/>
      </w:numPr>
      <w:spacing w:after="140"/>
      <w:jc w:val="both"/>
    </w:pPr>
    <w:rPr>
      <w:rFonts w:ascii="Arial" w:hAnsi="Arial"/>
      <w:sz w:val="24"/>
      <w:lang w:eastAsia="en-US"/>
    </w:rPr>
  </w:style>
  <w:style w:type="paragraph" w:styleId="ListBullet">
    <w:name w:val="List Bullet"/>
    <w:basedOn w:val="BodyText"/>
    <w:rsid w:val="00FD17A1"/>
    <w:pPr>
      <w:numPr>
        <w:numId w:val="6"/>
      </w:numPr>
      <w:spacing w:before="120"/>
    </w:pPr>
  </w:style>
  <w:style w:type="paragraph" w:styleId="ListBullet2">
    <w:name w:val="List Bullet 2"/>
    <w:basedOn w:val="BodyText"/>
    <w:rsid w:val="00FD17A1"/>
    <w:pPr>
      <w:numPr>
        <w:numId w:val="8"/>
      </w:numPr>
      <w:spacing w:before="120"/>
    </w:pPr>
  </w:style>
  <w:style w:type="paragraph" w:styleId="ListBullet3">
    <w:name w:val="List Bullet 3"/>
    <w:basedOn w:val="BodyText"/>
    <w:rsid w:val="00FD17A1"/>
    <w:pPr>
      <w:numPr>
        <w:numId w:val="10"/>
      </w:numPr>
      <w:spacing w:before="120"/>
    </w:pPr>
  </w:style>
  <w:style w:type="paragraph" w:styleId="ListNumber">
    <w:name w:val="List Number"/>
    <w:basedOn w:val="BodyText"/>
    <w:rsid w:val="00FD17A1"/>
    <w:pPr>
      <w:numPr>
        <w:numId w:val="32"/>
      </w:numPr>
      <w:spacing w:before="120"/>
    </w:pPr>
  </w:style>
  <w:style w:type="paragraph" w:styleId="ListNumber2">
    <w:name w:val="List Number 2"/>
    <w:basedOn w:val="ListNumber"/>
    <w:rsid w:val="00FD17A1"/>
    <w:pPr>
      <w:numPr>
        <w:ilvl w:val="1"/>
      </w:numPr>
    </w:pPr>
  </w:style>
  <w:style w:type="paragraph" w:styleId="ListNumber3">
    <w:name w:val="List Number 3"/>
    <w:basedOn w:val="ListNumber2"/>
    <w:rsid w:val="00FD17A1"/>
    <w:pPr>
      <w:numPr>
        <w:ilvl w:val="2"/>
      </w:numPr>
    </w:pPr>
  </w:style>
  <w:style w:type="character" w:customStyle="1" w:styleId="NoteLabel">
    <w:name w:val="Note Label"/>
    <w:basedOn w:val="DefaultParagraphFont"/>
    <w:rsid w:val="00FD17A1"/>
    <w:rPr>
      <w:rFonts w:ascii="Arial" w:hAnsi="Arial"/>
      <w:b/>
      <w:position w:val="6"/>
      <w:sz w:val="18"/>
    </w:rPr>
  </w:style>
  <w:style w:type="paragraph" w:customStyle="1" w:styleId="PartDivider">
    <w:name w:val="Part Divider"/>
    <w:basedOn w:val="BodyText"/>
    <w:next w:val="BodyText"/>
    <w:semiHidden/>
    <w:rsid w:val="00FD17A1"/>
    <w:pPr>
      <w:spacing w:before="0" w:line="40" w:lineRule="exact"/>
      <w:jc w:val="right"/>
    </w:pPr>
    <w:rPr>
      <w:smallCaps/>
      <w:sz w:val="16"/>
    </w:rPr>
  </w:style>
  <w:style w:type="paragraph" w:customStyle="1" w:styleId="PartNumber">
    <w:name w:val="Part Number"/>
    <w:basedOn w:val="BodyText"/>
    <w:next w:val="BodyText"/>
    <w:semiHidden/>
    <w:rsid w:val="00FD17A1"/>
    <w:pPr>
      <w:spacing w:before="4000" w:line="320" w:lineRule="exact"/>
      <w:ind w:left="6634"/>
      <w:jc w:val="right"/>
    </w:pPr>
    <w:rPr>
      <w:smallCaps/>
      <w:spacing w:val="60"/>
      <w:sz w:val="32"/>
    </w:rPr>
  </w:style>
  <w:style w:type="paragraph" w:customStyle="1" w:styleId="PartTitle">
    <w:name w:val="Part Title"/>
    <w:basedOn w:val="BodyText"/>
    <w:semiHidden/>
    <w:rsid w:val="00FD17A1"/>
    <w:pPr>
      <w:spacing w:before="160" w:after="1360" w:line="520" w:lineRule="exact"/>
      <w:ind w:right="2381"/>
      <w:jc w:val="right"/>
    </w:pPr>
    <w:rPr>
      <w:smallCaps/>
      <w:sz w:val="52"/>
    </w:rPr>
  </w:style>
  <w:style w:type="paragraph" w:styleId="Quote">
    <w:name w:val="Quote"/>
    <w:basedOn w:val="BodyText"/>
    <w:next w:val="BodyText"/>
    <w:qFormat/>
    <w:rsid w:val="00FD17A1"/>
    <w:pPr>
      <w:spacing w:before="120" w:line="280" w:lineRule="exact"/>
      <w:ind w:left="340"/>
    </w:pPr>
    <w:rPr>
      <w:sz w:val="24"/>
    </w:rPr>
  </w:style>
  <w:style w:type="paragraph" w:customStyle="1" w:styleId="QuoteBullet">
    <w:name w:val="Quote Bullet"/>
    <w:basedOn w:val="Quote"/>
    <w:rsid w:val="00FD17A1"/>
    <w:pPr>
      <w:numPr>
        <w:numId w:val="14"/>
      </w:numPr>
    </w:pPr>
  </w:style>
  <w:style w:type="paragraph" w:customStyle="1" w:styleId="Rec">
    <w:name w:val="Rec"/>
    <w:basedOn w:val="BodyText"/>
    <w:rsid w:val="00FD17A1"/>
    <w:pPr>
      <w:keepLines/>
      <w:spacing w:before="180"/>
    </w:pPr>
    <w:rPr>
      <w:b/>
      <w:i/>
    </w:rPr>
  </w:style>
  <w:style w:type="paragraph" w:customStyle="1" w:styleId="RecBullet">
    <w:name w:val="Rec Bullet"/>
    <w:basedOn w:val="Rec"/>
    <w:rsid w:val="00FD17A1"/>
    <w:pPr>
      <w:numPr>
        <w:numId w:val="15"/>
      </w:numPr>
      <w:spacing w:before="80"/>
    </w:pPr>
  </w:style>
  <w:style w:type="paragraph" w:customStyle="1" w:styleId="RecB">
    <w:name w:val="RecB"/>
    <w:basedOn w:val="Normal"/>
    <w:semiHidden/>
    <w:rsid w:val="00FD17A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D17A1"/>
    <w:pPr>
      <w:numPr>
        <w:numId w:val="16"/>
      </w:numPr>
      <w:spacing w:before="80"/>
    </w:pPr>
  </w:style>
  <w:style w:type="paragraph" w:customStyle="1" w:styleId="RecBNoTitle">
    <w:name w:val="RecB NoTitle"/>
    <w:basedOn w:val="RecB"/>
    <w:semiHidden/>
    <w:rsid w:val="00FD17A1"/>
    <w:pPr>
      <w:spacing w:before="240"/>
    </w:pPr>
  </w:style>
  <w:style w:type="paragraph" w:customStyle="1" w:styleId="Reference">
    <w:name w:val="Reference"/>
    <w:basedOn w:val="BodyText"/>
    <w:rsid w:val="00FD17A1"/>
    <w:pPr>
      <w:spacing w:before="120"/>
      <w:ind w:left="340" w:hanging="340"/>
    </w:pPr>
  </w:style>
  <w:style w:type="paragraph" w:customStyle="1" w:styleId="SequenceInfo">
    <w:name w:val="Sequence Info"/>
    <w:basedOn w:val="BodyText"/>
    <w:semiHidden/>
    <w:rsid w:val="00FD17A1"/>
    <w:rPr>
      <w:vanish/>
      <w:sz w:val="16"/>
    </w:rPr>
  </w:style>
  <w:style w:type="paragraph" w:customStyle="1" w:styleId="SideNote">
    <w:name w:val="Side Note"/>
    <w:basedOn w:val="BodyText"/>
    <w:next w:val="BodyText"/>
    <w:semiHidden/>
    <w:rsid w:val="00FD17A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D17A1"/>
    <w:pPr>
      <w:framePr w:wrap="around"/>
      <w:numPr>
        <w:numId w:val="17"/>
      </w:numPr>
      <w:tabs>
        <w:tab w:val="left" w:pos="227"/>
      </w:tabs>
    </w:pPr>
  </w:style>
  <w:style w:type="paragraph" w:customStyle="1" w:styleId="SideNoteGraphic">
    <w:name w:val="Side Note Graphic"/>
    <w:basedOn w:val="SideNote"/>
    <w:next w:val="BodyText"/>
    <w:semiHidden/>
    <w:rsid w:val="00FD17A1"/>
    <w:pPr>
      <w:framePr w:wrap="around"/>
    </w:pPr>
  </w:style>
  <w:style w:type="paragraph" w:customStyle="1" w:styleId="TableBodyText">
    <w:name w:val="Table Body Text"/>
    <w:basedOn w:val="BodyText"/>
    <w:rsid w:val="00FD17A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D17A1"/>
    <w:pPr>
      <w:numPr>
        <w:numId w:val="18"/>
      </w:numPr>
      <w:jc w:val="left"/>
    </w:pPr>
  </w:style>
  <w:style w:type="paragraph" w:customStyle="1" w:styleId="TableColumnHeading">
    <w:name w:val="Table Column Heading"/>
    <w:basedOn w:val="TableBodyText"/>
    <w:rsid w:val="00FD17A1"/>
    <w:pPr>
      <w:spacing w:before="80" w:after="80"/>
    </w:pPr>
    <w:rPr>
      <w:i/>
    </w:rPr>
  </w:style>
  <w:style w:type="paragraph" w:styleId="TOC2">
    <w:name w:val="toc 2"/>
    <w:basedOn w:val="BodyText"/>
    <w:semiHidden/>
    <w:rsid w:val="00FD17A1"/>
    <w:pPr>
      <w:tabs>
        <w:tab w:val="right" w:pos="8789"/>
      </w:tabs>
      <w:ind w:left="510" w:right="851" w:hanging="510"/>
      <w:jc w:val="left"/>
    </w:pPr>
    <w:rPr>
      <w:b/>
    </w:rPr>
  </w:style>
  <w:style w:type="paragraph" w:styleId="TOC3">
    <w:name w:val="toc 3"/>
    <w:basedOn w:val="TOC2"/>
    <w:semiHidden/>
    <w:rsid w:val="00FD17A1"/>
    <w:pPr>
      <w:spacing w:before="60"/>
      <w:ind w:left="1190" w:hanging="680"/>
    </w:pPr>
    <w:rPr>
      <w:b w:val="0"/>
    </w:rPr>
  </w:style>
  <w:style w:type="paragraph" w:styleId="TableofFigures">
    <w:name w:val="table of figures"/>
    <w:basedOn w:val="TOC3"/>
    <w:next w:val="BodyText"/>
    <w:semiHidden/>
    <w:rsid w:val="00FD17A1"/>
    <w:pPr>
      <w:ind w:left="737" w:hanging="737"/>
    </w:pPr>
  </w:style>
  <w:style w:type="paragraph" w:customStyle="1" w:styleId="TableTitle">
    <w:name w:val="Table Title"/>
    <w:basedOn w:val="Caption"/>
    <w:next w:val="Subtitle"/>
    <w:rsid w:val="00FD17A1"/>
    <w:rPr>
      <w:sz w:val="24"/>
    </w:rPr>
  </w:style>
  <w:style w:type="paragraph" w:customStyle="1" w:styleId="TableUnitsRow">
    <w:name w:val="Table Units Row"/>
    <w:basedOn w:val="TableBodyText"/>
    <w:rsid w:val="00FD17A1"/>
    <w:pPr>
      <w:spacing w:before="80" w:after="80"/>
    </w:pPr>
  </w:style>
  <w:style w:type="paragraph" w:styleId="TOC1">
    <w:name w:val="toc 1"/>
    <w:basedOn w:val="Normal"/>
    <w:next w:val="TOC2"/>
    <w:semiHidden/>
    <w:rsid w:val="00FD17A1"/>
    <w:pPr>
      <w:tabs>
        <w:tab w:val="right" w:pos="8789"/>
      </w:tabs>
      <w:spacing w:before="480" w:after="60" w:line="320" w:lineRule="exact"/>
      <w:ind w:left="1191" w:right="851" w:hanging="1191"/>
    </w:pPr>
    <w:rPr>
      <w:b/>
      <w:caps/>
    </w:rPr>
  </w:style>
  <w:style w:type="paragraph" w:styleId="TOC4">
    <w:name w:val="toc 4"/>
    <w:basedOn w:val="TOC3"/>
    <w:semiHidden/>
    <w:rsid w:val="00FD17A1"/>
    <w:pPr>
      <w:ind w:left="1191" w:firstLine="0"/>
    </w:pPr>
  </w:style>
  <w:style w:type="paragraph" w:customStyle="1" w:styleId="RecBBullet2">
    <w:name w:val="RecB Bullet 2"/>
    <w:basedOn w:val="ListBullet2"/>
    <w:semiHidden/>
    <w:rsid w:val="00FD17A1"/>
    <w:pPr>
      <w:pBdr>
        <w:left w:val="single" w:sz="24" w:space="29" w:color="C0C0C0"/>
      </w:pBdr>
    </w:pPr>
    <w:rPr>
      <w:b/>
      <w:i/>
    </w:rPr>
  </w:style>
  <w:style w:type="character" w:customStyle="1" w:styleId="SubtitleChar">
    <w:name w:val="Subtitle Char"/>
    <w:basedOn w:val="DefaultParagraphFont"/>
    <w:link w:val="Subtitle"/>
    <w:rsid w:val="00FD17A1"/>
    <w:rPr>
      <w:rFonts w:ascii="Arial" w:hAnsi="Arial"/>
      <w:szCs w:val="24"/>
    </w:rPr>
  </w:style>
  <w:style w:type="paragraph" w:customStyle="1" w:styleId="BoxListBullet3">
    <w:name w:val="Box List Bullet 3"/>
    <w:basedOn w:val="ListBullet3"/>
    <w:rsid w:val="00FD17A1"/>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FD17A1"/>
    <w:rPr>
      <w:i/>
      <w:iCs/>
    </w:rPr>
  </w:style>
  <w:style w:type="paragraph" w:customStyle="1" w:styleId="BoxQuoteBullet">
    <w:name w:val="Box Quote Bullet"/>
    <w:basedOn w:val="BoxQuote"/>
    <w:next w:val="Box"/>
    <w:rsid w:val="00FD17A1"/>
    <w:pPr>
      <w:numPr>
        <w:numId w:val="45"/>
      </w:numPr>
      <w:ind w:left="568" w:hanging="284"/>
    </w:pPr>
  </w:style>
  <w:style w:type="paragraph" w:customStyle="1" w:styleId="InformationRequestBullet">
    <w:name w:val="Information Request Bullet"/>
    <w:basedOn w:val="ListBullet"/>
    <w:next w:val="BodyText"/>
    <w:rsid w:val="00FD17A1"/>
    <w:pPr>
      <w:numPr>
        <w:numId w:val="46"/>
      </w:numPr>
      <w:ind w:left="340" w:hanging="340"/>
    </w:pPr>
    <w:rPr>
      <w:rFonts w:ascii="Arial" w:hAnsi="Arial"/>
      <w:i/>
      <w:sz w:val="24"/>
    </w:rPr>
  </w:style>
  <w:style w:type="paragraph" w:customStyle="1" w:styleId="BoxSpaceBelow">
    <w:name w:val="Box Space Below"/>
    <w:basedOn w:val="Box"/>
    <w:rsid w:val="00FD17A1"/>
    <w:pPr>
      <w:keepNext w:val="0"/>
      <w:spacing w:before="60" w:after="60" w:line="80" w:lineRule="exact"/>
    </w:pPr>
    <w:rPr>
      <w:sz w:val="14"/>
    </w:rPr>
  </w:style>
  <w:style w:type="paragraph" w:customStyle="1" w:styleId="Author">
    <w:name w:val="Author"/>
    <w:basedOn w:val="Normal"/>
    <w:rsid w:val="00545AE6"/>
    <w:rPr>
      <w:rFonts w:ascii="Arial" w:hAnsi="Arial"/>
      <w:b/>
      <w:sz w:val="28"/>
    </w:rPr>
  </w:style>
  <w:style w:type="paragraph" w:styleId="BalloonText">
    <w:name w:val="Balloon Text"/>
    <w:basedOn w:val="Normal"/>
    <w:link w:val="BalloonTextChar"/>
    <w:rsid w:val="00FD17A1"/>
    <w:rPr>
      <w:rFonts w:ascii="Tahoma" w:hAnsi="Tahoma" w:cs="Tahoma"/>
      <w:sz w:val="16"/>
      <w:szCs w:val="16"/>
    </w:rPr>
  </w:style>
  <w:style w:type="character" w:customStyle="1" w:styleId="BalloonTextChar">
    <w:name w:val="Balloon Text Char"/>
    <w:basedOn w:val="DefaultParagraphFont"/>
    <w:link w:val="BalloonText"/>
    <w:rsid w:val="00FD17A1"/>
    <w:rPr>
      <w:rFonts w:ascii="Tahoma" w:hAnsi="Tahoma" w:cs="Tahoma"/>
      <w:sz w:val="16"/>
      <w:szCs w:val="16"/>
    </w:rPr>
  </w:style>
  <w:style w:type="paragraph" w:styleId="CommentSubject">
    <w:name w:val="annotation subject"/>
    <w:basedOn w:val="CommentText"/>
    <w:next w:val="CommentText"/>
    <w:link w:val="CommentSubjectChar"/>
    <w:rsid w:val="0004073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4073F"/>
    <w:rPr>
      <w:szCs w:val="24"/>
    </w:rPr>
  </w:style>
  <w:style w:type="character" w:customStyle="1" w:styleId="CommentSubjectChar">
    <w:name w:val="Comment Subject Char"/>
    <w:basedOn w:val="CommentTextChar"/>
    <w:link w:val="CommentSubject"/>
    <w:rsid w:val="0004073F"/>
    <w:rPr>
      <w:szCs w:val="24"/>
    </w:rPr>
  </w:style>
  <w:style w:type="paragraph" w:styleId="Revision">
    <w:name w:val="Revision"/>
    <w:hidden/>
    <w:uiPriority w:val="99"/>
    <w:semiHidden/>
    <w:rsid w:val="0082216D"/>
    <w:rPr>
      <w:sz w:val="26"/>
      <w:szCs w:val="24"/>
    </w:rPr>
  </w:style>
  <w:style w:type="paragraph" w:customStyle="1" w:styleId="AbstractHeading">
    <w:name w:val="AbstractHeading"/>
    <w:basedOn w:val="Normal"/>
    <w:rsid w:val="00B53CEE"/>
    <w:pPr>
      <w:spacing w:before="240" w:after="120" w:line="320" w:lineRule="atLeast"/>
      <w:ind w:left="907"/>
    </w:pPr>
    <w:rPr>
      <w:rFonts w:ascii="Arial" w:hAnsi="Arial"/>
      <w:b/>
      <w:sz w:val="22"/>
    </w:rPr>
  </w:style>
  <w:style w:type="paragraph" w:customStyle="1" w:styleId="AbstractText">
    <w:name w:val="AbstractText"/>
    <w:basedOn w:val="Normal"/>
    <w:rsid w:val="00B53CEE"/>
    <w:pPr>
      <w:spacing w:before="120" w:after="120" w:line="320" w:lineRule="atLeast"/>
      <w:ind w:left="907"/>
    </w:pPr>
    <w:rPr>
      <w:rFonts w:ascii="Arial" w:hAnsi="Arial"/>
      <w:sz w:val="22"/>
    </w:rPr>
  </w:style>
  <w:style w:type="paragraph" w:styleId="DocumentMap">
    <w:name w:val="Document Map"/>
    <w:basedOn w:val="Normal"/>
    <w:link w:val="DocumentMapChar"/>
    <w:rsid w:val="00034AC7"/>
    <w:rPr>
      <w:rFonts w:ascii="Tahoma" w:hAnsi="Tahoma" w:cs="Tahoma"/>
      <w:sz w:val="16"/>
      <w:szCs w:val="16"/>
    </w:rPr>
  </w:style>
  <w:style w:type="character" w:customStyle="1" w:styleId="DocumentMapChar">
    <w:name w:val="Document Map Char"/>
    <w:basedOn w:val="DefaultParagraphFont"/>
    <w:link w:val="DocumentMap"/>
    <w:rsid w:val="00034A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D17A1"/>
    <w:rPr>
      <w:sz w:val="26"/>
      <w:szCs w:val="24"/>
    </w:rPr>
  </w:style>
  <w:style w:type="paragraph" w:styleId="Heading1">
    <w:name w:val="heading 1"/>
    <w:basedOn w:val="BodyText"/>
    <w:next w:val="BodyText"/>
    <w:rsid w:val="00FD17A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D17A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D17A1"/>
    <w:pPr>
      <w:spacing w:before="560" w:line="320" w:lineRule="exact"/>
      <w:ind w:left="0" w:firstLine="0"/>
      <w:outlineLvl w:val="2"/>
    </w:pPr>
    <w:rPr>
      <w:sz w:val="26"/>
    </w:rPr>
  </w:style>
  <w:style w:type="paragraph" w:styleId="Heading4">
    <w:name w:val="heading 4"/>
    <w:basedOn w:val="Heading3"/>
    <w:next w:val="BodyText"/>
    <w:qFormat/>
    <w:rsid w:val="00FD17A1"/>
    <w:pPr>
      <w:spacing w:before="480"/>
      <w:outlineLvl w:val="3"/>
    </w:pPr>
    <w:rPr>
      <w:b w:val="0"/>
      <w:i/>
      <w:sz w:val="24"/>
    </w:rPr>
  </w:style>
  <w:style w:type="paragraph" w:styleId="Heading5">
    <w:name w:val="heading 5"/>
    <w:basedOn w:val="Heading4"/>
    <w:next w:val="BodyText"/>
    <w:qFormat/>
    <w:rsid w:val="00FD17A1"/>
    <w:pPr>
      <w:outlineLvl w:val="4"/>
    </w:pPr>
    <w:rPr>
      <w:rFonts w:ascii="Times New Roman" w:hAnsi="Times New Roman"/>
      <w:sz w:val="26"/>
    </w:rPr>
  </w:style>
  <w:style w:type="paragraph" w:styleId="Heading6">
    <w:name w:val="heading 6"/>
    <w:basedOn w:val="BodyText"/>
    <w:next w:val="BodyText"/>
    <w:rsid w:val="00FD17A1"/>
    <w:pPr>
      <w:spacing w:after="60"/>
      <w:jc w:val="left"/>
      <w:outlineLvl w:val="5"/>
    </w:pPr>
    <w:rPr>
      <w:i/>
      <w:sz w:val="22"/>
    </w:rPr>
  </w:style>
  <w:style w:type="paragraph" w:styleId="Heading7">
    <w:name w:val="heading 7"/>
    <w:basedOn w:val="BodyText"/>
    <w:next w:val="BodyText"/>
    <w:rsid w:val="00FD17A1"/>
    <w:pPr>
      <w:spacing w:after="60" w:line="240" w:lineRule="auto"/>
      <w:jc w:val="left"/>
      <w:outlineLvl w:val="6"/>
    </w:pPr>
    <w:rPr>
      <w:rFonts w:ascii="Arial" w:hAnsi="Arial"/>
      <w:sz w:val="20"/>
    </w:rPr>
  </w:style>
  <w:style w:type="paragraph" w:styleId="Heading8">
    <w:name w:val="heading 8"/>
    <w:basedOn w:val="BodyText"/>
    <w:next w:val="BodyText"/>
    <w:rsid w:val="00FD17A1"/>
    <w:pPr>
      <w:spacing w:after="60" w:line="240" w:lineRule="auto"/>
      <w:jc w:val="left"/>
      <w:outlineLvl w:val="7"/>
    </w:pPr>
    <w:rPr>
      <w:rFonts w:ascii="Arial" w:hAnsi="Arial"/>
      <w:i/>
      <w:sz w:val="20"/>
    </w:rPr>
  </w:style>
  <w:style w:type="paragraph" w:styleId="Heading9">
    <w:name w:val="heading 9"/>
    <w:basedOn w:val="BodyText"/>
    <w:next w:val="BodyText"/>
    <w:rsid w:val="00FD17A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D17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17A1"/>
  </w:style>
  <w:style w:type="paragraph" w:styleId="BodyText">
    <w:name w:val="Body Text"/>
    <w:qFormat/>
    <w:rsid w:val="00FD17A1"/>
    <w:pPr>
      <w:spacing w:before="240" w:line="320" w:lineRule="atLeast"/>
      <w:jc w:val="both"/>
    </w:pPr>
    <w:rPr>
      <w:sz w:val="26"/>
    </w:rPr>
  </w:style>
  <w:style w:type="paragraph" w:styleId="Footer">
    <w:name w:val="footer"/>
    <w:basedOn w:val="BodyText"/>
    <w:semiHidden/>
    <w:rsid w:val="00FD17A1"/>
    <w:pPr>
      <w:spacing w:before="80" w:line="200" w:lineRule="exact"/>
      <w:ind w:right="6"/>
      <w:jc w:val="left"/>
    </w:pPr>
    <w:rPr>
      <w:caps/>
      <w:spacing w:val="-4"/>
      <w:sz w:val="16"/>
    </w:rPr>
  </w:style>
  <w:style w:type="paragraph" w:customStyle="1" w:styleId="FooterEnd">
    <w:name w:val="Footer End"/>
    <w:basedOn w:val="Footer"/>
    <w:rsid w:val="00FD17A1"/>
    <w:pPr>
      <w:spacing w:before="0" w:line="20" w:lineRule="exact"/>
    </w:pPr>
  </w:style>
  <w:style w:type="paragraph" w:styleId="Header">
    <w:name w:val="header"/>
    <w:basedOn w:val="BodyText"/>
    <w:rsid w:val="00FD17A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D17A1"/>
    <w:pPr>
      <w:spacing w:line="20" w:lineRule="exact"/>
    </w:pPr>
    <w:rPr>
      <w:sz w:val="16"/>
    </w:rPr>
  </w:style>
  <w:style w:type="paragraph" w:customStyle="1" w:styleId="HeaderEven">
    <w:name w:val="Header Even"/>
    <w:basedOn w:val="Header"/>
    <w:semiHidden/>
    <w:rsid w:val="00FD17A1"/>
  </w:style>
  <w:style w:type="paragraph" w:customStyle="1" w:styleId="HeaderOdd">
    <w:name w:val="Header Odd"/>
    <w:basedOn w:val="Header"/>
    <w:semiHidden/>
    <w:rsid w:val="00FD17A1"/>
  </w:style>
  <w:style w:type="character" w:styleId="PageNumber">
    <w:name w:val="page number"/>
    <w:basedOn w:val="DefaultParagraphFont"/>
    <w:rsid w:val="00FD17A1"/>
    <w:rPr>
      <w:rFonts w:ascii="Arial" w:hAnsi="Arial"/>
      <w:b/>
      <w:sz w:val="16"/>
    </w:rPr>
  </w:style>
  <w:style w:type="paragraph" w:customStyle="1" w:styleId="Abbreviation">
    <w:name w:val="Abbreviation"/>
    <w:basedOn w:val="BodyText"/>
    <w:rsid w:val="00FD17A1"/>
    <w:pPr>
      <w:spacing w:before="120"/>
      <w:ind w:left="2381" w:hanging="2381"/>
      <w:jc w:val="left"/>
    </w:pPr>
  </w:style>
  <w:style w:type="paragraph" w:customStyle="1" w:styleId="Box">
    <w:name w:val="Box"/>
    <w:basedOn w:val="BodyText"/>
    <w:qFormat/>
    <w:rsid w:val="00FD17A1"/>
    <w:pPr>
      <w:keepNext/>
      <w:spacing w:before="120" w:line="280" w:lineRule="atLeast"/>
    </w:pPr>
    <w:rPr>
      <w:rFonts w:ascii="Arial" w:hAnsi="Arial"/>
      <w:sz w:val="22"/>
    </w:rPr>
  </w:style>
  <w:style w:type="paragraph" w:customStyle="1" w:styleId="BoxContinued">
    <w:name w:val="Box Continued"/>
    <w:basedOn w:val="BodyText"/>
    <w:next w:val="BodyText"/>
    <w:semiHidden/>
    <w:rsid w:val="00FD17A1"/>
    <w:pPr>
      <w:spacing w:before="180" w:line="220" w:lineRule="exact"/>
      <w:jc w:val="right"/>
    </w:pPr>
    <w:rPr>
      <w:rFonts w:ascii="Arial" w:hAnsi="Arial"/>
      <w:sz w:val="18"/>
    </w:rPr>
  </w:style>
  <w:style w:type="paragraph" w:customStyle="1" w:styleId="BoxHeading1">
    <w:name w:val="Box Heading 1"/>
    <w:basedOn w:val="BodyText"/>
    <w:next w:val="Box"/>
    <w:rsid w:val="00FD17A1"/>
    <w:pPr>
      <w:keepNext/>
      <w:spacing w:before="200" w:line="280" w:lineRule="atLeast"/>
    </w:pPr>
    <w:rPr>
      <w:rFonts w:ascii="Arial" w:hAnsi="Arial"/>
      <w:b/>
      <w:sz w:val="22"/>
    </w:rPr>
  </w:style>
  <w:style w:type="paragraph" w:customStyle="1" w:styleId="BoxHeading2">
    <w:name w:val="Box Heading 2"/>
    <w:basedOn w:val="BoxHeading1"/>
    <w:next w:val="Normal"/>
    <w:rsid w:val="00FD17A1"/>
    <w:rPr>
      <w:b w:val="0"/>
      <w:i/>
    </w:rPr>
  </w:style>
  <w:style w:type="paragraph" w:customStyle="1" w:styleId="BoxListBullet">
    <w:name w:val="Box List Bullet"/>
    <w:basedOn w:val="BodyText"/>
    <w:rsid w:val="00FD17A1"/>
    <w:pPr>
      <w:keepNext/>
      <w:numPr>
        <w:numId w:val="1"/>
      </w:numPr>
      <w:spacing w:before="60" w:line="280" w:lineRule="atLeast"/>
    </w:pPr>
    <w:rPr>
      <w:rFonts w:ascii="Arial" w:hAnsi="Arial"/>
      <w:sz w:val="22"/>
    </w:rPr>
  </w:style>
  <w:style w:type="paragraph" w:customStyle="1" w:styleId="BoxListBullet2">
    <w:name w:val="Box List Bullet 2"/>
    <w:basedOn w:val="BodyText"/>
    <w:rsid w:val="00FD17A1"/>
    <w:pPr>
      <w:keepNext/>
      <w:numPr>
        <w:numId w:val="2"/>
      </w:numPr>
      <w:spacing w:before="60" w:line="280" w:lineRule="atLeast"/>
    </w:pPr>
    <w:rPr>
      <w:rFonts w:ascii="Arial" w:hAnsi="Arial"/>
      <w:sz w:val="22"/>
    </w:rPr>
  </w:style>
  <w:style w:type="paragraph" w:customStyle="1" w:styleId="BoxListNumber">
    <w:name w:val="Box List Number"/>
    <w:basedOn w:val="BodyText"/>
    <w:rsid w:val="00FD17A1"/>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FD17A1"/>
    <w:pPr>
      <w:numPr>
        <w:ilvl w:val="1"/>
      </w:numPr>
    </w:pPr>
  </w:style>
  <w:style w:type="paragraph" w:customStyle="1" w:styleId="BoxQuote">
    <w:name w:val="Box Quote"/>
    <w:basedOn w:val="BodyText"/>
    <w:next w:val="Box"/>
    <w:rsid w:val="00FD17A1"/>
    <w:pPr>
      <w:keepNext/>
      <w:spacing w:before="60" w:line="260" w:lineRule="exact"/>
      <w:ind w:left="284"/>
    </w:pPr>
    <w:rPr>
      <w:rFonts w:ascii="Arial" w:hAnsi="Arial"/>
      <w:sz w:val="20"/>
    </w:rPr>
  </w:style>
  <w:style w:type="paragraph" w:customStyle="1" w:styleId="Note">
    <w:name w:val="Note"/>
    <w:basedOn w:val="BodyText"/>
    <w:next w:val="BodyText"/>
    <w:rsid w:val="00FD17A1"/>
    <w:pPr>
      <w:keepLines/>
      <w:spacing w:before="80" w:line="220" w:lineRule="exact"/>
    </w:pPr>
    <w:rPr>
      <w:rFonts w:ascii="Arial" w:hAnsi="Arial"/>
      <w:sz w:val="18"/>
    </w:rPr>
  </w:style>
  <w:style w:type="paragraph" w:customStyle="1" w:styleId="Source">
    <w:name w:val="Source"/>
    <w:basedOn w:val="Note"/>
    <w:next w:val="BodyText"/>
    <w:rsid w:val="00FD17A1"/>
    <w:pPr>
      <w:spacing w:after="120"/>
    </w:pPr>
  </w:style>
  <w:style w:type="paragraph" w:customStyle="1" w:styleId="BoxSource">
    <w:name w:val="Box Source"/>
    <w:basedOn w:val="Source"/>
    <w:next w:val="BodyText"/>
    <w:rsid w:val="00FD17A1"/>
    <w:pPr>
      <w:spacing w:before="180" w:after="0"/>
    </w:pPr>
  </w:style>
  <w:style w:type="paragraph" w:customStyle="1" w:styleId="BoxSpaceAbove">
    <w:name w:val="Box Space Above"/>
    <w:basedOn w:val="BodyText"/>
    <w:rsid w:val="00FD17A1"/>
    <w:pPr>
      <w:keepNext/>
      <w:spacing w:before="360" w:line="80" w:lineRule="exact"/>
      <w:jc w:val="left"/>
    </w:pPr>
  </w:style>
  <w:style w:type="paragraph" w:styleId="Caption">
    <w:name w:val="caption"/>
    <w:basedOn w:val="Normal"/>
    <w:next w:val="BodyText"/>
    <w:rsid w:val="00FD17A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D17A1"/>
    <w:pPr>
      <w:spacing w:before="120" w:after="0"/>
      <w:ind w:left="1304" w:hanging="1304"/>
    </w:pPr>
    <w:rPr>
      <w:sz w:val="24"/>
    </w:rPr>
  </w:style>
  <w:style w:type="paragraph" w:customStyle="1" w:styleId="BoxSubtitle">
    <w:name w:val="Box Subtitle"/>
    <w:basedOn w:val="BoxTitle"/>
    <w:next w:val="Normal"/>
    <w:rsid w:val="00FD17A1"/>
    <w:pPr>
      <w:spacing w:after="80" w:line="200" w:lineRule="exact"/>
      <w:ind w:firstLine="0"/>
    </w:pPr>
    <w:rPr>
      <w:b w:val="0"/>
      <w:sz w:val="20"/>
    </w:rPr>
  </w:style>
  <w:style w:type="paragraph" w:customStyle="1" w:styleId="Chapter">
    <w:name w:val="Chapter"/>
    <w:basedOn w:val="Heading1"/>
    <w:next w:val="BodyText"/>
    <w:semiHidden/>
    <w:rsid w:val="00FD17A1"/>
    <w:pPr>
      <w:ind w:left="0" w:firstLine="0"/>
      <w:outlineLvl w:val="9"/>
    </w:pPr>
  </w:style>
  <w:style w:type="paragraph" w:customStyle="1" w:styleId="ChapterSummary">
    <w:name w:val="Chapter Summary"/>
    <w:basedOn w:val="BodyText"/>
    <w:rsid w:val="00FD17A1"/>
    <w:pPr>
      <w:ind w:left="907"/>
    </w:pPr>
    <w:rPr>
      <w:rFonts w:ascii="Arial" w:hAnsi="Arial"/>
      <w:b/>
      <w:sz w:val="22"/>
    </w:rPr>
  </w:style>
  <w:style w:type="character" w:styleId="CommentReference">
    <w:name w:val="annotation reference"/>
    <w:basedOn w:val="DefaultParagraphFont"/>
    <w:semiHidden/>
    <w:rsid w:val="00FD17A1"/>
    <w:rPr>
      <w:b/>
      <w:vanish/>
      <w:color w:val="FF00FF"/>
      <w:sz w:val="20"/>
    </w:rPr>
  </w:style>
  <w:style w:type="paragraph" w:styleId="CommentText">
    <w:name w:val="annotation text"/>
    <w:basedOn w:val="Normal"/>
    <w:link w:val="CommentTextChar"/>
    <w:semiHidden/>
    <w:rsid w:val="00FD17A1"/>
    <w:pPr>
      <w:spacing w:before="120" w:line="240" w:lineRule="atLeast"/>
      <w:ind w:left="567" w:hanging="567"/>
    </w:pPr>
    <w:rPr>
      <w:sz w:val="20"/>
    </w:rPr>
  </w:style>
  <w:style w:type="paragraph" w:customStyle="1" w:styleId="Continued">
    <w:name w:val="Continued"/>
    <w:basedOn w:val="BoxContinued"/>
    <w:next w:val="BodyText"/>
    <w:rsid w:val="00FD17A1"/>
  </w:style>
  <w:style w:type="character" w:customStyle="1" w:styleId="DocumentInfo">
    <w:name w:val="Document Info"/>
    <w:basedOn w:val="DefaultParagraphFont"/>
    <w:semiHidden/>
    <w:rsid w:val="00FD17A1"/>
    <w:rPr>
      <w:rFonts w:ascii="Arial" w:hAnsi="Arial"/>
      <w:sz w:val="14"/>
    </w:rPr>
  </w:style>
  <w:style w:type="character" w:customStyle="1" w:styleId="DraftingNote">
    <w:name w:val="Drafting Note"/>
    <w:basedOn w:val="DefaultParagraphFont"/>
    <w:rsid w:val="00FD17A1"/>
    <w:rPr>
      <w:b/>
      <w:color w:val="FF0000"/>
      <w:sz w:val="24"/>
      <w:u w:val="dotted"/>
    </w:rPr>
  </w:style>
  <w:style w:type="paragraph" w:customStyle="1" w:styleId="Figure">
    <w:name w:val="Figure"/>
    <w:basedOn w:val="BodyText"/>
    <w:rsid w:val="00FD17A1"/>
    <w:pPr>
      <w:keepNext/>
      <w:spacing w:before="120" w:after="120" w:line="240" w:lineRule="atLeast"/>
      <w:jc w:val="center"/>
    </w:pPr>
  </w:style>
  <w:style w:type="paragraph" w:customStyle="1" w:styleId="FigureTitle">
    <w:name w:val="Figure Title"/>
    <w:basedOn w:val="Caption"/>
    <w:next w:val="Subtitle"/>
    <w:rsid w:val="00FD17A1"/>
    <w:rPr>
      <w:sz w:val="24"/>
    </w:rPr>
  </w:style>
  <w:style w:type="paragraph" w:styleId="Subtitle">
    <w:name w:val="Subtitle"/>
    <w:basedOn w:val="Caption"/>
    <w:link w:val="SubtitleChar"/>
    <w:rsid w:val="00FD17A1"/>
    <w:pPr>
      <w:spacing w:before="0" w:line="200" w:lineRule="exact"/>
      <w:ind w:firstLine="0"/>
    </w:pPr>
    <w:rPr>
      <w:b w:val="0"/>
      <w:sz w:val="20"/>
    </w:rPr>
  </w:style>
  <w:style w:type="paragraph" w:customStyle="1" w:styleId="Finding">
    <w:name w:val="Finding"/>
    <w:basedOn w:val="BodyText"/>
    <w:rsid w:val="00FD17A1"/>
    <w:pPr>
      <w:keepLines/>
      <w:spacing w:before="180"/>
    </w:pPr>
    <w:rPr>
      <w:i/>
    </w:rPr>
  </w:style>
  <w:style w:type="paragraph" w:customStyle="1" w:styleId="FindingBullet">
    <w:name w:val="Finding Bullet"/>
    <w:basedOn w:val="Finding"/>
    <w:rsid w:val="00FD17A1"/>
    <w:pPr>
      <w:numPr>
        <w:numId w:val="3"/>
      </w:numPr>
      <w:spacing w:before="80"/>
    </w:pPr>
  </w:style>
  <w:style w:type="paragraph" w:customStyle="1" w:styleId="FindingNoTitle">
    <w:name w:val="Finding NoTitle"/>
    <w:basedOn w:val="Finding"/>
    <w:semiHidden/>
    <w:rsid w:val="00FD17A1"/>
    <w:pPr>
      <w:spacing w:before="240"/>
    </w:pPr>
  </w:style>
  <w:style w:type="paragraph" w:customStyle="1" w:styleId="RecTitle">
    <w:name w:val="Rec Title"/>
    <w:basedOn w:val="BodyText"/>
    <w:next w:val="Normal"/>
    <w:rsid w:val="00FD17A1"/>
    <w:pPr>
      <w:keepNext/>
      <w:keepLines/>
    </w:pPr>
    <w:rPr>
      <w:caps/>
      <w:sz w:val="20"/>
    </w:rPr>
  </w:style>
  <w:style w:type="paragraph" w:customStyle="1" w:styleId="FindingTitle">
    <w:name w:val="Finding Title"/>
    <w:basedOn w:val="RecTitle"/>
    <w:next w:val="Finding"/>
    <w:rsid w:val="00FD17A1"/>
    <w:pPr>
      <w:framePr w:wrap="notBeside" w:hAnchor="text"/>
    </w:pPr>
  </w:style>
  <w:style w:type="character" w:styleId="FootnoteReference">
    <w:name w:val="footnote reference"/>
    <w:basedOn w:val="DefaultParagraphFont"/>
    <w:semiHidden/>
    <w:rsid w:val="00FD17A1"/>
    <w:rPr>
      <w:rFonts w:ascii="Times New Roman" w:hAnsi="Times New Roman"/>
      <w:position w:val="6"/>
      <w:sz w:val="22"/>
      <w:vertAlign w:val="baseline"/>
    </w:rPr>
  </w:style>
  <w:style w:type="paragraph" w:styleId="FootnoteText">
    <w:name w:val="footnote text"/>
    <w:basedOn w:val="BodyText"/>
    <w:rsid w:val="00FD17A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FD17A1"/>
    <w:pPr>
      <w:spacing w:before="360" w:after="120"/>
    </w:pPr>
    <w:rPr>
      <w:rFonts w:ascii="Arial" w:hAnsi="Arial"/>
      <w:sz w:val="24"/>
    </w:rPr>
  </w:style>
  <w:style w:type="paragraph" w:customStyle="1" w:styleId="Jurisdictioncommentsbodytext">
    <w:name w:val="Jurisdiction comments body text"/>
    <w:rsid w:val="00FD17A1"/>
    <w:pPr>
      <w:spacing w:after="140"/>
      <w:jc w:val="both"/>
    </w:pPr>
    <w:rPr>
      <w:rFonts w:ascii="Arial" w:hAnsi="Arial"/>
      <w:sz w:val="24"/>
      <w:lang w:eastAsia="en-US"/>
    </w:rPr>
  </w:style>
  <w:style w:type="paragraph" w:customStyle="1" w:styleId="Jurisdictioncommentsheading">
    <w:name w:val="Jurisdiction comments heading"/>
    <w:rsid w:val="00FD17A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D17A1"/>
    <w:pPr>
      <w:numPr>
        <w:numId w:val="4"/>
      </w:numPr>
      <w:spacing w:after="140"/>
      <w:jc w:val="both"/>
    </w:pPr>
    <w:rPr>
      <w:rFonts w:ascii="Arial" w:hAnsi="Arial"/>
      <w:sz w:val="24"/>
      <w:lang w:eastAsia="en-US"/>
    </w:rPr>
  </w:style>
  <w:style w:type="paragraph" w:styleId="ListBullet">
    <w:name w:val="List Bullet"/>
    <w:basedOn w:val="BodyText"/>
    <w:rsid w:val="00FD17A1"/>
    <w:pPr>
      <w:numPr>
        <w:numId w:val="6"/>
      </w:numPr>
      <w:spacing w:before="120"/>
    </w:pPr>
  </w:style>
  <w:style w:type="paragraph" w:styleId="ListBullet2">
    <w:name w:val="List Bullet 2"/>
    <w:basedOn w:val="BodyText"/>
    <w:rsid w:val="00FD17A1"/>
    <w:pPr>
      <w:numPr>
        <w:numId w:val="8"/>
      </w:numPr>
      <w:spacing w:before="120"/>
    </w:pPr>
  </w:style>
  <w:style w:type="paragraph" w:styleId="ListBullet3">
    <w:name w:val="List Bullet 3"/>
    <w:basedOn w:val="BodyText"/>
    <w:rsid w:val="00FD17A1"/>
    <w:pPr>
      <w:numPr>
        <w:numId w:val="10"/>
      </w:numPr>
      <w:spacing w:before="120"/>
    </w:pPr>
  </w:style>
  <w:style w:type="paragraph" w:styleId="ListNumber">
    <w:name w:val="List Number"/>
    <w:basedOn w:val="BodyText"/>
    <w:rsid w:val="00FD17A1"/>
    <w:pPr>
      <w:numPr>
        <w:numId w:val="32"/>
      </w:numPr>
      <w:spacing w:before="120"/>
    </w:pPr>
  </w:style>
  <w:style w:type="paragraph" w:styleId="ListNumber2">
    <w:name w:val="List Number 2"/>
    <w:basedOn w:val="ListNumber"/>
    <w:rsid w:val="00FD17A1"/>
    <w:pPr>
      <w:numPr>
        <w:ilvl w:val="1"/>
      </w:numPr>
    </w:pPr>
  </w:style>
  <w:style w:type="paragraph" w:styleId="ListNumber3">
    <w:name w:val="List Number 3"/>
    <w:basedOn w:val="ListNumber2"/>
    <w:rsid w:val="00FD17A1"/>
    <w:pPr>
      <w:numPr>
        <w:ilvl w:val="2"/>
      </w:numPr>
    </w:pPr>
  </w:style>
  <w:style w:type="character" w:customStyle="1" w:styleId="NoteLabel">
    <w:name w:val="Note Label"/>
    <w:basedOn w:val="DefaultParagraphFont"/>
    <w:rsid w:val="00FD17A1"/>
    <w:rPr>
      <w:rFonts w:ascii="Arial" w:hAnsi="Arial"/>
      <w:b/>
      <w:position w:val="6"/>
      <w:sz w:val="18"/>
    </w:rPr>
  </w:style>
  <w:style w:type="paragraph" w:customStyle="1" w:styleId="PartDivider">
    <w:name w:val="Part Divider"/>
    <w:basedOn w:val="BodyText"/>
    <w:next w:val="BodyText"/>
    <w:semiHidden/>
    <w:rsid w:val="00FD17A1"/>
    <w:pPr>
      <w:spacing w:before="0" w:line="40" w:lineRule="exact"/>
      <w:jc w:val="right"/>
    </w:pPr>
    <w:rPr>
      <w:smallCaps/>
      <w:sz w:val="16"/>
    </w:rPr>
  </w:style>
  <w:style w:type="paragraph" w:customStyle="1" w:styleId="PartNumber">
    <w:name w:val="Part Number"/>
    <w:basedOn w:val="BodyText"/>
    <w:next w:val="BodyText"/>
    <w:semiHidden/>
    <w:rsid w:val="00FD17A1"/>
    <w:pPr>
      <w:spacing w:before="4000" w:line="320" w:lineRule="exact"/>
      <w:ind w:left="6634"/>
      <w:jc w:val="right"/>
    </w:pPr>
    <w:rPr>
      <w:smallCaps/>
      <w:spacing w:val="60"/>
      <w:sz w:val="32"/>
    </w:rPr>
  </w:style>
  <w:style w:type="paragraph" w:customStyle="1" w:styleId="PartTitle">
    <w:name w:val="Part Title"/>
    <w:basedOn w:val="BodyText"/>
    <w:semiHidden/>
    <w:rsid w:val="00FD17A1"/>
    <w:pPr>
      <w:spacing w:before="160" w:after="1360" w:line="520" w:lineRule="exact"/>
      <w:ind w:right="2381"/>
      <w:jc w:val="right"/>
    </w:pPr>
    <w:rPr>
      <w:smallCaps/>
      <w:sz w:val="52"/>
    </w:rPr>
  </w:style>
  <w:style w:type="paragraph" w:styleId="Quote">
    <w:name w:val="Quote"/>
    <w:basedOn w:val="BodyText"/>
    <w:next w:val="BodyText"/>
    <w:qFormat/>
    <w:rsid w:val="00FD17A1"/>
    <w:pPr>
      <w:spacing w:before="120" w:line="280" w:lineRule="exact"/>
      <w:ind w:left="340"/>
    </w:pPr>
    <w:rPr>
      <w:sz w:val="24"/>
    </w:rPr>
  </w:style>
  <w:style w:type="paragraph" w:customStyle="1" w:styleId="QuoteBullet">
    <w:name w:val="Quote Bullet"/>
    <w:basedOn w:val="Quote"/>
    <w:rsid w:val="00FD17A1"/>
    <w:pPr>
      <w:numPr>
        <w:numId w:val="14"/>
      </w:numPr>
    </w:pPr>
  </w:style>
  <w:style w:type="paragraph" w:customStyle="1" w:styleId="Rec">
    <w:name w:val="Rec"/>
    <w:basedOn w:val="BodyText"/>
    <w:rsid w:val="00FD17A1"/>
    <w:pPr>
      <w:keepLines/>
      <w:spacing w:before="180"/>
    </w:pPr>
    <w:rPr>
      <w:b/>
      <w:i/>
    </w:rPr>
  </w:style>
  <w:style w:type="paragraph" w:customStyle="1" w:styleId="RecBullet">
    <w:name w:val="Rec Bullet"/>
    <w:basedOn w:val="Rec"/>
    <w:rsid w:val="00FD17A1"/>
    <w:pPr>
      <w:numPr>
        <w:numId w:val="15"/>
      </w:numPr>
      <w:spacing w:before="80"/>
    </w:pPr>
  </w:style>
  <w:style w:type="paragraph" w:customStyle="1" w:styleId="RecB">
    <w:name w:val="RecB"/>
    <w:basedOn w:val="Normal"/>
    <w:semiHidden/>
    <w:rsid w:val="00FD17A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D17A1"/>
    <w:pPr>
      <w:numPr>
        <w:numId w:val="16"/>
      </w:numPr>
      <w:spacing w:before="80"/>
    </w:pPr>
  </w:style>
  <w:style w:type="paragraph" w:customStyle="1" w:styleId="RecBNoTitle">
    <w:name w:val="RecB NoTitle"/>
    <w:basedOn w:val="RecB"/>
    <w:semiHidden/>
    <w:rsid w:val="00FD17A1"/>
    <w:pPr>
      <w:spacing w:before="240"/>
    </w:pPr>
  </w:style>
  <w:style w:type="paragraph" w:customStyle="1" w:styleId="Reference">
    <w:name w:val="Reference"/>
    <w:basedOn w:val="BodyText"/>
    <w:rsid w:val="00FD17A1"/>
    <w:pPr>
      <w:spacing w:before="120"/>
      <w:ind w:left="340" w:hanging="340"/>
    </w:pPr>
  </w:style>
  <w:style w:type="paragraph" w:customStyle="1" w:styleId="SequenceInfo">
    <w:name w:val="Sequence Info"/>
    <w:basedOn w:val="BodyText"/>
    <w:semiHidden/>
    <w:rsid w:val="00FD17A1"/>
    <w:rPr>
      <w:vanish/>
      <w:sz w:val="16"/>
    </w:rPr>
  </w:style>
  <w:style w:type="paragraph" w:customStyle="1" w:styleId="SideNote">
    <w:name w:val="Side Note"/>
    <w:basedOn w:val="BodyText"/>
    <w:next w:val="BodyText"/>
    <w:semiHidden/>
    <w:rsid w:val="00FD17A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D17A1"/>
    <w:pPr>
      <w:framePr w:wrap="around"/>
      <w:numPr>
        <w:numId w:val="17"/>
      </w:numPr>
      <w:tabs>
        <w:tab w:val="left" w:pos="227"/>
      </w:tabs>
    </w:pPr>
  </w:style>
  <w:style w:type="paragraph" w:customStyle="1" w:styleId="SideNoteGraphic">
    <w:name w:val="Side Note Graphic"/>
    <w:basedOn w:val="SideNote"/>
    <w:next w:val="BodyText"/>
    <w:semiHidden/>
    <w:rsid w:val="00FD17A1"/>
    <w:pPr>
      <w:framePr w:wrap="around"/>
    </w:pPr>
  </w:style>
  <w:style w:type="paragraph" w:customStyle="1" w:styleId="TableBodyText">
    <w:name w:val="Table Body Text"/>
    <w:basedOn w:val="BodyText"/>
    <w:rsid w:val="00FD17A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D17A1"/>
    <w:pPr>
      <w:numPr>
        <w:numId w:val="18"/>
      </w:numPr>
      <w:jc w:val="left"/>
    </w:pPr>
  </w:style>
  <w:style w:type="paragraph" w:customStyle="1" w:styleId="TableColumnHeading">
    <w:name w:val="Table Column Heading"/>
    <w:basedOn w:val="TableBodyText"/>
    <w:rsid w:val="00FD17A1"/>
    <w:pPr>
      <w:spacing w:before="80" w:after="80"/>
    </w:pPr>
    <w:rPr>
      <w:i/>
    </w:rPr>
  </w:style>
  <w:style w:type="paragraph" w:styleId="TOC2">
    <w:name w:val="toc 2"/>
    <w:basedOn w:val="BodyText"/>
    <w:semiHidden/>
    <w:rsid w:val="00FD17A1"/>
    <w:pPr>
      <w:tabs>
        <w:tab w:val="right" w:pos="8789"/>
      </w:tabs>
      <w:ind w:left="510" w:right="851" w:hanging="510"/>
      <w:jc w:val="left"/>
    </w:pPr>
    <w:rPr>
      <w:b/>
    </w:rPr>
  </w:style>
  <w:style w:type="paragraph" w:styleId="TOC3">
    <w:name w:val="toc 3"/>
    <w:basedOn w:val="TOC2"/>
    <w:semiHidden/>
    <w:rsid w:val="00FD17A1"/>
    <w:pPr>
      <w:spacing w:before="60"/>
      <w:ind w:left="1190" w:hanging="680"/>
    </w:pPr>
    <w:rPr>
      <w:b w:val="0"/>
    </w:rPr>
  </w:style>
  <w:style w:type="paragraph" w:styleId="TableofFigures">
    <w:name w:val="table of figures"/>
    <w:basedOn w:val="TOC3"/>
    <w:next w:val="BodyText"/>
    <w:semiHidden/>
    <w:rsid w:val="00FD17A1"/>
    <w:pPr>
      <w:ind w:left="737" w:hanging="737"/>
    </w:pPr>
  </w:style>
  <w:style w:type="paragraph" w:customStyle="1" w:styleId="TableTitle">
    <w:name w:val="Table Title"/>
    <w:basedOn w:val="Caption"/>
    <w:next w:val="Subtitle"/>
    <w:rsid w:val="00FD17A1"/>
    <w:rPr>
      <w:sz w:val="24"/>
    </w:rPr>
  </w:style>
  <w:style w:type="paragraph" w:customStyle="1" w:styleId="TableUnitsRow">
    <w:name w:val="Table Units Row"/>
    <w:basedOn w:val="TableBodyText"/>
    <w:rsid w:val="00FD17A1"/>
    <w:pPr>
      <w:spacing w:before="80" w:after="80"/>
    </w:pPr>
  </w:style>
  <w:style w:type="paragraph" w:styleId="TOC1">
    <w:name w:val="toc 1"/>
    <w:basedOn w:val="Normal"/>
    <w:next w:val="TOC2"/>
    <w:semiHidden/>
    <w:rsid w:val="00FD17A1"/>
    <w:pPr>
      <w:tabs>
        <w:tab w:val="right" w:pos="8789"/>
      </w:tabs>
      <w:spacing w:before="480" w:after="60" w:line="320" w:lineRule="exact"/>
      <w:ind w:left="1191" w:right="851" w:hanging="1191"/>
    </w:pPr>
    <w:rPr>
      <w:b/>
      <w:caps/>
    </w:rPr>
  </w:style>
  <w:style w:type="paragraph" w:styleId="TOC4">
    <w:name w:val="toc 4"/>
    <w:basedOn w:val="TOC3"/>
    <w:semiHidden/>
    <w:rsid w:val="00FD17A1"/>
    <w:pPr>
      <w:ind w:left="1191" w:firstLine="0"/>
    </w:pPr>
  </w:style>
  <w:style w:type="paragraph" w:customStyle="1" w:styleId="RecBBullet2">
    <w:name w:val="RecB Bullet 2"/>
    <w:basedOn w:val="ListBullet2"/>
    <w:semiHidden/>
    <w:rsid w:val="00FD17A1"/>
    <w:pPr>
      <w:pBdr>
        <w:left w:val="single" w:sz="24" w:space="29" w:color="C0C0C0"/>
      </w:pBdr>
    </w:pPr>
    <w:rPr>
      <w:b/>
      <w:i/>
    </w:rPr>
  </w:style>
  <w:style w:type="character" w:customStyle="1" w:styleId="SubtitleChar">
    <w:name w:val="Subtitle Char"/>
    <w:basedOn w:val="DefaultParagraphFont"/>
    <w:link w:val="Subtitle"/>
    <w:rsid w:val="00FD17A1"/>
    <w:rPr>
      <w:rFonts w:ascii="Arial" w:hAnsi="Arial"/>
      <w:szCs w:val="24"/>
    </w:rPr>
  </w:style>
  <w:style w:type="paragraph" w:customStyle="1" w:styleId="BoxListBullet3">
    <w:name w:val="Box List Bullet 3"/>
    <w:basedOn w:val="ListBullet3"/>
    <w:rsid w:val="00FD17A1"/>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FD17A1"/>
    <w:rPr>
      <w:i/>
      <w:iCs/>
    </w:rPr>
  </w:style>
  <w:style w:type="paragraph" w:customStyle="1" w:styleId="BoxQuoteBullet">
    <w:name w:val="Box Quote Bullet"/>
    <w:basedOn w:val="BoxQuote"/>
    <w:next w:val="Box"/>
    <w:rsid w:val="00FD17A1"/>
    <w:pPr>
      <w:numPr>
        <w:numId w:val="45"/>
      </w:numPr>
      <w:ind w:left="568" w:hanging="284"/>
    </w:pPr>
  </w:style>
  <w:style w:type="paragraph" w:customStyle="1" w:styleId="InformationRequestBullet">
    <w:name w:val="Information Request Bullet"/>
    <w:basedOn w:val="ListBullet"/>
    <w:next w:val="BodyText"/>
    <w:rsid w:val="00FD17A1"/>
    <w:pPr>
      <w:numPr>
        <w:numId w:val="46"/>
      </w:numPr>
      <w:ind w:left="340" w:hanging="340"/>
    </w:pPr>
    <w:rPr>
      <w:rFonts w:ascii="Arial" w:hAnsi="Arial"/>
      <w:i/>
      <w:sz w:val="24"/>
    </w:rPr>
  </w:style>
  <w:style w:type="paragraph" w:customStyle="1" w:styleId="BoxSpaceBelow">
    <w:name w:val="Box Space Below"/>
    <w:basedOn w:val="Box"/>
    <w:rsid w:val="00FD17A1"/>
    <w:pPr>
      <w:keepNext w:val="0"/>
      <w:spacing w:before="60" w:after="60" w:line="80" w:lineRule="exact"/>
    </w:pPr>
    <w:rPr>
      <w:sz w:val="14"/>
    </w:rPr>
  </w:style>
  <w:style w:type="paragraph" w:customStyle="1" w:styleId="Author">
    <w:name w:val="Author"/>
    <w:basedOn w:val="Normal"/>
    <w:rsid w:val="00545AE6"/>
    <w:rPr>
      <w:rFonts w:ascii="Arial" w:hAnsi="Arial"/>
      <w:b/>
      <w:sz w:val="28"/>
    </w:rPr>
  </w:style>
  <w:style w:type="paragraph" w:styleId="BalloonText">
    <w:name w:val="Balloon Text"/>
    <w:basedOn w:val="Normal"/>
    <w:link w:val="BalloonTextChar"/>
    <w:rsid w:val="00FD17A1"/>
    <w:rPr>
      <w:rFonts w:ascii="Tahoma" w:hAnsi="Tahoma" w:cs="Tahoma"/>
      <w:sz w:val="16"/>
      <w:szCs w:val="16"/>
    </w:rPr>
  </w:style>
  <w:style w:type="character" w:customStyle="1" w:styleId="BalloonTextChar">
    <w:name w:val="Balloon Text Char"/>
    <w:basedOn w:val="DefaultParagraphFont"/>
    <w:link w:val="BalloonText"/>
    <w:rsid w:val="00FD17A1"/>
    <w:rPr>
      <w:rFonts w:ascii="Tahoma" w:hAnsi="Tahoma" w:cs="Tahoma"/>
      <w:sz w:val="16"/>
      <w:szCs w:val="16"/>
    </w:rPr>
  </w:style>
  <w:style w:type="paragraph" w:styleId="CommentSubject">
    <w:name w:val="annotation subject"/>
    <w:basedOn w:val="CommentText"/>
    <w:next w:val="CommentText"/>
    <w:link w:val="CommentSubjectChar"/>
    <w:rsid w:val="0004073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4073F"/>
    <w:rPr>
      <w:szCs w:val="24"/>
    </w:rPr>
  </w:style>
  <w:style w:type="character" w:customStyle="1" w:styleId="CommentSubjectChar">
    <w:name w:val="Comment Subject Char"/>
    <w:basedOn w:val="CommentTextChar"/>
    <w:link w:val="CommentSubject"/>
    <w:rsid w:val="0004073F"/>
    <w:rPr>
      <w:szCs w:val="24"/>
    </w:rPr>
  </w:style>
  <w:style w:type="paragraph" w:styleId="Revision">
    <w:name w:val="Revision"/>
    <w:hidden/>
    <w:uiPriority w:val="99"/>
    <w:semiHidden/>
    <w:rsid w:val="0082216D"/>
    <w:rPr>
      <w:sz w:val="26"/>
      <w:szCs w:val="24"/>
    </w:rPr>
  </w:style>
  <w:style w:type="paragraph" w:customStyle="1" w:styleId="AbstractHeading">
    <w:name w:val="AbstractHeading"/>
    <w:basedOn w:val="Normal"/>
    <w:rsid w:val="00B53CEE"/>
    <w:pPr>
      <w:spacing w:before="240" w:after="120" w:line="320" w:lineRule="atLeast"/>
      <w:ind w:left="907"/>
    </w:pPr>
    <w:rPr>
      <w:rFonts w:ascii="Arial" w:hAnsi="Arial"/>
      <w:b/>
      <w:sz w:val="22"/>
    </w:rPr>
  </w:style>
  <w:style w:type="paragraph" w:customStyle="1" w:styleId="AbstractText">
    <w:name w:val="AbstractText"/>
    <w:basedOn w:val="Normal"/>
    <w:rsid w:val="00B53CEE"/>
    <w:pPr>
      <w:spacing w:before="120" w:after="120" w:line="320" w:lineRule="atLeast"/>
      <w:ind w:left="907"/>
    </w:pPr>
    <w:rPr>
      <w:rFonts w:ascii="Arial" w:hAnsi="Arial"/>
      <w:sz w:val="22"/>
    </w:rPr>
  </w:style>
  <w:style w:type="paragraph" w:styleId="DocumentMap">
    <w:name w:val="Document Map"/>
    <w:basedOn w:val="Normal"/>
    <w:link w:val="DocumentMapChar"/>
    <w:rsid w:val="00034AC7"/>
    <w:rPr>
      <w:rFonts w:ascii="Tahoma" w:hAnsi="Tahoma" w:cs="Tahoma"/>
      <w:sz w:val="16"/>
      <w:szCs w:val="16"/>
    </w:rPr>
  </w:style>
  <w:style w:type="character" w:customStyle="1" w:styleId="DocumentMapChar">
    <w:name w:val="Document Map Char"/>
    <w:basedOn w:val="DefaultParagraphFont"/>
    <w:link w:val="DocumentMap"/>
    <w:rsid w:val="00034A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ED493-1B83-4EC7-BCB1-C73491B49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51</TotalTime>
  <Pages>12</Pages>
  <Words>4709</Words>
  <Characters>26690</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Data for Better Indigenous Policy evaluation</vt:lpstr>
    </vt:vector>
  </TitlesOfParts>
  <Company>Productivity Commission</Company>
  <LinksUpToDate>false</LinksUpToDate>
  <CharactersWithSpaces>31337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for Better Indigenous Policy evaluation</dc:title>
  <dc:subject>Better Indigenous Policies: The Role of Evaluation</dc:subject>
  <dc:creator>Productivity Commission</dc:creator>
  <cp:keywords/>
  <dc:description>8.</dc:description>
  <cp:lastModifiedBy>Productivity Commission</cp:lastModifiedBy>
  <cp:revision>28</cp:revision>
  <cp:lastPrinted>2013-04-16T05:02:00Z</cp:lastPrinted>
  <dcterms:created xsi:type="dcterms:W3CDTF">2013-03-07T22:24:00Z</dcterms:created>
  <dcterms:modified xsi:type="dcterms:W3CDTF">2013-04-24T01:46:00Z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-1814528322</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